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FB214FB">
      <w:pPr>
        <w:keepNext w:val="0"/>
        <w:keepLines w:val="0"/>
        <w:pageBreakBefore w:val="0"/>
        <w:widowControl/>
        <w:kinsoku/>
        <w:wordWrap/>
        <w:overflowPunct/>
        <w:topLinePunct w:val="0"/>
        <w:autoSpaceDE/>
        <w:autoSpaceDN/>
        <w:bidi w:val="0"/>
        <w:adjustRightInd/>
        <w:spacing w:line="800" w:lineRule="exact"/>
        <w:jc w:val="left"/>
        <w:textAlignment w:val="auto"/>
        <w:outlineLvl w:val="9"/>
        <w:rPr>
          <w:rFonts w:hint="eastAsia" w:ascii="宋体" w:hAnsi="宋体" w:eastAsia="宋体" w:cs="宋体"/>
          <w:b/>
          <w:sz w:val="32"/>
          <w:szCs w:val="32"/>
          <w:highlight w:val="none"/>
          <w:lang w:val="en-US" w:eastAsia="zh-CN"/>
        </w:rPr>
      </w:pPr>
      <w:bookmarkStart w:id="0" w:name="_Toc13625"/>
      <w:bookmarkStart w:id="1" w:name="_Toc15068"/>
      <w:bookmarkStart w:id="55" w:name="_GoBack"/>
      <w:r>
        <w:rPr>
          <w:rFonts w:hint="eastAsia" w:ascii="宋体" w:hAnsi="宋体" w:eastAsia="宋体" w:cs="宋体"/>
          <w:b/>
          <w:sz w:val="32"/>
          <w:szCs w:val="32"/>
          <w:highlight w:val="none"/>
        </w:rPr>
        <w:t>项目编号:</w:t>
      </w:r>
      <w:bookmarkEnd w:id="0"/>
      <w:bookmarkEnd w:id="1"/>
      <w:r>
        <w:rPr>
          <w:rFonts w:hint="eastAsia" w:ascii="宋体" w:hAnsi="宋体" w:eastAsia="宋体" w:cs="宋体"/>
          <w:b/>
          <w:sz w:val="32"/>
          <w:szCs w:val="32"/>
          <w:highlight w:val="none"/>
          <w:lang w:eastAsia="zh-CN"/>
        </w:rPr>
        <w:t>HSGJ2025-164</w:t>
      </w:r>
    </w:p>
    <w:p w14:paraId="34983C89">
      <w:pPr>
        <w:pStyle w:val="15"/>
        <w:keepNext w:val="0"/>
        <w:keepLines w:val="0"/>
        <w:pageBreakBefore w:val="0"/>
        <w:widowControl/>
        <w:kinsoku/>
        <w:wordWrap/>
        <w:overflowPunct/>
        <w:topLinePunct w:val="0"/>
        <w:autoSpaceDE/>
        <w:autoSpaceDN/>
        <w:bidi w:val="0"/>
        <w:adjustRightInd/>
        <w:textAlignment w:val="auto"/>
        <w:outlineLvl w:val="9"/>
        <w:rPr>
          <w:rFonts w:hint="eastAsia" w:ascii="宋体" w:hAnsi="宋体" w:eastAsia="宋体" w:cs="宋体"/>
          <w:b/>
          <w:color w:val="auto"/>
          <w:sz w:val="24"/>
          <w:szCs w:val="24"/>
          <w:highlight w:val="none"/>
        </w:rPr>
      </w:pPr>
    </w:p>
    <w:p w14:paraId="226C96E3">
      <w:pPr>
        <w:pStyle w:val="15"/>
        <w:keepNext w:val="0"/>
        <w:keepLines w:val="0"/>
        <w:pageBreakBefore w:val="0"/>
        <w:widowControl/>
        <w:kinsoku/>
        <w:wordWrap/>
        <w:overflowPunct/>
        <w:topLinePunct w:val="0"/>
        <w:autoSpaceDE/>
        <w:autoSpaceDN/>
        <w:bidi w:val="0"/>
        <w:adjustRightInd/>
        <w:textAlignment w:val="auto"/>
        <w:outlineLvl w:val="9"/>
        <w:rPr>
          <w:rFonts w:hint="eastAsia" w:ascii="宋体" w:hAnsi="宋体" w:eastAsia="宋体" w:cs="宋体"/>
          <w:color w:val="auto"/>
          <w:sz w:val="24"/>
          <w:szCs w:val="24"/>
          <w:highlight w:val="none"/>
          <w:lang w:val="en-US" w:eastAsia="zh-CN"/>
        </w:rPr>
      </w:pPr>
    </w:p>
    <w:p w14:paraId="630CA079">
      <w:pPr>
        <w:keepNext w:val="0"/>
        <w:keepLines w:val="0"/>
        <w:pageBreakBefore w:val="0"/>
        <w:widowControl/>
        <w:tabs>
          <w:tab w:val="left" w:pos="5145"/>
        </w:tabs>
        <w:kinsoku/>
        <w:wordWrap/>
        <w:overflowPunct/>
        <w:topLinePunct w:val="0"/>
        <w:autoSpaceDE/>
        <w:autoSpaceDN/>
        <w:bidi w:val="0"/>
        <w:adjustRightInd/>
        <w:spacing w:line="360" w:lineRule="auto"/>
        <w:jc w:val="center"/>
        <w:textAlignment w:val="auto"/>
        <w:outlineLvl w:val="9"/>
        <w:rPr>
          <w:rFonts w:hint="eastAsia" w:ascii="宋体" w:hAnsi="宋体" w:eastAsia="宋体" w:cs="宋体"/>
          <w:b/>
          <w:bCs/>
          <w:sz w:val="24"/>
          <w:szCs w:val="24"/>
          <w:highlight w:val="none"/>
          <w:lang w:val="en-US" w:eastAsia="zh-CN"/>
        </w:rPr>
      </w:pPr>
    </w:p>
    <w:p w14:paraId="0B8264DF">
      <w:pPr>
        <w:keepNext w:val="0"/>
        <w:keepLines w:val="0"/>
        <w:pageBreakBefore w:val="0"/>
        <w:widowControl/>
        <w:tabs>
          <w:tab w:val="left" w:pos="5145"/>
        </w:tabs>
        <w:kinsoku/>
        <w:wordWrap/>
        <w:overflowPunct/>
        <w:topLinePunct w:val="0"/>
        <w:autoSpaceDE/>
        <w:autoSpaceDN/>
        <w:bidi w:val="0"/>
        <w:adjustRightInd/>
        <w:spacing w:line="360" w:lineRule="auto"/>
        <w:jc w:val="center"/>
        <w:textAlignment w:val="auto"/>
        <w:outlineLvl w:val="9"/>
        <w:rPr>
          <w:rFonts w:hint="eastAsia" w:ascii="宋体" w:hAnsi="宋体" w:eastAsia="宋体" w:cs="宋体"/>
          <w:b/>
          <w:bCs/>
          <w:sz w:val="24"/>
          <w:szCs w:val="24"/>
          <w:highlight w:val="none"/>
          <w:lang w:val="en-US" w:eastAsia="zh-CN"/>
        </w:rPr>
      </w:pPr>
    </w:p>
    <w:p w14:paraId="2AD6DFDD">
      <w:pPr>
        <w:pStyle w:val="15"/>
        <w:jc w:val="center"/>
        <w:rPr>
          <w:rFonts w:hint="eastAsia" w:ascii="宋体" w:hAnsi="宋体" w:eastAsia="宋体" w:cs="宋体"/>
          <w:color w:val="000000" w:themeColor="text1"/>
          <w:sz w:val="46"/>
          <w:szCs w:val="46"/>
          <w:highlight w:val="none"/>
          <w:lang w:val="en-US" w:eastAsia="zh-CN"/>
          <w14:textFill>
            <w14:solidFill>
              <w14:schemeClr w14:val="tx1"/>
            </w14:solidFill>
          </w14:textFill>
        </w:rPr>
      </w:pPr>
      <w:r>
        <w:rPr>
          <w:rFonts w:hint="eastAsia" w:ascii="宋体" w:hAnsi="宋体" w:eastAsia="宋体" w:cs="宋体"/>
          <w:b/>
          <w:color w:val="000000" w:themeColor="text1"/>
          <w:sz w:val="46"/>
          <w:szCs w:val="46"/>
          <w:highlight w:val="none"/>
          <w:lang w:eastAsia="zh-CN"/>
          <w14:textFill>
            <w14:solidFill>
              <w14:schemeClr w14:val="tx1"/>
            </w14:solidFill>
          </w14:textFill>
        </w:rPr>
        <w:t>2025年全区学校教育教学设施设备采购项目第二批次(信息化及多媒体类部室)</w:t>
      </w:r>
    </w:p>
    <w:p w14:paraId="564F49EA">
      <w:pPr>
        <w:rPr>
          <w:rFonts w:hint="eastAsia" w:ascii="宋体" w:hAnsi="宋体" w:eastAsia="宋体" w:cs="宋体"/>
          <w:sz w:val="24"/>
          <w:szCs w:val="24"/>
          <w:highlight w:val="none"/>
        </w:rPr>
      </w:pPr>
    </w:p>
    <w:p w14:paraId="5DFFCAEB">
      <w:pPr>
        <w:rPr>
          <w:rFonts w:hint="eastAsia" w:ascii="宋体" w:hAnsi="宋体" w:eastAsia="宋体" w:cs="宋体"/>
          <w:sz w:val="24"/>
          <w:szCs w:val="24"/>
          <w:highlight w:val="none"/>
        </w:rPr>
      </w:pPr>
    </w:p>
    <w:p w14:paraId="7DCA088B">
      <w:pPr>
        <w:rPr>
          <w:rFonts w:hint="eastAsia" w:ascii="宋体" w:hAnsi="宋体" w:eastAsia="宋体" w:cs="宋体"/>
          <w:sz w:val="24"/>
          <w:szCs w:val="24"/>
          <w:highlight w:val="none"/>
        </w:rPr>
      </w:pPr>
    </w:p>
    <w:p w14:paraId="3615460E">
      <w:pPr>
        <w:keepNext w:val="0"/>
        <w:keepLines w:val="0"/>
        <w:pageBreakBefore w:val="0"/>
        <w:widowControl/>
        <w:tabs>
          <w:tab w:val="left" w:pos="5145"/>
        </w:tabs>
        <w:kinsoku/>
        <w:wordWrap/>
        <w:overflowPunct/>
        <w:topLinePunct w:val="0"/>
        <w:autoSpaceDE/>
        <w:autoSpaceDN/>
        <w:bidi w:val="0"/>
        <w:adjustRightInd/>
        <w:spacing w:line="1400" w:lineRule="atLeast"/>
        <w:jc w:val="center"/>
        <w:textAlignment w:val="auto"/>
        <w:outlineLvl w:val="9"/>
        <w:rPr>
          <w:rFonts w:hint="eastAsia" w:ascii="宋体" w:hAnsi="宋体" w:eastAsia="宋体" w:cs="宋体"/>
          <w:b/>
          <w:sz w:val="80"/>
          <w:szCs w:val="80"/>
          <w:highlight w:val="none"/>
        </w:rPr>
      </w:pPr>
      <w:bookmarkStart w:id="2" w:name="_Toc14588"/>
      <w:bookmarkStart w:id="3" w:name="_Toc15337"/>
      <w:r>
        <w:rPr>
          <w:rFonts w:hint="eastAsia" w:ascii="宋体" w:hAnsi="宋体" w:eastAsia="宋体" w:cs="宋体"/>
          <w:b/>
          <w:sz w:val="80"/>
          <w:szCs w:val="80"/>
          <w:highlight w:val="none"/>
          <w:lang w:eastAsia="zh-CN"/>
        </w:rPr>
        <w:t>公开招标</w:t>
      </w:r>
      <w:r>
        <w:rPr>
          <w:rFonts w:hint="eastAsia" w:ascii="宋体" w:hAnsi="宋体" w:eastAsia="宋体" w:cs="宋体"/>
          <w:b/>
          <w:sz w:val="80"/>
          <w:szCs w:val="80"/>
          <w:highlight w:val="none"/>
        </w:rPr>
        <w:t>文件</w:t>
      </w:r>
      <w:bookmarkEnd w:id="2"/>
      <w:bookmarkEnd w:id="3"/>
    </w:p>
    <w:p w14:paraId="215625E6">
      <w:pPr>
        <w:pStyle w:val="19"/>
        <w:keepNext w:val="0"/>
        <w:keepLines w:val="0"/>
        <w:pageBreakBefore w:val="0"/>
        <w:widowControl/>
        <w:kinsoku/>
        <w:wordWrap/>
        <w:overflowPunct/>
        <w:topLinePunct w:val="0"/>
        <w:autoSpaceDE/>
        <w:autoSpaceDN/>
        <w:bidi w:val="0"/>
        <w:adjustRightInd/>
        <w:textAlignment w:val="auto"/>
        <w:outlineLvl w:val="9"/>
        <w:rPr>
          <w:rFonts w:hint="eastAsia" w:ascii="宋体" w:hAnsi="宋体" w:eastAsia="宋体" w:cs="宋体"/>
          <w:b/>
          <w:sz w:val="24"/>
          <w:szCs w:val="24"/>
          <w:highlight w:val="none"/>
        </w:rPr>
      </w:pPr>
    </w:p>
    <w:p w14:paraId="41457691">
      <w:pPr>
        <w:pStyle w:val="19"/>
        <w:keepNext w:val="0"/>
        <w:keepLines w:val="0"/>
        <w:pageBreakBefore w:val="0"/>
        <w:widowControl/>
        <w:kinsoku/>
        <w:wordWrap/>
        <w:overflowPunct/>
        <w:topLinePunct w:val="0"/>
        <w:autoSpaceDE/>
        <w:autoSpaceDN/>
        <w:bidi w:val="0"/>
        <w:adjustRightInd/>
        <w:textAlignment w:val="auto"/>
        <w:outlineLvl w:val="9"/>
        <w:rPr>
          <w:rFonts w:hint="eastAsia" w:ascii="宋体" w:hAnsi="宋体" w:eastAsia="宋体" w:cs="宋体"/>
          <w:b/>
          <w:sz w:val="24"/>
          <w:szCs w:val="24"/>
          <w:highlight w:val="none"/>
        </w:rPr>
      </w:pPr>
    </w:p>
    <w:p w14:paraId="77913F83">
      <w:pPr>
        <w:pStyle w:val="19"/>
        <w:keepNext w:val="0"/>
        <w:keepLines w:val="0"/>
        <w:pageBreakBefore w:val="0"/>
        <w:widowControl/>
        <w:kinsoku/>
        <w:wordWrap/>
        <w:overflowPunct/>
        <w:topLinePunct w:val="0"/>
        <w:autoSpaceDE/>
        <w:autoSpaceDN/>
        <w:bidi w:val="0"/>
        <w:adjustRightInd/>
        <w:textAlignment w:val="auto"/>
        <w:outlineLvl w:val="9"/>
        <w:rPr>
          <w:rFonts w:hint="default" w:ascii="宋体" w:hAnsi="宋体" w:eastAsia="宋体" w:cs="宋体"/>
          <w:b/>
          <w:bCs w:val="0"/>
          <w:sz w:val="36"/>
          <w:szCs w:val="36"/>
          <w:highlight w:val="none"/>
          <w:lang w:val="en-US" w:eastAsia="zh-CN"/>
        </w:rPr>
      </w:pPr>
      <w:r>
        <w:rPr>
          <w:rFonts w:hint="eastAsia" w:ascii="宋体" w:hAnsi="宋体" w:eastAsia="宋体" w:cs="宋体"/>
          <w:b/>
          <w:sz w:val="24"/>
          <w:szCs w:val="24"/>
          <w:highlight w:val="none"/>
          <w:lang w:val="en-US" w:eastAsia="zh-CN"/>
        </w:rPr>
        <w:t xml:space="preserve">                              </w:t>
      </w:r>
      <w:r>
        <w:rPr>
          <w:rFonts w:hint="eastAsia" w:ascii="宋体" w:hAnsi="宋体" w:eastAsia="宋体" w:cs="宋体"/>
          <w:b/>
          <w:bCs w:val="0"/>
          <w:sz w:val="36"/>
          <w:szCs w:val="36"/>
          <w:highlight w:val="none"/>
          <w:lang w:val="en-US" w:eastAsia="zh-CN"/>
        </w:rPr>
        <w:t xml:space="preserve">  （第四包）</w:t>
      </w:r>
    </w:p>
    <w:p w14:paraId="5F2F3238">
      <w:pPr>
        <w:pStyle w:val="19"/>
        <w:keepNext w:val="0"/>
        <w:keepLines w:val="0"/>
        <w:pageBreakBefore w:val="0"/>
        <w:widowControl/>
        <w:kinsoku/>
        <w:wordWrap/>
        <w:overflowPunct/>
        <w:topLinePunct w:val="0"/>
        <w:autoSpaceDE/>
        <w:autoSpaceDN/>
        <w:bidi w:val="0"/>
        <w:adjustRightInd/>
        <w:textAlignment w:val="auto"/>
        <w:outlineLvl w:val="9"/>
        <w:rPr>
          <w:rFonts w:hint="eastAsia" w:ascii="宋体" w:hAnsi="宋体" w:eastAsia="宋体" w:cs="宋体"/>
          <w:b/>
          <w:sz w:val="24"/>
          <w:szCs w:val="24"/>
          <w:highlight w:val="none"/>
        </w:rPr>
      </w:pPr>
    </w:p>
    <w:p w14:paraId="0EEFDA38">
      <w:pPr>
        <w:pStyle w:val="19"/>
        <w:keepNext w:val="0"/>
        <w:keepLines w:val="0"/>
        <w:pageBreakBefore w:val="0"/>
        <w:widowControl/>
        <w:kinsoku/>
        <w:wordWrap/>
        <w:overflowPunct/>
        <w:topLinePunct w:val="0"/>
        <w:autoSpaceDE/>
        <w:autoSpaceDN/>
        <w:bidi w:val="0"/>
        <w:adjustRightInd/>
        <w:textAlignment w:val="auto"/>
        <w:outlineLvl w:val="9"/>
        <w:rPr>
          <w:rFonts w:hint="eastAsia" w:ascii="宋体" w:hAnsi="宋体" w:eastAsia="宋体" w:cs="宋体"/>
          <w:b/>
          <w:sz w:val="24"/>
          <w:szCs w:val="24"/>
          <w:highlight w:val="none"/>
        </w:rPr>
      </w:pPr>
    </w:p>
    <w:p w14:paraId="0A75EF1F">
      <w:pPr>
        <w:pStyle w:val="19"/>
        <w:keepNext w:val="0"/>
        <w:keepLines w:val="0"/>
        <w:pageBreakBefore w:val="0"/>
        <w:widowControl/>
        <w:kinsoku/>
        <w:wordWrap/>
        <w:overflowPunct/>
        <w:topLinePunct w:val="0"/>
        <w:autoSpaceDE/>
        <w:autoSpaceDN/>
        <w:bidi w:val="0"/>
        <w:adjustRightInd/>
        <w:textAlignment w:val="auto"/>
        <w:outlineLvl w:val="9"/>
        <w:rPr>
          <w:rFonts w:hint="eastAsia" w:ascii="宋体" w:hAnsi="宋体" w:eastAsia="宋体" w:cs="宋体"/>
          <w:b/>
          <w:sz w:val="24"/>
          <w:szCs w:val="24"/>
          <w:highlight w:val="none"/>
        </w:rPr>
      </w:pPr>
    </w:p>
    <w:p w14:paraId="26AC6628">
      <w:pPr>
        <w:pStyle w:val="19"/>
        <w:keepNext w:val="0"/>
        <w:keepLines w:val="0"/>
        <w:pageBreakBefore w:val="0"/>
        <w:widowControl/>
        <w:kinsoku/>
        <w:wordWrap/>
        <w:overflowPunct/>
        <w:topLinePunct w:val="0"/>
        <w:autoSpaceDE/>
        <w:autoSpaceDN/>
        <w:bidi w:val="0"/>
        <w:adjustRightInd/>
        <w:textAlignment w:val="auto"/>
        <w:outlineLvl w:val="9"/>
        <w:rPr>
          <w:rFonts w:hint="eastAsia" w:ascii="宋体" w:hAnsi="宋体" w:eastAsia="宋体" w:cs="宋体"/>
          <w:b/>
          <w:sz w:val="24"/>
          <w:szCs w:val="24"/>
          <w:highlight w:val="none"/>
        </w:rPr>
      </w:pPr>
    </w:p>
    <w:p w14:paraId="33DB86BE">
      <w:pPr>
        <w:pStyle w:val="19"/>
        <w:keepNext w:val="0"/>
        <w:keepLines w:val="0"/>
        <w:pageBreakBefore w:val="0"/>
        <w:widowControl/>
        <w:kinsoku/>
        <w:wordWrap/>
        <w:overflowPunct/>
        <w:topLinePunct w:val="0"/>
        <w:autoSpaceDE/>
        <w:autoSpaceDN/>
        <w:bidi w:val="0"/>
        <w:adjustRightInd/>
        <w:textAlignment w:val="auto"/>
        <w:outlineLvl w:val="9"/>
        <w:rPr>
          <w:rFonts w:hint="eastAsia" w:ascii="宋体" w:hAnsi="宋体" w:eastAsia="宋体" w:cs="宋体"/>
          <w:b/>
          <w:sz w:val="24"/>
          <w:szCs w:val="24"/>
          <w:highlight w:val="none"/>
        </w:rPr>
      </w:pPr>
    </w:p>
    <w:p w14:paraId="3D4B263D">
      <w:pPr>
        <w:pStyle w:val="19"/>
        <w:keepNext w:val="0"/>
        <w:keepLines w:val="0"/>
        <w:pageBreakBefore w:val="0"/>
        <w:widowControl/>
        <w:kinsoku/>
        <w:wordWrap/>
        <w:overflowPunct/>
        <w:topLinePunct w:val="0"/>
        <w:autoSpaceDE/>
        <w:autoSpaceDN/>
        <w:bidi w:val="0"/>
        <w:adjustRightInd/>
        <w:textAlignment w:val="auto"/>
        <w:outlineLvl w:val="9"/>
        <w:rPr>
          <w:rFonts w:hint="eastAsia" w:ascii="宋体" w:hAnsi="宋体" w:eastAsia="宋体" w:cs="宋体"/>
          <w:b/>
          <w:sz w:val="24"/>
          <w:szCs w:val="24"/>
          <w:highlight w:val="none"/>
        </w:rPr>
      </w:pPr>
    </w:p>
    <w:p w14:paraId="72F6ECF0">
      <w:pPr>
        <w:pStyle w:val="19"/>
        <w:keepNext w:val="0"/>
        <w:keepLines w:val="0"/>
        <w:pageBreakBefore w:val="0"/>
        <w:widowControl/>
        <w:kinsoku/>
        <w:wordWrap/>
        <w:overflowPunct/>
        <w:topLinePunct w:val="0"/>
        <w:autoSpaceDE/>
        <w:autoSpaceDN/>
        <w:bidi w:val="0"/>
        <w:adjustRightInd/>
        <w:textAlignment w:val="auto"/>
        <w:outlineLvl w:val="9"/>
        <w:rPr>
          <w:rFonts w:hint="eastAsia" w:ascii="宋体" w:hAnsi="宋体" w:eastAsia="宋体" w:cs="宋体"/>
          <w:b/>
          <w:sz w:val="24"/>
          <w:szCs w:val="24"/>
          <w:highlight w:val="none"/>
        </w:rPr>
      </w:pPr>
    </w:p>
    <w:p w14:paraId="25E631DA">
      <w:pPr>
        <w:keepNext w:val="0"/>
        <w:keepLines w:val="0"/>
        <w:pageBreakBefore w:val="0"/>
        <w:widowControl/>
        <w:kinsoku/>
        <w:wordWrap/>
        <w:overflowPunct/>
        <w:topLinePunct w:val="0"/>
        <w:autoSpaceDE/>
        <w:autoSpaceDN/>
        <w:bidi w:val="0"/>
        <w:adjustRightInd/>
        <w:snapToGrid/>
        <w:spacing w:line="480" w:lineRule="auto"/>
        <w:ind w:firstLine="1440" w:firstLineChars="450"/>
        <w:textAlignment w:val="auto"/>
        <w:outlineLvl w:val="9"/>
        <w:rPr>
          <w:rFonts w:hint="eastAsia" w:ascii="宋体" w:hAnsi="宋体" w:eastAsia="宋体" w:cs="宋体"/>
          <w:b/>
          <w:sz w:val="32"/>
          <w:szCs w:val="32"/>
          <w:highlight w:val="none"/>
          <w:lang w:val="en-US" w:eastAsia="zh-CN"/>
        </w:rPr>
      </w:pPr>
      <w:bookmarkStart w:id="4" w:name="_Toc2655"/>
      <w:bookmarkStart w:id="5" w:name="_Toc12262"/>
      <w:r>
        <w:rPr>
          <w:rFonts w:hint="eastAsia" w:ascii="宋体" w:hAnsi="宋体" w:eastAsia="宋体" w:cs="宋体"/>
          <w:b/>
          <w:sz w:val="32"/>
          <w:szCs w:val="32"/>
          <w:highlight w:val="none"/>
        </w:rPr>
        <w:t>采</w:t>
      </w:r>
      <w:r>
        <w:rPr>
          <w:rFonts w:hint="eastAsia" w:ascii="宋体" w:hAnsi="宋体" w:eastAsia="宋体" w:cs="宋体"/>
          <w:b/>
          <w:sz w:val="32"/>
          <w:szCs w:val="32"/>
          <w:highlight w:val="none"/>
          <w:lang w:val="en-US" w:eastAsia="zh-CN"/>
        </w:rPr>
        <w:t xml:space="preserve">   </w:t>
      </w:r>
      <w:r>
        <w:rPr>
          <w:rFonts w:hint="eastAsia" w:ascii="宋体" w:hAnsi="宋体" w:eastAsia="宋体" w:cs="宋体"/>
          <w:b/>
          <w:sz w:val="32"/>
          <w:szCs w:val="32"/>
          <w:highlight w:val="none"/>
        </w:rPr>
        <w:t>购</w:t>
      </w:r>
      <w:r>
        <w:rPr>
          <w:rFonts w:hint="eastAsia" w:ascii="宋体" w:hAnsi="宋体" w:eastAsia="宋体" w:cs="宋体"/>
          <w:b/>
          <w:sz w:val="32"/>
          <w:szCs w:val="32"/>
          <w:highlight w:val="none"/>
          <w:lang w:val="en-US" w:eastAsia="zh-CN"/>
        </w:rPr>
        <w:t xml:space="preserve">   </w:t>
      </w:r>
      <w:r>
        <w:rPr>
          <w:rFonts w:hint="eastAsia" w:ascii="宋体" w:hAnsi="宋体" w:eastAsia="宋体" w:cs="宋体"/>
          <w:b/>
          <w:sz w:val="32"/>
          <w:szCs w:val="32"/>
          <w:highlight w:val="none"/>
        </w:rPr>
        <w:t>人：</w:t>
      </w:r>
      <w:bookmarkEnd w:id="4"/>
      <w:bookmarkEnd w:id="5"/>
      <w:r>
        <w:rPr>
          <w:rFonts w:hint="eastAsia" w:ascii="宋体" w:hAnsi="宋体" w:eastAsia="宋体" w:cs="宋体"/>
          <w:b/>
          <w:sz w:val="32"/>
          <w:szCs w:val="32"/>
          <w:highlight w:val="none"/>
          <w:lang w:eastAsia="zh-CN"/>
        </w:rPr>
        <w:t>西安</w:t>
      </w:r>
      <w:bookmarkStart w:id="6" w:name="_Toc9269"/>
      <w:bookmarkStart w:id="7" w:name="_Toc16289"/>
      <w:bookmarkStart w:id="8" w:name="_Toc2128"/>
      <w:r>
        <w:rPr>
          <w:rFonts w:hint="eastAsia" w:ascii="宋体" w:hAnsi="宋体" w:eastAsia="宋体" w:cs="宋体"/>
          <w:b/>
          <w:sz w:val="32"/>
          <w:szCs w:val="32"/>
          <w:highlight w:val="none"/>
          <w:lang w:eastAsia="zh-CN"/>
        </w:rPr>
        <w:t>浐灞国际港教育局</w:t>
      </w:r>
    </w:p>
    <w:p w14:paraId="28B169AC">
      <w:pPr>
        <w:keepNext w:val="0"/>
        <w:keepLines w:val="0"/>
        <w:pageBreakBefore w:val="0"/>
        <w:widowControl/>
        <w:kinsoku/>
        <w:wordWrap/>
        <w:overflowPunct/>
        <w:topLinePunct w:val="0"/>
        <w:autoSpaceDE/>
        <w:autoSpaceDN/>
        <w:bidi w:val="0"/>
        <w:adjustRightInd/>
        <w:snapToGrid/>
        <w:spacing w:line="480" w:lineRule="auto"/>
        <w:ind w:firstLine="1440" w:firstLineChars="450"/>
        <w:textAlignment w:val="auto"/>
        <w:outlineLvl w:val="9"/>
        <w:rPr>
          <w:rFonts w:hint="eastAsia" w:ascii="宋体" w:hAnsi="宋体" w:eastAsia="宋体" w:cs="宋体"/>
          <w:b/>
          <w:sz w:val="32"/>
          <w:szCs w:val="32"/>
          <w:highlight w:val="none"/>
        </w:rPr>
      </w:pPr>
      <w:r>
        <w:rPr>
          <w:rFonts w:hint="eastAsia" w:ascii="宋体" w:hAnsi="宋体" w:eastAsia="宋体" w:cs="宋体"/>
          <w:b/>
          <w:sz w:val="32"/>
          <w:szCs w:val="32"/>
          <w:highlight w:val="none"/>
        </w:rPr>
        <w:t>采购代理机构：</w:t>
      </w:r>
      <w:bookmarkEnd w:id="6"/>
      <w:r>
        <w:rPr>
          <w:rFonts w:hint="eastAsia" w:ascii="宋体" w:hAnsi="宋体" w:eastAsia="宋体" w:cs="宋体"/>
          <w:b/>
          <w:sz w:val="32"/>
          <w:szCs w:val="32"/>
          <w:highlight w:val="none"/>
        </w:rPr>
        <w:t>华晟国际项目管理有限公司</w:t>
      </w:r>
      <w:bookmarkEnd w:id="7"/>
      <w:bookmarkEnd w:id="8"/>
    </w:p>
    <w:p w14:paraId="1F161EA7">
      <w:pPr>
        <w:keepNext w:val="0"/>
        <w:keepLines w:val="0"/>
        <w:pageBreakBefore w:val="0"/>
        <w:widowControl/>
        <w:kinsoku/>
        <w:wordWrap/>
        <w:overflowPunct/>
        <w:topLinePunct w:val="0"/>
        <w:autoSpaceDE/>
        <w:autoSpaceDN/>
        <w:bidi w:val="0"/>
        <w:adjustRightInd/>
        <w:snapToGrid/>
        <w:spacing w:line="480" w:lineRule="auto"/>
        <w:ind w:firstLine="1440" w:firstLineChars="450"/>
        <w:textAlignment w:val="auto"/>
        <w:outlineLvl w:val="9"/>
        <w:rPr>
          <w:rFonts w:hint="eastAsia" w:ascii="宋体" w:hAnsi="宋体" w:eastAsia="宋体" w:cs="宋体"/>
          <w:b/>
          <w:sz w:val="32"/>
          <w:szCs w:val="32"/>
          <w:highlight w:val="none"/>
        </w:rPr>
      </w:pPr>
      <w:bookmarkStart w:id="9" w:name="_Toc2766"/>
      <w:bookmarkStart w:id="10" w:name="_Toc221"/>
      <w:r>
        <w:rPr>
          <w:rFonts w:hint="eastAsia" w:ascii="宋体" w:hAnsi="宋体" w:eastAsia="宋体" w:cs="宋体"/>
          <w:b/>
          <w:sz w:val="32"/>
          <w:szCs w:val="32"/>
          <w:highlight w:val="none"/>
        </w:rPr>
        <w:t>日        期：二〇二</w:t>
      </w:r>
      <w:r>
        <w:rPr>
          <w:rFonts w:hint="eastAsia" w:ascii="宋体" w:hAnsi="宋体" w:eastAsia="宋体" w:cs="宋体"/>
          <w:b/>
          <w:sz w:val="32"/>
          <w:szCs w:val="32"/>
          <w:highlight w:val="none"/>
          <w:lang w:val="en-US" w:eastAsia="zh-CN"/>
        </w:rPr>
        <w:t>五</w:t>
      </w:r>
      <w:r>
        <w:rPr>
          <w:rFonts w:hint="eastAsia" w:ascii="宋体" w:hAnsi="宋体" w:eastAsia="宋体" w:cs="宋体"/>
          <w:b/>
          <w:sz w:val="32"/>
          <w:szCs w:val="32"/>
          <w:highlight w:val="none"/>
        </w:rPr>
        <w:t>年</w:t>
      </w:r>
      <w:r>
        <w:rPr>
          <w:rFonts w:hint="eastAsia" w:ascii="宋体" w:hAnsi="宋体" w:eastAsia="宋体" w:cs="宋体"/>
          <w:b/>
          <w:sz w:val="32"/>
          <w:szCs w:val="32"/>
          <w:highlight w:val="none"/>
          <w:lang w:val="en-US" w:eastAsia="zh-CN"/>
        </w:rPr>
        <w:t>七</w:t>
      </w:r>
      <w:r>
        <w:rPr>
          <w:rFonts w:hint="eastAsia" w:ascii="宋体" w:hAnsi="宋体" w:eastAsia="宋体" w:cs="宋体"/>
          <w:b/>
          <w:sz w:val="32"/>
          <w:szCs w:val="32"/>
          <w:highlight w:val="none"/>
        </w:rPr>
        <w:t>月</w:t>
      </w:r>
      <w:bookmarkEnd w:id="9"/>
      <w:bookmarkEnd w:id="10"/>
    </w:p>
    <w:p w14:paraId="4310E99F">
      <w:pPr>
        <w:pStyle w:val="15"/>
        <w:rPr>
          <w:rFonts w:hint="eastAsia" w:ascii="宋体" w:hAnsi="宋体" w:eastAsia="宋体" w:cs="宋体"/>
          <w:sz w:val="24"/>
          <w:szCs w:val="24"/>
          <w:highlight w:val="none"/>
        </w:rPr>
      </w:pPr>
    </w:p>
    <w:p w14:paraId="14F02264">
      <w:pPr>
        <w:spacing w:line="560" w:lineRule="exact"/>
        <w:jc w:val="center"/>
        <w:rPr>
          <w:rFonts w:hint="eastAsia" w:ascii="宋体" w:hAnsi="宋体" w:eastAsia="宋体" w:cs="宋体"/>
          <w:sz w:val="24"/>
          <w:szCs w:val="24"/>
          <w:highlight w:val="none"/>
        </w:rPr>
        <w:sectPr>
          <w:headerReference r:id="rId3" w:type="default"/>
          <w:headerReference r:id="rId4" w:type="even"/>
          <w:pgSz w:w="11906" w:h="16838"/>
          <w:pgMar w:top="1440" w:right="1083" w:bottom="1440" w:left="1519" w:header="851" w:footer="992" w:gutter="0"/>
          <w:pgNumType w:fmt="decimal" w:start="1"/>
          <w:cols w:space="425" w:num="1"/>
          <w:docGrid w:type="linesAndChars" w:linePitch="420" w:charSpace="0"/>
        </w:sectPr>
      </w:pPr>
    </w:p>
    <w:p w14:paraId="7F24C49E">
      <w:pPr>
        <w:spacing w:before="0" w:beforeLines="0" w:after="0" w:afterLines="0" w:line="240" w:lineRule="auto"/>
        <w:ind w:left="0" w:leftChars="0" w:right="0" w:rightChars="0" w:firstLine="0" w:firstLineChars="0"/>
        <w:jc w:val="center"/>
        <w:rPr>
          <w:rFonts w:hint="eastAsia" w:ascii="宋体" w:hAnsi="宋体" w:eastAsia="宋体" w:cs="宋体"/>
          <w:b/>
          <w:bCs/>
          <w:sz w:val="40"/>
          <w:szCs w:val="40"/>
          <w:highlight w:val="none"/>
        </w:rPr>
      </w:pPr>
      <w:r>
        <w:rPr>
          <w:rFonts w:hint="eastAsia" w:ascii="宋体" w:hAnsi="宋体" w:eastAsia="宋体" w:cs="宋体"/>
          <w:b/>
          <w:bCs/>
          <w:sz w:val="40"/>
          <w:szCs w:val="40"/>
          <w:highlight w:val="none"/>
        </w:rPr>
        <w:t>目</w:t>
      </w:r>
      <w:r>
        <w:rPr>
          <w:rFonts w:hint="eastAsia" w:ascii="宋体" w:hAnsi="宋体" w:eastAsia="宋体" w:cs="宋体"/>
          <w:b/>
          <w:bCs/>
          <w:sz w:val="40"/>
          <w:szCs w:val="40"/>
          <w:highlight w:val="none"/>
          <w:lang w:val="en-US" w:eastAsia="zh-CN"/>
        </w:rPr>
        <w:t xml:space="preserve">  </w:t>
      </w:r>
      <w:r>
        <w:rPr>
          <w:rFonts w:hint="eastAsia" w:ascii="宋体" w:hAnsi="宋体" w:eastAsia="宋体" w:cs="宋体"/>
          <w:b/>
          <w:bCs/>
          <w:sz w:val="40"/>
          <w:szCs w:val="40"/>
          <w:highlight w:val="none"/>
        </w:rPr>
        <w:t>录</w:t>
      </w:r>
    </w:p>
    <w:p w14:paraId="3E168897">
      <w:pPr>
        <w:pStyle w:val="21"/>
        <w:tabs>
          <w:tab w:val="right" w:leader="dot" w:pos="9304"/>
        </w:tabs>
        <w:rPr>
          <w:highlight w:val="none"/>
        </w:rPr>
      </w:pPr>
      <w:r>
        <w:rPr>
          <w:rFonts w:hint="eastAsia" w:ascii="宋体" w:hAnsi="宋体" w:eastAsia="宋体" w:cs="宋体"/>
          <w:b/>
          <w:bCs w:val="0"/>
          <w:sz w:val="24"/>
          <w:szCs w:val="24"/>
          <w:highlight w:val="none"/>
        </w:rPr>
        <w:fldChar w:fldCharType="begin"/>
      </w:r>
      <w:r>
        <w:rPr>
          <w:rFonts w:hint="eastAsia" w:ascii="宋体" w:hAnsi="宋体" w:eastAsia="宋体" w:cs="宋体"/>
          <w:b/>
          <w:bCs w:val="0"/>
          <w:sz w:val="24"/>
          <w:szCs w:val="24"/>
          <w:highlight w:val="none"/>
        </w:rPr>
        <w:instrText xml:space="preserve">TOC \o "1-1" \h \u </w:instrText>
      </w:r>
      <w:r>
        <w:rPr>
          <w:rFonts w:hint="eastAsia" w:ascii="宋体" w:hAnsi="宋体" w:eastAsia="宋体" w:cs="宋体"/>
          <w:b/>
          <w:bCs w:val="0"/>
          <w:sz w:val="24"/>
          <w:szCs w:val="24"/>
          <w:highlight w:val="none"/>
        </w:rPr>
        <w:fldChar w:fldCharType="separate"/>
      </w:r>
      <w:r>
        <w:rPr>
          <w:rFonts w:hint="eastAsia" w:ascii="宋体" w:hAnsi="宋体" w:eastAsia="宋体" w:cs="宋体"/>
          <w:bCs w:val="0"/>
          <w:szCs w:val="24"/>
          <w:highlight w:val="none"/>
        </w:rPr>
        <w:fldChar w:fldCharType="begin"/>
      </w:r>
      <w:r>
        <w:rPr>
          <w:rFonts w:hint="eastAsia" w:ascii="宋体" w:hAnsi="宋体" w:eastAsia="宋体" w:cs="宋体"/>
          <w:bCs w:val="0"/>
          <w:szCs w:val="24"/>
          <w:highlight w:val="none"/>
        </w:rPr>
        <w:instrText xml:space="preserve"> HYPERLINK \l _Toc25953 </w:instrText>
      </w:r>
      <w:r>
        <w:rPr>
          <w:rFonts w:hint="eastAsia" w:ascii="宋体" w:hAnsi="宋体" w:eastAsia="宋体" w:cs="宋体"/>
          <w:bCs w:val="0"/>
          <w:szCs w:val="24"/>
          <w:highlight w:val="none"/>
        </w:rPr>
        <w:fldChar w:fldCharType="separate"/>
      </w:r>
      <w:r>
        <w:rPr>
          <w:rFonts w:hint="eastAsia" w:ascii="宋体" w:hAnsi="宋体" w:eastAsia="宋体" w:cs="宋体"/>
          <w:bCs/>
          <w:szCs w:val="32"/>
          <w:highlight w:val="none"/>
          <w:lang w:eastAsia="zh-CN"/>
        </w:rPr>
        <w:t>第一章</w:t>
      </w:r>
      <w:r>
        <w:rPr>
          <w:rFonts w:hint="eastAsia" w:ascii="宋体" w:hAnsi="宋体" w:eastAsia="宋体" w:cs="宋体"/>
          <w:bCs/>
          <w:szCs w:val="32"/>
          <w:highlight w:val="none"/>
          <w:lang w:val="en-US" w:eastAsia="zh-CN"/>
        </w:rPr>
        <w:t xml:space="preserve"> </w:t>
      </w:r>
      <w:r>
        <w:rPr>
          <w:rFonts w:hint="eastAsia" w:ascii="宋体" w:hAnsi="宋体" w:eastAsia="宋体" w:cs="宋体"/>
          <w:bCs/>
          <w:szCs w:val="32"/>
          <w:highlight w:val="none"/>
          <w:lang w:eastAsia="zh-CN"/>
        </w:rPr>
        <w:t xml:space="preserve"> 招标公告</w:t>
      </w:r>
      <w:r>
        <w:rPr>
          <w:highlight w:val="none"/>
        </w:rPr>
        <w:tab/>
      </w:r>
      <w:r>
        <w:rPr>
          <w:highlight w:val="none"/>
        </w:rPr>
        <w:fldChar w:fldCharType="begin"/>
      </w:r>
      <w:r>
        <w:rPr>
          <w:highlight w:val="none"/>
        </w:rPr>
        <w:instrText xml:space="preserve"> PAGEREF _Toc25953 \h </w:instrText>
      </w:r>
      <w:r>
        <w:rPr>
          <w:highlight w:val="none"/>
        </w:rPr>
        <w:fldChar w:fldCharType="separate"/>
      </w:r>
      <w:r>
        <w:rPr>
          <w:highlight w:val="none"/>
        </w:rPr>
        <w:t>1</w:t>
      </w:r>
      <w:r>
        <w:rPr>
          <w:highlight w:val="none"/>
        </w:rPr>
        <w:fldChar w:fldCharType="end"/>
      </w:r>
      <w:r>
        <w:rPr>
          <w:rFonts w:hint="eastAsia" w:ascii="宋体" w:hAnsi="宋体" w:eastAsia="宋体" w:cs="宋体"/>
          <w:bCs w:val="0"/>
          <w:szCs w:val="24"/>
          <w:highlight w:val="none"/>
        </w:rPr>
        <w:fldChar w:fldCharType="end"/>
      </w:r>
    </w:p>
    <w:p w14:paraId="7BEFBB1F">
      <w:pPr>
        <w:pStyle w:val="21"/>
        <w:tabs>
          <w:tab w:val="right" w:leader="dot" w:pos="9304"/>
        </w:tabs>
        <w:rPr>
          <w:highlight w:val="none"/>
        </w:rPr>
      </w:pPr>
      <w:r>
        <w:rPr>
          <w:rFonts w:hint="eastAsia" w:ascii="宋体" w:hAnsi="宋体" w:eastAsia="宋体" w:cs="宋体"/>
          <w:bCs w:val="0"/>
          <w:szCs w:val="24"/>
          <w:highlight w:val="none"/>
        </w:rPr>
        <w:fldChar w:fldCharType="begin"/>
      </w:r>
      <w:r>
        <w:rPr>
          <w:rFonts w:hint="eastAsia" w:ascii="宋体" w:hAnsi="宋体" w:eastAsia="宋体" w:cs="宋体"/>
          <w:bCs w:val="0"/>
          <w:szCs w:val="24"/>
          <w:highlight w:val="none"/>
        </w:rPr>
        <w:instrText xml:space="preserve"> HYPERLINK \l _Toc22985 </w:instrText>
      </w:r>
      <w:r>
        <w:rPr>
          <w:rFonts w:hint="eastAsia" w:ascii="宋体" w:hAnsi="宋体" w:eastAsia="宋体" w:cs="宋体"/>
          <w:bCs w:val="0"/>
          <w:szCs w:val="24"/>
          <w:highlight w:val="none"/>
        </w:rPr>
        <w:fldChar w:fldCharType="separate"/>
      </w:r>
      <w:r>
        <w:rPr>
          <w:rFonts w:hint="eastAsia" w:ascii="宋体" w:hAnsi="宋体" w:eastAsia="宋体" w:cs="宋体"/>
          <w:bCs/>
          <w:szCs w:val="32"/>
          <w:highlight w:val="none"/>
        </w:rPr>
        <w:t>第二章  供应商须知</w:t>
      </w:r>
      <w:r>
        <w:rPr>
          <w:highlight w:val="none"/>
        </w:rPr>
        <w:tab/>
      </w:r>
      <w:r>
        <w:rPr>
          <w:highlight w:val="none"/>
        </w:rPr>
        <w:fldChar w:fldCharType="begin"/>
      </w:r>
      <w:r>
        <w:rPr>
          <w:highlight w:val="none"/>
        </w:rPr>
        <w:instrText xml:space="preserve"> PAGEREF _Toc22985 \h </w:instrText>
      </w:r>
      <w:r>
        <w:rPr>
          <w:highlight w:val="none"/>
        </w:rPr>
        <w:fldChar w:fldCharType="separate"/>
      </w:r>
      <w:r>
        <w:rPr>
          <w:highlight w:val="none"/>
        </w:rPr>
        <w:t>10</w:t>
      </w:r>
      <w:r>
        <w:rPr>
          <w:highlight w:val="none"/>
        </w:rPr>
        <w:fldChar w:fldCharType="end"/>
      </w:r>
      <w:r>
        <w:rPr>
          <w:rFonts w:hint="eastAsia" w:ascii="宋体" w:hAnsi="宋体" w:eastAsia="宋体" w:cs="宋体"/>
          <w:bCs w:val="0"/>
          <w:szCs w:val="24"/>
          <w:highlight w:val="none"/>
        </w:rPr>
        <w:fldChar w:fldCharType="end"/>
      </w:r>
    </w:p>
    <w:p w14:paraId="13738064">
      <w:pPr>
        <w:pStyle w:val="21"/>
        <w:tabs>
          <w:tab w:val="right" w:leader="dot" w:pos="9304"/>
        </w:tabs>
        <w:rPr>
          <w:highlight w:val="none"/>
        </w:rPr>
      </w:pPr>
      <w:r>
        <w:rPr>
          <w:rFonts w:hint="eastAsia" w:ascii="宋体" w:hAnsi="宋体" w:eastAsia="宋体" w:cs="宋体"/>
          <w:bCs w:val="0"/>
          <w:szCs w:val="24"/>
          <w:highlight w:val="none"/>
        </w:rPr>
        <w:fldChar w:fldCharType="begin"/>
      </w:r>
      <w:r>
        <w:rPr>
          <w:rFonts w:hint="eastAsia" w:ascii="宋体" w:hAnsi="宋体" w:eastAsia="宋体" w:cs="宋体"/>
          <w:bCs w:val="0"/>
          <w:szCs w:val="24"/>
          <w:highlight w:val="none"/>
        </w:rPr>
        <w:instrText xml:space="preserve"> HYPERLINK \l _Toc23789 </w:instrText>
      </w:r>
      <w:r>
        <w:rPr>
          <w:rFonts w:hint="eastAsia" w:ascii="宋体" w:hAnsi="宋体" w:eastAsia="宋体" w:cs="宋体"/>
          <w:bCs w:val="0"/>
          <w:szCs w:val="24"/>
          <w:highlight w:val="none"/>
        </w:rPr>
        <w:fldChar w:fldCharType="separate"/>
      </w:r>
      <w:r>
        <w:rPr>
          <w:rFonts w:hint="eastAsia" w:ascii="宋体" w:hAnsi="宋体" w:eastAsia="宋体" w:cs="宋体"/>
          <w:bCs/>
          <w:szCs w:val="32"/>
          <w:highlight w:val="none"/>
        </w:rPr>
        <w:t>第三章 招标内容及要求</w:t>
      </w:r>
      <w:r>
        <w:rPr>
          <w:highlight w:val="none"/>
        </w:rPr>
        <w:tab/>
      </w:r>
      <w:r>
        <w:rPr>
          <w:highlight w:val="none"/>
        </w:rPr>
        <w:fldChar w:fldCharType="begin"/>
      </w:r>
      <w:r>
        <w:rPr>
          <w:highlight w:val="none"/>
        </w:rPr>
        <w:instrText xml:space="preserve"> PAGEREF _Toc23789 \h </w:instrText>
      </w:r>
      <w:r>
        <w:rPr>
          <w:highlight w:val="none"/>
        </w:rPr>
        <w:fldChar w:fldCharType="separate"/>
      </w:r>
      <w:r>
        <w:rPr>
          <w:highlight w:val="none"/>
        </w:rPr>
        <w:t>56</w:t>
      </w:r>
      <w:r>
        <w:rPr>
          <w:highlight w:val="none"/>
        </w:rPr>
        <w:fldChar w:fldCharType="end"/>
      </w:r>
      <w:r>
        <w:rPr>
          <w:rFonts w:hint="eastAsia" w:ascii="宋体" w:hAnsi="宋体" w:eastAsia="宋体" w:cs="宋体"/>
          <w:bCs w:val="0"/>
          <w:szCs w:val="24"/>
          <w:highlight w:val="none"/>
        </w:rPr>
        <w:fldChar w:fldCharType="end"/>
      </w:r>
    </w:p>
    <w:p w14:paraId="2E88BF9A">
      <w:pPr>
        <w:pStyle w:val="21"/>
        <w:tabs>
          <w:tab w:val="right" w:leader="dot" w:pos="9304"/>
        </w:tabs>
        <w:rPr>
          <w:highlight w:val="none"/>
        </w:rPr>
      </w:pPr>
      <w:r>
        <w:rPr>
          <w:rFonts w:hint="eastAsia" w:ascii="宋体" w:hAnsi="宋体" w:eastAsia="宋体" w:cs="宋体"/>
          <w:bCs w:val="0"/>
          <w:szCs w:val="24"/>
          <w:highlight w:val="none"/>
        </w:rPr>
        <w:fldChar w:fldCharType="begin"/>
      </w:r>
      <w:r>
        <w:rPr>
          <w:rFonts w:hint="eastAsia" w:ascii="宋体" w:hAnsi="宋体" w:eastAsia="宋体" w:cs="宋体"/>
          <w:bCs w:val="0"/>
          <w:szCs w:val="24"/>
          <w:highlight w:val="none"/>
        </w:rPr>
        <w:instrText xml:space="preserve"> HYPERLINK \l _Toc30877 </w:instrText>
      </w:r>
      <w:r>
        <w:rPr>
          <w:rFonts w:hint="eastAsia" w:ascii="宋体" w:hAnsi="宋体" w:eastAsia="宋体" w:cs="宋体"/>
          <w:bCs w:val="0"/>
          <w:szCs w:val="24"/>
          <w:highlight w:val="none"/>
        </w:rPr>
        <w:fldChar w:fldCharType="separate"/>
      </w:r>
      <w:r>
        <w:rPr>
          <w:rFonts w:hint="eastAsia" w:ascii="宋体" w:hAnsi="宋体" w:eastAsia="宋体" w:cs="宋体"/>
          <w:bCs/>
          <w:szCs w:val="32"/>
          <w:highlight w:val="none"/>
        </w:rPr>
        <w:t>第四章  商务及合同文本</w:t>
      </w:r>
      <w:r>
        <w:rPr>
          <w:highlight w:val="none"/>
        </w:rPr>
        <w:tab/>
      </w:r>
      <w:r>
        <w:rPr>
          <w:highlight w:val="none"/>
        </w:rPr>
        <w:fldChar w:fldCharType="begin"/>
      </w:r>
      <w:r>
        <w:rPr>
          <w:highlight w:val="none"/>
        </w:rPr>
        <w:instrText xml:space="preserve"> PAGEREF _Toc30877 \h </w:instrText>
      </w:r>
      <w:r>
        <w:rPr>
          <w:highlight w:val="none"/>
        </w:rPr>
        <w:fldChar w:fldCharType="separate"/>
      </w:r>
      <w:r>
        <w:rPr>
          <w:highlight w:val="none"/>
        </w:rPr>
        <w:t>155</w:t>
      </w:r>
      <w:r>
        <w:rPr>
          <w:highlight w:val="none"/>
        </w:rPr>
        <w:fldChar w:fldCharType="end"/>
      </w:r>
      <w:r>
        <w:rPr>
          <w:rFonts w:hint="eastAsia" w:ascii="宋体" w:hAnsi="宋体" w:eastAsia="宋体" w:cs="宋体"/>
          <w:bCs w:val="0"/>
          <w:szCs w:val="24"/>
          <w:highlight w:val="none"/>
        </w:rPr>
        <w:fldChar w:fldCharType="end"/>
      </w:r>
    </w:p>
    <w:p w14:paraId="2C64ADFD">
      <w:pPr>
        <w:pStyle w:val="21"/>
        <w:tabs>
          <w:tab w:val="right" w:leader="dot" w:pos="9304"/>
        </w:tabs>
        <w:rPr>
          <w:highlight w:val="none"/>
        </w:rPr>
      </w:pPr>
      <w:r>
        <w:rPr>
          <w:rFonts w:hint="eastAsia" w:ascii="宋体" w:hAnsi="宋体" w:eastAsia="宋体" w:cs="宋体"/>
          <w:bCs w:val="0"/>
          <w:szCs w:val="24"/>
          <w:highlight w:val="none"/>
        </w:rPr>
        <w:fldChar w:fldCharType="begin"/>
      </w:r>
      <w:r>
        <w:rPr>
          <w:rFonts w:hint="eastAsia" w:ascii="宋体" w:hAnsi="宋体" w:eastAsia="宋体" w:cs="宋体"/>
          <w:bCs w:val="0"/>
          <w:szCs w:val="24"/>
          <w:highlight w:val="none"/>
        </w:rPr>
        <w:instrText xml:space="preserve"> HYPERLINK \l _Toc9126 </w:instrText>
      </w:r>
      <w:r>
        <w:rPr>
          <w:rFonts w:hint="eastAsia" w:ascii="宋体" w:hAnsi="宋体" w:eastAsia="宋体" w:cs="宋体"/>
          <w:bCs w:val="0"/>
          <w:szCs w:val="24"/>
          <w:highlight w:val="none"/>
        </w:rPr>
        <w:fldChar w:fldCharType="separate"/>
      </w:r>
      <w:r>
        <w:rPr>
          <w:rFonts w:hint="eastAsia" w:ascii="宋体" w:hAnsi="宋体" w:eastAsia="宋体" w:cs="宋体"/>
          <w:bCs/>
          <w:szCs w:val="36"/>
          <w:highlight w:val="none"/>
        </w:rPr>
        <w:t>第五章  投标文件构成及格式</w:t>
      </w:r>
      <w:r>
        <w:rPr>
          <w:highlight w:val="none"/>
        </w:rPr>
        <w:tab/>
      </w:r>
      <w:r>
        <w:rPr>
          <w:highlight w:val="none"/>
        </w:rPr>
        <w:fldChar w:fldCharType="begin"/>
      </w:r>
      <w:r>
        <w:rPr>
          <w:highlight w:val="none"/>
        </w:rPr>
        <w:instrText xml:space="preserve"> PAGEREF _Toc9126 \h </w:instrText>
      </w:r>
      <w:r>
        <w:rPr>
          <w:highlight w:val="none"/>
        </w:rPr>
        <w:fldChar w:fldCharType="separate"/>
      </w:r>
      <w:r>
        <w:rPr>
          <w:highlight w:val="none"/>
        </w:rPr>
        <w:t>161</w:t>
      </w:r>
      <w:r>
        <w:rPr>
          <w:highlight w:val="none"/>
        </w:rPr>
        <w:fldChar w:fldCharType="end"/>
      </w:r>
      <w:r>
        <w:rPr>
          <w:rFonts w:hint="eastAsia" w:ascii="宋体" w:hAnsi="宋体" w:eastAsia="宋体" w:cs="宋体"/>
          <w:bCs w:val="0"/>
          <w:szCs w:val="24"/>
          <w:highlight w:val="none"/>
        </w:rPr>
        <w:fldChar w:fldCharType="end"/>
      </w:r>
    </w:p>
    <w:p w14:paraId="080769E3">
      <w:pPr>
        <w:spacing w:line="360" w:lineRule="auto"/>
        <w:rPr>
          <w:rFonts w:hint="eastAsia" w:ascii="宋体" w:hAnsi="宋体" w:eastAsia="宋体" w:cs="宋体"/>
          <w:sz w:val="24"/>
          <w:szCs w:val="24"/>
          <w:highlight w:val="none"/>
        </w:rPr>
      </w:pPr>
      <w:r>
        <w:rPr>
          <w:rFonts w:hint="eastAsia" w:ascii="宋体" w:hAnsi="宋体" w:eastAsia="宋体" w:cs="宋体"/>
          <w:bCs w:val="0"/>
          <w:szCs w:val="24"/>
          <w:highlight w:val="none"/>
        </w:rPr>
        <w:fldChar w:fldCharType="end"/>
      </w:r>
    </w:p>
    <w:p w14:paraId="6563DE91">
      <w:pPr>
        <w:rPr>
          <w:rFonts w:hint="eastAsia" w:ascii="宋体" w:hAnsi="宋体" w:eastAsia="宋体" w:cs="宋体"/>
          <w:b/>
          <w:bCs/>
          <w:sz w:val="24"/>
          <w:szCs w:val="24"/>
          <w:highlight w:val="none"/>
          <w:lang w:eastAsia="zh-CN"/>
        </w:rPr>
        <w:sectPr>
          <w:footerReference r:id="rId5" w:type="default"/>
          <w:footerReference r:id="rId6" w:type="even"/>
          <w:pgSz w:w="11906" w:h="16838"/>
          <w:pgMar w:top="1440" w:right="1083" w:bottom="1440" w:left="1519" w:header="851" w:footer="992" w:gutter="0"/>
          <w:pgNumType w:fmt="decimal"/>
          <w:cols w:space="425" w:num="1"/>
          <w:docGrid w:type="linesAndChars" w:linePitch="420" w:charSpace="0"/>
        </w:sectPr>
      </w:pPr>
    </w:p>
    <w:p w14:paraId="2879AD3C">
      <w:pPr>
        <w:pStyle w:val="3"/>
        <w:tabs>
          <w:tab w:val="left" w:pos="4631"/>
        </w:tabs>
        <w:spacing w:line="360" w:lineRule="auto"/>
        <w:ind w:right="113"/>
        <w:jc w:val="center"/>
        <w:rPr>
          <w:rFonts w:hint="eastAsia" w:ascii="宋体" w:hAnsi="宋体" w:eastAsia="宋体" w:cs="宋体"/>
          <w:sz w:val="32"/>
          <w:szCs w:val="32"/>
          <w:highlight w:val="none"/>
          <w:lang w:eastAsia="zh-CN"/>
        </w:rPr>
      </w:pPr>
      <w:bookmarkStart w:id="11" w:name="_Toc25953"/>
      <w:r>
        <w:rPr>
          <w:rFonts w:hint="eastAsia" w:ascii="宋体" w:hAnsi="宋体" w:eastAsia="宋体" w:cs="宋体"/>
          <w:b/>
          <w:bCs/>
          <w:sz w:val="32"/>
          <w:szCs w:val="32"/>
          <w:highlight w:val="none"/>
          <w:lang w:eastAsia="zh-CN"/>
        </w:rPr>
        <w:t>第一章</w:t>
      </w:r>
      <w:r>
        <w:rPr>
          <w:rFonts w:hint="eastAsia" w:ascii="宋体" w:hAnsi="宋体" w:eastAsia="宋体" w:cs="宋体"/>
          <w:b/>
          <w:bCs/>
          <w:sz w:val="32"/>
          <w:szCs w:val="32"/>
          <w:highlight w:val="none"/>
          <w:lang w:val="en-US" w:eastAsia="zh-CN"/>
        </w:rPr>
        <w:t xml:space="preserve"> </w:t>
      </w:r>
      <w:r>
        <w:rPr>
          <w:rFonts w:hint="eastAsia" w:ascii="宋体" w:hAnsi="宋体" w:eastAsia="宋体" w:cs="宋体"/>
          <w:b/>
          <w:bCs/>
          <w:sz w:val="32"/>
          <w:szCs w:val="32"/>
          <w:highlight w:val="none"/>
          <w:lang w:eastAsia="zh-CN"/>
        </w:rPr>
        <w:t xml:space="preserve"> 招标公告</w:t>
      </w:r>
      <w:bookmarkEnd w:id="11"/>
    </w:p>
    <w:p w14:paraId="478F4B85">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12" w:lineRule="auto"/>
        <w:ind w:leftChars="0" w:right="0" w:rightChars="0" w:firstLine="0" w:firstLineChars="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项目概况</w:t>
      </w:r>
    </w:p>
    <w:p w14:paraId="5C2AF29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2025年全区学校教育教学设施设备采购项目第二批次(信息化及多媒体类部室)招标项目的潜在投标人应在全国公共资源交易平台（陕西省·西安市）网站〖首页〉电子交易平台〉陕西政府采购交易系统〉企业端〗获取招标文件，并于2025年08月6日09时00分（北京时间）前递交投标文件。</w:t>
      </w:r>
    </w:p>
    <w:p w14:paraId="5078F9B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Chars="0" w:right="0" w:rightChars="0" w:firstLine="0" w:firstLineChars="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一、项目基本情况</w:t>
      </w:r>
    </w:p>
    <w:p w14:paraId="6237CBC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项目编号：HSGJ2025-164</w:t>
      </w:r>
    </w:p>
    <w:p w14:paraId="32758C3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项目名称：2025年全区学校教育教学设施设备采购项目第二批次(信息化及多媒体类部室)</w:t>
      </w:r>
    </w:p>
    <w:p w14:paraId="387BF19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采购方式：公开招标</w:t>
      </w:r>
    </w:p>
    <w:p w14:paraId="768EE56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预算金额：11525758.00元</w:t>
      </w:r>
    </w:p>
    <w:p w14:paraId="0FB5D71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采购需求：</w:t>
      </w:r>
    </w:p>
    <w:p w14:paraId="5725F3A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合同包1(2025年全区学校教育教学设施设备采购项目第二批次(信息化及多媒体类部室)第一包):</w:t>
      </w:r>
    </w:p>
    <w:p w14:paraId="6943C64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合同包预算金额：3161654.00元</w:t>
      </w:r>
    </w:p>
    <w:p w14:paraId="73BED11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合同包最高限价：3161654.00元</w:t>
      </w:r>
    </w:p>
    <w:tbl>
      <w:tblPr>
        <w:tblStyle w:val="28"/>
        <w:tblW w:w="9975"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1049"/>
        <w:gridCol w:w="754"/>
        <w:gridCol w:w="2304"/>
        <w:gridCol w:w="1085"/>
        <w:gridCol w:w="1554"/>
        <w:gridCol w:w="1549"/>
        <w:gridCol w:w="1680"/>
      </w:tblGrid>
      <w:tr w14:paraId="2EBF2CBB">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836" w:hRule="atLeast"/>
          <w:tblHeader/>
        </w:trPr>
        <w:tc>
          <w:tcPr>
            <w:tcW w:w="1049"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DFC7FD8">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12" w:lineRule="auto"/>
              <w:ind w:left="0" w:right="0"/>
              <w:jc w:val="center"/>
              <w:textAlignment w:val="auto"/>
              <w:rPr>
                <w:rFonts w:hint="eastAsia" w:ascii="宋体" w:hAnsi="宋体" w:eastAsia="宋体" w:cs="宋体"/>
                <w:b/>
                <w:bCs/>
                <w:sz w:val="24"/>
                <w:szCs w:val="24"/>
                <w:highlight w:val="none"/>
              </w:rPr>
            </w:pPr>
            <w:r>
              <w:rPr>
                <w:rFonts w:hint="eastAsia" w:ascii="宋体" w:hAnsi="宋体" w:eastAsia="宋体" w:cs="宋体"/>
                <w:b/>
                <w:bCs/>
                <w:kern w:val="0"/>
                <w:sz w:val="24"/>
                <w:szCs w:val="24"/>
                <w:highlight w:val="none"/>
                <w:lang w:val="en-US" w:eastAsia="zh-CN" w:bidi="ar"/>
              </w:rPr>
              <w:t>品目号</w:t>
            </w:r>
          </w:p>
        </w:tc>
        <w:tc>
          <w:tcPr>
            <w:tcW w:w="754"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7980516">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12" w:lineRule="auto"/>
              <w:ind w:left="0" w:right="0"/>
              <w:jc w:val="center"/>
              <w:textAlignment w:val="auto"/>
              <w:rPr>
                <w:rFonts w:hint="eastAsia" w:ascii="宋体" w:hAnsi="宋体" w:eastAsia="宋体" w:cs="宋体"/>
                <w:b/>
                <w:bCs/>
                <w:sz w:val="24"/>
                <w:szCs w:val="24"/>
                <w:highlight w:val="none"/>
              </w:rPr>
            </w:pPr>
            <w:r>
              <w:rPr>
                <w:rFonts w:hint="eastAsia" w:ascii="宋体" w:hAnsi="宋体" w:eastAsia="宋体" w:cs="宋体"/>
                <w:b/>
                <w:bCs/>
                <w:kern w:val="0"/>
                <w:sz w:val="24"/>
                <w:szCs w:val="24"/>
                <w:highlight w:val="none"/>
                <w:lang w:val="en-US" w:eastAsia="zh-CN" w:bidi="ar"/>
              </w:rPr>
              <w:t>品目名称</w:t>
            </w:r>
          </w:p>
        </w:tc>
        <w:tc>
          <w:tcPr>
            <w:tcW w:w="2304"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07F79CF">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12" w:lineRule="auto"/>
              <w:ind w:left="0" w:right="0"/>
              <w:jc w:val="center"/>
              <w:textAlignment w:val="auto"/>
              <w:rPr>
                <w:rFonts w:hint="eastAsia" w:ascii="宋体" w:hAnsi="宋体" w:eastAsia="宋体" w:cs="宋体"/>
                <w:b/>
                <w:bCs/>
                <w:sz w:val="24"/>
                <w:szCs w:val="24"/>
                <w:highlight w:val="none"/>
              </w:rPr>
            </w:pPr>
            <w:r>
              <w:rPr>
                <w:rFonts w:hint="eastAsia" w:ascii="宋体" w:hAnsi="宋体" w:eastAsia="宋体" w:cs="宋体"/>
                <w:b/>
                <w:bCs/>
                <w:kern w:val="0"/>
                <w:sz w:val="24"/>
                <w:szCs w:val="24"/>
                <w:highlight w:val="none"/>
                <w:lang w:val="en-US" w:eastAsia="zh-CN" w:bidi="ar"/>
              </w:rPr>
              <w:t>采购标的</w:t>
            </w:r>
          </w:p>
        </w:tc>
        <w:tc>
          <w:tcPr>
            <w:tcW w:w="108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AEA41C0">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12" w:lineRule="auto"/>
              <w:ind w:left="0" w:right="0"/>
              <w:jc w:val="center"/>
              <w:textAlignment w:val="auto"/>
              <w:rPr>
                <w:rFonts w:hint="eastAsia" w:ascii="宋体" w:hAnsi="宋体" w:eastAsia="宋体" w:cs="宋体"/>
                <w:b/>
                <w:bCs/>
                <w:sz w:val="24"/>
                <w:szCs w:val="24"/>
                <w:highlight w:val="none"/>
              </w:rPr>
            </w:pPr>
            <w:r>
              <w:rPr>
                <w:rFonts w:hint="eastAsia" w:ascii="宋体" w:hAnsi="宋体" w:eastAsia="宋体" w:cs="宋体"/>
                <w:b/>
                <w:bCs/>
                <w:kern w:val="0"/>
                <w:sz w:val="24"/>
                <w:szCs w:val="24"/>
                <w:highlight w:val="none"/>
                <w:lang w:val="en-US" w:eastAsia="zh-CN" w:bidi="ar"/>
              </w:rPr>
              <w:t>数量（单位）</w:t>
            </w:r>
          </w:p>
        </w:tc>
        <w:tc>
          <w:tcPr>
            <w:tcW w:w="1554"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41AE1AC">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12" w:lineRule="auto"/>
              <w:ind w:left="0" w:right="0"/>
              <w:jc w:val="center"/>
              <w:textAlignment w:val="auto"/>
              <w:rPr>
                <w:rFonts w:hint="eastAsia" w:ascii="宋体" w:hAnsi="宋体" w:eastAsia="宋体" w:cs="宋体"/>
                <w:b/>
                <w:bCs/>
                <w:sz w:val="24"/>
                <w:szCs w:val="24"/>
                <w:highlight w:val="none"/>
              </w:rPr>
            </w:pPr>
            <w:r>
              <w:rPr>
                <w:rFonts w:hint="eastAsia" w:ascii="宋体" w:hAnsi="宋体" w:eastAsia="宋体" w:cs="宋体"/>
                <w:b/>
                <w:bCs/>
                <w:kern w:val="0"/>
                <w:sz w:val="24"/>
                <w:szCs w:val="24"/>
                <w:highlight w:val="none"/>
                <w:lang w:val="en-US" w:eastAsia="zh-CN" w:bidi="ar"/>
              </w:rPr>
              <w:t>技术规格、参数及要求</w:t>
            </w:r>
          </w:p>
        </w:tc>
        <w:tc>
          <w:tcPr>
            <w:tcW w:w="1549"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C1E053A">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12" w:lineRule="auto"/>
              <w:ind w:left="0" w:right="0"/>
              <w:jc w:val="center"/>
              <w:textAlignment w:val="auto"/>
              <w:rPr>
                <w:rFonts w:hint="eastAsia" w:ascii="宋体" w:hAnsi="宋体" w:eastAsia="宋体" w:cs="宋体"/>
                <w:b/>
                <w:bCs/>
                <w:sz w:val="24"/>
                <w:szCs w:val="24"/>
                <w:highlight w:val="none"/>
              </w:rPr>
            </w:pPr>
            <w:r>
              <w:rPr>
                <w:rFonts w:hint="eastAsia" w:ascii="宋体" w:hAnsi="宋体" w:eastAsia="宋体" w:cs="宋体"/>
                <w:b/>
                <w:bCs/>
                <w:kern w:val="0"/>
                <w:sz w:val="24"/>
                <w:szCs w:val="24"/>
                <w:highlight w:val="none"/>
                <w:lang w:val="en-US" w:eastAsia="zh-CN" w:bidi="ar"/>
              </w:rPr>
              <w:t>品目预算(元)</w:t>
            </w:r>
          </w:p>
        </w:tc>
        <w:tc>
          <w:tcPr>
            <w:tcW w:w="168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809C0F4">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12" w:lineRule="auto"/>
              <w:ind w:left="0" w:right="0"/>
              <w:jc w:val="center"/>
              <w:textAlignment w:val="auto"/>
              <w:rPr>
                <w:rFonts w:hint="eastAsia" w:ascii="宋体" w:hAnsi="宋体" w:eastAsia="宋体" w:cs="宋体"/>
                <w:b/>
                <w:bCs/>
                <w:sz w:val="24"/>
                <w:szCs w:val="24"/>
                <w:highlight w:val="none"/>
              </w:rPr>
            </w:pPr>
            <w:r>
              <w:rPr>
                <w:rFonts w:hint="eastAsia" w:ascii="宋体" w:hAnsi="宋体" w:eastAsia="宋体" w:cs="宋体"/>
                <w:b/>
                <w:bCs/>
                <w:kern w:val="0"/>
                <w:sz w:val="24"/>
                <w:szCs w:val="24"/>
                <w:highlight w:val="none"/>
                <w:lang w:val="en-US" w:eastAsia="zh-CN" w:bidi="ar"/>
              </w:rPr>
              <w:t>最高限价(元)</w:t>
            </w:r>
          </w:p>
        </w:tc>
      </w:tr>
      <w:tr w14:paraId="28A1C65D">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480" w:hRule="atLeast"/>
        </w:trPr>
        <w:tc>
          <w:tcPr>
            <w:tcW w:w="1049"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C08A338">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12" w:lineRule="auto"/>
              <w:ind w:left="0" w:right="0"/>
              <w:jc w:val="center"/>
              <w:textAlignment w:val="auto"/>
              <w:rPr>
                <w:rFonts w:hint="eastAsia" w:ascii="宋体" w:hAnsi="宋体" w:eastAsia="宋体" w:cs="宋体"/>
                <w:sz w:val="24"/>
                <w:szCs w:val="24"/>
                <w:highlight w:val="none"/>
              </w:rPr>
            </w:pPr>
            <w:r>
              <w:rPr>
                <w:rFonts w:hint="eastAsia" w:ascii="宋体" w:hAnsi="宋体" w:eastAsia="宋体" w:cs="宋体"/>
                <w:kern w:val="0"/>
                <w:sz w:val="24"/>
                <w:szCs w:val="24"/>
                <w:highlight w:val="none"/>
                <w:lang w:val="en-US" w:eastAsia="zh-CN" w:bidi="ar"/>
              </w:rPr>
              <w:t>1-1</w:t>
            </w:r>
          </w:p>
        </w:tc>
        <w:tc>
          <w:tcPr>
            <w:tcW w:w="754"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ED4F5F7">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12" w:lineRule="auto"/>
              <w:ind w:left="0" w:right="0"/>
              <w:jc w:val="center"/>
              <w:textAlignment w:val="auto"/>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其他信息化设备</w:t>
            </w:r>
          </w:p>
        </w:tc>
        <w:tc>
          <w:tcPr>
            <w:tcW w:w="2304"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F0BE636">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12" w:lineRule="auto"/>
              <w:ind w:left="0" w:right="0"/>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西安浐灞国际港教育局2025年全区学校教育教学设施设备采购项目第二批次(信息化及多媒体类部室)第一包</w:t>
            </w:r>
          </w:p>
        </w:tc>
        <w:tc>
          <w:tcPr>
            <w:tcW w:w="108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FF8FED2">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12" w:lineRule="auto"/>
              <w:ind w:left="0" w:right="0"/>
              <w:jc w:val="center"/>
              <w:textAlignment w:val="auto"/>
              <w:rPr>
                <w:rFonts w:hint="eastAsia" w:ascii="宋体" w:hAnsi="宋体" w:eastAsia="宋体" w:cs="宋体"/>
                <w:sz w:val="24"/>
                <w:szCs w:val="24"/>
                <w:highlight w:val="none"/>
              </w:rPr>
            </w:pPr>
            <w:r>
              <w:rPr>
                <w:rFonts w:hint="eastAsia" w:ascii="宋体" w:hAnsi="宋体" w:eastAsia="宋体" w:cs="宋体"/>
                <w:kern w:val="0"/>
                <w:sz w:val="24"/>
                <w:szCs w:val="24"/>
                <w:highlight w:val="none"/>
                <w:lang w:val="en-US" w:eastAsia="zh-CN" w:bidi="ar"/>
              </w:rPr>
              <w:t>1(批)</w:t>
            </w:r>
          </w:p>
        </w:tc>
        <w:tc>
          <w:tcPr>
            <w:tcW w:w="1554"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7934B19">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12" w:lineRule="auto"/>
              <w:ind w:left="0" w:right="0"/>
              <w:jc w:val="center"/>
              <w:textAlignment w:val="auto"/>
              <w:rPr>
                <w:rFonts w:hint="eastAsia" w:ascii="宋体" w:hAnsi="宋体" w:eastAsia="宋体" w:cs="宋体"/>
                <w:sz w:val="24"/>
                <w:szCs w:val="24"/>
                <w:highlight w:val="none"/>
              </w:rPr>
            </w:pPr>
            <w:r>
              <w:rPr>
                <w:rFonts w:hint="eastAsia" w:ascii="宋体" w:hAnsi="宋体" w:eastAsia="宋体" w:cs="宋体"/>
                <w:kern w:val="0"/>
                <w:sz w:val="24"/>
                <w:szCs w:val="24"/>
                <w:highlight w:val="none"/>
                <w:lang w:val="en-US" w:eastAsia="zh-CN" w:bidi="ar"/>
              </w:rPr>
              <w:t>详见采购文件</w:t>
            </w:r>
          </w:p>
        </w:tc>
        <w:tc>
          <w:tcPr>
            <w:tcW w:w="1549"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3F76F9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12" w:lineRule="auto"/>
              <w:ind w:left="0" w:right="0"/>
              <w:jc w:val="center"/>
              <w:textAlignment w:val="auto"/>
              <w:rPr>
                <w:rFonts w:hint="default" w:ascii="宋体" w:hAnsi="宋体" w:eastAsia="宋体" w:cs="宋体"/>
                <w:sz w:val="24"/>
                <w:szCs w:val="24"/>
                <w:highlight w:val="none"/>
                <w:lang w:val="en-US"/>
              </w:rPr>
            </w:pPr>
            <w:r>
              <w:rPr>
                <w:rFonts w:hint="eastAsia" w:ascii="宋体" w:hAnsi="宋体" w:eastAsia="宋体" w:cs="宋体"/>
                <w:i w:val="0"/>
                <w:iCs w:val="0"/>
                <w:caps w:val="0"/>
                <w:color w:val="auto"/>
                <w:spacing w:val="0"/>
                <w:kern w:val="0"/>
                <w:sz w:val="24"/>
                <w:szCs w:val="24"/>
                <w:highlight w:val="none"/>
                <w:u w:val="none"/>
                <w:lang w:val="en-US" w:eastAsia="zh-CN" w:bidi="ar-SA"/>
              </w:rPr>
              <w:t>3161654.00</w:t>
            </w:r>
          </w:p>
        </w:tc>
        <w:tc>
          <w:tcPr>
            <w:tcW w:w="168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77349F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12" w:lineRule="auto"/>
              <w:ind w:left="0" w:right="0"/>
              <w:jc w:val="center"/>
              <w:textAlignment w:val="auto"/>
              <w:rPr>
                <w:rFonts w:hint="eastAsia" w:ascii="宋体" w:hAnsi="宋体" w:eastAsia="宋体" w:cs="宋体"/>
                <w:sz w:val="24"/>
                <w:szCs w:val="24"/>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3161654.00</w:t>
            </w:r>
          </w:p>
        </w:tc>
      </w:tr>
    </w:tbl>
    <w:p w14:paraId="11E6DE4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本合同包不接受联合体投标</w:t>
      </w:r>
    </w:p>
    <w:p w14:paraId="6FE296D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合同履行期限：2025年8月25日前完成供货、安装、调试。</w:t>
      </w:r>
    </w:p>
    <w:p w14:paraId="4EFC345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合同包2(2025年全区学校教育教学设施设备采购项目第二批次(信息化及多媒体类部室)第二包):</w:t>
      </w:r>
    </w:p>
    <w:p w14:paraId="780D590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合同包预算金额：2382629.00元</w:t>
      </w:r>
    </w:p>
    <w:p w14:paraId="3C72C2A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合同包最高限价：2382629.00元</w:t>
      </w:r>
    </w:p>
    <w:tbl>
      <w:tblPr>
        <w:tblStyle w:val="28"/>
        <w:tblW w:w="9975"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951"/>
        <w:gridCol w:w="872"/>
        <w:gridCol w:w="2250"/>
        <w:gridCol w:w="1337"/>
        <w:gridCol w:w="1445"/>
        <w:gridCol w:w="1582"/>
        <w:gridCol w:w="1538"/>
      </w:tblGrid>
      <w:tr w14:paraId="020391F5">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728" w:hRule="atLeast"/>
          <w:tblHeader/>
        </w:trPr>
        <w:tc>
          <w:tcPr>
            <w:tcW w:w="951"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C655B14">
            <w:pPr>
              <w:keepNext w:val="0"/>
              <w:keepLines w:val="0"/>
              <w:pageBreakBefore w:val="0"/>
              <w:widowControl/>
              <w:suppressLineNumbers w:val="0"/>
              <w:kinsoku/>
              <w:wordWrap w:val="0"/>
              <w:overflowPunct/>
              <w:topLinePunct w:val="0"/>
              <w:autoSpaceDE/>
              <w:autoSpaceDN/>
              <w:bidi w:val="0"/>
              <w:adjustRightInd/>
              <w:spacing w:before="0" w:beforeAutospacing="0" w:after="0" w:afterAutospacing="0" w:line="312" w:lineRule="auto"/>
              <w:ind w:left="0" w:right="0"/>
              <w:jc w:val="center"/>
              <w:rPr>
                <w:rFonts w:hint="eastAsia" w:ascii="宋体" w:hAnsi="宋体" w:eastAsia="宋体" w:cs="宋体"/>
                <w:b/>
                <w:bCs/>
                <w:sz w:val="24"/>
                <w:szCs w:val="24"/>
                <w:highlight w:val="none"/>
              </w:rPr>
            </w:pPr>
            <w:r>
              <w:rPr>
                <w:rFonts w:hint="eastAsia" w:ascii="宋体" w:hAnsi="宋体" w:eastAsia="宋体" w:cs="宋体"/>
                <w:b/>
                <w:bCs/>
                <w:kern w:val="0"/>
                <w:sz w:val="24"/>
                <w:szCs w:val="24"/>
                <w:highlight w:val="none"/>
                <w:lang w:val="en-US" w:eastAsia="zh-CN" w:bidi="ar"/>
              </w:rPr>
              <w:t>品目号</w:t>
            </w:r>
          </w:p>
        </w:tc>
        <w:tc>
          <w:tcPr>
            <w:tcW w:w="872"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FA851AD">
            <w:pPr>
              <w:keepNext w:val="0"/>
              <w:keepLines w:val="0"/>
              <w:pageBreakBefore w:val="0"/>
              <w:widowControl/>
              <w:suppressLineNumbers w:val="0"/>
              <w:kinsoku/>
              <w:wordWrap w:val="0"/>
              <w:overflowPunct/>
              <w:topLinePunct w:val="0"/>
              <w:autoSpaceDE/>
              <w:autoSpaceDN/>
              <w:bidi w:val="0"/>
              <w:adjustRightInd/>
              <w:spacing w:before="0" w:beforeAutospacing="0" w:after="0" w:afterAutospacing="0" w:line="312" w:lineRule="auto"/>
              <w:ind w:left="0" w:right="0"/>
              <w:jc w:val="center"/>
              <w:rPr>
                <w:rFonts w:hint="eastAsia" w:ascii="宋体" w:hAnsi="宋体" w:eastAsia="宋体" w:cs="宋体"/>
                <w:b/>
                <w:bCs/>
                <w:sz w:val="24"/>
                <w:szCs w:val="24"/>
                <w:highlight w:val="none"/>
              </w:rPr>
            </w:pPr>
            <w:r>
              <w:rPr>
                <w:rFonts w:hint="eastAsia" w:ascii="宋体" w:hAnsi="宋体" w:eastAsia="宋体" w:cs="宋体"/>
                <w:b/>
                <w:bCs/>
                <w:kern w:val="0"/>
                <w:sz w:val="24"/>
                <w:szCs w:val="24"/>
                <w:highlight w:val="none"/>
                <w:lang w:val="en-US" w:eastAsia="zh-CN" w:bidi="ar"/>
              </w:rPr>
              <w:t>品目名称</w:t>
            </w:r>
          </w:p>
        </w:tc>
        <w:tc>
          <w:tcPr>
            <w:tcW w:w="225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E9762FE">
            <w:pPr>
              <w:keepNext w:val="0"/>
              <w:keepLines w:val="0"/>
              <w:pageBreakBefore w:val="0"/>
              <w:widowControl/>
              <w:suppressLineNumbers w:val="0"/>
              <w:kinsoku/>
              <w:wordWrap w:val="0"/>
              <w:overflowPunct/>
              <w:topLinePunct w:val="0"/>
              <w:autoSpaceDE/>
              <w:autoSpaceDN/>
              <w:bidi w:val="0"/>
              <w:adjustRightInd/>
              <w:spacing w:before="0" w:beforeAutospacing="0" w:after="0" w:afterAutospacing="0" w:line="312" w:lineRule="auto"/>
              <w:ind w:left="0" w:right="0"/>
              <w:jc w:val="center"/>
              <w:rPr>
                <w:rFonts w:hint="eastAsia" w:ascii="宋体" w:hAnsi="宋体" w:eastAsia="宋体" w:cs="宋体"/>
                <w:b/>
                <w:bCs/>
                <w:sz w:val="24"/>
                <w:szCs w:val="24"/>
                <w:highlight w:val="none"/>
              </w:rPr>
            </w:pPr>
            <w:r>
              <w:rPr>
                <w:rFonts w:hint="eastAsia" w:ascii="宋体" w:hAnsi="宋体" w:eastAsia="宋体" w:cs="宋体"/>
                <w:b/>
                <w:bCs/>
                <w:kern w:val="0"/>
                <w:sz w:val="24"/>
                <w:szCs w:val="24"/>
                <w:highlight w:val="none"/>
                <w:lang w:val="en-US" w:eastAsia="zh-CN" w:bidi="ar"/>
              </w:rPr>
              <w:t>采购标的</w:t>
            </w:r>
          </w:p>
        </w:tc>
        <w:tc>
          <w:tcPr>
            <w:tcW w:w="1337"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F3CFD03">
            <w:pPr>
              <w:keepNext w:val="0"/>
              <w:keepLines w:val="0"/>
              <w:pageBreakBefore w:val="0"/>
              <w:widowControl/>
              <w:suppressLineNumbers w:val="0"/>
              <w:kinsoku/>
              <w:wordWrap w:val="0"/>
              <w:overflowPunct/>
              <w:topLinePunct w:val="0"/>
              <w:autoSpaceDE/>
              <w:autoSpaceDN/>
              <w:bidi w:val="0"/>
              <w:adjustRightInd/>
              <w:spacing w:before="0" w:beforeAutospacing="0" w:after="0" w:afterAutospacing="0" w:line="312" w:lineRule="auto"/>
              <w:ind w:left="0" w:right="0"/>
              <w:jc w:val="center"/>
              <w:rPr>
                <w:rFonts w:hint="eastAsia" w:ascii="宋体" w:hAnsi="宋体" w:eastAsia="宋体" w:cs="宋体"/>
                <w:b/>
                <w:bCs/>
                <w:sz w:val="24"/>
                <w:szCs w:val="24"/>
                <w:highlight w:val="none"/>
              </w:rPr>
            </w:pPr>
            <w:r>
              <w:rPr>
                <w:rFonts w:hint="eastAsia" w:ascii="宋体" w:hAnsi="宋体" w:eastAsia="宋体" w:cs="宋体"/>
                <w:b/>
                <w:bCs/>
                <w:kern w:val="0"/>
                <w:sz w:val="24"/>
                <w:szCs w:val="24"/>
                <w:highlight w:val="none"/>
                <w:lang w:val="en-US" w:eastAsia="zh-CN" w:bidi="ar"/>
              </w:rPr>
              <w:t>数量（单位）</w:t>
            </w:r>
          </w:p>
        </w:tc>
        <w:tc>
          <w:tcPr>
            <w:tcW w:w="144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DD9F884">
            <w:pPr>
              <w:keepNext w:val="0"/>
              <w:keepLines w:val="0"/>
              <w:pageBreakBefore w:val="0"/>
              <w:widowControl/>
              <w:suppressLineNumbers w:val="0"/>
              <w:kinsoku/>
              <w:wordWrap w:val="0"/>
              <w:overflowPunct/>
              <w:topLinePunct w:val="0"/>
              <w:autoSpaceDE/>
              <w:autoSpaceDN/>
              <w:bidi w:val="0"/>
              <w:adjustRightInd/>
              <w:spacing w:before="0" w:beforeAutospacing="0" w:after="0" w:afterAutospacing="0" w:line="312" w:lineRule="auto"/>
              <w:ind w:left="0" w:right="0"/>
              <w:jc w:val="center"/>
              <w:rPr>
                <w:rFonts w:hint="eastAsia" w:ascii="宋体" w:hAnsi="宋体" w:eastAsia="宋体" w:cs="宋体"/>
                <w:b/>
                <w:bCs/>
                <w:sz w:val="24"/>
                <w:szCs w:val="24"/>
                <w:highlight w:val="none"/>
              </w:rPr>
            </w:pPr>
            <w:r>
              <w:rPr>
                <w:rFonts w:hint="eastAsia" w:ascii="宋体" w:hAnsi="宋体" w:eastAsia="宋体" w:cs="宋体"/>
                <w:b/>
                <w:bCs/>
                <w:kern w:val="0"/>
                <w:sz w:val="24"/>
                <w:szCs w:val="24"/>
                <w:highlight w:val="none"/>
                <w:lang w:val="en-US" w:eastAsia="zh-CN" w:bidi="ar"/>
              </w:rPr>
              <w:t>技术规格、参数及要求</w:t>
            </w:r>
          </w:p>
        </w:tc>
        <w:tc>
          <w:tcPr>
            <w:tcW w:w="1582"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FE9BD19">
            <w:pPr>
              <w:keepNext w:val="0"/>
              <w:keepLines w:val="0"/>
              <w:pageBreakBefore w:val="0"/>
              <w:widowControl/>
              <w:suppressLineNumbers w:val="0"/>
              <w:kinsoku/>
              <w:wordWrap w:val="0"/>
              <w:overflowPunct/>
              <w:topLinePunct w:val="0"/>
              <w:autoSpaceDE/>
              <w:autoSpaceDN/>
              <w:bidi w:val="0"/>
              <w:adjustRightInd/>
              <w:spacing w:before="0" w:beforeAutospacing="0" w:after="0" w:afterAutospacing="0" w:line="312" w:lineRule="auto"/>
              <w:ind w:left="0" w:right="0"/>
              <w:jc w:val="center"/>
              <w:rPr>
                <w:rFonts w:hint="eastAsia" w:ascii="宋体" w:hAnsi="宋体" w:eastAsia="宋体" w:cs="宋体"/>
                <w:b/>
                <w:bCs/>
                <w:sz w:val="24"/>
                <w:szCs w:val="24"/>
                <w:highlight w:val="none"/>
              </w:rPr>
            </w:pPr>
            <w:r>
              <w:rPr>
                <w:rFonts w:hint="eastAsia" w:ascii="宋体" w:hAnsi="宋体" w:eastAsia="宋体" w:cs="宋体"/>
                <w:b/>
                <w:bCs/>
                <w:kern w:val="0"/>
                <w:sz w:val="24"/>
                <w:szCs w:val="24"/>
                <w:highlight w:val="none"/>
                <w:lang w:val="en-US" w:eastAsia="zh-CN" w:bidi="ar"/>
              </w:rPr>
              <w:t>品目预算(元)</w:t>
            </w:r>
          </w:p>
        </w:tc>
        <w:tc>
          <w:tcPr>
            <w:tcW w:w="153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EA236B2">
            <w:pPr>
              <w:keepNext w:val="0"/>
              <w:keepLines w:val="0"/>
              <w:pageBreakBefore w:val="0"/>
              <w:widowControl/>
              <w:suppressLineNumbers w:val="0"/>
              <w:kinsoku/>
              <w:wordWrap w:val="0"/>
              <w:overflowPunct/>
              <w:topLinePunct w:val="0"/>
              <w:autoSpaceDE/>
              <w:autoSpaceDN/>
              <w:bidi w:val="0"/>
              <w:adjustRightInd/>
              <w:spacing w:before="0" w:beforeAutospacing="0" w:after="0" w:afterAutospacing="0" w:line="312" w:lineRule="auto"/>
              <w:ind w:left="0" w:right="0"/>
              <w:jc w:val="center"/>
              <w:rPr>
                <w:rFonts w:hint="eastAsia" w:ascii="宋体" w:hAnsi="宋体" w:eastAsia="宋体" w:cs="宋体"/>
                <w:b/>
                <w:bCs/>
                <w:sz w:val="24"/>
                <w:szCs w:val="24"/>
                <w:highlight w:val="none"/>
              </w:rPr>
            </w:pPr>
            <w:r>
              <w:rPr>
                <w:rFonts w:hint="eastAsia" w:ascii="宋体" w:hAnsi="宋体" w:eastAsia="宋体" w:cs="宋体"/>
                <w:b/>
                <w:bCs/>
                <w:kern w:val="0"/>
                <w:sz w:val="24"/>
                <w:szCs w:val="24"/>
                <w:highlight w:val="none"/>
                <w:lang w:val="en-US" w:eastAsia="zh-CN" w:bidi="ar"/>
              </w:rPr>
              <w:t>最高限价(元)</w:t>
            </w:r>
          </w:p>
        </w:tc>
      </w:tr>
      <w:tr w14:paraId="31BA60EA">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480" w:hRule="atLeast"/>
        </w:trPr>
        <w:tc>
          <w:tcPr>
            <w:tcW w:w="951"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0299E17">
            <w:pPr>
              <w:keepNext w:val="0"/>
              <w:keepLines w:val="0"/>
              <w:pageBreakBefore w:val="0"/>
              <w:widowControl/>
              <w:suppressLineNumbers w:val="0"/>
              <w:kinsoku/>
              <w:wordWrap w:val="0"/>
              <w:overflowPunct/>
              <w:topLinePunct w:val="0"/>
              <w:autoSpaceDE/>
              <w:autoSpaceDN/>
              <w:bidi w:val="0"/>
              <w:adjustRightInd/>
              <w:spacing w:before="0" w:beforeAutospacing="0" w:after="0" w:afterAutospacing="0" w:line="312" w:lineRule="auto"/>
              <w:ind w:left="0" w:right="0"/>
              <w:jc w:val="center"/>
              <w:rPr>
                <w:rFonts w:hint="eastAsia" w:ascii="宋体" w:hAnsi="宋体" w:eastAsia="宋体" w:cs="宋体"/>
                <w:sz w:val="24"/>
                <w:szCs w:val="24"/>
                <w:highlight w:val="none"/>
              </w:rPr>
            </w:pPr>
            <w:r>
              <w:rPr>
                <w:rFonts w:hint="eastAsia" w:ascii="宋体" w:hAnsi="宋体" w:eastAsia="宋体" w:cs="宋体"/>
                <w:kern w:val="0"/>
                <w:sz w:val="24"/>
                <w:szCs w:val="24"/>
                <w:highlight w:val="none"/>
                <w:lang w:val="en-US" w:eastAsia="zh-CN" w:bidi="ar"/>
              </w:rPr>
              <w:t>2-1</w:t>
            </w:r>
          </w:p>
        </w:tc>
        <w:tc>
          <w:tcPr>
            <w:tcW w:w="872"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77FD08C">
            <w:pPr>
              <w:keepNext w:val="0"/>
              <w:keepLines w:val="0"/>
              <w:pageBreakBefore w:val="0"/>
              <w:widowControl/>
              <w:suppressLineNumbers w:val="0"/>
              <w:kinsoku/>
              <w:wordWrap w:val="0"/>
              <w:overflowPunct/>
              <w:topLinePunct w:val="0"/>
              <w:autoSpaceDE/>
              <w:autoSpaceDN/>
              <w:bidi w:val="0"/>
              <w:adjustRightInd/>
              <w:spacing w:before="0" w:beforeAutospacing="0" w:after="0" w:afterAutospacing="0" w:line="312" w:lineRule="auto"/>
              <w:ind w:left="0" w:right="0"/>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其他信息化设备</w:t>
            </w:r>
          </w:p>
        </w:tc>
        <w:tc>
          <w:tcPr>
            <w:tcW w:w="225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785669B">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12" w:lineRule="auto"/>
              <w:ind w:left="0" w:right="0"/>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西安浐灞国际港教育局2025年全区学校教育教学设施设备采购项目第二批次(信息化及多媒体类部室)第二包</w:t>
            </w:r>
          </w:p>
        </w:tc>
        <w:tc>
          <w:tcPr>
            <w:tcW w:w="1337"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E79458A">
            <w:pPr>
              <w:keepNext w:val="0"/>
              <w:keepLines w:val="0"/>
              <w:pageBreakBefore w:val="0"/>
              <w:widowControl/>
              <w:suppressLineNumbers w:val="0"/>
              <w:kinsoku/>
              <w:wordWrap w:val="0"/>
              <w:overflowPunct/>
              <w:topLinePunct w:val="0"/>
              <w:autoSpaceDE/>
              <w:autoSpaceDN/>
              <w:bidi w:val="0"/>
              <w:adjustRightInd/>
              <w:spacing w:before="0" w:beforeAutospacing="0" w:after="0" w:afterAutospacing="0" w:line="312" w:lineRule="auto"/>
              <w:ind w:left="0" w:right="0"/>
              <w:jc w:val="center"/>
              <w:rPr>
                <w:rFonts w:hint="eastAsia" w:ascii="宋体" w:hAnsi="宋体" w:eastAsia="宋体" w:cs="宋体"/>
                <w:sz w:val="24"/>
                <w:szCs w:val="24"/>
                <w:highlight w:val="none"/>
              </w:rPr>
            </w:pPr>
            <w:r>
              <w:rPr>
                <w:rFonts w:hint="eastAsia" w:ascii="宋体" w:hAnsi="宋体" w:eastAsia="宋体" w:cs="宋体"/>
                <w:kern w:val="0"/>
                <w:sz w:val="24"/>
                <w:szCs w:val="24"/>
                <w:highlight w:val="none"/>
                <w:lang w:val="en-US" w:eastAsia="zh-CN" w:bidi="ar"/>
              </w:rPr>
              <w:t>1(批)</w:t>
            </w:r>
          </w:p>
        </w:tc>
        <w:tc>
          <w:tcPr>
            <w:tcW w:w="144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86732ED">
            <w:pPr>
              <w:keepNext w:val="0"/>
              <w:keepLines w:val="0"/>
              <w:pageBreakBefore w:val="0"/>
              <w:widowControl/>
              <w:suppressLineNumbers w:val="0"/>
              <w:kinsoku/>
              <w:wordWrap w:val="0"/>
              <w:overflowPunct/>
              <w:topLinePunct w:val="0"/>
              <w:autoSpaceDE/>
              <w:autoSpaceDN/>
              <w:bidi w:val="0"/>
              <w:adjustRightInd/>
              <w:spacing w:before="0" w:beforeAutospacing="0" w:after="0" w:afterAutospacing="0" w:line="312" w:lineRule="auto"/>
              <w:ind w:left="0" w:right="0"/>
              <w:jc w:val="center"/>
              <w:rPr>
                <w:rFonts w:hint="eastAsia" w:ascii="宋体" w:hAnsi="宋体" w:eastAsia="宋体" w:cs="宋体"/>
                <w:sz w:val="24"/>
                <w:szCs w:val="24"/>
                <w:highlight w:val="none"/>
              </w:rPr>
            </w:pPr>
            <w:r>
              <w:rPr>
                <w:rFonts w:hint="eastAsia" w:ascii="宋体" w:hAnsi="宋体" w:eastAsia="宋体" w:cs="宋体"/>
                <w:kern w:val="0"/>
                <w:sz w:val="24"/>
                <w:szCs w:val="24"/>
                <w:highlight w:val="none"/>
                <w:lang w:val="en-US" w:eastAsia="zh-CN" w:bidi="ar"/>
              </w:rPr>
              <w:t>详见采购文件</w:t>
            </w:r>
          </w:p>
        </w:tc>
        <w:tc>
          <w:tcPr>
            <w:tcW w:w="1582"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4D98D4D">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312" w:lineRule="auto"/>
              <w:ind w:left="0" w:right="0"/>
              <w:jc w:val="right"/>
              <w:rPr>
                <w:rFonts w:hint="eastAsia" w:ascii="宋体" w:hAnsi="宋体" w:eastAsia="宋体" w:cs="宋体"/>
                <w:sz w:val="24"/>
                <w:szCs w:val="24"/>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2382629.00</w:t>
            </w:r>
          </w:p>
        </w:tc>
        <w:tc>
          <w:tcPr>
            <w:tcW w:w="153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1DBB478">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312" w:lineRule="auto"/>
              <w:ind w:left="0" w:right="0"/>
              <w:jc w:val="right"/>
              <w:rPr>
                <w:rFonts w:hint="eastAsia" w:ascii="宋体" w:hAnsi="宋体" w:eastAsia="宋体" w:cs="宋体"/>
                <w:sz w:val="24"/>
                <w:szCs w:val="24"/>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2382629.00</w:t>
            </w:r>
          </w:p>
        </w:tc>
      </w:tr>
    </w:tbl>
    <w:p w14:paraId="7767490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本合同包不接受联合体投标</w:t>
      </w:r>
    </w:p>
    <w:p w14:paraId="3F9CC09F">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合同履行期限：2025年8月25日前完成供货、安装、调试。</w:t>
      </w:r>
    </w:p>
    <w:p w14:paraId="5E27490E">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合同包3(2025年全区学校教育教学设施设备采购项目第二批次(信息化及多媒体类部室)第三包):</w:t>
      </w:r>
    </w:p>
    <w:p w14:paraId="2277435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合同包预算金额：1642331.00元</w:t>
      </w:r>
    </w:p>
    <w:p w14:paraId="73218DDF">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合同包最高限价：1642331.00元</w:t>
      </w:r>
    </w:p>
    <w:tbl>
      <w:tblPr>
        <w:tblStyle w:val="28"/>
        <w:tblW w:w="9975"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910"/>
        <w:gridCol w:w="913"/>
        <w:gridCol w:w="2448"/>
        <w:gridCol w:w="1180"/>
        <w:gridCol w:w="1500"/>
        <w:gridCol w:w="1343"/>
        <w:gridCol w:w="1681"/>
      </w:tblGrid>
      <w:tr w14:paraId="71EBB1E4">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1061" w:hRule="atLeast"/>
          <w:tblHeader/>
        </w:trPr>
        <w:tc>
          <w:tcPr>
            <w:tcW w:w="91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62C7BEF">
            <w:pPr>
              <w:keepNext w:val="0"/>
              <w:keepLines w:val="0"/>
              <w:pageBreakBefore w:val="0"/>
              <w:widowControl/>
              <w:suppressLineNumbers w:val="0"/>
              <w:kinsoku/>
              <w:wordWrap w:val="0"/>
              <w:overflowPunct/>
              <w:topLinePunct w:val="0"/>
              <w:autoSpaceDE/>
              <w:autoSpaceDN/>
              <w:bidi w:val="0"/>
              <w:adjustRightInd/>
              <w:spacing w:before="0" w:beforeAutospacing="0" w:after="0" w:afterAutospacing="0" w:line="312" w:lineRule="auto"/>
              <w:ind w:left="0" w:right="0"/>
              <w:jc w:val="center"/>
              <w:rPr>
                <w:rFonts w:hint="eastAsia" w:ascii="宋体" w:hAnsi="宋体" w:eastAsia="宋体" w:cs="宋体"/>
                <w:b/>
                <w:bCs/>
                <w:sz w:val="24"/>
                <w:szCs w:val="24"/>
                <w:highlight w:val="none"/>
              </w:rPr>
            </w:pPr>
            <w:r>
              <w:rPr>
                <w:rFonts w:hint="eastAsia" w:ascii="宋体" w:hAnsi="宋体" w:eastAsia="宋体" w:cs="宋体"/>
                <w:b/>
                <w:bCs/>
                <w:kern w:val="0"/>
                <w:sz w:val="24"/>
                <w:szCs w:val="24"/>
                <w:highlight w:val="none"/>
                <w:lang w:val="en-US" w:eastAsia="zh-CN" w:bidi="ar"/>
              </w:rPr>
              <w:t>品目号</w:t>
            </w:r>
          </w:p>
        </w:tc>
        <w:tc>
          <w:tcPr>
            <w:tcW w:w="91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1F0EF58">
            <w:pPr>
              <w:keepNext w:val="0"/>
              <w:keepLines w:val="0"/>
              <w:pageBreakBefore w:val="0"/>
              <w:widowControl/>
              <w:suppressLineNumbers w:val="0"/>
              <w:kinsoku/>
              <w:wordWrap w:val="0"/>
              <w:overflowPunct/>
              <w:topLinePunct w:val="0"/>
              <w:autoSpaceDE/>
              <w:autoSpaceDN/>
              <w:bidi w:val="0"/>
              <w:adjustRightInd/>
              <w:spacing w:before="0" w:beforeAutospacing="0" w:after="0" w:afterAutospacing="0" w:line="312" w:lineRule="auto"/>
              <w:ind w:left="0" w:right="0"/>
              <w:jc w:val="center"/>
              <w:rPr>
                <w:rFonts w:hint="eastAsia" w:ascii="宋体" w:hAnsi="宋体" w:eastAsia="宋体" w:cs="宋体"/>
                <w:b/>
                <w:bCs/>
                <w:sz w:val="24"/>
                <w:szCs w:val="24"/>
                <w:highlight w:val="none"/>
              </w:rPr>
            </w:pPr>
            <w:r>
              <w:rPr>
                <w:rFonts w:hint="eastAsia" w:ascii="宋体" w:hAnsi="宋体" w:eastAsia="宋体" w:cs="宋体"/>
                <w:b/>
                <w:bCs/>
                <w:kern w:val="0"/>
                <w:sz w:val="24"/>
                <w:szCs w:val="24"/>
                <w:highlight w:val="none"/>
                <w:lang w:val="en-US" w:eastAsia="zh-CN" w:bidi="ar"/>
              </w:rPr>
              <w:t>品目名称</w:t>
            </w:r>
          </w:p>
        </w:tc>
        <w:tc>
          <w:tcPr>
            <w:tcW w:w="244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D59CCF7">
            <w:pPr>
              <w:keepNext w:val="0"/>
              <w:keepLines w:val="0"/>
              <w:pageBreakBefore w:val="0"/>
              <w:widowControl/>
              <w:suppressLineNumbers w:val="0"/>
              <w:kinsoku/>
              <w:wordWrap w:val="0"/>
              <w:overflowPunct/>
              <w:topLinePunct w:val="0"/>
              <w:autoSpaceDE/>
              <w:autoSpaceDN/>
              <w:bidi w:val="0"/>
              <w:adjustRightInd/>
              <w:spacing w:before="0" w:beforeAutospacing="0" w:after="0" w:afterAutospacing="0" w:line="312" w:lineRule="auto"/>
              <w:ind w:left="0" w:right="0"/>
              <w:jc w:val="center"/>
              <w:rPr>
                <w:rFonts w:hint="eastAsia" w:ascii="宋体" w:hAnsi="宋体" w:eastAsia="宋体" w:cs="宋体"/>
                <w:b/>
                <w:bCs/>
                <w:sz w:val="24"/>
                <w:szCs w:val="24"/>
                <w:highlight w:val="none"/>
              </w:rPr>
            </w:pPr>
            <w:r>
              <w:rPr>
                <w:rFonts w:hint="eastAsia" w:ascii="宋体" w:hAnsi="宋体" w:eastAsia="宋体" w:cs="宋体"/>
                <w:b/>
                <w:bCs/>
                <w:kern w:val="0"/>
                <w:sz w:val="24"/>
                <w:szCs w:val="24"/>
                <w:highlight w:val="none"/>
                <w:lang w:val="en-US" w:eastAsia="zh-CN" w:bidi="ar"/>
              </w:rPr>
              <w:t>采购标的</w:t>
            </w:r>
          </w:p>
        </w:tc>
        <w:tc>
          <w:tcPr>
            <w:tcW w:w="118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2F17796">
            <w:pPr>
              <w:keepNext w:val="0"/>
              <w:keepLines w:val="0"/>
              <w:pageBreakBefore w:val="0"/>
              <w:widowControl/>
              <w:suppressLineNumbers w:val="0"/>
              <w:kinsoku/>
              <w:wordWrap w:val="0"/>
              <w:overflowPunct/>
              <w:topLinePunct w:val="0"/>
              <w:autoSpaceDE/>
              <w:autoSpaceDN/>
              <w:bidi w:val="0"/>
              <w:adjustRightInd/>
              <w:spacing w:before="0" w:beforeAutospacing="0" w:after="0" w:afterAutospacing="0" w:line="312" w:lineRule="auto"/>
              <w:ind w:left="0" w:right="0"/>
              <w:jc w:val="center"/>
              <w:rPr>
                <w:rFonts w:hint="eastAsia" w:ascii="宋体" w:hAnsi="宋体" w:eastAsia="宋体" w:cs="宋体"/>
                <w:b/>
                <w:bCs/>
                <w:sz w:val="24"/>
                <w:szCs w:val="24"/>
                <w:highlight w:val="none"/>
              </w:rPr>
            </w:pPr>
            <w:r>
              <w:rPr>
                <w:rFonts w:hint="eastAsia" w:ascii="宋体" w:hAnsi="宋体" w:eastAsia="宋体" w:cs="宋体"/>
                <w:b/>
                <w:bCs/>
                <w:kern w:val="0"/>
                <w:sz w:val="24"/>
                <w:szCs w:val="24"/>
                <w:highlight w:val="none"/>
                <w:lang w:val="en-US" w:eastAsia="zh-CN" w:bidi="ar"/>
              </w:rPr>
              <w:t>数量（单位）</w:t>
            </w:r>
          </w:p>
        </w:tc>
        <w:tc>
          <w:tcPr>
            <w:tcW w:w="150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0D643B9">
            <w:pPr>
              <w:keepNext w:val="0"/>
              <w:keepLines w:val="0"/>
              <w:pageBreakBefore w:val="0"/>
              <w:widowControl/>
              <w:suppressLineNumbers w:val="0"/>
              <w:kinsoku/>
              <w:wordWrap w:val="0"/>
              <w:overflowPunct/>
              <w:topLinePunct w:val="0"/>
              <w:autoSpaceDE/>
              <w:autoSpaceDN/>
              <w:bidi w:val="0"/>
              <w:adjustRightInd/>
              <w:spacing w:before="0" w:beforeAutospacing="0" w:after="0" w:afterAutospacing="0" w:line="312" w:lineRule="auto"/>
              <w:ind w:left="0" w:right="0"/>
              <w:jc w:val="center"/>
              <w:rPr>
                <w:rFonts w:hint="eastAsia" w:ascii="宋体" w:hAnsi="宋体" w:eastAsia="宋体" w:cs="宋体"/>
                <w:b/>
                <w:bCs/>
                <w:sz w:val="24"/>
                <w:szCs w:val="24"/>
                <w:highlight w:val="none"/>
              </w:rPr>
            </w:pPr>
            <w:r>
              <w:rPr>
                <w:rFonts w:hint="eastAsia" w:ascii="宋体" w:hAnsi="宋体" w:eastAsia="宋体" w:cs="宋体"/>
                <w:b/>
                <w:bCs/>
                <w:kern w:val="0"/>
                <w:sz w:val="24"/>
                <w:szCs w:val="24"/>
                <w:highlight w:val="none"/>
                <w:lang w:val="en-US" w:eastAsia="zh-CN" w:bidi="ar"/>
              </w:rPr>
              <w:t>技术规格、参数及要求</w:t>
            </w:r>
          </w:p>
        </w:tc>
        <w:tc>
          <w:tcPr>
            <w:tcW w:w="134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3C392C7">
            <w:pPr>
              <w:keepNext w:val="0"/>
              <w:keepLines w:val="0"/>
              <w:pageBreakBefore w:val="0"/>
              <w:widowControl/>
              <w:suppressLineNumbers w:val="0"/>
              <w:kinsoku/>
              <w:wordWrap w:val="0"/>
              <w:overflowPunct/>
              <w:topLinePunct w:val="0"/>
              <w:autoSpaceDE/>
              <w:autoSpaceDN/>
              <w:bidi w:val="0"/>
              <w:adjustRightInd/>
              <w:spacing w:before="0" w:beforeAutospacing="0" w:after="0" w:afterAutospacing="0" w:line="312" w:lineRule="auto"/>
              <w:ind w:left="0" w:right="0"/>
              <w:jc w:val="center"/>
              <w:rPr>
                <w:rFonts w:hint="eastAsia" w:ascii="宋体" w:hAnsi="宋体" w:eastAsia="宋体" w:cs="宋体"/>
                <w:b/>
                <w:bCs/>
                <w:sz w:val="24"/>
                <w:szCs w:val="24"/>
                <w:highlight w:val="none"/>
              </w:rPr>
            </w:pPr>
            <w:r>
              <w:rPr>
                <w:rFonts w:hint="eastAsia" w:ascii="宋体" w:hAnsi="宋体" w:eastAsia="宋体" w:cs="宋体"/>
                <w:b/>
                <w:bCs/>
                <w:kern w:val="0"/>
                <w:sz w:val="24"/>
                <w:szCs w:val="24"/>
                <w:highlight w:val="none"/>
                <w:lang w:val="en-US" w:eastAsia="zh-CN" w:bidi="ar"/>
              </w:rPr>
              <w:t>品目预算(元)</w:t>
            </w:r>
          </w:p>
        </w:tc>
        <w:tc>
          <w:tcPr>
            <w:tcW w:w="1681"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E4E7CE0">
            <w:pPr>
              <w:keepNext w:val="0"/>
              <w:keepLines w:val="0"/>
              <w:pageBreakBefore w:val="0"/>
              <w:widowControl/>
              <w:suppressLineNumbers w:val="0"/>
              <w:kinsoku/>
              <w:wordWrap w:val="0"/>
              <w:overflowPunct/>
              <w:topLinePunct w:val="0"/>
              <w:autoSpaceDE/>
              <w:autoSpaceDN/>
              <w:bidi w:val="0"/>
              <w:adjustRightInd/>
              <w:spacing w:before="0" w:beforeAutospacing="0" w:after="0" w:afterAutospacing="0" w:line="312" w:lineRule="auto"/>
              <w:ind w:left="0" w:right="0"/>
              <w:jc w:val="center"/>
              <w:rPr>
                <w:rFonts w:hint="eastAsia" w:ascii="宋体" w:hAnsi="宋体" w:eastAsia="宋体" w:cs="宋体"/>
                <w:b/>
                <w:bCs/>
                <w:sz w:val="24"/>
                <w:szCs w:val="24"/>
                <w:highlight w:val="none"/>
              </w:rPr>
            </w:pPr>
            <w:r>
              <w:rPr>
                <w:rFonts w:hint="eastAsia" w:ascii="宋体" w:hAnsi="宋体" w:eastAsia="宋体" w:cs="宋体"/>
                <w:b/>
                <w:bCs/>
                <w:kern w:val="0"/>
                <w:sz w:val="24"/>
                <w:szCs w:val="24"/>
                <w:highlight w:val="none"/>
                <w:lang w:val="en-US" w:eastAsia="zh-CN" w:bidi="ar"/>
              </w:rPr>
              <w:t>最高限价(元)</w:t>
            </w:r>
          </w:p>
        </w:tc>
      </w:tr>
      <w:tr w14:paraId="7F0E5610">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480" w:hRule="atLeast"/>
        </w:trPr>
        <w:tc>
          <w:tcPr>
            <w:tcW w:w="91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BC2A273">
            <w:pPr>
              <w:keepNext w:val="0"/>
              <w:keepLines w:val="0"/>
              <w:pageBreakBefore w:val="0"/>
              <w:widowControl/>
              <w:suppressLineNumbers w:val="0"/>
              <w:kinsoku/>
              <w:wordWrap w:val="0"/>
              <w:overflowPunct/>
              <w:topLinePunct w:val="0"/>
              <w:autoSpaceDE/>
              <w:autoSpaceDN/>
              <w:bidi w:val="0"/>
              <w:adjustRightInd/>
              <w:spacing w:before="0" w:beforeAutospacing="0" w:after="0" w:afterAutospacing="0" w:line="312" w:lineRule="auto"/>
              <w:ind w:left="0" w:right="0"/>
              <w:jc w:val="center"/>
              <w:rPr>
                <w:rFonts w:hint="eastAsia" w:ascii="宋体" w:hAnsi="宋体" w:eastAsia="宋体" w:cs="宋体"/>
                <w:sz w:val="24"/>
                <w:szCs w:val="24"/>
                <w:highlight w:val="none"/>
              </w:rPr>
            </w:pPr>
            <w:r>
              <w:rPr>
                <w:rFonts w:hint="eastAsia" w:ascii="宋体" w:hAnsi="宋体" w:eastAsia="宋体" w:cs="宋体"/>
                <w:kern w:val="0"/>
                <w:sz w:val="24"/>
                <w:szCs w:val="24"/>
                <w:highlight w:val="none"/>
                <w:lang w:val="en-US" w:eastAsia="zh-CN" w:bidi="ar"/>
              </w:rPr>
              <w:t>3-1</w:t>
            </w:r>
          </w:p>
        </w:tc>
        <w:tc>
          <w:tcPr>
            <w:tcW w:w="91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9440A66">
            <w:pPr>
              <w:keepNext w:val="0"/>
              <w:keepLines w:val="0"/>
              <w:pageBreakBefore w:val="0"/>
              <w:widowControl/>
              <w:suppressLineNumbers w:val="0"/>
              <w:kinsoku/>
              <w:wordWrap w:val="0"/>
              <w:overflowPunct/>
              <w:topLinePunct w:val="0"/>
              <w:autoSpaceDE/>
              <w:autoSpaceDN/>
              <w:bidi w:val="0"/>
              <w:adjustRightInd/>
              <w:spacing w:before="0" w:beforeAutospacing="0" w:after="0" w:afterAutospacing="0" w:line="312" w:lineRule="auto"/>
              <w:ind w:left="0" w:right="0"/>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其他信息化设备</w:t>
            </w:r>
          </w:p>
        </w:tc>
        <w:tc>
          <w:tcPr>
            <w:tcW w:w="244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5E99E63">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12" w:lineRule="auto"/>
              <w:ind w:left="0" w:right="0"/>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西安浐灞国际港教育局2025年全区学校教育教学设施设备采购项目第二批次(信息化及多媒体类部室)第三包</w:t>
            </w:r>
          </w:p>
        </w:tc>
        <w:tc>
          <w:tcPr>
            <w:tcW w:w="118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8888572">
            <w:pPr>
              <w:keepNext w:val="0"/>
              <w:keepLines w:val="0"/>
              <w:pageBreakBefore w:val="0"/>
              <w:widowControl/>
              <w:suppressLineNumbers w:val="0"/>
              <w:kinsoku/>
              <w:wordWrap w:val="0"/>
              <w:overflowPunct/>
              <w:topLinePunct w:val="0"/>
              <w:autoSpaceDE/>
              <w:autoSpaceDN/>
              <w:bidi w:val="0"/>
              <w:adjustRightInd/>
              <w:spacing w:before="0" w:beforeAutospacing="0" w:after="0" w:afterAutospacing="0" w:line="312" w:lineRule="auto"/>
              <w:ind w:left="0" w:right="0"/>
              <w:jc w:val="center"/>
              <w:rPr>
                <w:rFonts w:hint="eastAsia" w:ascii="宋体" w:hAnsi="宋体" w:eastAsia="宋体" w:cs="宋体"/>
                <w:sz w:val="24"/>
                <w:szCs w:val="24"/>
                <w:highlight w:val="none"/>
              </w:rPr>
            </w:pPr>
            <w:r>
              <w:rPr>
                <w:rFonts w:hint="eastAsia" w:ascii="宋体" w:hAnsi="宋体" w:eastAsia="宋体" w:cs="宋体"/>
                <w:kern w:val="0"/>
                <w:sz w:val="24"/>
                <w:szCs w:val="24"/>
                <w:highlight w:val="none"/>
                <w:lang w:val="en-US" w:eastAsia="zh-CN" w:bidi="ar"/>
              </w:rPr>
              <w:t>1(批)</w:t>
            </w:r>
          </w:p>
        </w:tc>
        <w:tc>
          <w:tcPr>
            <w:tcW w:w="150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1799F8F">
            <w:pPr>
              <w:keepNext w:val="0"/>
              <w:keepLines w:val="0"/>
              <w:pageBreakBefore w:val="0"/>
              <w:widowControl/>
              <w:suppressLineNumbers w:val="0"/>
              <w:kinsoku/>
              <w:wordWrap w:val="0"/>
              <w:overflowPunct/>
              <w:topLinePunct w:val="0"/>
              <w:autoSpaceDE/>
              <w:autoSpaceDN/>
              <w:bidi w:val="0"/>
              <w:adjustRightInd/>
              <w:spacing w:before="0" w:beforeAutospacing="0" w:after="0" w:afterAutospacing="0" w:line="312" w:lineRule="auto"/>
              <w:ind w:left="0" w:right="0"/>
              <w:jc w:val="center"/>
              <w:rPr>
                <w:rFonts w:hint="eastAsia" w:ascii="宋体" w:hAnsi="宋体" w:eastAsia="宋体" w:cs="宋体"/>
                <w:sz w:val="24"/>
                <w:szCs w:val="24"/>
                <w:highlight w:val="none"/>
              </w:rPr>
            </w:pPr>
            <w:r>
              <w:rPr>
                <w:rFonts w:hint="eastAsia" w:ascii="宋体" w:hAnsi="宋体" w:eastAsia="宋体" w:cs="宋体"/>
                <w:kern w:val="0"/>
                <w:sz w:val="24"/>
                <w:szCs w:val="24"/>
                <w:highlight w:val="none"/>
                <w:lang w:val="en-US" w:eastAsia="zh-CN" w:bidi="ar"/>
              </w:rPr>
              <w:t>详见采购文件</w:t>
            </w:r>
          </w:p>
        </w:tc>
        <w:tc>
          <w:tcPr>
            <w:tcW w:w="134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DDC4129">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312" w:lineRule="auto"/>
              <w:ind w:left="0" w:right="0"/>
              <w:jc w:val="right"/>
              <w:rPr>
                <w:rFonts w:hint="eastAsia" w:ascii="宋体" w:hAnsi="宋体" w:eastAsia="宋体" w:cs="宋体"/>
                <w:sz w:val="24"/>
                <w:szCs w:val="24"/>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1642331.00</w:t>
            </w:r>
          </w:p>
        </w:tc>
        <w:tc>
          <w:tcPr>
            <w:tcW w:w="1681"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566BD1D">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312" w:lineRule="auto"/>
              <w:ind w:left="0" w:right="0"/>
              <w:jc w:val="right"/>
              <w:rPr>
                <w:rFonts w:hint="eastAsia" w:ascii="宋体" w:hAnsi="宋体" w:eastAsia="宋体" w:cs="宋体"/>
                <w:sz w:val="24"/>
                <w:szCs w:val="24"/>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1642331.00</w:t>
            </w:r>
          </w:p>
        </w:tc>
      </w:tr>
    </w:tbl>
    <w:p w14:paraId="7929C4C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本合同包不接受联合体投标</w:t>
      </w:r>
    </w:p>
    <w:p w14:paraId="67F03ED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合同履行期限：2025年8月25日前完成供货、安装、调试。</w:t>
      </w:r>
    </w:p>
    <w:p w14:paraId="7532A02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合同包4(2025年全区学校教育教学设施设备采购项目第二批次(信息化及多媒体类部室)第四包):</w:t>
      </w:r>
    </w:p>
    <w:p w14:paraId="584792E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合同包预算金额：4339144.00元</w:t>
      </w:r>
    </w:p>
    <w:p w14:paraId="2754A67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合同包最高限价：4339144.00元</w:t>
      </w:r>
    </w:p>
    <w:tbl>
      <w:tblPr>
        <w:tblStyle w:val="28"/>
        <w:tblW w:w="9975"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1034"/>
        <w:gridCol w:w="878"/>
        <w:gridCol w:w="2250"/>
        <w:gridCol w:w="1152"/>
        <w:gridCol w:w="1500"/>
        <w:gridCol w:w="1480"/>
        <w:gridCol w:w="1681"/>
      </w:tblGrid>
      <w:tr w14:paraId="7C3E39B1">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728" w:hRule="atLeast"/>
          <w:tblHeader/>
        </w:trPr>
        <w:tc>
          <w:tcPr>
            <w:tcW w:w="1034"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9E30694">
            <w:pPr>
              <w:keepNext w:val="0"/>
              <w:keepLines w:val="0"/>
              <w:pageBreakBefore w:val="0"/>
              <w:widowControl/>
              <w:suppressLineNumbers w:val="0"/>
              <w:kinsoku/>
              <w:wordWrap w:val="0"/>
              <w:overflowPunct/>
              <w:topLinePunct w:val="0"/>
              <w:autoSpaceDE/>
              <w:autoSpaceDN/>
              <w:bidi w:val="0"/>
              <w:adjustRightInd/>
              <w:spacing w:before="0" w:beforeAutospacing="0" w:after="0" w:afterAutospacing="0" w:line="312" w:lineRule="auto"/>
              <w:ind w:left="0" w:right="0"/>
              <w:jc w:val="center"/>
              <w:rPr>
                <w:rFonts w:hint="eastAsia" w:ascii="宋体" w:hAnsi="宋体" w:eastAsia="宋体" w:cs="宋体"/>
                <w:b/>
                <w:bCs/>
                <w:sz w:val="24"/>
                <w:szCs w:val="24"/>
                <w:highlight w:val="none"/>
              </w:rPr>
            </w:pPr>
            <w:r>
              <w:rPr>
                <w:rFonts w:hint="eastAsia" w:ascii="宋体" w:hAnsi="宋体" w:eastAsia="宋体" w:cs="宋体"/>
                <w:b/>
                <w:bCs/>
                <w:kern w:val="0"/>
                <w:sz w:val="24"/>
                <w:szCs w:val="24"/>
                <w:highlight w:val="none"/>
                <w:lang w:val="en-US" w:eastAsia="zh-CN" w:bidi="ar"/>
              </w:rPr>
              <w:t>品目号</w:t>
            </w:r>
          </w:p>
        </w:tc>
        <w:tc>
          <w:tcPr>
            <w:tcW w:w="87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64EA491">
            <w:pPr>
              <w:keepNext w:val="0"/>
              <w:keepLines w:val="0"/>
              <w:pageBreakBefore w:val="0"/>
              <w:widowControl/>
              <w:suppressLineNumbers w:val="0"/>
              <w:kinsoku/>
              <w:wordWrap w:val="0"/>
              <w:overflowPunct/>
              <w:topLinePunct w:val="0"/>
              <w:autoSpaceDE/>
              <w:autoSpaceDN/>
              <w:bidi w:val="0"/>
              <w:adjustRightInd/>
              <w:spacing w:before="0" w:beforeAutospacing="0" w:after="0" w:afterAutospacing="0" w:line="312" w:lineRule="auto"/>
              <w:ind w:left="0" w:right="0"/>
              <w:jc w:val="center"/>
              <w:rPr>
                <w:rFonts w:hint="eastAsia" w:ascii="宋体" w:hAnsi="宋体" w:eastAsia="宋体" w:cs="宋体"/>
                <w:b/>
                <w:bCs/>
                <w:sz w:val="24"/>
                <w:szCs w:val="24"/>
                <w:highlight w:val="none"/>
              </w:rPr>
            </w:pPr>
            <w:r>
              <w:rPr>
                <w:rFonts w:hint="eastAsia" w:ascii="宋体" w:hAnsi="宋体" w:eastAsia="宋体" w:cs="宋体"/>
                <w:b/>
                <w:bCs/>
                <w:kern w:val="0"/>
                <w:sz w:val="24"/>
                <w:szCs w:val="24"/>
                <w:highlight w:val="none"/>
                <w:lang w:val="en-US" w:eastAsia="zh-CN" w:bidi="ar"/>
              </w:rPr>
              <w:t>品目名称</w:t>
            </w:r>
          </w:p>
        </w:tc>
        <w:tc>
          <w:tcPr>
            <w:tcW w:w="225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A5F52A9">
            <w:pPr>
              <w:keepNext w:val="0"/>
              <w:keepLines w:val="0"/>
              <w:pageBreakBefore w:val="0"/>
              <w:widowControl/>
              <w:suppressLineNumbers w:val="0"/>
              <w:kinsoku/>
              <w:wordWrap w:val="0"/>
              <w:overflowPunct/>
              <w:topLinePunct w:val="0"/>
              <w:autoSpaceDE/>
              <w:autoSpaceDN/>
              <w:bidi w:val="0"/>
              <w:adjustRightInd/>
              <w:spacing w:before="0" w:beforeAutospacing="0" w:after="0" w:afterAutospacing="0" w:line="312" w:lineRule="auto"/>
              <w:ind w:left="0" w:right="0"/>
              <w:jc w:val="center"/>
              <w:rPr>
                <w:rFonts w:hint="eastAsia" w:ascii="宋体" w:hAnsi="宋体" w:eastAsia="宋体" w:cs="宋体"/>
                <w:b/>
                <w:bCs/>
                <w:sz w:val="24"/>
                <w:szCs w:val="24"/>
                <w:highlight w:val="none"/>
              </w:rPr>
            </w:pPr>
            <w:r>
              <w:rPr>
                <w:rFonts w:hint="eastAsia" w:ascii="宋体" w:hAnsi="宋体" w:eastAsia="宋体" w:cs="宋体"/>
                <w:b/>
                <w:bCs/>
                <w:kern w:val="0"/>
                <w:sz w:val="24"/>
                <w:szCs w:val="24"/>
                <w:highlight w:val="none"/>
                <w:lang w:val="en-US" w:eastAsia="zh-CN" w:bidi="ar"/>
              </w:rPr>
              <w:t>采购标的</w:t>
            </w:r>
          </w:p>
        </w:tc>
        <w:tc>
          <w:tcPr>
            <w:tcW w:w="1152"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ED53887">
            <w:pPr>
              <w:keepNext w:val="0"/>
              <w:keepLines w:val="0"/>
              <w:pageBreakBefore w:val="0"/>
              <w:widowControl/>
              <w:suppressLineNumbers w:val="0"/>
              <w:kinsoku/>
              <w:wordWrap w:val="0"/>
              <w:overflowPunct/>
              <w:topLinePunct w:val="0"/>
              <w:autoSpaceDE/>
              <w:autoSpaceDN/>
              <w:bidi w:val="0"/>
              <w:adjustRightInd/>
              <w:spacing w:before="0" w:beforeAutospacing="0" w:after="0" w:afterAutospacing="0" w:line="312" w:lineRule="auto"/>
              <w:ind w:left="0" w:right="0"/>
              <w:jc w:val="center"/>
              <w:rPr>
                <w:rFonts w:hint="eastAsia" w:ascii="宋体" w:hAnsi="宋体" w:eastAsia="宋体" w:cs="宋体"/>
                <w:b/>
                <w:bCs/>
                <w:sz w:val="24"/>
                <w:szCs w:val="24"/>
                <w:highlight w:val="none"/>
              </w:rPr>
            </w:pPr>
            <w:r>
              <w:rPr>
                <w:rFonts w:hint="eastAsia" w:ascii="宋体" w:hAnsi="宋体" w:eastAsia="宋体" w:cs="宋体"/>
                <w:b/>
                <w:bCs/>
                <w:kern w:val="0"/>
                <w:sz w:val="24"/>
                <w:szCs w:val="24"/>
                <w:highlight w:val="none"/>
                <w:lang w:val="en-US" w:eastAsia="zh-CN" w:bidi="ar"/>
              </w:rPr>
              <w:t>数量（单位）</w:t>
            </w:r>
          </w:p>
        </w:tc>
        <w:tc>
          <w:tcPr>
            <w:tcW w:w="150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1E8160F">
            <w:pPr>
              <w:keepNext w:val="0"/>
              <w:keepLines w:val="0"/>
              <w:pageBreakBefore w:val="0"/>
              <w:widowControl/>
              <w:suppressLineNumbers w:val="0"/>
              <w:kinsoku/>
              <w:wordWrap w:val="0"/>
              <w:overflowPunct/>
              <w:topLinePunct w:val="0"/>
              <w:autoSpaceDE/>
              <w:autoSpaceDN/>
              <w:bidi w:val="0"/>
              <w:adjustRightInd/>
              <w:spacing w:before="0" w:beforeAutospacing="0" w:after="0" w:afterAutospacing="0" w:line="312" w:lineRule="auto"/>
              <w:ind w:left="0" w:right="0"/>
              <w:jc w:val="center"/>
              <w:rPr>
                <w:rFonts w:hint="eastAsia" w:ascii="宋体" w:hAnsi="宋体" w:eastAsia="宋体" w:cs="宋体"/>
                <w:b/>
                <w:bCs/>
                <w:sz w:val="24"/>
                <w:szCs w:val="24"/>
                <w:highlight w:val="none"/>
              </w:rPr>
            </w:pPr>
            <w:r>
              <w:rPr>
                <w:rFonts w:hint="eastAsia" w:ascii="宋体" w:hAnsi="宋体" w:eastAsia="宋体" w:cs="宋体"/>
                <w:b/>
                <w:bCs/>
                <w:kern w:val="0"/>
                <w:sz w:val="24"/>
                <w:szCs w:val="24"/>
                <w:highlight w:val="none"/>
                <w:lang w:val="en-US" w:eastAsia="zh-CN" w:bidi="ar"/>
              </w:rPr>
              <w:t>技术规格、参数及要求</w:t>
            </w:r>
          </w:p>
        </w:tc>
        <w:tc>
          <w:tcPr>
            <w:tcW w:w="148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166A11E">
            <w:pPr>
              <w:keepNext w:val="0"/>
              <w:keepLines w:val="0"/>
              <w:pageBreakBefore w:val="0"/>
              <w:widowControl/>
              <w:suppressLineNumbers w:val="0"/>
              <w:kinsoku/>
              <w:wordWrap w:val="0"/>
              <w:overflowPunct/>
              <w:topLinePunct w:val="0"/>
              <w:autoSpaceDE/>
              <w:autoSpaceDN/>
              <w:bidi w:val="0"/>
              <w:adjustRightInd/>
              <w:spacing w:before="0" w:beforeAutospacing="0" w:after="0" w:afterAutospacing="0" w:line="312" w:lineRule="auto"/>
              <w:ind w:left="0" w:right="0"/>
              <w:jc w:val="center"/>
              <w:rPr>
                <w:rFonts w:hint="eastAsia" w:ascii="宋体" w:hAnsi="宋体" w:eastAsia="宋体" w:cs="宋体"/>
                <w:b/>
                <w:bCs/>
                <w:sz w:val="24"/>
                <w:szCs w:val="24"/>
                <w:highlight w:val="none"/>
              </w:rPr>
            </w:pPr>
            <w:r>
              <w:rPr>
                <w:rFonts w:hint="eastAsia" w:ascii="宋体" w:hAnsi="宋体" w:eastAsia="宋体" w:cs="宋体"/>
                <w:b/>
                <w:bCs/>
                <w:kern w:val="0"/>
                <w:sz w:val="24"/>
                <w:szCs w:val="24"/>
                <w:highlight w:val="none"/>
                <w:lang w:val="en-US" w:eastAsia="zh-CN" w:bidi="ar"/>
              </w:rPr>
              <w:t>品目预算(元)</w:t>
            </w:r>
          </w:p>
        </w:tc>
        <w:tc>
          <w:tcPr>
            <w:tcW w:w="1681"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015AC5A">
            <w:pPr>
              <w:keepNext w:val="0"/>
              <w:keepLines w:val="0"/>
              <w:pageBreakBefore w:val="0"/>
              <w:widowControl/>
              <w:suppressLineNumbers w:val="0"/>
              <w:kinsoku/>
              <w:wordWrap w:val="0"/>
              <w:overflowPunct/>
              <w:topLinePunct w:val="0"/>
              <w:autoSpaceDE/>
              <w:autoSpaceDN/>
              <w:bidi w:val="0"/>
              <w:adjustRightInd/>
              <w:spacing w:before="0" w:beforeAutospacing="0" w:after="0" w:afterAutospacing="0" w:line="312" w:lineRule="auto"/>
              <w:ind w:left="0" w:right="0"/>
              <w:jc w:val="center"/>
              <w:rPr>
                <w:rFonts w:hint="eastAsia" w:ascii="宋体" w:hAnsi="宋体" w:eastAsia="宋体" w:cs="宋体"/>
                <w:b/>
                <w:bCs/>
                <w:sz w:val="24"/>
                <w:szCs w:val="24"/>
                <w:highlight w:val="none"/>
              </w:rPr>
            </w:pPr>
            <w:r>
              <w:rPr>
                <w:rFonts w:hint="eastAsia" w:ascii="宋体" w:hAnsi="宋体" w:eastAsia="宋体" w:cs="宋体"/>
                <w:b/>
                <w:bCs/>
                <w:kern w:val="0"/>
                <w:sz w:val="24"/>
                <w:szCs w:val="24"/>
                <w:highlight w:val="none"/>
                <w:lang w:val="en-US" w:eastAsia="zh-CN" w:bidi="ar"/>
              </w:rPr>
              <w:t>最高限价(元)</w:t>
            </w:r>
          </w:p>
        </w:tc>
      </w:tr>
      <w:tr w14:paraId="01175C73">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480" w:hRule="atLeast"/>
        </w:trPr>
        <w:tc>
          <w:tcPr>
            <w:tcW w:w="1034"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34786A7">
            <w:pPr>
              <w:keepNext w:val="0"/>
              <w:keepLines w:val="0"/>
              <w:pageBreakBefore w:val="0"/>
              <w:widowControl/>
              <w:suppressLineNumbers w:val="0"/>
              <w:kinsoku/>
              <w:wordWrap w:val="0"/>
              <w:overflowPunct/>
              <w:topLinePunct w:val="0"/>
              <w:autoSpaceDE/>
              <w:autoSpaceDN/>
              <w:bidi w:val="0"/>
              <w:adjustRightInd/>
              <w:spacing w:before="0" w:beforeAutospacing="0" w:after="0" w:afterAutospacing="0" w:line="312" w:lineRule="auto"/>
              <w:ind w:left="0" w:right="0"/>
              <w:jc w:val="center"/>
              <w:rPr>
                <w:rFonts w:hint="eastAsia" w:ascii="宋体" w:hAnsi="宋体" w:eastAsia="宋体" w:cs="宋体"/>
                <w:sz w:val="24"/>
                <w:szCs w:val="24"/>
                <w:highlight w:val="none"/>
              </w:rPr>
            </w:pPr>
            <w:r>
              <w:rPr>
                <w:rFonts w:hint="eastAsia" w:ascii="宋体" w:hAnsi="宋体" w:eastAsia="宋体" w:cs="宋体"/>
                <w:kern w:val="0"/>
                <w:sz w:val="24"/>
                <w:szCs w:val="24"/>
                <w:highlight w:val="none"/>
                <w:lang w:val="en-US" w:eastAsia="zh-CN" w:bidi="ar"/>
              </w:rPr>
              <w:t>4-1</w:t>
            </w:r>
          </w:p>
        </w:tc>
        <w:tc>
          <w:tcPr>
            <w:tcW w:w="87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0808E2C">
            <w:pPr>
              <w:keepNext w:val="0"/>
              <w:keepLines w:val="0"/>
              <w:pageBreakBefore w:val="0"/>
              <w:widowControl/>
              <w:suppressLineNumbers w:val="0"/>
              <w:kinsoku/>
              <w:wordWrap w:val="0"/>
              <w:overflowPunct/>
              <w:topLinePunct w:val="0"/>
              <w:autoSpaceDE/>
              <w:autoSpaceDN/>
              <w:bidi w:val="0"/>
              <w:adjustRightInd/>
              <w:spacing w:before="0" w:beforeAutospacing="0" w:after="0" w:afterAutospacing="0" w:line="312" w:lineRule="auto"/>
              <w:ind w:left="0" w:right="0"/>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其他信息化设备</w:t>
            </w:r>
          </w:p>
        </w:tc>
        <w:tc>
          <w:tcPr>
            <w:tcW w:w="225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07327DD">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12" w:lineRule="auto"/>
              <w:ind w:left="0" w:right="0"/>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西安浐灞国际港教育局2025年全区学校教育教学设施设备采购项目第二批次(信息化及多媒体类部室)第四包</w:t>
            </w:r>
          </w:p>
        </w:tc>
        <w:tc>
          <w:tcPr>
            <w:tcW w:w="1152"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8AA2F0D">
            <w:pPr>
              <w:keepNext w:val="0"/>
              <w:keepLines w:val="0"/>
              <w:pageBreakBefore w:val="0"/>
              <w:widowControl/>
              <w:suppressLineNumbers w:val="0"/>
              <w:kinsoku/>
              <w:wordWrap w:val="0"/>
              <w:overflowPunct/>
              <w:topLinePunct w:val="0"/>
              <w:autoSpaceDE/>
              <w:autoSpaceDN/>
              <w:bidi w:val="0"/>
              <w:adjustRightInd/>
              <w:spacing w:before="0" w:beforeAutospacing="0" w:after="0" w:afterAutospacing="0" w:line="312" w:lineRule="auto"/>
              <w:ind w:left="0" w:right="0"/>
              <w:jc w:val="center"/>
              <w:rPr>
                <w:rFonts w:hint="eastAsia" w:ascii="宋体" w:hAnsi="宋体" w:eastAsia="宋体" w:cs="宋体"/>
                <w:sz w:val="24"/>
                <w:szCs w:val="24"/>
                <w:highlight w:val="none"/>
              </w:rPr>
            </w:pPr>
            <w:r>
              <w:rPr>
                <w:rFonts w:hint="eastAsia" w:ascii="宋体" w:hAnsi="宋体" w:eastAsia="宋体" w:cs="宋体"/>
                <w:kern w:val="0"/>
                <w:sz w:val="24"/>
                <w:szCs w:val="24"/>
                <w:highlight w:val="none"/>
                <w:lang w:val="en-US" w:eastAsia="zh-CN" w:bidi="ar"/>
              </w:rPr>
              <w:t>1(批)</w:t>
            </w:r>
          </w:p>
        </w:tc>
        <w:tc>
          <w:tcPr>
            <w:tcW w:w="150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6E28310">
            <w:pPr>
              <w:keepNext w:val="0"/>
              <w:keepLines w:val="0"/>
              <w:pageBreakBefore w:val="0"/>
              <w:widowControl/>
              <w:suppressLineNumbers w:val="0"/>
              <w:kinsoku/>
              <w:wordWrap w:val="0"/>
              <w:overflowPunct/>
              <w:topLinePunct w:val="0"/>
              <w:autoSpaceDE/>
              <w:autoSpaceDN/>
              <w:bidi w:val="0"/>
              <w:adjustRightInd/>
              <w:spacing w:before="0" w:beforeAutospacing="0" w:after="0" w:afterAutospacing="0" w:line="312" w:lineRule="auto"/>
              <w:ind w:left="0" w:right="0"/>
              <w:jc w:val="center"/>
              <w:rPr>
                <w:rFonts w:hint="eastAsia" w:ascii="宋体" w:hAnsi="宋体" w:eastAsia="宋体" w:cs="宋体"/>
                <w:sz w:val="24"/>
                <w:szCs w:val="24"/>
                <w:highlight w:val="none"/>
              </w:rPr>
            </w:pPr>
            <w:r>
              <w:rPr>
                <w:rFonts w:hint="eastAsia" w:ascii="宋体" w:hAnsi="宋体" w:eastAsia="宋体" w:cs="宋体"/>
                <w:kern w:val="0"/>
                <w:sz w:val="24"/>
                <w:szCs w:val="24"/>
                <w:highlight w:val="none"/>
                <w:lang w:val="en-US" w:eastAsia="zh-CN" w:bidi="ar"/>
              </w:rPr>
              <w:t>详见采购文件</w:t>
            </w:r>
          </w:p>
        </w:tc>
        <w:tc>
          <w:tcPr>
            <w:tcW w:w="148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53CF2A9">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312" w:lineRule="auto"/>
              <w:ind w:left="0" w:right="0"/>
              <w:jc w:val="right"/>
              <w:rPr>
                <w:rFonts w:hint="eastAsia" w:ascii="宋体" w:hAnsi="宋体" w:eastAsia="宋体" w:cs="宋体"/>
                <w:sz w:val="24"/>
                <w:szCs w:val="24"/>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4339144.00</w:t>
            </w:r>
          </w:p>
        </w:tc>
        <w:tc>
          <w:tcPr>
            <w:tcW w:w="1681"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5C6A8CD">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312" w:lineRule="auto"/>
              <w:ind w:left="0" w:right="0"/>
              <w:jc w:val="right"/>
              <w:rPr>
                <w:rFonts w:hint="eastAsia" w:ascii="宋体" w:hAnsi="宋体" w:eastAsia="宋体" w:cs="宋体"/>
                <w:sz w:val="24"/>
                <w:szCs w:val="24"/>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4339144.00</w:t>
            </w:r>
          </w:p>
        </w:tc>
      </w:tr>
    </w:tbl>
    <w:p w14:paraId="5D7AD90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本合同包不接受联合体投标</w:t>
      </w:r>
    </w:p>
    <w:p w14:paraId="51BC223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highlight w:val="none"/>
          <w:lang w:val="en-US" w:eastAsia="zh-CN"/>
        </w:rPr>
      </w:pPr>
      <w:r>
        <w:rPr>
          <w:rFonts w:hint="eastAsia" w:ascii="宋体" w:hAnsi="宋体" w:eastAsia="宋体" w:cs="宋体"/>
          <w:i w:val="0"/>
          <w:iCs w:val="0"/>
          <w:caps w:val="0"/>
          <w:color w:val="auto"/>
          <w:spacing w:val="0"/>
          <w:kern w:val="0"/>
          <w:sz w:val="24"/>
          <w:szCs w:val="24"/>
          <w:highlight w:val="none"/>
          <w:u w:val="none"/>
          <w:lang w:val="en-US" w:eastAsia="zh-CN" w:bidi="ar-SA"/>
        </w:rPr>
        <w:t>合同履行期限：2025年8月25日前完成供货、安装、调试。</w:t>
      </w:r>
    </w:p>
    <w:p w14:paraId="678880A6">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12" w:lineRule="auto"/>
        <w:ind w:leftChars="0" w:right="0" w:rightChars="0" w:firstLine="0" w:firstLineChars="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二、申请人的资格要求：</w:t>
      </w:r>
    </w:p>
    <w:p w14:paraId="2D992C8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1.满足《中华人民共和国政府采购法》第二十二条规定；</w:t>
      </w:r>
    </w:p>
    <w:p w14:paraId="25A4FFF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2.落实政府采购政策需满足的资格要求：</w:t>
      </w:r>
    </w:p>
    <w:p w14:paraId="3DC9188E">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合同包1(2025年全区学校教育教学设施设备采购项目第二批次(信息化及多媒体类部室)第一包)落实政府采购政策需满足的资格要求如下:</w:t>
      </w:r>
    </w:p>
    <w:p w14:paraId="58C0CDA5">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lang w:val="en-US" w:eastAsia="zh-CN" w:bidi="ar-SA"/>
        </w:rPr>
        <w:t>（1）</w:t>
      </w:r>
      <w:r>
        <w:rPr>
          <w:rFonts w:hint="eastAsia" w:ascii="宋体" w:hAnsi="宋体" w:eastAsia="宋体" w:cs="宋体"/>
          <w:i w:val="0"/>
          <w:iCs w:val="0"/>
          <w:caps w:val="0"/>
          <w:color w:val="auto"/>
          <w:spacing w:val="0"/>
          <w:kern w:val="0"/>
          <w:sz w:val="24"/>
          <w:szCs w:val="24"/>
          <w:highlight w:val="none"/>
          <w:u w:val="none"/>
          <w:lang w:val="en-US" w:eastAsia="zh-CN" w:bidi="ar-SA"/>
        </w:rPr>
        <w:t>《政府采购促进中小企业发展管理办法》（财库﹝2020﹞46号）；</w:t>
      </w:r>
    </w:p>
    <w:p w14:paraId="1740F02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（2）《财政部司法部关于政府采购支持监狱企业发展有关问题的通知》（财库〔2014〕68号）；</w:t>
      </w:r>
    </w:p>
    <w:p w14:paraId="0C284EC5">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（3）《国务院办公厅关于建立政府强制采购节能产品制度的通知》（国办发〔2007〕51号）；</w:t>
      </w:r>
    </w:p>
    <w:p w14:paraId="645FDDF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（4）《三部门联合发布关于促进残疾人就业政府采购政策的通知》（财库〔2017〕141号）；</w:t>
      </w:r>
    </w:p>
    <w:p w14:paraId="60B1B7A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（5）《财政部发展改革委生态环境部市场监管总局关于调整优化节能产品、环境标志产品政府采购执行机制的通知》（财库〔2019〕9号）；</w:t>
      </w:r>
    </w:p>
    <w:p w14:paraId="53E6D48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（6）《关于印发环境标志产品政府采购品目清单的通知》（财库〔2019〕18号）；</w:t>
      </w:r>
    </w:p>
    <w:p w14:paraId="5AEE803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（7）《关于运用政府采购政策支持乡村产业振兴的通知》财库〔2021〕19号；</w:t>
      </w:r>
    </w:p>
    <w:p w14:paraId="0E9871D6">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（8）《陕西省中小企业政府采购信用融资办法》（陕财办采〔2018〕23号）；</w:t>
      </w:r>
    </w:p>
    <w:p w14:paraId="205930F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（9）《陕西省财政厅关于进一步加强政府绿色采购有关问题的通知》（陕财办采〔2021〕29号）；</w:t>
      </w:r>
    </w:p>
    <w:p w14:paraId="39A23A0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（10）如有最新颁布的政府采购政策，按最新的文件执行。</w:t>
      </w:r>
    </w:p>
    <w:p w14:paraId="37A2695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合同包2(2025年全区学校教育教学设施设备采购项目第二批次(信息化及多媒体类部室)第二包)落实政府采购政策需满足的资格要求如下:</w:t>
      </w:r>
    </w:p>
    <w:p w14:paraId="152E9D2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lang w:val="en-US" w:eastAsia="zh-CN" w:bidi="ar-SA"/>
        </w:rPr>
        <w:t>（1）</w:t>
      </w:r>
      <w:r>
        <w:rPr>
          <w:rFonts w:hint="eastAsia" w:ascii="宋体" w:hAnsi="宋体" w:eastAsia="宋体" w:cs="宋体"/>
          <w:i w:val="0"/>
          <w:iCs w:val="0"/>
          <w:caps w:val="0"/>
          <w:color w:val="auto"/>
          <w:spacing w:val="0"/>
          <w:kern w:val="0"/>
          <w:sz w:val="24"/>
          <w:szCs w:val="24"/>
          <w:highlight w:val="none"/>
          <w:u w:val="none"/>
          <w:lang w:val="en-US" w:eastAsia="zh-CN" w:bidi="ar-SA"/>
        </w:rPr>
        <w:t>《政府采购促进中小企业发展管理办法》（财库﹝2020﹞46号）；</w:t>
      </w:r>
    </w:p>
    <w:p w14:paraId="407D073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（2）《财政部司法部关于政府采购支持监狱企业发展有关问题的通知》（财库〔2014〕68号）；</w:t>
      </w:r>
    </w:p>
    <w:p w14:paraId="4ADF3B9F">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（3）《国务院办公厅关于建立政府强制采购节能产品制度的通知》（国办发〔2007〕51号）；</w:t>
      </w:r>
    </w:p>
    <w:p w14:paraId="5F61540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（4）《三部门联合发布关于促进残疾人就业政府采购政策的通知》（财库〔2017〕141号）；</w:t>
      </w:r>
    </w:p>
    <w:p w14:paraId="152198A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（5）《财政部发展改革委生态环境部市场监管总局关于调整优化节能产品、环境标志产品政府采购执行机制的通知》（财库〔2019〕9号）；</w:t>
      </w:r>
    </w:p>
    <w:p w14:paraId="4B67894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（6）《关于印发环境标志产品政府采购品目清单的通知》（财库〔2019〕18号）；</w:t>
      </w:r>
    </w:p>
    <w:p w14:paraId="2BB3D67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（7）《关于运用政府采购政策支持乡村产业振兴的通知》财库〔2021〕19号；</w:t>
      </w:r>
    </w:p>
    <w:p w14:paraId="71298CB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（8）《陕西省中小企业政府采购信用融资办法》（陕财办采〔2018〕23号）；</w:t>
      </w:r>
    </w:p>
    <w:p w14:paraId="0CAFD10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（9）《陕西省财政厅关于进一步加强政府绿色采购有关问题的通知》（陕财办采〔2021〕29号）；</w:t>
      </w:r>
    </w:p>
    <w:p w14:paraId="7381A556">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（10）如有最新颁布的政府采购政策，按最新的文件执行。</w:t>
      </w:r>
    </w:p>
    <w:p w14:paraId="3954BC3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合同包3(2025年全区学校教育教学设施设备采购项目第二批次(信息化及多媒体类部室)第三包)落实政府采购政策需满足的资格要求如下:</w:t>
      </w:r>
    </w:p>
    <w:p w14:paraId="701374B2">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lang w:val="en-US" w:eastAsia="zh-CN" w:bidi="ar-SA"/>
        </w:rPr>
        <w:t>（1）</w:t>
      </w:r>
      <w:r>
        <w:rPr>
          <w:rFonts w:hint="eastAsia" w:ascii="宋体" w:hAnsi="宋体" w:eastAsia="宋体" w:cs="宋体"/>
          <w:i w:val="0"/>
          <w:iCs w:val="0"/>
          <w:caps w:val="0"/>
          <w:color w:val="auto"/>
          <w:spacing w:val="0"/>
          <w:kern w:val="0"/>
          <w:sz w:val="24"/>
          <w:szCs w:val="24"/>
          <w:highlight w:val="none"/>
          <w:u w:val="none"/>
          <w:lang w:val="en-US" w:eastAsia="zh-CN" w:bidi="ar-SA"/>
        </w:rPr>
        <w:t>《政府采购促进中小企业发展管理办法》（财库﹝2020﹞46号）；</w:t>
      </w:r>
    </w:p>
    <w:p w14:paraId="4B100B9F">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（2）《财政部司法部关于政府采购支持监狱企业发展有关问题的通知》（财库〔2014〕68号）；</w:t>
      </w:r>
    </w:p>
    <w:p w14:paraId="33205E0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（3）《国务院办公厅关于建立政府强制采购节能产品制度的通知》（国办发〔2007〕51号）；</w:t>
      </w:r>
    </w:p>
    <w:p w14:paraId="339D577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（4）《三部门联合发布关于促进残疾人就业政府采购政策的通知》（财库〔2017〕141号）；</w:t>
      </w:r>
    </w:p>
    <w:p w14:paraId="30ABA92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（5）《财政部发展改革委生态环境部市场监管总局关于调整优化节能产品、环境标志产品政府采购执行机制的通知》（财库〔2019〕9号）；</w:t>
      </w:r>
    </w:p>
    <w:p w14:paraId="4682EB7F">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（6）《关于印发环境标志产品政府采购品目清单的通知》（财库〔2019〕18号）；</w:t>
      </w:r>
    </w:p>
    <w:p w14:paraId="5BC90E8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（7）《关于运用政府采购政策支持乡村产业振兴的通知》财库〔2021〕19号；</w:t>
      </w:r>
    </w:p>
    <w:p w14:paraId="6D6542C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（8）《陕西省中小企业政府采购信用融资办法》（陕财办采〔2018〕23号）；</w:t>
      </w:r>
    </w:p>
    <w:p w14:paraId="0E8DCF52">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（9）《陕西省财政厅关于进一步加强政府绿色采购有关问题的通知》（陕财办采〔2021〕29号）；</w:t>
      </w:r>
    </w:p>
    <w:p w14:paraId="42F0D4E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（10）如有最新颁布的政府采购政策，按最新的文件执行。</w:t>
      </w:r>
    </w:p>
    <w:p w14:paraId="1ECA1E8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合同包4(2025年全区学校教育教学设施设备采购项目第二批次(信息化及多媒体类部室)第四包)落实政府采购政策需满足的资格要求如下:</w:t>
      </w:r>
    </w:p>
    <w:p w14:paraId="178416F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lang w:val="en-US" w:eastAsia="zh-CN" w:bidi="ar-SA"/>
        </w:rPr>
        <w:t>（1）</w:t>
      </w:r>
      <w:r>
        <w:rPr>
          <w:rFonts w:hint="eastAsia" w:ascii="宋体" w:hAnsi="宋体" w:eastAsia="宋体" w:cs="宋体"/>
          <w:i w:val="0"/>
          <w:iCs w:val="0"/>
          <w:caps w:val="0"/>
          <w:color w:val="auto"/>
          <w:spacing w:val="0"/>
          <w:kern w:val="0"/>
          <w:sz w:val="24"/>
          <w:szCs w:val="24"/>
          <w:highlight w:val="none"/>
          <w:u w:val="none"/>
          <w:lang w:val="en-US" w:eastAsia="zh-CN" w:bidi="ar-SA"/>
        </w:rPr>
        <w:t>《政府采购促进中小企业发展管理办法》（财库﹝2020﹞46号）；</w:t>
      </w:r>
    </w:p>
    <w:p w14:paraId="789AF20E">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（2）《财政部司法部关于政府采购支持监狱企业发展有关问题的通知》（财库〔2014〕68号）；</w:t>
      </w:r>
    </w:p>
    <w:p w14:paraId="306AA71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（3）《国务院办公厅关于建立政府强制采购节能产品制度的通知》（国办发〔2007〕51号）；</w:t>
      </w:r>
    </w:p>
    <w:p w14:paraId="3C0540E6">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（4）《三部门联合发布关于促进残疾人就业政府采购政策的通知》（财库〔2017〕141号）；</w:t>
      </w:r>
    </w:p>
    <w:p w14:paraId="6415951F">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（5）《财政部发展改革委生态环境部市场监管总局关于调整优化节能产品、环境标志产品政府采购执行机制的通知》（财库〔2019〕9号）；</w:t>
      </w:r>
    </w:p>
    <w:p w14:paraId="0152EAB2">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（6）《关于印发环境标志产品政府采购品目清单的通知》（财库〔2019〕18号）；</w:t>
      </w:r>
    </w:p>
    <w:p w14:paraId="65AD18B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（7）《关于运用政府采购政策支持乡村产业振兴的通知》财库〔2021〕19号；</w:t>
      </w:r>
    </w:p>
    <w:p w14:paraId="3032EB8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（8）《陕西省中小企业政府采购信用融资办法》（陕财办采〔2018〕23号）；</w:t>
      </w:r>
    </w:p>
    <w:p w14:paraId="22B4AB9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（9）《陕西省财政厅关于进一步加强政府绿色采购有关问题的通知》（陕财办采〔2021〕29号）；</w:t>
      </w:r>
    </w:p>
    <w:p w14:paraId="26F5D346">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（10）如有最新颁布的政府采购政策，按最新的文件执行。</w:t>
      </w:r>
    </w:p>
    <w:p w14:paraId="4D458142">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3.本项目的特定资格要求：</w:t>
      </w:r>
    </w:p>
    <w:p w14:paraId="6A7E25B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合同包1(2025年全区学校教育教学设施设备采购项目第二批次(信息化及多媒体类部室)第一包)特定资格要求如下:</w:t>
      </w:r>
    </w:p>
    <w:p w14:paraId="42DE617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1）有效的主体资格证明：提供合格有效的法人或者其他组织的营业执照等证明文件或自然人的身份证明；</w:t>
      </w:r>
    </w:p>
    <w:p w14:paraId="6D7C9DC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2）基本资格条件：符合《中华人民共和国政府采购法》第二十二条的规定；</w:t>
      </w:r>
    </w:p>
    <w:p w14:paraId="1403207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供应商应授权合法的人员参加投标全过程，其中法定代表人直接参加投标的，须出具法定代表人身份证，并与营业执照上信息一致。法定代表人授权代表参加投标的，须出具法定代表人授权书及授权代表身份证，授权代表须提供近六个月中任一个月缴纳社保证明复印件并加盖单位公章；</w:t>
      </w:r>
    </w:p>
    <w:p w14:paraId="3584E2E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4）单位负责人为同一人或者存在直接控股、管理关系的不同供应商，不得参加同一合同项下的政府采购活动。</w:t>
      </w:r>
    </w:p>
    <w:p w14:paraId="445ADAE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合同包2(2025年全区学校教育教学设施设备采购项目第二批次(信息化及多媒体类部室)第二包)特定资格要求如下:</w:t>
      </w:r>
    </w:p>
    <w:p w14:paraId="5845BF2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1）有效的主体资格证明：提供合格有效的法人或者其他组织的营业执照等证明文件或自然人的身份证明；</w:t>
      </w:r>
    </w:p>
    <w:p w14:paraId="259D412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2）基本资格条件：符合《中华人民共和国政府采购法》第二十二条的规定；</w:t>
      </w:r>
    </w:p>
    <w:p w14:paraId="1077FE2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供应商应授权合法的人员参加投标全过程，其中法定代表人直接参加投标的，须出具法定代表人身份证，并与营业执照上信息一致。法定代表人授权代表参加投标的，须出具法定代表人授权书及授权代表身份证，授权代表须提供近六个月中任一个月缴纳社保证明复印件并加盖单位公章；</w:t>
      </w:r>
    </w:p>
    <w:p w14:paraId="73A972A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4）单位负责人为同一人或者存在直接控股、管理关系的不同供应商，不得参加同一合同项下的政府采购活动。</w:t>
      </w:r>
    </w:p>
    <w:p w14:paraId="7FD9172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合同包3(2025年全区学校教育教学设施设备采购项目第二批次(信息化及多媒体类部室)第三包)特定资格要求如下:</w:t>
      </w:r>
    </w:p>
    <w:p w14:paraId="0BA94ABE">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1）有效的主体资格证明：提供合格有效的法人或者其他组织的营业执照等证明文件或自然人的身份证明；</w:t>
      </w:r>
    </w:p>
    <w:p w14:paraId="41B20D1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2）基本资格条件：符合《中华人民共和国政府采购法》第二十二条的规定；</w:t>
      </w:r>
    </w:p>
    <w:p w14:paraId="543D4AD6">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供应商应授权合法的人员参加投标全过程，其中法定代表人直接参加投标的，须出具法定代表人身份证，并与营业执照上信息一致。法定代表人授权代表参加投标的，须出具法定代表人授权书及授权代表身份证，授权代表须提供近六个月中任一个月缴纳社保证明复印件并加盖单位公章；</w:t>
      </w:r>
    </w:p>
    <w:p w14:paraId="14DFBD95">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4）单位负责人为同一人或者存在直接控股、管理关系的不同供应商，不得参加同一合同项下的政府采购活动。</w:t>
      </w:r>
    </w:p>
    <w:p w14:paraId="720AE22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合同包4(2025年全区学校教育教学设施设备采购项目第二批次(信息化及多媒体类部室)第四包)特定资格要求如下:</w:t>
      </w:r>
    </w:p>
    <w:p w14:paraId="726F065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1）有效的主体资格证明：提供合格有效的法人或者其他组织的营业执照等证明文件或自然人的身份证明；</w:t>
      </w:r>
    </w:p>
    <w:p w14:paraId="21E5707E">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2）基本资格条件：符合《中华人民共和国政府采购法》第二十二条的规定；</w:t>
      </w:r>
    </w:p>
    <w:p w14:paraId="3A42508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供应商应授权合法的人员参加投标全过程，其中法定代表人直接参加投标的，须出具法定代表人身份证，并与营业执照上信息一致。法定代表人授权代表参加投标的，须出具法定代表人授权书及授权代表身份证，授权代表须提供近六个月中任一个月缴纳社保证明复印件并加盖单位公章；</w:t>
      </w:r>
    </w:p>
    <w:p w14:paraId="77CC673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highlight w:val="none"/>
          <w:lang w:val="en-US" w:eastAsia="zh-CN"/>
        </w:rPr>
      </w:pPr>
      <w:r>
        <w:rPr>
          <w:rFonts w:hint="eastAsia" w:ascii="宋体" w:hAnsi="宋体" w:eastAsia="宋体" w:cs="宋体"/>
          <w:i w:val="0"/>
          <w:iCs w:val="0"/>
          <w:caps w:val="0"/>
          <w:color w:val="auto"/>
          <w:spacing w:val="0"/>
          <w:kern w:val="0"/>
          <w:sz w:val="24"/>
          <w:szCs w:val="24"/>
          <w:highlight w:val="none"/>
          <w:u w:val="none"/>
          <w:lang w:val="en-US" w:eastAsia="zh-CN" w:bidi="ar-SA"/>
        </w:rPr>
        <w:t>4）单位负责人为同一人或者存在直接控股、管理关系的不同供应商，不得参加同一合同项下的政府采购活动。</w:t>
      </w:r>
    </w:p>
    <w:p w14:paraId="433FE98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0" w:firstLineChars="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三、获取招标文件</w:t>
      </w:r>
    </w:p>
    <w:p w14:paraId="7E6A04E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时间：2025年07月17日至2025年07月23日，每天上午00:00:00至12:00:00，下午12:00:00至23:59:59（北京时间）</w:t>
      </w:r>
    </w:p>
    <w:p w14:paraId="336BA1AE">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途径：全国公共资源交易平台（陕西省·西安市）网站〖首页〉电子交易平台〉陕西政府采购交易系统〉企业端〗</w:t>
      </w:r>
    </w:p>
    <w:p w14:paraId="7F8C845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方式：在线获取</w:t>
      </w:r>
    </w:p>
    <w:p w14:paraId="482AA78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售价：0元</w:t>
      </w:r>
    </w:p>
    <w:p w14:paraId="040FB812">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0" w:firstLineChars="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四、提交投标文件截止时间、开标时间和地点</w:t>
      </w:r>
    </w:p>
    <w:p w14:paraId="4D6734B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时间：2025年08月6日09时00分00秒（北京时间）</w:t>
      </w:r>
    </w:p>
    <w:p w14:paraId="2ED218A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提交投标文件地点：全国公共资源交易平台（陕西省·西安市）网站〖首页〉电子交易平台&lt;陕西政府采购交易系统&gt;企业端〗，在线提交。</w:t>
      </w:r>
    </w:p>
    <w:p w14:paraId="4FF7242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开标地点：全国公共资源交易平台（陕西省·西安市）不见面开标大厅</w:t>
      </w:r>
    </w:p>
    <w:p w14:paraId="037524D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0" w:firstLineChars="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五、公告期限</w:t>
      </w:r>
    </w:p>
    <w:p w14:paraId="4FE67EB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自本公告发布之日起5个工作日。</w:t>
      </w:r>
    </w:p>
    <w:p w14:paraId="4AA7AF0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0" w:firstLineChars="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六、其他补充事宜</w:t>
      </w:r>
    </w:p>
    <w:p w14:paraId="00F19CC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投标人初次使用电子交易平台时,请先阅读【全国公共资源交易平台(陕西省·西安市)】(http://sxggzyjy.xa.gov.cn/)网站〖首页〉服务指南〉下载专区〗中的《西安市市级单位电子化政府采购项目投标指南》,并按要求完成诚信入库登记、CA认证及企业信息绑定。</w:t>
      </w:r>
    </w:p>
    <w:p w14:paraId="5E77713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办理CA认证：电子交易平台现已接入陕西CA、深圳CA、西部CA、北京CA四家数字证书公司,各供应商在交易过程中登录系统、加密/解密投标文件、文件签章等均可使用上述四家CA公司签发的数字证书。办理须知及所需资料详见：http://www.sxggzyjy.cn/fwzn/004003/20220701/6972fe02-f996-4928-951e-545dab02e53c.html</w:t>
      </w:r>
    </w:p>
    <w:p w14:paraId="1605EBC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本项目采用“不见面开标”形式,供应商可登录全国公共资源交易平台(陕西省·西安市)网站〖首页〉不见面开标〗系统,在线参加开标过程。操作手册详见〖首页〉服务指南〉下载专区〗中的《西安公共资源交易不见面开标大厅供应商操作手册》。</w:t>
      </w:r>
    </w:p>
    <w:p w14:paraId="3A7E3A3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4.按照陕西省财政厅《关于政府采购供应商注册登记有关事项的通知》中的要求，投标人应通过陕西省政府采购网(http://www.ccgp-shaanxi.gov.cn/)注册登记，加入陕西省政府采购供应商库。</w:t>
      </w:r>
    </w:p>
    <w:p w14:paraId="7DE18FE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5.获取招标文件方式：投标人须打开【全国公共资源交易平台（陕西省·西安市）】网站（简称西安市公共资源交易平台，官网地址：http://sxggzyjy.xa.gov.cn/），从〖首页·〉电子交易平台·〉陕西政府采购交易系统·〉企业端〗登录后，首先在〖招标公告/出让公告〗模块中预览全部可供参与的项目，然后选择有意向的项目点击〖我要投标〗，成功后切换到〖我的项目〗模块，依次点选〖项目流程·〉项目管理·〉交易文件下载〗免费获取本项目电子招标文件（*.SXSZF）；</w:t>
      </w:r>
    </w:p>
    <w:p w14:paraId="6F15208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提示：投标人须在获取招标文件时限内登录陕西省西安市公共资源交易中心平台系统，及时下载（SXSZF版本）招标文件并做好备份。逾期下载通道将关闭，未及时下载招标文件将会影响后续投标文件编制及后续投标活动。</w:t>
      </w:r>
    </w:p>
    <w:p w14:paraId="2F23DEFF">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6.提交投标文件截止时间前，投标人应随时留意【陕西省政府采购网】、【全国公共资源交易平台（陕西省·西安市）】上可能发布的变更公告。若变更公告中明确注明本项目提供有变更文件的，投标人应登录企业端后，从〖项目流程〉项目管理〉答疑文件下载〗获取更新后的电子招标文件（*.SXSCF），使用旧版电子招标文件制作的电子投标文件（*.SXSTF），系统将拒绝接收。</w:t>
      </w:r>
    </w:p>
    <w:p w14:paraId="5ABF18F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7.本项目不专门面向中小企业采购。</w:t>
      </w:r>
    </w:p>
    <w:p w14:paraId="1F66442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8.其他事项见本项目招标文件。</w:t>
      </w:r>
    </w:p>
    <w:p w14:paraId="617EF1C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0" w:firstLineChars="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七、对本次招标提出询问，请按以下方式联系。</w:t>
      </w:r>
    </w:p>
    <w:p w14:paraId="6F15D0E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240" w:firstLineChars="10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1.采购人信息</w:t>
      </w:r>
    </w:p>
    <w:p w14:paraId="2F684F4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名称：西安浐灞国际港教育局</w:t>
      </w:r>
    </w:p>
    <w:p w14:paraId="3B07F92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地址：陕西省西安市灞桥区浐灞生态区浐灞大道1号</w:t>
      </w:r>
    </w:p>
    <w:p w14:paraId="73ED8F1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联系方式：029-83592327</w:t>
      </w:r>
    </w:p>
    <w:p w14:paraId="2531CBE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240" w:firstLineChars="10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2.采购代理机构信息</w:t>
      </w:r>
    </w:p>
    <w:p w14:paraId="338A468F">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名称：华晟国际项目管理有限公司</w:t>
      </w:r>
    </w:p>
    <w:p w14:paraId="7641851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地址：西安市高新区高新路88号尚品国际B幢25层</w:t>
      </w:r>
    </w:p>
    <w:p w14:paraId="2685ABF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联系方式：029-82665555转8013</w:t>
      </w:r>
    </w:p>
    <w:p w14:paraId="4403236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240" w:firstLineChars="10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3.项目联系方式</w:t>
      </w:r>
    </w:p>
    <w:p w14:paraId="5F6158E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项目联系人：曹美奇、李琛、杨阳</w:t>
      </w:r>
    </w:p>
    <w:p w14:paraId="3CBEE4E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电话：029-82665555转8013</w:t>
      </w:r>
    </w:p>
    <w:p w14:paraId="03007DF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righ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华晟国际项目管理有限公司</w:t>
      </w:r>
    </w:p>
    <w:p w14:paraId="162494DD">
      <w:pPr>
        <w:keepNext w:val="0"/>
        <w:keepLines w:val="0"/>
        <w:pageBreakBefore w:val="0"/>
        <w:widowControl/>
        <w:kinsoku/>
        <w:wordWrap/>
        <w:overflowPunct/>
        <w:topLinePunct w:val="0"/>
        <w:autoSpaceDE/>
        <w:autoSpaceDN/>
        <w:bidi w:val="0"/>
        <w:adjustRightInd/>
        <w:spacing w:line="360" w:lineRule="auto"/>
        <w:jc w:val="right"/>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2025年07月16日</w:t>
      </w:r>
    </w:p>
    <w:p w14:paraId="7AE032AA">
      <w:pPr>
        <w:rPr>
          <w:rFonts w:hint="eastAsia" w:ascii="宋体" w:hAnsi="宋体" w:eastAsia="宋体" w:cs="宋体"/>
          <w:sz w:val="24"/>
          <w:szCs w:val="24"/>
          <w:highlight w:val="none"/>
        </w:rPr>
      </w:pPr>
      <w:r>
        <w:rPr>
          <w:rFonts w:hint="eastAsia" w:ascii="宋体" w:hAnsi="宋体" w:eastAsia="宋体" w:cs="宋体"/>
          <w:sz w:val="24"/>
          <w:szCs w:val="24"/>
          <w:highlight w:val="none"/>
        </w:rPr>
        <w:br w:type="page"/>
      </w:r>
    </w:p>
    <w:p w14:paraId="5B2A21F0">
      <w:pPr>
        <w:pStyle w:val="3"/>
        <w:spacing w:line="240" w:lineRule="auto"/>
        <w:rPr>
          <w:rFonts w:hint="eastAsia" w:ascii="宋体" w:hAnsi="宋体" w:eastAsia="宋体" w:cs="宋体"/>
          <w:b/>
          <w:bCs/>
          <w:sz w:val="32"/>
          <w:szCs w:val="32"/>
          <w:highlight w:val="none"/>
        </w:rPr>
      </w:pPr>
      <w:bookmarkStart w:id="12" w:name="_Toc22985"/>
      <w:bookmarkStart w:id="13" w:name="_Toc6230"/>
      <w:r>
        <w:rPr>
          <w:rFonts w:hint="eastAsia" w:ascii="宋体" w:hAnsi="宋体" w:eastAsia="宋体" w:cs="宋体"/>
          <w:b/>
          <w:bCs/>
          <w:sz w:val="32"/>
          <w:szCs w:val="32"/>
          <w:highlight w:val="none"/>
        </w:rPr>
        <w:t>第二章  供应商须知</w:t>
      </w:r>
      <w:bookmarkEnd w:id="12"/>
      <w:bookmarkEnd w:id="13"/>
    </w:p>
    <w:p w14:paraId="785A52BC">
      <w:pPr>
        <w:spacing w:line="240" w:lineRule="auto"/>
        <w:jc w:val="center"/>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〖须知前附表〗</w:t>
      </w:r>
    </w:p>
    <w:tbl>
      <w:tblPr>
        <w:tblStyle w:val="29"/>
        <w:tblW w:w="5047"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651"/>
        <w:gridCol w:w="1443"/>
        <w:gridCol w:w="7509"/>
      </w:tblGrid>
      <w:tr w14:paraId="3D05B24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9" w:type="pct"/>
            <w:tcBorders>
              <w:top w:val="single" w:color="auto" w:sz="12" w:space="0"/>
              <w:bottom w:val="single" w:color="auto" w:sz="2" w:space="0"/>
            </w:tcBorders>
            <w:shd w:val="clear" w:color="auto" w:fill="F1F1F1" w:themeFill="background1" w:themeFillShade="F2"/>
            <w:vAlign w:val="center"/>
          </w:tcPr>
          <w:p w14:paraId="5AEFB40A">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序号</w:t>
            </w:r>
          </w:p>
        </w:tc>
        <w:tc>
          <w:tcPr>
            <w:tcW w:w="751" w:type="pct"/>
            <w:tcBorders>
              <w:top w:val="single" w:color="auto" w:sz="12" w:space="0"/>
              <w:bottom w:val="single" w:color="auto" w:sz="2" w:space="0"/>
            </w:tcBorders>
            <w:shd w:val="clear" w:color="auto" w:fill="F1F1F1" w:themeFill="background1" w:themeFillShade="F2"/>
            <w:vAlign w:val="center"/>
          </w:tcPr>
          <w:p w14:paraId="0C465C4F">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内容</w:t>
            </w:r>
          </w:p>
        </w:tc>
        <w:tc>
          <w:tcPr>
            <w:tcW w:w="3909" w:type="pct"/>
            <w:tcBorders>
              <w:top w:val="single" w:color="auto" w:sz="12" w:space="0"/>
              <w:bottom w:val="single" w:color="auto" w:sz="2" w:space="0"/>
            </w:tcBorders>
            <w:shd w:val="clear" w:color="auto" w:fill="F1F1F1" w:themeFill="background1" w:themeFillShade="F2"/>
            <w:vAlign w:val="center"/>
          </w:tcPr>
          <w:p w14:paraId="34F21E0C">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说明和要求</w:t>
            </w:r>
          </w:p>
        </w:tc>
      </w:tr>
      <w:tr w14:paraId="5AD3344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9" w:type="pct"/>
            <w:tcBorders>
              <w:top w:val="single" w:color="auto" w:sz="2" w:space="0"/>
            </w:tcBorders>
            <w:shd w:val="clear" w:color="auto" w:fill="auto"/>
            <w:vAlign w:val="center"/>
          </w:tcPr>
          <w:p w14:paraId="3420ADB8">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w:t>
            </w:r>
          </w:p>
        </w:tc>
        <w:tc>
          <w:tcPr>
            <w:tcW w:w="751" w:type="pct"/>
            <w:tcBorders>
              <w:top w:val="single" w:color="auto" w:sz="2" w:space="0"/>
            </w:tcBorders>
            <w:shd w:val="clear" w:color="auto" w:fill="auto"/>
            <w:vAlign w:val="center"/>
          </w:tcPr>
          <w:p w14:paraId="2E45FD6D">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项目名称</w:t>
            </w:r>
          </w:p>
        </w:tc>
        <w:tc>
          <w:tcPr>
            <w:tcW w:w="3909" w:type="pct"/>
            <w:tcBorders>
              <w:top w:val="single" w:color="auto" w:sz="2" w:space="0"/>
            </w:tcBorders>
            <w:shd w:val="clear" w:color="auto" w:fill="auto"/>
            <w:vAlign w:val="center"/>
          </w:tcPr>
          <w:p w14:paraId="5E3E3FE4">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2025年全区学校教育教学设施设备采购项目第二批次(信息化及多媒体类部室)第</w:t>
            </w:r>
            <w:r>
              <w:rPr>
                <w:rFonts w:hint="eastAsia" w:ascii="宋体" w:hAnsi="宋体" w:eastAsia="宋体" w:cs="宋体"/>
                <w:sz w:val="24"/>
                <w:szCs w:val="24"/>
                <w:highlight w:val="none"/>
                <w:lang w:val="en-US" w:eastAsia="zh-CN"/>
              </w:rPr>
              <w:t>四</w:t>
            </w:r>
            <w:r>
              <w:rPr>
                <w:rFonts w:hint="eastAsia" w:ascii="宋体" w:hAnsi="宋体" w:eastAsia="宋体" w:cs="宋体"/>
                <w:sz w:val="24"/>
                <w:szCs w:val="24"/>
                <w:highlight w:val="none"/>
                <w:lang w:eastAsia="zh-CN"/>
              </w:rPr>
              <w:t>包</w:t>
            </w:r>
          </w:p>
        </w:tc>
      </w:tr>
      <w:tr w14:paraId="6FF8BBB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9" w:type="pct"/>
            <w:shd w:val="clear" w:color="auto" w:fill="auto"/>
            <w:vAlign w:val="center"/>
          </w:tcPr>
          <w:p w14:paraId="0AEAB7AE">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w:t>
            </w:r>
          </w:p>
        </w:tc>
        <w:tc>
          <w:tcPr>
            <w:tcW w:w="751" w:type="pct"/>
            <w:shd w:val="clear" w:color="auto" w:fill="auto"/>
            <w:vAlign w:val="center"/>
          </w:tcPr>
          <w:p w14:paraId="50015D52">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项目编号</w:t>
            </w:r>
          </w:p>
        </w:tc>
        <w:tc>
          <w:tcPr>
            <w:tcW w:w="3909" w:type="pct"/>
            <w:shd w:val="clear" w:color="auto" w:fill="auto"/>
            <w:vAlign w:val="center"/>
          </w:tcPr>
          <w:p w14:paraId="7C871A96">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HSGJ2025-164</w:t>
            </w:r>
          </w:p>
        </w:tc>
      </w:tr>
      <w:tr w14:paraId="59F7D5D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9" w:type="pct"/>
            <w:shd w:val="clear" w:color="auto" w:fill="auto"/>
            <w:vAlign w:val="center"/>
          </w:tcPr>
          <w:p w14:paraId="169100AE">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w:t>
            </w:r>
          </w:p>
        </w:tc>
        <w:tc>
          <w:tcPr>
            <w:tcW w:w="751" w:type="pct"/>
            <w:shd w:val="clear" w:color="auto" w:fill="auto"/>
            <w:vAlign w:val="center"/>
          </w:tcPr>
          <w:p w14:paraId="4BE33A2F">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预算执行书编号</w:t>
            </w:r>
          </w:p>
        </w:tc>
        <w:tc>
          <w:tcPr>
            <w:tcW w:w="3909" w:type="pct"/>
            <w:shd w:val="clear" w:color="auto" w:fill="auto"/>
            <w:vAlign w:val="center"/>
          </w:tcPr>
          <w:p w14:paraId="1F6538DC">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ZCBN-西安市港务区-2025-00072</w:t>
            </w:r>
          </w:p>
        </w:tc>
      </w:tr>
      <w:tr w14:paraId="114D0B1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9" w:type="pct"/>
            <w:vMerge w:val="restart"/>
            <w:shd w:val="clear" w:color="auto" w:fill="auto"/>
            <w:vAlign w:val="center"/>
          </w:tcPr>
          <w:p w14:paraId="375FCCAA">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4</w:t>
            </w:r>
          </w:p>
        </w:tc>
        <w:tc>
          <w:tcPr>
            <w:tcW w:w="751" w:type="pct"/>
            <w:shd w:val="clear" w:color="auto" w:fill="auto"/>
            <w:vAlign w:val="center"/>
          </w:tcPr>
          <w:p w14:paraId="0BF98684">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是否预留份额专门面向中小企业采购</w:t>
            </w:r>
          </w:p>
        </w:tc>
        <w:tc>
          <w:tcPr>
            <w:tcW w:w="3909" w:type="pct"/>
            <w:shd w:val="clear" w:color="auto" w:fill="auto"/>
            <w:vAlign w:val="center"/>
          </w:tcPr>
          <w:p w14:paraId="01B7089C">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none"/>
              </w:rPr>
            </w:pPr>
            <w:sdt>
              <w:sdtPr>
                <w:rPr>
                  <w:rFonts w:hint="eastAsia" w:ascii="宋体" w:hAnsi="宋体" w:eastAsia="宋体" w:cs="宋体"/>
                  <w:sz w:val="24"/>
                  <w:szCs w:val="24"/>
                  <w:highlight w:val="none"/>
                </w:rPr>
                <w:id w:val="2139916130"/>
                <w14:checkbox>
                  <w14:checked w14:val="0"/>
                  <w14:checkedState w14:val="2611" w14:font="MS Gothic"/>
                  <w14:uncheckedState w14:val="2610" w14:font="MS Gothic"/>
                </w14:checkbox>
              </w:sdtPr>
              <w:sdtEndPr>
                <w:rPr>
                  <w:rFonts w:hint="eastAsia" w:ascii="宋体" w:hAnsi="宋体" w:eastAsia="宋体" w:cs="宋体"/>
                  <w:sz w:val="24"/>
                  <w:szCs w:val="24"/>
                  <w:highlight w:val="none"/>
                </w:rPr>
              </w:sdtEndPr>
              <w:sdtContent>
                <w:r>
                  <w:rPr>
                    <w:rFonts w:hint="eastAsia" w:ascii="宋体" w:hAnsi="宋体" w:eastAsia="宋体" w:cs="宋体"/>
                    <w:sz w:val="24"/>
                    <w:szCs w:val="24"/>
                    <w:highlight w:val="none"/>
                    <w:lang w:val="en-US" w:eastAsia="zh-CN" w:bidi="ar-SA"/>
                  </w:rPr>
                  <w:t>☐</w:t>
                </w:r>
              </w:sdtContent>
            </w:sdt>
            <w:r>
              <w:rPr>
                <w:rFonts w:hint="eastAsia" w:ascii="宋体" w:hAnsi="宋体" w:eastAsia="宋体" w:cs="宋体"/>
                <w:sz w:val="24"/>
                <w:szCs w:val="24"/>
                <w:highlight w:val="none"/>
              </w:rPr>
              <w:t xml:space="preserve">是  </w:t>
            </w:r>
            <w:sdt>
              <w:sdtPr>
                <w:rPr>
                  <w:rFonts w:hint="eastAsia" w:ascii="宋体" w:hAnsi="宋体" w:eastAsia="宋体" w:cs="宋体"/>
                  <w:sz w:val="24"/>
                  <w:szCs w:val="24"/>
                  <w:highlight w:val="none"/>
                </w:rPr>
                <w:id w:val="-2072024220"/>
                <w14:checkbox>
                  <w14:checked w14:val="1"/>
                  <w14:checkedState w14:val="2611" w14:font="MS Gothic"/>
                  <w14:uncheckedState w14:val="2610" w14:font="MS Gothic"/>
                </w14:checkbox>
              </w:sdtPr>
              <w:sdtEndPr>
                <w:rPr>
                  <w:rFonts w:hint="eastAsia" w:ascii="宋体" w:hAnsi="宋体" w:eastAsia="宋体" w:cs="宋体"/>
                  <w:sz w:val="24"/>
                  <w:szCs w:val="24"/>
                  <w:highlight w:val="none"/>
                </w:rPr>
              </w:sdtEndPr>
              <w:sdtContent>
                <w:r>
                  <w:rPr>
                    <w:rFonts w:hint="eastAsia" w:ascii="宋体" w:hAnsi="宋体" w:eastAsia="宋体" w:cs="宋体"/>
                    <w:sz w:val="24"/>
                    <w:szCs w:val="24"/>
                    <w:highlight w:val="none"/>
                    <w:lang w:val="en-US" w:eastAsia="zh-CN" w:bidi="ar-SA"/>
                  </w:rPr>
                  <w:t>☑</w:t>
                </w:r>
              </w:sdtContent>
            </w:sdt>
            <w:r>
              <w:rPr>
                <w:rFonts w:hint="eastAsia" w:ascii="宋体" w:hAnsi="宋体" w:eastAsia="宋体" w:cs="宋体"/>
                <w:sz w:val="24"/>
                <w:szCs w:val="24"/>
                <w:highlight w:val="none"/>
              </w:rPr>
              <w:t>否</w:t>
            </w:r>
          </w:p>
        </w:tc>
      </w:tr>
      <w:tr w14:paraId="266334C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9" w:type="pct"/>
            <w:vMerge w:val="continue"/>
            <w:shd w:val="clear" w:color="auto" w:fill="auto"/>
            <w:vAlign w:val="center"/>
          </w:tcPr>
          <w:p w14:paraId="59463EEE">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none"/>
                <w:lang w:val="en-US" w:eastAsia="zh-CN"/>
              </w:rPr>
            </w:pPr>
          </w:p>
        </w:tc>
        <w:tc>
          <w:tcPr>
            <w:tcW w:w="751" w:type="pct"/>
            <w:shd w:val="clear" w:color="auto" w:fill="auto"/>
            <w:vAlign w:val="center"/>
          </w:tcPr>
          <w:p w14:paraId="4F5EA86B">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none"/>
                <w:lang w:val="en-US" w:eastAsia="zh-CN" w:bidi="ar-SA"/>
              </w:rPr>
            </w:pPr>
            <w:r>
              <w:rPr>
                <w:rFonts w:hint="eastAsia" w:ascii="宋体" w:hAnsi="宋体" w:eastAsia="宋体" w:cs="宋体"/>
                <w:sz w:val="24"/>
                <w:szCs w:val="24"/>
                <w:highlight w:val="none"/>
                <w:lang w:eastAsia="zh-CN"/>
              </w:rPr>
              <w:t>支持中小企业发展</w:t>
            </w:r>
          </w:p>
        </w:tc>
        <w:tc>
          <w:tcPr>
            <w:tcW w:w="3909" w:type="pct"/>
            <w:shd w:val="clear" w:color="auto" w:fill="auto"/>
            <w:vAlign w:val="center"/>
          </w:tcPr>
          <w:p w14:paraId="37810EE7">
            <w:pPr>
              <w:keepNext w:val="0"/>
              <w:keepLines w:val="0"/>
              <w:pageBreakBefore w:val="0"/>
              <w:widowControl/>
              <w:kinsoku/>
              <w:wordWrap/>
              <w:overflowPunct/>
              <w:topLinePunct w:val="0"/>
              <w:autoSpaceDE/>
              <w:autoSpaceDN/>
              <w:bidi w:val="0"/>
              <w:adjustRightInd/>
              <w:snapToGrid/>
              <w:spacing w:line="240" w:lineRule="auto"/>
              <w:ind w:firstLine="240" w:firstLineChars="1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eastAsia="zh-CN"/>
              </w:rPr>
              <w:t>根据《政府采购促进中小企业发展管理办法》（财库〔2020〕46号）文件的有关规定，提供小微企业制造的货物、承建的工程或者承接的服务（不包括使用大型、中型企业商号或者注册商标的货物）参与政府采购活动时对小型和微型企业产品的报价给予扣除，用扣除后的价格参加评审。同时，依据该办法第四条第二款规定在货物采购项目中，供应商提供的货物既有中小企业制造货物，也有大型企业制造货物的，不享受中小企业扶持政策。</w:t>
            </w:r>
            <w:r>
              <w:rPr>
                <w:rFonts w:hint="eastAsia" w:ascii="宋体" w:hAnsi="宋体" w:eastAsia="宋体" w:cs="宋体"/>
                <w:b/>
                <w:bCs/>
                <w:sz w:val="24"/>
                <w:szCs w:val="24"/>
                <w:highlight w:val="none"/>
                <w:lang w:eastAsia="zh-CN"/>
              </w:rPr>
              <w:t>本项目的扣除比例为：10%。</w:t>
            </w:r>
          </w:p>
          <w:p w14:paraId="7764DF62">
            <w:pPr>
              <w:keepNext w:val="0"/>
              <w:keepLines w:val="0"/>
              <w:pageBreakBefore w:val="0"/>
              <w:widowControl/>
              <w:kinsoku/>
              <w:wordWrap/>
              <w:overflowPunct/>
              <w:topLinePunct w:val="0"/>
              <w:autoSpaceDE/>
              <w:autoSpaceDN/>
              <w:bidi w:val="0"/>
              <w:adjustRightInd/>
              <w:snapToGrid/>
              <w:spacing w:line="240" w:lineRule="auto"/>
              <w:ind w:firstLine="240" w:firstLineChars="100"/>
              <w:textAlignment w:val="auto"/>
              <w:rPr>
                <w:rFonts w:hint="eastAsia" w:ascii="宋体" w:hAnsi="宋体" w:eastAsia="宋体" w:cs="宋体"/>
                <w:sz w:val="24"/>
                <w:szCs w:val="24"/>
                <w:highlight w:val="none"/>
                <w:lang w:val="en-US" w:eastAsia="zh-CN"/>
              </w:rPr>
            </w:pPr>
            <w:r>
              <w:rPr>
                <w:rFonts w:hint="eastAsia" w:ascii="宋体" w:hAnsi="宋体" w:eastAsia="宋体" w:cs="宋体"/>
                <w:b/>
                <w:bCs/>
                <w:sz w:val="24"/>
                <w:szCs w:val="24"/>
                <w:highlight w:val="none"/>
                <w:lang w:eastAsia="zh-CN"/>
              </w:rPr>
              <w:t>本项目不专门面向中小企业采购，本项目所属行业为</w:t>
            </w:r>
            <w:r>
              <w:rPr>
                <w:rFonts w:hint="eastAsia" w:ascii="宋体" w:hAnsi="宋体" w:eastAsia="宋体" w:cs="宋体"/>
                <w:b/>
                <w:bCs/>
                <w:color w:val="auto"/>
                <w:sz w:val="24"/>
                <w:szCs w:val="24"/>
                <w:highlight w:val="none"/>
                <w:u w:val="single"/>
                <w:lang w:val="en-US" w:eastAsia="zh-CN"/>
              </w:rPr>
              <w:t xml:space="preserve"> </w:t>
            </w:r>
            <w:r>
              <w:rPr>
                <w:rFonts w:hint="eastAsia" w:ascii="宋体" w:hAnsi="宋体" w:eastAsia="宋体" w:cs="宋体"/>
                <w:b/>
                <w:bCs/>
                <w:color w:val="auto"/>
                <w:sz w:val="24"/>
                <w:szCs w:val="24"/>
                <w:highlight w:val="none"/>
                <w:u w:val="single"/>
                <w:lang w:eastAsia="zh-CN"/>
              </w:rPr>
              <w:t>工业</w:t>
            </w:r>
            <w:r>
              <w:rPr>
                <w:rFonts w:hint="eastAsia" w:ascii="宋体" w:hAnsi="宋体" w:eastAsia="宋体" w:cs="宋体"/>
                <w:b/>
                <w:bCs/>
                <w:color w:val="auto"/>
                <w:sz w:val="24"/>
                <w:szCs w:val="24"/>
                <w:highlight w:val="none"/>
                <w:u w:val="single"/>
                <w:lang w:val="en-US" w:eastAsia="zh-CN"/>
              </w:rPr>
              <w:t xml:space="preserve"> </w:t>
            </w:r>
            <w:r>
              <w:rPr>
                <w:rFonts w:hint="eastAsia" w:ascii="宋体" w:hAnsi="宋体" w:eastAsia="宋体" w:cs="宋体"/>
                <w:b/>
                <w:bCs/>
                <w:sz w:val="24"/>
                <w:szCs w:val="24"/>
                <w:highlight w:val="none"/>
                <w:lang w:eastAsia="zh-CN"/>
              </w:rPr>
              <w:t>。</w:t>
            </w:r>
          </w:p>
        </w:tc>
      </w:tr>
      <w:tr w14:paraId="4020F1E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9" w:type="pct"/>
            <w:vMerge w:val="continue"/>
            <w:shd w:val="clear" w:color="auto" w:fill="auto"/>
            <w:vAlign w:val="center"/>
          </w:tcPr>
          <w:p w14:paraId="0F6C09B8">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none"/>
                <w:lang w:val="en-US" w:eastAsia="zh-CN"/>
              </w:rPr>
            </w:pPr>
          </w:p>
        </w:tc>
        <w:tc>
          <w:tcPr>
            <w:tcW w:w="751" w:type="pct"/>
            <w:shd w:val="clear" w:color="auto" w:fill="auto"/>
            <w:vAlign w:val="center"/>
          </w:tcPr>
          <w:p w14:paraId="4FD1350E">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none"/>
                <w:lang w:val="en-US" w:eastAsia="zh-CN" w:bidi="ar-SA"/>
              </w:rPr>
            </w:pPr>
            <w:r>
              <w:rPr>
                <w:rFonts w:hint="eastAsia" w:ascii="宋体" w:hAnsi="宋体" w:eastAsia="宋体" w:cs="宋体"/>
                <w:sz w:val="24"/>
                <w:szCs w:val="24"/>
                <w:highlight w:val="none"/>
                <w:lang w:eastAsia="zh-CN"/>
              </w:rPr>
              <w:t>支持监狱企业发展</w:t>
            </w:r>
          </w:p>
        </w:tc>
        <w:tc>
          <w:tcPr>
            <w:tcW w:w="3909" w:type="pct"/>
            <w:shd w:val="clear" w:color="auto" w:fill="auto"/>
            <w:vAlign w:val="center"/>
          </w:tcPr>
          <w:p w14:paraId="45CF01F0">
            <w:pPr>
              <w:keepNext w:val="0"/>
              <w:keepLines w:val="0"/>
              <w:pageBreakBefore w:val="0"/>
              <w:widowControl/>
              <w:kinsoku/>
              <w:wordWrap/>
              <w:overflowPunct/>
              <w:topLinePunct w:val="0"/>
              <w:autoSpaceDE/>
              <w:autoSpaceDN/>
              <w:bidi w:val="0"/>
              <w:adjustRightInd/>
              <w:snapToGrid/>
              <w:spacing w:line="240" w:lineRule="auto"/>
              <w:ind w:firstLine="240" w:firstLineChars="100"/>
              <w:textAlignment w:val="auto"/>
              <w:rPr>
                <w:rFonts w:hint="eastAsia" w:ascii="宋体" w:hAnsi="宋体" w:eastAsia="宋体" w:cs="宋体"/>
                <w:sz w:val="24"/>
                <w:szCs w:val="24"/>
                <w:highlight w:val="none"/>
                <w:lang w:val="en-US" w:eastAsia="zh-CN" w:bidi="ar-SA"/>
              </w:rPr>
            </w:pPr>
            <w:r>
              <w:rPr>
                <w:rFonts w:hint="eastAsia" w:ascii="宋体" w:hAnsi="宋体" w:eastAsia="宋体" w:cs="宋体"/>
                <w:sz w:val="24"/>
                <w:szCs w:val="24"/>
                <w:highlight w:val="none"/>
                <w:lang w:eastAsia="zh-CN"/>
              </w:rPr>
              <w:t>根据财政部、司法部联合下发的《关于政府采购支持监狱企业发展有关问题的通知》（财库〔2014〕68号）的规定，监狱企业视同小型、微型企业。价格评审时给予的扣除，用扣除后的价格参与评审。</w:t>
            </w:r>
            <w:r>
              <w:rPr>
                <w:rFonts w:hint="eastAsia" w:ascii="宋体" w:hAnsi="宋体" w:eastAsia="宋体" w:cs="宋体"/>
                <w:b/>
                <w:bCs/>
                <w:sz w:val="24"/>
                <w:szCs w:val="24"/>
                <w:highlight w:val="none"/>
                <w:lang w:eastAsia="zh-CN"/>
              </w:rPr>
              <w:t>本项目的扣除比例为：10%。</w:t>
            </w:r>
          </w:p>
        </w:tc>
      </w:tr>
      <w:tr w14:paraId="0A7239E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9" w:type="pct"/>
            <w:vMerge w:val="continue"/>
            <w:shd w:val="clear" w:color="auto" w:fill="auto"/>
            <w:vAlign w:val="center"/>
          </w:tcPr>
          <w:p w14:paraId="0A8464DC">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none"/>
                <w:lang w:val="en-US" w:eastAsia="zh-CN"/>
              </w:rPr>
            </w:pPr>
          </w:p>
        </w:tc>
        <w:tc>
          <w:tcPr>
            <w:tcW w:w="751" w:type="pct"/>
            <w:shd w:val="clear" w:color="auto" w:fill="auto"/>
            <w:vAlign w:val="center"/>
          </w:tcPr>
          <w:p w14:paraId="57AE462C">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none"/>
                <w:lang w:val="en-US" w:eastAsia="zh-CN" w:bidi="ar-SA"/>
              </w:rPr>
            </w:pPr>
            <w:r>
              <w:rPr>
                <w:rFonts w:hint="eastAsia" w:ascii="宋体" w:hAnsi="宋体" w:eastAsia="宋体" w:cs="宋体"/>
                <w:sz w:val="24"/>
                <w:szCs w:val="24"/>
                <w:highlight w:val="none"/>
                <w:lang w:eastAsia="zh-CN"/>
              </w:rPr>
              <w:t>其他法律法规强制性规定的</w:t>
            </w:r>
          </w:p>
        </w:tc>
        <w:tc>
          <w:tcPr>
            <w:tcW w:w="3909" w:type="pct"/>
            <w:shd w:val="clear" w:color="auto" w:fill="auto"/>
            <w:vAlign w:val="center"/>
          </w:tcPr>
          <w:p w14:paraId="636CB9C0">
            <w:pPr>
              <w:keepNext w:val="0"/>
              <w:keepLines w:val="0"/>
              <w:pageBreakBefore w:val="0"/>
              <w:widowControl/>
              <w:kinsoku/>
              <w:wordWrap/>
              <w:overflowPunct/>
              <w:topLinePunct w:val="0"/>
              <w:autoSpaceDE/>
              <w:autoSpaceDN/>
              <w:bidi w:val="0"/>
              <w:adjustRightInd/>
              <w:snapToGrid/>
              <w:spacing w:line="240" w:lineRule="auto"/>
              <w:ind w:firstLine="240" w:firstLineChars="100"/>
              <w:textAlignment w:val="auto"/>
              <w:rPr>
                <w:rFonts w:hint="eastAsia" w:ascii="宋体" w:hAnsi="宋体" w:eastAsia="宋体" w:cs="宋体"/>
                <w:sz w:val="24"/>
                <w:szCs w:val="24"/>
                <w:highlight w:val="none"/>
                <w:lang w:val="en-US" w:eastAsia="zh-CN" w:bidi="ar-SA"/>
              </w:rPr>
            </w:pPr>
            <w:r>
              <w:rPr>
                <w:rFonts w:hint="eastAsia" w:ascii="宋体" w:hAnsi="宋体" w:eastAsia="宋体" w:cs="宋体"/>
                <w:sz w:val="24"/>
                <w:szCs w:val="24"/>
                <w:highlight w:val="none"/>
                <w:lang w:eastAsia="zh-CN"/>
              </w:rPr>
              <w:t>根据财政部、民政部、中国残疾人联合会下发的《关于促进残疾人就业政府采购政策的通知》（财库〔2017〕141号）的规定，残疾人福利性单位提供本单位制造的货物、承建的工程或者承接的服务（以下简称产品），或者提供其他残疾人福利性单位制造的货物（不包括使用非残疾人福利性单位注册商标的货物）参与政府采购活动时，视同小型、微型企业，享受预留份额、评审中价格扣除等促进中小企业发展的政府采购政策。残疾人福利性单位属于小型、微型企业的，不重复享受政策。</w:t>
            </w:r>
            <w:r>
              <w:rPr>
                <w:rFonts w:hint="eastAsia" w:ascii="宋体" w:hAnsi="宋体" w:eastAsia="宋体" w:cs="宋体"/>
                <w:b/>
                <w:bCs/>
                <w:sz w:val="24"/>
                <w:szCs w:val="24"/>
                <w:highlight w:val="none"/>
                <w:lang w:eastAsia="zh-CN"/>
              </w:rPr>
              <w:t>本项目的扣除比例为：10%。</w:t>
            </w:r>
          </w:p>
        </w:tc>
      </w:tr>
      <w:tr w14:paraId="0343D20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9" w:type="pct"/>
            <w:vMerge w:val="continue"/>
            <w:shd w:val="clear" w:color="auto" w:fill="auto"/>
            <w:vAlign w:val="center"/>
          </w:tcPr>
          <w:p w14:paraId="25705C1D">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none"/>
                <w:lang w:val="en-US" w:eastAsia="zh-CN"/>
              </w:rPr>
            </w:pPr>
          </w:p>
        </w:tc>
        <w:tc>
          <w:tcPr>
            <w:tcW w:w="751" w:type="pct"/>
            <w:shd w:val="clear" w:color="auto" w:fill="auto"/>
            <w:vAlign w:val="center"/>
          </w:tcPr>
          <w:p w14:paraId="57ACED91">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其他</w:t>
            </w:r>
          </w:p>
        </w:tc>
        <w:tc>
          <w:tcPr>
            <w:tcW w:w="3909" w:type="pct"/>
            <w:shd w:val="clear" w:color="auto" w:fill="auto"/>
            <w:vAlign w:val="center"/>
          </w:tcPr>
          <w:p w14:paraId="1FD6DEB1">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参加政府采购活动的中小企业、监狱企业、残疾人福利性单位应根据企业性质分别提供《中小企业声明函》\《监狱企业证明函》\《残疾</w:t>
            </w:r>
            <w:r>
              <w:rPr>
                <w:rFonts w:hint="eastAsia" w:ascii="宋体" w:hAnsi="宋体" w:eastAsia="宋体" w:cs="宋体"/>
                <w:sz w:val="24"/>
                <w:szCs w:val="24"/>
                <w:highlight w:val="none"/>
              </w:rPr>
              <w:t>人福利性单位声明函》。其中，《监狱企业证明函》应由省级以上监狱管理局、戒毒管理局（含新疆生产建设兵团）出具。未提供上述声明函\证明函的，不能享受招标文件规定的价格扣除，但不影响投标文件的有效性。</w:t>
            </w:r>
          </w:p>
        </w:tc>
      </w:tr>
      <w:tr w14:paraId="5AA6D5C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9" w:type="pct"/>
            <w:shd w:val="clear" w:color="auto" w:fill="auto"/>
            <w:vAlign w:val="center"/>
          </w:tcPr>
          <w:p w14:paraId="53099F44">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5</w:t>
            </w:r>
          </w:p>
        </w:tc>
        <w:tc>
          <w:tcPr>
            <w:tcW w:w="751" w:type="pct"/>
            <w:shd w:val="clear" w:color="auto" w:fill="auto"/>
            <w:vAlign w:val="center"/>
          </w:tcPr>
          <w:p w14:paraId="23CDDE60">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预算金额</w:t>
            </w:r>
            <w:r>
              <w:rPr>
                <w:rFonts w:hint="eastAsia" w:ascii="宋体" w:hAnsi="宋体" w:eastAsia="宋体" w:cs="宋体"/>
                <w:sz w:val="24"/>
                <w:szCs w:val="24"/>
                <w:highlight w:val="none"/>
                <w:lang w:eastAsia="zh-CN"/>
              </w:rPr>
              <w:t>及最高限价</w:t>
            </w:r>
          </w:p>
        </w:tc>
        <w:tc>
          <w:tcPr>
            <w:tcW w:w="3909" w:type="pct"/>
            <w:shd w:val="clear" w:color="auto" w:fill="auto"/>
            <w:vAlign w:val="center"/>
          </w:tcPr>
          <w:p w14:paraId="4C2D032E">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合同包4预算：433.9144万元</w:t>
            </w:r>
          </w:p>
          <w:p w14:paraId="09EEA5C4">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合同包4最高限价</w:t>
            </w:r>
            <w:r>
              <w:rPr>
                <w:rFonts w:hint="eastAsia" w:ascii="宋体" w:hAnsi="宋体" w:eastAsia="宋体" w:cs="宋体"/>
                <w:sz w:val="24"/>
                <w:szCs w:val="24"/>
                <w:highlight w:val="none"/>
                <w:lang w:eastAsia="zh-CN"/>
              </w:rPr>
              <w:t>金额</w:t>
            </w:r>
            <w:r>
              <w:rPr>
                <w:rFonts w:hint="eastAsia" w:ascii="宋体" w:hAnsi="宋体" w:eastAsia="宋体" w:cs="宋体"/>
                <w:sz w:val="24"/>
                <w:szCs w:val="24"/>
                <w:highlight w:val="none"/>
                <w:lang w:val="en-US" w:eastAsia="zh-CN"/>
              </w:rPr>
              <w:t>：433.9144万元</w:t>
            </w:r>
          </w:p>
          <w:p w14:paraId="2A086BA8">
            <w:pPr>
              <w:pStyle w:val="15"/>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sz w:val="24"/>
                <w:szCs w:val="24"/>
                <w:highlight w:val="none"/>
              </w:rPr>
            </w:pPr>
            <w:r>
              <w:rPr>
                <w:rFonts w:hint="eastAsia" w:ascii="宋体" w:hAnsi="宋体" w:eastAsia="宋体" w:cs="宋体"/>
                <w:color w:val="auto"/>
                <w:kern w:val="0"/>
                <w:sz w:val="24"/>
                <w:szCs w:val="24"/>
                <w:highlight w:val="none"/>
                <w:lang w:val="en-US" w:eastAsia="zh-CN" w:bidi="ar-SA"/>
              </w:rPr>
              <w:t>投标人投标报价超过每包最高限价为无效投标。</w:t>
            </w:r>
          </w:p>
        </w:tc>
      </w:tr>
      <w:tr w14:paraId="2B55B3F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9" w:type="pct"/>
            <w:shd w:val="clear" w:color="auto" w:fill="auto"/>
            <w:vAlign w:val="center"/>
          </w:tcPr>
          <w:p w14:paraId="27F73C14">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6</w:t>
            </w:r>
          </w:p>
        </w:tc>
        <w:tc>
          <w:tcPr>
            <w:tcW w:w="751" w:type="pct"/>
            <w:shd w:val="clear" w:color="auto" w:fill="auto"/>
            <w:vAlign w:val="center"/>
          </w:tcPr>
          <w:p w14:paraId="533EBE08">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是否接受联合体</w:t>
            </w:r>
          </w:p>
        </w:tc>
        <w:tc>
          <w:tcPr>
            <w:tcW w:w="3909" w:type="pct"/>
            <w:shd w:val="clear" w:color="auto" w:fill="auto"/>
            <w:vAlign w:val="center"/>
          </w:tcPr>
          <w:p w14:paraId="4D516E3D">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none"/>
                <w:lang w:val="en-US" w:eastAsia="zh-CN"/>
              </w:rPr>
            </w:pPr>
            <w:sdt>
              <w:sdtPr>
                <w:rPr>
                  <w:rFonts w:hint="eastAsia" w:ascii="宋体" w:hAnsi="宋体" w:eastAsia="宋体" w:cs="宋体"/>
                  <w:sz w:val="24"/>
                  <w:szCs w:val="24"/>
                  <w:highlight w:val="none"/>
                </w:rPr>
                <w:id w:val="608160193"/>
                <w14:checkbox>
                  <w14:checked w14:val="0"/>
                  <w14:checkedState w14:val="2611" w14:font="MS Gothic"/>
                  <w14:uncheckedState w14:val="2610" w14:font="MS Gothic"/>
                </w14:checkbox>
              </w:sdtPr>
              <w:sdtEndPr>
                <w:rPr>
                  <w:rFonts w:hint="eastAsia" w:ascii="宋体" w:hAnsi="宋体" w:eastAsia="宋体" w:cs="宋体"/>
                  <w:sz w:val="24"/>
                  <w:szCs w:val="24"/>
                  <w:highlight w:val="none"/>
                </w:rPr>
              </w:sdtEndPr>
              <w:sdtContent>
                <w:r>
                  <w:rPr>
                    <w:rFonts w:hint="eastAsia" w:ascii="宋体" w:hAnsi="宋体" w:eastAsia="宋体" w:cs="宋体"/>
                    <w:sz w:val="24"/>
                    <w:szCs w:val="24"/>
                    <w:highlight w:val="none"/>
                  </w:rPr>
                  <w:t>☐</w:t>
                </w:r>
              </w:sdtContent>
            </w:sdt>
            <w:r>
              <w:rPr>
                <w:rFonts w:hint="eastAsia" w:ascii="宋体" w:hAnsi="宋体" w:eastAsia="宋体" w:cs="宋体"/>
                <w:sz w:val="24"/>
                <w:szCs w:val="24"/>
                <w:highlight w:val="none"/>
              </w:rPr>
              <w:t xml:space="preserve">是  </w:t>
            </w:r>
            <w:sdt>
              <w:sdtPr>
                <w:rPr>
                  <w:rFonts w:hint="eastAsia" w:ascii="宋体" w:hAnsi="宋体" w:eastAsia="宋体" w:cs="宋体"/>
                  <w:sz w:val="24"/>
                  <w:szCs w:val="24"/>
                  <w:highlight w:val="none"/>
                </w:rPr>
                <w:id w:val="1317929335"/>
                <w14:checkbox>
                  <w14:checked w14:val="1"/>
                  <w14:checkedState w14:val="2611" w14:font="MS Gothic"/>
                  <w14:uncheckedState w14:val="2610" w14:font="MS Gothic"/>
                </w14:checkbox>
              </w:sdtPr>
              <w:sdtEndPr>
                <w:rPr>
                  <w:rFonts w:hint="eastAsia" w:ascii="宋体" w:hAnsi="宋体" w:eastAsia="宋体" w:cs="宋体"/>
                  <w:sz w:val="24"/>
                  <w:szCs w:val="24"/>
                  <w:highlight w:val="none"/>
                </w:rPr>
              </w:sdtEndPr>
              <w:sdtContent>
                <w:r>
                  <w:rPr>
                    <w:rFonts w:hint="eastAsia" w:ascii="宋体" w:hAnsi="宋体" w:eastAsia="宋体" w:cs="宋体"/>
                    <w:sz w:val="24"/>
                    <w:szCs w:val="24"/>
                    <w:highlight w:val="none"/>
                    <w:lang w:val="en-US" w:eastAsia="zh-CN" w:bidi="ar-SA"/>
                  </w:rPr>
                  <w:t>☑</w:t>
                </w:r>
              </w:sdtContent>
            </w:sdt>
            <w:r>
              <w:rPr>
                <w:rFonts w:hint="eastAsia" w:ascii="宋体" w:hAnsi="宋体" w:eastAsia="宋体" w:cs="宋体"/>
                <w:sz w:val="24"/>
                <w:szCs w:val="24"/>
                <w:highlight w:val="none"/>
              </w:rPr>
              <w:t>否</w:t>
            </w:r>
          </w:p>
        </w:tc>
      </w:tr>
      <w:tr w14:paraId="3040F34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9" w:type="pct"/>
            <w:shd w:val="clear" w:color="auto" w:fill="auto"/>
            <w:vAlign w:val="center"/>
          </w:tcPr>
          <w:p w14:paraId="6FABB471">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7</w:t>
            </w:r>
          </w:p>
        </w:tc>
        <w:tc>
          <w:tcPr>
            <w:tcW w:w="751" w:type="pct"/>
            <w:shd w:val="clear" w:color="auto" w:fill="auto"/>
            <w:vAlign w:val="center"/>
          </w:tcPr>
          <w:p w14:paraId="59ABFBAE">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sz w:val="24"/>
                <w:szCs w:val="24"/>
                <w:highlight w:val="none"/>
              </w:rPr>
              <w:t>是否允许进口产品</w:t>
            </w:r>
          </w:p>
        </w:tc>
        <w:tc>
          <w:tcPr>
            <w:tcW w:w="3909" w:type="pct"/>
            <w:shd w:val="clear" w:color="auto" w:fill="auto"/>
            <w:vAlign w:val="center"/>
          </w:tcPr>
          <w:p w14:paraId="4A1F47F6">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color w:val="auto"/>
                <w:sz w:val="24"/>
                <w:szCs w:val="24"/>
                <w:highlight w:val="none"/>
                <w:lang w:val="en-US" w:eastAsia="zh-CN"/>
              </w:rPr>
            </w:pPr>
            <w:sdt>
              <w:sdtPr>
                <w:rPr>
                  <w:rFonts w:hint="eastAsia" w:ascii="宋体" w:hAnsi="宋体" w:eastAsia="宋体" w:cs="宋体"/>
                  <w:sz w:val="24"/>
                  <w:szCs w:val="24"/>
                  <w:highlight w:val="none"/>
                </w:rPr>
                <w:id w:val="148570254"/>
                <w14:checkbox>
                  <w14:checked w14:val="0"/>
                  <w14:checkedState w14:val="2611" w14:font="MS Gothic"/>
                  <w14:uncheckedState w14:val="2610" w14:font="MS Gothic"/>
                </w14:checkbox>
              </w:sdtPr>
              <w:sdtEndPr>
                <w:rPr>
                  <w:rFonts w:hint="eastAsia" w:ascii="宋体" w:hAnsi="宋体" w:eastAsia="宋体" w:cs="宋体"/>
                  <w:sz w:val="24"/>
                  <w:szCs w:val="24"/>
                  <w:highlight w:val="none"/>
                </w:rPr>
              </w:sdtEndPr>
              <w:sdtContent>
                <w:r>
                  <w:rPr>
                    <w:rFonts w:hint="eastAsia" w:ascii="宋体" w:hAnsi="宋体" w:eastAsia="宋体" w:cs="宋体"/>
                    <w:sz w:val="24"/>
                    <w:szCs w:val="24"/>
                    <w:highlight w:val="none"/>
                  </w:rPr>
                  <w:t>☐</w:t>
                </w:r>
              </w:sdtContent>
            </w:sdt>
            <w:r>
              <w:rPr>
                <w:rFonts w:hint="eastAsia" w:ascii="宋体" w:hAnsi="宋体" w:eastAsia="宋体" w:cs="宋体"/>
                <w:sz w:val="24"/>
                <w:szCs w:val="24"/>
                <w:highlight w:val="none"/>
              </w:rPr>
              <w:t xml:space="preserve">是  </w:t>
            </w:r>
            <w:sdt>
              <w:sdtPr>
                <w:rPr>
                  <w:rFonts w:hint="eastAsia" w:ascii="宋体" w:hAnsi="宋体" w:eastAsia="宋体" w:cs="宋体"/>
                  <w:sz w:val="24"/>
                  <w:szCs w:val="24"/>
                  <w:highlight w:val="none"/>
                </w:rPr>
                <w:id w:val="-1689594843"/>
                <w14:checkbox>
                  <w14:checked w14:val="1"/>
                  <w14:checkedState w14:val="2611" w14:font="MS Gothic"/>
                  <w14:uncheckedState w14:val="2610" w14:font="MS Gothic"/>
                </w14:checkbox>
              </w:sdtPr>
              <w:sdtEndPr>
                <w:rPr>
                  <w:rFonts w:hint="eastAsia" w:ascii="宋体" w:hAnsi="宋体" w:eastAsia="宋体" w:cs="宋体"/>
                  <w:sz w:val="24"/>
                  <w:szCs w:val="24"/>
                  <w:highlight w:val="none"/>
                </w:rPr>
              </w:sdtEndPr>
              <w:sdtContent>
                <w:r>
                  <w:rPr>
                    <w:rFonts w:hint="eastAsia" w:ascii="宋体" w:hAnsi="宋体" w:eastAsia="宋体" w:cs="宋体"/>
                    <w:sz w:val="24"/>
                    <w:szCs w:val="24"/>
                    <w:highlight w:val="none"/>
                    <w:lang w:val="en-US" w:eastAsia="zh-CN" w:bidi="ar-SA"/>
                  </w:rPr>
                  <w:t>☑</w:t>
                </w:r>
              </w:sdtContent>
            </w:sdt>
            <w:r>
              <w:rPr>
                <w:rFonts w:hint="eastAsia" w:ascii="宋体" w:hAnsi="宋体" w:eastAsia="宋体" w:cs="宋体"/>
                <w:sz w:val="24"/>
                <w:szCs w:val="24"/>
                <w:highlight w:val="none"/>
              </w:rPr>
              <w:t>否</w:t>
            </w:r>
          </w:p>
        </w:tc>
      </w:tr>
      <w:tr w14:paraId="34F62CD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9" w:type="pct"/>
            <w:shd w:val="clear" w:color="auto" w:fill="auto"/>
            <w:vAlign w:val="center"/>
          </w:tcPr>
          <w:p w14:paraId="3388C9D9">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8</w:t>
            </w:r>
          </w:p>
        </w:tc>
        <w:tc>
          <w:tcPr>
            <w:tcW w:w="751" w:type="pct"/>
            <w:shd w:val="clear" w:color="auto" w:fill="auto"/>
            <w:vAlign w:val="center"/>
          </w:tcPr>
          <w:p w14:paraId="4A9ABD3F">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是否允许大中企业向小微企业分包</w:t>
            </w:r>
          </w:p>
        </w:tc>
        <w:tc>
          <w:tcPr>
            <w:tcW w:w="3909" w:type="pct"/>
            <w:shd w:val="clear" w:color="auto" w:fill="auto"/>
            <w:vAlign w:val="center"/>
          </w:tcPr>
          <w:p w14:paraId="08CC67BC">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none"/>
              </w:rPr>
            </w:pPr>
            <w:sdt>
              <w:sdtPr>
                <w:rPr>
                  <w:rFonts w:hint="eastAsia" w:ascii="宋体" w:hAnsi="宋体" w:eastAsia="宋体" w:cs="宋体"/>
                  <w:sz w:val="24"/>
                  <w:szCs w:val="24"/>
                  <w:highlight w:val="none"/>
                </w:rPr>
                <w:id w:val="365725084"/>
                <w14:checkbox>
                  <w14:checked w14:val="0"/>
                  <w14:checkedState w14:val="2611" w14:font="MS Gothic"/>
                  <w14:uncheckedState w14:val="2610" w14:font="MS Gothic"/>
                </w14:checkbox>
              </w:sdtPr>
              <w:sdtEndPr>
                <w:rPr>
                  <w:rFonts w:hint="eastAsia" w:ascii="宋体" w:hAnsi="宋体" w:eastAsia="宋体" w:cs="宋体"/>
                  <w:sz w:val="24"/>
                  <w:szCs w:val="24"/>
                  <w:highlight w:val="none"/>
                </w:rPr>
              </w:sdtEndPr>
              <w:sdtContent>
                <w:r>
                  <w:rPr>
                    <w:rFonts w:hint="eastAsia" w:ascii="宋体" w:hAnsi="宋体" w:eastAsia="宋体" w:cs="宋体"/>
                    <w:sz w:val="24"/>
                    <w:szCs w:val="24"/>
                    <w:highlight w:val="none"/>
                    <w:lang w:val="en-US" w:eastAsia="zh-CN" w:bidi="ar-SA"/>
                  </w:rPr>
                  <w:t>☐</w:t>
                </w:r>
              </w:sdtContent>
            </w:sdt>
            <w:r>
              <w:rPr>
                <w:rFonts w:hint="eastAsia" w:ascii="宋体" w:hAnsi="宋体" w:eastAsia="宋体" w:cs="宋体"/>
                <w:sz w:val="24"/>
                <w:szCs w:val="24"/>
                <w:highlight w:val="none"/>
              </w:rPr>
              <w:t xml:space="preserve">是  </w:t>
            </w:r>
            <w:sdt>
              <w:sdtPr>
                <w:rPr>
                  <w:rFonts w:hint="eastAsia" w:ascii="宋体" w:hAnsi="宋体" w:eastAsia="宋体" w:cs="宋体"/>
                  <w:sz w:val="24"/>
                  <w:szCs w:val="24"/>
                  <w:highlight w:val="none"/>
                </w:rPr>
                <w:id w:val="-54473539"/>
                <w14:checkbox>
                  <w14:checked w14:val="1"/>
                  <w14:checkedState w14:val="2611" w14:font="MS Gothic"/>
                  <w14:uncheckedState w14:val="2610" w14:font="MS Gothic"/>
                </w14:checkbox>
              </w:sdtPr>
              <w:sdtEndPr>
                <w:rPr>
                  <w:rFonts w:hint="eastAsia" w:ascii="宋体" w:hAnsi="宋体" w:eastAsia="宋体" w:cs="宋体"/>
                  <w:sz w:val="24"/>
                  <w:szCs w:val="24"/>
                  <w:highlight w:val="none"/>
                </w:rPr>
              </w:sdtEndPr>
              <w:sdtContent>
                <w:r>
                  <w:rPr>
                    <w:rFonts w:hint="eastAsia" w:ascii="宋体" w:hAnsi="宋体" w:eastAsia="宋体" w:cs="宋体"/>
                    <w:sz w:val="24"/>
                    <w:szCs w:val="24"/>
                    <w:highlight w:val="none"/>
                    <w:lang w:val="en-US" w:eastAsia="zh-CN" w:bidi="ar-SA"/>
                  </w:rPr>
                  <w:t>☑</w:t>
                </w:r>
              </w:sdtContent>
            </w:sdt>
            <w:r>
              <w:rPr>
                <w:rFonts w:hint="eastAsia" w:ascii="宋体" w:hAnsi="宋体" w:eastAsia="宋体" w:cs="宋体"/>
                <w:sz w:val="24"/>
                <w:szCs w:val="24"/>
                <w:highlight w:val="none"/>
              </w:rPr>
              <w:t>否</w:t>
            </w:r>
          </w:p>
        </w:tc>
      </w:tr>
      <w:tr w14:paraId="0047582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9" w:type="pct"/>
            <w:shd w:val="clear" w:color="auto" w:fill="auto"/>
            <w:vAlign w:val="center"/>
          </w:tcPr>
          <w:p w14:paraId="34E5082B">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9</w:t>
            </w:r>
          </w:p>
        </w:tc>
        <w:tc>
          <w:tcPr>
            <w:tcW w:w="751" w:type="pct"/>
            <w:shd w:val="clear" w:color="auto" w:fill="auto"/>
            <w:vAlign w:val="center"/>
          </w:tcPr>
          <w:p w14:paraId="64266020">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none"/>
              </w:rPr>
            </w:pPr>
            <w:r>
              <w:rPr>
                <w:rFonts w:hint="eastAsia" w:ascii="宋体" w:hAnsi="宋体" w:eastAsia="宋体" w:cs="宋体"/>
                <w:color w:val="auto"/>
                <w:sz w:val="24"/>
                <w:szCs w:val="24"/>
                <w:highlight w:val="none"/>
              </w:rPr>
              <w:t>采购内容</w:t>
            </w:r>
          </w:p>
        </w:tc>
        <w:tc>
          <w:tcPr>
            <w:tcW w:w="3909" w:type="pct"/>
            <w:shd w:val="clear" w:color="auto" w:fill="auto"/>
            <w:vAlign w:val="center"/>
          </w:tcPr>
          <w:p w14:paraId="74DD5176">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sz w:val="24"/>
                <w:szCs w:val="24"/>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2025年全区学校教育教学设施设备采购项目第二批次(信息化及多媒体类部室)第四包，</w:t>
            </w:r>
            <w:r>
              <w:rPr>
                <w:rFonts w:hint="eastAsia" w:ascii="宋体" w:hAnsi="宋体" w:eastAsia="宋体" w:cs="宋体"/>
                <w:color w:val="auto"/>
                <w:sz w:val="24"/>
                <w:szCs w:val="24"/>
                <w:highlight w:val="none"/>
                <w:lang w:eastAsia="zh-CN"/>
              </w:rPr>
              <w:t>详见第三章</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eastAsia="zh-CN"/>
              </w:rPr>
              <w:t>招标内容及要求</w:t>
            </w:r>
            <w:r>
              <w:rPr>
                <w:rFonts w:hint="eastAsia" w:ascii="宋体" w:hAnsi="宋体" w:eastAsia="宋体" w:cs="宋体"/>
                <w:color w:val="auto"/>
                <w:sz w:val="24"/>
                <w:szCs w:val="24"/>
                <w:highlight w:val="none"/>
              </w:rPr>
              <w:t>。</w:t>
            </w:r>
          </w:p>
        </w:tc>
      </w:tr>
      <w:tr w14:paraId="5C403AE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9" w:type="pct"/>
            <w:shd w:val="clear" w:color="auto" w:fill="auto"/>
            <w:vAlign w:val="center"/>
          </w:tcPr>
          <w:p w14:paraId="3D857A95">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10</w:t>
            </w:r>
          </w:p>
        </w:tc>
        <w:tc>
          <w:tcPr>
            <w:tcW w:w="751" w:type="pct"/>
            <w:shd w:val="clear" w:color="auto" w:fill="auto"/>
            <w:vAlign w:val="center"/>
          </w:tcPr>
          <w:p w14:paraId="7141EAA4">
            <w:pPr>
              <w:pStyle w:val="16"/>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bidi="ar-SA"/>
              </w:rPr>
              <w:t>交付期</w:t>
            </w:r>
          </w:p>
        </w:tc>
        <w:tc>
          <w:tcPr>
            <w:tcW w:w="3909" w:type="pct"/>
            <w:shd w:val="clear" w:color="auto" w:fill="auto"/>
            <w:vAlign w:val="center"/>
          </w:tcPr>
          <w:p w14:paraId="2506F0A2">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sz w:val="24"/>
                <w:szCs w:val="24"/>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2025年8月25日前完成供货、安装、调试。</w:t>
            </w:r>
          </w:p>
        </w:tc>
      </w:tr>
      <w:tr w14:paraId="4660B01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9" w:type="pct"/>
            <w:shd w:val="clear" w:color="auto" w:fill="auto"/>
            <w:vAlign w:val="center"/>
          </w:tcPr>
          <w:p w14:paraId="4C2667FF">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11</w:t>
            </w:r>
          </w:p>
        </w:tc>
        <w:tc>
          <w:tcPr>
            <w:tcW w:w="751" w:type="pct"/>
            <w:shd w:val="clear" w:color="auto" w:fill="auto"/>
            <w:vAlign w:val="center"/>
          </w:tcPr>
          <w:p w14:paraId="140DF664">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bidi="ar-SA"/>
              </w:rPr>
              <w:t>交付</w:t>
            </w:r>
            <w:r>
              <w:rPr>
                <w:rFonts w:hint="eastAsia" w:ascii="宋体" w:hAnsi="宋体" w:eastAsia="宋体" w:cs="宋体"/>
                <w:color w:val="auto"/>
                <w:sz w:val="24"/>
                <w:szCs w:val="24"/>
                <w:highlight w:val="none"/>
                <w:lang w:eastAsia="zh-CN"/>
              </w:rPr>
              <w:t>地点</w:t>
            </w:r>
          </w:p>
        </w:tc>
        <w:tc>
          <w:tcPr>
            <w:tcW w:w="3909" w:type="pct"/>
            <w:shd w:val="clear" w:color="auto" w:fill="auto"/>
            <w:vAlign w:val="center"/>
          </w:tcPr>
          <w:p w14:paraId="53F7C4F5">
            <w:pPr>
              <w:keepNext w:val="0"/>
              <w:keepLines w:val="0"/>
              <w:pageBreakBefore w:val="0"/>
              <w:kinsoku/>
              <w:wordWrap/>
              <w:overflowPunct/>
              <w:topLinePunct w:val="0"/>
              <w:autoSpaceDE/>
              <w:autoSpaceDN/>
              <w:bidi w:val="0"/>
              <w:adjustRightInd/>
              <w:snapToGrid/>
              <w:spacing w:line="240" w:lineRule="auto"/>
              <w:jc w:val="left"/>
              <w:rPr>
                <w:rFonts w:hint="eastAsia" w:ascii="宋体" w:hAnsi="宋体" w:eastAsia="宋体" w:cs="宋体"/>
                <w:sz w:val="24"/>
                <w:szCs w:val="24"/>
                <w:highlight w:val="none"/>
                <w:lang w:val="en-US" w:eastAsia="zh-CN"/>
              </w:rPr>
            </w:pPr>
            <w:r>
              <w:rPr>
                <w:rFonts w:hint="eastAsia" w:ascii="宋体" w:hAnsi="宋体" w:eastAsia="宋体" w:cs="宋体"/>
                <w:color w:val="auto"/>
                <w:sz w:val="24"/>
                <w:szCs w:val="24"/>
                <w:highlight w:val="none"/>
                <w:lang w:eastAsia="zh-CN"/>
              </w:rPr>
              <w:t>采购人指定地点</w:t>
            </w:r>
          </w:p>
        </w:tc>
      </w:tr>
      <w:tr w14:paraId="3732643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9" w:type="pct"/>
            <w:shd w:val="clear" w:color="auto" w:fill="auto"/>
            <w:vAlign w:val="center"/>
          </w:tcPr>
          <w:p w14:paraId="761E92C0">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12</w:t>
            </w:r>
          </w:p>
        </w:tc>
        <w:tc>
          <w:tcPr>
            <w:tcW w:w="751" w:type="pct"/>
            <w:shd w:val="clear" w:color="auto" w:fill="auto"/>
            <w:vAlign w:val="center"/>
          </w:tcPr>
          <w:p w14:paraId="7054E263">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none"/>
                <w:lang w:val="en-US" w:eastAsia="zh-CN" w:bidi="ar-SA"/>
              </w:rPr>
            </w:pPr>
            <w:r>
              <w:rPr>
                <w:rFonts w:hint="eastAsia" w:ascii="宋体" w:hAnsi="宋体" w:eastAsia="宋体" w:cs="宋体"/>
                <w:color w:val="auto"/>
                <w:sz w:val="24"/>
                <w:szCs w:val="24"/>
                <w:highlight w:val="none"/>
                <w:lang w:eastAsia="zh-CN"/>
              </w:rPr>
              <w:t>质保期</w:t>
            </w:r>
          </w:p>
        </w:tc>
        <w:tc>
          <w:tcPr>
            <w:tcW w:w="3909" w:type="pct"/>
            <w:shd w:val="clear" w:color="auto" w:fill="auto"/>
            <w:vAlign w:val="center"/>
          </w:tcPr>
          <w:p w14:paraId="1C9FD7DB">
            <w:pPr>
              <w:keepNext w:val="0"/>
              <w:keepLines w:val="0"/>
              <w:pageBreakBefore w:val="0"/>
              <w:kinsoku/>
              <w:wordWrap/>
              <w:overflowPunct/>
              <w:topLinePunct w:val="0"/>
              <w:autoSpaceDE/>
              <w:autoSpaceDN/>
              <w:bidi w:val="0"/>
              <w:adjustRightInd/>
              <w:snapToGrid/>
              <w:spacing w:line="240" w:lineRule="auto"/>
              <w:jc w:val="left"/>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自终验合格之日起2年。</w:t>
            </w:r>
          </w:p>
        </w:tc>
      </w:tr>
      <w:tr w14:paraId="1BBCBA6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86" w:hRule="atLeast"/>
          <w:jc w:val="center"/>
        </w:trPr>
        <w:tc>
          <w:tcPr>
            <w:tcW w:w="339" w:type="pct"/>
            <w:shd w:val="clear" w:color="auto" w:fill="auto"/>
            <w:vAlign w:val="center"/>
          </w:tcPr>
          <w:p w14:paraId="4E947F28">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13</w:t>
            </w:r>
          </w:p>
        </w:tc>
        <w:tc>
          <w:tcPr>
            <w:tcW w:w="751" w:type="pct"/>
            <w:shd w:val="clear" w:color="auto" w:fill="auto"/>
            <w:vAlign w:val="center"/>
          </w:tcPr>
          <w:p w14:paraId="2986B69A">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none"/>
              </w:rPr>
            </w:pPr>
            <w:r>
              <w:rPr>
                <w:rFonts w:hint="eastAsia" w:ascii="宋体" w:hAnsi="宋体" w:eastAsia="宋体" w:cs="宋体"/>
                <w:color w:val="auto"/>
                <w:sz w:val="24"/>
                <w:szCs w:val="24"/>
                <w:highlight w:val="none"/>
              </w:rPr>
              <w:t>质量要求</w:t>
            </w:r>
          </w:p>
        </w:tc>
        <w:tc>
          <w:tcPr>
            <w:tcW w:w="3909" w:type="pct"/>
            <w:shd w:val="clear" w:color="auto" w:fill="auto"/>
            <w:vAlign w:val="center"/>
          </w:tcPr>
          <w:p w14:paraId="56AB2639">
            <w:pPr>
              <w:keepNext w:val="0"/>
              <w:keepLines w:val="0"/>
              <w:pageBreakBefore w:val="0"/>
              <w:kinsoku/>
              <w:wordWrap/>
              <w:overflowPunct/>
              <w:topLinePunct w:val="0"/>
              <w:autoSpaceDE/>
              <w:autoSpaceDN/>
              <w:bidi w:val="0"/>
              <w:adjustRightInd/>
              <w:snapToGrid/>
              <w:spacing w:line="240" w:lineRule="auto"/>
              <w:jc w:val="left"/>
              <w:rPr>
                <w:rFonts w:hint="eastAsia" w:ascii="宋体" w:hAnsi="宋体" w:eastAsia="宋体" w:cs="宋体"/>
                <w:sz w:val="24"/>
                <w:szCs w:val="24"/>
                <w:highlight w:val="none"/>
                <w:lang w:eastAsia="zh-CN"/>
              </w:rPr>
            </w:pPr>
            <w:r>
              <w:rPr>
                <w:rFonts w:hint="eastAsia" w:ascii="宋体" w:hAnsi="宋体" w:eastAsia="宋体" w:cs="宋体"/>
                <w:color w:val="auto"/>
                <w:sz w:val="24"/>
                <w:szCs w:val="24"/>
                <w:highlight w:val="none"/>
                <w:lang w:eastAsia="zh-CN"/>
              </w:rPr>
              <w:t>符合国家</w:t>
            </w:r>
            <w:r>
              <w:rPr>
                <w:rFonts w:hint="eastAsia" w:ascii="宋体" w:hAnsi="宋体" w:eastAsia="宋体" w:cs="宋体"/>
                <w:color w:val="auto"/>
                <w:sz w:val="24"/>
                <w:szCs w:val="24"/>
                <w:highlight w:val="none"/>
                <w:lang w:val="en-US" w:eastAsia="zh-CN"/>
              </w:rPr>
              <w:t>及行业</w:t>
            </w:r>
            <w:r>
              <w:rPr>
                <w:rFonts w:hint="eastAsia" w:ascii="宋体" w:hAnsi="宋体" w:eastAsia="宋体" w:cs="宋体"/>
                <w:color w:val="auto"/>
                <w:sz w:val="24"/>
                <w:szCs w:val="24"/>
                <w:highlight w:val="none"/>
                <w:lang w:eastAsia="zh-CN"/>
              </w:rPr>
              <w:t>有关现行规范、标准的要求</w:t>
            </w:r>
          </w:p>
        </w:tc>
      </w:tr>
      <w:tr w14:paraId="1E7B7A5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9" w:type="pct"/>
            <w:shd w:val="clear" w:color="auto" w:fill="auto"/>
            <w:vAlign w:val="center"/>
          </w:tcPr>
          <w:p w14:paraId="0CDAB323">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14</w:t>
            </w:r>
          </w:p>
        </w:tc>
        <w:tc>
          <w:tcPr>
            <w:tcW w:w="751" w:type="pct"/>
            <w:shd w:val="clear" w:color="auto" w:fill="auto"/>
            <w:vAlign w:val="center"/>
          </w:tcPr>
          <w:p w14:paraId="03D155F1">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付款方式</w:t>
            </w:r>
          </w:p>
        </w:tc>
        <w:tc>
          <w:tcPr>
            <w:tcW w:w="3909" w:type="pct"/>
            <w:shd w:val="clear" w:color="auto" w:fill="auto"/>
            <w:vAlign w:val="center"/>
          </w:tcPr>
          <w:p w14:paraId="31B31AB3">
            <w:pPr>
              <w:keepNext w:val="0"/>
              <w:keepLines w:val="0"/>
              <w:pageBreakBefore w:val="0"/>
              <w:kinsoku/>
              <w:wordWrap/>
              <w:overflowPunct/>
              <w:topLinePunct w:val="0"/>
              <w:autoSpaceDE/>
              <w:autoSpaceDN/>
              <w:bidi w:val="0"/>
              <w:adjustRightInd/>
              <w:snapToGrid/>
              <w:spacing w:line="240" w:lineRule="auto"/>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1.预付款支付条款：</w:t>
            </w:r>
          </w:p>
          <w:p w14:paraId="2896BC9A">
            <w:pPr>
              <w:keepNext w:val="0"/>
              <w:keepLines w:val="0"/>
              <w:pageBreakBefore w:val="0"/>
              <w:kinsoku/>
              <w:wordWrap/>
              <w:overflowPunct/>
              <w:topLinePunct w:val="0"/>
              <w:autoSpaceDE/>
              <w:autoSpaceDN/>
              <w:bidi w:val="0"/>
              <w:adjustRightInd/>
              <w:snapToGrid/>
              <w:spacing w:line="240" w:lineRule="auto"/>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（1）本合同设置预付款：</w:t>
            </w:r>
          </w:p>
          <w:p w14:paraId="1BC289E2">
            <w:pPr>
              <w:keepNext w:val="0"/>
              <w:keepLines w:val="0"/>
              <w:pageBreakBefore w:val="0"/>
              <w:kinsoku/>
              <w:wordWrap/>
              <w:overflowPunct/>
              <w:topLinePunct w:val="0"/>
              <w:autoSpaceDE/>
              <w:autoSpaceDN/>
              <w:bidi w:val="0"/>
              <w:adjustRightInd/>
              <w:snapToGrid/>
              <w:spacing w:line="240" w:lineRule="auto"/>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（2）预付款金额：合同总价的30%；</w:t>
            </w:r>
          </w:p>
          <w:p w14:paraId="549E1A77">
            <w:pPr>
              <w:keepNext w:val="0"/>
              <w:keepLines w:val="0"/>
              <w:pageBreakBefore w:val="0"/>
              <w:kinsoku/>
              <w:wordWrap/>
              <w:overflowPunct/>
              <w:topLinePunct w:val="0"/>
              <w:autoSpaceDE/>
              <w:autoSpaceDN/>
              <w:bidi w:val="0"/>
              <w:adjustRightInd/>
              <w:snapToGrid/>
              <w:spacing w:line="240" w:lineRule="auto"/>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3）其他：本项目预付款是根据政府采购相关政策规定要求，甲方为帮助乙方解决项目前期启动资金困难，保证乙方更有条件履行合同的保障性支援性资金。乙方应保证该资金用于项目前期各项工作费用，不得挪作他用，若因此项目进展受到影响，乙方承担由此引起的所有责任。</w:t>
            </w:r>
          </w:p>
          <w:p w14:paraId="199B8693">
            <w:pPr>
              <w:keepNext w:val="0"/>
              <w:keepLines w:val="0"/>
              <w:pageBreakBefore w:val="0"/>
              <w:kinsoku/>
              <w:wordWrap/>
              <w:overflowPunct/>
              <w:topLinePunct w:val="0"/>
              <w:autoSpaceDE/>
              <w:autoSpaceDN/>
              <w:bidi w:val="0"/>
              <w:adjustRightInd/>
              <w:snapToGrid/>
              <w:spacing w:line="240" w:lineRule="auto"/>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2.剩余款项支付条款：</w:t>
            </w:r>
          </w:p>
          <w:p w14:paraId="5AE8ED82">
            <w:pPr>
              <w:keepNext w:val="0"/>
              <w:keepLines w:val="0"/>
              <w:pageBreakBefore w:val="0"/>
              <w:kinsoku/>
              <w:wordWrap/>
              <w:overflowPunct/>
              <w:topLinePunct w:val="0"/>
              <w:autoSpaceDE/>
              <w:autoSpaceDN/>
              <w:bidi w:val="0"/>
              <w:adjustRightInd/>
              <w:snapToGrid/>
              <w:spacing w:line="240" w:lineRule="auto"/>
              <w:jc w:val="left"/>
              <w:rPr>
                <w:rFonts w:hint="eastAsia" w:ascii="宋体" w:hAnsi="宋体" w:eastAsia="宋体" w:cs="宋体"/>
                <w:sz w:val="24"/>
                <w:szCs w:val="24"/>
                <w:highlight w:val="none"/>
                <w:lang w:eastAsia="zh-CN"/>
              </w:rPr>
            </w:pPr>
            <w:r>
              <w:rPr>
                <w:rFonts w:hint="eastAsia" w:ascii="宋体" w:hAnsi="宋体" w:eastAsia="宋体" w:cs="宋体"/>
                <w:color w:val="auto"/>
                <w:sz w:val="24"/>
                <w:szCs w:val="24"/>
                <w:highlight w:val="none"/>
                <w:lang w:eastAsia="zh-CN"/>
              </w:rPr>
              <w:t>项目最终验收合格后，支付合同总价的70%。注：乙方应向甲方出具符合国家财税规定的增值税发票，否则甲方有权延迟履行付款义务。如因乙方缘故（如开具增值税发票延误等）导致甲方无法按时付款，甲方不承担违约责任。如遇突发事件，付款日期则以实际付款日期为准。</w:t>
            </w:r>
          </w:p>
        </w:tc>
      </w:tr>
      <w:tr w14:paraId="1AF1EE7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9" w:type="pct"/>
            <w:shd w:val="clear" w:color="auto" w:fill="auto"/>
            <w:vAlign w:val="center"/>
          </w:tcPr>
          <w:p w14:paraId="78F6406D">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15</w:t>
            </w:r>
          </w:p>
        </w:tc>
        <w:tc>
          <w:tcPr>
            <w:tcW w:w="751" w:type="pct"/>
            <w:shd w:val="clear" w:color="auto" w:fill="auto"/>
            <w:vAlign w:val="center"/>
          </w:tcPr>
          <w:p w14:paraId="0509A56F">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none"/>
              </w:rPr>
            </w:pPr>
            <w:r>
              <w:rPr>
                <w:rFonts w:hint="eastAsia" w:ascii="宋体" w:hAnsi="宋体" w:eastAsia="宋体" w:cs="宋体"/>
                <w:color w:val="auto"/>
                <w:sz w:val="24"/>
                <w:szCs w:val="24"/>
                <w:highlight w:val="none"/>
              </w:rPr>
              <w:t>供应商资质条件</w:t>
            </w:r>
          </w:p>
        </w:tc>
        <w:tc>
          <w:tcPr>
            <w:tcW w:w="3909" w:type="pct"/>
            <w:shd w:val="clear" w:color="auto" w:fill="auto"/>
            <w:vAlign w:val="center"/>
          </w:tcPr>
          <w:p w14:paraId="68802E02">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jc w:val="both"/>
              <w:textAlignment w:val="baseline"/>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sz w:val="24"/>
                <w:szCs w:val="24"/>
                <w:highlight w:val="none"/>
                <w:shd w:val="clear" w:color="auto" w:fill="FFFFFF"/>
                <w:vertAlign w:val="baseline"/>
                <w:lang w:eastAsia="zh-CN"/>
              </w:rPr>
              <w:t>（</w:t>
            </w:r>
            <w:r>
              <w:rPr>
                <w:rFonts w:hint="eastAsia" w:ascii="宋体" w:hAnsi="宋体" w:eastAsia="宋体" w:cs="宋体"/>
                <w:i w:val="0"/>
                <w:iCs w:val="0"/>
                <w:caps w:val="0"/>
                <w:color w:val="auto"/>
                <w:spacing w:val="0"/>
                <w:sz w:val="24"/>
                <w:szCs w:val="24"/>
                <w:highlight w:val="none"/>
                <w:shd w:val="clear" w:color="auto" w:fill="FFFFFF"/>
                <w:vertAlign w:val="baseline"/>
                <w:lang w:val="en-US" w:eastAsia="zh-CN"/>
              </w:rPr>
              <w:t>1</w:t>
            </w:r>
            <w:r>
              <w:rPr>
                <w:rFonts w:hint="eastAsia" w:ascii="宋体" w:hAnsi="宋体" w:eastAsia="宋体" w:cs="宋体"/>
                <w:i w:val="0"/>
                <w:iCs w:val="0"/>
                <w:caps w:val="0"/>
                <w:color w:val="auto"/>
                <w:spacing w:val="0"/>
                <w:sz w:val="24"/>
                <w:szCs w:val="24"/>
                <w:highlight w:val="none"/>
                <w:shd w:val="clear" w:color="auto" w:fill="FFFFFF"/>
                <w:vertAlign w:val="baseline"/>
                <w:lang w:eastAsia="zh-CN"/>
              </w:rPr>
              <w:t>）</w:t>
            </w:r>
            <w:r>
              <w:rPr>
                <w:rFonts w:hint="eastAsia" w:ascii="宋体" w:hAnsi="宋体" w:eastAsia="宋体" w:cs="宋体"/>
                <w:i w:val="0"/>
                <w:iCs w:val="0"/>
                <w:caps w:val="0"/>
                <w:color w:val="auto"/>
                <w:spacing w:val="0"/>
                <w:sz w:val="24"/>
                <w:szCs w:val="24"/>
                <w:highlight w:val="none"/>
                <w:shd w:val="clear" w:color="auto" w:fill="FFFFFF"/>
                <w:vertAlign w:val="baseline"/>
              </w:rPr>
              <w:t>基本资格条件：符合《中华人民共和国政府采购法》第二十二条的规定；</w:t>
            </w:r>
          </w:p>
          <w:p w14:paraId="7B9FD95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right="0" w:rightChars="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1.有效的主体资格证明：提供合格有效的法人或者其他组织的营业执照等证明文件或自然人的身份证明；</w:t>
            </w:r>
          </w:p>
          <w:p w14:paraId="5D8C78F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right="0" w:rightChars="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2.基本资格条件：符合《中华人民共和国政府采购法》第二十二条的规定；</w:t>
            </w:r>
          </w:p>
          <w:p w14:paraId="2B82A7F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right="0" w:rightChars="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供应商应授权合法的人员参加投标全过程，其中法定代表人直接参加投标的，须出具法定代表人身份证，并与营业执照上信息一致。法定代表人授权代表参加投标的，须出具法定代表人授权书及授权代表身份证，授权代表须提供近六个月中任一个月缴纳社保证明复印件并加盖单位公章；</w:t>
            </w:r>
          </w:p>
          <w:p w14:paraId="1E8EBB3E">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right="0" w:rightChars="0"/>
              <w:jc w:val="left"/>
              <w:textAlignment w:val="baseline"/>
              <w:outlineLvl w:val="9"/>
              <w:rPr>
                <w:rFonts w:hint="eastAsia" w:ascii="宋体" w:hAnsi="宋体" w:eastAsia="宋体" w:cs="宋体"/>
                <w:sz w:val="24"/>
                <w:szCs w:val="24"/>
                <w:highlight w:val="none"/>
                <w:lang w:eastAsia="zh-CN"/>
              </w:rPr>
            </w:pPr>
            <w:r>
              <w:rPr>
                <w:rFonts w:hint="eastAsia" w:ascii="宋体" w:hAnsi="宋体" w:eastAsia="宋体" w:cs="宋体"/>
                <w:i w:val="0"/>
                <w:iCs w:val="0"/>
                <w:caps w:val="0"/>
                <w:color w:val="auto"/>
                <w:spacing w:val="0"/>
                <w:kern w:val="0"/>
                <w:sz w:val="24"/>
                <w:szCs w:val="24"/>
                <w:highlight w:val="none"/>
                <w:u w:val="none"/>
                <w:lang w:val="en-US" w:eastAsia="zh-CN" w:bidi="ar-SA"/>
              </w:rPr>
              <w:t>4.单位负责人为同一人或者存在直接控股、管理关系的不同供应商，不得参加同一合同项下的政府采购活动。</w:t>
            </w:r>
          </w:p>
        </w:tc>
      </w:tr>
      <w:tr w14:paraId="7937CF4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9" w:type="pct"/>
            <w:shd w:val="clear" w:color="auto" w:fill="auto"/>
            <w:vAlign w:val="center"/>
          </w:tcPr>
          <w:p w14:paraId="4B752E41">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16</w:t>
            </w:r>
          </w:p>
        </w:tc>
        <w:tc>
          <w:tcPr>
            <w:tcW w:w="751" w:type="pct"/>
            <w:shd w:val="clear" w:color="auto" w:fill="auto"/>
            <w:vAlign w:val="center"/>
          </w:tcPr>
          <w:p w14:paraId="3AD77CC4">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投标保证金</w:t>
            </w:r>
          </w:p>
        </w:tc>
        <w:tc>
          <w:tcPr>
            <w:tcW w:w="3909" w:type="pct"/>
            <w:shd w:val="clear" w:color="auto" w:fill="auto"/>
            <w:vAlign w:val="center"/>
          </w:tcPr>
          <w:p w14:paraId="6A1D256C">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无</w:t>
            </w:r>
          </w:p>
        </w:tc>
      </w:tr>
      <w:tr w14:paraId="46389C6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9" w:type="pct"/>
            <w:shd w:val="clear" w:color="auto" w:fill="auto"/>
            <w:vAlign w:val="center"/>
          </w:tcPr>
          <w:p w14:paraId="171686B1">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17</w:t>
            </w:r>
          </w:p>
        </w:tc>
        <w:tc>
          <w:tcPr>
            <w:tcW w:w="751" w:type="pct"/>
            <w:shd w:val="clear" w:color="auto" w:fill="auto"/>
            <w:vAlign w:val="center"/>
          </w:tcPr>
          <w:p w14:paraId="1B1805CA">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履约保证金</w:t>
            </w:r>
          </w:p>
        </w:tc>
        <w:tc>
          <w:tcPr>
            <w:tcW w:w="3909" w:type="pct"/>
            <w:shd w:val="clear" w:color="auto" w:fill="auto"/>
            <w:vAlign w:val="center"/>
          </w:tcPr>
          <w:p w14:paraId="213EED74">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根据陕西省财政厅关于落实政府采购支持中小企业政策有关事项的通知《陕财办采函〔2022〕10号》货物和服务采购项目为保证采购合同的履行，确需收取履约保证金的，应在采购文件中约定履约保证金收取要求，收取比例不超过合同金额的5%。</w:t>
            </w:r>
          </w:p>
          <w:p w14:paraId="3E195A74">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供应商应在领取中标通知书后5个工作日内将履约保证金足额交纳至以下账户，其数额（或担保金额）为合同金额的〈0-10〉%（舍入到百元），履约保证金由采购代理机构代收和退还\采购人自行收取和退还。</w:t>
            </w:r>
          </w:p>
          <w:p w14:paraId="109689A8">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户　名：_____________________________</w:t>
            </w:r>
          </w:p>
          <w:p w14:paraId="6D72516F">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账　号：_____________________________</w:t>
            </w:r>
          </w:p>
          <w:p w14:paraId="2633CE9D">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开户行：_____________________________</w:t>
            </w:r>
          </w:p>
          <w:p w14:paraId="20B16674">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业务咨询电话：_______________________</w:t>
            </w:r>
          </w:p>
          <w:p w14:paraId="2BAFFB0E">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本项目无</w:t>
            </w:r>
            <w:r>
              <w:rPr>
                <w:rFonts w:hint="eastAsia" w:ascii="宋体" w:hAnsi="宋体" w:eastAsia="宋体" w:cs="宋体"/>
                <w:sz w:val="24"/>
                <w:szCs w:val="24"/>
                <w:highlight w:val="none"/>
              </w:rPr>
              <w:t>履约保证金</w:t>
            </w:r>
            <w:r>
              <w:rPr>
                <w:rFonts w:hint="eastAsia" w:ascii="宋体" w:hAnsi="宋体" w:eastAsia="宋体" w:cs="宋体"/>
                <w:sz w:val="24"/>
                <w:szCs w:val="24"/>
                <w:highlight w:val="none"/>
                <w:lang w:eastAsia="zh-CN"/>
              </w:rPr>
              <w:t>。</w:t>
            </w:r>
          </w:p>
        </w:tc>
      </w:tr>
      <w:tr w14:paraId="56B1B3B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9" w:type="pct"/>
            <w:shd w:val="clear" w:color="auto" w:fill="auto"/>
            <w:vAlign w:val="center"/>
          </w:tcPr>
          <w:p w14:paraId="7279BBE9">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18</w:t>
            </w:r>
          </w:p>
        </w:tc>
        <w:tc>
          <w:tcPr>
            <w:tcW w:w="751" w:type="pct"/>
            <w:shd w:val="clear" w:color="auto" w:fill="auto"/>
            <w:vAlign w:val="center"/>
          </w:tcPr>
          <w:p w14:paraId="6DEC48E0">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投标文件份数</w:t>
            </w:r>
          </w:p>
        </w:tc>
        <w:tc>
          <w:tcPr>
            <w:tcW w:w="3909" w:type="pct"/>
            <w:shd w:val="clear" w:color="auto" w:fill="auto"/>
            <w:vAlign w:val="center"/>
          </w:tcPr>
          <w:p w14:paraId="5EDD2AF2">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投标供应商无需提供；</w:t>
            </w:r>
          </w:p>
          <w:p w14:paraId="384753A1">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中标供应商在领取中标通知书时</w:t>
            </w:r>
            <w:r>
              <w:rPr>
                <w:rFonts w:hint="eastAsia" w:ascii="宋体" w:hAnsi="宋体" w:eastAsia="宋体" w:cs="宋体"/>
                <w:sz w:val="24"/>
                <w:szCs w:val="24"/>
                <w:highlight w:val="none"/>
                <w:lang w:eastAsia="zh-CN"/>
              </w:rPr>
              <w:t>提供</w:t>
            </w:r>
            <w:r>
              <w:rPr>
                <w:rFonts w:hint="eastAsia" w:ascii="宋体" w:hAnsi="宋体" w:eastAsia="宋体" w:cs="宋体"/>
                <w:sz w:val="24"/>
                <w:szCs w:val="24"/>
                <w:highlight w:val="none"/>
              </w:rPr>
              <w:t>正本壹份、副本贰份，电子版壹份</w:t>
            </w:r>
          </w:p>
        </w:tc>
      </w:tr>
      <w:tr w14:paraId="5B59F08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9" w:type="pct"/>
            <w:shd w:val="clear" w:color="auto" w:fill="auto"/>
            <w:vAlign w:val="center"/>
          </w:tcPr>
          <w:p w14:paraId="38A5E3CF">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19</w:t>
            </w:r>
          </w:p>
        </w:tc>
        <w:tc>
          <w:tcPr>
            <w:tcW w:w="751" w:type="pct"/>
            <w:shd w:val="clear" w:color="auto" w:fill="auto"/>
            <w:vAlign w:val="center"/>
          </w:tcPr>
          <w:p w14:paraId="31A922A9">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现场踏勘</w:t>
            </w:r>
          </w:p>
        </w:tc>
        <w:tc>
          <w:tcPr>
            <w:tcW w:w="3909" w:type="pct"/>
            <w:shd w:val="clear" w:color="auto" w:fill="auto"/>
            <w:vAlign w:val="center"/>
          </w:tcPr>
          <w:p w14:paraId="4B286BFE">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highlight w:val="none"/>
                <w:lang w:val="zh-TW" w:eastAsia="zh-CN"/>
              </w:rPr>
            </w:pPr>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lang w:val="zh-TW" w:eastAsia="zh-CN"/>
              </w:rPr>
              <w:t>由供应商自行踏勘现场，以便查明或核实有关编制投标文件和签订合同所必需的一切资料。</w:t>
            </w:r>
          </w:p>
          <w:p w14:paraId="23723AA1">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lang w:val="zh-TW" w:eastAsia="zh-CN"/>
              </w:rPr>
              <w:t>供应商应承担踏勘现场的责任和风险以及期间发生的一切费用，供应商若因踏勘现场而发生的人身伤亡、财物或其它损失，不论何种原因所造成，采购人和采购代理机构均不负责任。</w:t>
            </w:r>
          </w:p>
        </w:tc>
      </w:tr>
      <w:tr w14:paraId="5E119ED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9" w:type="pct"/>
            <w:shd w:val="clear" w:color="auto" w:fill="auto"/>
            <w:vAlign w:val="center"/>
          </w:tcPr>
          <w:p w14:paraId="2532A72F">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20</w:t>
            </w:r>
          </w:p>
        </w:tc>
        <w:tc>
          <w:tcPr>
            <w:tcW w:w="751" w:type="pct"/>
            <w:shd w:val="clear" w:color="auto" w:fill="auto"/>
            <w:vAlign w:val="center"/>
          </w:tcPr>
          <w:p w14:paraId="5CB29879">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政府采购信息发布媒体</w:t>
            </w:r>
          </w:p>
          <w:p w14:paraId="785EA47F">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（采购公告、采购结果公告、变更公告）</w:t>
            </w:r>
          </w:p>
        </w:tc>
        <w:tc>
          <w:tcPr>
            <w:tcW w:w="3909" w:type="pct"/>
            <w:shd w:val="clear" w:color="auto" w:fill="auto"/>
            <w:vAlign w:val="center"/>
          </w:tcPr>
          <w:p w14:paraId="20DE94C2">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1．陕西省政府采购网：仅提供项目公告，官网地址：http://ccgp-shaanxi.gov.cn/。</w:t>
            </w:r>
          </w:p>
          <w:p w14:paraId="4B0A78C5">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2．全国公共资源交易平台（陕西省·西安市）：即西安市公共资源交易平台，提供项目公告和采购文件下载。官网地址：http://sxggzyjy.xa.gov.cn/</w:t>
            </w:r>
          </w:p>
        </w:tc>
      </w:tr>
      <w:tr w14:paraId="69A86A3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605" w:hRule="atLeast"/>
          <w:jc w:val="center"/>
        </w:trPr>
        <w:tc>
          <w:tcPr>
            <w:tcW w:w="339" w:type="pct"/>
            <w:shd w:val="clear" w:color="auto" w:fill="auto"/>
            <w:vAlign w:val="center"/>
          </w:tcPr>
          <w:p w14:paraId="42A5508A">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21</w:t>
            </w:r>
          </w:p>
        </w:tc>
        <w:tc>
          <w:tcPr>
            <w:tcW w:w="751" w:type="pct"/>
            <w:shd w:val="clear" w:color="auto" w:fill="auto"/>
            <w:vAlign w:val="center"/>
          </w:tcPr>
          <w:p w14:paraId="5C538CA2">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询问和质疑</w:t>
            </w:r>
          </w:p>
        </w:tc>
        <w:tc>
          <w:tcPr>
            <w:tcW w:w="3909" w:type="pct"/>
            <w:shd w:val="clear" w:color="auto" w:fill="auto"/>
            <w:vAlign w:val="center"/>
          </w:tcPr>
          <w:p w14:paraId="655CD854">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见</w:t>
            </w:r>
            <w:r>
              <w:rPr>
                <w:rFonts w:hint="eastAsia" w:ascii="宋体" w:hAnsi="宋体" w:eastAsia="宋体" w:cs="宋体"/>
                <w:sz w:val="24"/>
                <w:szCs w:val="24"/>
                <w:highlight w:val="none"/>
                <w:lang w:eastAsia="zh-CN"/>
              </w:rPr>
              <w:t>招标公告</w:t>
            </w:r>
            <w:r>
              <w:rPr>
                <w:rFonts w:hint="eastAsia" w:ascii="宋体" w:hAnsi="宋体" w:eastAsia="宋体" w:cs="宋体"/>
                <w:sz w:val="24"/>
                <w:szCs w:val="24"/>
                <w:highlight w:val="none"/>
              </w:rPr>
              <w:t>中的“联系方式”</w:t>
            </w:r>
          </w:p>
        </w:tc>
      </w:tr>
      <w:tr w14:paraId="15EF0C3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9" w:type="pct"/>
            <w:shd w:val="clear" w:color="auto" w:fill="auto"/>
            <w:vAlign w:val="center"/>
          </w:tcPr>
          <w:p w14:paraId="75DA6522">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22</w:t>
            </w:r>
          </w:p>
        </w:tc>
        <w:tc>
          <w:tcPr>
            <w:tcW w:w="751" w:type="pct"/>
            <w:shd w:val="clear" w:color="auto" w:fill="auto"/>
            <w:vAlign w:val="center"/>
          </w:tcPr>
          <w:p w14:paraId="5392F347">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投诉受理</w:t>
            </w:r>
          </w:p>
        </w:tc>
        <w:tc>
          <w:tcPr>
            <w:tcW w:w="3909" w:type="pct"/>
            <w:shd w:val="clear" w:color="auto" w:fill="auto"/>
            <w:vAlign w:val="center"/>
          </w:tcPr>
          <w:p w14:paraId="41970FF9">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1．受理单位：</w:t>
            </w:r>
            <w:r>
              <w:rPr>
                <w:rFonts w:hint="eastAsia" w:ascii="宋体" w:hAnsi="宋体" w:eastAsia="宋体" w:cs="宋体"/>
                <w:sz w:val="24"/>
                <w:szCs w:val="24"/>
                <w:highlight w:val="none"/>
                <w:lang w:eastAsia="zh-CN"/>
              </w:rPr>
              <w:t>同级财政部门</w:t>
            </w:r>
          </w:p>
          <w:p w14:paraId="116BD797">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2．联系电话：029-</w:t>
            </w:r>
            <w:r>
              <w:rPr>
                <w:rFonts w:hint="eastAsia" w:ascii="宋体" w:hAnsi="宋体" w:eastAsia="宋体" w:cs="宋体"/>
                <w:sz w:val="24"/>
                <w:szCs w:val="24"/>
                <w:highlight w:val="none"/>
                <w:lang w:val="en-US" w:eastAsia="zh-CN"/>
              </w:rPr>
              <w:t>83521198</w:t>
            </w:r>
          </w:p>
          <w:p w14:paraId="0BD6E872">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3．地址：</w:t>
            </w:r>
            <w:r>
              <w:rPr>
                <w:rFonts w:hint="eastAsia" w:ascii="宋体" w:hAnsi="宋体" w:eastAsia="宋体" w:cs="宋体"/>
                <w:sz w:val="24"/>
                <w:szCs w:val="24"/>
                <w:highlight w:val="none"/>
                <w:lang w:eastAsia="zh-CN"/>
              </w:rPr>
              <w:t>西安市港务区港务大道</w:t>
            </w:r>
            <w:r>
              <w:rPr>
                <w:rFonts w:hint="eastAsia" w:ascii="宋体" w:hAnsi="宋体" w:eastAsia="宋体" w:cs="宋体"/>
                <w:sz w:val="24"/>
                <w:szCs w:val="24"/>
                <w:highlight w:val="none"/>
                <w:lang w:val="en-US" w:eastAsia="zh-CN"/>
              </w:rPr>
              <w:t>6号</w:t>
            </w:r>
          </w:p>
        </w:tc>
      </w:tr>
      <w:tr w14:paraId="6CB7C61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9" w:type="pct"/>
            <w:shd w:val="clear" w:color="auto" w:fill="auto"/>
            <w:vAlign w:val="center"/>
          </w:tcPr>
          <w:p w14:paraId="427ECCF3">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23</w:t>
            </w:r>
          </w:p>
        </w:tc>
        <w:tc>
          <w:tcPr>
            <w:tcW w:w="751" w:type="pct"/>
            <w:shd w:val="clear" w:color="auto" w:fill="auto"/>
            <w:vAlign w:val="center"/>
          </w:tcPr>
          <w:p w14:paraId="2D5C8579">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信用信息查询截至时点</w:t>
            </w:r>
          </w:p>
        </w:tc>
        <w:tc>
          <w:tcPr>
            <w:tcW w:w="3909" w:type="pct"/>
            <w:shd w:val="clear" w:color="auto" w:fill="auto"/>
            <w:vAlign w:val="center"/>
          </w:tcPr>
          <w:p w14:paraId="17D2540F">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同提交投标文件截止时间</w:t>
            </w:r>
          </w:p>
        </w:tc>
      </w:tr>
      <w:tr w14:paraId="607AC6F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355" w:hRule="atLeast"/>
          <w:jc w:val="center"/>
        </w:trPr>
        <w:tc>
          <w:tcPr>
            <w:tcW w:w="339" w:type="pct"/>
            <w:shd w:val="clear" w:color="auto" w:fill="auto"/>
            <w:vAlign w:val="center"/>
          </w:tcPr>
          <w:p w14:paraId="417CAF4A">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24</w:t>
            </w:r>
          </w:p>
        </w:tc>
        <w:tc>
          <w:tcPr>
            <w:tcW w:w="751" w:type="pct"/>
            <w:shd w:val="clear" w:color="auto" w:fill="auto"/>
            <w:vAlign w:val="center"/>
          </w:tcPr>
          <w:p w14:paraId="29B93641">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开标形式</w:t>
            </w:r>
          </w:p>
        </w:tc>
        <w:tc>
          <w:tcPr>
            <w:tcW w:w="3909" w:type="pct"/>
            <w:shd w:val="clear" w:color="auto" w:fill="auto"/>
            <w:vAlign w:val="center"/>
          </w:tcPr>
          <w:p w14:paraId="71013B1F">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highlight w:val="none"/>
              </w:rPr>
            </w:pPr>
            <w:sdt>
              <w:sdtPr>
                <w:rPr>
                  <w:rFonts w:hint="eastAsia" w:ascii="宋体" w:hAnsi="宋体" w:eastAsia="宋体" w:cs="宋体"/>
                  <w:sz w:val="24"/>
                  <w:szCs w:val="24"/>
                  <w:highlight w:val="none"/>
                </w:rPr>
                <w:id w:val="1077786224"/>
                <w14:checkbox>
                  <w14:checked w14:val="1"/>
                  <w14:checkedState w14:val="2611" w14:font="MS Gothic"/>
                  <w14:uncheckedState w14:val="2610" w14:font="MS Gothic"/>
                </w14:checkbox>
              </w:sdtPr>
              <w:sdtEndPr>
                <w:rPr>
                  <w:rFonts w:hint="eastAsia" w:ascii="宋体" w:hAnsi="宋体" w:eastAsia="宋体" w:cs="宋体"/>
                  <w:sz w:val="24"/>
                  <w:szCs w:val="24"/>
                  <w:highlight w:val="none"/>
                </w:rPr>
              </w:sdtEndPr>
              <w:sdtContent>
                <w:r>
                  <w:rPr>
                    <w:rFonts w:hint="eastAsia" w:ascii="宋体" w:hAnsi="宋体" w:eastAsia="宋体" w:cs="宋体"/>
                    <w:sz w:val="24"/>
                    <w:szCs w:val="24"/>
                    <w:highlight w:val="none"/>
                    <w:lang w:val="en-US" w:eastAsia="zh-CN" w:bidi="ar-SA"/>
                  </w:rPr>
                  <w:t>☑</w:t>
                </w:r>
              </w:sdtContent>
            </w:sdt>
            <w:r>
              <w:rPr>
                <w:rFonts w:hint="eastAsia" w:ascii="宋体" w:hAnsi="宋体" w:eastAsia="宋体" w:cs="宋体"/>
                <w:sz w:val="24"/>
                <w:szCs w:val="24"/>
                <w:highlight w:val="none"/>
              </w:rPr>
              <w:t xml:space="preserve">不见面开标  </w:t>
            </w:r>
            <w:sdt>
              <w:sdtPr>
                <w:rPr>
                  <w:rFonts w:hint="eastAsia" w:ascii="宋体" w:hAnsi="宋体" w:eastAsia="宋体" w:cs="宋体"/>
                  <w:sz w:val="24"/>
                  <w:szCs w:val="24"/>
                  <w:highlight w:val="none"/>
                </w:rPr>
                <w:id w:val="1553575034"/>
                <w14:checkbox>
                  <w14:checked w14:val="0"/>
                  <w14:checkedState w14:val="2611" w14:font="MS Gothic"/>
                  <w14:uncheckedState w14:val="2610" w14:font="MS Gothic"/>
                </w14:checkbox>
              </w:sdtPr>
              <w:sdtEndPr>
                <w:rPr>
                  <w:rFonts w:hint="eastAsia" w:ascii="宋体" w:hAnsi="宋体" w:eastAsia="宋体" w:cs="宋体"/>
                  <w:sz w:val="24"/>
                  <w:szCs w:val="24"/>
                  <w:highlight w:val="none"/>
                </w:rPr>
              </w:sdtEndPr>
              <w:sdtContent>
                <w:r>
                  <w:rPr>
                    <w:rFonts w:hint="eastAsia" w:ascii="宋体" w:hAnsi="宋体" w:eastAsia="宋体" w:cs="宋体"/>
                    <w:sz w:val="24"/>
                    <w:szCs w:val="24"/>
                    <w:highlight w:val="none"/>
                  </w:rPr>
                  <w:t>☐</w:t>
                </w:r>
              </w:sdtContent>
            </w:sdt>
            <w:r>
              <w:rPr>
                <w:rFonts w:hint="eastAsia" w:ascii="宋体" w:hAnsi="宋体" w:eastAsia="宋体" w:cs="宋体"/>
                <w:sz w:val="24"/>
                <w:szCs w:val="24"/>
                <w:highlight w:val="none"/>
              </w:rPr>
              <w:t>见面开标</w:t>
            </w:r>
          </w:p>
          <w:p w14:paraId="6B423AB0">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详见本章“开标程序”有关内容。</w:t>
            </w:r>
          </w:p>
        </w:tc>
      </w:tr>
      <w:tr w14:paraId="5A14AC2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9" w:type="pct"/>
            <w:shd w:val="clear" w:color="auto" w:fill="auto"/>
            <w:vAlign w:val="center"/>
          </w:tcPr>
          <w:p w14:paraId="26C15FBC">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25</w:t>
            </w:r>
          </w:p>
        </w:tc>
        <w:tc>
          <w:tcPr>
            <w:tcW w:w="751" w:type="pct"/>
            <w:shd w:val="clear" w:color="auto" w:fill="auto"/>
            <w:vAlign w:val="center"/>
          </w:tcPr>
          <w:p w14:paraId="22E5C56A">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是否允许递交多个备选投标方案</w:t>
            </w:r>
          </w:p>
        </w:tc>
        <w:tc>
          <w:tcPr>
            <w:tcW w:w="3909" w:type="pct"/>
            <w:shd w:val="clear" w:color="auto" w:fill="auto"/>
            <w:vAlign w:val="center"/>
          </w:tcPr>
          <w:p w14:paraId="76438C9E">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highlight w:val="none"/>
              </w:rPr>
            </w:pPr>
            <w:sdt>
              <w:sdtPr>
                <w:rPr>
                  <w:rFonts w:hint="eastAsia" w:ascii="宋体" w:hAnsi="宋体" w:eastAsia="宋体" w:cs="宋体"/>
                  <w:sz w:val="24"/>
                  <w:szCs w:val="24"/>
                  <w:highlight w:val="none"/>
                </w:rPr>
                <w:id w:val="1608857843"/>
                <w14:checkbox>
                  <w14:checked w14:val="0"/>
                  <w14:checkedState w14:val="2611" w14:font="MS Gothic"/>
                  <w14:uncheckedState w14:val="2610" w14:font="MS Gothic"/>
                </w14:checkbox>
              </w:sdtPr>
              <w:sdtEndPr>
                <w:rPr>
                  <w:rFonts w:hint="eastAsia" w:ascii="宋体" w:hAnsi="宋体" w:eastAsia="宋体" w:cs="宋体"/>
                  <w:sz w:val="24"/>
                  <w:szCs w:val="24"/>
                  <w:highlight w:val="none"/>
                </w:rPr>
              </w:sdtEndPr>
              <w:sdtContent>
                <w:r>
                  <w:rPr>
                    <w:rFonts w:hint="eastAsia" w:ascii="宋体" w:hAnsi="宋体" w:eastAsia="宋体" w:cs="宋体"/>
                    <w:sz w:val="24"/>
                    <w:szCs w:val="24"/>
                    <w:highlight w:val="none"/>
                  </w:rPr>
                  <w:t>☐</w:t>
                </w:r>
              </w:sdtContent>
            </w:sdt>
            <w:r>
              <w:rPr>
                <w:rFonts w:hint="eastAsia" w:ascii="宋体" w:hAnsi="宋体" w:eastAsia="宋体" w:cs="宋体"/>
                <w:sz w:val="24"/>
                <w:szCs w:val="24"/>
                <w:highlight w:val="none"/>
              </w:rPr>
              <w:t xml:space="preserve">是  </w:t>
            </w:r>
            <w:sdt>
              <w:sdtPr>
                <w:rPr>
                  <w:rFonts w:hint="eastAsia" w:ascii="宋体" w:hAnsi="宋体" w:eastAsia="宋体" w:cs="宋体"/>
                  <w:sz w:val="24"/>
                  <w:szCs w:val="24"/>
                  <w:highlight w:val="none"/>
                </w:rPr>
                <w:id w:val="618331253"/>
                <w14:checkbox>
                  <w14:checked w14:val="1"/>
                  <w14:checkedState w14:val="2611" w14:font="MS Gothic"/>
                  <w14:uncheckedState w14:val="2610" w14:font="MS Gothic"/>
                </w14:checkbox>
              </w:sdtPr>
              <w:sdtEndPr>
                <w:rPr>
                  <w:rFonts w:hint="eastAsia" w:ascii="宋体" w:hAnsi="宋体" w:eastAsia="宋体" w:cs="宋体"/>
                  <w:sz w:val="24"/>
                  <w:szCs w:val="24"/>
                  <w:highlight w:val="none"/>
                </w:rPr>
              </w:sdtEndPr>
              <w:sdtContent>
                <w:r>
                  <w:rPr>
                    <w:rFonts w:hint="eastAsia" w:ascii="宋体" w:hAnsi="宋体" w:eastAsia="宋体" w:cs="宋体"/>
                    <w:sz w:val="24"/>
                    <w:szCs w:val="24"/>
                    <w:highlight w:val="none"/>
                    <w:lang w:val="en-US" w:eastAsia="zh-CN" w:bidi="ar-SA"/>
                  </w:rPr>
                  <w:t>☑</w:t>
                </w:r>
              </w:sdtContent>
            </w:sdt>
            <w:r>
              <w:rPr>
                <w:rFonts w:hint="eastAsia" w:ascii="宋体" w:hAnsi="宋体" w:eastAsia="宋体" w:cs="宋体"/>
                <w:sz w:val="24"/>
                <w:szCs w:val="24"/>
                <w:highlight w:val="none"/>
              </w:rPr>
              <w:t>否</w:t>
            </w:r>
          </w:p>
        </w:tc>
      </w:tr>
      <w:tr w14:paraId="3176758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9" w:type="pct"/>
            <w:shd w:val="clear" w:color="auto" w:fill="auto"/>
            <w:vAlign w:val="center"/>
          </w:tcPr>
          <w:p w14:paraId="21337F6D">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26</w:t>
            </w:r>
          </w:p>
        </w:tc>
        <w:tc>
          <w:tcPr>
            <w:tcW w:w="751" w:type="pct"/>
            <w:shd w:val="clear" w:color="auto" w:fill="auto"/>
            <w:vAlign w:val="center"/>
          </w:tcPr>
          <w:p w14:paraId="2090B0C4">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中标通知书</w:t>
            </w:r>
          </w:p>
        </w:tc>
        <w:tc>
          <w:tcPr>
            <w:tcW w:w="3909" w:type="pct"/>
            <w:shd w:val="clear" w:color="auto" w:fill="auto"/>
            <w:vAlign w:val="center"/>
          </w:tcPr>
          <w:p w14:paraId="7E4DD492">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1．领取地点：西安市高新路88号尚品国际B幢25层</w:t>
            </w:r>
          </w:p>
          <w:p w14:paraId="3379CE2F">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2．联系电话：</w:t>
            </w:r>
            <w:r>
              <w:rPr>
                <w:rFonts w:hint="eastAsia" w:ascii="宋体" w:hAnsi="宋体" w:eastAsia="宋体" w:cs="宋体"/>
                <w:sz w:val="24"/>
                <w:szCs w:val="24"/>
                <w:highlight w:val="none"/>
                <w:lang w:eastAsia="zh-CN"/>
              </w:rPr>
              <w:t>029-82665555转8013</w:t>
            </w:r>
          </w:p>
          <w:p w14:paraId="5C5BB550">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highlight w:val="none"/>
                <w:lang w:val="en-US"/>
              </w:rPr>
            </w:pPr>
            <w:r>
              <w:rPr>
                <w:rFonts w:hint="eastAsia" w:ascii="宋体" w:hAnsi="宋体" w:eastAsia="宋体" w:cs="宋体"/>
                <w:sz w:val="24"/>
                <w:szCs w:val="24"/>
                <w:highlight w:val="none"/>
              </w:rPr>
              <w:t>3．联系人：</w:t>
            </w:r>
            <w:r>
              <w:rPr>
                <w:rFonts w:hint="eastAsia" w:ascii="宋体" w:hAnsi="宋体" w:eastAsia="宋体" w:cs="宋体"/>
                <w:i w:val="0"/>
                <w:iCs w:val="0"/>
                <w:caps w:val="0"/>
                <w:color w:val="auto"/>
                <w:spacing w:val="0"/>
                <w:sz w:val="24"/>
                <w:szCs w:val="24"/>
                <w:highlight w:val="none"/>
                <w:u w:val="none"/>
                <w:lang w:eastAsia="zh-CN"/>
              </w:rPr>
              <w:t>曹美奇、李琛、杨阳</w:t>
            </w:r>
          </w:p>
        </w:tc>
      </w:tr>
      <w:tr w14:paraId="4F7861D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9" w:type="pct"/>
            <w:shd w:val="clear" w:color="auto" w:fill="auto"/>
            <w:vAlign w:val="center"/>
          </w:tcPr>
          <w:p w14:paraId="7AC1C234">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27</w:t>
            </w:r>
          </w:p>
        </w:tc>
        <w:tc>
          <w:tcPr>
            <w:tcW w:w="751" w:type="pct"/>
            <w:shd w:val="clear" w:color="auto" w:fill="auto"/>
            <w:vAlign w:val="center"/>
          </w:tcPr>
          <w:p w14:paraId="2FD15CB6">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中标服务费及交纳信息</w:t>
            </w:r>
          </w:p>
        </w:tc>
        <w:tc>
          <w:tcPr>
            <w:tcW w:w="3909" w:type="pct"/>
            <w:shd w:val="clear" w:color="auto" w:fill="auto"/>
            <w:vAlign w:val="center"/>
          </w:tcPr>
          <w:p w14:paraId="676DFA3E">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rPr>
              <w:t>中标</w:t>
            </w:r>
            <w:r>
              <w:rPr>
                <w:rFonts w:hint="eastAsia" w:ascii="宋体" w:hAnsi="宋体" w:eastAsia="宋体" w:cs="宋体"/>
                <w:sz w:val="24"/>
                <w:szCs w:val="24"/>
                <w:highlight w:val="none"/>
                <w:lang w:eastAsia="zh-CN"/>
              </w:rPr>
              <w:t>单位</w:t>
            </w:r>
            <w:r>
              <w:rPr>
                <w:rFonts w:hint="eastAsia" w:ascii="宋体" w:hAnsi="宋体" w:eastAsia="宋体" w:cs="宋体"/>
                <w:sz w:val="24"/>
                <w:szCs w:val="24"/>
                <w:highlight w:val="none"/>
              </w:rPr>
              <w:t>应向采购代理机构交纳招标代理服务费。招标代理服务费收取按照国家计委颁布的《招标代理服务收费管理暂行办法》（计价格[2002]1980号）和（发改办价格[2003]857号）按</w:t>
            </w:r>
            <w:r>
              <w:rPr>
                <w:rFonts w:hint="eastAsia" w:ascii="宋体" w:hAnsi="宋体" w:eastAsia="宋体" w:cs="宋体"/>
                <w:sz w:val="24"/>
                <w:szCs w:val="24"/>
                <w:highlight w:val="none"/>
                <w:lang w:eastAsia="zh-CN"/>
              </w:rPr>
              <w:t>货物</w:t>
            </w:r>
            <w:r>
              <w:rPr>
                <w:rFonts w:hint="eastAsia" w:ascii="宋体" w:hAnsi="宋体" w:eastAsia="宋体" w:cs="宋体"/>
                <w:sz w:val="24"/>
                <w:szCs w:val="24"/>
                <w:highlight w:val="none"/>
              </w:rPr>
              <w:t>收费标准计取。此服务费应计入</w:t>
            </w:r>
            <w:r>
              <w:rPr>
                <w:rFonts w:hint="eastAsia" w:ascii="宋体" w:hAnsi="宋体" w:eastAsia="宋体" w:cs="宋体"/>
                <w:sz w:val="24"/>
                <w:szCs w:val="24"/>
                <w:highlight w:val="none"/>
                <w:lang w:eastAsia="zh-CN"/>
              </w:rPr>
              <w:t>投标</w:t>
            </w:r>
            <w:r>
              <w:rPr>
                <w:rFonts w:hint="eastAsia" w:ascii="宋体" w:hAnsi="宋体" w:eastAsia="宋体" w:cs="宋体"/>
                <w:sz w:val="24"/>
                <w:szCs w:val="24"/>
                <w:highlight w:val="none"/>
              </w:rPr>
              <w:t>报价中，但不需要单独开列。</w:t>
            </w:r>
          </w:p>
          <w:p w14:paraId="0FE59C69">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2.代理服务费交纳信息</w:t>
            </w:r>
          </w:p>
          <w:p w14:paraId="50A28DC5">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银行户名：华晟国际项目管理有限公司</w:t>
            </w:r>
          </w:p>
          <w:p w14:paraId="2ECB6CEA">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开户银行：建设银行西安劳动路支行</w:t>
            </w:r>
          </w:p>
          <w:p w14:paraId="6B7C9759">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账    号：610501 740015 00000 427</w:t>
            </w:r>
          </w:p>
          <w:p w14:paraId="7CC22785">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转账事由：HSGJ2025-164  包号  中标服务费</w:t>
            </w:r>
          </w:p>
        </w:tc>
      </w:tr>
      <w:tr w14:paraId="7CB32DA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9" w:type="pct"/>
            <w:shd w:val="clear" w:color="auto" w:fill="auto"/>
            <w:vAlign w:val="center"/>
          </w:tcPr>
          <w:p w14:paraId="23EA7C5A">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28</w:t>
            </w:r>
          </w:p>
        </w:tc>
        <w:tc>
          <w:tcPr>
            <w:tcW w:w="751" w:type="pct"/>
            <w:shd w:val="clear" w:color="auto" w:fill="auto"/>
            <w:vAlign w:val="center"/>
          </w:tcPr>
          <w:p w14:paraId="199622A3">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西安市公共资源交易中心电子化政府采购系统技术支持（软件开发商）</w:t>
            </w:r>
          </w:p>
        </w:tc>
        <w:tc>
          <w:tcPr>
            <w:tcW w:w="3909" w:type="pct"/>
            <w:shd w:val="clear" w:color="auto" w:fill="auto"/>
            <w:vAlign w:val="center"/>
          </w:tcPr>
          <w:p w14:paraId="17B31DAB">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国泰新点软件股份有限公司</w:t>
            </w:r>
          </w:p>
          <w:p w14:paraId="225E5017">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1．技术支持热线：400-998-0000/400-928-0095</w:t>
            </w:r>
          </w:p>
          <w:p w14:paraId="5C42450A">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2．驻场技术人员：029-86510166/86510167转80310</w:t>
            </w:r>
          </w:p>
        </w:tc>
      </w:tr>
      <w:tr w14:paraId="2565B9D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9" w:type="pct"/>
            <w:shd w:val="clear" w:color="auto" w:fill="auto"/>
            <w:vAlign w:val="center"/>
          </w:tcPr>
          <w:p w14:paraId="156F4265">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29</w:t>
            </w:r>
          </w:p>
        </w:tc>
        <w:tc>
          <w:tcPr>
            <w:tcW w:w="751" w:type="pct"/>
            <w:shd w:val="clear" w:color="auto" w:fill="auto"/>
            <w:vAlign w:val="center"/>
          </w:tcPr>
          <w:p w14:paraId="1D10582E">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CA业务网点</w:t>
            </w:r>
          </w:p>
        </w:tc>
        <w:tc>
          <w:tcPr>
            <w:tcW w:w="3909" w:type="pct"/>
            <w:shd w:val="clear" w:color="auto" w:fill="auto"/>
            <w:vAlign w:val="center"/>
          </w:tcPr>
          <w:p w14:paraId="67563134">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陕西省数字证书认证中心股份有限公司</w:t>
            </w:r>
          </w:p>
          <w:p w14:paraId="41F1D681">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网点1：西安市高新三路信息港大厦1楼客服中心</w:t>
            </w:r>
          </w:p>
          <w:p w14:paraId="62BC8F90">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客服电话：4006-369-888</w:t>
            </w:r>
          </w:p>
          <w:p w14:paraId="1790C66C">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网点2：西安市长安北路14号省体育公寓B座一楼</w:t>
            </w:r>
          </w:p>
          <w:p w14:paraId="7D3121AA">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咨询电话：029-88661241</w:t>
            </w:r>
          </w:p>
          <w:p w14:paraId="3A2A884D">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网点3：西安市文景北路16号白桦林国际B座2楼11#窗口</w:t>
            </w:r>
          </w:p>
          <w:p w14:paraId="167D81F6">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咨询电话：029-86510073转80211</w:t>
            </w:r>
          </w:p>
        </w:tc>
      </w:tr>
      <w:tr w14:paraId="3A0B561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9" w:type="pct"/>
            <w:shd w:val="clear" w:color="auto" w:fill="auto"/>
            <w:vAlign w:val="center"/>
          </w:tcPr>
          <w:p w14:paraId="4513857C">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30</w:t>
            </w:r>
          </w:p>
        </w:tc>
        <w:tc>
          <w:tcPr>
            <w:tcW w:w="751" w:type="pct"/>
            <w:shd w:val="clear" w:color="auto" w:fill="auto"/>
            <w:vAlign w:val="center"/>
          </w:tcPr>
          <w:p w14:paraId="0FA83D78">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政府采购</w:t>
            </w:r>
            <w:r>
              <w:rPr>
                <w:rFonts w:hint="eastAsia" w:ascii="宋体" w:hAnsi="宋体" w:eastAsia="宋体" w:cs="宋体"/>
                <w:sz w:val="24"/>
                <w:szCs w:val="24"/>
                <w:highlight w:val="none"/>
                <w:lang w:eastAsia="zh-CN"/>
              </w:rPr>
              <w:t>信用担保及信用融资政策</w:t>
            </w:r>
          </w:p>
        </w:tc>
        <w:tc>
          <w:tcPr>
            <w:tcW w:w="3909" w:type="pct"/>
            <w:shd w:val="clear" w:color="auto" w:fill="auto"/>
            <w:vAlign w:val="center"/>
          </w:tcPr>
          <w:p w14:paraId="3D346D38">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西安市政府采购信用担保及信用融资政策</w:t>
            </w:r>
          </w:p>
          <w:p w14:paraId="61A61B1E">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为发挥政府采购促进中小企业发展的政策功能，西安市财政局制定了《西安市政府采购信用担保及信用融资工作实施方案（试行）》（市财发〔2014〕167），为参与西安市市级政府采购项目的投标人提供政府采购信用担保和融资服务，并按照程序确定了合作的担保机构和商业银行。中标人缴纳履约保证金时可自愿选择通过担保机构保函的形式缴纳；中标人如果需要融资贷款服务的，根据《陕西省中小企业政府采购信用融资办法》（陕财办采〔2018〕23号），可凭中标通知书、政府采购合同等相关资料，按照文件规定的程序申请办理，具体规定可登陆西安市财政局网站(http://xaczj.xa.gov.cn/)政府采购专栏中查询了解。</w:t>
            </w:r>
          </w:p>
          <w:p w14:paraId="69DC199A">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西安浐灞</w:t>
            </w:r>
            <w:r>
              <w:rPr>
                <w:rFonts w:hint="eastAsia" w:ascii="宋体" w:hAnsi="宋体" w:eastAsia="宋体" w:cs="宋体"/>
                <w:sz w:val="24"/>
                <w:szCs w:val="24"/>
                <w:highlight w:val="none"/>
              </w:rPr>
              <w:t>国际港政府采购信用融资联系人：王涛  15029991040</w:t>
            </w:r>
          </w:p>
        </w:tc>
      </w:tr>
      <w:tr w14:paraId="2C62229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9" w:type="pct"/>
            <w:shd w:val="clear" w:color="auto" w:fill="auto"/>
            <w:vAlign w:val="center"/>
          </w:tcPr>
          <w:p w14:paraId="483D7302">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31</w:t>
            </w:r>
          </w:p>
        </w:tc>
        <w:tc>
          <w:tcPr>
            <w:tcW w:w="751" w:type="pct"/>
            <w:shd w:val="clear" w:color="auto" w:fill="auto"/>
            <w:vAlign w:val="center"/>
          </w:tcPr>
          <w:p w14:paraId="4B395F5C">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所属行业</w:t>
            </w:r>
          </w:p>
        </w:tc>
        <w:tc>
          <w:tcPr>
            <w:tcW w:w="3909" w:type="pct"/>
            <w:shd w:val="clear" w:color="auto" w:fill="auto"/>
            <w:vAlign w:val="center"/>
          </w:tcPr>
          <w:p w14:paraId="06650170">
            <w:pPr>
              <w:pStyle w:val="24"/>
              <w:keepNext w:val="0"/>
              <w:keepLines w:val="0"/>
              <w:pageBreakBefore w:val="0"/>
              <w:kinsoku/>
              <w:wordWrap/>
              <w:overflowPunct/>
              <w:topLinePunct w:val="0"/>
              <w:autoSpaceDE/>
              <w:autoSpaceDN/>
              <w:bidi w:val="0"/>
              <w:adjustRightInd/>
              <w:snapToGrid/>
              <w:spacing w:before="0" w:beforeAutospacing="0" w:after="0" w:afterAutospacing="0" w:line="240" w:lineRule="auto"/>
              <w:jc w:val="both"/>
              <w:rPr>
                <w:rFonts w:hint="eastAsia" w:ascii="宋体" w:hAnsi="宋体" w:eastAsia="宋体" w:cs="宋体"/>
                <w:b/>
                <w:bCs/>
                <w:sz w:val="24"/>
                <w:szCs w:val="24"/>
                <w:highlight w:val="none"/>
                <w:u w:val="single"/>
                <w:lang w:eastAsia="zh-CN"/>
              </w:rPr>
            </w:pPr>
            <w:r>
              <w:rPr>
                <w:rFonts w:hint="eastAsia" w:ascii="宋体" w:hAnsi="宋体" w:eastAsia="宋体" w:cs="宋体"/>
                <w:b/>
                <w:bCs/>
                <w:sz w:val="24"/>
                <w:szCs w:val="24"/>
                <w:highlight w:val="none"/>
              </w:rPr>
              <w:t>采购标的对应的中小企业划分标准所属行业：</w:t>
            </w:r>
            <w:r>
              <w:rPr>
                <w:rFonts w:hint="eastAsia" w:ascii="宋体" w:hAnsi="宋体" w:eastAsia="宋体" w:cs="宋体"/>
                <w:b/>
                <w:bCs/>
                <w:sz w:val="24"/>
                <w:szCs w:val="24"/>
                <w:highlight w:val="none"/>
                <w:u w:val="single"/>
                <w:lang w:eastAsia="zh-CN"/>
              </w:rPr>
              <w:t>工业</w:t>
            </w:r>
          </w:p>
          <w:p w14:paraId="2879B64B">
            <w:pPr>
              <w:pStyle w:val="24"/>
              <w:keepNext w:val="0"/>
              <w:keepLines w:val="0"/>
              <w:pageBreakBefore w:val="0"/>
              <w:kinsoku/>
              <w:wordWrap/>
              <w:overflowPunct/>
              <w:topLinePunct w:val="0"/>
              <w:autoSpaceDE/>
              <w:autoSpaceDN/>
              <w:bidi w:val="0"/>
              <w:adjustRightInd/>
              <w:snapToGrid/>
              <w:spacing w:before="0" w:beforeAutospacing="0" w:after="0" w:afterAutospacing="0" w:line="240" w:lineRule="auto"/>
              <w:jc w:val="both"/>
              <w:rPr>
                <w:rFonts w:hint="eastAsia" w:ascii="宋体" w:hAnsi="宋体" w:eastAsia="宋体" w:cs="宋体"/>
                <w:sz w:val="24"/>
                <w:szCs w:val="24"/>
                <w:highlight w:val="none"/>
                <w:u w:val="single"/>
                <w:lang w:eastAsia="zh-CN"/>
              </w:rPr>
            </w:pPr>
            <w:r>
              <w:rPr>
                <w:rFonts w:hint="eastAsia" w:ascii="宋体" w:hAnsi="宋体" w:eastAsia="宋体" w:cs="宋体"/>
                <w:sz w:val="24"/>
                <w:szCs w:val="24"/>
                <w:highlight w:val="none"/>
                <w:u w:val="none"/>
                <w:lang w:eastAsia="zh-CN"/>
              </w:rPr>
              <w:t>根据《工业和信息化部、国家统计局、国家发展和改革委员会、财政部关于印发中小企业划型标准规定的通知》（工信部联企业〔2011〕300号）规定的划分标准，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tc>
      </w:tr>
      <w:tr w14:paraId="1DF2185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9" w:type="pct"/>
            <w:shd w:val="clear" w:color="auto" w:fill="auto"/>
            <w:vAlign w:val="center"/>
          </w:tcPr>
          <w:p w14:paraId="4CE33E75">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32</w:t>
            </w:r>
          </w:p>
        </w:tc>
        <w:tc>
          <w:tcPr>
            <w:tcW w:w="751" w:type="pct"/>
            <w:shd w:val="clear" w:color="auto" w:fill="auto"/>
            <w:vAlign w:val="center"/>
          </w:tcPr>
          <w:p w14:paraId="384D169B">
            <w:pPr>
              <w:pStyle w:val="7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供应商</w:t>
            </w:r>
            <w:r>
              <w:rPr>
                <w:rFonts w:hint="eastAsia" w:ascii="宋体" w:hAnsi="宋体" w:eastAsia="宋体" w:cs="宋体"/>
                <w:color w:val="auto"/>
                <w:kern w:val="2"/>
                <w:sz w:val="24"/>
                <w:szCs w:val="24"/>
                <w:highlight w:val="none"/>
                <w:lang w:eastAsia="zh-CN" w:bidi="ar-SA"/>
              </w:rPr>
              <w:t>入库登记</w:t>
            </w:r>
          </w:p>
        </w:tc>
        <w:tc>
          <w:tcPr>
            <w:tcW w:w="3909" w:type="pct"/>
            <w:shd w:val="clear" w:color="auto" w:fill="auto"/>
            <w:vAlign w:val="center"/>
          </w:tcPr>
          <w:p w14:paraId="4FF83502">
            <w:pPr>
              <w:pStyle w:val="72"/>
              <w:keepNext w:val="0"/>
              <w:keepLines w:val="0"/>
              <w:pageBreakBefore w:val="0"/>
              <w:widowControl w:val="0"/>
              <w:kinsoku/>
              <w:wordWrap/>
              <w:overflowPunct/>
              <w:topLinePunct w:val="0"/>
              <w:autoSpaceDE/>
              <w:autoSpaceDN/>
              <w:bidi w:val="0"/>
              <w:adjustRightInd/>
              <w:snapToGrid/>
              <w:spacing w:line="240" w:lineRule="auto"/>
              <w:ind w:left="0" w:leftChars="0" w:right="0" w:rightChars="0"/>
              <w:textAlignment w:val="auto"/>
              <w:rPr>
                <w:rFonts w:hint="eastAsia" w:ascii="宋体" w:hAnsi="宋体" w:eastAsia="宋体" w:cs="宋体"/>
                <w:sz w:val="24"/>
                <w:szCs w:val="24"/>
                <w:highlight w:val="none"/>
              </w:rPr>
            </w:pPr>
            <w:r>
              <w:rPr>
                <w:rFonts w:hint="eastAsia" w:ascii="宋体" w:hAnsi="宋体" w:eastAsia="宋体" w:cs="宋体"/>
                <w:color w:val="auto"/>
                <w:kern w:val="2"/>
                <w:sz w:val="24"/>
                <w:szCs w:val="24"/>
                <w:highlight w:val="none"/>
                <w:lang w:eastAsia="zh-CN" w:bidi="ar-SA"/>
              </w:rPr>
              <w:t>请</w:t>
            </w:r>
            <w:r>
              <w:rPr>
                <w:rFonts w:hint="eastAsia" w:ascii="宋体" w:hAnsi="宋体" w:eastAsia="宋体" w:cs="宋体"/>
                <w:sz w:val="24"/>
                <w:szCs w:val="24"/>
                <w:highlight w:val="none"/>
              </w:rPr>
              <w:t>供应商</w:t>
            </w:r>
            <w:r>
              <w:rPr>
                <w:rFonts w:hint="eastAsia" w:ascii="宋体" w:hAnsi="宋体" w:eastAsia="宋体" w:cs="宋体"/>
                <w:color w:val="auto"/>
                <w:kern w:val="2"/>
                <w:sz w:val="24"/>
                <w:szCs w:val="24"/>
                <w:highlight w:val="none"/>
                <w:lang w:eastAsia="zh-CN" w:bidi="ar-SA"/>
              </w:rPr>
              <w:t>按照陕西省财政厅关于政府采购供应商注册登记有关事项的通知中的要求，通过陕西省政府采购网（http://www.ccgp-shaanxi.gov.cn/）注册登记加入陕西省政府采购供应商库。</w:t>
            </w:r>
          </w:p>
        </w:tc>
      </w:tr>
      <w:tr w14:paraId="1CAA041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9" w:type="pct"/>
            <w:shd w:val="clear" w:color="auto" w:fill="auto"/>
            <w:vAlign w:val="center"/>
          </w:tcPr>
          <w:p w14:paraId="4ED067A6">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33</w:t>
            </w:r>
          </w:p>
        </w:tc>
        <w:tc>
          <w:tcPr>
            <w:tcW w:w="751" w:type="pct"/>
            <w:shd w:val="clear" w:color="auto" w:fill="auto"/>
            <w:vAlign w:val="center"/>
          </w:tcPr>
          <w:p w14:paraId="3233DA9E">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eastAsia="zh-CN"/>
              </w:rPr>
              <w:t>相同品牌产品说明</w:t>
            </w:r>
          </w:p>
        </w:tc>
        <w:tc>
          <w:tcPr>
            <w:tcW w:w="3909" w:type="pct"/>
            <w:shd w:val="clear" w:color="auto" w:fill="auto"/>
            <w:vAlign w:val="center"/>
          </w:tcPr>
          <w:p w14:paraId="3DCD73CD">
            <w:pPr>
              <w:pStyle w:val="72"/>
              <w:keepNext w:val="0"/>
              <w:keepLines w:val="0"/>
              <w:pageBreakBefore w:val="0"/>
              <w:widowControl w:val="0"/>
              <w:kinsoku/>
              <w:wordWrap/>
              <w:overflowPunct/>
              <w:topLinePunct w:val="0"/>
              <w:autoSpaceDE/>
              <w:autoSpaceDN/>
              <w:bidi w:val="0"/>
              <w:adjustRightInd/>
              <w:snapToGrid/>
              <w:spacing w:line="240" w:lineRule="auto"/>
              <w:ind w:left="0" w:leftChars="0" w:right="0" w:rightChars="0"/>
              <w:textAlignment w:val="auto"/>
              <w:rPr>
                <w:rFonts w:hint="eastAsia" w:ascii="宋体" w:hAnsi="宋体" w:eastAsia="宋体" w:cs="宋体"/>
                <w:color w:val="auto"/>
                <w:kern w:val="2"/>
                <w:sz w:val="24"/>
                <w:szCs w:val="24"/>
                <w:highlight w:val="none"/>
                <w:lang w:eastAsia="zh-CN" w:bidi="ar-SA"/>
              </w:rPr>
            </w:pPr>
            <w:r>
              <w:rPr>
                <w:rFonts w:hint="eastAsia" w:ascii="宋体" w:hAnsi="宋体" w:eastAsia="宋体" w:cs="宋体"/>
                <w:color w:val="auto"/>
                <w:kern w:val="2"/>
                <w:sz w:val="24"/>
                <w:szCs w:val="24"/>
                <w:highlight w:val="none"/>
                <w:lang w:eastAsia="zh-CN" w:bidi="ar-SA"/>
              </w:rPr>
              <w:t>若供应商所投核心产品为同一品牌，</w:t>
            </w:r>
            <w:r>
              <w:rPr>
                <w:rFonts w:hint="eastAsia" w:ascii="宋体" w:hAnsi="宋体" w:eastAsia="宋体" w:cs="宋体"/>
                <w:color w:val="auto"/>
                <w:sz w:val="24"/>
                <w:szCs w:val="24"/>
                <w:highlight w:val="none"/>
              </w:rPr>
              <w:t>且通过资格审查、符合性审查的不同供应商参加同一合同项下投标的，按一家供应商计算，评审后得分最高的同品牌供应商获得中标供应商推荐资格；评审得分相同的，由采购人或者采购人委托评标委员会小组按照随机抽取的方式确定一个供应商获得中标供应商推荐资格</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kern w:val="2"/>
                <w:sz w:val="24"/>
                <w:szCs w:val="24"/>
                <w:highlight w:val="none"/>
                <w:lang w:eastAsia="zh-CN" w:bidi="ar-SA"/>
              </w:rPr>
              <w:t>其他同品牌供应商不作为中标候选人。</w:t>
            </w:r>
          </w:p>
          <w:p w14:paraId="5CC255E1">
            <w:pPr>
              <w:pStyle w:val="72"/>
              <w:keepNext w:val="0"/>
              <w:keepLines w:val="0"/>
              <w:pageBreakBefore w:val="0"/>
              <w:widowControl w:val="0"/>
              <w:kinsoku/>
              <w:wordWrap/>
              <w:overflowPunct/>
              <w:topLinePunct w:val="0"/>
              <w:autoSpaceDE/>
              <w:autoSpaceDN/>
              <w:bidi w:val="0"/>
              <w:adjustRightInd/>
              <w:snapToGrid/>
              <w:spacing w:line="240" w:lineRule="auto"/>
              <w:ind w:left="0" w:leftChars="0" w:right="0" w:rightChars="0"/>
              <w:textAlignment w:val="auto"/>
              <w:rPr>
                <w:rFonts w:hint="default" w:ascii="宋体" w:hAnsi="宋体" w:eastAsia="宋体" w:cs="宋体"/>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eastAsia="zh-CN" w:bidi="ar-SA"/>
              </w:rPr>
              <w:t>本</w:t>
            </w:r>
            <w:r>
              <w:rPr>
                <w:rFonts w:hint="eastAsia" w:ascii="宋体" w:hAnsi="宋体" w:eastAsia="宋体" w:cs="宋体"/>
                <w:b/>
                <w:bCs/>
                <w:color w:val="auto"/>
                <w:kern w:val="2"/>
                <w:sz w:val="24"/>
                <w:szCs w:val="24"/>
                <w:highlight w:val="none"/>
                <w:lang w:val="en-US" w:eastAsia="zh-CN" w:bidi="ar-SA"/>
              </w:rPr>
              <w:t>项目</w:t>
            </w:r>
            <w:r>
              <w:rPr>
                <w:rFonts w:hint="eastAsia" w:ascii="宋体" w:hAnsi="宋体" w:eastAsia="宋体" w:cs="宋体"/>
                <w:b/>
                <w:bCs/>
                <w:color w:val="auto"/>
                <w:kern w:val="2"/>
                <w:sz w:val="24"/>
                <w:szCs w:val="24"/>
                <w:highlight w:val="none"/>
                <w:lang w:eastAsia="zh-CN" w:bidi="ar-SA"/>
              </w:rPr>
              <w:t>核心产品为：</w:t>
            </w:r>
            <w:r>
              <w:rPr>
                <w:rFonts w:hint="eastAsia" w:ascii="宋体" w:hAnsi="宋体" w:eastAsia="宋体" w:cs="宋体"/>
                <w:b/>
                <w:bCs w:val="0"/>
                <w:color w:val="auto"/>
                <w:sz w:val="24"/>
                <w:szCs w:val="24"/>
                <w:highlight w:val="none"/>
                <w:lang w:val="en-US" w:eastAsia="zh-CN"/>
              </w:rPr>
              <w:t>第四包：序号101  西安市浐灞第一小学  “LED屏:室内屏 ” 。</w:t>
            </w:r>
          </w:p>
        </w:tc>
      </w:tr>
      <w:tr w14:paraId="162DF6C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9" w:type="pct"/>
            <w:shd w:val="clear" w:color="auto" w:fill="auto"/>
            <w:vAlign w:val="center"/>
          </w:tcPr>
          <w:p w14:paraId="7B8CE7E4">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34</w:t>
            </w:r>
          </w:p>
        </w:tc>
        <w:tc>
          <w:tcPr>
            <w:tcW w:w="751" w:type="pct"/>
            <w:shd w:val="clear" w:color="auto" w:fill="auto"/>
            <w:vAlign w:val="center"/>
          </w:tcPr>
          <w:p w14:paraId="07C8079F">
            <w:pPr>
              <w:pStyle w:val="7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sz w:val="24"/>
                <w:szCs w:val="24"/>
                <w:highlight w:val="none"/>
                <w:lang w:val="en-US" w:eastAsia="zh-CN" w:bidi="ar-SA"/>
              </w:rPr>
            </w:pPr>
            <w:r>
              <w:rPr>
                <w:rFonts w:hint="eastAsia" w:ascii="宋体" w:hAnsi="宋体" w:eastAsia="宋体" w:cs="宋体"/>
                <w:color w:val="auto"/>
                <w:kern w:val="2"/>
                <w:sz w:val="24"/>
                <w:szCs w:val="24"/>
                <w:highlight w:val="none"/>
                <w:lang w:eastAsia="zh-CN" w:bidi="ar-SA"/>
              </w:rPr>
              <w:t>其他未尽事宜</w:t>
            </w:r>
          </w:p>
        </w:tc>
        <w:tc>
          <w:tcPr>
            <w:tcW w:w="3909" w:type="pct"/>
            <w:shd w:val="clear" w:color="auto" w:fill="auto"/>
            <w:vAlign w:val="center"/>
          </w:tcPr>
          <w:p w14:paraId="04C4B4E2">
            <w:pPr>
              <w:pStyle w:val="72"/>
              <w:keepNext w:val="0"/>
              <w:keepLines w:val="0"/>
              <w:pageBreakBefore w:val="0"/>
              <w:widowControl w:val="0"/>
              <w:kinsoku/>
              <w:wordWrap/>
              <w:overflowPunct/>
              <w:topLinePunct w:val="0"/>
              <w:autoSpaceDE/>
              <w:autoSpaceDN/>
              <w:bidi w:val="0"/>
              <w:adjustRightInd/>
              <w:snapToGrid/>
              <w:spacing w:line="240" w:lineRule="auto"/>
              <w:ind w:left="0" w:right="0" w:rightChars="0"/>
              <w:textAlignment w:val="auto"/>
              <w:rPr>
                <w:rFonts w:hint="eastAsia" w:ascii="宋体" w:hAnsi="宋体" w:eastAsia="宋体" w:cs="宋体"/>
                <w:color w:val="auto"/>
                <w:kern w:val="2"/>
                <w:sz w:val="24"/>
                <w:szCs w:val="24"/>
                <w:highlight w:val="none"/>
                <w:lang w:val="zh-TW" w:eastAsia="zh-CN" w:bidi="ar-SA"/>
              </w:rPr>
            </w:pPr>
            <w:r>
              <w:rPr>
                <w:rFonts w:hint="eastAsia" w:ascii="宋体" w:hAnsi="宋体" w:eastAsia="宋体" w:cs="宋体"/>
                <w:color w:val="auto"/>
                <w:kern w:val="2"/>
                <w:sz w:val="24"/>
                <w:szCs w:val="24"/>
                <w:highlight w:val="none"/>
                <w:lang w:val="en-US" w:eastAsia="zh-CN" w:bidi="ar-SA"/>
              </w:rPr>
              <w:t>1.</w:t>
            </w:r>
            <w:r>
              <w:rPr>
                <w:rFonts w:hint="eastAsia" w:ascii="宋体" w:hAnsi="宋体" w:eastAsia="宋体" w:cs="宋体"/>
                <w:color w:val="auto"/>
                <w:kern w:val="2"/>
                <w:sz w:val="24"/>
                <w:szCs w:val="24"/>
                <w:highlight w:val="none"/>
                <w:lang w:val="zh-TW" w:eastAsia="zh-CN" w:bidi="ar-SA"/>
              </w:rPr>
              <w:t>按照《中华人民共和国政府采购法》及相关法律法规执行。</w:t>
            </w:r>
          </w:p>
          <w:p w14:paraId="31E89DCC">
            <w:pPr>
              <w:pStyle w:val="72"/>
              <w:keepNext w:val="0"/>
              <w:keepLines w:val="0"/>
              <w:pageBreakBefore w:val="0"/>
              <w:widowControl w:val="0"/>
              <w:kinsoku/>
              <w:wordWrap/>
              <w:overflowPunct/>
              <w:topLinePunct w:val="0"/>
              <w:autoSpaceDE/>
              <w:autoSpaceDN/>
              <w:bidi w:val="0"/>
              <w:adjustRightInd/>
              <w:snapToGrid/>
              <w:spacing w:line="240" w:lineRule="auto"/>
              <w:ind w:left="0" w:leftChars="0" w:right="0" w:rightChars="0"/>
              <w:textAlignment w:val="auto"/>
              <w:rPr>
                <w:rFonts w:hint="eastAsia" w:ascii="宋体" w:hAnsi="宋体" w:eastAsia="宋体" w:cs="宋体"/>
                <w:color w:val="auto"/>
                <w:kern w:val="2"/>
                <w:sz w:val="24"/>
                <w:szCs w:val="24"/>
                <w:highlight w:val="none"/>
                <w:lang w:val="zh-TW" w:eastAsia="zh-CN" w:bidi="ar-SA"/>
              </w:rPr>
            </w:pPr>
            <w:r>
              <w:rPr>
                <w:rFonts w:hint="eastAsia" w:ascii="宋体" w:hAnsi="宋体" w:eastAsia="宋体" w:cs="宋体"/>
                <w:color w:val="auto"/>
                <w:kern w:val="2"/>
                <w:sz w:val="24"/>
                <w:szCs w:val="24"/>
                <w:highlight w:val="none"/>
                <w:lang w:val="en-US" w:eastAsia="zh-CN" w:bidi="ar-SA"/>
              </w:rPr>
              <w:t>2.</w:t>
            </w:r>
            <w:r>
              <w:rPr>
                <w:rFonts w:hint="eastAsia" w:ascii="宋体" w:hAnsi="宋体" w:eastAsia="宋体" w:cs="宋体"/>
                <w:color w:val="auto"/>
                <w:kern w:val="2"/>
                <w:sz w:val="24"/>
                <w:szCs w:val="24"/>
                <w:highlight w:val="none"/>
                <w:lang w:val="zh-TW" w:eastAsia="zh-CN" w:bidi="ar-SA"/>
              </w:rPr>
              <w:t>根据西安市财政局关于促进政府采购公平竞争优化营商环境的通知</w:t>
            </w:r>
            <w:r>
              <w:rPr>
                <w:rFonts w:hint="eastAsia" w:ascii="宋体" w:hAnsi="宋体" w:eastAsia="宋体" w:cs="宋体"/>
                <w:color w:val="auto"/>
                <w:kern w:val="2"/>
                <w:sz w:val="24"/>
                <w:szCs w:val="24"/>
                <w:highlight w:val="none"/>
                <w:lang w:val="en-US" w:eastAsia="zh-CN" w:bidi="ar-SA"/>
              </w:rPr>
              <w:t xml:space="preserve"> </w:t>
            </w:r>
            <w:r>
              <w:rPr>
                <w:rFonts w:hint="eastAsia" w:ascii="宋体" w:hAnsi="宋体" w:eastAsia="宋体" w:cs="宋体"/>
                <w:color w:val="auto"/>
                <w:kern w:val="2"/>
                <w:sz w:val="24"/>
                <w:szCs w:val="24"/>
                <w:highlight w:val="none"/>
                <w:lang w:val="zh-TW" w:eastAsia="zh-CN" w:bidi="ar-SA"/>
              </w:rPr>
              <w:t>市财函〔2021〕431号文规定，</w:t>
            </w:r>
            <w:r>
              <w:rPr>
                <w:rFonts w:hint="eastAsia" w:ascii="宋体" w:hAnsi="宋体" w:eastAsia="宋体" w:cs="宋体"/>
                <w:sz w:val="24"/>
                <w:szCs w:val="24"/>
                <w:highlight w:val="none"/>
              </w:rPr>
              <w:t>供应商</w:t>
            </w:r>
            <w:r>
              <w:rPr>
                <w:rFonts w:hint="eastAsia" w:ascii="宋体" w:hAnsi="宋体" w:eastAsia="宋体" w:cs="宋体"/>
                <w:color w:val="auto"/>
                <w:kern w:val="2"/>
                <w:sz w:val="24"/>
                <w:szCs w:val="24"/>
                <w:highlight w:val="none"/>
                <w:lang w:val="zh-TW" w:eastAsia="zh-CN" w:bidi="ar-SA"/>
              </w:rPr>
              <w:t>登记免费领取采购文件的，如不参与项目投标，应在递交投标（响应）文件截止时间前一日以书面形式告知采购代理机构。否则，采购代理机构可以向财政部门反映情况并提供相应的佐证。</w:t>
            </w:r>
            <w:r>
              <w:rPr>
                <w:rFonts w:hint="eastAsia" w:ascii="宋体" w:hAnsi="宋体" w:eastAsia="宋体" w:cs="宋体"/>
                <w:sz w:val="24"/>
                <w:szCs w:val="24"/>
                <w:highlight w:val="none"/>
              </w:rPr>
              <w:t>供应商</w:t>
            </w:r>
            <w:r>
              <w:rPr>
                <w:rFonts w:hint="eastAsia" w:ascii="宋体" w:hAnsi="宋体" w:eastAsia="宋体" w:cs="宋体"/>
                <w:color w:val="auto"/>
                <w:kern w:val="2"/>
                <w:sz w:val="24"/>
                <w:szCs w:val="24"/>
                <w:highlight w:val="none"/>
                <w:lang w:val="zh-TW" w:eastAsia="zh-CN" w:bidi="ar-SA"/>
              </w:rPr>
              <w:t>一年内累计出现三次该情形，将被监管部门记录为失信行为。</w:t>
            </w:r>
          </w:p>
          <w:p w14:paraId="068835AE">
            <w:pPr>
              <w:pStyle w:val="72"/>
              <w:keepNext w:val="0"/>
              <w:keepLines w:val="0"/>
              <w:pageBreakBefore w:val="0"/>
              <w:widowControl w:val="0"/>
              <w:kinsoku/>
              <w:wordWrap/>
              <w:overflowPunct/>
              <w:topLinePunct w:val="0"/>
              <w:autoSpaceDE/>
              <w:autoSpaceDN/>
              <w:bidi w:val="0"/>
              <w:adjustRightInd/>
              <w:snapToGrid/>
              <w:spacing w:line="240" w:lineRule="auto"/>
              <w:ind w:left="0" w:leftChars="0" w:right="0" w:rightChars="0"/>
              <w:textAlignment w:val="auto"/>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3.如投标人对多个包进行投标，只可以中标 1 包，每个合同包选择不同中标人，在评标过程中，将按标包顺序依次进行评审，经评审后在上一合同包排名第一的投标人将在后续合同包的评审过程中不再推荐为中标候选人。（本项目评审顺序：合同包1、合同包2、合同包3、合同包4）。</w:t>
            </w:r>
          </w:p>
          <w:p w14:paraId="314EF720">
            <w:pPr>
              <w:pStyle w:val="72"/>
              <w:keepNext w:val="0"/>
              <w:keepLines w:val="0"/>
              <w:pageBreakBefore w:val="0"/>
              <w:widowControl w:val="0"/>
              <w:kinsoku/>
              <w:wordWrap/>
              <w:overflowPunct/>
              <w:topLinePunct w:val="0"/>
              <w:autoSpaceDE/>
              <w:autoSpaceDN/>
              <w:bidi w:val="0"/>
              <w:adjustRightInd/>
              <w:snapToGrid/>
              <w:spacing w:line="240" w:lineRule="auto"/>
              <w:ind w:left="0" w:leftChars="0" w:right="0" w:rightChars="0"/>
              <w:textAlignment w:val="auto"/>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4.</w:t>
            </w:r>
            <w:r>
              <w:rPr>
                <w:rFonts w:hint="eastAsia" w:ascii="宋体" w:hAnsi="宋体" w:eastAsia="宋体" w:cs="宋体"/>
                <w:b/>
                <w:bCs w:val="0"/>
                <w:color w:val="auto"/>
                <w:sz w:val="24"/>
                <w:szCs w:val="24"/>
                <w:highlight w:val="none"/>
                <w:lang w:val="en-US" w:eastAsia="zh-CN"/>
              </w:rPr>
              <w:t>中标人应当自发出中标通知书之日起 30 日内,与采购人签订合同，本项目由西安浐灞国际港教育局统一组织实施采购，确定中标供应商后由中标供应商与各学校分别签订采购合同。</w:t>
            </w:r>
          </w:p>
        </w:tc>
      </w:tr>
    </w:tbl>
    <w:p w14:paraId="22C4897B">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br w:type="page"/>
      </w:r>
    </w:p>
    <w:p w14:paraId="24E6A871">
      <w:pPr>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一、有关定义</w:t>
      </w:r>
    </w:p>
    <w:p w14:paraId="65970F4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1．采购人：</w:t>
      </w:r>
      <w:r>
        <w:rPr>
          <w:rFonts w:hint="eastAsia" w:ascii="宋体" w:hAnsi="宋体" w:eastAsia="宋体" w:cs="宋体"/>
          <w:sz w:val="24"/>
          <w:szCs w:val="24"/>
          <w:highlight w:val="none"/>
          <w:lang w:eastAsia="zh-CN"/>
        </w:rPr>
        <w:t>西安浐灞国际港教育局。</w:t>
      </w:r>
    </w:p>
    <w:p w14:paraId="50DEFE8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2．供应商：指向采购人提供货物、工程或者服务的法人、其他组织或者自然人。</w:t>
      </w:r>
    </w:p>
    <w:p w14:paraId="3B762D9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3．同级政府采购监管部门：</w:t>
      </w:r>
      <w:r>
        <w:rPr>
          <w:rFonts w:hint="eastAsia" w:ascii="宋体" w:hAnsi="宋体" w:eastAsia="宋体" w:cs="宋体"/>
          <w:sz w:val="24"/>
          <w:szCs w:val="24"/>
          <w:highlight w:val="none"/>
          <w:lang w:eastAsia="zh-CN"/>
        </w:rPr>
        <w:t>同级财政部门</w:t>
      </w:r>
      <w:r>
        <w:rPr>
          <w:rFonts w:hint="eastAsia" w:ascii="宋体" w:hAnsi="宋体" w:eastAsia="宋体" w:cs="宋体"/>
          <w:sz w:val="24"/>
          <w:szCs w:val="24"/>
          <w:highlight w:val="none"/>
        </w:rPr>
        <w:t>。</w:t>
      </w:r>
    </w:p>
    <w:p w14:paraId="49269F17">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4．西安市公共资源交易平台：即【全国公共资源交易平台（陕西省·西安市）】的简称，官网地址</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"http://sxggzyjy.xa.gov.cn/" </w:instrText>
      </w:r>
      <w:r>
        <w:rPr>
          <w:rFonts w:hint="eastAsia" w:ascii="宋体" w:hAnsi="宋体" w:eastAsia="宋体" w:cs="宋体"/>
          <w:sz w:val="24"/>
          <w:szCs w:val="24"/>
          <w:highlight w:val="none"/>
        </w:rPr>
        <w:fldChar w:fldCharType="separate"/>
      </w:r>
      <w:r>
        <w:rPr>
          <w:rStyle w:val="35"/>
          <w:rFonts w:hint="eastAsia" w:ascii="宋体" w:hAnsi="宋体" w:eastAsia="宋体" w:cs="宋体"/>
          <w:color w:val="auto"/>
          <w:sz w:val="24"/>
          <w:szCs w:val="24"/>
          <w:highlight w:val="none"/>
          <w:u w:val="none"/>
        </w:rPr>
        <w:t>http://sxggzyjy.xa.gov.cn/</w:t>
      </w:r>
      <w:r>
        <w:rPr>
          <w:rStyle w:val="35"/>
          <w:rFonts w:hint="eastAsia" w:ascii="宋体" w:hAnsi="宋体" w:eastAsia="宋体" w:cs="宋体"/>
          <w:color w:val="auto"/>
          <w:sz w:val="24"/>
          <w:szCs w:val="24"/>
          <w:highlight w:val="none"/>
          <w:u w:val="none"/>
        </w:rPr>
        <w:fldChar w:fldCharType="end"/>
      </w:r>
      <w:r>
        <w:rPr>
          <w:rFonts w:hint="eastAsia" w:ascii="宋体" w:hAnsi="宋体" w:eastAsia="宋体" w:cs="宋体"/>
          <w:sz w:val="24"/>
          <w:szCs w:val="24"/>
          <w:highlight w:val="none"/>
        </w:rPr>
        <w:t>。</w:t>
      </w:r>
    </w:p>
    <w:p w14:paraId="29DE410A">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5．企业端：指西安市公共资源交易平台〖首页·〉电子交易平台·〉陕西政府采购交易系统·〉企业端〗，快捷登录网址</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"http://www.sxggzyjy.cn:9002/TPBidder/memberLogin" </w:instrText>
      </w:r>
      <w:r>
        <w:rPr>
          <w:rFonts w:hint="eastAsia" w:ascii="宋体" w:hAnsi="宋体" w:eastAsia="宋体" w:cs="宋体"/>
          <w:sz w:val="24"/>
          <w:szCs w:val="24"/>
          <w:highlight w:val="none"/>
        </w:rPr>
        <w:fldChar w:fldCharType="separate"/>
      </w:r>
      <w:r>
        <w:rPr>
          <w:rStyle w:val="35"/>
          <w:rFonts w:hint="eastAsia" w:ascii="宋体" w:hAnsi="宋体" w:eastAsia="宋体" w:cs="宋体"/>
          <w:color w:val="auto"/>
          <w:sz w:val="24"/>
          <w:szCs w:val="24"/>
          <w:highlight w:val="none"/>
          <w:u w:val="none"/>
        </w:rPr>
        <w:t>http://www.sxggzyjy.cn:9002/TPBidder/memberLogin</w:t>
      </w:r>
      <w:r>
        <w:rPr>
          <w:rStyle w:val="35"/>
          <w:rFonts w:hint="eastAsia" w:ascii="宋体" w:hAnsi="宋体" w:eastAsia="宋体" w:cs="宋体"/>
          <w:color w:val="auto"/>
          <w:sz w:val="24"/>
          <w:szCs w:val="24"/>
          <w:highlight w:val="none"/>
          <w:u w:val="none"/>
        </w:rPr>
        <w:fldChar w:fldCharType="end"/>
      </w:r>
      <w:r>
        <w:rPr>
          <w:rFonts w:hint="eastAsia" w:ascii="宋体" w:hAnsi="宋体" w:eastAsia="宋体" w:cs="宋体"/>
          <w:sz w:val="24"/>
          <w:szCs w:val="24"/>
          <w:highlight w:val="none"/>
        </w:rPr>
        <w:t>。</w:t>
      </w:r>
    </w:p>
    <w:p w14:paraId="4DFF8FBB">
      <w:pPr>
        <w:keepLines w:val="0"/>
        <w:pageBreakBefore w:val="0"/>
        <w:kinsoku/>
        <w:wordWrap/>
        <w:overflowPunct/>
        <w:topLinePunct w:val="0"/>
        <w:autoSpaceDE/>
        <w:autoSpaceDN/>
        <w:bidi w:val="0"/>
        <w:snapToGrid/>
        <w:spacing w:line="360" w:lineRule="auto"/>
        <w:jc w:val="both"/>
        <w:textAlignment w:val="auto"/>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二、供应商注意事项</w:t>
      </w:r>
    </w:p>
    <w:p w14:paraId="529ECBF3">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（一）供应商投标流程</w:t>
      </w:r>
    </w:p>
    <w:p w14:paraId="5F654BA4">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使用电子交易系统的采购项目（即线上项目），将同时提供WORD\PDF格式（仅用于预览）和SXSZF格式（用于制作电子投标文件）两个版本，文件内容一致。</w:t>
      </w:r>
    </w:p>
    <w:p w14:paraId="6C7642A7">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1．预览采购文件：打开西安市公共资源交易平台〖首页·〉交易大厅·〉政府采购〗栏目，下载和阅读本项目采购文件的预览版本（WORD\PDF格式）；</w:t>
      </w:r>
    </w:p>
    <w:p w14:paraId="26794948">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2．办理注册登记（针对初次使用电子交易系统的用户）：</w:t>
      </w:r>
    </w:p>
    <w:p w14:paraId="01D16904">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（1）办理诚信入库注册：在决定参加本项目采购活动后，供应商应先在西安市公共资源交易平台上完成“诚信入库登记”；</w:t>
      </w:r>
    </w:p>
    <w:p w14:paraId="6041A823">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办理数字认证（CA锁）：一般分为法人锁（必选）、企业锁主锁（必选）及副锁（可选）。CA锁将用于对电子投标文件进行签章、加密、递交及开标时解密等相关操作。CA办理及售后服务统一由第三方机构（陕西省数字证书认证中心股份有限公司）负责。</w:t>
      </w:r>
    </w:p>
    <w:p w14:paraId="0C8A1F70">
      <w:pPr>
        <w:keepLines w:val="0"/>
        <w:pageBreakBefore w:val="0"/>
        <w:widowControl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办理须知：</w:t>
      </w:r>
    </w:p>
    <w:p w14:paraId="17CF5A26">
      <w:pPr>
        <w:keepLines w:val="0"/>
        <w:pageBreakBefore w:val="0"/>
        <w:widowControl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http://</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"http://www.snca.com.cn/channel/show/27.html" </w:instrText>
      </w:r>
      <w:r>
        <w:rPr>
          <w:rFonts w:hint="eastAsia" w:ascii="宋体" w:hAnsi="宋体" w:eastAsia="宋体" w:cs="宋体"/>
          <w:sz w:val="24"/>
          <w:szCs w:val="24"/>
          <w:highlight w:val="none"/>
        </w:rPr>
        <w:fldChar w:fldCharType="separate"/>
      </w:r>
      <w:r>
        <w:rPr>
          <w:rStyle w:val="35"/>
          <w:rFonts w:hint="eastAsia" w:ascii="宋体" w:hAnsi="宋体" w:eastAsia="宋体" w:cs="宋体"/>
          <w:color w:val="auto"/>
          <w:sz w:val="24"/>
          <w:szCs w:val="24"/>
          <w:highlight w:val="none"/>
          <w:u w:val="none"/>
        </w:rPr>
        <w:t>www.snca.com.cn/channel/show/27.html</w:t>
      </w:r>
      <w:r>
        <w:rPr>
          <w:rStyle w:val="35"/>
          <w:rFonts w:hint="eastAsia" w:ascii="宋体" w:hAnsi="宋体" w:eastAsia="宋体" w:cs="宋体"/>
          <w:color w:val="auto"/>
          <w:sz w:val="24"/>
          <w:szCs w:val="24"/>
          <w:highlight w:val="none"/>
          <w:u w:val="none"/>
        </w:rPr>
        <w:fldChar w:fldCharType="end"/>
      </w:r>
    </w:p>
    <w:p w14:paraId="111671E7">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（3）绑定和激活CA：将数字证书与诚信库中的供应商账户进行绑定。</w:t>
      </w:r>
    </w:p>
    <w:p w14:paraId="43CE9BD7">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下载电子招标文件：供应商应登录西安市公共资源交易平台〖首页·〉电子交易平台·〉陕西政府采购交易系统·〉企业端〗，在〖招标公告/出让公告〗模块中预览全部可供参与的项目，然后选择有意向的项目点击〖我要投标〗，成功后切换到〖我的项目〗模块，依次点选〖项目流程·〉项目管理·〉交易文件下载〗免费获取本项目电子招标文件（*.SXSZF）。请务必在采购文件获取期限内及时下载电子招标文件并做好备份，逾期无法再下载！</w:t>
      </w:r>
    </w:p>
    <w:p w14:paraId="51CE83D4">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4．制作电子投标文件：需要使用专用制作软件“新点投标文件制作软件（陕西公共资源）”进行编制，编制完成后使用CA锁对电子投标文件进行签章、加密。详见本章中的“投标文件”相关内容。</w:t>
      </w:r>
    </w:p>
    <w:p w14:paraId="7119F269">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5．提交电子投标文件：在提交投标文件截止时间前及时提交加密后电子投标文件，逾期提交的，系统将会拒收；</w:t>
      </w:r>
    </w:p>
    <w:p w14:paraId="3071856B">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6．在线参加开标大会：开标当日，供应商法定代表人或其授权代表需提前登录“不见面开标”系统，收到主持人“开始解密”指令后，使用CA锁（必须与加密文件时的CA锁为同一把锁）在线对电子投标文件进行解密。采用“不见面开标”系统后，供应商无需到达开标现场，即可在线参与整个开标过程。相关技术问题，请咨询软件开发商。</w:t>
      </w:r>
    </w:p>
    <w:p w14:paraId="649CAAAB">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7．等待专家评审：评审期间，可能需要对评审专家提出的问题进行澄清或答复。在主持人宣布评审结束前，供应商请勿擅自离席，否则由此造成的不利后果，由供应商自行承担。</w:t>
      </w:r>
    </w:p>
    <w:p w14:paraId="02752686">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8．中标供应商注册：按照陕西省政府采购监管部门的要求，采购代理机构在发布中标公告前，应由中标供应商在陕西省政府采购网上完成注册。</w:t>
      </w:r>
    </w:p>
    <w:p w14:paraId="22CE8BB4">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（二）关于询问、质疑和投诉</w:t>
      </w:r>
    </w:p>
    <w:p w14:paraId="4D4FB328">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1．询问</w:t>
      </w:r>
    </w:p>
    <w:p w14:paraId="63AD2399">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供应商对政府采购活动事项有疑问的，可以向采购人或采购代理机构提出询问。采购人或采购代理机构将在3个工作日内对供应商依法提出的询问作出答复。</w:t>
      </w:r>
    </w:p>
    <w:p w14:paraId="0E6DEC53">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根据采购人和采购代理机构签订的《政府采购委托代理协议》，针对采购需求（包括采购内容、技术或服务要求、商务要求、合同条款、供应商资格条件、评审要素及分值一览表）的询问请向采购人提出。</w:t>
      </w:r>
    </w:p>
    <w:p w14:paraId="760E1581">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2．质疑</w:t>
      </w:r>
    </w:p>
    <w:p w14:paraId="1B2B230C">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（1）供应商认为采购文件、采购过程、成交结果使自己的权益受到损害的，可以在知道或应知其权益受到损害之日起7个工作日内以书面形式向采购人、采购代理机构提出。</w:t>
      </w:r>
    </w:p>
    <w:p w14:paraId="01856700">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（2）质疑方式：</w:t>
      </w:r>
    </w:p>
    <w:p w14:paraId="6AEBAC13">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① 在线质疑：</w:t>
      </w:r>
    </w:p>
    <w:p w14:paraId="545C1959">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登录西安市公共资源交易平台〖首页·〉电子交易平台·〉企业端〗，在〖我的项目〗中点击“项目流程·〉提出质疑”，填写表单并提交质疑。</w:t>
      </w:r>
    </w:p>
    <w:p w14:paraId="6A64CA09">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② 书面质疑：</w:t>
      </w:r>
    </w:p>
    <w:p w14:paraId="30A211FC">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书面质疑函应按照财政部国库司制定的《政府采购供应商质疑函范本》（见下方链接）进行填写，签字、盖章后提交至采购人、采购代理机构。</w:t>
      </w:r>
    </w:p>
    <w:p w14:paraId="237E2C0F">
      <w:pPr>
        <w:keepLines w:val="0"/>
        <w:pageBreakBefore w:val="0"/>
        <w:kinsoku/>
        <w:wordWrap/>
        <w:overflowPunct/>
        <w:topLinePunct w:val="0"/>
        <w:autoSpaceDE/>
        <w:autoSpaceDN/>
        <w:bidi w:val="0"/>
        <w:snapToGrid/>
        <w:spacing w:line="360" w:lineRule="auto"/>
        <w:ind w:firstLine="480" w:firstLineChars="20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质疑函范本地址：</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"http://download.ccgp.gov.cn/2018/zhiyihanfanben.zip" </w:instrText>
      </w:r>
      <w:r>
        <w:rPr>
          <w:rFonts w:hint="eastAsia" w:ascii="宋体" w:hAnsi="宋体" w:eastAsia="宋体" w:cs="宋体"/>
          <w:sz w:val="24"/>
          <w:szCs w:val="24"/>
          <w:highlight w:val="none"/>
        </w:rPr>
        <w:fldChar w:fldCharType="separate"/>
      </w:r>
      <w:r>
        <w:rPr>
          <w:rStyle w:val="35"/>
          <w:rFonts w:hint="eastAsia" w:ascii="宋体" w:hAnsi="宋体" w:eastAsia="宋体" w:cs="宋体"/>
          <w:color w:val="auto"/>
          <w:sz w:val="24"/>
          <w:szCs w:val="24"/>
          <w:highlight w:val="none"/>
          <w:u w:val="none"/>
        </w:rPr>
        <w:t>http://download.ccgp.gov.cn/2018/zhiyihanfanben.zip</w:t>
      </w:r>
      <w:r>
        <w:rPr>
          <w:rStyle w:val="35"/>
          <w:rFonts w:hint="eastAsia" w:ascii="宋体" w:hAnsi="宋体" w:eastAsia="宋体" w:cs="宋体"/>
          <w:color w:val="auto"/>
          <w:sz w:val="24"/>
          <w:szCs w:val="24"/>
          <w:highlight w:val="none"/>
          <w:u w:val="none"/>
        </w:rPr>
        <w:fldChar w:fldCharType="end"/>
      </w:r>
    </w:p>
    <w:p w14:paraId="481421B7">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供应商为自然人的，应当由本人签字；供应商为法人或者其他组织的，应当由法定代表人、主要负责人，或者其授权代表签字或者盖章，并加盖单位公章，公章不得以合同章或其他印章代替。供应商委托代理人提出质疑的，应当同时提交供应商签署的授权委托书。</w:t>
      </w:r>
    </w:p>
    <w:p w14:paraId="10F7D958">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（4）在法定质疑期内，针对同一采购程序环节的质疑应当一次性提出。采购人、采购代理机构将在收到书面质疑后7个工作日内做出答复，并以书面形式通知质疑人和其他有关供应商。</w:t>
      </w:r>
    </w:p>
    <w:p w14:paraId="775E0ADD">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（5）有下列情形之一的，属于无效质疑：</w:t>
      </w:r>
    </w:p>
    <w:p w14:paraId="332A4E02">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① 对采购文件提出质疑的质疑人不是依法获取采购文件的潜在供应商；对采购过程、中标结果提出质疑的质疑人不是参与本次政府采购项目的供应商；</w:t>
      </w:r>
    </w:p>
    <w:p w14:paraId="3035519A">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② 超过法定期限或未以书面形式提出的；</w:t>
      </w:r>
    </w:p>
    <w:p w14:paraId="7833B153">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③ 缺乏必要的证明材料，或捏造事实、提供虚假材料，或以非法手段取得证明材料的；</w:t>
      </w:r>
    </w:p>
    <w:p w14:paraId="5D00B99E">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④ 质疑函没有合法有效的签字、盖章或委托授权书的（代理人提出质疑和投诉，应当提交供应商签署的授权委托书）；</w:t>
      </w:r>
    </w:p>
    <w:p w14:paraId="51E89BD1">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⑤ 针对同一采购程序环节又提出其他质疑事项的，或质疑答复后就同一事项再次提出质疑的；</w:t>
      </w:r>
    </w:p>
    <w:p w14:paraId="0A5AC4B3">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⑥ 不符合法律、法规、规章和政府采购监管机构规定的其他条件的。</w:t>
      </w:r>
    </w:p>
    <w:p w14:paraId="704FAA53">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3．投诉</w:t>
      </w:r>
    </w:p>
    <w:p w14:paraId="46B43EB7">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（1）质疑供应商对采购人、采购代理机构的答复不满意，或者采购人、采购代理机构未在规定的时间内做出答复的，可以在答复期满后15个工作日内按照《政府采购质疑和投诉办法》（财政部94号令）相关规定向</w:t>
      </w:r>
      <w:r>
        <w:rPr>
          <w:rFonts w:hint="eastAsia" w:ascii="宋体" w:hAnsi="宋体" w:eastAsia="宋体" w:cs="宋体"/>
          <w:sz w:val="24"/>
          <w:szCs w:val="24"/>
          <w:highlight w:val="none"/>
          <w:lang w:eastAsia="zh-CN"/>
        </w:rPr>
        <w:t>同级财政部门</w:t>
      </w:r>
      <w:r>
        <w:rPr>
          <w:rFonts w:hint="eastAsia" w:ascii="宋体" w:hAnsi="宋体" w:eastAsia="宋体" w:cs="宋体"/>
          <w:sz w:val="24"/>
          <w:szCs w:val="24"/>
          <w:highlight w:val="none"/>
        </w:rPr>
        <w:t>提出投诉。</w:t>
      </w:r>
    </w:p>
    <w:p w14:paraId="68B4BF8B">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（2）供应商投诉的事项不得超出已质疑事项的范围。供应商提出投诉时，应当提交投诉书和必要的证明材料，并按财政部《投诉书范本》给定的格式进行填写。</w:t>
      </w:r>
    </w:p>
    <w:p w14:paraId="2993D97C">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投诉书范本地址：</w:t>
      </w:r>
    </w:p>
    <w:p w14:paraId="1F743F7A">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"http://download.ccgp.gov.cn/2018/tousushufanben.zip" </w:instrText>
      </w:r>
      <w:r>
        <w:rPr>
          <w:rFonts w:hint="eastAsia" w:ascii="宋体" w:hAnsi="宋体" w:eastAsia="宋体" w:cs="宋体"/>
          <w:sz w:val="24"/>
          <w:szCs w:val="24"/>
          <w:highlight w:val="none"/>
        </w:rPr>
        <w:fldChar w:fldCharType="separate"/>
      </w:r>
      <w:r>
        <w:rPr>
          <w:rStyle w:val="35"/>
          <w:rFonts w:hint="eastAsia" w:ascii="宋体" w:hAnsi="宋体" w:eastAsia="宋体" w:cs="宋体"/>
          <w:sz w:val="24"/>
          <w:szCs w:val="24"/>
          <w:highlight w:val="none"/>
        </w:rPr>
        <w:t>http://download.ccgp.gov.cn/2018/tousushufanben.zip</w:t>
      </w:r>
      <w:r>
        <w:rPr>
          <w:rStyle w:val="35"/>
          <w:rFonts w:hint="eastAsia" w:ascii="宋体" w:hAnsi="宋体" w:eastAsia="宋体" w:cs="宋体"/>
          <w:sz w:val="24"/>
          <w:szCs w:val="24"/>
          <w:highlight w:val="none"/>
        </w:rPr>
        <w:fldChar w:fldCharType="end"/>
      </w:r>
    </w:p>
    <w:p w14:paraId="3E8229FF">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4．恶意质疑、投诉的法律后果</w:t>
      </w:r>
    </w:p>
    <w:p w14:paraId="5BF949F5">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（1）对捏造事实、提供虚假材料进行质疑、投诉的行为予以严肃处理：</w:t>
      </w:r>
    </w:p>
    <w:p w14:paraId="2BD07CB7">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政府采购质疑和投诉办法》（财政部94号令）规定，投诉人在全国范围内十二个月内三次以上投诉查无实据的，由财政部门列入不良行为记录名单。对于捏造事实、或提供虚假材料、或以非法手段取得证明材料（证据来源的合法性存在明显疑问，投诉人无法证明其取得方式合法的，视为以非法手段取得证明材料）进行投诉的，属于虚假、恶意投诉，由财政部门列入不良行为记录名单，并禁止其一至三年内参加政府采购活动。</w:t>
      </w:r>
    </w:p>
    <w:p w14:paraId="627FE9D6">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（2）对捏造事实诬告陷害他人、诽谤他人的法律适用：</w:t>
      </w:r>
    </w:p>
    <w:p w14:paraId="04D43435">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《中华人民共和国刑法》第243条【诬告陷害罪】捏造事实诬告陷害他人，意图使他人受刑事追究，情节严重的，处三年以下有期徒刑、拘役或者管制；造成严重后果的，处三年以上十年以下有期徒刑。</w:t>
      </w:r>
    </w:p>
    <w:p w14:paraId="6316E9ED">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《中华人民共和国刑法》第246条【侮辱罪、诽谤罪】以暴力或者其他方法公然侮辱他人或者捏造事实诽谤他人，情节严重的，处三年以下有期徒刑、拘役、管制或者剥夺政治权利。</w:t>
      </w:r>
    </w:p>
    <w:p w14:paraId="3D201715">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（三）关于保证金</w:t>
      </w:r>
    </w:p>
    <w:p w14:paraId="7598F301">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1．西安市政府采购信用担保及信用融资政策</w:t>
      </w:r>
    </w:p>
    <w:p w14:paraId="11779258">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为发挥政府采购促进中小企业发展的政策功能，西安市财政局制定了《西安市政府采购信用担保及信用融资工作实施方案（试行）》（市财发〔2014〕167号，以下简称《实施方案》），为参与西安市市级政府采购项目的供应商提供政府采购信用担保和融资服务。供应商在交纳投标保证金、履约保证金时可自愿选择通过担保函的形式交纳，供应商违约，开具担保函单位承担连带责任。</w:t>
      </w:r>
    </w:p>
    <w:p w14:paraId="0C97FE2D">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为发挥政府采购促进中小企业发展的政策功能，进一步做好政府采购信用担保及信用融资相关工作，2015年西安市财政局先后发布了《关于贯彻落实〈西安市政府采购信用担保及信用融资工作实施方案（试行）〉有关事宜的通知》和《关于进一步做好政府采购信用担保及信用融资工作有关事宜的通知》。2017年西安市财政局对合作机构名单进行了调整，详见《2017年西安市政府采购信用担保及信用融资合作机构联系名单》（以下简称合作机构名单）。</w:t>
      </w:r>
    </w:p>
    <w:p w14:paraId="08463C20">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《实施方案》链接地址：</w:t>
      </w:r>
    </w:p>
    <w:p w14:paraId="6B1865F5">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"http://xaczj.xa.gov.cn/zfcg/cgfg/5db90552fd850863a9e4594d.html" </w:instrText>
      </w:r>
      <w:r>
        <w:rPr>
          <w:rFonts w:hint="eastAsia" w:ascii="宋体" w:hAnsi="宋体" w:eastAsia="宋体" w:cs="宋体"/>
          <w:sz w:val="24"/>
          <w:szCs w:val="24"/>
          <w:highlight w:val="none"/>
        </w:rPr>
        <w:fldChar w:fldCharType="separate"/>
      </w:r>
      <w:r>
        <w:rPr>
          <w:rStyle w:val="35"/>
          <w:rFonts w:hint="eastAsia" w:ascii="宋体" w:hAnsi="宋体" w:eastAsia="宋体" w:cs="宋体"/>
          <w:color w:val="auto"/>
          <w:sz w:val="24"/>
          <w:szCs w:val="24"/>
          <w:highlight w:val="none"/>
          <w:u w:val="none"/>
        </w:rPr>
        <w:t>http://xaczj.xa.gov.cn/zfcg/cgfg/5db90552fd850863a9e4594d.html</w:t>
      </w:r>
      <w:r>
        <w:rPr>
          <w:rStyle w:val="35"/>
          <w:rFonts w:hint="eastAsia" w:ascii="宋体" w:hAnsi="宋体" w:eastAsia="宋体" w:cs="宋体"/>
          <w:color w:val="auto"/>
          <w:sz w:val="24"/>
          <w:szCs w:val="24"/>
          <w:highlight w:val="none"/>
          <w:u w:val="none"/>
        </w:rPr>
        <w:fldChar w:fldCharType="end"/>
      </w:r>
    </w:p>
    <w:p w14:paraId="39544196">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《合作机构名单》链接地址：</w:t>
      </w:r>
    </w:p>
    <w:p w14:paraId="490553B4">
      <w:pPr>
        <w:pStyle w:val="104"/>
        <w:keepLines w:val="0"/>
        <w:pageBreakBefore w:val="0"/>
        <w:kinsoku/>
        <w:wordWrap/>
        <w:overflowPunct/>
        <w:topLinePunct w:val="0"/>
        <w:autoSpaceDE/>
        <w:autoSpaceDN/>
        <w:bidi w:val="0"/>
        <w:snapToGrid/>
        <w:spacing w:line="360" w:lineRule="auto"/>
        <w:ind w:firstLine="410" w:firstLineChars="171"/>
        <w:textAlignment w:val="auto"/>
        <w:outlineLvl w:val="9"/>
        <w:rPr>
          <w:rStyle w:val="35"/>
          <w:rFonts w:hint="eastAsia" w:ascii="宋体" w:hAnsi="宋体" w:eastAsia="宋体" w:cs="宋体"/>
          <w:color w:val="auto"/>
          <w:sz w:val="24"/>
          <w:szCs w:val="24"/>
          <w:highlight w:val="none"/>
          <w:u w:val="none"/>
        </w:rPr>
      </w:pP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"http://xaczj.xa.gov.cn/zfcg/cgfg/5db9054565cbd804f69e97e0.html" </w:instrText>
      </w:r>
      <w:r>
        <w:rPr>
          <w:rFonts w:hint="eastAsia" w:ascii="宋体" w:hAnsi="宋体" w:eastAsia="宋体" w:cs="宋体"/>
          <w:sz w:val="24"/>
          <w:szCs w:val="24"/>
          <w:highlight w:val="none"/>
        </w:rPr>
        <w:fldChar w:fldCharType="separate"/>
      </w:r>
      <w:r>
        <w:rPr>
          <w:rStyle w:val="35"/>
          <w:rFonts w:hint="eastAsia" w:ascii="宋体" w:hAnsi="宋体" w:eastAsia="宋体" w:cs="宋体"/>
          <w:color w:val="auto"/>
          <w:sz w:val="24"/>
          <w:szCs w:val="24"/>
          <w:highlight w:val="none"/>
          <w:u w:val="none"/>
        </w:rPr>
        <w:t>http://xaczj.xa.gov.cn/zfcg/cgfg/5db9054565cbd804f69e97e0.html</w:t>
      </w:r>
      <w:r>
        <w:rPr>
          <w:rStyle w:val="35"/>
          <w:rFonts w:hint="eastAsia" w:ascii="宋体" w:hAnsi="宋体" w:eastAsia="宋体" w:cs="宋体"/>
          <w:color w:val="auto"/>
          <w:sz w:val="24"/>
          <w:szCs w:val="24"/>
          <w:highlight w:val="none"/>
          <w:u w:val="none"/>
        </w:rPr>
        <w:fldChar w:fldCharType="end"/>
      </w:r>
    </w:p>
    <w:p w14:paraId="72C2C903">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中标人缴纳履约保证金时可自愿选择通过担保机构保函的形式缴纳；中标人如果需要融资贷款服务的，根据《陕西省中小企业政府采购信用融资办法》（陕财办采〔2018〕23号），可凭中标通知书、政府采购合同等相关资料，按照文件规定的程序申请办理，具体规定可登陆西安市财政局网站(http://xaczj.xa.gov.cn/)政府采购专栏中查询了解</w:t>
      </w:r>
      <w:r>
        <w:rPr>
          <w:rFonts w:hint="eastAsia" w:ascii="宋体" w:hAnsi="宋体" w:eastAsia="宋体" w:cs="宋体"/>
          <w:sz w:val="24"/>
          <w:szCs w:val="24"/>
          <w:highlight w:val="none"/>
          <w:lang w:eastAsia="zh-CN"/>
        </w:rPr>
        <w:t>。</w:t>
      </w:r>
    </w:p>
    <w:p w14:paraId="3537377D">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联系方式:西安浐灞国际港政府采购信用融资联系人：王涛  15029991040</w:t>
      </w:r>
    </w:p>
    <w:p w14:paraId="57BD4423">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2．投标保证金</w:t>
      </w:r>
    </w:p>
    <w:p w14:paraId="61747F5E">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按照西安市财政局《关于促进政府采购公平竞争优化营商环境的通知》第三条规定，供应商参与西安市政府采购活动时，免交投标保证金。</w:t>
      </w:r>
    </w:p>
    <w:p w14:paraId="57A10C6E">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3．履约保证金</w:t>
      </w:r>
    </w:p>
    <w:p w14:paraId="14D39410">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（1）交纳履约保证金</w:t>
      </w:r>
    </w:p>
    <w:p w14:paraId="55559A0D">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招标文件要求供应商提交履约保证金的，供应商可通过支票、本票、汇票、网上银行支付等非现金形式交纳，也可通过履约担保函（包含纸质保函、电子保函）形式提交，其中采用纸质保函的，应当提交保函原件；采用电子保函的，可登录西安市公共资源交易平台〖首页·〉电子交易平台·〉陕西政府采购交易系统·〉企业端〗，登录后切换到〖我的项目〗模块下，即可选择电子履约保函申请（点击申请后系统将自动跳转至电子保函业务平台，选择对应金融机构后，按要求填写相应信息进行申请）。</w:t>
      </w:r>
    </w:p>
    <w:p w14:paraId="10F79195">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（2）采用履约保函形式时应注意以下事项：</w:t>
      </w:r>
    </w:p>
    <w:p w14:paraId="63813241">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① 履约保函的受益人为采购人，供应商未能按合同规定履行其义务时，采购人有权从履约保证金中取得补偿。</w:t>
      </w:r>
    </w:p>
    <w:p w14:paraId="78083F69">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② 履约保函的内容包括但不限于保函申请人、项目名称（如分标段，还应写明所投标段）、担保金额、保函有效期（履约保函的有效期至少应覆盖至合同验收之日，履约保函有效期不足的，供应商应向履约保函签发机构办理担保续期手续）；</w:t>
      </w:r>
    </w:p>
    <w:p w14:paraId="1E79A50C">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③ 担保金额不少于《投标邀请函》中规定的履约保证金交纳金额；</w:t>
      </w:r>
    </w:p>
    <w:p w14:paraId="7D26DF09">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④ 保函申请人须与供应商名称一致。若供应商为联合体形式，原则上可由联合体任意一方或多方作为保函申请人，然而对于电子保函，目前只能由下载电子招标文件的一方作为保函申请人。</w:t>
      </w:r>
    </w:p>
    <w:p w14:paraId="0A718C70">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（3）退还履约保证金</w:t>
      </w:r>
    </w:p>
    <w:p w14:paraId="2EBAEB32">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在采购项目验收合格后，中标供应商持政府采购项目验收单，到履约保证金原收取人处办理退还手续，5个工作日内无息退还（针对支票、本票、汇票、网上银行等支付形式）\当场返还（针对纸质保函）\当场注销（针对电子保函）。</w:t>
      </w:r>
    </w:p>
    <w:p w14:paraId="2F877287">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（四）关于联合体</w:t>
      </w:r>
    </w:p>
    <w:p w14:paraId="50852F98">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1．《政府采购促进中小企业发展管理办法》（财库〔2020〕46号）</w:t>
      </w:r>
      <w:r>
        <w:rPr>
          <w:rFonts w:hint="eastAsia" w:ascii="宋体" w:hAnsi="宋体" w:eastAsia="宋体" w:cs="宋体"/>
          <w:sz w:val="24"/>
          <w:szCs w:val="24"/>
          <w:highlight w:val="none"/>
          <w:lang w:eastAsia="zh-CN"/>
        </w:rPr>
        <w:t>、</w:t>
      </w:r>
      <w:r>
        <w:rPr>
          <w:rFonts w:hint="eastAsia" w:ascii="宋体" w:hAnsi="宋体" w:eastAsia="宋体" w:cs="宋体"/>
          <w:color w:val="auto"/>
          <w:sz w:val="24"/>
          <w:szCs w:val="24"/>
          <w:highlight w:val="none"/>
          <w:lang w:eastAsia="zh-CN"/>
        </w:rPr>
        <w:t>《陕西省财政厅关于进一步落实政府采购支持中小企业相关政策的通知》（陕财办采〔2023〕3号）</w:t>
      </w:r>
      <w:r>
        <w:rPr>
          <w:rFonts w:hint="eastAsia" w:ascii="宋体" w:hAnsi="宋体" w:eastAsia="宋体" w:cs="宋体"/>
          <w:sz w:val="24"/>
          <w:szCs w:val="24"/>
          <w:highlight w:val="none"/>
        </w:rPr>
        <w:t>鼓励大中型企业和其他自然人、法人或者其他组织与小型、微型企业组成联合体共同参加非专门面向中小企业的政府采购活动。联合体各方均为小型、微型企业的，联合体视同为小型、微型企业；联合协议中约定，小型、微型企业的协议合同金额占到联合体协议合同总金额</w:t>
      </w:r>
      <w:r>
        <w:rPr>
          <w:rFonts w:hint="eastAsia" w:ascii="宋体" w:hAnsi="宋体" w:eastAsia="宋体" w:cs="宋体"/>
          <w:b w:val="0"/>
          <w:bCs w:val="0"/>
          <w:sz w:val="24"/>
          <w:szCs w:val="24"/>
          <w:highlight w:val="none"/>
          <w:lang w:val="en-US" w:eastAsia="zh-CN"/>
        </w:rPr>
        <w:t>30</w:t>
      </w:r>
      <w:r>
        <w:rPr>
          <w:rFonts w:hint="eastAsia" w:ascii="宋体" w:hAnsi="宋体" w:eastAsia="宋体" w:cs="宋体"/>
          <w:b w:val="0"/>
          <w:bCs w:val="0"/>
          <w:sz w:val="24"/>
          <w:szCs w:val="24"/>
          <w:highlight w:val="none"/>
        </w:rPr>
        <w:t>%</w:t>
      </w:r>
      <w:r>
        <w:rPr>
          <w:rFonts w:hint="eastAsia" w:ascii="宋体" w:hAnsi="宋体" w:eastAsia="宋体" w:cs="宋体"/>
          <w:sz w:val="24"/>
          <w:szCs w:val="24"/>
          <w:highlight w:val="none"/>
        </w:rPr>
        <w:t>以上的，对联合体或者大中型企业的报价给</w:t>
      </w:r>
      <w:r>
        <w:rPr>
          <w:rFonts w:hint="eastAsia" w:ascii="宋体" w:hAnsi="宋体" w:eastAsia="宋体" w:cs="宋体"/>
          <w:color w:val="auto"/>
          <w:sz w:val="24"/>
          <w:szCs w:val="24"/>
          <w:highlight w:val="none"/>
        </w:rPr>
        <w:t>予</w:t>
      </w:r>
      <w:r>
        <w:rPr>
          <w:rFonts w:hint="eastAsia" w:ascii="宋体" w:hAnsi="宋体" w:eastAsia="宋体" w:cs="宋体"/>
          <w:b w:val="0"/>
          <w:bCs w:val="0"/>
          <w:color w:val="auto"/>
          <w:sz w:val="24"/>
          <w:szCs w:val="24"/>
          <w:highlight w:val="none"/>
        </w:rPr>
        <w:t>4%—6%</w:t>
      </w:r>
      <w:r>
        <w:rPr>
          <w:rFonts w:hint="eastAsia" w:ascii="宋体" w:hAnsi="宋体" w:eastAsia="宋体" w:cs="宋体"/>
          <w:color w:val="auto"/>
          <w:sz w:val="24"/>
          <w:szCs w:val="24"/>
          <w:highlight w:val="none"/>
        </w:rPr>
        <w:t>（</w:t>
      </w:r>
      <w:r>
        <w:rPr>
          <w:rFonts w:hint="eastAsia" w:ascii="宋体" w:hAnsi="宋体" w:eastAsia="宋体" w:cs="宋体"/>
          <w:sz w:val="24"/>
          <w:szCs w:val="24"/>
          <w:highlight w:val="none"/>
        </w:rPr>
        <w:t>工程项目为1%~2%）的扣除，用扣除后的价格参加评审。</w:t>
      </w:r>
    </w:p>
    <w:p w14:paraId="7F9AA378">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投标邀请函中载明“接受联合体”时，两个以上供应商可以组成一个联合体，以一个供应商的身份参与投标；投标邀请函未明确载明“不接受联合体”时，视同接受联合体。采购项目接受联合体时，组成联合体的大中型企业和其他自然人、法人或者其他组织，与小型、微型企业之间不得存在投资关系的。</w:t>
      </w:r>
    </w:p>
    <w:p w14:paraId="434BF529">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联合体各方之间应当签订《联合体协议书》，明确约定联合体各方承担的工作和相应的责任。联合体协议签订后，联合体各方不得再单独参加或者与其他供应商另外组成联合体参加同一合同项下的政府采购活动。</w:t>
      </w:r>
    </w:p>
    <w:p w14:paraId="73DF6D7D">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4．供应商以联合体形式参加政府采购活动时，遵循以下规则：</w:t>
      </w:r>
    </w:p>
    <w:p w14:paraId="1B7CC7F0">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① 联合体各方均应当具备投标邀请函中前五项基本资格要求；第六项《法定代表人委托授权书》由联合体牵头人的法定代表人（法人单位）或负责人（非法人单位）代表联合体各方进行签字、盖章，并对联合体各方负责。</w:t>
      </w:r>
    </w:p>
    <w:p w14:paraId="6DB33518">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② 采购人根据采购项目的特殊要求规定供应商特定条件的，联合体各方中至少应当有一方符合采购人规定的特定条件。联合体中有同类资质的供应商按照联合体分工承担相同工作的，应当按照资质等级较低的供应商确定资质等级。</w:t>
      </w:r>
    </w:p>
    <w:p w14:paraId="1FD5515F">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③ 采用资格前审的项目，联合体应当在提交资格前审申请文件前组成。资格前审后联合体不得增减、更换成员。</w:t>
      </w:r>
    </w:p>
    <w:p w14:paraId="2BE5969A">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④ 资格审查阶段，采购人将对所有联合体成员进行信用记录查询，联合体成员存在不良信用记录的，视同联合体存在不良信用记录。</w:t>
      </w:r>
    </w:p>
    <w:p w14:paraId="1D4773D2">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⑤ 招标文件要求供应商交纳保证金的，可以由联合体中的一方或者多方共同交纳保证金，其交纳的保证金对联合体各方均具有约束力。</w:t>
      </w:r>
    </w:p>
    <w:p w14:paraId="6ADF792F">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⑥ 招标文件要求供应商提供履约人员和设备情况的，联合体各方均应提供，以说明其作为独立供应商所具有的能有效执行合同的能力和资源。</w:t>
      </w:r>
    </w:p>
    <w:p w14:paraId="38CB985A">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⑦ 招标文件要求供应商提供同类或类似项目业绩的，联合体各方符合招标文件要求的同类或类似业绩可以累计，但联合体一方或多方共同参与的同一业绩不重复计算。</w:t>
      </w:r>
    </w:p>
    <w:p w14:paraId="74F138C7">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⑧ 投标文件中需要供应商盖章之处，联合体牵头人加盖公章即可。除联合体协议必须由各方共同签署外，投标文件中要求由法定代表人签字、盖章之处，由联合体牵头人的法定代表人（法人单位）或负责人（非法人单位）代表联合体各方进行签字、盖章，并对联合体各方负责。</w:t>
      </w:r>
    </w:p>
    <w:p w14:paraId="52D3E4C0">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⑨ 对采购项目提出投诉时，应当由组成联合体的所有供应商共同提出。</w:t>
      </w:r>
    </w:p>
    <w:p w14:paraId="6EF78DF3">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（5）联合体出现下列情形之一的，联合体投标无效：</w:t>
      </w:r>
    </w:p>
    <w:p w14:paraId="562748A6">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① 没有提交有效的联合体协议的；</w:t>
      </w:r>
    </w:p>
    <w:p w14:paraId="35D4039B">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② 组成联合体的大中型企业和其他自然人、法人或者其他组织，与小型、微型企业之间存在投资关系的；</w:t>
      </w:r>
    </w:p>
    <w:p w14:paraId="036C10D6">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③ 联合体协议签订后，联合体成员单独参加或者与其他供应商另外组成联合体参加同一合同项下的政府采购活动的；</w:t>
      </w:r>
    </w:p>
    <w:p w14:paraId="721253D0">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④ 资格前审后联合体增减、更换成员的；</w:t>
      </w:r>
    </w:p>
    <w:p w14:paraId="6A466E9B">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⑤ 联合体成员因存在不良信用记录，被拒绝其参与政府采购活动的。</w:t>
      </w:r>
    </w:p>
    <w:p w14:paraId="13AA90F7">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（五）关于进口产品</w:t>
      </w:r>
    </w:p>
    <w:p w14:paraId="7E279B21">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根据《政府采购进口产品管理办法》（财库〔2007〕119号）规定，政府采购应当采购本国产品，确需采购进口产品的，应当在采购活动开始前向财政部门提出申请并获得财政部门审核同意后，依法开展政府采购活动。采购人采购进口产品时，优先采购向我国企业转让技术、与我国企业签订消化吸收再创新方案的供应商的进口产品。</w:t>
      </w:r>
    </w:p>
    <w:p w14:paraId="43D76BC3">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根据《关于政府采购进口产品管理有关问题的通知》（财办库〔2008〕248号）有关规定，财政部门审核同意购买进口产品的，投标邀请函将明确载明“允许进口产品参与”，此时满足招标文件要求的国产产品仍然可以参与竞争；否则，视为拒绝进口产品参与，供应商以进口产品参与投标时，将作无效投标处理。</w:t>
      </w:r>
    </w:p>
    <w:p w14:paraId="098D70EA">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（六）关于政府采购政策</w:t>
      </w:r>
    </w:p>
    <w:p w14:paraId="62541F5B">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1．对中小企业、监狱企业、残疾人福利性单位的优惠政策</w:t>
      </w:r>
    </w:p>
    <w:p w14:paraId="205AE5BE">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根据《政府采购促进中小企业发展管理办法》（财库〔2020〕46号）的有关规定，提供小微企业制造的货物、承建的工程或者承接的服务（不包括使用大型、中型企业商号或者注册商标的货物）参与政府采购活动时对小型和微型企业产品的报价给予的扣除（实际价格扣除比例以本章《评审要素及分值一览表》中的具体规定为准），用扣除后的价格参加评审。同时，依据该办法第四条第二款规定在货物采购项目中，供应商提供的货物既有中小企业制造货物，也有大型企业制造货物的，不享受中小企业扶持政策。</w:t>
      </w:r>
    </w:p>
    <w:p w14:paraId="4205AABB">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（2）根据财政部、司法部联合下发的《关于政府采购支持监狱企业发展有关问题的通知》（财库〔2014〕68号）的规定，监狱企业视同小型、微型企业。</w:t>
      </w:r>
    </w:p>
    <w:p w14:paraId="51EEC3D2">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根据财政部、民政部、中国残疾人联合会下发的《关于促进残疾人就业政府采购政策的通知》（财库〔2017〕141号）的规定，残疾人福利性单位提供本单位制造的货物、承建的工程或者承接的服务（以下简称产品），或者提供其他残疾人福利性单位制造的货物（不包括使用非残疾人福利性单位注册商标的货物）参与政府采购活动时，视同小型、微型企业，享受预留份额、评审中价格扣除等促进中小企业发展的政府采购政策。残疾人福利性单位属于小型、微型企业的，不重复享受政策。</w:t>
      </w:r>
    </w:p>
    <w:p w14:paraId="1B3869B5">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4）参加政府采购活动的中小企业、监狱企业、残疾人福利性单位应根据企业性质分别提供《中小企业声明函》\《监狱企业证明函》\《残疾人福利性单位声明函》。其中，《监狱企业证明函》应由省级以上监狱管理局、戒毒管理局（含新疆生产建设兵团）出具。未提供上述声明函\证明函的，不能享受招标文件规定的价格扣除，但不影响投标文件的有效性。</w:t>
      </w:r>
    </w:p>
    <w:p w14:paraId="1AC2AE78">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2．节能、环保产品采购政策</w:t>
      </w:r>
    </w:p>
    <w:p w14:paraId="651B4A9C">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根据财政部、发展改革委、生态环境部、市场监管总局《关于调整优化节能产品、环境标志产品政府采购执行机制的通知》（财库〔2019〕9号）规定“对政府采购节能产品、环境标志产品实施品目清单管理”。采购人拟采购的产品属于品目清单范围的，依据国家确定的认证机构出具的、处于有效期之内的节能产品、环境标志产品认证证书，对获得证书的产品实施政府优先采购或强制采购。</w:t>
      </w:r>
    </w:p>
    <w:p w14:paraId="4650A0F0">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对于已列入品目清单的产品类别，采购人可在采购需求中提出更高的节约资源和保护环境要求，对符合条件的获证产品给予优先待遇。对于未列入品目清单的产品类别，鼓励采购人综合考虑节能、节水、环保、循环、低碳、再生、有机等因素，参考相关国家标准、行业标准或团体标准，在采购需求中提出相关绿色采购要求，促进绿色产品推广应用。</w:t>
      </w:r>
    </w:p>
    <w:p w14:paraId="4CE63397">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（3）《节能产品政府采购品目清单》见财政部、发展改革委《关于印发节能产品政府采购品目清单的通知》（财库〔2019〕19号）附件。</w:t>
      </w:r>
    </w:p>
    <w:p w14:paraId="6DE0014E">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（4）《环境标志产品政府采购品目清单》见财政部、生态环境部《关于印发环境标志产品政府采购品目清单的通知》（财库〔2019〕18号）附件。</w:t>
      </w:r>
    </w:p>
    <w:p w14:paraId="5E1449ED">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（5）“国家确定的认证机构”名单见市场监管总局《关于发布参与实施政府采购节能产品、环境标志产品认证机构名录的公告》（2019年第16号）。</w:t>
      </w:r>
    </w:p>
    <w:p w14:paraId="26F172E8">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val="en-US" w:eastAsia="zh-CN"/>
        </w:rPr>
        <w:t>3.</w:t>
      </w:r>
      <w:r>
        <w:rPr>
          <w:rFonts w:hint="eastAsia" w:ascii="宋体" w:hAnsi="宋体" w:eastAsia="宋体" w:cs="宋体"/>
          <w:b/>
          <w:bCs/>
          <w:sz w:val="24"/>
          <w:szCs w:val="24"/>
          <w:highlight w:val="none"/>
        </w:rPr>
        <w:t>陕西省中小企业政府采购信用融资办法</w:t>
      </w:r>
    </w:p>
    <w:p w14:paraId="12A53684">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为进一步贯彻落实国务院和陕西省关于支持中小企业发展的政策措施，发挥政府采购政策导向作用，充分利用信息化技术，通过搭建信息对称、相互对接的平台，有效缓解中小企业融资难、融资贵问题。陕西省财政厅结合陕西省政府采购信息化建设实际，制定了《陕西省中小企业政府采购信用融资办法》（陕财办采〔2018〕23号，简称融资办法）。</w:t>
      </w:r>
    </w:p>
    <w:p w14:paraId="448DA4E9">
      <w:pPr>
        <w:keepLines w:val="0"/>
        <w:pageBreakBefore w:val="0"/>
        <w:kinsoku/>
        <w:wordWrap/>
        <w:overflowPunct/>
        <w:topLinePunct w:val="0"/>
        <w:autoSpaceDE/>
        <w:autoSpaceDN/>
        <w:bidi w:val="0"/>
        <w:snapToGrid/>
        <w:spacing w:line="360" w:lineRule="auto"/>
        <w:ind w:firstLine="480" w:firstLineChars="20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链接地址：</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"http://www.ccgp-shaanxi.gov.cn/zcdservice/zcd/shanxi/article/zcdt/1390497710741917696" </w:instrText>
      </w:r>
      <w:r>
        <w:rPr>
          <w:rFonts w:hint="eastAsia" w:ascii="宋体" w:hAnsi="宋体" w:eastAsia="宋体" w:cs="宋体"/>
          <w:sz w:val="24"/>
          <w:szCs w:val="24"/>
          <w:highlight w:val="none"/>
        </w:rPr>
        <w:fldChar w:fldCharType="separate"/>
      </w:r>
      <w:r>
        <w:rPr>
          <w:rStyle w:val="35"/>
          <w:rFonts w:hint="eastAsia" w:ascii="宋体" w:hAnsi="宋体" w:eastAsia="宋体" w:cs="宋体"/>
          <w:color w:val="auto"/>
          <w:sz w:val="24"/>
          <w:szCs w:val="24"/>
          <w:highlight w:val="none"/>
          <w:u w:val="none"/>
        </w:rPr>
        <w:t>http://www.ccgp-shaanxi.gov.cn/zcdservice/zcd/shanxi/article/zcdt/1390497710741917696</w:t>
      </w:r>
      <w:r>
        <w:rPr>
          <w:rStyle w:val="35"/>
          <w:rFonts w:hint="eastAsia" w:ascii="宋体" w:hAnsi="宋体" w:eastAsia="宋体" w:cs="宋体"/>
          <w:color w:val="auto"/>
          <w:sz w:val="24"/>
          <w:szCs w:val="24"/>
          <w:highlight w:val="none"/>
          <w:u w:val="none"/>
        </w:rPr>
        <w:fldChar w:fldCharType="end"/>
      </w:r>
    </w:p>
    <w:p w14:paraId="010A04B9">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（七）关于现场踏勘和集中答疑</w:t>
      </w:r>
    </w:p>
    <w:p w14:paraId="64522C71">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采购人可以根据项目实际情况决定是否组织现场踏勘\标前集中答疑</w:t>
      </w:r>
      <w:r>
        <w:rPr>
          <w:rFonts w:hint="eastAsia" w:ascii="宋体" w:hAnsi="宋体" w:eastAsia="宋体" w:cs="宋体"/>
          <w:color w:val="auto"/>
          <w:sz w:val="24"/>
          <w:szCs w:val="24"/>
          <w:highlight w:val="none"/>
        </w:rPr>
        <w:t>。投标邀请函中</w:t>
      </w:r>
      <w:r>
        <w:rPr>
          <w:rFonts w:hint="eastAsia" w:ascii="宋体" w:hAnsi="宋体" w:eastAsia="宋体" w:cs="宋体"/>
          <w:sz w:val="24"/>
          <w:szCs w:val="24"/>
          <w:highlight w:val="none"/>
        </w:rPr>
        <w:t>明确载明安排上述活动的，各供应商应派出技术、预算等相关人员，在招标文件约定的时间、地点参加现场踏勘\标前集中答疑。</w:t>
      </w:r>
    </w:p>
    <w:p w14:paraId="3CB1CF6D">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供应商代表可在采购人指引下就采购内容相关数据进行实地测量，需要采购人或采购代理机构解答的问题可以以口头或书面形式做出。口头问题，口头答复；书面问题，将由采购人和采购代理机构整理后，在“政府采购信息发布媒体”上发布《答疑纪要》。答疑纪要是招标文件的组成部分，与招标文件中表述不一致的内容，以答疑纪要为准。</w:t>
      </w:r>
    </w:p>
    <w:p w14:paraId="4C2724DE">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凡未参加现场踏勘和集中答疑的供应商，由此带来的不利后果由该供应商自行承担。</w:t>
      </w:r>
    </w:p>
    <w:p w14:paraId="4200341B">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（八）关于同一品牌产品的处理</w:t>
      </w:r>
    </w:p>
    <w:p w14:paraId="44305989">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采用最低评标价法的采购项目，提供相同品牌产品的不同供应商参加同一合同项下投标的，以其中通过资格审查、符合性审查且报价最低的参加评标；报价相同的，由采购人或者采购人委托评审委员会按照采购文件规定的方式确定一个参加评标的供应商，采购文件未规定的采取随机抽取方式确定，其他投标无效。</w:t>
      </w:r>
    </w:p>
    <w:p w14:paraId="23716E27">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使用综合评分法的采购项目，提供相同品牌产品且通过资格审查、符合性审查的不同供应商参加同一合同项下投标的，按一家供应商计算，评审后得分最高的同品牌供应商获得中标供应商推荐资格；评审得分相同的，由采购人或者采购人委托评审委员会按照采购文件规定的方式确定一个供应商获得中标供应商推荐资格，采购文件未规定的采取随机抽取方式确定，其他同品牌供应商不作为中标候选人。</w:t>
      </w:r>
    </w:p>
    <w:p w14:paraId="68B0286E">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3．非单一产品采购项目，采购人将根据采购项目技术构成、产品价格比重等因素确定核心产品（可能不止一种），并在采购文件中载明。多家供应商提供的核心产品全部采用相同品牌的，按一家供应商计算。</w:t>
      </w:r>
    </w:p>
    <w:p w14:paraId="52D8F4A8">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（九）关于知识产权和保密事项</w:t>
      </w:r>
    </w:p>
    <w:p w14:paraId="29FDA820">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1．所有涉及知识产权的产品及设计，供应商必须确保委托人、采购人拥有其合法的、不受限制的无偿使用权，并免受任何侵权诉讼或索偿；否则，由此产生的一切经济损失和法律责任由供应商承担。</w:t>
      </w:r>
    </w:p>
    <w:p w14:paraId="624535F6">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由采购人向供应商提供的用户需求书、图纸、样品、模型、模件和所有资料，供应商获得后，应对其保密。除非采购人同意，供应商不得向第三方透露或将其用于本次投标以外的任何用途。开标后，若采购人有要求，供应商人须归还采购人认为需保密的文件和资料，并销毁所有相应的备份文件及资料。</w:t>
      </w:r>
    </w:p>
    <w:p w14:paraId="7D4F345B">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（十）关于信用记录的查询和使用</w:t>
      </w:r>
    </w:p>
    <w:p w14:paraId="1740CE42">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1．根据财政部《关于在政府采购活动中查询及使用信用记录有关问题的通知》（财库〔2016〕125号）第二条有关要求，采购人将在资格审查阶段通过【信用中国】（</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"https://www.creditchina.gov.cn" </w:instrText>
      </w:r>
      <w:r>
        <w:rPr>
          <w:rFonts w:hint="eastAsia" w:ascii="宋体" w:hAnsi="宋体" w:eastAsia="宋体" w:cs="宋体"/>
          <w:sz w:val="24"/>
          <w:szCs w:val="24"/>
          <w:highlight w:val="none"/>
        </w:rPr>
        <w:fldChar w:fldCharType="separate"/>
      </w:r>
      <w:r>
        <w:rPr>
          <w:rStyle w:val="35"/>
          <w:rFonts w:hint="eastAsia" w:ascii="宋体" w:hAnsi="宋体" w:eastAsia="宋体" w:cs="宋体"/>
          <w:color w:val="auto"/>
          <w:sz w:val="24"/>
          <w:szCs w:val="24"/>
          <w:highlight w:val="none"/>
          <w:u w:val="none"/>
        </w:rPr>
        <w:t>https://www.creditchina.gov.cn</w:t>
      </w:r>
      <w:r>
        <w:rPr>
          <w:rStyle w:val="35"/>
          <w:rFonts w:hint="eastAsia" w:ascii="宋体" w:hAnsi="宋体" w:eastAsia="宋体" w:cs="宋体"/>
          <w:color w:val="auto"/>
          <w:sz w:val="24"/>
          <w:szCs w:val="24"/>
          <w:highlight w:val="none"/>
          <w:u w:val="none"/>
        </w:rPr>
        <w:fldChar w:fldCharType="end"/>
      </w:r>
      <w:r>
        <w:rPr>
          <w:rFonts w:hint="eastAsia" w:ascii="宋体" w:hAnsi="宋体" w:eastAsia="宋体" w:cs="宋体"/>
          <w:sz w:val="24"/>
          <w:szCs w:val="24"/>
          <w:highlight w:val="none"/>
        </w:rPr>
        <w:t>/）和【中国政府采购网】（</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"http://www.ccgp.gov.cn/" </w:instrText>
      </w:r>
      <w:r>
        <w:rPr>
          <w:rFonts w:hint="eastAsia" w:ascii="宋体" w:hAnsi="宋体" w:eastAsia="宋体" w:cs="宋体"/>
          <w:sz w:val="24"/>
          <w:szCs w:val="24"/>
          <w:highlight w:val="none"/>
        </w:rPr>
        <w:fldChar w:fldCharType="separate"/>
      </w:r>
      <w:r>
        <w:rPr>
          <w:rStyle w:val="35"/>
          <w:rFonts w:hint="eastAsia" w:ascii="宋体" w:hAnsi="宋体" w:eastAsia="宋体" w:cs="宋体"/>
          <w:color w:val="auto"/>
          <w:sz w:val="24"/>
          <w:szCs w:val="24"/>
          <w:highlight w:val="none"/>
          <w:u w:val="none"/>
        </w:rPr>
        <w:t>http://www.ccgp.gov.cn/）</w:t>
      </w:r>
      <w:r>
        <w:rPr>
          <w:rStyle w:val="35"/>
          <w:rFonts w:hint="eastAsia" w:ascii="宋体" w:hAnsi="宋体" w:eastAsia="宋体" w:cs="宋体"/>
          <w:color w:val="auto"/>
          <w:sz w:val="24"/>
          <w:szCs w:val="24"/>
          <w:highlight w:val="none"/>
          <w:u w:val="none"/>
        </w:rPr>
        <w:fldChar w:fldCharType="end"/>
      </w:r>
      <w:r>
        <w:rPr>
          <w:rFonts w:hint="eastAsia" w:ascii="宋体" w:hAnsi="宋体" w:eastAsia="宋体" w:cs="宋体"/>
          <w:sz w:val="24"/>
          <w:szCs w:val="24"/>
          <w:highlight w:val="none"/>
        </w:rPr>
        <w:t>对供应商的信用情况进行甄别。</w:t>
      </w:r>
    </w:p>
    <w:p w14:paraId="7831F3C7">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2．对列入失信被执行人、</w:t>
      </w:r>
      <w:r>
        <w:rPr>
          <w:rFonts w:hint="eastAsia" w:ascii="宋体" w:hAnsi="宋体" w:eastAsia="宋体" w:cs="宋体"/>
          <w:sz w:val="24"/>
          <w:szCs w:val="24"/>
          <w:highlight w:val="none"/>
          <w:lang w:eastAsia="zh-CN"/>
        </w:rPr>
        <w:t>重大税收违法失信主体</w:t>
      </w:r>
      <w:r>
        <w:rPr>
          <w:rFonts w:hint="eastAsia" w:ascii="宋体" w:hAnsi="宋体" w:eastAsia="宋体" w:cs="宋体"/>
          <w:sz w:val="24"/>
          <w:szCs w:val="24"/>
          <w:highlight w:val="none"/>
        </w:rPr>
        <w:t>、政府采购严重违法失信行为记录名单及其他不符合《中华人民共和国政府采购法》第二十二条规定条件的供应商，将拒绝其参与政府采购活动。</w:t>
      </w:r>
    </w:p>
    <w:p w14:paraId="0780AC8D">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3．供应商在参加政府采购活动前3年内因违法经营被禁止在一定期限内参加政府采购活动，期限届满的，可以参加政府采购活动的，但供应商应提供相关证明材料。</w:t>
      </w:r>
    </w:p>
    <w:p w14:paraId="44ED7831">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4．信用记录查询结果打印后，将与其他采购文件一并保存。</w:t>
      </w:r>
    </w:p>
    <w:p w14:paraId="26DF8784">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（十一）其他重要事项</w:t>
      </w:r>
    </w:p>
    <w:p w14:paraId="5CE42B10">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1．招标文件内所附网络链接仅供参考，不保证其长期有效性。</w:t>
      </w:r>
    </w:p>
    <w:p w14:paraId="4DCB33D8">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2．供应商的投标费用自理。</w:t>
      </w:r>
    </w:p>
    <w:p w14:paraId="419618EA">
      <w:pPr>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三、招标文件</w:t>
      </w:r>
    </w:p>
    <w:p w14:paraId="64B5F77E">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（一）招标文件的解释权</w:t>
      </w:r>
    </w:p>
    <w:p w14:paraId="1717C5D2">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本项目招标文件的解释权归采购代理机构，评标委员会成员应根据政府采购法律法规和招标文件所载明的评审方法、标准进行评审。</w:t>
      </w:r>
    </w:p>
    <w:p w14:paraId="2602C4D6">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（二）招标文件主要内容</w:t>
      </w:r>
    </w:p>
    <w:p w14:paraId="059D988C">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 xml:space="preserve">第1章  </w:t>
      </w:r>
      <w:r>
        <w:rPr>
          <w:rFonts w:hint="eastAsia" w:ascii="宋体" w:hAnsi="宋体" w:eastAsia="宋体" w:cs="宋体"/>
          <w:color w:val="auto"/>
          <w:sz w:val="24"/>
          <w:szCs w:val="24"/>
          <w:highlight w:val="none"/>
          <w:lang w:eastAsia="zh-CN"/>
        </w:rPr>
        <w:t>招标公告</w:t>
      </w:r>
    </w:p>
    <w:p w14:paraId="04A495BA">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第2章  供应商须知</w:t>
      </w:r>
    </w:p>
    <w:p w14:paraId="213C3069">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第3章  招标内容及要求</w:t>
      </w:r>
    </w:p>
    <w:p w14:paraId="3B150564">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第4章  </w:t>
      </w:r>
      <w:r>
        <w:rPr>
          <w:rFonts w:hint="eastAsia" w:ascii="宋体" w:hAnsi="宋体" w:eastAsia="宋体" w:cs="宋体"/>
          <w:sz w:val="24"/>
          <w:szCs w:val="24"/>
          <w:highlight w:val="none"/>
          <w:lang w:eastAsia="zh-CN"/>
        </w:rPr>
        <w:t>商务及</w:t>
      </w:r>
      <w:r>
        <w:rPr>
          <w:rFonts w:hint="eastAsia" w:ascii="宋体" w:hAnsi="宋体" w:eastAsia="宋体" w:cs="宋体"/>
          <w:sz w:val="24"/>
          <w:szCs w:val="24"/>
          <w:highlight w:val="none"/>
        </w:rPr>
        <w:t>合同文本</w:t>
      </w:r>
    </w:p>
    <w:p w14:paraId="73E13A1F">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第5章  投标文件构成及格式</w:t>
      </w:r>
    </w:p>
    <w:p w14:paraId="4A6902D9">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（三）招标文件的检查及阅读</w:t>
      </w:r>
    </w:p>
    <w:p w14:paraId="21AB3407">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供应商应认真阅读和充分理解招标文件中所有的事项、格式条款和规范要求，在投标文件中对招标文件做出全面响应，并按招标文件的要求提交全部资料。</w:t>
      </w:r>
    </w:p>
    <w:p w14:paraId="70AD9C57">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项目废标后重新组织招标的，采购代理机构将重新编制、发布新版招标文件，供应商应按新版招标文件重新编制投标文件。原招标文件及投标文件失效。</w:t>
      </w:r>
    </w:p>
    <w:p w14:paraId="221D1B28">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（四）招标文件的修改、澄清</w:t>
      </w:r>
    </w:p>
    <w:p w14:paraId="53CFCA5F">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1．提交投标文件截止之日前，采购人或采购代理机构可能对已发出的招标文件进行澄清或者修改，澄清或者修改的内容为招标文件的组成部分。</w:t>
      </w:r>
    </w:p>
    <w:p w14:paraId="31D1D02F">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2．当需要澄清或修改时，采购代理机构将在提交投标文件截止之日15日前，在财政部门指定的“政府采购信息发布媒体”上发布变更公告；不足15日的，将顺延提交投标文件截止时间。</w:t>
      </w:r>
    </w:p>
    <w:p w14:paraId="50685168">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澄清或修改的内容可能影响投标文件编制时，采购代理机构将在发布变更公告的同时，提醒供应商下载答疑文件（*.SXSCF，即更新后的电子招标文件）。供应商应及时从西安市公共资源交易平台〖首页·〉电子交易平台·〉陕西政府采购交易系统·〉企业端〗登录，登录后切换到〖我的项目〗模块，从〖项目流程·〉项目管理·〉答疑文件下载〗获取更新后的电子招标文件（*.SXSCF），使用旧版电子招标文件制作的电子投标文件（*.SXSTF），系统将拒绝接收。</w:t>
      </w:r>
    </w:p>
    <w:p w14:paraId="7EFC8C54">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4．请各供应商在提交投标文件截止时间之前，务必随时关注“政府采购信息发布媒体”上发布的变更公告，采购代理机构不再另行通知，因供应商未及时关注所造成的一切后果由供应商自行承担：</w:t>
      </w:r>
    </w:p>
    <w:p w14:paraId="65152F37">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"http://www.ccgp-shaanxi.gov.cn" </w:instrText>
      </w:r>
      <w:r>
        <w:rPr>
          <w:rFonts w:hint="eastAsia" w:ascii="宋体" w:hAnsi="宋体" w:eastAsia="宋体" w:cs="宋体"/>
          <w:sz w:val="24"/>
          <w:szCs w:val="24"/>
          <w:highlight w:val="none"/>
        </w:rPr>
        <w:fldChar w:fldCharType="separate"/>
      </w:r>
      <w:r>
        <w:rPr>
          <w:rStyle w:val="35"/>
          <w:rFonts w:hint="eastAsia" w:ascii="宋体" w:hAnsi="宋体" w:eastAsia="宋体" w:cs="宋体"/>
          <w:color w:val="auto"/>
          <w:sz w:val="24"/>
          <w:szCs w:val="24"/>
          <w:highlight w:val="none"/>
          <w:u w:val="none"/>
        </w:rPr>
        <w:t>陕西省政府采购网</w:t>
      </w:r>
      <w:r>
        <w:rPr>
          <w:rStyle w:val="35"/>
          <w:rFonts w:hint="eastAsia" w:ascii="宋体" w:hAnsi="宋体" w:eastAsia="宋体" w:cs="宋体"/>
          <w:color w:val="auto"/>
          <w:sz w:val="24"/>
          <w:szCs w:val="24"/>
          <w:highlight w:val="none"/>
          <w:u w:val="none"/>
        </w:rPr>
        <w:fldChar w:fldCharType="end"/>
      </w:r>
      <w:r>
        <w:rPr>
          <w:rFonts w:hint="eastAsia" w:ascii="宋体" w:hAnsi="宋体" w:eastAsia="宋体" w:cs="宋体"/>
          <w:sz w:val="24"/>
          <w:szCs w:val="24"/>
          <w:highlight w:val="none"/>
        </w:rPr>
        <w:t>】（</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"http://www.ccgp-shaanxi.gov.cn/" </w:instrText>
      </w:r>
      <w:r>
        <w:rPr>
          <w:rFonts w:hint="eastAsia" w:ascii="宋体" w:hAnsi="宋体" w:eastAsia="宋体" w:cs="宋体"/>
          <w:sz w:val="24"/>
          <w:szCs w:val="24"/>
          <w:highlight w:val="none"/>
        </w:rPr>
        <w:fldChar w:fldCharType="separate"/>
      </w:r>
      <w:r>
        <w:rPr>
          <w:rStyle w:val="35"/>
          <w:rFonts w:hint="eastAsia" w:ascii="宋体" w:hAnsi="宋体" w:eastAsia="宋体" w:cs="宋体"/>
          <w:color w:val="auto"/>
          <w:sz w:val="24"/>
          <w:szCs w:val="24"/>
          <w:highlight w:val="none"/>
          <w:u w:val="none"/>
        </w:rPr>
        <w:t>http://www.ccgp-shaanxi.gov.cn/</w:t>
      </w:r>
      <w:r>
        <w:rPr>
          <w:rStyle w:val="35"/>
          <w:rFonts w:hint="eastAsia" w:ascii="宋体" w:hAnsi="宋体" w:eastAsia="宋体" w:cs="宋体"/>
          <w:color w:val="auto"/>
          <w:sz w:val="24"/>
          <w:szCs w:val="24"/>
          <w:highlight w:val="none"/>
          <w:u w:val="none"/>
        </w:rPr>
        <w:fldChar w:fldCharType="end"/>
      </w:r>
      <w:r>
        <w:rPr>
          <w:rFonts w:hint="eastAsia" w:ascii="宋体" w:hAnsi="宋体" w:eastAsia="宋体" w:cs="宋体"/>
          <w:sz w:val="24"/>
          <w:szCs w:val="24"/>
          <w:highlight w:val="none"/>
        </w:rPr>
        <w:t>）中的〖首页·〉信息公告·〉市级·〉西安市〗；</w:t>
      </w:r>
    </w:p>
    <w:p w14:paraId="397FECF0">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"http://xa.sxggzyjy.cn/" </w:instrText>
      </w:r>
      <w:r>
        <w:rPr>
          <w:rFonts w:hint="eastAsia" w:ascii="宋体" w:hAnsi="宋体" w:eastAsia="宋体" w:cs="宋体"/>
          <w:sz w:val="24"/>
          <w:szCs w:val="24"/>
          <w:highlight w:val="none"/>
        </w:rPr>
        <w:fldChar w:fldCharType="separate"/>
      </w:r>
      <w:r>
        <w:rPr>
          <w:rStyle w:val="35"/>
          <w:rFonts w:hint="eastAsia" w:ascii="宋体" w:hAnsi="宋体" w:eastAsia="宋体" w:cs="宋体"/>
          <w:color w:val="auto"/>
          <w:sz w:val="24"/>
          <w:szCs w:val="24"/>
          <w:highlight w:val="none"/>
          <w:u w:val="none"/>
        </w:rPr>
        <w:t>全国公共资源交易网（陕西省·西安市）</w:t>
      </w:r>
      <w:r>
        <w:rPr>
          <w:rStyle w:val="35"/>
          <w:rFonts w:hint="eastAsia" w:ascii="宋体" w:hAnsi="宋体" w:eastAsia="宋体" w:cs="宋体"/>
          <w:color w:val="auto"/>
          <w:sz w:val="24"/>
          <w:szCs w:val="24"/>
          <w:highlight w:val="none"/>
          <w:u w:val="none"/>
        </w:rPr>
        <w:fldChar w:fldCharType="end"/>
      </w:r>
      <w:r>
        <w:rPr>
          <w:rFonts w:hint="eastAsia" w:ascii="宋体" w:hAnsi="宋体" w:eastAsia="宋体" w:cs="宋体"/>
          <w:sz w:val="24"/>
          <w:szCs w:val="24"/>
          <w:highlight w:val="none"/>
        </w:rPr>
        <w:t>】（</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"http://sxggzyjy.xa.gov.cn/" </w:instrText>
      </w:r>
      <w:r>
        <w:rPr>
          <w:rFonts w:hint="eastAsia" w:ascii="宋体" w:hAnsi="宋体" w:eastAsia="宋体" w:cs="宋体"/>
          <w:sz w:val="24"/>
          <w:szCs w:val="24"/>
          <w:highlight w:val="none"/>
        </w:rPr>
        <w:fldChar w:fldCharType="separate"/>
      </w:r>
      <w:r>
        <w:rPr>
          <w:rStyle w:val="35"/>
          <w:rFonts w:hint="eastAsia" w:ascii="宋体" w:hAnsi="宋体" w:eastAsia="宋体" w:cs="宋体"/>
          <w:color w:val="auto"/>
          <w:sz w:val="24"/>
          <w:szCs w:val="24"/>
          <w:highlight w:val="none"/>
          <w:u w:val="none"/>
        </w:rPr>
        <w:t>http://sxggzyjy.xa.gov.cn/</w:t>
      </w:r>
      <w:r>
        <w:rPr>
          <w:rStyle w:val="35"/>
          <w:rFonts w:hint="eastAsia" w:ascii="宋体" w:hAnsi="宋体" w:eastAsia="宋体" w:cs="宋体"/>
          <w:color w:val="auto"/>
          <w:sz w:val="24"/>
          <w:szCs w:val="24"/>
          <w:highlight w:val="none"/>
          <w:u w:val="none"/>
        </w:rPr>
        <w:fldChar w:fldCharType="end"/>
      </w:r>
      <w:r>
        <w:rPr>
          <w:rFonts w:hint="eastAsia" w:ascii="宋体" w:hAnsi="宋体" w:eastAsia="宋体" w:cs="宋体"/>
          <w:sz w:val="24"/>
          <w:szCs w:val="24"/>
          <w:highlight w:val="none"/>
        </w:rPr>
        <w:t>）中的〖首页·〉交易大厅·〉政府采购〗。</w:t>
      </w:r>
    </w:p>
    <w:p w14:paraId="494ECA52">
      <w:pPr>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四、投标文件</w:t>
      </w:r>
    </w:p>
    <w:p w14:paraId="6255F6F8">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（一）投标文件的式样</w:t>
      </w:r>
    </w:p>
    <w:p w14:paraId="02F62DEF">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1．组成及格式</w:t>
      </w:r>
    </w:p>
    <w:p w14:paraId="26224850">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供应商依照招标文件第五章《投标文件构成及格式》给定形式进行编制投标文件。项目分标段的，应按所投标段分别准备投标文件。</w:t>
      </w:r>
    </w:p>
    <w:p w14:paraId="39E53C9F">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2．语言</w:t>
      </w:r>
    </w:p>
    <w:p w14:paraId="690C522B">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招标活动的所有文件、资料、函电文字均使用简体中文，确需提交用其他语言形成的资料，必须翻译成简体中文，如有差异，以简体中文为准。</w:t>
      </w:r>
    </w:p>
    <w:p w14:paraId="681037EB">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3．计量单位</w:t>
      </w:r>
    </w:p>
    <w:p w14:paraId="7DF1C007">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投标文件的计量单位应使用中华人民共和国法定计量单位，但招标文件另有规定的除外。</w:t>
      </w:r>
    </w:p>
    <w:p w14:paraId="52E7ED52">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（二）投标文件的有效期</w:t>
      </w:r>
    </w:p>
    <w:p w14:paraId="381E36AC">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投标文件有效期为自开标之日起不少于90个日历日。如中标，延长至合同执行完毕时止。</w:t>
      </w:r>
    </w:p>
    <w:p w14:paraId="2F6A8411">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（三）投标报价</w:t>
      </w:r>
    </w:p>
    <w:p w14:paraId="37BC360E">
      <w:pPr>
        <w:keepNext w:val="0"/>
        <w:keepLines w:val="0"/>
        <w:pageBreakBefore w:val="0"/>
        <w:widowControl/>
        <w:kinsoku/>
        <w:wordWrap/>
        <w:overflowPunct/>
        <w:topLinePunct w:val="0"/>
        <w:autoSpaceDE/>
        <w:autoSpaceDN/>
        <w:bidi w:val="0"/>
        <w:adjustRightInd/>
        <w:snapToGrid w:val="0"/>
        <w:spacing w:line="540" w:lineRule="exact"/>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本项目报价包括但</w:t>
      </w:r>
      <w:r>
        <w:rPr>
          <w:rFonts w:hint="eastAsia" w:ascii="宋体" w:hAnsi="宋体" w:eastAsia="宋体" w:cs="宋体"/>
          <w:bCs/>
          <w:color w:val="auto"/>
          <w:sz w:val="24"/>
          <w:szCs w:val="24"/>
          <w:highlight w:val="none"/>
          <w:lang w:bidi="ar"/>
        </w:rPr>
        <w:t>不限于货物价款(含通常配备的备品备件、易损件）、软件升级费、人工费、货物（产品）设计费、包装费、仓储费、运输费、装卸费、保险费、安装费、调试费、培训费、线材及配件费、售后服务、验收费、招标代理服务费、利润、风险、税金等在项目实施过程中所发生的所有费用，任何错报、漏报由乙方自行负责。</w:t>
      </w:r>
    </w:p>
    <w:p w14:paraId="34331FD8">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w:t>
      </w:r>
      <w:r>
        <w:rPr>
          <w:rFonts w:hint="eastAsia" w:ascii="宋体" w:hAnsi="宋体" w:eastAsia="宋体" w:cs="宋体"/>
          <w:sz w:val="24"/>
          <w:szCs w:val="24"/>
          <w:highlight w:val="none"/>
          <w:lang w:eastAsia="zh-CN"/>
        </w:rPr>
        <w:t>供应商在报价时应充分考虑所有可能发生的费用，</w:t>
      </w:r>
      <w:r>
        <w:rPr>
          <w:rFonts w:hint="eastAsia" w:ascii="宋体" w:hAnsi="宋体" w:eastAsia="宋体" w:cs="宋体"/>
          <w:sz w:val="24"/>
          <w:szCs w:val="24"/>
          <w:highlight w:val="none"/>
        </w:rPr>
        <w:t>招标文件未列明，而供应商认为应当计取的费用均应列入报价中。报价时不论是否计取，采购人均按已计取对待。</w:t>
      </w:r>
    </w:p>
    <w:p w14:paraId="74864A7D">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2．供应商应严格按照《投标文件构成及格式》第二部分《开标一览表》中的相关要求填写分类报价及其他需要响应的内容。投标报价只能提交唯一报价，任何有选择的报价将不予接受，按无效投标处理。</w:t>
      </w:r>
    </w:p>
    <w:p w14:paraId="1427E1AD">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3．投标报价货币：人民币；单位：元。</w:t>
      </w:r>
    </w:p>
    <w:p w14:paraId="5A195097">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4．投标文件报价出现前后不一致的，除招标文件另有规定外，按照下列规则修正：</w:t>
      </w:r>
    </w:p>
    <w:p w14:paraId="76E0F1F6">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（1）投标文件中开标一览表内容与投标文件中其他位置相应内容表述不一致的，以开标一览表为准；</w:t>
      </w:r>
    </w:p>
    <w:p w14:paraId="2E866744">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（2）大写金额和小写金额不一致的，以大写金额为准；</w:t>
      </w:r>
    </w:p>
    <w:p w14:paraId="18486366">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（3）单价金额小数点或者百分比有明显错位的，以开标一览表的总价为准，并修改单价；</w:t>
      </w:r>
    </w:p>
    <w:p w14:paraId="7F121765">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（4）总价金额与按单价汇总金额不一致的，以单价金额计算结果为准。</w:t>
      </w:r>
    </w:p>
    <w:p w14:paraId="7C6819BF">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同时出现两种以上不一致的，按照前款规定的顺序修正。修正后的报价经供应商确认后产生约束力，供应商不确认的，其投标无效。</w:t>
      </w:r>
    </w:p>
    <w:p w14:paraId="246BD46D">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5．因供应商对招标文件理解不透、误解、疏漏或对市场行情了解不清造成的后果和风险，均由供应商自己负责。</w:t>
      </w:r>
    </w:p>
    <w:p w14:paraId="5EF67190">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（四）投标文件的制作和签章</w:t>
      </w:r>
    </w:p>
    <w:p w14:paraId="4680011E">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1．电子投标文件（*.SXSTF）需要使用专用制作软件——“新点投标文件制作软件（陕西公共资源）”进行编制。软件下载地址及操作手册：见西安市公共资源交易平台〖首页〉服务指南〉下载专区〗中的《</w:t>
      </w:r>
      <w:r>
        <w:rPr>
          <w:rFonts w:hint="eastAsia" w:ascii="宋体" w:hAnsi="宋体" w:eastAsia="宋体" w:cs="宋体"/>
          <w:b/>
          <w:bCs/>
          <w:sz w:val="24"/>
          <w:szCs w:val="24"/>
          <w:highlight w:val="none"/>
        </w:rPr>
        <w:t>政府采购项目投标文件制作软件及操作手册</w:t>
      </w:r>
      <w:r>
        <w:rPr>
          <w:rFonts w:hint="eastAsia" w:ascii="宋体" w:hAnsi="宋体" w:eastAsia="宋体" w:cs="宋体"/>
          <w:sz w:val="24"/>
          <w:szCs w:val="24"/>
          <w:highlight w:val="none"/>
        </w:rPr>
        <w:t>》。</w:t>
      </w:r>
    </w:p>
    <w:p w14:paraId="26C8E1FC">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链接地址：</w:t>
      </w:r>
    </w:p>
    <w:p w14:paraId="182700DE">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"http://sxggzyjy.xa.gov.cn/fwzn/004003/20181115/4d59c184-e8f6-4d5a-a416-c2f6b0601e66.html" </w:instrText>
      </w:r>
      <w:r>
        <w:rPr>
          <w:rFonts w:hint="eastAsia" w:ascii="宋体" w:hAnsi="宋体" w:eastAsia="宋体" w:cs="宋体"/>
          <w:sz w:val="24"/>
          <w:szCs w:val="24"/>
          <w:highlight w:val="none"/>
        </w:rPr>
        <w:fldChar w:fldCharType="separate"/>
      </w:r>
      <w:r>
        <w:rPr>
          <w:rStyle w:val="35"/>
          <w:rFonts w:hint="eastAsia" w:ascii="宋体" w:hAnsi="宋体" w:eastAsia="宋体" w:cs="宋体"/>
          <w:sz w:val="24"/>
          <w:szCs w:val="24"/>
          <w:highlight w:val="none"/>
        </w:rPr>
        <w:t>http://sxggzyjy.xa.gov.cn/fwzn/004003/20181115/4d59c184-e8f6-4d5a-a416-c2f6b0601e66.html</w:t>
      </w:r>
      <w:r>
        <w:rPr>
          <w:rStyle w:val="35"/>
          <w:rFonts w:hint="eastAsia" w:ascii="宋体" w:hAnsi="宋体" w:eastAsia="宋体" w:cs="宋体"/>
          <w:sz w:val="24"/>
          <w:szCs w:val="24"/>
          <w:highlight w:val="none"/>
        </w:rPr>
        <w:fldChar w:fldCharType="end"/>
      </w:r>
    </w:p>
    <w:p w14:paraId="6F9A804C">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2．编制电子投标文件前，</w:t>
      </w:r>
      <w:r>
        <w:rPr>
          <w:rFonts w:hint="eastAsia" w:ascii="宋体" w:hAnsi="宋体" w:eastAsia="宋体" w:cs="宋体"/>
          <w:b/>
          <w:bCs/>
          <w:sz w:val="24"/>
          <w:szCs w:val="24"/>
          <w:highlight w:val="none"/>
        </w:rPr>
        <w:t>务必先做好电子招标文件的备份工作</w:t>
      </w:r>
      <w:r>
        <w:rPr>
          <w:rFonts w:hint="eastAsia" w:ascii="宋体" w:hAnsi="宋体" w:eastAsia="宋体" w:cs="宋体"/>
          <w:sz w:val="24"/>
          <w:szCs w:val="24"/>
          <w:highlight w:val="none"/>
        </w:rPr>
        <w:t>。然后按操作手册中给出的方法将电子招标文件（*.SXSZF）或答疑文件（*.SXSCF，即更新后的电子招标文件）导入制作软件，最后按照章节分别编制投标文件各个部分。</w:t>
      </w:r>
    </w:p>
    <w:p w14:paraId="7AF47DF9">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再次提醒</w:t>
      </w:r>
      <w:r>
        <w:rPr>
          <w:rFonts w:hint="eastAsia" w:ascii="宋体" w:hAnsi="宋体" w:eastAsia="宋体" w:cs="宋体"/>
          <w:sz w:val="24"/>
          <w:szCs w:val="24"/>
          <w:highlight w:val="none"/>
        </w:rPr>
        <w:t>：提交投标文件截止时间前，供应商应随时留意“政府采购信息发布媒体”上可能发布的变更公告。若变更公告中明确注明本项目伴有变更文件的，供应商应登录企业端后，从〖项目流程·〉项目管理·〉答疑文件下载〗获取更新后的电子招标文件（*.SXSCF），</w:t>
      </w:r>
      <w:r>
        <w:rPr>
          <w:rFonts w:hint="eastAsia" w:ascii="宋体" w:hAnsi="宋体" w:eastAsia="宋体" w:cs="宋体"/>
          <w:b/>
          <w:bCs/>
          <w:sz w:val="24"/>
          <w:szCs w:val="24"/>
          <w:highlight w:val="none"/>
        </w:rPr>
        <w:t>使用旧版电子招标文件制作的电子投标文件（*.SXSTF），系统将拒绝接收。</w:t>
      </w:r>
    </w:p>
    <w:p w14:paraId="371C0D36">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3．电子投标文件制作过程中，需要法定代表人签字或盖章的地方，请使用“法人CA锁”进行签章；需要加盖供应商公章的地方，请使用“企业CA锁”进行签章。</w:t>
      </w:r>
    </w:p>
    <w:p w14:paraId="40430260">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若导出的PDF文件里看不到签章，请尝试使用专用制作软件中的“查看投标文件工具”打开未加密的电子投标文件重新导出。在制作过程中，如有其他技术性问题，请先翻阅操作手册，或致电软件开发商。</w:t>
      </w:r>
    </w:p>
    <w:p w14:paraId="330E8E9C">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（五）投标文件的加密和提交</w:t>
      </w:r>
    </w:p>
    <w:p w14:paraId="6B74752F">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1．在生成电子投标文件时，需要使用CA锁对投标文件进行加密。</w:t>
      </w:r>
    </w:p>
    <w:p w14:paraId="3D695336">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注意：加密投标文件和开标时解密投标文件应当使用同一CA，否则将会导致解密失败。</w:t>
      </w:r>
    </w:p>
    <w:p w14:paraId="11E7C5E6">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电子投标文件可于提交投标文件截止时间前任意时段，登录西安市公共资源交易平台〖首页·〉电子交易平台·〉企业端〗，登录后切换到〖我的项目〗模块下，依次点选〖项目流程·〉项目管理·〉上传响应文件〗，上传加密后的电子投标文件（*.SXSTF）。上传成功后，西安市公共资源交易平台政府采购系统将予以记录。</w:t>
      </w:r>
    </w:p>
    <w:p w14:paraId="26EF43FE">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3．上传文件有误或需要重新提交的，可先撤销已经上传的文件，然后重新上传新文件。</w:t>
      </w:r>
    </w:p>
    <w:p w14:paraId="7B288658">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（六）投标文件的补充、修改和撤回</w:t>
      </w:r>
    </w:p>
    <w:p w14:paraId="192BB7D3">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供应商在提交投标文件截止时间前，可以对所提交的投标文件进行补充、修改或者撤回，并书面通知采购人、采购代理机构。补充、修改的内容作为投标文件的组成部分。补充、修改的内容与投标文件不一致的，以补充、修改的内容为准。</w:t>
      </w:r>
    </w:p>
    <w:p w14:paraId="2653CFB3">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2．供应商在提交投标文件截止时间后，撤回投标文件的，投标保证金不予退还。</w:t>
      </w:r>
    </w:p>
    <w:p w14:paraId="24245BFF">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对已提交的电子投标文件进行补充、修改的，应先从电子交易平台上撤回旧文件，再重新提交新文件；中标后提交的纸质文件（备案用）应从专用制作软件中直接打印，与电子投标文件保持一致，不允许补充和修改。</w:t>
      </w:r>
    </w:p>
    <w:p w14:paraId="0AEBABD5">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（七）关于投标文件的雷同性分析</w:t>
      </w:r>
    </w:p>
    <w:p w14:paraId="3D0FE7BB">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根据陕西省公共资源交易中心2021年7月22日印发的《关于在政府采购交易系统中开通标书雷同性分析功能的通知》，在符合性审查环节，将由评标委员会在评标系统中对供应商的电子投标文件进行雷同性分析。</w:t>
      </w:r>
    </w:p>
    <w:p w14:paraId="762D90CA">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雷同性分析由两项指标组成，分别是“文件制作机器码”和“文件创建标识码”。其中，前者通过验证电子投标文件制作设备的特征信息（如MAC地址、硬盘序列号、CPU编号、主板号等），判断电子投标文件是否出自同一台设备。</w:t>
      </w:r>
    </w:p>
    <w:p w14:paraId="7C3D5748">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若“文件制作机器码”一致，则表明不同投标供应商的电子投标文件出自同一台制作设备，根据《陕西省财政厅关于政府采购有关政策的复函》（陕财办采函〔2019〕18号），该情形可以视为投标供应商串通投标，其投标无效。</w:t>
      </w:r>
    </w:p>
    <w:p w14:paraId="48388932">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若“文件创建标识码”一致，则表示不同投标供应商使用投标文件制作软件时，使用同一源工程文件，该情形建议由评标委员会结合项目情况综合判定。</w:t>
      </w:r>
    </w:p>
    <w:p w14:paraId="44C740B3">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（八）投标文件被拒绝接收的情形</w:t>
      </w:r>
    </w:p>
    <w:p w14:paraId="1991D556">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1．误投的或采用旧版电子招标文件制作的；</w:t>
      </w:r>
    </w:p>
    <w:p w14:paraId="3079AE3B">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2．逾期提交电子投标文件的。</w:t>
      </w:r>
    </w:p>
    <w:p w14:paraId="7B759DCA">
      <w:pPr>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五、开标程序</w:t>
      </w:r>
    </w:p>
    <w:p w14:paraId="619EB96D">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开标工作由采购代理机构组织实施，整个过程受同级政府采购监管机构的监督、管理。</w:t>
      </w:r>
    </w:p>
    <w:p w14:paraId="64CFE00E">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[适用于不见面开标项目]</w:t>
      </w:r>
    </w:p>
    <w:p w14:paraId="62EC0BA4">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（一）“不见面开标”基本流程</w:t>
      </w:r>
    </w:p>
    <w:p w14:paraId="1B434CDA">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“不见面开标”是依托政府采购云平台实现的供应商在线参与开标的一种组织形式。供应商无需抵达开标现场，即可在线实现开标、解密、澄清等操作。</w:t>
      </w:r>
    </w:p>
    <w:p w14:paraId="6D6FE0B8">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1．供应商登录：开标前，请各供应商至少提前半小时登录西安市公共资源交易平台〖首页·〉不见面开标〗系统。</w:t>
      </w:r>
    </w:p>
    <w:p w14:paraId="7DDF35B7">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2．主持人宣布开标：提交投标文件截止时间过后，系统将不再接收任何投标文件。</w:t>
      </w:r>
    </w:p>
    <w:p w14:paraId="2EDF09FB">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3．解密投标文件：供应商在收到主持人“开始解密”指令后，应使用“加密该投标文件的CA锁（</w:t>
      </w:r>
      <w:r>
        <w:rPr>
          <w:rFonts w:hint="eastAsia" w:ascii="宋体" w:hAnsi="宋体" w:eastAsia="宋体" w:cs="宋体"/>
          <w:b/>
          <w:bCs/>
          <w:sz w:val="24"/>
          <w:szCs w:val="24"/>
          <w:highlight w:val="none"/>
        </w:rPr>
        <w:t>必须是同一把锁</w:t>
      </w:r>
      <w:r>
        <w:rPr>
          <w:rFonts w:hint="eastAsia" w:ascii="宋体" w:hAnsi="宋体" w:eastAsia="宋体" w:cs="宋体"/>
          <w:sz w:val="24"/>
          <w:szCs w:val="24"/>
          <w:highlight w:val="none"/>
        </w:rPr>
        <w:t>）”在线完成投标文件解密。除因【西安市公共资源交易中心】断电、断网、系统故障及其他不可抗力等因素，导致“不见面开标”系统无法正常运行外，供应商应在规定的解密时间内完成解密。</w:t>
      </w:r>
    </w:p>
    <w:p w14:paraId="135DC87E">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4．唱标：对于公开招标项目，“不见面开标”系统将自动展示供应商名单及其投标报价。</w:t>
      </w:r>
    </w:p>
    <w:p w14:paraId="4EEF646F">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5．开标结束：进入评审环节。供应商请保持在线，评审期间评标委员会可能会要求供应商做相应的澄清。因供应商擅自离席造成的不利后果，由供应商自行承担。</w:t>
      </w:r>
    </w:p>
    <w:p w14:paraId="3782FB66">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“不见面开标”系统操作说明：详见西安市公共资源交易平台〖首页·〉服务指南·〉下载专区〗中的《</w:t>
      </w:r>
      <w:r>
        <w:rPr>
          <w:rFonts w:hint="eastAsia" w:ascii="宋体" w:hAnsi="宋体" w:eastAsia="宋体" w:cs="宋体"/>
          <w:b/>
          <w:bCs/>
          <w:sz w:val="24"/>
          <w:szCs w:val="24"/>
          <w:highlight w:val="none"/>
        </w:rPr>
        <w:t>西安公共资源交易不见面开标大厅供应商操作手册</w:t>
      </w:r>
      <w:r>
        <w:rPr>
          <w:rFonts w:hint="eastAsia" w:ascii="宋体" w:hAnsi="宋体" w:eastAsia="宋体" w:cs="宋体"/>
          <w:sz w:val="24"/>
          <w:szCs w:val="24"/>
          <w:highlight w:val="none"/>
        </w:rPr>
        <w:t>》。</w:t>
      </w:r>
    </w:p>
    <w:p w14:paraId="11FA315C">
      <w:pPr>
        <w:keepLines w:val="0"/>
        <w:pageBreakBefore w:val="0"/>
        <w:kinsoku/>
        <w:wordWrap/>
        <w:overflowPunct/>
        <w:topLinePunct w:val="0"/>
        <w:autoSpaceDE/>
        <w:autoSpaceDN/>
        <w:bidi w:val="0"/>
        <w:snapToGrid/>
        <w:spacing w:line="360" w:lineRule="auto"/>
        <w:ind w:firstLine="480" w:firstLineChars="200"/>
        <w:textAlignment w:val="auto"/>
        <w:outlineLvl w:val="9"/>
        <w:rPr>
          <w:rStyle w:val="35"/>
          <w:rFonts w:hint="eastAsia" w:ascii="宋体" w:hAnsi="宋体" w:eastAsia="宋体" w:cs="宋体"/>
          <w:color w:val="auto"/>
          <w:sz w:val="24"/>
          <w:szCs w:val="24"/>
          <w:highlight w:val="none"/>
          <w:u w:val="none"/>
        </w:rPr>
      </w:pPr>
      <w:r>
        <w:rPr>
          <w:rFonts w:hint="eastAsia" w:ascii="宋体" w:hAnsi="宋体" w:eastAsia="宋体" w:cs="宋体"/>
          <w:sz w:val="24"/>
          <w:szCs w:val="24"/>
          <w:highlight w:val="none"/>
        </w:rPr>
        <w:t>链接地址：</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"http://sxggzyjy.xa.gov.cn/fwzn/004003/20200426/bc8b2c1e-abe2-4168-913c-68ff93345faf.html" </w:instrText>
      </w:r>
      <w:r>
        <w:rPr>
          <w:rFonts w:hint="eastAsia" w:ascii="宋体" w:hAnsi="宋体" w:eastAsia="宋体" w:cs="宋体"/>
          <w:sz w:val="24"/>
          <w:szCs w:val="24"/>
          <w:highlight w:val="none"/>
        </w:rPr>
        <w:fldChar w:fldCharType="separate"/>
      </w:r>
      <w:r>
        <w:rPr>
          <w:rStyle w:val="35"/>
          <w:rFonts w:hint="eastAsia" w:ascii="宋体" w:hAnsi="宋体" w:eastAsia="宋体" w:cs="宋体"/>
          <w:color w:val="auto"/>
          <w:sz w:val="24"/>
          <w:szCs w:val="24"/>
          <w:highlight w:val="none"/>
          <w:u w:val="none"/>
        </w:rPr>
        <w:t>http://sxggzyjy.xa.gov.cn/fwzn/004003/20200426/bc8b2c1e-abe2-4168-913c-68ff93345faf.html</w:t>
      </w:r>
      <w:r>
        <w:rPr>
          <w:rStyle w:val="35"/>
          <w:rFonts w:hint="eastAsia" w:ascii="宋体" w:hAnsi="宋体" w:eastAsia="宋体" w:cs="宋体"/>
          <w:color w:val="auto"/>
          <w:sz w:val="24"/>
          <w:szCs w:val="24"/>
          <w:highlight w:val="none"/>
          <w:u w:val="none"/>
        </w:rPr>
        <w:fldChar w:fldCharType="end"/>
      </w:r>
    </w:p>
    <w:p w14:paraId="790C4F9E">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（二）开标环节投标文件视为无效的情形</w:t>
      </w:r>
    </w:p>
    <w:p w14:paraId="72DBFD93">
      <w:pPr>
        <w:pStyle w:val="15"/>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1．供应商放弃或拒绝对电子投标文件进行解密的；</w:t>
      </w:r>
    </w:p>
    <w:p w14:paraId="5CA33058">
      <w:pPr>
        <w:pStyle w:val="15"/>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2．因供应商自身原因，导致未在规定的解密时限内完整解密的，如忘带CA锁、或携带的CA锁与加密文件的CA锁不同、或使用旧版招标文件编制投标文件等情形；</w:t>
      </w:r>
    </w:p>
    <w:p w14:paraId="704C2E82">
      <w:pPr>
        <w:pStyle w:val="15"/>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3．上传的电子投标文件无法正常打开的；</w:t>
      </w:r>
    </w:p>
    <w:p w14:paraId="07E9BA5C">
      <w:pPr>
        <w:pStyle w:val="15"/>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4．政府采购法律法规规定的其他无效情形。</w:t>
      </w:r>
    </w:p>
    <w:p w14:paraId="57C85B5C">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（三）开标环节投标文件视为无效的情形</w:t>
      </w:r>
    </w:p>
    <w:p w14:paraId="3003FE97">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1．供应商放弃或拒绝对电子投标文件进行解密的；</w:t>
      </w:r>
    </w:p>
    <w:p w14:paraId="2D5463A0">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2．因供应商自身原因，导致未在规定的解密时限内完整解密的，如忘带CA锁、或携带的CA锁与加密文件的CA锁不同、或使用旧版招标文件编制投标文件等情形；</w:t>
      </w:r>
    </w:p>
    <w:p w14:paraId="2BB1AE62">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3．上传的电子投标文件无法正常打开的；</w:t>
      </w:r>
    </w:p>
    <w:p w14:paraId="081501AC">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4．政府采购法律法规规定的其他无效情形。</w:t>
      </w:r>
    </w:p>
    <w:p w14:paraId="614E7573">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（四）突发状况的应急处置</w:t>
      </w:r>
    </w:p>
    <w:p w14:paraId="157C2386">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在开评标过程中，如因停电、断网、电子化系统故障等特殊原因导致电子化开、评标工作无法正常进行时，采购代理机构将及时汇报政府采购监管部门，并等待或中止后续活动。</w:t>
      </w:r>
    </w:p>
    <w:p w14:paraId="7E0B2C37">
      <w:pPr>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六、资格审查</w:t>
      </w:r>
    </w:p>
    <w:p w14:paraId="1BBBE403">
      <w:pPr>
        <w:keepLines w:val="0"/>
        <w:pageBreakBefore w:val="0"/>
        <w:kinsoku/>
        <w:wordWrap/>
        <w:overflowPunct/>
        <w:topLinePunct w:val="0"/>
        <w:autoSpaceDE/>
        <w:autoSpaceDN/>
        <w:bidi w:val="0"/>
        <w:snapToGrid/>
        <w:spacing w:line="360" w:lineRule="auto"/>
        <w:ind w:firstLine="480" w:firstLineChars="20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开标结束后，由采购人委派的资格审查小组按照《政府采购货物和服务招标投标管理办法》（财政部第87号令）有关规定，对投标文件中的供应商资格证明文件进行审查，并对供应商信用记录进行核查。资格审查小组由3人以上单数组成，采购人应出具书面授权函，并指定组长。</w:t>
      </w:r>
    </w:p>
    <w:p w14:paraId="2D93CC69">
      <w:pPr>
        <w:keepLines w:val="0"/>
        <w:pageBreakBefore w:val="0"/>
        <w:kinsoku/>
        <w:wordWrap/>
        <w:overflowPunct/>
        <w:topLinePunct w:val="0"/>
        <w:autoSpaceDE/>
        <w:autoSpaceDN/>
        <w:bidi w:val="0"/>
        <w:snapToGrid/>
        <w:spacing w:line="360" w:lineRule="auto"/>
        <w:ind w:firstLine="480" w:firstLineChars="20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供应商提供的资格证明文件缺少任何一项或有任何一项不满足，都将被视为无效投标。供应商所提供的资格证明文件应图文清晰、易于辨识，否则由此带来的不利后果由供应商自行承担。</w:t>
      </w:r>
    </w:p>
    <w:p w14:paraId="3D7C0960">
      <w:pPr>
        <w:keepLines w:val="0"/>
        <w:pageBreakBefore w:val="0"/>
        <w:kinsoku/>
        <w:wordWrap/>
        <w:overflowPunct/>
        <w:topLinePunct w:val="0"/>
        <w:autoSpaceDE/>
        <w:autoSpaceDN/>
        <w:bidi w:val="0"/>
        <w:snapToGrid/>
        <w:spacing w:line="360" w:lineRule="auto"/>
        <w:ind w:firstLine="480" w:firstLineChars="20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资格审查结束后，资格审查小组成员应当对审查结果进行签字确认；对未通过资格审查的供应商，资格审查小组应当场告知其未通过的原因。</w:t>
      </w:r>
    </w:p>
    <w:p w14:paraId="76045A96">
      <w:pPr>
        <w:keepLines w:val="0"/>
        <w:pageBreakBefore w:val="0"/>
        <w:kinsoku/>
        <w:wordWrap/>
        <w:overflowPunct/>
        <w:topLinePunct w:val="0"/>
        <w:autoSpaceDE/>
        <w:autoSpaceDN/>
        <w:bidi w:val="0"/>
        <w:snapToGrid/>
        <w:spacing w:line="360" w:lineRule="auto"/>
        <w:ind w:firstLine="480" w:firstLineChars="20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合格供应商不足3家的，不得评标。</w:t>
      </w:r>
    </w:p>
    <w:p w14:paraId="31695440">
      <w:pPr>
        <w:rPr>
          <w:rFonts w:hint="eastAsia" w:ascii="宋体" w:hAnsi="宋体" w:eastAsia="宋体" w:cs="宋体"/>
          <w:sz w:val="24"/>
          <w:szCs w:val="24"/>
          <w:highlight w:val="none"/>
        </w:rPr>
      </w:pPr>
      <w:r>
        <w:rPr>
          <w:rFonts w:hint="eastAsia" w:ascii="宋体" w:hAnsi="宋体" w:eastAsia="宋体" w:cs="宋体"/>
          <w:sz w:val="24"/>
          <w:szCs w:val="24"/>
          <w:highlight w:val="none"/>
        </w:rPr>
        <w:br w:type="page"/>
      </w:r>
    </w:p>
    <w:p w14:paraId="5834B47C">
      <w:pPr>
        <w:keepLines w:val="0"/>
        <w:pageBreakBefore w:val="0"/>
        <w:kinsoku/>
        <w:wordWrap/>
        <w:overflowPunct/>
        <w:topLinePunct w:val="0"/>
        <w:autoSpaceDE/>
        <w:autoSpaceDN/>
        <w:bidi w:val="0"/>
        <w:snapToGrid/>
        <w:spacing w:line="360" w:lineRule="auto"/>
        <w:ind w:firstLine="640" w:firstLineChars="200"/>
        <w:jc w:val="center"/>
        <w:textAlignment w:val="auto"/>
        <w:rPr>
          <w:rFonts w:hint="eastAsia" w:ascii="宋体" w:hAnsi="宋体" w:eastAsia="宋体" w:cs="宋体"/>
          <w:b/>
          <w:bCs/>
          <w:sz w:val="32"/>
          <w:szCs w:val="32"/>
          <w:highlight w:val="none"/>
        </w:rPr>
      </w:pPr>
      <w:r>
        <w:rPr>
          <w:rFonts w:hint="eastAsia" w:ascii="宋体" w:hAnsi="宋体" w:eastAsia="宋体" w:cs="宋体"/>
          <w:b/>
          <w:bCs/>
          <w:sz w:val="32"/>
          <w:szCs w:val="32"/>
          <w:highlight w:val="none"/>
        </w:rPr>
        <w:t>〖资格性审查表〗</w:t>
      </w:r>
    </w:p>
    <w:tbl>
      <w:tblPr>
        <w:tblStyle w:val="28"/>
        <w:tblW w:w="4990"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703"/>
        <w:gridCol w:w="2666"/>
        <w:gridCol w:w="6126"/>
      </w:tblGrid>
      <w:tr w14:paraId="510356B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370" w:type="pct"/>
            <w:tcBorders>
              <w:top w:val="single" w:color="auto" w:sz="12" w:space="0"/>
              <w:bottom w:val="single" w:color="auto" w:sz="2" w:space="0"/>
            </w:tcBorders>
            <w:shd w:val="clear" w:color="auto" w:fill="F1F1F1"/>
            <w:noWrap w:val="0"/>
            <w:vAlign w:val="center"/>
          </w:tcPr>
          <w:p w14:paraId="0F5EA26F">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序号</w:t>
            </w:r>
          </w:p>
        </w:tc>
        <w:tc>
          <w:tcPr>
            <w:tcW w:w="1404" w:type="pct"/>
            <w:tcBorders>
              <w:top w:val="single" w:color="auto" w:sz="12" w:space="0"/>
              <w:bottom w:val="single" w:color="auto" w:sz="2" w:space="0"/>
            </w:tcBorders>
            <w:shd w:val="clear" w:color="auto" w:fill="F1F1F1"/>
            <w:noWrap w:val="0"/>
            <w:vAlign w:val="center"/>
          </w:tcPr>
          <w:p w14:paraId="2ECB8D15">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资格性审查项</w:t>
            </w:r>
          </w:p>
        </w:tc>
        <w:tc>
          <w:tcPr>
            <w:tcW w:w="3224" w:type="pct"/>
            <w:tcBorders>
              <w:top w:val="single" w:color="auto" w:sz="12" w:space="0"/>
              <w:bottom w:val="single" w:color="auto" w:sz="2" w:space="0"/>
            </w:tcBorders>
            <w:shd w:val="clear" w:color="auto" w:fill="F1F1F1"/>
            <w:noWrap w:val="0"/>
            <w:vAlign w:val="center"/>
          </w:tcPr>
          <w:p w14:paraId="782C15AE">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eastAsia="zh-CN"/>
              </w:rPr>
              <w:t>通过条件</w:t>
            </w:r>
          </w:p>
        </w:tc>
      </w:tr>
      <w:tr w14:paraId="0C88614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370" w:type="pct"/>
            <w:noWrap w:val="0"/>
            <w:vAlign w:val="center"/>
          </w:tcPr>
          <w:p w14:paraId="1749DF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w:t>
            </w:r>
          </w:p>
        </w:tc>
        <w:tc>
          <w:tcPr>
            <w:tcW w:w="1404" w:type="pct"/>
            <w:noWrap w:val="0"/>
            <w:vAlign w:val="center"/>
          </w:tcPr>
          <w:p w14:paraId="32D5D75B">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有效的主体资格证明</w:t>
            </w:r>
          </w:p>
        </w:tc>
        <w:tc>
          <w:tcPr>
            <w:tcW w:w="3224" w:type="pct"/>
            <w:noWrap w:val="0"/>
            <w:vAlign w:val="center"/>
          </w:tcPr>
          <w:p w14:paraId="16A5BE1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right="0" w:rightChars="0"/>
              <w:jc w:val="left"/>
              <w:textAlignment w:val="baseline"/>
              <w:outlineLvl w:val="9"/>
              <w:rPr>
                <w:rFonts w:hint="eastAsia" w:ascii="宋体" w:hAnsi="宋体" w:eastAsia="宋体" w:cs="宋体"/>
                <w:sz w:val="24"/>
                <w:szCs w:val="24"/>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提供合格有效的法人或者其他组织的营业执照等证明文件或自然人的身份证明；</w:t>
            </w:r>
          </w:p>
        </w:tc>
      </w:tr>
      <w:tr w14:paraId="3C48950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370" w:type="pct"/>
            <w:noWrap w:val="0"/>
            <w:vAlign w:val="center"/>
          </w:tcPr>
          <w:p w14:paraId="1CC14C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w:t>
            </w:r>
          </w:p>
        </w:tc>
        <w:tc>
          <w:tcPr>
            <w:tcW w:w="1404" w:type="pct"/>
            <w:noWrap w:val="0"/>
            <w:vAlign w:val="center"/>
          </w:tcPr>
          <w:p w14:paraId="4354AD41">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sz w:val="24"/>
                <w:szCs w:val="24"/>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基本资格条件</w:t>
            </w:r>
          </w:p>
        </w:tc>
        <w:tc>
          <w:tcPr>
            <w:tcW w:w="3224" w:type="pct"/>
            <w:noWrap w:val="0"/>
            <w:vAlign w:val="center"/>
          </w:tcPr>
          <w:p w14:paraId="00890D0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right="0" w:rightChars="0"/>
              <w:jc w:val="left"/>
              <w:textAlignment w:val="baseline"/>
              <w:outlineLvl w:val="9"/>
              <w:rPr>
                <w:rFonts w:hint="eastAsia" w:ascii="宋体" w:hAnsi="宋体" w:eastAsia="宋体" w:cs="宋体"/>
                <w:sz w:val="24"/>
                <w:szCs w:val="24"/>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符合《中华人民共和国政府采购法》第二十二条的规定，提供承诺函；</w:t>
            </w:r>
          </w:p>
        </w:tc>
      </w:tr>
      <w:tr w14:paraId="27ECC98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370" w:type="pct"/>
            <w:noWrap w:val="0"/>
            <w:vAlign w:val="center"/>
          </w:tcPr>
          <w:p w14:paraId="55A4A3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w:t>
            </w:r>
          </w:p>
        </w:tc>
        <w:tc>
          <w:tcPr>
            <w:tcW w:w="1404" w:type="pct"/>
            <w:noWrap w:val="0"/>
            <w:vAlign w:val="center"/>
          </w:tcPr>
          <w:p w14:paraId="0F2DC3B4">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法定代表人委托授权书\身份证明</w:t>
            </w:r>
          </w:p>
        </w:tc>
        <w:tc>
          <w:tcPr>
            <w:tcW w:w="3224" w:type="pct"/>
            <w:noWrap w:val="0"/>
            <w:vAlign w:val="center"/>
          </w:tcPr>
          <w:p w14:paraId="3A60DBE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right="0" w:rightChars="0"/>
              <w:jc w:val="left"/>
              <w:textAlignment w:val="baseline"/>
              <w:outlineLvl w:val="9"/>
              <w:rPr>
                <w:rFonts w:hint="eastAsia" w:ascii="宋体" w:hAnsi="宋体" w:eastAsia="宋体" w:cs="宋体"/>
                <w:sz w:val="24"/>
                <w:szCs w:val="24"/>
                <w:highlight w:val="none"/>
              </w:rPr>
            </w:pPr>
            <w:r>
              <w:rPr>
                <w:rFonts w:hint="eastAsia" w:ascii="宋体" w:hAnsi="宋体" w:eastAsia="宋体" w:cs="宋体"/>
                <w:color w:val="auto"/>
                <w:sz w:val="24"/>
                <w:szCs w:val="24"/>
                <w:highlight w:val="none"/>
                <w:lang w:val="en-US" w:eastAsia="zh-CN"/>
              </w:rPr>
              <w:t>供应商应授权合法的人员参加投标全过程，其中法定代表人直接参加投标的，须出具法定代表人身份证，并与营业执照上信息一致。法定代表人授权代表参加投标的，须出具法定代表人授权书及授权代表身份证，授权代表须提供近六个月中任一个月缴纳社保证明复印件并加盖单位公章；</w:t>
            </w:r>
          </w:p>
        </w:tc>
      </w:tr>
      <w:tr w14:paraId="1ACACD1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370" w:type="pct"/>
            <w:noWrap w:val="0"/>
            <w:vAlign w:val="center"/>
          </w:tcPr>
          <w:p w14:paraId="04A409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4</w:t>
            </w:r>
          </w:p>
        </w:tc>
        <w:tc>
          <w:tcPr>
            <w:tcW w:w="1404" w:type="pct"/>
            <w:noWrap w:val="0"/>
            <w:vAlign w:val="center"/>
          </w:tcPr>
          <w:p w14:paraId="11CA9FEA">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关联关系</w:t>
            </w:r>
          </w:p>
        </w:tc>
        <w:tc>
          <w:tcPr>
            <w:tcW w:w="3224" w:type="pct"/>
            <w:noWrap w:val="0"/>
            <w:vAlign w:val="center"/>
          </w:tcPr>
          <w:p w14:paraId="5A4FEF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单位负责人为同一人或者存在直接控股、管理关系的不同供应商，不得参加同一合同项下的政府采购活动。</w:t>
            </w:r>
          </w:p>
        </w:tc>
      </w:tr>
      <w:tr w14:paraId="5113D81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5000" w:type="pct"/>
            <w:gridSpan w:val="3"/>
            <w:noWrap w:val="0"/>
            <w:vAlign w:val="center"/>
          </w:tcPr>
          <w:p w14:paraId="0AB144FC">
            <w:pPr>
              <w:spacing w:line="360" w:lineRule="auto"/>
              <w:ind w:left="0" w:leftChars="0" w:right="0" w:rightChars="0" w:firstLine="0" w:firstLineChars="0"/>
              <w:jc w:val="both"/>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注意事项：</w:t>
            </w:r>
          </w:p>
          <w:p w14:paraId="3E0F8C67">
            <w:pPr>
              <w:spacing w:line="360" w:lineRule="auto"/>
              <w:ind w:left="0" w:leftChars="0" w:right="0" w:rightChars="0" w:firstLine="0" w:firstLineChars="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1．除银行、保险、石油石化、电力、电信行业外，其他行业分支机构在参与投标时，须同时提供分支机构主体资格证明文件和总公司（总所）出具的授权书，总公司（总所）只能授权一家分支机构。经总公司（总所）授权后，总公司（总所）取得的相关资质证书对分支机构有效（法律法规或行业另有规定的除外）。</w:t>
            </w:r>
          </w:p>
          <w:p w14:paraId="24BC5B17">
            <w:pPr>
              <w:spacing w:line="360" w:lineRule="auto"/>
              <w:ind w:left="0" w:leftChars="0" w:right="0" w:rightChars="0" w:firstLine="0" w:firstLineChars="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2．事业单位参与投标时，可不提供财务状况报告、社会保障资金和税收缴纳证明；依法免税或不需要缴纳社会保障资金的供应商，应提供相应证明文件，证明其依法免税或不需要缴纳社会保障资金；自然人（仅限中国公民）参与投标时，只须提供身份证复印件。</w:t>
            </w:r>
          </w:p>
          <w:p w14:paraId="7F98B114">
            <w:pPr>
              <w:spacing w:line="360" w:lineRule="auto"/>
              <w:ind w:left="0" w:leftChars="0" w:right="0" w:rightChars="0" w:firstLine="0" w:firstLineChars="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3．以联合体形式参与投标时，应提供有效的《联合体协议书》，并遵循招标文件第二章中“关于联合体”的相关规定。</w:t>
            </w:r>
          </w:p>
          <w:p w14:paraId="60C9D723">
            <w:pPr>
              <w:spacing w:line="360" w:lineRule="auto"/>
              <w:ind w:left="0" w:leftChars="0" w:right="0" w:rightChars="0" w:firstLine="0" w:firstLineChars="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4．《法定代表人委托授权书》、《法定代表人身份证明书》应按第五章《投标文件构成及格式》中给定的格式填写，并按要求签字、盖章。</w:t>
            </w:r>
          </w:p>
          <w:p w14:paraId="600D200A">
            <w:pPr>
              <w:spacing w:line="360" w:lineRule="auto"/>
              <w:ind w:left="0" w:leftChars="0" w:right="0" w:rightChars="0" w:firstLine="0" w:firstLineChars="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5．按照财政部《关于在政府采购活动中查询及使用信用记录有关问题的通知》（财库〔2016〕125号）要求，在资格审查阶段，采购人将对投标供应商的信用记录进行核查，出现招标文件第二章中“关于信用记录的查询和使用”所列失信行为的，将拒绝其参与政府采购活动。</w:t>
            </w:r>
          </w:p>
        </w:tc>
      </w:tr>
    </w:tbl>
    <w:p w14:paraId="2599F7EC">
      <w:pPr>
        <w:keepLines w:val="0"/>
        <w:pageBreakBefore w:val="0"/>
        <w:widowControl/>
        <w:kinsoku/>
        <w:wordWrap/>
        <w:overflowPunct/>
        <w:topLinePunct w:val="0"/>
        <w:autoSpaceDE/>
        <w:autoSpaceDN/>
        <w:bidi w:val="0"/>
        <w:adjustRightInd/>
        <w:snapToGrid/>
        <w:spacing w:line="360" w:lineRule="auto"/>
        <w:textAlignment w:val="auto"/>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七、评审方法和程序</w:t>
      </w:r>
    </w:p>
    <w:p w14:paraId="1F035375">
      <w:pPr>
        <w:pStyle w:val="96"/>
        <w:keepNext/>
        <w:keepLines w:val="0"/>
        <w:pageBreakBefore w:val="0"/>
        <w:widowControl/>
        <w:kinsoku/>
        <w:wordWrap/>
        <w:overflowPunct/>
        <w:topLinePunct w:val="0"/>
        <w:autoSpaceDE/>
        <w:autoSpaceDN/>
        <w:bidi w:val="0"/>
        <w:adjustRightInd/>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（一）评标方法</w:t>
      </w:r>
    </w:p>
    <w:p w14:paraId="2DF33513">
      <w:pPr>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本项目采用综合评分法，即投标文件满足招标文件全部实质性要求，且按照评审因素的量化指标评审得分最高的供应商为中标候选人。</w:t>
      </w:r>
    </w:p>
    <w:p w14:paraId="53F82FA7">
      <w:pPr>
        <w:pStyle w:val="96"/>
        <w:keepLines w:val="0"/>
        <w:pageBreakBefore w:val="0"/>
        <w:widowControl/>
        <w:kinsoku/>
        <w:wordWrap/>
        <w:overflowPunct/>
        <w:topLinePunct w:val="0"/>
        <w:autoSpaceDE/>
        <w:autoSpaceDN/>
        <w:bidi w:val="0"/>
        <w:adjustRightInd/>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（二）评标程序</w:t>
      </w:r>
    </w:p>
    <w:p w14:paraId="6FA009EC">
      <w:pPr>
        <w:pStyle w:val="95"/>
        <w:keepNext w:val="0"/>
        <w:keepLines w:val="0"/>
        <w:pageBreakBefore w:val="0"/>
        <w:widowControl/>
        <w:kinsoku/>
        <w:wordWrap/>
        <w:overflowPunct/>
        <w:topLinePunct w:val="0"/>
        <w:autoSpaceDE/>
        <w:autoSpaceDN/>
        <w:bidi w:val="0"/>
        <w:adjustRightInd/>
        <w:snapToGrid/>
        <w:spacing w:line="360" w:lineRule="auto"/>
        <w:textAlignment w:val="auto"/>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1．组建评标委员会</w:t>
      </w:r>
    </w:p>
    <w:p w14:paraId="0B4EA19A">
      <w:pPr>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为了确保评标工作的公平、公正，依据政府采购法和政府采购相关法规、规章，成立评标委员会，评标委员会由采购人代表和有关技术、经济等方面的专家组成，成员人数为5人以上单数（采购预算金额在1000万元以上、技术复杂、社会影响较大的采购项目评标委员会成员人数应当为7人以上单数）。其中，技术、经济等方面的专家不少于成员总数的三分之二。评标专家从政府采购评审专家库内相关专业的专家名单中随机抽取。</w:t>
      </w:r>
    </w:p>
    <w:p w14:paraId="5F06B6AA">
      <w:pPr>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由采购代理机构组织评标委员会推选评标组长，采购人代表不得担任组长。</w:t>
      </w:r>
    </w:p>
    <w:p w14:paraId="58063501">
      <w:pPr>
        <w:pStyle w:val="95"/>
        <w:keepLines w:val="0"/>
        <w:pageBreakBefore w:val="0"/>
        <w:widowControl/>
        <w:kinsoku/>
        <w:wordWrap/>
        <w:overflowPunct/>
        <w:topLinePunct w:val="0"/>
        <w:autoSpaceDE/>
        <w:autoSpaceDN/>
        <w:bidi w:val="0"/>
        <w:adjustRightInd/>
        <w:snapToGrid/>
        <w:spacing w:line="360" w:lineRule="auto"/>
        <w:textAlignment w:val="auto"/>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2．投标文件的符合性审查</w:t>
      </w:r>
    </w:p>
    <w:p w14:paraId="626748E5">
      <w:pPr>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供应商资格性审查通过后，评标委员会对符合资格的投标人的投标文件进行符合性审查，以确定其是否满足招标文件的实质性要求。</w:t>
      </w:r>
    </w:p>
    <w:p w14:paraId="3DAB67F9">
      <w:pPr>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对于投标文件中含义不明确、同类问题表述不一致或者有明显文字和计算错误的内容，评标委员会应当以书面形式要求投标人作出必要的澄清、说明或者补正。</w:t>
      </w:r>
    </w:p>
    <w:p w14:paraId="4B132A5B">
      <w:pPr>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投标人的澄清、说明或者补正应当采用书面形式，并加盖公章，或者由法定代表人或其授权的代表签字。投标人的澄清、说明或者补正不得超出投标文件的范围或者改变投标文件的实质性内容。</w:t>
      </w:r>
    </w:p>
    <w:p w14:paraId="7FE432B9">
      <w:pPr>
        <w:spacing w:line="360" w:lineRule="auto"/>
        <w:jc w:val="center"/>
        <w:rPr>
          <w:rFonts w:hint="eastAsia" w:ascii="宋体" w:hAnsi="宋体" w:eastAsia="宋体" w:cs="宋体"/>
          <w:b/>
          <w:bCs/>
          <w:sz w:val="32"/>
          <w:szCs w:val="32"/>
          <w:highlight w:val="none"/>
        </w:rPr>
      </w:pPr>
      <w:r>
        <w:rPr>
          <w:rFonts w:hint="eastAsia" w:ascii="宋体" w:hAnsi="宋体" w:eastAsia="宋体" w:cs="宋体"/>
          <w:b/>
          <w:bCs/>
          <w:sz w:val="32"/>
          <w:szCs w:val="32"/>
          <w:highlight w:val="none"/>
        </w:rPr>
        <w:t>〖符合性审查表〗</w:t>
      </w:r>
    </w:p>
    <w:tbl>
      <w:tblPr>
        <w:tblStyle w:val="28"/>
        <w:tblW w:w="4989"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707"/>
        <w:gridCol w:w="2129"/>
        <w:gridCol w:w="6657"/>
      </w:tblGrid>
      <w:tr w14:paraId="5FC4057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2" w:type="pct"/>
            <w:tcBorders>
              <w:top w:val="single" w:color="auto" w:sz="12" w:space="0"/>
              <w:bottom w:val="single" w:color="auto" w:sz="2" w:space="0"/>
            </w:tcBorders>
            <w:shd w:val="clear" w:color="auto" w:fill="F1F1F1" w:themeFill="background1" w:themeFillShade="F2"/>
            <w:vAlign w:val="center"/>
          </w:tcPr>
          <w:p w14:paraId="2179F9C1">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序号</w:t>
            </w:r>
          </w:p>
        </w:tc>
        <w:tc>
          <w:tcPr>
            <w:tcW w:w="1121" w:type="pct"/>
            <w:tcBorders>
              <w:top w:val="single" w:color="auto" w:sz="12" w:space="0"/>
              <w:bottom w:val="single" w:color="auto" w:sz="2" w:space="0"/>
            </w:tcBorders>
            <w:shd w:val="clear" w:color="auto" w:fill="F1F1F1" w:themeFill="background1" w:themeFillShade="F2"/>
            <w:vAlign w:val="center"/>
          </w:tcPr>
          <w:p w14:paraId="13B5949D">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符合性审查项</w:t>
            </w:r>
          </w:p>
        </w:tc>
        <w:tc>
          <w:tcPr>
            <w:tcW w:w="3505" w:type="pct"/>
            <w:tcBorders>
              <w:top w:val="single" w:color="auto" w:sz="12" w:space="0"/>
              <w:bottom w:val="single" w:color="auto" w:sz="2" w:space="0"/>
            </w:tcBorders>
            <w:shd w:val="clear" w:color="auto" w:fill="F1F1F1" w:themeFill="background1" w:themeFillShade="F2"/>
            <w:vAlign w:val="center"/>
          </w:tcPr>
          <w:p w14:paraId="45320F60">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通过条件</w:t>
            </w:r>
          </w:p>
        </w:tc>
      </w:tr>
      <w:tr w14:paraId="66B9566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2" w:type="pct"/>
            <w:tcBorders>
              <w:top w:val="single" w:color="auto" w:sz="2" w:space="0"/>
            </w:tcBorders>
            <w:vAlign w:val="center"/>
          </w:tcPr>
          <w:p w14:paraId="1ACA495E">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w:t>
            </w:r>
          </w:p>
        </w:tc>
        <w:tc>
          <w:tcPr>
            <w:tcW w:w="1121" w:type="pct"/>
            <w:tcBorders>
              <w:top w:val="single" w:color="auto" w:sz="2" w:space="0"/>
            </w:tcBorders>
            <w:vAlign w:val="center"/>
          </w:tcPr>
          <w:p w14:paraId="5486A600">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与项目的一致性</w:t>
            </w:r>
          </w:p>
        </w:tc>
        <w:tc>
          <w:tcPr>
            <w:tcW w:w="3505" w:type="pct"/>
            <w:tcBorders>
              <w:top w:val="single" w:color="auto" w:sz="2" w:space="0"/>
            </w:tcBorders>
            <w:vAlign w:val="center"/>
          </w:tcPr>
          <w:p w14:paraId="2F03EAF7">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至少以下三处的项目名称、项目编号、标段（未分标段的除外）与本项目完全一致：</w:t>
            </w:r>
          </w:p>
          <w:p w14:paraId="3D196DF1">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（1）投标文件封面</w:t>
            </w:r>
          </w:p>
          <w:p w14:paraId="0A4534E9">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（2）投标函</w:t>
            </w:r>
          </w:p>
          <w:p w14:paraId="02A3DF86">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（3）法定代表人（主要负责人）委托授权书\身份证明</w:t>
            </w:r>
          </w:p>
        </w:tc>
      </w:tr>
      <w:tr w14:paraId="1DA1A4D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2" w:type="pct"/>
            <w:vAlign w:val="center"/>
          </w:tcPr>
          <w:p w14:paraId="2BCB86BF">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w:t>
            </w:r>
          </w:p>
        </w:tc>
        <w:tc>
          <w:tcPr>
            <w:tcW w:w="1121" w:type="pct"/>
            <w:vAlign w:val="center"/>
          </w:tcPr>
          <w:p w14:paraId="51D5A563">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投标文件组成</w:t>
            </w:r>
          </w:p>
        </w:tc>
        <w:tc>
          <w:tcPr>
            <w:tcW w:w="3505" w:type="pct"/>
            <w:vAlign w:val="center"/>
          </w:tcPr>
          <w:p w14:paraId="2BBC4DF7">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投标文件应包含以下部分：</w:t>
            </w:r>
          </w:p>
          <w:p w14:paraId="312F3B73">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（1）投标函</w:t>
            </w:r>
          </w:p>
          <w:p w14:paraId="63804149">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（2）开标一览表</w:t>
            </w:r>
          </w:p>
          <w:p w14:paraId="41256DCC">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（3）资格证明文件</w:t>
            </w:r>
          </w:p>
          <w:p w14:paraId="574C0ACD">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（4）供应商概况</w:t>
            </w:r>
          </w:p>
          <w:p w14:paraId="61D2AE68">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（5）供应商参加政府采购活动承诺书</w:t>
            </w:r>
          </w:p>
          <w:p w14:paraId="2ADBC1DB">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（6）投标方案</w:t>
            </w:r>
          </w:p>
        </w:tc>
      </w:tr>
      <w:tr w14:paraId="0848BD3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2" w:type="pct"/>
            <w:vAlign w:val="center"/>
          </w:tcPr>
          <w:p w14:paraId="6B354A42">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w:t>
            </w:r>
          </w:p>
        </w:tc>
        <w:tc>
          <w:tcPr>
            <w:tcW w:w="1121" w:type="pct"/>
            <w:vAlign w:val="center"/>
          </w:tcPr>
          <w:p w14:paraId="3DA4508D">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签章</w:t>
            </w:r>
          </w:p>
        </w:tc>
        <w:tc>
          <w:tcPr>
            <w:tcW w:w="3505" w:type="pct"/>
            <w:vAlign w:val="center"/>
          </w:tcPr>
          <w:p w14:paraId="3E8411FF">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签章均符合招标文件要求，且无遗漏。</w:t>
            </w:r>
          </w:p>
        </w:tc>
      </w:tr>
      <w:tr w14:paraId="6E648C6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2" w:type="pct"/>
            <w:vAlign w:val="center"/>
          </w:tcPr>
          <w:p w14:paraId="35730DC1">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4</w:t>
            </w:r>
          </w:p>
        </w:tc>
        <w:tc>
          <w:tcPr>
            <w:tcW w:w="1121" w:type="pct"/>
            <w:vAlign w:val="center"/>
          </w:tcPr>
          <w:p w14:paraId="0526EAB6">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语言和计量单位</w:t>
            </w:r>
          </w:p>
        </w:tc>
        <w:tc>
          <w:tcPr>
            <w:tcW w:w="3505" w:type="pct"/>
            <w:vAlign w:val="center"/>
          </w:tcPr>
          <w:p w14:paraId="1703398E">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符合招标文件的要求</w:t>
            </w:r>
          </w:p>
        </w:tc>
      </w:tr>
      <w:tr w14:paraId="772BD17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2" w:type="pct"/>
            <w:vAlign w:val="center"/>
          </w:tcPr>
          <w:p w14:paraId="292D8609">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5</w:t>
            </w:r>
          </w:p>
        </w:tc>
        <w:tc>
          <w:tcPr>
            <w:tcW w:w="1121" w:type="pct"/>
            <w:vAlign w:val="center"/>
          </w:tcPr>
          <w:p w14:paraId="064BD5DB">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投标文件有效期</w:t>
            </w:r>
          </w:p>
        </w:tc>
        <w:tc>
          <w:tcPr>
            <w:tcW w:w="3505" w:type="pct"/>
            <w:vAlign w:val="center"/>
          </w:tcPr>
          <w:p w14:paraId="3BA33114">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符合招标文件的要求</w:t>
            </w:r>
          </w:p>
        </w:tc>
      </w:tr>
      <w:tr w14:paraId="05BB3D3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2" w:type="pct"/>
            <w:vAlign w:val="center"/>
          </w:tcPr>
          <w:p w14:paraId="6AF62E39">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6</w:t>
            </w:r>
          </w:p>
        </w:tc>
        <w:tc>
          <w:tcPr>
            <w:tcW w:w="1121" w:type="pct"/>
            <w:vAlign w:val="center"/>
          </w:tcPr>
          <w:p w14:paraId="2A7688D6">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投标报价</w:t>
            </w:r>
          </w:p>
        </w:tc>
        <w:tc>
          <w:tcPr>
            <w:tcW w:w="3505" w:type="pct"/>
            <w:vAlign w:val="center"/>
          </w:tcPr>
          <w:p w14:paraId="4E66D7B5">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同时满足以下条款：</w:t>
            </w:r>
          </w:p>
          <w:p w14:paraId="3DCE81E2">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（1）货币单位符合招标文件要求</w:t>
            </w:r>
          </w:p>
          <w:p w14:paraId="6A292283">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（2）报价符合唯一性要求</w:t>
            </w:r>
          </w:p>
          <w:p w14:paraId="5E8B4D8C">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（3）未超出采购预算及最高限价</w:t>
            </w:r>
          </w:p>
          <w:p w14:paraId="3D8BC713">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（4）符合《开标一览表》的填报要求</w:t>
            </w:r>
          </w:p>
        </w:tc>
      </w:tr>
      <w:tr w14:paraId="196F951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2" w:type="pct"/>
            <w:vAlign w:val="center"/>
          </w:tcPr>
          <w:p w14:paraId="4B28744F">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7</w:t>
            </w:r>
          </w:p>
        </w:tc>
        <w:tc>
          <w:tcPr>
            <w:tcW w:w="1121" w:type="pct"/>
            <w:vAlign w:val="center"/>
          </w:tcPr>
          <w:p w14:paraId="723E4CE2">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实质性条款响应</w:t>
            </w:r>
          </w:p>
        </w:tc>
        <w:tc>
          <w:tcPr>
            <w:tcW w:w="3505" w:type="pct"/>
            <w:vAlign w:val="center"/>
          </w:tcPr>
          <w:p w14:paraId="660EFFEA">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完全响应招标文件要求的各项技术（服务）、商务实质性条款。</w:t>
            </w:r>
          </w:p>
        </w:tc>
      </w:tr>
      <w:tr w14:paraId="2AAFBC2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2" w:type="pct"/>
            <w:vAlign w:val="center"/>
          </w:tcPr>
          <w:p w14:paraId="7AF4A187">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8</w:t>
            </w:r>
          </w:p>
        </w:tc>
        <w:tc>
          <w:tcPr>
            <w:tcW w:w="1121" w:type="pct"/>
            <w:vAlign w:val="center"/>
          </w:tcPr>
          <w:p w14:paraId="73FF5879">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合同条款响应</w:t>
            </w:r>
          </w:p>
        </w:tc>
        <w:tc>
          <w:tcPr>
            <w:tcW w:w="3505" w:type="pct"/>
            <w:vAlign w:val="center"/>
          </w:tcPr>
          <w:p w14:paraId="04E25AE4">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完全理解并响应招标文件合同条款的要求，且未含有采购人不能接受的附加条件的。</w:t>
            </w:r>
          </w:p>
        </w:tc>
      </w:tr>
      <w:tr w14:paraId="6942526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2" w:type="pct"/>
            <w:vAlign w:val="center"/>
          </w:tcPr>
          <w:p w14:paraId="6B30C72F">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9</w:t>
            </w:r>
          </w:p>
        </w:tc>
        <w:tc>
          <w:tcPr>
            <w:tcW w:w="1121" w:type="pct"/>
            <w:vAlign w:val="center"/>
          </w:tcPr>
          <w:p w14:paraId="01210017">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电子投标文件雷同性分析</w:t>
            </w:r>
          </w:p>
        </w:tc>
        <w:tc>
          <w:tcPr>
            <w:tcW w:w="3505" w:type="pct"/>
            <w:vAlign w:val="center"/>
          </w:tcPr>
          <w:p w14:paraId="4031D6FB">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电子投标文件的“文件制作机器码”和“文件创建标识码”通过评标系统的雷同性分析。</w:t>
            </w:r>
          </w:p>
        </w:tc>
      </w:tr>
      <w:tr w14:paraId="726B4F8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2" w:type="pct"/>
            <w:vAlign w:val="center"/>
          </w:tcPr>
          <w:p w14:paraId="37A9D68E">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10</w:t>
            </w:r>
          </w:p>
        </w:tc>
        <w:tc>
          <w:tcPr>
            <w:tcW w:w="1121" w:type="pct"/>
            <w:vAlign w:val="center"/>
          </w:tcPr>
          <w:p w14:paraId="1475FEA6">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其他</w:t>
            </w:r>
          </w:p>
        </w:tc>
        <w:tc>
          <w:tcPr>
            <w:tcW w:w="3505" w:type="pct"/>
            <w:vAlign w:val="center"/>
          </w:tcPr>
          <w:p w14:paraId="762BB6EC">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完全理解并接受法律法规和招标文件对供应商合法经营的各类规约和责任义务要求，没有出现法律法规或招标文件规定的其他无效情形。</w:t>
            </w:r>
          </w:p>
        </w:tc>
      </w:tr>
    </w:tbl>
    <w:p w14:paraId="3F137D5E">
      <w:pPr>
        <w:pStyle w:val="95"/>
        <w:keepNext w:val="0"/>
        <w:keepLines w:val="0"/>
        <w:pageBreakBefore w:val="0"/>
        <w:widowControl/>
        <w:kinsoku/>
        <w:wordWrap/>
        <w:overflowPunct/>
        <w:topLinePunct w:val="0"/>
        <w:autoSpaceDE/>
        <w:autoSpaceDN/>
        <w:bidi w:val="0"/>
        <w:adjustRightInd/>
        <w:snapToGrid/>
        <w:spacing w:line="360" w:lineRule="auto"/>
        <w:textAlignment w:val="auto"/>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3．综合比较与评价</w:t>
      </w:r>
    </w:p>
    <w:p w14:paraId="372C3D9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评标委员会按《评审要素及分值一览表》中规定的评标方法和标准，对通过符合性审查的投标文件进行商务和技术评估，综合比较与评价。</w:t>
      </w:r>
    </w:p>
    <w:p w14:paraId="683107B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出现下列情形的，供应商投标无效：</w:t>
      </w:r>
    </w:p>
    <w:p w14:paraId="464F393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（1）投标文件报价出现本章第五小节“投标报价”所列需要修正情形，但供应商对修正后的报价不予确认的；</w:t>
      </w:r>
    </w:p>
    <w:p w14:paraId="3815713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评标委员会认为供应商的报价明显低于其他通过符合性审查供应商的报价，有可能影响产品质量或者不能诚信履约的，要求供应商在评标现场合理的时间内提供书面说明（必要时提交相关证明材料），供应商不能证明其报价合理性的。</w:t>
      </w:r>
    </w:p>
    <w:p w14:paraId="0BC1573A">
      <w:pPr>
        <w:keepNext w:val="0"/>
        <w:keepLines w:val="0"/>
        <w:pageBreakBefore w:val="0"/>
        <w:widowControl/>
        <w:kinsoku/>
        <w:wordWrap/>
        <w:overflowPunct/>
        <w:topLinePunct w:val="0"/>
        <w:autoSpaceDE/>
        <w:autoSpaceDN/>
        <w:bidi w:val="0"/>
        <w:adjustRightInd/>
        <w:snapToGrid/>
        <w:spacing w:line="560" w:lineRule="exact"/>
        <w:jc w:val="center"/>
        <w:textAlignment w:val="auto"/>
        <w:outlineLvl w:val="2"/>
        <w:rPr>
          <w:rFonts w:hint="eastAsia" w:ascii="宋体" w:hAnsi="宋体" w:eastAsia="宋体" w:cs="宋体"/>
          <w:b/>
          <w:bCs/>
          <w:sz w:val="32"/>
          <w:szCs w:val="32"/>
          <w:highlight w:val="none"/>
        </w:rPr>
      </w:pPr>
      <w:r>
        <w:rPr>
          <w:rFonts w:hint="eastAsia" w:ascii="宋体" w:hAnsi="宋体" w:eastAsia="宋体" w:cs="宋体"/>
          <w:b/>
          <w:bCs/>
          <w:sz w:val="32"/>
          <w:szCs w:val="32"/>
          <w:highlight w:val="none"/>
        </w:rPr>
        <w:t>〖评审要素及分值一览表〗</w:t>
      </w:r>
    </w:p>
    <w:tbl>
      <w:tblPr>
        <w:tblStyle w:val="28"/>
        <w:tblW w:w="100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5"/>
        <w:gridCol w:w="903"/>
        <w:gridCol w:w="8109"/>
      </w:tblGrid>
      <w:tr w14:paraId="20183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jc w:val="center"/>
        </w:trPr>
        <w:tc>
          <w:tcPr>
            <w:tcW w:w="1075" w:type="dxa"/>
            <w:noWrap w:val="0"/>
            <w:vAlign w:val="center"/>
          </w:tcPr>
          <w:p w14:paraId="279A8191">
            <w:pPr>
              <w:spacing w:line="5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w:t>
            </w:r>
          </w:p>
          <w:p w14:paraId="20DFC009">
            <w:pPr>
              <w:spacing w:line="5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报价</w:t>
            </w:r>
          </w:p>
        </w:tc>
        <w:tc>
          <w:tcPr>
            <w:tcW w:w="903" w:type="dxa"/>
            <w:noWrap w:val="0"/>
            <w:vAlign w:val="center"/>
          </w:tcPr>
          <w:p w14:paraId="65783582">
            <w:pPr>
              <w:spacing w:line="5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en-US" w:eastAsia="zh-CN"/>
              </w:rPr>
              <w:t>0</w:t>
            </w:r>
            <w:r>
              <w:rPr>
                <w:rFonts w:hint="eastAsia" w:ascii="宋体" w:hAnsi="宋体" w:eastAsia="宋体" w:cs="宋体"/>
                <w:color w:val="auto"/>
                <w:sz w:val="24"/>
                <w:szCs w:val="24"/>
                <w:highlight w:val="none"/>
              </w:rPr>
              <w:t>分</w:t>
            </w:r>
          </w:p>
        </w:tc>
        <w:tc>
          <w:tcPr>
            <w:tcW w:w="8109" w:type="dxa"/>
            <w:noWrap w:val="0"/>
            <w:vAlign w:val="center"/>
          </w:tcPr>
          <w:p w14:paraId="718F24BC">
            <w:pPr>
              <w:spacing w:line="5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价格分采用低价优先法计算，即满足招标文件要求且投标价格最低的投标报价为评标基准价，其价格分为满分。其他供应商的价格分统一按照下列公式计算：</w:t>
            </w:r>
          </w:p>
          <w:p w14:paraId="0ACE60C6">
            <w:pPr>
              <w:spacing w:line="5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投标报价得分=（评标基准价/有效报价）×价格权重（3</w:t>
            </w:r>
            <w:r>
              <w:rPr>
                <w:rFonts w:hint="eastAsia" w:ascii="宋体" w:hAnsi="宋体" w:eastAsia="宋体" w:cs="宋体"/>
                <w:color w:val="auto"/>
                <w:sz w:val="24"/>
                <w:szCs w:val="24"/>
                <w:highlight w:val="none"/>
                <w:lang w:val="en-US" w:eastAsia="zh-CN"/>
              </w:rPr>
              <w:t>0</w:t>
            </w:r>
            <w:r>
              <w:rPr>
                <w:rFonts w:hint="eastAsia" w:ascii="宋体" w:hAnsi="宋体" w:eastAsia="宋体" w:cs="宋体"/>
                <w:color w:val="auto"/>
                <w:sz w:val="24"/>
                <w:szCs w:val="24"/>
                <w:highlight w:val="none"/>
              </w:rPr>
              <w:t>%）×100</w:t>
            </w:r>
          </w:p>
          <w:p w14:paraId="6C01419F">
            <w:pPr>
              <w:spacing w:line="5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符合招标文件规定的小型或微型企业或监狱企业或残疾人福利性单位优惠条件的投标人，价格给予10%的扣除，用扣除后的价格参与评审。</w:t>
            </w:r>
          </w:p>
        </w:tc>
      </w:tr>
      <w:tr w14:paraId="72B3D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jc w:val="center"/>
        </w:trPr>
        <w:tc>
          <w:tcPr>
            <w:tcW w:w="1075" w:type="dxa"/>
            <w:noWrap w:val="0"/>
            <w:vAlign w:val="center"/>
          </w:tcPr>
          <w:p w14:paraId="1158076D">
            <w:pPr>
              <w:spacing w:line="5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业绩证明</w:t>
            </w:r>
          </w:p>
        </w:tc>
        <w:tc>
          <w:tcPr>
            <w:tcW w:w="903" w:type="dxa"/>
            <w:noWrap w:val="0"/>
            <w:vAlign w:val="center"/>
          </w:tcPr>
          <w:p w14:paraId="47276B4C">
            <w:pPr>
              <w:spacing w:line="5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5分</w:t>
            </w:r>
          </w:p>
        </w:tc>
        <w:tc>
          <w:tcPr>
            <w:tcW w:w="8109" w:type="dxa"/>
            <w:noWrap w:val="0"/>
            <w:vAlign w:val="center"/>
          </w:tcPr>
          <w:p w14:paraId="43DF3A21">
            <w:pPr>
              <w:spacing w:line="5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提供202</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lang w:val="en-US" w:eastAsia="zh-CN"/>
              </w:rPr>
              <w:t>01</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lang w:val="en-US" w:eastAsia="zh-CN"/>
              </w:rPr>
              <w:t>0</w:t>
            </w:r>
            <w:r>
              <w:rPr>
                <w:rFonts w:hint="eastAsia" w:ascii="宋体" w:hAnsi="宋体" w:eastAsia="宋体" w:cs="宋体"/>
                <w:color w:val="auto"/>
                <w:sz w:val="24"/>
                <w:szCs w:val="24"/>
                <w:highlight w:val="none"/>
              </w:rPr>
              <w:t>1日以来类似项目业绩合同（以合同签订时间为准），每份计1分，满分5分。</w:t>
            </w:r>
          </w:p>
          <w:p w14:paraId="6D1B195D">
            <w:pPr>
              <w:spacing w:line="500" w:lineRule="exact"/>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（注：以上证明文件在投标文件中附业绩合同扫描件并加盖公司公章。）</w:t>
            </w:r>
          </w:p>
        </w:tc>
      </w:tr>
      <w:tr w14:paraId="703BE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1" w:hRule="atLeast"/>
          <w:jc w:val="center"/>
        </w:trPr>
        <w:tc>
          <w:tcPr>
            <w:tcW w:w="1075" w:type="dxa"/>
            <w:vMerge w:val="restart"/>
            <w:noWrap w:val="0"/>
            <w:vAlign w:val="center"/>
          </w:tcPr>
          <w:p w14:paraId="32B88370">
            <w:pPr>
              <w:spacing w:line="5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技术</w:t>
            </w:r>
          </w:p>
          <w:p w14:paraId="519F53B9">
            <w:pPr>
              <w:spacing w:line="5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响应</w:t>
            </w:r>
          </w:p>
        </w:tc>
        <w:tc>
          <w:tcPr>
            <w:tcW w:w="903" w:type="dxa"/>
            <w:vMerge w:val="restart"/>
            <w:noWrap w:val="0"/>
            <w:vAlign w:val="center"/>
          </w:tcPr>
          <w:p w14:paraId="3A9929F9">
            <w:pPr>
              <w:spacing w:line="5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54</w:t>
            </w:r>
            <w:r>
              <w:rPr>
                <w:rFonts w:hint="eastAsia" w:ascii="宋体" w:hAnsi="宋体" w:eastAsia="宋体" w:cs="宋体"/>
                <w:color w:val="auto"/>
                <w:sz w:val="24"/>
                <w:szCs w:val="24"/>
                <w:highlight w:val="none"/>
              </w:rPr>
              <w:t>分</w:t>
            </w:r>
          </w:p>
        </w:tc>
        <w:tc>
          <w:tcPr>
            <w:tcW w:w="8109" w:type="dxa"/>
            <w:noWrap w:val="0"/>
            <w:vAlign w:val="center"/>
          </w:tcPr>
          <w:p w14:paraId="4062AE07">
            <w:pPr>
              <w:numPr>
                <w:ilvl w:val="0"/>
                <w:numId w:val="2"/>
              </w:numPr>
              <w:spacing w:line="46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所投产品选型、配置、功能满足招标文件要求，性能质量好、符合相关国家标准规范</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本项满分</w:t>
            </w:r>
            <w:r>
              <w:rPr>
                <w:rFonts w:hint="eastAsia" w:ascii="宋体" w:hAnsi="宋体" w:eastAsia="宋体" w:cs="宋体"/>
                <w:color w:val="auto"/>
                <w:sz w:val="24"/>
                <w:szCs w:val="24"/>
                <w:highlight w:val="none"/>
                <w:lang w:val="en-US" w:eastAsia="zh-CN"/>
              </w:rPr>
              <w:t>15</w:t>
            </w:r>
            <w:r>
              <w:rPr>
                <w:rFonts w:hint="eastAsia" w:ascii="宋体" w:hAnsi="宋体" w:eastAsia="宋体" w:cs="宋体"/>
                <w:color w:val="auto"/>
                <w:sz w:val="24"/>
                <w:szCs w:val="24"/>
                <w:highlight w:val="none"/>
              </w:rPr>
              <w:t>分</w:t>
            </w:r>
            <w:r>
              <w:rPr>
                <w:rFonts w:hint="eastAsia" w:ascii="宋体" w:hAnsi="宋体" w:eastAsia="宋体" w:cs="宋体"/>
                <w:color w:val="auto"/>
                <w:sz w:val="24"/>
                <w:szCs w:val="24"/>
                <w:highlight w:val="none"/>
                <w:lang w:eastAsia="zh-CN"/>
              </w:rPr>
              <w:t>。</w:t>
            </w:r>
            <w:r>
              <w:rPr>
                <w:rFonts w:hint="eastAsia" w:ascii="宋体" w:hAnsi="宋体" w:eastAsia="宋体" w:cs="宋体"/>
                <w:bCs/>
                <w:color w:val="auto"/>
                <w:sz w:val="24"/>
                <w:szCs w:val="24"/>
                <w:highlight w:val="none"/>
                <w:lang w:eastAsia="zh-CN"/>
              </w:rPr>
              <w:t>未提供不计分。</w:t>
            </w:r>
          </w:p>
          <w:p w14:paraId="4339282B">
            <w:pPr>
              <w:spacing w:line="46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产品描述详细、完整，设备选型合理、功能齐全，</w:t>
            </w:r>
            <w:r>
              <w:rPr>
                <w:rFonts w:hint="eastAsia" w:ascii="宋体" w:hAnsi="宋体" w:eastAsia="宋体" w:cs="宋体"/>
                <w:color w:val="auto"/>
                <w:sz w:val="24"/>
                <w:szCs w:val="24"/>
                <w:highlight w:val="none"/>
                <w:lang w:val="en-US" w:eastAsia="zh-CN"/>
              </w:rPr>
              <w:t>完全</w:t>
            </w:r>
            <w:r>
              <w:rPr>
                <w:rFonts w:hint="eastAsia" w:ascii="宋体" w:hAnsi="宋体" w:eastAsia="宋体" w:cs="宋体"/>
                <w:color w:val="auto"/>
                <w:sz w:val="24"/>
                <w:szCs w:val="24"/>
                <w:highlight w:val="none"/>
                <w:lang w:eastAsia="zh-CN"/>
              </w:rPr>
              <w:t>满足招标文件中所有技术参数要求</w:t>
            </w:r>
            <w:r>
              <w:rPr>
                <w:rFonts w:hint="eastAsia" w:ascii="宋体" w:hAnsi="宋体" w:eastAsia="宋体" w:cs="宋体"/>
                <w:color w:val="auto"/>
                <w:sz w:val="24"/>
                <w:szCs w:val="24"/>
                <w:highlight w:val="none"/>
                <w:lang w:val="en-US" w:eastAsia="zh-CN"/>
              </w:rPr>
              <w:t>的计15分。技术参数有低于招标文件要求的，每一项扣1分，扣完为止。</w:t>
            </w:r>
          </w:p>
        </w:tc>
      </w:tr>
      <w:tr w14:paraId="69E09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75" w:type="dxa"/>
            <w:vMerge w:val="continue"/>
            <w:noWrap w:val="0"/>
            <w:vAlign w:val="center"/>
          </w:tcPr>
          <w:p w14:paraId="7E4B24DD">
            <w:pPr>
              <w:spacing w:line="500" w:lineRule="exact"/>
              <w:jc w:val="center"/>
              <w:rPr>
                <w:rFonts w:hint="eastAsia" w:ascii="宋体" w:hAnsi="宋体" w:eastAsia="宋体" w:cs="宋体"/>
                <w:color w:val="auto"/>
                <w:sz w:val="24"/>
                <w:szCs w:val="24"/>
                <w:highlight w:val="none"/>
              </w:rPr>
            </w:pPr>
          </w:p>
        </w:tc>
        <w:tc>
          <w:tcPr>
            <w:tcW w:w="903" w:type="dxa"/>
            <w:vMerge w:val="continue"/>
            <w:noWrap w:val="0"/>
            <w:vAlign w:val="center"/>
          </w:tcPr>
          <w:p w14:paraId="3DA5A0B1">
            <w:pPr>
              <w:spacing w:line="500" w:lineRule="exact"/>
              <w:rPr>
                <w:rFonts w:hint="eastAsia" w:ascii="宋体" w:hAnsi="宋体" w:eastAsia="宋体" w:cs="宋体"/>
                <w:color w:val="auto"/>
                <w:sz w:val="24"/>
                <w:szCs w:val="24"/>
                <w:highlight w:val="none"/>
              </w:rPr>
            </w:pPr>
          </w:p>
        </w:tc>
        <w:tc>
          <w:tcPr>
            <w:tcW w:w="8109" w:type="dxa"/>
            <w:noWrap w:val="0"/>
            <w:vAlign w:val="center"/>
          </w:tcPr>
          <w:p w14:paraId="4198A942">
            <w:pPr>
              <w:spacing w:line="540" w:lineRule="exac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2、产品相关资料：投标产品附有详细的产品技术资料（包括但不限于</w:t>
            </w:r>
            <w:r>
              <w:rPr>
                <w:rFonts w:hint="eastAsia" w:ascii="宋体" w:hAnsi="宋体" w:eastAsia="宋体" w:cs="宋体"/>
                <w:color w:val="auto"/>
                <w:sz w:val="24"/>
                <w:szCs w:val="24"/>
                <w:highlight w:val="none"/>
                <w:lang w:val="en-US" w:eastAsia="zh-CN"/>
              </w:rPr>
              <w:t>认证证书或</w:t>
            </w:r>
            <w:r>
              <w:rPr>
                <w:rFonts w:hint="eastAsia" w:ascii="宋体" w:hAnsi="宋体" w:eastAsia="宋体" w:cs="宋体"/>
                <w:color w:val="auto"/>
                <w:sz w:val="24"/>
                <w:szCs w:val="24"/>
                <w:highlight w:val="none"/>
              </w:rPr>
              <w:t>产品宣传彩页</w:t>
            </w:r>
            <w:r>
              <w:rPr>
                <w:rFonts w:hint="eastAsia" w:ascii="宋体" w:hAnsi="宋体" w:eastAsia="宋体" w:cs="宋体"/>
                <w:color w:val="auto"/>
                <w:sz w:val="24"/>
                <w:szCs w:val="24"/>
                <w:highlight w:val="none"/>
                <w:lang w:val="en-US" w:eastAsia="zh-CN"/>
              </w:rPr>
              <w:t>或</w:t>
            </w:r>
            <w:r>
              <w:rPr>
                <w:rFonts w:hint="eastAsia" w:ascii="宋体" w:hAnsi="宋体" w:eastAsia="宋体" w:cs="宋体"/>
                <w:color w:val="auto"/>
                <w:sz w:val="24"/>
                <w:szCs w:val="24"/>
                <w:highlight w:val="none"/>
              </w:rPr>
              <w:t>检测报告</w:t>
            </w:r>
            <w:r>
              <w:rPr>
                <w:rFonts w:hint="eastAsia" w:ascii="宋体" w:hAnsi="宋体" w:eastAsia="宋体" w:cs="宋体"/>
                <w:color w:val="auto"/>
                <w:sz w:val="24"/>
                <w:szCs w:val="24"/>
                <w:highlight w:val="none"/>
                <w:lang w:val="en-US" w:eastAsia="zh-CN"/>
              </w:rPr>
              <w:t>或</w:t>
            </w:r>
            <w:r>
              <w:rPr>
                <w:rFonts w:hint="eastAsia" w:ascii="宋体" w:hAnsi="宋体" w:eastAsia="宋体" w:cs="宋体"/>
                <w:color w:val="auto"/>
                <w:sz w:val="24"/>
                <w:szCs w:val="24"/>
                <w:highlight w:val="none"/>
              </w:rPr>
              <w:t>官网功能截图等），本项满分</w:t>
            </w: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rPr>
              <w:t>分</w:t>
            </w:r>
            <w:r>
              <w:rPr>
                <w:rFonts w:hint="eastAsia" w:ascii="宋体" w:hAnsi="宋体" w:eastAsia="宋体" w:cs="宋体"/>
                <w:color w:val="auto"/>
                <w:sz w:val="24"/>
                <w:szCs w:val="24"/>
                <w:highlight w:val="none"/>
                <w:lang w:eastAsia="zh-CN"/>
              </w:rPr>
              <w:t>。</w:t>
            </w:r>
            <w:r>
              <w:rPr>
                <w:rFonts w:hint="eastAsia" w:ascii="宋体" w:hAnsi="宋体" w:eastAsia="宋体" w:cs="宋体"/>
                <w:bCs/>
                <w:color w:val="auto"/>
                <w:sz w:val="24"/>
                <w:szCs w:val="24"/>
                <w:highlight w:val="none"/>
                <w:lang w:eastAsia="zh-CN"/>
              </w:rPr>
              <w:t>未提供不计分。</w:t>
            </w:r>
          </w:p>
          <w:p w14:paraId="588D54AB">
            <w:pPr>
              <w:widowControl w:val="0"/>
              <w:adjustRightInd w:val="0"/>
              <w:snapToGrid w:val="0"/>
              <w:spacing w:line="300" w:lineRule="auto"/>
              <w:jc w:val="both"/>
              <w:rPr>
                <w:rFonts w:hint="eastAsia" w:ascii="宋体" w:hAnsi="宋体" w:eastAsia="宋体" w:cs="宋体"/>
                <w:color w:val="auto"/>
                <w:sz w:val="24"/>
                <w:szCs w:val="24"/>
                <w:highlight w:val="none"/>
              </w:rPr>
            </w:pPr>
            <w:r>
              <w:rPr>
                <w:rFonts w:hint="eastAsia" w:ascii="宋体" w:hAnsi="宋体" w:eastAsia="宋体" w:cs="宋体"/>
                <w:color w:val="auto"/>
                <w:highlight w:val="none"/>
                <w:lang w:val="en-US" w:eastAsia="en-US"/>
              </w:rPr>
              <w:t>产品检测报告或相关技术资料、说明书、彩页等完整详细，得</w:t>
            </w:r>
            <w:r>
              <w:rPr>
                <w:rFonts w:hint="eastAsia" w:ascii="宋体" w:hAnsi="宋体" w:eastAsia="宋体" w:cs="宋体"/>
                <w:color w:val="auto"/>
                <w:highlight w:val="none"/>
                <w:lang w:val="en-US" w:eastAsia="zh-CN"/>
              </w:rPr>
              <w:t>8</w:t>
            </w:r>
            <w:r>
              <w:rPr>
                <w:rFonts w:hint="eastAsia" w:ascii="宋体" w:hAnsi="宋体" w:eastAsia="宋体" w:cs="宋体"/>
                <w:color w:val="auto"/>
                <w:highlight w:val="none"/>
                <w:lang w:val="en-US" w:eastAsia="en-US"/>
              </w:rPr>
              <w:t>分</w:t>
            </w:r>
            <w:r>
              <w:rPr>
                <w:rFonts w:hint="eastAsia" w:ascii="宋体" w:hAnsi="宋体" w:eastAsia="宋体" w:cs="宋体"/>
                <w:color w:val="auto"/>
                <w:highlight w:val="none"/>
                <w:lang w:val="en-US" w:eastAsia="zh-CN"/>
              </w:rPr>
              <w:t>；</w:t>
            </w:r>
            <w:r>
              <w:rPr>
                <w:rFonts w:hint="eastAsia" w:ascii="宋体" w:hAnsi="宋体" w:eastAsia="宋体" w:cs="宋体"/>
                <w:color w:val="auto"/>
                <w:highlight w:val="none"/>
                <w:lang w:val="en-US" w:eastAsia="en-US"/>
              </w:rPr>
              <w:t>产品检测报告或相关技术资料、说明书、彩页表述</w:t>
            </w:r>
            <w:r>
              <w:rPr>
                <w:rFonts w:hint="eastAsia" w:ascii="宋体" w:hAnsi="宋体" w:eastAsia="宋体" w:cs="宋体"/>
                <w:color w:val="auto"/>
                <w:highlight w:val="none"/>
                <w:lang w:val="en-US" w:eastAsia="zh-CN"/>
              </w:rPr>
              <w:t>较</w:t>
            </w:r>
            <w:r>
              <w:rPr>
                <w:rFonts w:hint="eastAsia" w:ascii="宋体" w:hAnsi="宋体" w:eastAsia="宋体" w:cs="宋体"/>
                <w:color w:val="auto"/>
                <w:highlight w:val="none"/>
                <w:lang w:val="en-US" w:eastAsia="en-US"/>
              </w:rPr>
              <w:t>完整，得</w:t>
            </w:r>
            <w:r>
              <w:rPr>
                <w:rFonts w:hint="eastAsia" w:ascii="宋体" w:hAnsi="宋体" w:eastAsia="宋体" w:cs="宋体"/>
                <w:color w:val="auto"/>
                <w:highlight w:val="none"/>
                <w:lang w:val="en-US" w:eastAsia="zh-CN"/>
              </w:rPr>
              <w:t>6</w:t>
            </w:r>
            <w:r>
              <w:rPr>
                <w:rFonts w:hint="eastAsia" w:ascii="宋体" w:hAnsi="宋体" w:eastAsia="宋体" w:cs="宋体"/>
                <w:color w:val="auto"/>
                <w:highlight w:val="none"/>
                <w:lang w:val="en-US" w:eastAsia="en-US"/>
              </w:rPr>
              <w:t>分</w:t>
            </w:r>
            <w:r>
              <w:rPr>
                <w:rFonts w:hint="eastAsia" w:ascii="宋体" w:hAnsi="宋体" w:eastAsia="宋体" w:cs="宋体"/>
                <w:color w:val="auto"/>
                <w:highlight w:val="none"/>
                <w:lang w:val="en-US" w:eastAsia="zh-CN"/>
              </w:rPr>
              <w:t>；</w:t>
            </w:r>
            <w:r>
              <w:rPr>
                <w:rFonts w:hint="eastAsia" w:ascii="宋体" w:hAnsi="宋体" w:eastAsia="宋体" w:cs="宋体"/>
                <w:color w:val="auto"/>
                <w:highlight w:val="none"/>
                <w:lang w:val="en-US" w:eastAsia="en-US"/>
              </w:rPr>
              <w:t>产品检测报告或相关技术资料、说明书、彩页表述基本完整，得</w:t>
            </w:r>
            <w:r>
              <w:rPr>
                <w:rFonts w:hint="eastAsia" w:ascii="宋体" w:hAnsi="宋体" w:eastAsia="宋体" w:cs="宋体"/>
                <w:color w:val="auto"/>
                <w:highlight w:val="none"/>
                <w:lang w:val="en-US" w:eastAsia="zh-CN"/>
              </w:rPr>
              <w:t>4</w:t>
            </w:r>
            <w:r>
              <w:rPr>
                <w:rFonts w:hint="eastAsia" w:ascii="宋体" w:hAnsi="宋体" w:eastAsia="宋体" w:cs="宋体"/>
                <w:color w:val="auto"/>
                <w:highlight w:val="none"/>
                <w:lang w:val="en-US" w:eastAsia="en-US"/>
              </w:rPr>
              <w:t>分</w:t>
            </w:r>
            <w:r>
              <w:rPr>
                <w:rFonts w:hint="eastAsia" w:ascii="宋体" w:hAnsi="宋体" w:eastAsia="宋体" w:cs="宋体"/>
                <w:color w:val="auto"/>
                <w:highlight w:val="none"/>
                <w:lang w:val="en-US" w:eastAsia="zh-CN"/>
              </w:rPr>
              <w:t>；</w:t>
            </w:r>
            <w:r>
              <w:rPr>
                <w:rFonts w:hint="eastAsia" w:ascii="宋体" w:hAnsi="宋体" w:eastAsia="宋体" w:cs="宋体"/>
                <w:color w:val="auto"/>
                <w:highlight w:val="none"/>
                <w:lang w:val="en-US" w:eastAsia="en-US"/>
              </w:rPr>
              <w:t>产品检测报告或相关技术资料、说明书、彩页</w:t>
            </w:r>
            <w:r>
              <w:rPr>
                <w:rFonts w:hint="eastAsia" w:ascii="宋体" w:hAnsi="宋体" w:eastAsia="宋体" w:cs="宋体"/>
                <w:color w:val="auto"/>
                <w:highlight w:val="none"/>
                <w:lang w:val="en-US" w:eastAsia="zh-CN"/>
              </w:rPr>
              <w:t>有缺失</w:t>
            </w:r>
            <w:r>
              <w:rPr>
                <w:rFonts w:hint="eastAsia" w:ascii="宋体" w:hAnsi="宋体" w:eastAsia="宋体" w:cs="宋体"/>
                <w:color w:val="auto"/>
                <w:highlight w:val="none"/>
                <w:lang w:val="en-US" w:eastAsia="en-US"/>
              </w:rPr>
              <w:t>，得</w:t>
            </w:r>
            <w:r>
              <w:rPr>
                <w:rFonts w:hint="eastAsia" w:ascii="宋体" w:hAnsi="宋体" w:eastAsia="宋体" w:cs="宋体"/>
                <w:color w:val="auto"/>
                <w:highlight w:val="none"/>
                <w:lang w:val="en-US" w:eastAsia="zh-CN"/>
              </w:rPr>
              <w:t>2</w:t>
            </w:r>
            <w:r>
              <w:rPr>
                <w:rFonts w:hint="eastAsia" w:ascii="宋体" w:hAnsi="宋体" w:eastAsia="宋体" w:cs="宋体"/>
                <w:color w:val="auto"/>
                <w:highlight w:val="none"/>
                <w:lang w:val="en-US" w:eastAsia="en-US"/>
              </w:rPr>
              <w:t>分</w:t>
            </w:r>
            <w:r>
              <w:rPr>
                <w:rFonts w:hint="eastAsia" w:ascii="宋体" w:hAnsi="宋体" w:eastAsia="宋体" w:cs="宋体"/>
                <w:color w:val="auto"/>
                <w:highlight w:val="none"/>
                <w:lang w:val="en-US" w:eastAsia="zh-CN"/>
              </w:rPr>
              <w:t>；</w:t>
            </w:r>
            <w:r>
              <w:rPr>
                <w:rFonts w:hint="eastAsia" w:ascii="宋体" w:hAnsi="宋体" w:eastAsia="宋体" w:cs="宋体"/>
                <w:color w:val="auto"/>
                <w:highlight w:val="none"/>
                <w:lang w:val="en-US" w:eastAsia="en-US"/>
              </w:rPr>
              <w:t>产品检测报告或相关技术资料、说明书、彩页</w:t>
            </w:r>
            <w:r>
              <w:rPr>
                <w:rFonts w:hint="eastAsia" w:ascii="宋体" w:hAnsi="宋体" w:eastAsia="宋体" w:cs="宋体"/>
                <w:color w:val="auto"/>
                <w:highlight w:val="none"/>
                <w:lang w:val="en-US" w:eastAsia="zh-CN"/>
              </w:rPr>
              <w:t>等资料缺失较多</w:t>
            </w:r>
            <w:r>
              <w:rPr>
                <w:rFonts w:hint="eastAsia" w:ascii="宋体" w:hAnsi="宋体" w:eastAsia="宋体" w:cs="宋体"/>
                <w:color w:val="auto"/>
                <w:highlight w:val="none"/>
                <w:lang w:val="en-US" w:eastAsia="en-US"/>
              </w:rPr>
              <w:t>，得</w:t>
            </w:r>
            <w:r>
              <w:rPr>
                <w:rFonts w:hint="eastAsia" w:ascii="宋体" w:hAnsi="宋体" w:eastAsia="宋体" w:cs="宋体"/>
                <w:color w:val="auto"/>
                <w:highlight w:val="none"/>
                <w:lang w:val="en-US" w:eastAsia="zh-CN"/>
              </w:rPr>
              <w:t>1</w:t>
            </w:r>
            <w:r>
              <w:rPr>
                <w:rFonts w:hint="eastAsia" w:ascii="宋体" w:hAnsi="宋体" w:eastAsia="宋体" w:cs="宋体"/>
                <w:color w:val="auto"/>
                <w:highlight w:val="none"/>
                <w:lang w:val="en-US" w:eastAsia="en-US"/>
              </w:rPr>
              <w:t>分</w:t>
            </w:r>
            <w:r>
              <w:rPr>
                <w:rFonts w:hint="eastAsia" w:ascii="宋体" w:hAnsi="宋体" w:eastAsia="宋体" w:cs="宋体"/>
                <w:color w:val="auto"/>
                <w:highlight w:val="none"/>
                <w:lang w:val="en-US" w:eastAsia="zh-CN"/>
              </w:rPr>
              <w:t>；</w:t>
            </w:r>
          </w:p>
        </w:tc>
      </w:tr>
      <w:tr w14:paraId="5A387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8" w:hRule="atLeast"/>
          <w:jc w:val="center"/>
        </w:trPr>
        <w:tc>
          <w:tcPr>
            <w:tcW w:w="1075" w:type="dxa"/>
            <w:vMerge w:val="continue"/>
            <w:noWrap w:val="0"/>
            <w:vAlign w:val="center"/>
          </w:tcPr>
          <w:p w14:paraId="79DF6F18">
            <w:pPr>
              <w:spacing w:line="500" w:lineRule="exact"/>
              <w:jc w:val="center"/>
              <w:rPr>
                <w:rFonts w:hint="eastAsia" w:ascii="宋体" w:hAnsi="宋体" w:eastAsia="宋体" w:cs="宋体"/>
                <w:color w:val="auto"/>
                <w:sz w:val="24"/>
                <w:szCs w:val="24"/>
                <w:highlight w:val="none"/>
              </w:rPr>
            </w:pPr>
          </w:p>
        </w:tc>
        <w:tc>
          <w:tcPr>
            <w:tcW w:w="903" w:type="dxa"/>
            <w:vMerge w:val="continue"/>
            <w:noWrap w:val="0"/>
            <w:vAlign w:val="center"/>
          </w:tcPr>
          <w:p w14:paraId="20FF882A">
            <w:pPr>
              <w:spacing w:line="500" w:lineRule="exact"/>
              <w:rPr>
                <w:rFonts w:hint="eastAsia" w:ascii="宋体" w:hAnsi="宋体" w:eastAsia="宋体" w:cs="宋体"/>
                <w:color w:val="auto"/>
                <w:sz w:val="24"/>
                <w:szCs w:val="24"/>
                <w:highlight w:val="none"/>
              </w:rPr>
            </w:pPr>
          </w:p>
        </w:tc>
        <w:tc>
          <w:tcPr>
            <w:tcW w:w="8109" w:type="dxa"/>
            <w:noWrap w:val="0"/>
            <w:vAlign w:val="center"/>
          </w:tcPr>
          <w:p w14:paraId="0F49E1A1">
            <w:pPr>
              <w:spacing w:line="46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3、项目实施方案，包括供货安排，仓储、运输及派送</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安装调试等，具有全面性、可行性、针对性，方案明确，布局规范。本项满分</w:t>
            </w: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rPr>
              <w:t>分</w:t>
            </w:r>
            <w:r>
              <w:rPr>
                <w:rFonts w:hint="eastAsia" w:ascii="宋体" w:hAnsi="宋体" w:eastAsia="宋体" w:cs="宋体"/>
                <w:color w:val="auto"/>
                <w:sz w:val="24"/>
                <w:szCs w:val="24"/>
                <w:highlight w:val="none"/>
                <w:lang w:eastAsia="zh-CN"/>
              </w:rPr>
              <w:t>。</w:t>
            </w:r>
            <w:r>
              <w:rPr>
                <w:rFonts w:hint="eastAsia" w:ascii="宋体" w:hAnsi="宋体" w:eastAsia="宋体" w:cs="宋体"/>
                <w:bCs/>
                <w:color w:val="auto"/>
                <w:sz w:val="24"/>
                <w:szCs w:val="24"/>
                <w:highlight w:val="none"/>
                <w:lang w:eastAsia="zh-CN"/>
              </w:rPr>
              <w:t>未提供不计分。</w:t>
            </w:r>
          </w:p>
          <w:p w14:paraId="29D06741">
            <w:pPr>
              <w:spacing w:line="500" w:lineRule="exact"/>
              <w:rPr>
                <w:rFonts w:hint="default" w:ascii="宋体" w:hAnsi="宋体" w:eastAsia="仿宋_GB2312" w:cs="宋体"/>
                <w:color w:val="auto"/>
                <w:sz w:val="24"/>
                <w:szCs w:val="24"/>
                <w:highlight w:val="none"/>
                <w:lang w:val="en-US" w:eastAsia="zh-CN"/>
              </w:rPr>
            </w:pPr>
            <w:r>
              <w:rPr>
                <w:rFonts w:hint="eastAsia" w:ascii="宋体" w:hAnsi="宋体" w:eastAsia="宋体" w:cs="宋体"/>
                <w:color w:val="auto"/>
                <w:sz w:val="24"/>
                <w:szCs w:val="24"/>
                <w:highlight w:val="none"/>
              </w:rPr>
              <w:t>提供具体详细的实施方案，方案总体思路清晰，实施方法及工作安排合理，涵盖内容全面，针对性操作性强得</w:t>
            </w: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rPr>
              <w:t>分； 提供具体详细的实施方案，方案总体思路清晰，实施方法及工作安排合理，涵盖内容全面，</w:t>
            </w:r>
            <w:r>
              <w:rPr>
                <w:rFonts w:hint="eastAsia" w:ascii="宋体" w:hAnsi="宋体" w:eastAsia="宋体" w:cs="宋体"/>
                <w:color w:val="auto"/>
                <w:sz w:val="24"/>
                <w:szCs w:val="24"/>
                <w:highlight w:val="none"/>
                <w:lang w:val="en-US" w:eastAsia="zh-CN"/>
              </w:rPr>
              <w:t>有</w:t>
            </w:r>
            <w:r>
              <w:rPr>
                <w:rFonts w:hint="eastAsia" w:ascii="宋体" w:hAnsi="宋体" w:eastAsia="宋体" w:cs="宋体"/>
                <w:color w:val="auto"/>
                <w:sz w:val="24"/>
                <w:szCs w:val="24"/>
                <w:highlight w:val="none"/>
              </w:rPr>
              <w:t>针对性操作性得</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分； 提供较为具体的实施方案，方案总体思路较清晰，实施方法及工作安排较合理，涵盖内容较全面，针对性</w:t>
            </w:r>
            <w:r>
              <w:rPr>
                <w:rFonts w:hint="eastAsia" w:ascii="宋体" w:hAnsi="宋体" w:eastAsia="宋体" w:cs="宋体"/>
                <w:color w:val="auto"/>
                <w:sz w:val="24"/>
                <w:szCs w:val="24"/>
                <w:highlight w:val="none"/>
                <w:lang w:val="en-US" w:eastAsia="zh-CN"/>
              </w:rPr>
              <w:t>一般</w:t>
            </w:r>
            <w:r>
              <w:rPr>
                <w:rFonts w:hint="eastAsia" w:ascii="宋体" w:hAnsi="宋体" w:eastAsia="宋体" w:cs="宋体"/>
                <w:color w:val="auto"/>
                <w:sz w:val="24"/>
                <w:szCs w:val="24"/>
                <w:highlight w:val="none"/>
              </w:rPr>
              <w:t>得</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分； 提供实施方案涵盖内容不全面，无法保证项目质量得2分； 方案内容简单笼统，实施难度大的得1分。</w:t>
            </w:r>
            <w:r>
              <w:rPr>
                <w:rFonts w:hint="eastAsia" w:ascii="宋体" w:hAnsi="宋体" w:eastAsia="宋体" w:cs="宋体"/>
                <w:color w:val="auto"/>
                <w:sz w:val="24"/>
                <w:szCs w:val="24"/>
                <w:highlight w:val="none"/>
                <w:lang w:val="en-US" w:eastAsia="zh-CN"/>
              </w:rPr>
              <w:t xml:space="preserve"> 未提供方案不得分。</w:t>
            </w:r>
          </w:p>
        </w:tc>
      </w:tr>
      <w:tr w14:paraId="1CF0D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 w:hRule="atLeast"/>
          <w:jc w:val="center"/>
        </w:trPr>
        <w:tc>
          <w:tcPr>
            <w:tcW w:w="1075" w:type="dxa"/>
            <w:vMerge w:val="continue"/>
            <w:noWrap w:val="0"/>
            <w:vAlign w:val="center"/>
          </w:tcPr>
          <w:p w14:paraId="22DC29D5">
            <w:pPr>
              <w:spacing w:line="500" w:lineRule="exact"/>
              <w:rPr>
                <w:rFonts w:hint="eastAsia" w:ascii="宋体" w:hAnsi="宋体" w:eastAsia="宋体" w:cs="宋体"/>
                <w:color w:val="auto"/>
                <w:sz w:val="24"/>
                <w:szCs w:val="24"/>
                <w:highlight w:val="none"/>
              </w:rPr>
            </w:pPr>
          </w:p>
        </w:tc>
        <w:tc>
          <w:tcPr>
            <w:tcW w:w="903" w:type="dxa"/>
            <w:vMerge w:val="continue"/>
            <w:noWrap w:val="0"/>
            <w:vAlign w:val="center"/>
          </w:tcPr>
          <w:p w14:paraId="503E3430">
            <w:pPr>
              <w:spacing w:line="500" w:lineRule="exact"/>
              <w:rPr>
                <w:rFonts w:hint="eastAsia" w:ascii="宋体" w:hAnsi="宋体" w:eastAsia="宋体" w:cs="宋体"/>
                <w:color w:val="auto"/>
                <w:sz w:val="24"/>
                <w:szCs w:val="24"/>
                <w:highlight w:val="none"/>
              </w:rPr>
            </w:pPr>
          </w:p>
        </w:tc>
        <w:tc>
          <w:tcPr>
            <w:tcW w:w="8109" w:type="dxa"/>
            <w:noWrap w:val="0"/>
            <w:vAlign w:val="center"/>
          </w:tcPr>
          <w:p w14:paraId="286B8F76">
            <w:pPr>
              <w:numPr>
                <w:ilvl w:val="0"/>
                <w:numId w:val="3"/>
              </w:numPr>
              <w:spacing w:line="460" w:lineRule="exact"/>
              <w:rPr>
                <w:rFonts w:hint="eastAsia" w:ascii="宋体" w:hAnsi="宋体" w:eastAsia="宋体" w:cs="宋体"/>
                <w:bCs/>
                <w:color w:val="auto"/>
                <w:sz w:val="24"/>
                <w:szCs w:val="24"/>
                <w:highlight w:val="none"/>
                <w:lang w:eastAsia="zh-CN"/>
              </w:rPr>
            </w:pPr>
            <w:r>
              <w:rPr>
                <w:rFonts w:hint="eastAsia" w:ascii="宋体" w:hAnsi="宋体" w:eastAsia="宋体" w:cs="宋体"/>
                <w:color w:val="auto"/>
                <w:sz w:val="24"/>
                <w:szCs w:val="24"/>
                <w:highlight w:val="none"/>
              </w:rPr>
              <w:t>根据投入项目组成人员安排，</w:t>
            </w:r>
            <w:r>
              <w:rPr>
                <w:rFonts w:hint="eastAsia" w:ascii="宋体" w:hAnsi="宋体" w:eastAsia="宋体" w:cs="宋体"/>
                <w:color w:val="auto"/>
                <w:sz w:val="24"/>
                <w:szCs w:val="24"/>
                <w:highlight w:val="none"/>
                <w:lang w:val="zh-CN"/>
              </w:rPr>
              <w:t>项目组织机构健全，人员经验丰富、配备合理</w:t>
            </w:r>
            <w:r>
              <w:rPr>
                <w:rFonts w:hint="eastAsia" w:ascii="宋体" w:hAnsi="宋体" w:eastAsia="宋体" w:cs="宋体"/>
                <w:color w:val="auto"/>
                <w:sz w:val="24"/>
                <w:szCs w:val="24"/>
                <w:highlight w:val="none"/>
              </w:rPr>
              <w:t>，根据响应程度计分。</w:t>
            </w:r>
            <w:r>
              <w:rPr>
                <w:rFonts w:hint="eastAsia" w:ascii="宋体" w:hAnsi="宋体" w:eastAsia="宋体" w:cs="宋体"/>
                <w:color w:val="auto"/>
                <w:sz w:val="24"/>
                <w:szCs w:val="24"/>
                <w:highlight w:val="none"/>
                <w:lang w:val="en-US" w:eastAsia="zh-CN"/>
              </w:rPr>
              <w:t>本项满分5分。</w:t>
            </w:r>
            <w:r>
              <w:rPr>
                <w:rFonts w:hint="eastAsia" w:ascii="宋体" w:hAnsi="宋体" w:eastAsia="宋体" w:cs="宋体"/>
                <w:bCs/>
                <w:color w:val="auto"/>
                <w:sz w:val="24"/>
                <w:szCs w:val="24"/>
                <w:highlight w:val="none"/>
                <w:lang w:eastAsia="zh-CN"/>
              </w:rPr>
              <w:t>未提供不计分。</w:t>
            </w:r>
          </w:p>
          <w:p w14:paraId="3F194B68">
            <w:pPr>
              <w:numPr>
                <w:ilvl w:val="0"/>
                <w:numId w:val="0"/>
              </w:numPr>
              <w:spacing w:line="460" w:lineRule="exact"/>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rPr>
              <w:t>提供针对本项目的</w:t>
            </w:r>
            <w:r>
              <w:rPr>
                <w:rFonts w:hint="eastAsia" w:ascii="宋体" w:hAnsi="宋体" w:eastAsia="宋体" w:cs="宋体"/>
                <w:bCs/>
                <w:color w:val="auto"/>
                <w:sz w:val="24"/>
                <w:szCs w:val="24"/>
                <w:highlight w:val="none"/>
                <w:lang w:val="en-US" w:eastAsia="zh-CN"/>
              </w:rPr>
              <w:t>人员团队</w:t>
            </w:r>
            <w:r>
              <w:rPr>
                <w:rFonts w:hint="eastAsia" w:ascii="宋体" w:hAnsi="宋体" w:eastAsia="宋体" w:cs="宋体"/>
                <w:bCs/>
                <w:color w:val="auto"/>
                <w:sz w:val="24"/>
                <w:szCs w:val="24"/>
                <w:highlight w:val="none"/>
              </w:rPr>
              <w:t>方案，方案科学全面、详细具体、针对性强得5分；方案科学全面、详细具体、针对性较强得4分；方案科学合理、可行得3分；方案基本可行，但不够全面得2分；方案欠缺、不利于实施得1分。</w:t>
            </w:r>
          </w:p>
          <w:p w14:paraId="10F86957">
            <w:pPr>
              <w:numPr>
                <w:ilvl w:val="0"/>
                <w:numId w:val="0"/>
              </w:numPr>
              <w:spacing w:line="460" w:lineRule="exact"/>
              <w:rPr>
                <w:rFonts w:hint="eastAsia" w:ascii="宋体" w:hAnsi="宋体" w:eastAsia="宋体" w:cs="宋体"/>
                <w:bCs/>
                <w:color w:val="auto"/>
                <w:sz w:val="24"/>
                <w:szCs w:val="24"/>
                <w:highlight w:val="none"/>
                <w:lang w:val="en-US" w:eastAsia="zh-CN"/>
              </w:rPr>
            </w:pPr>
            <w:r>
              <w:rPr>
                <w:rFonts w:hint="eastAsia" w:ascii="宋体" w:hAnsi="宋体" w:eastAsia="宋体" w:cs="宋体"/>
                <w:color w:val="auto"/>
                <w:sz w:val="24"/>
                <w:szCs w:val="24"/>
                <w:highlight w:val="none"/>
                <w:lang w:val="en-US" w:eastAsia="zh-CN"/>
              </w:rPr>
              <w:t>未提供方案不得分。</w:t>
            </w:r>
          </w:p>
        </w:tc>
      </w:tr>
      <w:tr w14:paraId="14A17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9" w:hRule="atLeast"/>
          <w:jc w:val="center"/>
        </w:trPr>
        <w:tc>
          <w:tcPr>
            <w:tcW w:w="1075" w:type="dxa"/>
            <w:vMerge w:val="continue"/>
            <w:noWrap w:val="0"/>
            <w:vAlign w:val="center"/>
          </w:tcPr>
          <w:p w14:paraId="16DDB4FB">
            <w:pPr>
              <w:spacing w:line="500" w:lineRule="exact"/>
              <w:rPr>
                <w:rFonts w:hint="eastAsia" w:ascii="宋体" w:hAnsi="宋体" w:eastAsia="宋体" w:cs="宋体"/>
                <w:color w:val="auto"/>
                <w:sz w:val="24"/>
                <w:szCs w:val="24"/>
                <w:highlight w:val="none"/>
              </w:rPr>
            </w:pPr>
          </w:p>
        </w:tc>
        <w:tc>
          <w:tcPr>
            <w:tcW w:w="903" w:type="dxa"/>
            <w:vMerge w:val="continue"/>
            <w:noWrap w:val="0"/>
            <w:vAlign w:val="center"/>
          </w:tcPr>
          <w:p w14:paraId="6CC116B4">
            <w:pPr>
              <w:spacing w:line="500" w:lineRule="exact"/>
              <w:rPr>
                <w:rFonts w:hint="eastAsia" w:ascii="宋体" w:hAnsi="宋体" w:eastAsia="宋体" w:cs="宋体"/>
                <w:color w:val="auto"/>
                <w:sz w:val="24"/>
                <w:szCs w:val="24"/>
                <w:highlight w:val="none"/>
              </w:rPr>
            </w:pPr>
          </w:p>
        </w:tc>
        <w:tc>
          <w:tcPr>
            <w:tcW w:w="8109" w:type="dxa"/>
            <w:noWrap w:val="0"/>
            <w:vAlign w:val="center"/>
          </w:tcPr>
          <w:p w14:paraId="661AB3C3">
            <w:pPr>
              <w:spacing w:line="46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、确保质量的技术组织措施，包括进货渠道、质量保证等相关证明材料（包括但不限于产品的合法来源渠道、授权书、产品合格证等）。本项满分</w:t>
            </w: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rPr>
              <w:t>分。</w:t>
            </w:r>
            <w:r>
              <w:rPr>
                <w:rFonts w:hint="eastAsia" w:ascii="宋体" w:hAnsi="宋体" w:eastAsia="宋体" w:cs="宋体"/>
                <w:bCs/>
                <w:color w:val="auto"/>
                <w:sz w:val="24"/>
                <w:szCs w:val="24"/>
                <w:highlight w:val="none"/>
                <w:lang w:eastAsia="zh-CN"/>
              </w:rPr>
              <w:t>未提供不计分。</w:t>
            </w:r>
          </w:p>
          <w:p w14:paraId="155D9ECD">
            <w:pPr>
              <w:spacing w:line="46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提供具体详细的确保质量的技术组织措施实施方案，方案总体思路清晰，实施方法及相关证明材料</w:t>
            </w:r>
            <w:r>
              <w:rPr>
                <w:rFonts w:hint="eastAsia" w:ascii="宋体" w:hAnsi="宋体" w:eastAsia="宋体" w:cs="宋体"/>
                <w:color w:val="auto"/>
                <w:sz w:val="24"/>
                <w:szCs w:val="24"/>
                <w:highlight w:val="none"/>
                <w:lang w:val="en-US" w:eastAsia="zh-CN"/>
              </w:rPr>
              <w:t>完整齐全</w:t>
            </w:r>
            <w:r>
              <w:rPr>
                <w:rFonts w:hint="eastAsia" w:ascii="宋体" w:hAnsi="宋体" w:eastAsia="宋体" w:cs="宋体"/>
                <w:color w:val="auto"/>
                <w:sz w:val="24"/>
                <w:szCs w:val="24"/>
                <w:highlight w:val="none"/>
              </w:rPr>
              <w:t>，涵盖内容全面，针对性操作性强得</w:t>
            </w: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rPr>
              <w:t>分； 提供具体详细的实施方案，方案总体思路清晰，实施方法及相关证明材料</w:t>
            </w:r>
            <w:r>
              <w:rPr>
                <w:rFonts w:hint="eastAsia" w:ascii="宋体" w:hAnsi="宋体" w:eastAsia="宋体" w:cs="宋体"/>
                <w:color w:val="auto"/>
                <w:sz w:val="24"/>
                <w:szCs w:val="24"/>
                <w:highlight w:val="none"/>
                <w:lang w:val="en-US" w:eastAsia="zh-CN"/>
              </w:rPr>
              <w:t>齐全</w:t>
            </w:r>
            <w:r>
              <w:rPr>
                <w:rFonts w:hint="eastAsia" w:ascii="宋体" w:hAnsi="宋体" w:eastAsia="宋体" w:cs="宋体"/>
                <w:color w:val="auto"/>
                <w:sz w:val="24"/>
                <w:szCs w:val="24"/>
                <w:highlight w:val="none"/>
              </w:rPr>
              <w:t>，涵盖内容全面，</w:t>
            </w:r>
            <w:r>
              <w:rPr>
                <w:rFonts w:hint="eastAsia" w:ascii="宋体" w:hAnsi="宋体" w:eastAsia="宋体" w:cs="宋体"/>
                <w:color w:val="auto"/>
                <w:sz w:val="24"/>
                <w:szCs w:val="24"/>
                <w:highlight w:val="none"/>
                <w:lang w:val="en-US" w:eastAsia="zh-CN"/>
              </w:rPr>
              <w:t>有</w:t>
            </w:r>
            <w:r>
              <w:rPr>
                <w:rFonts w:hint="eastAsia" w:ascii="宋体" w:hAnsi="宋体" w:eastAsia="宋体" w:cs="宋体"/>
                <w:color w:val="auto"/>
                <w:sz w:val="24"/>
                <w:szCs w:val="24"/>
                <w:highlight w:val="none"/>
              </w:rPr>
              <w:t>针对性操作性得</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分； 提供较为具体的实施方案，方案总体思路较清晰，实施方法及相关证明材料</w:t>
            </w:r>
            <w:r>
              <w:rPr>
                <w:rFonts w:hint="eastAsia" w:ascii="宋体" w:hAnsi="宋体" w:eastAsia="宋体" w:cs="宋体"/>
                <w:color w:val="auto"/>
                <w:sz w:val="24"/>
                <w:szCs w:val="24"/>
                <w:highlight w:val="none"/>
                <w:lang w:val="en-US" w:eastAsia="zh-CN"/>
              </w:rPr>
              <w:t>基本齐全</w:t>
            </w:r>
            <w:r>
              <w:rPr>
                <w:rFonts w:hint="eastAsia" w:ascii="宋体" w:hAnsi="宋体" w:eastAsia="宋体" w:cs="宋体"/>
                <w:color w:val="auto"/>
                <w:sz w:val="24"/>
                <w:szCs w:val="24"/>
                <w:highlight w:val="none"/>
              </w:rPr>
              <w:t>，涵盖内容较全面，针对性</w:t>
            </w:r>
            <w:r>
              <w:rPr>
                <w:rFonts w:hint="eastAsia" w:ascii="宋体" w:hAnsi="宋体" w:eastAsia="宋体" w:cs="宋体"/>
                <w:color w:val="auto"/>
                <w:sz w:val="24"/>
                <w:szCs w:val="24"/>
                <w:highlight w:val="none"/>
                <w:lang w:val="en-US" w:eastAsia="zh-CN"/>
              </w:rPr>
              <w:t>一般</w:t>
            </w:r>
            <w:r>
              <w:rPr>
                <w:rFonts w:hint="eastAsia" w:ascii="宋体" w:hAnsi="宋体" w:eastAsia="宋体" w:cs="宋体"/>
                <w:color w:val="auto"/>
                <w:sz w:val="24"/>
                <w:szCs w:val="24"/>
                <w:highlight w:val="none"/>
              </w:rPr>
              <w:t>得</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分； 提供实施方案涵盖内容不全面，相关证明材料</w:t>
            </w:r>
            <w:r>
              <w:rPr>
                <w:rFonts w:hint="eastAsia" w:ascii="宋体" w:hAnsi="宋体" w:eastAsia="宋体" w:cs="宋体"/>
                <w:color w:val="auto"/>
                <w:sz w:val="24"/>
                <w:szCs w:val="24"/>
                <w:highlight w:val="none"/>
                <w:lang w:val="en-US" w:eastAsia="zh-CN"/>
              </w:rPr>
              <w:t>缺失，</w:t>
            </w:r>
            <w:r>
              <w:rPr>
                <w:rFonts w:hint="eastAsia" w:ascii="宋体" w:hAnsi="宋体" w:eastAsia="宋体" w:cs="宋体"/>
                <w:color w:val="auto"/>
                <w:sz w:val="24"/>
                <w:szCs w:val="24"/>
                <w:highlight w:val="none"/>
              </w:rPr>
              <w:t>无法保证项目质量得2分； 方案内容简单笼统，</w:t>
            </w:r>
            <w:r>
              <w:rPr>
                <w:rFonts w:hint="eastAsia" w:ascii="宋体" w:hAnsi="宋体" w:eastAsia="宋体" w:cs="宋体"/>
                <w:color w:val="auto"/>
                <w:sz w:val="24"/>
                <w:szCs w:val="24"/>
                <w:highlight w:val="none"/>
                <w:lang w:val="en-US" w:eastAsia="zh-CN"/>
              </w:rPr>
              <w:t>无</w:t>
            </w:r>
            <w:r>
              <w:rPr>
                <w:rFonts w:hint="eastAsia" w:ascii="宋体" w:hAnsi="宋体" w:eastAsia="宋体" w:cs="宋体"/>
                <w:color w:val="auto"/>
                <w:sz w:val="24"/>
                <w:szCs w:val="24"/>
                <w:highlight w:val="none"/>
              </w:rPr>
              <w:t>相关证明材料实施难度大的得1分。</w:t>
            </w:r>
            <w:r>
              <w:rPr>
                <w:rFonts w:hint="eastAsia" w:ascii="宋体" w:hAnsi="宋体" w:eastAsia="宋体" w:cs="宋体"/>
                <w:color w:val="auto"/>
                <w:sz w:val="24"/>
                <w:szCs w:val="24"/>
                <w:highlight w:val="none"/>
                <w:lang w:val="en-US" w:eastAsia="zh-CN"/>
              </w:rPr>
              <w:t>未提供方案不得分。</w:t>
            </w:r>
          </w:p>
        </w:tc>
      </w:tr>
      <w:tr w14:paraId="666E5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1075" w:type="dxa"/>
            <w:vMerge w:val="continue"/>
            <w:noWrap w:val="0"/>
            <w:vAlign w:val="center"/>
          </w:tcPr>
          <w:p w14:paraId="79C719E3">
            <w:pPr>
              <w:spacing w:line="500" w:lineRule="exact"/>
              <w:rPr>
                <w:rFonts w:hint="eastAsia" w:ascii="宋体" w:hAnsi="宋体" w:eastAsia="宋体" w:cs="宋体"/>
                <w:color w:val="auto"/>
                <w:sz w:val="24"/>
                <w:szCs w:val="24"/>
                <w:highlight w:val="none"/>
              </w:rPr>
            </w:pPr>
          </w:p>
        </w:tc>
        <w:tc>
          <w:tcPr>
            <w:tcW w:w="903" w:type="dxa"/>
            <w:vMerge w:val="continue"/>
            <w:noWrap w:val="0"/>
            <w:vAlign w:val="center"/>
          </w:tcPr>
          <w:p w14:paraId="4EC6CCD4">
            <w:pPr>
              <w:spacing w:line="500" w:lineRule="exact"/>
              <w:rPr>
                <w:rFonts w:hint="eastAsia" w:ascii="宋体" w:hAnsi="宋体" w:eastAsia="宋体" w:cs="宋体"/>
                <w:color w:val="auto"/>
                <w:sz w:val="24"/>
                <w:szCs w:val="24"/>
                <w:highlight w:val="none"/>
              </w:rPr>
            </w:pPr>
          </w:p>
        </w:tc>
        <w:tc>
          <w:tcPr>
            <w:tcW w:w="8109" w:type="dxa"/>
            <w:noWrap w:val="0"/>
            <w:vAlign w:val="center"/>
          </w:tcPr>
          <w:p w14:paraId="7B6D8F8E">
            <w:pPr>
              <w:numPr>
                <w:ilvl w:val="0"/>
                <w:numId w:val="4"/>
              </w:numPr>
              <w:spacing w:line="460" w:lineRule="exact"/>
              <w:rPr>
                <w:rFonts w:hint="eastAsia" w:ascii="宋体" w:hAnsi="宋体" w:eastAsia="宋体" w:cs="宋体"/>
                <w:bCs/>
                <w:color w:val="auto"/>
                <w:sz w:val="24"/>
                <w:szCs w:val="24"/>
                <w:highlight w:val="none"/>
                <w:lang w:eastAsia="zh-CN"/>
              </w:rPr>
            </w:pPr>
            <w:r>
              <w:rPr>
                <w:rFonts w:hint="eastAsia" w:ascii="宋体" w:hAnsi="宋体" w:eastAsia="宋体" w:cs="宋体"/>
                <w:color w:val="auto"/>
                <w:sz w:val="24"/>
                <w:szCs w:val="24"/>
                <w:highlight w:val="none"/>
              </w:rPr>
              <w:t>针对本项目可能出现的各类突发情况提供应急解决方案，根据响应程度计分。</w:t>
            </w:r>
            <w:r>
              <w:rPr>
                <w:rFonts w:hint="eastAsia" w:ascii="宋体" w:hAnsi="宋体" w:eastAsia="宋体" w:cs="宋体"/>
                <w:color w:val="auto"/>
                <w:sz w:val="24"/>
                <w:szCs w:val="24"/>
                <w:highlight w:val="none"/>
                <w:lang w:val="en-US" w:eastAsia="zh-CN"/>
              </w:rPr>
              <w:t>本项满分5分。</w:t>
            </w:r>
            <w:r>
              <w:rPr>
                <w:rFonts w:hint="eastAsia" w:ascii="宋体" w:hAnsi="宋体" w:eastAsia="宋体" w:cs="宋体"/>
                <w:bCs/>
                <w:color w:val="auto"/>
                <w:sz w:val="24"/>
                <w:szCs w:val="24"/>
                <w:highlight w:val="none"/>
                <w:lang w:eastAsia="zh-CN"/>
              </w:rPr>
              <w:t>未提供不计分。</w:t>
            </w:r>
          </w:p>
          <w:p w14:paraId="29DADCDD">
            <w:pPr>
              <w:numPr>
                <w:ilvl w:val="0"/>
                <w:numId w:val="0"/>
              </w:numPr>
              <w:spacing w:line="460" w:lineRule="exact"/>
              <w:rPr>
                <w:rFonts w:hint="eastAsia" w:ascii="宋体" w:hAnsi="宋体" w:eastAsia="宋体" w:cs="宋体"/>
                <w:bCs/>
                <w:color w:val="auto"/>
                <w:sz w:val="24"/>
                <w:szCs w:val="24"/>
                <w:highlight w:val="none"/>
                <w:lang w:eastAsia="zh-CN"/>
              </w:rPr>
            </w:pPr>
            <w:r>
              <w:rPr>
                <w:rFonts w:hint="eastAsia" w:ascii="宋体" w:hAnsi="宋体" w:eastAsia="宋体" w:cs="宋体"/>
                <w:color w:val="auto"/>
                <w:sz w:val="24"/>
                <w:szCs w:val="24"/>
                <w:highlight w:val="none"/>
                <w:lang w:val="en-US" w:eastAsia="zh-CN"/>
              </w:rPr>
              <w:t>提供针对本项目的应急方案，方案科学全面、详细具体、针对性强得5分；应急方案科学全面、详细具体、针对性较强得4分；方案科学合理、可行得3分；方案基本可行，但不够全面得2分；方案欠缺、不利于实施得1分。未提供方案不得分。</w:t>
            </w:r>
          </w:p>
        </w:tc>
      </w:tr>
      <w:tr w14:paraId="601E8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1075" w:type="dxa"/>
            <w:vMerge w:val="continue"/>
            <w:noWrap w:val="0"/>
            <w:vAlign w:val="center"/>
          </w:tcPr>
          <w:p w14:paraId="18A6AA3E">
            <w:pPr>
              <w:spacing w:line="500" w:lineRule="exact"/>
              <w:rPr>
                <w:rFonts w:hint="eastAsia" w:ascii="宋体" w:hAnsi="宋体" w:eastAsia="宋体" w:cs="宋体"/>
                <w:color w:val="auto"/>
                <w:sz w:val="24"/>
                <w:szCs w:val="24"/>
                <w:highlight w:val="none"/>
              </w:rPr>
            </w:pPr>
          </w:p>
        </w:tc>
        <w:tc>
          <w:tcPr>
            <w:tcW w:w="903" w:type="dxa"/>
            <w:vMerge w:val="continue"/>
            <w:noWrap w:val="0"/>
            <w:vAlign w:val="center"/>
          </w:tcPr>
          <w:p w14:paraId="1101160A">
            <w:pPr>
              <w:spacing w:line="500" w:lineRule="exact"/>
              <w:rPr>
                <w:rFonts w:hint="eastAsia" w:ascii="宋体" w:hAnsi="宋体" w:eastAsia="宋体" w:cs="宋体"/>
                <w:color w:val="auto"/>
                <w:sz w:val="24"/>
                <w:szCs w:val="24"/>
                <w:highlight w:val="none"/>
              </w:rPr>
            </w:pPr>
          </w:p>
        </w:tc>
        <w:tc>
          <w:tcPr>
            <w:tcW w:w="8109" w:type="dxa"/>
            <w:noWrap w:val="0"/>
            <w:vAlign w:val="center"/>
          </w:tcPr>
          <w:p w14:paraId="34C349C3">
            <w:pPr>
              <w:numPr>
                <w:ilvl w:val="0"/>
                <w:numId w:val="4"/>
              </w:numPr>
              <w:spacing w:line="460" w:lineRule="exact"/>
              <w:ind w:left="0" w:leftChars="0" w:firstLine="0" w:firstLineChars="0"/>
              <w:rPr>
                <w:rFonts w:hint="eastAsia" w:ascii="宋体" w:hAnsi="宋体" w:eastAsia="宋体" w:cs="宋体"/>
                <w:bCs/>
                <w:color w:val="auto"/>
                <w:sz w:val="24"/>
                <w:szCs w:val="24"/>
                <w:highlight w:val="none"/>
                <w:lang w:eastAsia="zh-CN"/>
              </w:rPr>
            </w:pPr>
            <w:r>
              <w:rPr>
                <w:rFonts w:hint="eastAsia" w:ascii="宋体" w:hAnsi="宋体" w:eastAsia="宋体" w:cs="宋体"/>
                <w:bCs/>
                <w:color w:val="auto"/>
                <w:sz w:val="24"/>
                <w:szCs w:val="24"/>
                <w:highlight w:val="none"/>
              </w:rPr>
              <w:t>供应商针对本项目有详细可行的技术培训措施：培训计划完善，内容充实，安排合理，保证使用单位能熟练操作维护和正常使用，根据响应程度计分；</w:t>
            </w:r>
            <w:r>
              <w:rPr>
                <w:rFonts w:hint="eastAsia" w:ascii="宋体" w:hAnsi="宋体" w:eastAsia="宋体" w:cs="宋体"/>
                <w:color w:val="auto"/>
                <w:sz w:val="24"/>
                <w:szCs w:val="24"/>
                <w:highlight w:val="none"/>
                <w:lang w:val="en-US" w:eastAsia="zh-CN"/>
              </w:rPr>
              <w:t>本项满分5分。</w:t>
            </w:r>
            <w:r>
              <w:rPr>
                <w:rFonts w:hint="eastAsia" w:ascii="宋体" w:hAnsi="宋体" w:eastAsia="宋体" w:cs="宋体"/>
                <w:bCs/>
                <w:color w:val="auto"/>
                <w:sz w:val="24"/>
                <w:szCs w:val="24"/>
                <w:highlight w:val="none"/>
                <w:lang w:eastAsia="zh-CN"/>
              </w:rPr>
              <w:t>未提供不计分。</w:t>
            </w:r>
          </w:p>
          <w:p w14:paraId="6DBE7147">
            <w:pPr>
              <w:numPr>
                <w:ilvl w:val="0"/>
                <w:numId w:val="0"/>
              </w:numPr>
              <w:spacing w:line="460" w:lineRule="exact"/>
              <w:ind w:leftChars="0"/>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rPr>
              <w:t>提供针对本项目的</w:t>
            </w:r>
            <w:r>
              <w:rPr>
                <w:rFonts w:hint="eastAsia" w:ascii="宋体" w:hAnsi="宋体" w:eastAsia="宋体" w:cs="宋体"/>
                <w:bCs/>
                <w:color w:val="auto"/>
                <w:sz w:val="24"/>
                <w:szCs w:val="24"/>
                <w:highlight w:val="none"/>
                <w:lang w:val="en-US" w:eastAsia="zh-CN"/>
              </w:rPr>
              <w:t>培训</w:t>
            </w:r>
            <w:r>
              <w:rPr>
                <w:rFonts w:hint="eastAsia" w:ascii="宋体" w:hAnsi="宋体" w:eastAsia="宋体" w:cs="宋体"/>
                <w:bCs/>
                <w:color w:val="auto"/>
                <w:sz w:val="24"/>
                <w:szCs w:val="24"/>
                <w:highlight w:val="none"/>
              </w:rPr>
              <w:t>方案，方案科学全面、详细具体、针对性强得5分；方案科学全面、详细具体、针对性较强得4分；方案科学合理、可行得3分；方案基本可行，但不够全面得2分；方案欠缺、不利于实施得1分。</w:t>
            </w:r>
            <w:r>
              <w:rPr>
                <w:rFonts w:hint="eastAsia" w:ascii="宋体" w:hAnsi="宋体" w:eastAsia="宋体" w:cs="宋体"/>
                <w:color w:val="auto"/>
                <w:sz w:val="24"/>
                <w:szCs w:val="24"/>
                <w:highlight w:val="none"/>
                <w:lang w:val="en-US" w:eastAsia="zh-CN"/>
              </w:rPr>
              <w:t>未提供方案不得分。</w:t>
            </w:r>
          </w:p>
        </w:tc>
      </w:tr>
      <w:tr w14:paraId="77F58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4" w:hRule="atLeast"/>
          <w:jc w:val="center"/>
        </w:trPr>
        <w:tc>
          <w:tcPr>
            <w:tcW w:w="1075" w:type="dxa"/>
            <w:noWrap w:val="0"/>
            <w:vAlign w:val="center"/>
          </w:tcPr>
          <w:p w14:paraId="0AC5BE29">
            <w:pPr>
              <w:spacing w:line="5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售后</w:t>
            </w:r>
          </w:p>
          <w:p w14:paraId="4C7A1C0F">
            <w:pPr>
              <w:spacing w:line="5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服务</w:t>
            </w:r>
          </w:p>
        </w:tc>
        <w:tc>
          <w:tcPr>
            <w:tcW w:w="903" w:type="dxa"/>
            <w:noWrap w:val="0"/>
            <w:vAlign w:val="center"/>
          </w:tcPr>
          <w:p w14:paraId="2CCBCEF3">
            <w:pPr>
              <w:spacing w:line="5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10</w:t>
            </w:r>
            <w:r>
              <w:rPr>
                <w:rFonts w:hint="eastAsia" w:ascii="宋体" w:hAnsi="宋体" w:eastAsia="宋体" w:cs="宋体"/>
                <w:color w:val="auto"/>
                <w:sz w:val="24"/>
                <w:szCs w:val="24"/>
                <w:highlight w:val="none"/>
              </w:rPr>
              <w:t>分</w:t>
            </w:r>
          </w:p>
        </w:tc>
        <w:tc>
          <w:tcPr>
            <w:tcW w:w="8109" w:type="dxa"/>
            <w:noWrap w:val="0"/>
            <w:vAlign w:val="top"/>
          </w:tcPr>
          <w:p w14:paraId="356E75A6">
            <w:pPr>
              <w:spacing w:line="460" w:lineRule="exact"/>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具有完善的售后服务保障体系，售后服务制度健全、质保期内的响应时间以及备品、备件供应计划（方案还应当包含不能完全履行售后服务时愿意接受相关处罚的承诺）</w:t>
            </w:r>
          </w:p>
          <w:p w14:paraId="01383F9F">
            <w:pPr>
              <w:spacing w:line="460" w:lineRule="exact"/>
              <w:rPr>
                <w:rFonts w:hint="eastAsia" w:ascii="宋体" w:hAnsi="宋体" w:eastAsia="宋体" w:cs="宋体"/>
                <w:bCs/>
                <w:color w:val="auto"/>
                <w:sz w:val="24"/>
                <w:szCs w:val="24"/>
                <w:highlight w:val="none"/>
              </w:rPr>
            </w:pPr>
            <w:r>
              <w:rPr>
                <w:rFonts w:hint="eastAsia" w:ascii="宋体" w:hAnsi="宋体" w:eastAsia="宋体" w:cs="宋体"/>
                <w:color w:val="auto"/>
                <w:sz w:val="24"/>
                <w:szCs w:val="24"/>
                <w:highlight w:val="none"/>
              </w:rPr>
              <w:t>提供具体详细的</w:t>
            </w:r>
            <w:r>
              <w:rPr>
                <w:rFonts w:hint="eastAsia" w:ascii="宋体" w:hAnsi="宋体" w:eastAsia="宋体" w:cs="宋体"/>
                <w:color w:val="auto"/>
                <w:sz w:val="24"/>
                <w:szCs w:val="24"/>
                <w:highlight w:val="none"/>
                <w:lang w:val="en-US" w:eastAsia="zh-CN"/>
              </w:rPr>
              <w:t>售后服务</w:t>
            </w:r>
            <w:r>
              <w:rPr>
                <w:rFonts w:hint="eastAsia" w:ascii="宋体" w:hAnsi="宋体" w:eastAsia="宋体" w:cs="宋体"/>
                <w:color w:val="auto"/>
                <w:sz w:val="24"/>
                <w:szCs w:val="24"/>
                <w:highlight w:val="none"/>
              </w:rPr>
              <w:t>实施方案，方案总体思路清晰，实施方法及工作安排</w:t>
            </w:r>
            <w:r>
              <w:rPr>
                <w:rFonts w:hint="eastAsia" w:ascii="宋体" w:hAnsi="宋体" w:eastAsia="宋体" w:cs="宋体"/>
                <w:color w:val="auto"/>
                <w:sz w:val="24"/>
                <w:szCs w:val="24"/>
                <w:highlight w:val="none"/>
                <w:lang w:val="en-US" w:eastAsia="zh-CN"/>
              </w:rPr>
              <w:t>完全</w:t>
            </w:r>
            <w:r>
              <w:rPr>
                <w:rFonts w:hint="eastAsia" w:ascii="宋体" w:hAnsi="宋体" w:eastAsia="宋体" w:cs="宋体"/>
                <w:color w:val="auto"/>
                <w:sz w:val="24"/>
                <w:szCs w:val="24"/>
                <w:highlight w:val="none"/>
              </w:rPr>
              <w:t>合理，涵盖内容</w:t>
            </w:r>
            <w:r>
              <w:rPr>
                <w:rFonts w:hint="eastAsia" w:ascii="宋体" w:hAnsi="宋体" w:eastAsia="宋体" w:cs="宋体"/>
                <w:color w:val="auto"/>
                <w:sz w:val="24"/>
                <w:szCs w:val="24"/>
                <w:highlight w:val="none"/>
                <w:lang w:val="en-US" w:eastAsia="zh-CN"/>
              </w:rPr>
              <w:t>具体</w:t>
            </w:r>
            <w:r>
              <w:rPr>
                <w:rFonts w:hint="eastAsia" w:ascii="宋体" w:hAnsi="宋体" w:eastAsia="宋体" w:cs="宋体"/>
                <w:color w:val="auto"/>
                <w:sz w:val="24"/>
                <w:szCs w:val="24"/>
                <w:highlight w:val="none"/>
              </w:rPr>
              <w:t>全面，针对性操作性强得</w:t>
            </w:r>
            <w:r>
              <w:rPr>
                <w:rFonts w:hint="eastAsia" w:ascii="宋体" w:hAnsi="宋体" w:eastAsia="宋体" w:cs="宋体"/>
                <w:color w:val="auto"/>
                <w:sz w:val="24"/>
                <w:szCs w:val="24"/>
                <w:highlight w:val="none"/>
                <w:lang w:val="en-US" w:eastAsia="zh-CN"/>
              </w:rPr>
              <w:t>10</w:t>
            </w:r>
            <w:r>
              <w:rPr>
                <w:rFonts w:hint="eastAsia" w:ascii="宋体" w:hAnsi="宋体" w:eastAsia="宋体" w:cs="宋体"/>
                <w:color w:val="auto"/>
                <w:sz w:val="24"/>
                <w:szCs w:val="24"/>
                <w:highlight w:val="none"/>
              </w:rPr>
              <w:t>分；</w:t>
            </w:r>
            <w:r>
              <w:rPr>
                <w:rFonts w:hint="eastAsia" w:ascii="宋体" w:hAnsi="宋体" w:eastAsia="宋体" w:cs="宋体"/>
                <w:color w:val="auto"/>
                <w:sz w:val="24"/>
                <w:szCs w:val="24"/>
                <w:highlight w:val="none"/>
              </w:rPr>
              <w:t>提供具体详细的实施方案，方案总体思路清晰，实施方法及</w:t>
            </w:r>
            <w:r>
              <w:rPr>
                <w:rFonts w:hint="eastAsia" w:ascii="宋体" w:hAnsi="宋体" w:eastAsia="宋体" w:cs="宋体"/>
                <w:color w:val="auto"/>
                <w:sz w:val="24"/>
                <w:szCs w:val="24"/>
                <w:highlight w:val="none"/>
                <w:lang w:val="en-US" w:eastAsia="zh-CN"/>
              </w:rPr>
              <w:t>售后服务</w:t>
            </w:r>
            <w:r>
              <w:rPr>
                <w:rFonts w:hint="eastAsia" w:ascii="宋体" w:hAnsi="宋体" w:eastAsia="宋体" w:cs="宋体"/>
                <w:color w:val="auto"/>
                <w:sz w:val="24"/>
                <w:szCs w:val="24"/>
                <w:highlight w:val="none"/>
              </w:rPr>
              <w:t>工作安排合理，涵盖内容全面，针对性操作性</w:t>
            </w:r>
            <w:r>
              <w:rPr>
                <w:rFonts w:hint="eastAsia" w:ascii="宋体" w:hAnsi="宋体" w:eastAsia="宋体" w:cs="宋体"/>
                <w:color w:val="auto"/>
                <w:sz w:val="24"/>
                <w:szCs w:val="24"/>
                <w:highlight w:val="none"/>
                <w:lang w:val="en-US" w:eastAsia="zh-CN"/>
              </w:rPr>
              <w:t>较强</w:t>
            </w:r>
            <w:r>
              <w:rPr>
                <w:rFonts w:hint="eastAsia" w:ascii="宋体" w:hAnsi="宋体" w:eastAsia="宋体" w:cs="宋体"/>
                <w:color w:val="auto"/>
                <w:sz w:val="24"/>
                <w:szCs w:val="24"/>
                <w:highlight w:val="none"/>
              </w:rPr>
              <w:t>得</w:t>
            </w: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rPr>
              <w:t xml:space="preserve">分 </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提供具体详细的实施方案，方案总体思路</w:t>
            </w:r>
            <w:r>
              <w:rPr>
                <w:rFonts w:hint="eastAsia" w:ascii="宋体" w:hAnsi="宋体" w:eastAsia="宋体" w:cs="宋体"/>
                <w:color w:val="auto"/>
                <w:sz w:val="24"/>
                <w:szCs w:val="24"/>
                <w:highlight w:val="none"/>
                <w:lang w:val="en-US" w:eastAsia="zh-CN"/>
              </w:rPr>
              <w:t>较</w:t>
            </w:r>
            <w:r>
              <w:rPr>
                <w:rFonts w:hint="eastAsia" w:ascii="宋体" w:hAnsi="宋体" w:eastAsia="宋体" w:cs="宋体"/>
                <w:color w:val="auto"/>
                <w:sz w:val="24"/>
                <w:szCs w:val="24"/>
                <w:highlight w:val="none"/>
              </w:rPr>
              <w:t>清晰，实施方法及</w:t>
            </w:r>
            <w:r>
              <w:rPr>
                <w:rFonts w:hint="eastAsia" w:ascii="宋体" w:hAnsi="宋体" w:eastAsia="宋体" w:cs="宋体"/>
                <w:color w:val="auto"/>
                <w:sz w:val="24"/>
                <w:szCs w:val="24"/>
                <w:highlight w:val="none"/>
                <w:lang w:val="en-US" w:eastAsia="zh-CN"/>
              </w:rPr>
              <w:t>售后服务</w:t>
            </w:r>
            <w:r>
              <w:rPr>
                <w:rFonts w:hint="eastAsia" w:ascii="宋体" w:hAnsi="宋体" w:eastAsia="宋体" w:cs="宋体"/>
                <w:color w:val="auto"/>
                <w:sz w:val="24"/>
                <w:szCs w:val="24"/>
                <w:highlight w:val="none"/>
              </w:rPr>
              <w:t>工作安排</w:t>
            </w:r>
            <w:r>
              <w:rPr>
                <w:rFonts w:hint="eastAsia" w:ascii="宋体" w:hAnsi="宋体" w:eastAsia="宋体" w:cs="宋体"/>
                <w:color w:val="auto"/>
                <w:sz w:val="24"/>
                <w:szCs w:val="24"/>
                <w:highlight w:val="none"/>
                <w:lang w:val="en-US" w:eastAsia="zh-CN"/>
              </w:rPr>
              <w:t>较</w:t>
            </w:r>
            <w:r>
              <w:rPr>
                <w:rFonts w:hint="eastAsia" w:ascii="宋体" w:hAnsi="宋体" w:eastAsia="宋体" w:cs="宋体"/>
                <w:color w:val="auto"/>
                <w:sz w:val="24"/>
                <w:szCs w:val="24"/>
                <w:highlight w:val="none"/>
              </w:rPr>
              <w:t>合理，涵盖内容</w:t>
            </w:r>
            <w:r>
              <w:rPr>
                <w:rFonts w:hint="eastAsia" w:ascii="宋体" w:hAnsi="宋体" w:eastAsia="宋体" w:cs="宋体"/>
                <w:color w:val="auto"/>
                <w:sz w:val="24"/>
                <w:szCs w:val="24"/>
                <w:highlight w:val="none"/>
                <w:lang w:val="en-US" w:eastAsia="zh-CN"/>
              </w:rPr>
              <w:t>较</w:t>
            </w:r>
            <w:r>
              <w:rPr>
                <w:rFonts w:hint="eastAsia" w:ascii="宋体" w:hAnsi="宋体" w:eastAsia="宋体" w:cs="宋体"/>
                <w:color w:val="auto"/>
                <w:sz w:val="24"/>
                <w:szCs w:val="24"/>
                <w:highlight w:val="none"/>
              </w:rPr>
              <w:t>全面，</w:t>
            </w:r>
            <w:r>
              <w:rPr>
                <w:rFonts w:hint="eastAsia" w:ascii="宋体" w:hAnsi="宋体" w:eastAsia="宋体" w:cs="宋体"/>
                <w:color w:val="auto"/>
                <w:sz w:val="24"/>
                <w:szCs w:val="24"/>
                <w:highlight w:val="none"/>
                <w:lang w:val="en-US" w:eastAsia="zh-CN"/>
              </w:rPr>
              <w:t>有</w:t>
            </w:r>
            <w:r>
              <w:rPr>
                <w:rFonts w:hint="eastAsia" w:ascii="宋体" w:hAnsi="宋体" w:eastAsia="宋体" w:cs="宋体"/>
                <w:color w:val="auto"/>
                <w:sz w:val="24"/>
                <w:szCs w:val="24"/>
                <w:highlight w:val="none"/>
              </w:rPr>
              <w:t>针对性操作性得</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分</w:t>
            </w:r>
            <w:r>
              <w:rPr>
                <w:rFonts w:hint="eastAsia" w:ascii="宋体" w:hAnsi="宋体" w:eastAsia="宋体" w:cs="宋体"/>
                <w:color w:val="auto"/>
                <w:sz w:val="24"/>
                <w:szCs w:val="24"/>
                <w:highlight w:val="none"/>
              </w:rPr>
              <w:t>； 提供较为具体的实施方案，方案总体思路较清晰，实施方法及</w:t>
            </w:r>
            <w:r>
              <w:rPr>
                <w:rFonts w:hint="eastAsia" w:ascii="宋体" w:hAnsi="宋体" w:eastAsia="宋体" w:cs="宋体"/>
                <w:color w:val="auto"/>
                <w:sz w:val="24"/>
                <w:szCs w:val="24"/>
                <w:highlight w:val="none"/>
                <w:lang w:val="en-US" w:eastAsia="zh-CN"/>
              </w:rPr>
              <w:t>售后服务</w:t>
            </w:r>
            <w:r>
              <w:rPr>
                <w:rFonts w:hint="eastAsia" w:ascii="宋体" w:hAnsi="宋体" w:eastAsia="宋体" w:cs="宋体"/>
                <w:color w:val="auto"/>
                <w:sz w:val="24"/>
                <w:szCs w:val="24"/>
                <w:highlight w:val="none"/>
              </w:rPr>
              <w:t>工作安排较合理，涵盖内容较全面，针对性</w:t>
            </w:r>
            <w:r>
              <w:rPr>
                <w:rFonts w:hint="eastAsia" w:ascii="宋体" w:hAnsi="宋体" w:eastAsia="宋体" w:cs="宋体"/>
                <w:color w:val="auto"/>
                <w:sz w:val="24"/>
                <w:szCs w:val="24"/>
                <w:highlight w:val="none"/>
                <w:lang w:val="en-US" w:eastAsia="zh-CN"/>
              </w:rPr>
              <w:t>一般</w:t>
            </w:r>
            <w:r>
              <w:rPr>
                <w:rFonts w:hint="eastAsia" w:ascii="宋体" w:hAnsi="宋体" w:eastAsia="宋体" w:cs="宋体"/>
                <w:color w:val="auto"/>
                <w:sz w:val="24"/>
                <w:szCs w:val="24"/>
                <w:highlight w:val="none"/>
              </w:rPr>
              <w:t>得</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分； 提供实施方案涵盖内容不全面，无法保证项目</w:t>
            </w:r>
            <w:r>
              <w:rPr>
                <w:rFonts w:hint="eastAsia" w:ascii="宋体" w:hAnsi="宋体" w:eastAsia="宋体" w:cs="宋体"/>
                <w:color w:val="auto"/>
                <w:sz w:val="24"/>
                <w:szCs w:val="24"/>
                <w:highlight w:val="none"/>
                <w:lang w:val="en-US" w:eastAsia="zh-CN"/>
              </w:rPr>
              <w:t>后期</w:t>
            </w:r>
            <w:r>
              <w:rPr>
                <w:rFonts w:hint="eastAsia" w:ascii="宋体" w:hAnsi="宋体" w:eastAsia="宋体" w:cs="宋体"/>
                <w:color w:val="auto"/>
                <w:sz w:val="24"/>
                <w:szCs w:val="24"/>
                <w:highlight w:val="none"/>
              </w:rPr>
              <w:t>质量得2分； 方案内容简单笼统，实施难度大的得1分。</w:t>
            </w:r>
            <w:r>
              <w:rPr>
                <w:rFonts w:hint="eastAsia" w:ascii="宋体" w:hAnsi="宋体" w:eastAsia="宋体" w:cs="宋体"/>
                <w:color w:val="auto"/>
                <w:sz w:val="24"/>
                <w:szCs w:val="24"/>
                <w:highlight w:val="none"/>
                <w:lang w:val="en-US" w:eastAsia="zh-CN"/>
              </w:rPr>
              <w:t xml:space="preserve"> 未提供方案不得分。</w:t>
            </w:r>
          </w:p>
        </w:tc>
      </w:tr>
      <w:tr w14:paraId="75141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jc w:val="center"/>
        </w:trPr>
        <w:tc>
          <w:tcPr>
            <w:tcW w:w="1075" w:type="dxa"/>
            <w:noWrap w:val="0"/>
            <w:vAlign w:val="center"/>
          </w:tcPr>
          <w:p w14:paraId="337F953D">
            <w:pPr>
              <w:spacing w:line="5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节能环保产品</w:t>
            </w:r>
          </w:p>
        </w:tc>
        <w:tc>
          <w:tcPr>
            <w:tcW w:w="903" w:type="dxa"/>
            <w:noWrap w:val="0"/>
            <w:vAlign w:val="center"/>
          </w:tcPr>
          <w:p w14:paraId="0986010D">
            <w:pPr>
              <w:spacing w:line="5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分</w:t>
            </w:r>
          </w:p>
        </w:tc>
        <w:tc>
          <w:tcPr>
            <w:tcW w:w="8109" w:type="dxa"/>
            <w:noWrap w:val="0"/>
            <w:vAlign w:val="center"/>
          </w:tcPr>
          <w:p w14:paraId="1C051201">
            <w:pPr>
              <w:spacing w:line="46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提供产品为节能产品或环境标志产品，并提供相关材料的（详见说明</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），每提供一项得0.5分，本项最高得</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分。</w:t>
            </w:r>
            <w:r>
              <w:rPr>
                <w:rFonts w:hint="eastAsia" w:ascii="宋体" w:hAnsi="宋体" w:eastAsia="宋体" w:cs="宋体"/>
                <w:bCs/>
                <w:color w:val="auto"/>
                <w:sz w:val="24"/>
                <w:szCs w:val="24"/>
                <w:highlight w:val="none"/>
                <w:lang w:eastAsia="zh-CN"/>
              </w:rPr>
              <w:t>未提供不计分。</w:t>
            </w:r>
          </w:p>
        </w:tc>
      </w:tr>
    </w:tbl>
    <w:p w14:paraId="20387E1F">
      <w:pPr>
        <w:keepNext w:val="0"/>
        <w:keepLines w:val="0"/>
        <w:pageBreakBefore w:val="0"/>
        <w:widowControl/>
        <w:tabs>
          <w:tab w:val="left" w:pos="1620"/>
        </w:tabs>
        <w:kinsoku/>
        <w:wordWrap/>
        <w:overflowPunct/>
        <w:topLinePunct w:val="0"/>
        <w:autoSpaceDE/>
        <w:autoSpaceDN/>
        <w:bidi w:val="0"/>
        <w:adjustRightInd/>
        <w:snapToGrid/>
        <w:spacing w:line="288" w:lineRule="auto"/>
        <w:ind w:right="-225" w:rightChars="-94" w:firstLine="480" w:firstLineChars="200"/>
        <w:jc w:val="left"/>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说明</w:t>
      </w:r>
      <w:r>
        <w:rPr>
          <w:rFonts w:hint="eastAsia" w:ascii="宋体" w:hAnsi="宋体" w:eastAsia="宋体" w:cs="宋体"/>
          <w:b/>
          <w:bCs/>
          <w:color w:val="auto"/>
          <w:sz w:val="24"/>
          <w:szCs w:val="24"/>
          <w:highlight w:val="none"/>
          <w:lang w:val="en-US" w:eastAsia="zh-CN"/>
        </w:rPr>
        <w:t>1</w:t>
      </w:r>
      <w:r>
        <w:rPr>
          <w:rFonts w:hint="eastAsia" w:ascii="宋体" w:hAnsi="宋体" w:eastAsia="宋体" w:cs="宋体"/>
          <w:b/>
          <w:bCs/>
          <w:color w:val="auto"/>
          <w:sz w:val="24"/>
          <w:szCs w:val="24"/>
          <w:highlight w:val="none"/>
        </w:rPr>
        <w:t>：关于同品牌的说明：</w:t>
      </w:r>
    </w:p>
    <w:p w14:paraId="686942C6">
      <w:pPr>
        <w:keepNext w:val="0"/>
        <w:keepLines w:val="0"/>
        <w:pageBreakBefore w:val="0"/>
        <w:widowControl/>
        <w:tabs>
          <w:tab w:val="left" w:pos="1620"/>
        </w:tabs>
        <w:kinsoku/>
        <w:wordWrap/>
        <w:overflowPunct/>
        <w:topLinePunct w:val="0"/>
        <w:autoSpaceDE/>
        <w:autoSpaceDN/>
        <w:bidi w:val="0"/>
        <w:adjustRightInd/>
        <w:snapToGrid/>
        <w:spacing w:line="288" w:lineRule="auto"/>
        <w:ind w:right="-225" w:rightChars="-94"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kern w:val="2"/>
          <w:sz w:val="24"/>
          <w:szCs w:val="24"/>
          <w:highlight w:val="none"/>
          <w:lang w:eastAsia="zh-CN" w:bidi="ar-SA"/>
        </w:rPr>
        <w:t>若供应商所投核心产品为同一品牌，</w:t>
      </w:r>
      <w:r>
        <w:rPr>
          <w:rFonts w:hint="eastAsia" w:ascii="宋体" w:hAnsi="宋体" w:eastAsia="宋体" w:cs="宋体"/>
          <w:color w:val="auto"/>
          <w:sz w:val="24"/>
          <w:szCs w:val="24"/>
          <w:highlight w:val="none"/>
        </w:rPr>
        <w:t>且通过资格审查、符合性审查的不同供应商参加同一合同项下投标的，按一家供应商计算，评审后得分最高的同品牌供应商获得中标供应商推荐资格；评审得分相同的，由采购人或者采购人委托评标委员会小组按照随机抽取的方式确定一个供应商获得中标供应商推荐资格</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kern w:val="2"/>
          <w:sz w:val="24"/>
          <w:szCs w:val="24"/>
          <w:highlight w:val="none"/>
          <w:lang w:eastAsia="zh-CN" w:bidi="ar-SA"/>
        </w:rPr>
        <w:t>其他同品牌供应商不作为中标候选人。</w:t>
      </w:r>
    </w:p>
    <w:p w14:paraId="12008646">
      <w:pPr>
        <w:keepNext w:val="0"/>
        <w:keepLines w:val="0"/>
        <w:pageBreakBefore w:val="0"/>
        <w:widowControl/>
        <w:tabs>
          <w:tab w:val="left" w:pos="1620"/>
        </w:tabs>
        <w:kinsoku/>
        <w:wordWrap/>
        <w:overflowPunct/>
        <w:topLinePunct w:val="0"/>
        <w:autoSpaceDE/>
        <w:autoSpaceDN/>
        <w:bidi w:val="0"/>
        <w:adjustRightInd/>
        <w:snapToGrid/>
        <w:spacing w:line="288" w:lineRule="auto"/>
        <w:ind w:right="-225" w:rightChars="-94"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非单一产品采购项目中，采购人根据采购项目技术构成、产品价格比重等合理确定核心产品。多家供应商提供的核心产品品牌相同的，按上述规定处理。</w:t>
      </w:r>
    </w:p>
    <w:p w14:paraId="3687B030">
      <w:pPr>
        <w:keepNext w:val="0"/>
        <w:keepLines w:val="0"/>
        <w:pageBreakBefore w:val="0"/>
        <w:widowControl/>
        <w:tabs>
          <w:tab w:val="left" w:pos="1620"/>
        </w:tabs>
        <w:kinsoku/>
        <w:wordWrap/>
        <w:overflowPunct/>
        <w:topLinePunct w:val="0"/>
        <w:autoSpaceDE/>
        <w:autoSpaceDN/>
        <w:bidi w:val="0"/>
        <w:adjustRightInd/>
        <w:snapToGrid/>
        <w:spacing w:line="288" w:lineRule="auto"/>
        <w:ind w:right="-225" w:rightChars="-94" w:firstLine="480" w:firstLineChars="200"/>
        <w:jc w:val="left"/>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说明</w:t>
      </w:r>
      <w:r>
        <w:rPr>
          <w:rFonts w:hint="eastAsia" w:ascii="宋体" w:hAnsi="宋体" w:eastAsia="宋体" w:cs="宋体"/>
          <w:b/>
          <w:bCs/>
          <w:color w:val="auto"/>
          <w:sz w:val="24"/>
          <w:szCs w:val="24"/>
          <w:highlight w:val="none"/>
          <w:lang w:val="en-US" w:eastAsia="zh-CN"/>
        </w:rPr>
        <w:t>2</w:t>
      </w:r>
      <w:r>
        <w:rPr>
          <w:rFonts w:hint="eastAsia" w:ascii="宋体" w:hAnsi="宋体" w:eastAsia="宋体" w:cs="宋体"/>
          <w:b/>
          <w:bCs/>
          <w:color w:val="auto"/>
          <w:sz w:val="24"/>
          <w:szCs w:val="24"/>
          <w:highlight w:val="none"/>
        </w:rPr>
        <w:t>：关于调整优化节能产品、环境标志产品的说明</w:t>
      </w:r>
    </w:p>
    <w:p w14:paraId="6C3DC05C">
      <w:pPr>
        <w:keepNext w:val="0"/>
        <w:keepLines w:val="0"/>
        <w:pageBreakBefore w:val="0"/>
        <w:widowControl/>
        <w:tabs>
          <w:tab w:val="left" w:pos="1620"/>
        </w:tabs>
        <w:kinsoku/>
        <w:wordWrap/>
        <w:overflowPunct/>
        <w:topLinePunct w:val="0"/>
        <w:autoSpaceDE/>
        <w:autoSpaceDN/>
        <w:bidi w:val="0"/>
        <w:adjustRightInd/>
        <w:snapToGrid/>
        <w:spacing w:line="288" w:lineRule="auto"/>
        <w:ind w:right="-225" w:rightChars="-94"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根据《关于调整优化节能产品、环境标志产品政府采购执行机制的通知》--（财库〔2019〕9号）规定，政府采购属于品目清单中产品时，在技术、服务等指标同等条件下，应当优先采购品目清单所列的产品，执行的相关措施详见“商务和技术评分细则-节能环保产品”：</w:t>
      </w:r>
    </w:p>
    <w:p w14:paraId="2AFF9971">
      <w:pPr>
        <w:keepNext w:val="0"/>
        <w:keepLines w:val="0"/>
        <w:pageBreakBefore w:val="0"/>
        <w:widowControl/>
        <w:tabs>
          <w:tab w:val="left" w:pos="1620"/>
        </w:tabs>
        <w:kinsoku/>
        <w:wordWrap/>
        <w:overflowPunct/>
        <w:topLinePunct w:val="0"/>
        <w:autoSpaceDE/>
        <w:autoSpaceDN/>
        <w:bidi w:val="0"/>
        <w:adjustRightInd/>
        <w:snapToGrid/>
        <w:spacing w:line="288" w:lineRule="auto"/>
        <w:ind w:right="-225" w:rightChars="-94"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color w:val="auto"/>
          <w:sz w:val="24"/>
          <w:szCs w:val="24"/>
          <w:highlight w:val="none"/>
        </w:rPr>
        <w:t>注：1、节能产品、环境标志产品是指政府优先采购和强制采购的产品类别及所依据的相关标准规范的“品目清单”中的有效期内的产品。</w:t>
      </w:r>
    </w:p>
    <w:p w14:paraId="04D12D1D">
      <w:pPr>
        <w:keepNext w:val="0"/>
        <w:keepLines w:val="0"/>
        <w:pageBreakBefore w:val="0"/>
        <w:widowControl/>
        <w:tabs>
          <w:tab w:val="left" w:pos="1620"/>
        </w:tabs>
        <w:kinsoku/>
        <w:wordWrap/>
        <w:overflowPunct/>
        <w:topLinePunct w:val="0"/>
        <w:autoSpaceDE/>
        <w:autoSpaceDN/>
        <w:bidi w:val="0"/>
        <w:adjustRightInd/>
        <w:snapToGrid/>
        <w:spacing w:line="288" w:lineRule="auto"/>
        <w:ind w:right="-225" w:rightChars="-94"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2、在招标时供应商应提供加盖供应商公章的有效证明材料。</w:t>
      </w:r>
    </w:p>
    <w:p w14:paraId="52810471">
      <w:pPr>
        <w:keepNext w:val="0"/>
        <w:keepLines w:val="0"/>
        <w:pageBreakBefore w:val="0"/>
        <w:widowControl/>
        <w:tabs>
          <w:tab w:val="left" w:pos="1620"/>
        </w:tabs>
        <w:kinsoku/>
        <w:wordWrap/>
        <w:overflowPunct/>
        <w:topLinePunct w:val="0"/>
        <w:autoSpaceDE/>
        <w:autoSpaceDN/>
        <w:bidi w:val="0"/>
        <w:adjustRightInd/>
        <w:snapToGrid/>
        <w:spacing w:line="288" w:lineRule="auto"/>
        <w:ind w:right="-225" w:rightChars="-94"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3、如同一产品既属于节能产品清单，又属于环境标志产品清单，不重复加分。</w:t>
      </w:r>
    </w:p>
    <w:p w14:paraId="3DC0DF74">
      <w:pPr>
        <w:keepNext w:val="0"/>
        <w:keepLines w:val="0"/>
        <w:pageBreakBefore w:val="0"/>
        <w:widowControl/>
        <w:tabs>
          <w:tab w:val="left" w:pos="1620"/>
        </w:tabs>
        <w:kinsoku/>
        <w:wordWrap/>
        <w:overflowPunct/>
        <w:topLinePunct w:val="0"/>
        <w:autoSpaceDE/>
        <w:autoSpaceDN/>
        <w:bidi w:val="0"/>
        <w:adjustRightInd/>
        <w:snapToGrid/>
        <w:spacing w:line="288" w:lineRule="auto"/>
        <w:ind w:right="-225" w:rightChars="-94" w:firstLine="480" w:firstLineChars="200"/>
        <w:jc w:val="left"/>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说明</w:t>
      </w:r>
      <w:r>
        <w:rPr>
          <w:rFonts w:hint="eastAsia" w:ascii="宋体" w:hAnsi="宋体" w:eastAsia="宋体" w:cs="宋体"/>
          <w:b/>
          <w:bCs/>
          <w:sz w:val="24"/>
          <w:szCs w:val="24"/>
          <w:highlight w:val="none"/>
          <w:lang w:val="en-US" w:eastAsia="zh-CN"/>
        </w:rPr>
        <w:t>3</w:t>
      </w:r>
      <w:r>
        <w:rPr>
          <w:rFonts w:hint="eastAsia" w:ascii="宋体" w:hAnsi="宋体" w:eastAsia="宋体" w:cs="宋体"/>
          <w:b/>
          <w:bCs/>
          <w:sz w:val="24"/>
          <w:szCs w:val="24"/>
          <w:highlight w:val="none"/>
        </w:rPr>
        <w:t>：关于绿色建材的说明</w:t>
      </w:r>
    </w:p>
    <w:p w14:paraId="00362BAA">
      <w:pPr>
        <w:keepNext w:val="0"/>
        <w:keepLines w:val="0"/>
        <w:pageBreakBefore w:val="0"/>
        <w:widowControl/>
        <w:tabs>
          <w:tab w:val="left" w:pos="1620"/>
        </w:tabs>
        <w:kinsoku/>
        <w:wordWrap/>
        <w:overflowPunct/>
        <w:topLinePunct w:val="0"/>
        <w:autoSpaceDE/>
        <w:autoSpaceDN/>
        <w:bidi w:val="0"/>
        <w:adjustRightInd/>
        <w:snapToGrid/>
        <w:spacing w:line="288" w:lineRule="auto"/>
        <w:ind w:right="-225" w:rightChars="-94"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为落实关于印发《政府采购支持绿色建材促进建筑品质提升政策项目实施指南》的通知（财库〔2023〕52号）及《关于扩大政府采购支持绿色建材促进建筑品质提升政策实施范围的通知》（财库〔2022〕35号），对于供应商使用被纳入《绿色建筑和绿色建材政府采购需求标准》的建材产品或者使用获得绿色建材评价标识、认证、获得环境标志产品认证的绿色建材产品，并提供相关指标的第三方检测或认证机构出具的检测报告、认证证书等证明性文件的，在技术等指标同等条件下，应当优先采购绿色建材产品。</w:t>
      </w:r>
    </w:p>
    <w:p w14:paraId="7574A6EC">
      <w:pPr>
        <w:keepNext w:val="0"/>
        <w:keepLines w:val="0"/>
        <w:pageBreakBefore w:val="0"/>
        <w:widowControl/>
        <w:tabs>
          <w:tab w:val="left" w:pos="1620"/>
        </w:tabs>
        <w:kinsoku/>
        <w:wordWrap/>
        <w:overflowPunct/>
        <w:topLinePunct w:val="0"/>
        <w:autoSpaceDE/>
        <w:autoSpaceDN/>
        <w:bidi w:val="0"/>
        <w:adjustRightInd/>
        <w:snapToGrid/>
        <w:spacing w:line="288" w:lineRule="auto"/>
        <w:ind w:right="-225" w:rightChars="-94"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b/>
          <w:bCs/>
          <w:sz w:val="24"/>
          <w:szCs w:val="24"/>
          <w:highlight w:val="none"/>
        </w:rPr>
        <w:t>说明</w:t>
      </w:r>
      <w:r>
        <w:rPr>
          <w:rFonts w:hint="eastAsia" w:ascii="宋体" w:hAnsi="宋体" w:eastAsia="宋体" w:cs="宋体"/>
          <w:b/>
          <w:bCs/>
          <w:sz w:val="24"/>
          <w:szCs w:val="24"/>
          <w:highlight w:val="none"/>
          <w:lang w:val="en-US" w:eastAsia="zh-CN"/>
        </w:rPr>
        <w:t>4</w:t>
      </w:r>
      <w:r>
        <w:rPr>
          <w:rFonts w:hint="eastAsia" w:ascii="宋体" w:hAnsi="宋体" w:eastAsia="宋体" w:cs="宋体"/>
          <w:b/>
          <w:bCs/>
          <w:sz w:val="24"/>
          <w:szCs w:val="24"/>
          <w:highlight w:val="none"/>
        </w:rPr>
        <w:t>：</w:t>
      </w:r>
      <w:r>
        <w:rPr>
          <w:rFonts w:hint="eastAsia" w:ascii="宋体" w:hAnsi="宋体" w:eastAsia="宋体" w:cs="宋体"/>
          <w:sz w:val="24"/>
          <w:szCs w:val="24"/>
          <w:highlight w:val="none"/>
        </w:rPr>
        <w:t>（1）评委打分超过得分界限或未按本方法赋分时，该评委的打分按废票处理。</w:t>
      </w:r>
    </w:p>
    <w:p w14:paraId="766294EE">
      <w:pPr>
        <w:keepNext w:val="0"/>
        <w:keepLines w:val="0"/>
        <w:pageBreakBefore w:val="0"/>
        <w:widowControl/>
        <w:tabs>
          <w:tab w:val="left" w:pos="1620"/>
        </w:tabs>
        <w:kinsoku/>
        <w:wordWrap/>
        <w:overflowPunct/>
        <w:topLinePunct w:val="0"/>
        <w:autoSpaceDE/>
        <w:autoSpaceDN/>
        <w:bidi w:val="0"/>
        <w:adjustRightInd/>
        <w:snapToGrid/>
        <w:spacing w:line="288" w:lineRule="auto"/>
        <w:ind w:right="-225" w:rightChars="-94"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（2）各种计算数字均保留两位小数，第三位“四舍五入”。</w:t>
      </w:r>
    </w:p>
    <w:p w14:paraId="34081E48">
      <w:pPr>
        <w:keepNext w:val="0"/>
        <w:keepLines w:val="0"/>
        <w:pageBreakBefore w:val="0"/>
        <w:widowControl/>
        <w:tabs>
          <w:tab w:val="left" w:pos="1620"/>
        </w:tabs>
        <w:kinsoku/>
        <w:wordWrap/>
        <w:overflowPunct/>
        <w:topLinePunct w:val="0"/>
        <w:autoSpaceDE/>
        <w:autoSpaceDN/>
        <w:bidi w:val="0"/>
        <w:adjustRightInd/>
        <w:snapToGrid/>
        <w:spacing w:line="288" w:lineRule="auto"/>
        <w:ind w:right="-225" w:rightChars="-94" w:firstLine="480" w:firstLineChars="200"/>
        <w:jc w:val="left"/>
        <w:textAlignment w:val="auto"/>
        <w:rPr>
          <w:rFonts w:hint="eastAsia" w:ascii="宋体" w:hAnsi="宋体" w:eastAsia="宋体" w:cs="宋体"/>
          <w:b/>
          <w:bCs/>
          <w:sz w:val="24"/>
          <w:szCs w:val="24"/>
          <w:highlight w:val="none"/>
        </w:rPr>
      </w:pPr>
      <w:r>
        <w:rPr>
          <w:rFonts w:hint="eastAsia" w:ascii="宋体" w:hAnsi="宋体" w:eastAsia="宋体" w:cs="宋体"/>
          <w:sz w:val="24"/>
          <w:szCs w:val="24"/>
          <w:highlight w:val="none"/>
        </w:rPr>
        <w:t>（3）评标委员会根据以上内容打分，由高到低进行，推荐出中标候选单位。评标委员会依据评审结果写出评审报告，送采购人审定。</w:t>
      </w:r>
    </w:p>
    <w:p w14:paraId="7DD991A7">
      <w:pPr>
        <w:pStyle w:val="95"/>
        <w:keepNext w:val="0"/>
        <w:keepLines w:val="0"/>
        <w:pageBreakBefore w:val="0"/>
        <w:widowControl/>
        <w:kinsoku/>
        <w:wordWrap/>
        <w:overflowPunct/>
        <w:topLinePunct w:val="0"/>
        <w:autoSpaceDE/>
        <w:autoSpaceDN/>
        <w:bidi w:val="0"/>
        <w:adjustRightInd/>
        <w:snapToGrid/>
        <w:textAlignment w:val="auto"/>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4．推荐中标候选人</w:t>
      </w:r>
    </w:p>
    <w:p w14:paraId="7B120131">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（1）采用最低评标价法的，评标结果按投标报价由低到高顺序排列。投标报价相同的并列。投标文件满足招标文件全部实质性要求且投标报价最低的投标人为排名第一的中标候选人。</w:t>
      </w:r>
    </w:p>
    <w:p w14:paraId="5E27980B">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2）采用综合评分法的，评标结果按评审后得分由高到低顺序排列。得分相同的，按投标报价由低到高顺序排列。得分且投标报价相同的并列。投标文件满足招标文件全部实质性要求，且按照评审因素的量化指标评审得分最高的供应商为排名第一的中标候选人。</w:t>
      </w:r>
    </w:p>
    <w:p w14:paraId="7BB7B209">
      <w:pPr>
        <w:pStyle w:val="95"/>
        <w:keepNext w:val="0"/>
        <w:keepLines w:val="0"/>
        <w:pageBreakBefore w:val="0"/>
        <w:widowControl/>
        <w:kinsoku/>
        <w:wordWrap/>
        <w:overflowPunct/>
        <w:topLinePunct w:val="0"/>
        <w:autoSpaceDE/>
        <w:autoSpaceDN/>
        <w:bidi w:val="0"/>
        <w:adjustRightInd/>
        <w:snapToGrid/>
        <w:textAlignment w:val="auto"/>
        <w:outlineLvl w:val="9"/>
        <w:rPr>
          <w:rFonts w:hint="eastAsia" w:ascii="宋体" w:hAnsi="宋体" w:eastAsia="宋体" w:cs="宋体"/>
          <w:b/>
          <w:bCs/>
          <w:sz w:val="24"/>
          <w:szCs w:val="24"/>
          <w:highlight w:val="none"/>
          <w:lang w:eastAsia="zh-CN"/>
        </w:rPr>
      </w:pPr>
      <w:r>
        <w:rPr>
          <w:rFonts w:hint="eastAsia" w:ascii="宋体" w:hAnsi="宋体" w:eastAsia="宋体" w:cs="宋体"/>
          <w:b/>
          <w:bCs/>
          <w:sz w:val="24"/>
          <w:szCs w:val="24"/>
          <w:highlight w:val="none"/>
        </w:rPr>
        <w:t>5．编写</w:t>
      </w:r>
      <w:r>
        <w:rPr>
          <w:rFonts w:hint="eastAsia" w:ascii="宋体" w:hAnsi="宋体" w:eastAsia="宋体" w:cs="宋体"/>
          <w:b/>
          <w:bCs/>
          <w:sz w:val="24"/>
          <w:szCs w:val="24"/>
          <w:highlight w:val="none"/>
          <w:lang w:eastAsia="zh-CN"/>
        </w:rPr>
        <w:t>评标报告</w:t>
      </w:r>
    </w:p>
    <w:p w14:paraId="60CDFF95">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评标报告</w:t>
      </w:r>
      <w:r>
        <w:rPr>
          <w:rFonts w:hint="eastAsia" w:ascii="宋体" w:hAnsi="宋体" w:eastAsia="宋体" w:cs="宋体"/>
          <w:sz w:val="24"/>
          <w:szCs w:val="24"/>
          <w:highlight w:val="none"/>
        </w:rPr>
        <w:t>是评标委员会根据全体评标成员签字的原始评标记录和评标结果编写的报告，其主要内容包括：</w:t>
      </w:r>
    </w:p>
    <w:p w14:paraId="521D88EB">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（1）招标公告刊登的媒体名称、开标日期和地点；</w:t>
      </w:r>
    </w:p>
    <w:p w14:paraId="1F317AE0">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（2）投标供应商名单和评标委员会成员名单；</w:t>
      </w:r>
    </w:p>
    <w:p w14:paraId="41BE1142">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（3）评标方法；</w:t>
      </w:r>
    </w:p>
    <w:p w14:paraId="2EE720A6">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（4）开标记录和评标情况及说明，包括投标无效供应商名单及原因；</w:t>
      </w:r>
    </w:p>
    <w:p w14:paraId="70EF6141">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（5）评标结果，确定的中标候选人名单或者经采购人委托直接确定的中标供应商；</w:t>
      </w:r>
    </w:p>
    <w:p w14:paraId="6619917B">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（6）其他需要说明的情况，包括评标过程中投标供应商根据评标委员会要求进行的澄清、说明或者补正，评标委员会成员的更换等。</w:t>
      </w:r>
    </w:p>
    <w:p w14:paraId="03E92270">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14:paraId="26EF7467">
      <w:pPr>
        <w:pStyle w:val="96"/>
        <w:keepLines w:val="0"/>
        <w:pageBreakBefore w:val="0"/>
        <w:widowControl/>
        <w:kinsoku/>
        <w:wordWrap/>
        <w:overflowPunct/>
        <w:topLinePunct w:val="0"/>
        <w:autoSpaceDE/>
        <w:autoSpaceDN/>
        <w:bidi w:val="0"/>
        <w:adjustRightInd/>
        <w:snapToGrid/>
        <w:spacing w:before="210" w:after="210"/>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（三）评标争议处理规则</w:t>
      </w:r>
    </w:p>
    <w:p w14:paraId="792A8958">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评标委员会在评审过程中，对于符合性审查、对投标文件做无效投标处理及其他需要共同认定的事项存在争议的，应当以少数服从多数的原则做出结论，但不得违背法律法规和招标文件规定。持不同意见的评标委员会成员应当在评标报告上签署不同意见及理由，否则视为同意评标报告。持不同意见的评标委员会成员认为认定过程和结果不符合法律法规或者招标文件规定的，应当及时向采购人或本采购代理机构书面反映。采购人或采购代理机构收到书面反映后，应当书面报告同级政府采购监管部门依法处理。</w:t>
      </w:r>
    </w:p>
    <w:p w14:paraId="3C35193F">
      <w:pPr>
        <w:pStyle w:val="96"/>
        <w:keepLines w:val="0"/>
        <w:pageBreakBefore w:val="0"/>
        <w:widowControl/>
        <w:kinsoku/>
        <w:wordWrap/>
        <w:overflowPunct/>
        <w:topLinePunct w:val="0"/>
        <w:autoSpaceDE/>
        <w:autoSpaceDN/>
        <w:bidi w:val="0"/>
        <w:adjustRightInd/>
        <w:snapToGrid/>
        <w:spacing w:before="210" w:after="210"/>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（四）评审现场人员的保密责任</w:t>
      </w:r>
    </w:p>
    <w:p w14:paraId="1EE7E683">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在采购结果确定前，采购人、采购代理机构对评审委员会名单负有保密责任。评审委员会成员、采购人和集中采购代理机构工作人员、相关监督人员等与评审工作有关的人员，对评审情况以及在评审过程中获悉的国家秘密、商业秘密负有保密责任。</w:t>
      </w:r>
    </w:p>
    <w:p w14:paraId="32675442">
      <w:pPr>
        <w:pStyle w:val="96"/>
        <w:keepLines w:val="0"/>
        <w:pageBreakBefore w:val="0"/>
        <w:widowControl/>
        <w:kinsoku/>
        <w:wordWrap/>
        <w:overflowPunct/>
        <w:topLinePunct w:val="0"/>
        <w:autoSpaceDE/>
        <w:autoSpaceDN/>
        <w:bidi w:val="0"/>
        <w:adjustRightInd/>
        <w:snapToGrid/>
        <w:spacing w:before="210" w:after="210"/>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（五）视同供应商串通投标的情形，其投标无效：</w:t>
      </w:r>
    </w:p>
    <w:p w14:paraId="3B1D5BA8">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1．不同供应商的投标文件由同一单位或者个人编制；</w:t>
      </w:r>
    </w:p>
    <w:p w14:paraId="05EE74BB">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2．不同供应商委托同一单位或者个人办理投标事宜；</w:t>
      </w:r>
    </w:p>
    <w:p w14:paraId="77A3E085">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3．不同供应商的投标文件载明的项目管理成员或者联系人员为同一人；</w:t>
      </w:r>
    </w:p>
    <w:p w14:paraId="569BA65C">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4．不同供应商的投标文件异常一致或者投标报价呈规律性差异。</w:t>
      </w:r>
    </w:p>
    <w:p w14:paraId="32BCAE21">
      <w:pPr>
        <w:keepLines w:val="0"/>
        <w:pageBreakBefore w:val="0"/>
        <w:widowControl/>
        <w:kinsoku/>
        <w:wordWrap/>
        <w:overflowPunct/>
        <w:topLinePunct w:val="0"/>
        <w:autoSpaceDE/>
        <w:autoSpaceDN/>
        <w:bidi w:val="0"/>
        <w:adjustRightInd/>
        <w:snapToGrid/>
        <w:textAlignment w:val="auto"/>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八、中标</w:t>
      </w:r>
    </w:p>
    <w:p w14:paraId="702E750E">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1．采购代理机构在评标工作结束后2个工作日内将</w:t>
      </w:r>
      <w:r>
        <w:rPr>
          <w:rFonts w:hint="eastAsia" w:ascii="宋体" w:hAnsi="宋体" w:eastAsia="宋体" w:cs="宋体"/>
          <w:sz w:val="24"/>
          <w:szCs w:val="24"/>
          <w:highlight w:val="none"/>
          <w:lang w:eastAsia="zh-CN"/>
        </w:rPr>
        <w:t>评标报告</w:t>
      </w:r>
      <w:r>
        <w:rPr>
          <w:rFonts w:hint="eastAsia" w:ascii="宋体" w:hAnsi="宋体" w:eastAsia="宋体" w:cs="宋体"/>
          <w:sz w:val="24"/>
          <w:szCs w:val="24"/>
          <w:highlight w:val="none"/>
        </w:rPr>
        <w:t>送采购人。</w:t>
      </w:r>
    </w:p>
    <w:p w14:paraId="1C4D1930">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采购人应当自收到评标报告之日起５个工作日内，在评标报告确定的中标候选人名单中按顺序确定中标人。中标候选人并列的，由采购人或者采购人委托评标委员会按照招标文件规定的方式确定中标人；招标文件未规定的，采取随机抽取的方式确定。采购人在收到评标报告5个工作日内未按评标报告推荐的中标候选人顺序确定中标人，又不能说明合法理由的，视同按评标报告推荐的顺序确定排名第一的中标候选人为中标人。</w:t>
      </w:r>
    </w:p>
    <w:p w14:paraId="379CC675">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3．采购代理机构将在中标供应商确定之日起2个工作日内，在【</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"http://www.ccgp-shaanxi.gov.cn" </w:instrText>
      </w:r>
      <w:r>
        <w:rPr>
          <w:rFonts w:hint="eastAsia" w:ascii="宋体" w:hAnsi="宋体" w:eastAsia="宋体" w:cs="宋体"/>
          <w:sz w:val="24"/>
          <w:szCs w:val="24"/>
          <w:highlight w:val="none"/>
        </w:rPr>
        <w:fldChar w:fldCharType="separate"/>
      </w:r>
      <w:r>
        <w:rPr>
          <w:rStyle w:val="35"/>
          <w:rFonts w:hint="eastAsia" w:ascii="宋体" w:hAnsi="宋体" w:eastAsia="宋体" w:cs="宋体"/>
          <w:color w:val="auto"/>
          <w:sz w:val="24"/>
          <w:szCs w:val="24"/>
          <w:highlight w:val="none"/>
          <w:u w:val="none"/>
        </w:rPr>
        <w:t>陕西省政府采购网</w:t>
      </w:r>
      <w:r>
        <w:rPr>
          <w:rStyle w:val="35"/>
          <w:rFonts w:hint="eastAsia" w:ascii="宋体" w:hAnsi="宋体" w:eastAsia="宋体" w:cs="宋体"/>
          <w:color w:val="auto"/>
          <w:sz w:val="24"/>
          <w:szCs w:val="24"/>
          <w:highlight w:val="none"/>
          <w:u w:val="none"/>
        </w:rPr>
        <w:fldChar w:fldCharType="end"/>
      </w:r>
      <w:r>
        <w:rPr>
          <w:rFonts w:hint="eastAsia" w:ascii="宋体" w:hAnsi="宋体" w:eastAsia="宋体" w:cs="宋体"/>
          <w:sz w:val="24"/>
          <w:szCs w:val="24"/>
          <w:highlight w:val="none"/>
        </w:rPr>
        <w:t>】（</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"http://www.ccgp-shaanxi.gov.cn/" </w:instrText>
      </w:r>
      <w:r>
        <w:rPr>
          <w:rFonts w:hint="eastAsia" w:ascii="宋体" w:hAnsi="宋体" w:eastAsia="宋体" w:cs="宋体"/>
          <w:sz w:val="24"/>
          <w:szCs w:val="24"/>
          <w:highlight w:val="none"/>
        </w:rPr>
        <w:fldChar w:fldCharType="separate"/>
      </w:r>
      <w:r>
        <w:rPr>
          <w:rStyle w:val="35"/>
          <w:rFonts w:hint="eastAsia" w:ascii="宋体" w:hAnsi="宋体" w:eastAsia="宋体" w:cs="宋体"/>
          <w:color w:val="auto"/>
          <w:sz w:val="24"/>
          <w:szCs w:val="24"/>
          <w:highlight w:val="none"/>
          <w:u w:val="none"/>
        </w:rPr>
        <w:t>http://www.ccgp-shaanxi.gov.cn/</w:t>
      </w:r>
      <w:r>
        <w:rPr>
          <w:rStyle w:val="35"/>
          <w:rFonts w:hint="eastAsia" w:ascii="宋体" w:hAnsi="宋体" w:eastAsia="宋体" w:cs="宋体"/>
          <w:color w:val="auto"/>
          <w:sz w:val="24"/>
          <w:szCs w:val="24"/>
          <w:highlight w:val="none"/>
          <w:u w:val="none"/>
        </w:rPr>
        <w:fldChar w:fldCharType="end"/>
      </w:r>
      <w:r>
        <w:rPr>
          <w:rFonts w:hint="eastAsia" w:ascii="宋体" w:hAnsi="宋体" w:eastAsia="宋体" w:cs="宋体"/>
          <w:sz w:val="24"/>
          <w:szCs w:val="24"/>
          <w:highlight w:val="none"/>
        </w:rPr>
        <w:t>）上公布中标结果。中标公告期限为1个工作日。</w:t>
      </w:r>
    </w:p>
    <w:p w14:paraId="221B39F9">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4．在公告中标结果的同时，采购代理机构将向中标供应商发出中标通知书，中标供应</w:t>
      </w:r>
      <w:r>
        <w:rPr>
          <w:rFonts w:hint="eastAsia" w:ascii="宋体" w:hAnsi="宋体" w:eastAsia="宋体" w:cs="宋体"/>
          <w:color w:val="auto"/>
          <w:sz w:val="24"/>
          <w:szCs w:val="24"/>
          <w:highlight w:val="none"/>
        </w:rPr>
        <w:t>商在领取中标通知书时提供一正两副纸质投标文件</w:t>
      </w:r>
      <w:r>
        <w:rPr>
          <w:rFonts w:hint="eastAsia" w:ascii="宋体" w:hAnsi="宋体" w:eastAsia="宋体" w:cs="宋体"/>
          <w:color w:val="auto"/>
          <w:sz w:val="24"/>
          <w:szCs w:val="24"/>
          <w:highlight w:val="none"/>
          <w:lang w:eastAsia="zh-CN"/>
        </w:rPr>
        <w:t>及电子版一份</w:t>
      </w:r>
      <w:r>
        <w:rPr>
          <w:rFonts w:hint="eastAsia" w:ascii="宋体" w:hAnsi="宋体" w:eastAsia="宋体" w:cs="宋体"/>
          <w:color w:val="auto"/>
          <w:sz w:val="24"/>
          <w:szCs w:val="24"/>
          <w:highlight w:val="none"/>
        </w:rPr>
        <w:t>用于备案。</w:t>
      </w:r>
    </w:p>
    <w:p w14:paraId="120BA23F">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5．采用综合评分法评审的，供应商可登录【全国公共资源交易中心（陕西省·西安市）】网站〖首页·〉电子交易平台·〉企业端〗，登录后切换到〖我的项目〗模块，依次点选〖项目流程·〉项目管理·〉评标结果查看〗，查看本单位的最终得分与排序。</w:t>
      </w:r>
    </w:p>
    <w:p w14:paraId="3F0D662F">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6．采购代理机构按照相关规定将</w:t>
      </w:r>
      <w:r>
        <w:rPr>
          <w:rFonts w:hint="eastAsia" w:ascii="宋体" w:hAnsi="宋体" w:eastAsia="宋体" w:cs="宋体"/>
          <w:sz w:val="24"/>
          <w:szCs w:val="24"/>
          <w:highlight w:val="none"/>
          <w:lang w:eastAsia="zh-CN"/>
        </w:rPr>
        <w:t>评标报告</w:t>
      </w:r>
      <w:r>
        <w:rPr>
          <w:rFonts w:hint="eastAsia" w:ascii="宋体" w:hAnsi="宋体" w:eastAsia="宋体" w:cs="宋体"/>
          <w:sz w:val="24"/>
          <w:szCs w:val="24"/>
          <w:highlight w:val="none"/>
        </w:rPr>
        <w:t>送监管机构备案。</w:t>
      </w:r>
    </w:p>
    <w:p w14:paraId="40D74CF6">
      <w:pPr>
        <w:keepLines w:val="0"/>
        <w:pageBreakBefore w:val="0"/>
        <w:widowControl/>
        <w:kinsoku/>
        <w:wordWrap/>
        <w:overflowPunct/>
        <w:topLinePunct w:val="0"/>
        <w:autoSpaceDE/>
        <w:autoSpaceDN/>
        <w:bidi w:val="0"/>
        <w:adjustRightInd/>
        <w:snapToGrid/>
        <w:textAlignment w:val="auto"/>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九、合同签订、履行及验收</w:t>
      </w:r>
    </w:p>
    <w:p w14:paraId="3DD44136">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招标文件、投标文件、澄清、补充合同等为政府采购合同的组成部分，具有同等法律效力。</w:t>
      </w:r>
    </w:p>
    <w:p w14:paraId="58F89B95">
      <w:pPr>
        <w:pStyle w:val="96"/>
        <w:keepLines w:val="0"/>
        <w:pageBreakBefore w:val="0"/>
        <w:widowControl/>
        <w:kinsoku/>
        <w:wordWrap/>
        <w:overflowPunct/>
        <w:topLinePunct w:val="0"/>
        <w:autoSpaceDE/>
        <w:autoSpaceDN/>
        <w:bidi w:val="0"/>
        <w:adjustRightInd/>
        <w:snapToGrid/>
        <w:spacing w:before="210" w:after="210"/>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（一）签订政府采购合同</w:t>
      </w:r>
    </w:p>
    <w:p w14:paraId="288D2633">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1．自中标通知书发出之日起</w:t>
      </w:r>
      <w:r>
        <w:rPr>
          <w:rFonts w:hint="eastAsia" w:ascii="宋体" w:hAnsi="宋体" w:eastAsia="宋体" w:cs="宋体"/>
          <w:sz w:val="24"/>
          <w:szCs w:val="24"/>
          <w:highlight w:val="none"/>
          <w:lang w:val="en-US" w:eastAsia="zh-CN"/>
        </w:rPr>
        <w:t>30</w:t>
      </w:r>
      <w:r>
        <w:rPr>
          <w:rFonts w:hint="eastAsia" w:ascii="宋体" w:hAnsi="宋体" w:eastAsia="宋体" w:cs="宋体"/>
          <w:sz w:val="24"/>
          <w:szCs w:val="24"/>
          <w:highlight w:val="none"/>
        </w:rPr>
        <w:t>日内，采购人与中标供应商应按招标文件和中标供应商投标文件的约定，签订书面合同。</w:t>
      </w:r>
    </w:p>
    <w:p w14:paraId="4F36ACBB">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2．中标供应商拒绝与采购人签订合同的，采购人可以按照《政府采购法实施条例》第四十九条规定，确定下一候选人为中标供应商，也可以重新开展政府采购活动。</w:t>
      </w:r>
    </w:p>
    <w:p w14:paraId="78E8AA7C">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3．采购人不得向中标供应商提出任何不合理的要求，作为签订合同的条件，不得与中标供应商私下订立背离合同实质性内容的任何协议，所签订的合同不得对招标文件和中标供应商投标文件作实质性修改。</w:t>
      </w:r>
    </w:p>
    <w:p w14:paraId="21CA10C8">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4．质疑或者投诉事项可能影响中标、成交结果的，采购人应当暂停签订合同，已经签订合同的，应当中止履行合同。</w:t>
      </w:r>
    </w:p>
    <w:p w14:paraId="18B621FD">
      <w:pPr>
        <w:pStyle w:val="96"/>
        <w:keepLines w:val="0"/>
        <w:pageBreakBefore w:val="0"/>
        <w:widowControl/>
        <w:kinsoku/>
        <w:wordWrap/>
        <w:overflowPunct/>
        <w:topLinePunct w:val="0"/>
        <w:autoSpaceDE/>
        <w:autoSpaceDN/>
        <w:bidi w:val="0"/>
        <w:adjustRightInd/>
        <w:snapToGrid/>
        <w:spacing w:before="210" w:after="210"/>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（二）合同公告及备案</w:t>
      </w:r>
    </w:p>
    <w:p w14:paraId="3F37C794">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1．采购人应当自政府采购合同签订之日起2个工作日内，在陕西省政府采购网对合同进行公示，但政府采购合同中涉及国家秘密、商业秘密的内容除外。</w:t>
      </w:r>
    </w:p>
    <w:p w14:paraId="28FC6A25">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2．采购人应自合同签订之日起7个工作日内将政府采购合同报送监管机构备案。</w:t>
      </w:r>
    </w:p>
    <w:p w14:paraId="1AFF1465">
      <w:pPr>
        <w:pStyle w:val="96"/>
        <w:keepLines w:val="0"/>
        <w:pageBreakBefore w:val="0"/>
        <w:widowControl/>
        <w:kinsoku/>
        <w:wordWrap/>
        <w:overflowPunct/>
        <w:topLinePunct w:val="0"/>
        <w:autoSpaceDE/>
        <w:autoSpaceDN/>
        <w:bidi w:val="0"/>
        <w:adjustRightInd/>
        <w:snapToGrid/>
        <w:spacing w:before="210" w:after="210"/>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（三）履行合同</w:t>
      </w:r>
    </w:p>
    <w:p w14:paraId="36BFDFEE">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1．合同一经签订，双方应严格履行合同规定的义务。</w:t>
      </w:r>
    </w:p>
    <w:p w14:paraId="733BE22A">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2．在合同履行过程中，如发生合同纠纷，合同双方应按照《中华人民共和国民法典》及合同条款的有关规定进行处理。</w:t>
      </w:r>
    </w:p>
    <w:p w14:paraId="65C73BE7">
      <w:pPr>
        <w:pStyle w:val="96"/>
        <w:keepLines w:val="0"/>
        <w:pageBreakBefore w:val="0"/>
        <w:widowControl/>
        <w:kinsoku/>
        <w:wordWrap/>
        <w:overflowPunct/>
        <w:topLinePunct w:val="0"/>
        <w:autoSpaceDE/>
        <w:autoSpaceDN/>
        <w:bidi w:val="0"/>
        <w:adjustRightInd/>
        <w:snapToGrid/>
        <w:spacing w:before="210" w:after="210"/>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（四）验收或考核</w:t>
      </w:r>
    </w:p>
    <w:p w14:paraId="18A76807">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1．采购人严格按照国家相关法律法规的要求及招标文件的要求组织验收或考核。</w:t>
      </w:r>
    </w:p>
    <w:p w14:paraId="30A11D6E">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2．采购人按《关于促进政府采购公平竞争优化营商环境的通知》（财库〔2019〕38号）、《保障中小企业款项支付条例》（国务院令第728号）等规定及采购合同的约定进行支付合同款项。</w:t>
      </w:r>
    </w:p>
    <w:p w14:paraId="5FF26C4E">
      <w:pPr>
        <w:keepLines w:val="0"/>
        <w:pageBreakBefore w:val="0"/>
        <w:widowControl/>
        <w:kinsoku/>
        <w:wordWrap/>
        <w:overflowPunct/>
        <w:topLinePunct w:val="0"/>
        <w:autoSpaceDE/>
        <w:autoSpaceDN/>
        <w:bidi w:val="0"/>
        <w:adjustRightInd/>
        <w:snapToGrid/>
        <w:textAlignment w:val="auto"/>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十、废标及重新招标</w:t>
      </w:r>
    </w:p>
    <w:p w14:paraId="15CB5E9A">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评标委员会发现招标文件存在歧义、重大缺陷导致评标工作无法进行，或者招标文件内容违反国家有关强制性规定的，应当停止评标工作，与采购人或者采购代理机构沟通并作书面记录。采购人或者采购代理机构确认后，应当修改招标文件，重新组织采购活动。</w:t>
      </w:r>
    </w:p>
    <w:p w14:paraId="3F0DDB2A">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2．根据《政府采购法》第三十六条规定，在招标采购中，出现下列情形之一的，本项目按废标处理：</w:t>
      </w:r>
    </w:p>
    <w:p w14:paraId="637B86B3">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（1）出现影响采购公正的违法、违规行为的；</w:t>
      </w:r>
    </w:p>
    <w:p w14:paraId="22D21059">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（2）供应商的报价均超过了采购预算，采购人不能支付的；</w:t>
      </w:r>
    </w:p>
    <w:p w14:paraId="00B0ABC2">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（3）因重大变故，采购任务取消的。</w:t>
      </w:r>
    </w:p>
    <w:p w14:paraId="044C7FA2">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废标后，除采购任务取消外，本项目将重新组织招标。</w:t>
      </w:r>
    </w:p>
    <w:p w14:paraId="010936DF">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在递交投标文件阶段、密封性等形式检查阶段、资格审查阶段或评标委员会评标阶段，当出现有效投标供应商不足3家时，本项目将依据西安市财政局《关于进一步规范市级预算单位变更政府采购方式审批管理的通知》（市财发〔2017〕186号）的有关规定，按政府采购监管部门事前批准的采购方式继续进行。</w:t>
      </w:r>
    </w:p>
    <w:p w14:paraId="36ABEE73">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4．招标文件未明确的其他事项，按《政府采购法》及其相关法律法规执行。</w:t>
      </w:r>
    </w:p>
    <w:p w14:paraId="32FE0F46">
      <w:pPr>
        <w:rPr>
          <w:rFonts w:hint="eastAsia" w:ascii="宋体" w:hAnsi="宋体" w:eastAsia="宋体" w:cs="宋体"/>
          <w:sz w:val="24"/>
          <w:szCs w:val="24"/>
          <w:highlight w:val="none"/>
        </w:rPr>
      </w:pPr>
      <w:bookmarkStart w:id="14" w:name="_Toc100219614"/>
      <w:r>
        <w:rPr>
          <w:rFonts w:hint="eastAsia" w:ascii="宋体" w:hAnsi="宋体" w:eastAsia="宋体" w:cs="宋体"/>
          <w:sz w:val="24"/>
          <w:szCs w:val="24"/>
          <w:highlight w:val="none"/>
        </w:rPr>
        <w:br w:type="page"/>
      </w:r>
    </w:p>
    <w:p w14:paraId="58F96F45">
      <w:pPr>
        <w:spacing w:before="90" w:after="0" w:line="360" w:lineRule="auto"/>
        <w:ind w:right="0"/>
        <w:jc w:val="both"/>
        <w:rPr>
          <w:rFonts w:hint="eastAsia" w:ascii="宋体" w:hAnsi="宋体" w:eastAsia="宋体" w:cs="宋体"/>
          <w:color w:val="000000"/>
          <w:spacing w:val="0"/>
          <w:sz w:val="24"/>
          <w:szCs w:val="24"/>
          <w:highlight w:val="none"/>
        </w:rPr>
      </w:pPr>
      <w:r>
        <w:rPr>
          <w:rFonts w:hint="eastAsia" w:ascii="宋体" w:hAnsi="宋体" w:eastAsia="宋体" w:cs="宋体"/>
          <w:b/>
          <w:sz w:val="24"/>
          <w:szCs w:val="24"/>
          <w:highlight w:val="none"/>
          <w:lang w:eastAsia="zh-CN"/>
        </w:rPr>
        <w:t>附件一</w:t>
      </w:r>
      <w:r>
        <w:rPr>
          <w:rFonts w:hint="eastAsia" w:ascii="宋体" w:hAnsi="宋体" w:eastAsia="宋体" w:cs="宋体"/>
          <w:b/>
          <w:sz w:val="24"/>
          <w:szCs w:val="24"/>
          <w:highlight w:val="none"/>
          <w:lang w:val="en-US" w:eastAsia="zh-CN"/>
        </w:rPr>
        <w:t xml:space="preserve">                            </w:t>
      </w:r>
      <w:r>
        <w:rPr>
          <w:rFonts w:hint="eastAsia" w:ascii="宋体" w:hAnsi="宋体" w:eastAsia="宋体" w:cs="宋体"/>
          <w:color w:val="000000"/>
          <w:spacing w:val="-8"/>
          <w:sz w:val="24"/>
          <w:szCs w:val="24"/>
          <w:highlight w:val="none"/>
        </w:rPr>
        <w:t>“政采贷”业务介绍</w:t>
      </w:r>
    </w:p>
    <w:p w14:paraId="339C7BFF">
      <w:pPr>
        <w:keepNext w:val="0"/>
        <w:keepLines w:val="0"/>
        <w:pageBreakBefore w:val="0"/>
        <w:widowControl w:val="0"/>
        <w:kinsoku/>
        <w:wordWrap/>
        <w:overflowPunct/>
        <w:topLinePunct w:val="0"/>
        <w:autoSpaceDE/>
        <w:autoSpaceDN/>
        <w:bidi w:val="0"/>
        <w:adjustRightInd/>
        <w:snapToGrid/>
        <w:spacing w:after="0" w:line="480" w:lineRule="auto"/>
        <w:ind w:left="0" w:right="0" w:firstLine="468" w:firstLineChars="200"/>
        <w:jc w:val="left"/>
        <w:textAlignment w:val="auto"/>
        <w:rPr>
          <w:rFonts w:hint="eastAsia" w:ascii="宋体" w:hAnsi="宋体" w:eastAsia="宋体" w:cs="宋体"/>
          <w:color w:val="333333"/>
          <w:spacing w:val="0"/>
          <w:sz w:val="24"/>
          <w:szCs w:val="24"/>
          <w:highlight w:val="none"/>
        </w:rPr>
      </w:pPr>
      <w:r>
        <w:rPr>
          <w:rFonts w:hint="eastAsia" w:ascii="宋体" w:hAnsi="宋体" w:eastAsia="宋体" w:cs="宋体"/>
          <w:color w:val="333333"/>
          <w:spacing w:val="-3"/>
          <w:sz w:val="24"/>
          <w:szCs w:val="24"/>
          <w:highlight w:val="none"/>
        </w:rPr>
        <w:t>政采贷，即政府采购合同融资，是银行机构以政府采购诚信考核和信用审查为基础，凭借中小企业取得并提供的政府采购合同，按优于一般中小企业贷款的利率直接向申请贷款的中小企业发放贷款的一种新融资方式。政府采购贷特点政</w:t>
      </w:r>
      <w:r>
        <w:rPr>
          <w:rFonts w:hint="eastAsia" w:ascii="宋体" w:hAnsi="宋体" w:eastAsia="宋体" w:cs="宋体"/>
          <w:color w:val="333333"/>
          <w:spacing w:val="5"/>
          <w:sz w:val="24"/>
          <w:szCs w:val="24"/>
          <w:highlight w:val="none"/>
        </w:rPr>
        <w:t>采贷以中小企业的政府采购信用和国库集中支付作为履约保障的政府采购合同</w:t>
      </w:r>
      <w:r>
        <w:rPr>
          <w:rFonts w:hint="eastAsia" w:ascii="宋体" w:hAnsi="宋体" w:eastAsia="宋体" w:cs="宋体"/>
          <w:color w:val="333333"/>
          <w:spacing w:val="0"/>
          <w:sz w:val="24"/>
          <w:szCs w:val="24"/>
          <w:highlight w:val="none"/>
        </w:rPr>
        <w:t>为基础，借力政府采购诚信保障，提供了银企对接的机会和相关的服务支持。</w:t>
      </w:r>
    </w:p>
    <w:p w14:paraId="40684F70">
      <w:pPr>
        <w:spacing w:line="360" w:lineRule="auto"/>
        <w:rPr>
          <w:rFonts w:hint="eastAsia" w:ascii="宋体" w:hAnsi="宋体" w:eastAsia="宋体" w:cs="宋体"/>
          <w:color w:val="333333"/>
          <w:spacing w:val="0"/>
          <w:sz w:val="24"/>
          <w:szCs w:val="24"/>
          <w:highlight w:val="none"/>
        </w:rPr>
      </w:pPr>
      <w:r>
        <w:rPr>
          <w:rFonts w:hint="eastAsia" w:ascii="宋体" w:hAnsi="宋体" w:eastAsia="宋体" w:cs="宋体"/>
          <w:color w:val="333333"/>
          <w:spacing w:val="0"/>
          <w:sz w:val="24"/>
          <w:szCs w:val="24"/>
          <w:highlight w:val="none"/>
        </w:rPr>
        <w:br w:type="page"/>
      </w:r>
    </w:p>
    <w:p w14:paraId="6886860C">
      <w:pPr>
        <w:pStyle w:val="102"/>
        <w:spacing w:before="40" w:line="420" w:lineRule="exact"/>
        <w:rPr>
          <w:rFonts w:hint="eastAsia" w:ascii="宋体" w:hAnsi="宋体" w:eastAsia="宋体" w:cs="宋体"/>
          <w:b/>
          <w:sz w:val="24"/>
          <w:szCs w:val="24"/>
          <w:highlight w:val="none"/>
          <w:lang w:eastAsia="zh-CN"/>
        </w:rPr>
      </w:pPr>
      <w:r>
        <w:rPr>
          <w:rFonts w:hint="eastAsia" w:ascii="宋体" w:hAnsi="宋体" w:eastAsia="宋体" w:cs="宋体"/>
          <w:b/>
          <w:sz w:val="24"/>
          <w:szCs w:val="24"/>
          <w:highlight w:val="none"/>
          <w:lang w:eastAsia="zh-CN"/>
        </w:rPr>
        <w:t>附件二</w:t>
      </w:r>
    </w:p>
    <w:p w14:paraId="6289BBEA">
      <w:pPr>
        <w:spacing w:before="281" w:after="0" w:line="360" w:lineRule="auto"/>
        <w:ind w:left="480" w:right="0" w:firstLine="0"/>
        <w:jc w:val="center"/>
        <w:rPr>
          <w:rFonts w:hint="eastAsia" w:ascii="宋体" w:hAnsi="宋体" w:eastAsia="宋体" w:cs="宋体"/>
          <w:color w:val="333333"/>
          <w:spacing w:val="-3"/>
          <w:sz w:val="24"/>
          <w:szCs w:val="24"/>
          <w:highlight w:val="none"/>
        </w:rPr>
      </w:pPr>
      <w:r>
        <w:rPr>
          <w:rFonts w:hint="eastAsia" w:ascii="宋体" w:hAnsi="宋体" w:eastAsia="宋体" w:cs="宋体"/>
          <w:color w:val="333333"/>
          <w:spacing w:val="-3"/>
          <w:sz w:val="24"/>
          <w:szCs w:val="24"/>
          <w:highlight w:val="none"/>
        </w:rPr>
        <w:t>陕西政府采购供应商信用融资信息服务平台操作手册</w:t>
      </w:r>
    </w:p>
    <w:p w14:paraId="5824D996">
      <w:pPr>
        <w:keepNext w:val="0"/>
        <w:keepLines w:val="0"/>
        <w:pageBreakBefore w:val="0"/>
        <w:widowControl w:val="0"/>
        <w:kinsoku/>
        <w:wordWrap/>
        <w:overflowPunct/>
        <w:topLinePunct w:val="0"/>
        <w:autoSpaceDE/>
        <w:autoSpaceDN/>
        <w:bidi w:val="0"/>
        <w:adjustRightInd/>
        <w:snapToGrid/>
        <w:spacing w:after="0" w:line="480" w:lineRule="auto"/>
        <w:ind w:left="0" w:right="0" w:firstLine="468" w:firstLineChars="200"/>
        <w:jc w:val="left"/>
        <w:textAlignment w:val="auto"/>
        <w:rPr>
          <w:rFonts w:hint="eastAsia" w:ascii="宋体" w:hAnsi="宋体" w:eastAsia="宋体" w:cs="宋体"/>
          <w:color w:val="000000"/>
          <w:spacing w:val="0"/>
          <w:sz w:val="24"/>
          <w:szCs w:val="24"/>
          <w:highlight w:val="none"/>
        </w:rPr>
      </w:pPr>
      <w:r>
        <w:rPr>
          <w:rFonts w:hint="eastAsia" w:ascii="宋体" w:hAnsi="宋体" w:eastAsia="宋体" w:cs="宋体"/>
          <w:color w:val="333333"/>
          <w:spacing w:val="-3"/>
          <w:sz w:val="24"/>
          <w:szCs w:val="24"/>
          <w:highlight w:val="none"/>
        </w:rPr>
        <w:t>陕西政府采购供应商信用融资信息服务平台主要功能为：供应商凭中标项目或成交合提交融资意向，查看融资申请进度等功能，本操作手册将详细说明这些</w:t>
      </w:r>
      <w:r>
        <w:rPr>
          <w:rFonts w:hint="eastAsia" w:ascii="宋体" w:hAnsi="宋体" w:eastAsia="宋体" w:cs="宋体"/>
          <w:color w:val="333333"/>
          <w:spacing w:val="0"/>
          <w:sz w:val="24"/>
          <w:szCs w:val="24"/>
          <w:highlight w:val="none"/>
        </w:rPr>
        <w:t>功能。</w:t>
      </w:r>
    </w:p>
    <w:p w14:paraId="4242472D">
      <w:pPr>
        <w:keepNext w:val="0"/>
        <w:keepLines w:val="0"/>
        <w:pageBreakBefore w:val="0"/>
        <w:widowControl w:val="0"/>
        <w:kinsoku/>
        <w:wordWrap/>
        <w:overflowPunct/>
        <w:topLinePunct w:val="0"/>
        <w:autoSpaceDE/>
        <w:autoSpaceDN/>
        <w:bidi w:val="0"/>
        <w:adjustRightInd/>
        <w:snapToGrid/>
        <w:spacing w:after="0" w:line="240" w:lineRule="auto"/>
        <w:ind w:left="480" w:right="0" w:firstLine="0"/>
        <w:jc w:val="left"/>
        <w:textAlignment w:val="auto"/>
        <w:rPr>
          <w:rFonts w:hint="eastAsia" w:ascii="宋体" w:hAnsi="宋体" w:eastAsia="宋体" w:cs="宋体"/>
          <w:color w:val="000000"/>
          <w:spacing w:val="0"/>
          <w:sz w:val="24"/>
          <w:szCs w:val="24"/>
          <w:highlight w:val="none"/>
        </w:rPr>
      </w:pPr>
      <w:r>
        <w:rPr>
          <w:rFonts w:hint="eastAsia" w:ascii="宋体" w:hAnsi="宋体" w:eastAsia="宋体" w:cs="宋体"/>
          <w:color w:val="333333"/>
          <w:spacing w:val="0"/>
          <w:sz w:val="24"/>
          <w:szCs w:val="24"/>
          <w:highlight w:val="none"/>
        </w:rPr>
        <w:t>1</w:t>
      </w:r>
      <w:r>
        <w:rPr>
          <w:rFonts w:hint="eastAsia" w:ascii="宋体" w:hAnsi="宋体" w:eastAsia="宋体" w:cs="宋体"/>
          <w:color w:val="333333"/>
          <w:spacing w:val="0"/>
          <w:sz w:val="24"/>
          <w:szCs w:val="24"/>
          <w:highlight w:val="none"/>
          <w:lang w:val="en-US" w:eastAsia="zh-CN"/>
        </w:rPr>
        <w:t>.</w:t>
      </w:r>
      <w:r>
        <w:rPr>
          <w:rFonts w:hint="eastAsia" w:ascii="宋体" w:hAnsi="宋体" w:eastAsia="宋体" w:cs="宋体"/>
          <w:color w:val="333333"/>
          <w:spacing w:val="0"/>
          <w:sz w:val="24"/>
          <w:szCs w:val="24"/>
          <w:highlight w:val="none"/>
        </w:rPr>
        <w:t>首页</w:t>
      </w:r>
    </w:p>
    <w:p w14:paraId="21C958BB">
      <w:pPr>
        <w:keepNext w:val="0"/>
        <w:keepLines w:val="0"/>
        <w:pageBreakBefore w:val="0"/>
        <w:widowControl w:val="0"/>
        <w:kinsoku/>
        <w:wordWrap/>
        <w:overflowPunct/>
        <w:topLinePunct w:val="0"/>
        <w:autoSpaceDE/>
        <w:autoSpaceDN/>
        <w:bidi w:val="0"/>
        <w:adjustRightInd/>
        <w:snapToGrid/>
        <w:spacing w:after="0" w:line="480" w:lineRule="auto"/>
        <w:ind w:left="0" w:right="0" w:firstLine="468" w:firstLineChars="200"/>
        <w:jc w:val="left"/>
        <w:textAlignment w:val="auto"/>
        <w:rPr>
          <w:rFonts w:hint="eastAsia" w:ascii="宋体" w:hAnsi="宋体" w:eastAsia="宋体" w:cs="宋体"/>
          <w:color w:val="333333"/>
          <w:spacing w:val="-3"/>
          <w:sz w:val="24"/>
          <w:szCs w:val="24"/>
          <w:highlight w:val="none"/>
        </w:rPr>
      </w:pPr>
      <w:r>
        <w:rPr>
          <w:rFonts w:hint="eastAsia" w:ascii="宋体" w:hAnsi="宋体" w:eastAsia="宋体" w:cs="宋体"/>
          <w:color w:val="333333"/>
          <w:spacing w:val="-3"/>
          <w:sz w:val="24"/>
          <w:szCs w:val="24"/>
          <w:highlight w:val="none"/>
        </w:rPr>
        <w:t>平台首页主要呈现陕西政府采购信用融资相关政策法规、基本操作流程及供应商帮助内容，供应商企业可由登录注册模块登录平台。</w:t>
      </w:r>
    </w:p>
    <w:p w14:paraId="7996E64C">
      <w:pPr>
        <w:keepNext w:val="0"/>
        <w:keepLines w:val="0"/>
        <w:pageBreakBefore w:val="0"/>
        <w:widowControl w:val="0"/>
        <w:kinsoku/>
        <w:wordWrap/>
        <w:overflowPunct/>
        <w:topLinePunct w:val="0"/>
        <w:autoSpaceDE/>
        <w:autoSpaceDN/>
        <w:bidi w:val="0"/>
        <w:adjustRightInd/>
        <w:snapToGrid/>
        <w:spacing w:after="0" w:line="240" w:lineRule="auto"/>
        <w:ind w:left="480" w:right="0" w:firstLine="0"/>
        <w:jc w:val="left"/>
        <w:textAlignment w:val="auto"/>
        <w:rPr>
          <w:rFonts w:hint="eastAsia" w:ascii="宋体" w:hAnsi="宋体" w:eastAsia="宋体" w:cs="宋体"/>
          <w:color w:val="000000"/>
          <w:spacing w:val="0"/>
          <w:sz w:val="24"/>
          <w:szCs w:val="24"/>
          <w:highlight w:val="none"/>
        </w:rPr>
      </w:pPr>
      <w:r>
        <w:rPr>
          <w:rFonts w:hint="eastAsia" w:ascii="宋体" w:hAnsi="宋体" w:eastAsia="宋体" w:cs="宋体"/>
          <w:color w:val="333333"/>
          <w:spacing w:val="0"/>
          <w:sz w:val="24"/>
          <w:szCs w:val="24"/>
          <w:highlight w:val="none"/>
        </w:rPr>
        <w:t>2</w:t>
      </w:r>
      <w:r>
        <w:rPr>
          <w:rFonts w:hint="eastAsia" w:ascii="宋体" w:hAnsi="宋体" w:eastAsia="宋体" w:cs="宋体"/>
          <w:color w:val="333333"/>
          <w:spacing w:val="0"/>
          <w:sz w:val="24"/>
          <w:szCs w:val="24"/>
          <w:highlight w:val="none"/>
          <w:lang w:val="en-US" w:eastAsia="zh-CN"/>
        </w:rPr>
        <w:t>.</w:t>
      </w:r>
      <w:r>
        <w:rPr>
          <w:rFonts w:hint="eastAsia" w:ascii="宋体" w:hAnsi="宋体" w:eastAsia="宋体" w:cs="宋体"/>
          <w:color w:val="333333"/>
          <w:spacing w:val="0"/>
          <w:sz w:val="24"/>
          <w:szCs w:val="24"/>
          <w:highlight w:val="none"/>
        </w:rPr>
        <w:t>登录</w:t>
      </w:r>
    </w:p>
    <w:p w14:paraId="46E32C49">
      <w:pPr>
        <w:keepNext w:val="0"/>
        <w:keepLines w:val="0"/>
        <w:pageBreakBefore w:val="0"/>
        <w:widowControl w:val="0"/>
        <w:kinsoku/>
        <w:wordWrap/>
        <w:overflowPunct/>
        <w:topLinePunct w:val="0"/>
        <w:autoSpaceDE/>
        <w:autoSpaceDN/>
        <w:bidi w:val="0"/>
        <w:adjustRightInd/>
        <w:snapToGrid/>
        <w:spacing w:after="0" w:line="480" w:lineRule="auto"/>
        <w:ind w:left="0" w:right="0" w:firstLine="468" w:firstLineChars="200"/>
        <w:jc w:val="left"/>
        <w:textAlignment w:val="auto"/>
        <w:rPr>
          <w:rFonts w:hint="eastAsia" w:ascii="宋体" w:hAnsi="宋体" w:eastAsia="宋体" w:cs="宋体"/>
          <w:color w:val="333333"/>
          <w:spacing w:val="-3"/>
          <w:sz w:val="24"/>
          <w:szCs w:val="24"/>
          <w:highlight w:val="none"/>
          <w:lang w:eastAsia="zh-CN"/>
        </w:rPr>
      </w:pPr>
      <w:r>
        <w:rPr>
          <w:rFonts w:hint="eastAsia" w:ascii="宋体" w:hAnsi="宋体" w:eastAsia="宋体" w:cs="宋体"/>
          <w:color w:val="333333"/>
          <w:spacing w:val="-3"/>
          <w:sz w:val="24"/>
          <w:szCs w:val="24"/>
          <w:highlight w:val="none"/>
        </w:rPr>
        <w:t>陕西政府采购网的中标企业可用手机号注册用户，注册时需要填写企业名称及社会统一信用代码等信息，如下图：</w:t>
      </w:r>
    </w:p>
    <w:p w14:paraId="476B2322">
      <w:pPr>
        <w:rPr>
          <w:rFonts w:hint="eastAsia" w:ascii="宋体" w:hAnsi="宋体" w:eastAsia="宋体" w:cs="宋体"/>
          <w:b/>
          <w:sz w:val="24"/>
          <w:szCs w:val="24"/>
          <w:highlight w:val="none"/>
          <w:lang w:eastAsia="zh-CN"/>
        </w:rPr>
      </w:pPr>
      <w:r>
        <w:rPr>
          <w:rFonts w:hint="eastAsia" w:ascii="宋体" w:hAnsi="宋体" w:eastAsia="宋体" w:cs="宋体"/>
          <w:b/>
          <w:sz w:val="24"/>
          <w:szCs w:val="24"/>
          <w:highlight w:val="none"/>
          <w:lang w:eastAsia="zh-CN"/>
        </w:rPr>
        <w:drawing>
          <wp:inline distT="0" distB="0" distL="114300" distR="114300">
            <wp:extent cx="6127750" cy="3615690"/>
            <wp:effectExtent l="0" t="0" r="6350" b="3810"/>
            <wp:docPr id="6" name="图片 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
                    <pic:cNvPicPr>
                      <a:picLocks noChangeAspect="1"/>
                    </pic:cNvPicPr>
                  </pic:nvPicPr>
                  <pic:blipFill>
                    <a:blip r:embed="rId11"/>
                    <a:stretch>
                      <a:fillRect/>
                    </a:stretch>
                  </pic:blipFill>
                  <pic:spPr>
                    <a:xfrm>
                      <a:off x="0" y="0"/>
                      <a:ext cx="6127750" cy="3615690"/>
                    </a:xfrm>
                    <a:prstGeom prst="rect">
                      <a:avLst/>
                    </a:prstGeom>
                  </pic:spPr>
                </pic:pic>
              </a:graphicData>
            </a:graphic>
          </wp:inline>
        </w:drawing>
      </w:r>
    </w:p>
    <w:p w14:paraId="716819F1">
      <w:pPr>
        <w:rPr>
          <w:rFonts w:hint="eastAsia" w:ascii="宋体" w:hAnsi="宋体" w:eastAsia="宋体" w:cs="宋体"/>
          <w:b/>
          <w:sz w:val="24"/>
          <w:szCs w:val="24"/>
          <w:highlight w:val="none"/>
          <w:lang w:eastAsia="zh-CN"/>
        </w:rPr>
      </w:pPr>
      <w:r>
        <w:rPr>
          <w:rFonts w:hint="eastAsia" w:ascii="宋体" w:hAnsi="宋体" w:eastAsia="宋体" w:cs="宋体"/>
          <w:b/>
          <w:sz w:val="24"/>
          <w:szCs w:val="24"/>
          <w:highlight w:val="none"/>
          <w:lang w:eastAsia="zh-CN"/>
        </w:rPr>
        <w:br w:type="page"/>
      </w:r>
    </w:p>
    <w:p w14:paraId="439A0C56">
      <w:pPr>
        <w:keepNext w:val="0"/>
        <w:keepLines w:val="0"/>
        <w:pageBreakBefore w:val="0"/>
        <w:widowControl w:val="0"/>
        <w:kinsoku/>
        <w:wordWrap/>
        <w:overflowPunct/>
        <w:topLinePunct w:val="0"/>
        <w:autoSpaceDE/>
        <w:autoSpaceDN/>
        <w:bidi w:val="0"/>
        <w:adjustRightInd/>
        <w:snapToGrid/>
        <w:spacing w:before="281" w:after="0" w:line="480" w:lineRule="auto"/>
        <w:ind w:left="0" w:right="0" w:firstLine="468" w:firstLineChars="200"/>
        <w:jc w:val="left"/>
        <w:textAlignment w:val="auto"/>
        <w:rPr>
          <w:rFonts w:hint="eastAsia" w:ascii="宋体" w:hAnsi="宋体" w:eastAsia="宋体" w:cs="宋体"/>
          <w:color w:val="333333"/>
          <w:spacing w:val="-3"/>
          <w:sz w:val="24"/>
          <w:szCs w:val="24"/>
          <w:highlight w:val="none"/>
        </w:rPr>
      </w:pPr>
      <w:r>
        <w:rPr>
          <w:rFonts w:hint="eastAsia" w:ascii="宋体" w:hAnsi="宋体" w:eastAsia="宋体" w:cs="宋体"/>
          <w:color w:val="333333"/>
          <w:spacing w:val="-3"/>
          <w:sz w:val="24"/>
          <w:szCs w:val="24"/>
          <w:highlight w:val="none"/>
        </w:rPr>
        <w:t>注册成功后，凭手机登录平台，如下图，点击首页：</w:t>
      </w:r>
    </w:p>
    <w:p w14:paraId="6F2B3857">
      <w:pP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drawing>
          <wp:inline distT="0" distB="0" distL="114300" distR="114300">
            <wp:extent cx="6071235" cy="3425190"/>
            <wp:effectExtent l="0" t="0" r="5715" b="3810"/>
            <wp:docPr id="9" name="图片 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2"/>
                    <pic:cNvPicPr>
                      <a:picLocks noChangeAspect="1"/>
                    </pic:cNvPicPr>
                  </pic:nvPicPr>
                  <pic:blipFill>
                    <a:blip r:embed="rId12"/>
                    <a:stretch>
                      <a:fillRect/>
                    </a:stretch>
                  </pic:blipFill>
                  <pic:spPr>
                    <a:xfrm>
                      <a:off x="0" y="0"/>
                      <a:ext cx="6071235" cy="3425190"/>
                    </a:xfrm>
                    <a:prstGeom prst="rect">
                      <a:avLst/>
                    </a:prstGeom>
                  </pic:spPr>
                </pic:pic>
              </a:graphicData>
            </a:graphic>
          </wp:inline>
        </w:drawing>
      </w:r>
    </w:p>
    <w:p w14:paraId="6AD9A029">
      <w:pPr>
        <w:keepNext w:val="0"/>
        <w:keepLines w:val="0"/>
        <w:pageBreakBefore w:val="0"/>
        <w:widowControl w:val="0"/>
        <w:kinsoku/>
        <w:wordWrap/>
        <w:overflowPunct/>
        <w:topLinePunct w:val="0"/>
        <w:autoSpaceDE/>
        <w:autoSpaceDN/>
        <w:bidi w:val="0"/>
        <w:adjustRightInd/>
        <w:snapToGrid/>
        <w:spacing w:before="281" w:after="0" w:line="480" w:lineRule="auto"/>
        <w:ind w:left="0" w:right="0" w:firstLine="468" w:firstLineChars="200"/>
        <w:jc w:val="left"/>
        <w:textAlignment w:val="auto"/>
        <w:rPr>
          <w:rFonts w:hint="eastAsia" w:ascii="宋体" w:hAnsi="宋体" w:eastAsia="宋体" w:cs="宋体"/>
          <w:color w:val="333333"/>
          <w:spacing w:val="-3"/>
          <w:sz w:val="24"/>
          <w:szCs w:val="24"/>
          <w:highlight w:val="none"/>
        </w:rPr>
      </w:pPr>
      <w:r>
        <w:rPr>
          <w:rFonts w:hint="eastAsia" w:ascii="宋体" w:hAnsi="宋体" w:eastAsia="宋体" w:cs="宋体"/>
          <w:color w:val="333333"/>
          <w:spacing w:val="-3"/>
          <w:sz w:val="24"/>
          <w:szCs w:val="24"/>
          <w:highlight w:val="none"/>
        </w:rPr>
        <w:t>3.点击“可融资项目/合同”，再点击申请贷款：</w:t>
      </w:r>
    </w:p>
    <w:p w14:paraId="46678B0B">
      <w:pP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drawing>
          <wp:inline distT="0" distB="0" distL="114300" distR="114300">
            <wp:extent cx="6101715" cy="3441065"/>
            <wp:effectExtent l="0" t="0" r="13335" b="6985"/>
            <wp:docPr id="10" name="图片 1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3"/>
                    <pic:cNvPicPr>
                      <a:picLocks noChangeAspect="1"/>
                    </pic:cNvPicPr>
                  </pic:nvPicPr>
                  <pic:blipFill>
                    <a:blip r:embed="rId13"/>
                    <a:stretch>
                      <a:fillRect/>
                    </a:stretch>
                  </pic:blipFill>
                  <pic:spPr>
                    <a:xfrm>
                      <a:off x="0" y="0"/>
                      <a:ext cx="6101715" cy="3441065"/>
                    </a:xfrm>
                    <a:prstGeom prst="rect">
                      <a:avLst/>
                    </a:prstGeom>
                  </pic:spPr>
                </pic:pic>
              </a:graphicData>
            </a:graphic>
          </wp:inline>
        </w:drawing>
      </w:r>
    </w:p>
    <w:p w14:paraId="0A5095B9">
      <w:pP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br w:type="page"/>
      </w:r>
    </w:p>
    <w:p w14:paraId="4A28D5A2">
      <w:pPr>
        <w:keepNext w:val="0"/>
        <w:keepLines w:val="0"/>
        <w:pageBreakBefore w:val="0"/>
        <w:widowControl w:val="0"/>
        <w:kinsoku/>
        <w:wordWrap/>
        <w:overflowPunct/>
        <w:topLinePunct w:val="0"/>
        <w:autoSpaceDE/>
        <w:autoSpaceDN/>
        <w:bidi w:val="0"/>
        <w:adjustRightInd/>
        <w:snapToGrid/>
        <w:spacing w:after="0" w:line="480" w:lineRule="auto"/>
        <w:ind w:left="0" w:right="0" w:firstLine="468" w:firstLineChars="200"/>
        <w:jc w:val="left"/>
        <w:textAlignment w:val="auto"/>
        <w:rPr>
          <w:rFonts w:hint="eastAsia" w:ascii="宋体" w:hAnsi="宋体" w:eastAsia="宋体" w:cs="宋体"/>
          <w:color w:val="333333"/>
          <w:spacing w:val="-3"/>
          <w:sz w:val="24"/>
          <w:szCs w:val="24"/>
          <w:highlight w:val="none"/>
        </w:rPr>
      </w:pPr>
      <w:r>
        <w:rPr>
          <w:rFonts w:hint="eastAsia" w:ascii="宋体" w:hAnsi="宋体" w:eastAsia="宋体" w:cs="宋体"/>
          <w:color w:val="333333"/>
          <w:spacing w:val="-3"/>
          <w:sz w:val="24"/>
          <w:szCs w:val="24"/>
          <w:highlight w:val="none"/>
        </w:rPr>
        <w:t>4.勾选融资意向书：</w:t>
      </w:r>
    </w:p>
    <w:p w14:paraId="4637F00C">
      <w:pP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drawing>
          <wp:inline distT="0" distB="0" distL="114300" distR="114300">
            <wp:extent cx="6142990" cy="3464560"/>
            <wp:effectExtent l="0" t="0" r="10160" b="2540"/>
            <wp:docPr id="11" name="图片 1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4"/>
                    <pic:cNvPicPr>
                      <a:picLocks noChangeAspect="1"/>
                    </pic:cNvPicPr>
                  </pic:nvPicPr>
                  <pic:blipFill>
                    <a:blip r:embed="rId14"/>
                    <a:stretch>
                      <a:fillRect/>
                    </a:stretch>
                  </pic:blipFill>
                  <pic:spPr>
                    <a:xfrm>
                      <a:off x="0" y="0"/>
                      <a:ext cx="6142990" cy="3464560"/>
                    </a:xfrm>
                    <a:prstGeom prst="rect">
                      <a:avLst/>
                    </a:prstGeom>
                  </pic:spPr>
                </pic:pic>
              </a:graphicData>
            </a:graphic>
          </wp:inline>
        </w:drawing>
      </w:r>
    </w:p>
    <w:p w14:paraId="4FF58824">
      <w:pPr>
        <w:keepNext w:val="0"/>
        <w:keepLines w:val="0"/>
        <w:pageBreakBefore w:val="0"/>
        <w:widowControl w:val="0"/>
        <w:kinsoku/>
        <w:wordWrap/>
        <w:overflowPunct/>
        <w:topLinePunct w:val="0"/>
        <w:autoSpaceDE/>
        <w:autoSpaceDN/>
        <w:bidi w:val="0"/>
        <w:adjustRightInd/>
        <w:snapToGrid/>
        <w:spacing w:after="0" w:line="480" w:lineRule="auto"/>
        <w:ind w:left="0" w:right="0" w:firstLine="468" w:firstLineChars="200"/>
        <w:jc w:val="left"/>
        <w:textAlignment w:val="auto"/>
        <w:rPr>
          <w:rFonts w:hint="eastAsia" w:ascii="宋体" w:hAnsi="宋体" w:eastAsia="宋体" w:cs="宋体"/>
          <w:color w:val="333333"/>
          <w:spacing w:val="-3"/>
          <w:sz w:val="24"/>
          <w:szCs w:val="24"/>
          <w:highlight w:val="none"/>
        </w:rPr>
      </w:pPr>
      <w:r>
        <w:rPr>
          <w:rFonts w:hint="eastAsia" w:ascii="宋体" w:hAnsi="宋体" w:eastAsia="宋体" w:cs="宋体"/>
          <w:color w:val="333333"/>
          <w:spacing w:val="-3"/>
          <w:sz w:val="24"/>
          <w:szCs w:val="24"/>
          <w:highlight w:val="none"/>
        </w:rPr>
        <w:t>5.页面下拉，输入贷款金额、预计用款周期、可接受利率、贷款资金用途，点击保存，选择办理贷款机构所在地，然后点击下一步。</w:t>
      </w:r>
    </w:p>
    <w:p w14:paraId="09C8AE14">
      <w:pP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drawing>
          <wp:inline distT="0" distB="0" distL="114300" distR="114300">
            <wp:extent cx="6176645" cy="3484880"/>
            <wp:effectExtent l="0" t="0" r="14605" b="1270"/>
            <wp:docPr id="14" name="图片 14"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5"/>
                    <pic:cNvPicPr>
                      <a:picLocks noChangeAspect="1"/>
                    </pic:cNvPicPr>
                  </pic:nvPicPr>
                  <pic:blipFill>
                    <a:blip r:embed="rId15"/>
                    <a:stretch>
                      <a:fillRect/>
                    </a:stretch>
                  </pic:blipFill>
                  <pic:spPr>
                    <a:xfrm>
                      <a:off x="0" y="0"/>
                      <a:ext cx="6176645" cy="3484880"/>
                    </a:xfrm>
                    <a:prstGeom prst="rect">
                      <a:avLst/>
                    </a:prstGeom>
                  </pic:spPr>
                </pic:pic>
              </a:graphicData>
            </a:graphic>
          </wp:inline>
        </w:drawing>
      </w:r>
      <w:r>
        <w:rPr>
          <w:rFonts w:hint="eastAsia" w:ascii="宋体" w:hAnsi="宋体" w:eastAsia="宋体" w:cs="宋体"/>
          <w:sz w:val="24"/>
          <w:szCs w:val="24"/>
          <w:highlight w:val="none"/>
          <w:lang w:eastAsia="zh-CN"/>
        </w:rPr>
        <w:br w:type="page"/>
      </w:r>
    </w:p>
    <w:p w14:paraId="0D395464">
      <w:pPr>
        <w:keepNext w:val="0"/>
        <w:keepLines w:val="0"/>
        <w:pageBreakBefore w:val="0"/>
        <w:widowControl w:val="0"/>
        <w:kinsoku/>
        <w:wordWrap/>
        <w:overflowPunct/>
        <w:topLinePunct w:val="0"/>
        <w:autoSpaceDE/>
        <w:autoSpaceDN/>
        <w:bidi w:val="0"/>
        <w:adjustRightInd/>
        <w:snapToGrid/>
        <w:spacing w:before="281" w:after="0" w:line="480" w:lineRule="auto"/>
        <w:ind w:left="0" w:right="0" w:firstLine="468" w:firstLineChars="200"/>
        <w:jc w:val="left"/>
        <w:textAlignment w:val="auto"/>
        <w:rPr>
          <w:rFonts w:hint="eastAsia" w:ascii="宋体" w:hAnsi="宋体" w:eastAsia="宋体" w:cs="宋体"/>
          <w:color w:val="333333"/>
          <w:spacing w:val="-3"/>
          <w:sz w:val="24"/>
          <w:szCs w:val="24"/>
          <w:highlight w:val="none"/>
        </w:rPr>
      </w:pPr>
      <w:r>
        <w:rPr>
          <w:rFonts w:hint="eastAsia" w:ascii="宋体" w:hAnsi="宋体" w:eastAsia="宋体" w:cs="宋体"/>
          <w:color w:val="333333"/>
          <w:spacing w:val="-3"/>
          <w:sz w:val="24"/>
          <w:szCs w:val="24"/>
          <w:highlight w:val="none"/>
        </w:rPr>
        <w:t>6.在意向银行列点击提交贷款意向并确定：</w:t>
      </w:r>
    </w:p>
    <w:p w14:paraId="2777EE53">
      <w:pP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drawing>
          <wp:inline distT="0" distB="0" distL="114300" distR="114300">
            <wp:extent cx="6113780" cy="3449320"/>
            <wp:effectExtent l="0" t="0" r="1270" b="17780"/>
            <wp:docPr id="15" name="图片 15"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6"/>
                    <pic:cNvPicPr>
                      <a:picLocks noChangeAspect="1"/>
                    </pic:cNvPicPr>
                  </pic:nvPicPr>
                  <pic:blipFill>
                    <a:blip r:embed="rId16"/>
                    <a:stretch>
                      <a:fillRect/>
                    </a:stretch>
                  </pic:blipFill>
                  <pic:spPr>
                    <a:xfrm>
                      <a:off x="0" y="0"/>
                      <a:ext cx="6113780" cy="3449320"/>
                    </a:xfrm>
                    <a:prstGeom prst="rect">
                      <a:avLst/>
                    </a:prstGeom>
                  </pic:spPr>
                </pic:pic>
              </a:graphicData>
            </a:graphic>
          </wp:inline>
        </w:drawing>
      </w:r>
    </w:p>
    <w:p w14:paraId="7893C51C">
      <w:pPr>
        <w:keepNext w:val="0"/>
        <w:keepLines w:val="0"/>
        <w:pageBreakBefore w:val="0"/>
        <w:widowControl w:val="0"/>
        <w:kinsoku/>
        <w:wordWrap/>
        <w:overflowPunct/>
        <w:topLinePunct w:val="0"/>
        <w:autoSpaceDE/>
        <w:autoSpaceDN/>
        <w:bidi w:val="0"/>
        <w:adjustRightInd/>
        <w:snapToGrid/>
        <w:spacing w:before="281" w:after="0" w:line="480" w:lineRule="auto"/>
        <w:ind w:left="0" w:right="0" w:firstLine="468" w:firstLineChars="200"/>
        <w:jc w:val="left"/>
        <w:textAlignment w:val="auto"/>
        <w:rPr>
          <w:rFonts w:hint="eastAsia" w:ascii="宋体" w:hAnsi="宋体" w:eastAsia="宋体" w:cs="宋体"/>
          <w:color w:val="333333"/>
          <w:spacing w:val="-3"/>
          <w:sz w:val="24"/>
          <w:szCs w:val="24"/>
          <w:highlight w:val="none"/>
        </w:rPr>
      </w:pPr>
      <w:r>
        <w:rPr>
          <w:rFonts w:hint="eastAsia" w:ascii="宋体" w:hAnsi="宋体" w:eastAsia="宋体" w:cs="宋体"/>
          <w:color w:val="333333"/>
          <w:spacing w:val="-3"/>
          <w:sz w:val="24"/>
          <w:szCs w:val="24"/>
          <w:highlight w:val="none"/>
        </w:rPr>
        <w:t>7.在申请进度栏即可查看本笔融资进度：</w:t>
      </w:r>
    </w:p>
    <w:p w14:paraId="28B28074">
      <w:pP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drawing>
          <wp:inline distT="0" distB="0" distL="114300" distR="114300">
            <wp:extent cx="6142990" cy="3464560"/>
            <wp:effectExtent l="0" t="0" r="10160" b="2540"/>
            <wp:docPr id="16" name="图片 16"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7"/>
                    <pic:cNvPicPr>
                      <a:picLocks noChangeAspect="1"/>
                    </pic:cNvPicPr>
                  </pic:nvPicPr>
                  <pic:blipFill>
                    <a:blip r:embed="rId17"/>
                    <a:stretch>
                      <a:fillRect/>
                    </a:stretch>
                  </pic:blipFill>
                  <pic:spPr>
                    <a:xfrm>
                      <a:off x="0" y="0"/>
                      <a:ext cx="6142990" cy="3464560"/>
                    </a:xfrm>
                    <a:prstGeom prst="rect">
                      <a:avLst/>
                    </a:prstGeom>
                  </pic:spPr>
                </pic:pic>
              </a:graphicData>
            </a:graphic>
          </wp:inline>
        </w:drawing>
      </w:r>
    </w:p>
    <w:p w14:paraId="415942DC">
      <w:pP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br w:type="page"/>
      </w:r>
    </w:p>
    <w:p w14:paraId="40F12A44">
      <w:pPr>
        <w:pStyle w:val="102"/>
        <w:keepNext w:val="0"/>
        <w:keepLines w:val="0"/>
        <w:pageBreakBefore w:val="0"/>
        <w:widowControl w:val="0"/>
        <w:kinsoku/>
        <w:wordWrap/>
        <w:overflowPunct/>
        <w:topLinePunct w:val="0"/>
        <w:autoSpaceDE/>
        <w:autoSpaceDN/>
        <w:bidi w:val="0"/>
        <w:adjustRightInd/>
        <w:snapToGrid/>
        <w:spacing w:before="40" w:line="420" w:lineRule="exact"/>
        <w:textAlignment w:val="auto"/>
        <w:outlineLvl w:val="9"/>
        <w:rPr>
          <w:rFonts w:hint="eastAsia" w:ascii="宋体" w:hAnsi="宋体" w:eastAsia="宋体" w:cs="宋体"/>
          <w:b/>
          <w:sz w:val="24"/>
          <w:szCs w:val="24"/>
          <w:highlight w:val="none"/>
          <w:lang w:eastAsia="zh-CN"/>
        </w:rPr>
      </w:pPr>
      <w:r>
        <w:rPr>
          <w:rFonts w:hint="eastAsia" w:ascii="宋体" w:hAnsi="宋体" w:eastAsia="宋体" w:cs="宋体"/>
          <w:b/>
          <w:sz w:val="24"/>
          <w:szCs w:val="24"/>
          <w:highlight w:val="none"/>
          <w:lang w:eastAsia="zh-CN"/>
        </w:rPr>
        <w:t>附件三</w:t>
      </w:r>
    </w:p>
    <w:p w14:paraId="326EEC7E">
      <w:pPr>
        <w:pStyle w:val="102"/>
        <w:spacing w:before="40" w:line="360" w:lineRule="auto"/>
        <w:jc w:val="center"/>
        <w:rPr>
          <w:rFonts w:hint="eastAsia" w:ascii="宋体" w:hAnsi="宋体" w:eastAsia="宋体" w:cs="宋体"/>
          <w:color w:val="000000"/>
          <w:spacing w:val="0"/>
          <w:sz w:val="24"/>
          <w:szCs w:val="24"/>
          <w:highlight w:val="none"/>
        </w:rPr>
      </w:pPr>
      <w:r>
        <w:rPr>
          <w:rFonts w:hint="eastAsia" w:ascii="宋体" w:hAnsi="宋体" w:eastAsia="宋体" w:cs="宋体"/>
          <w:sz w:val="24"/>
          <w:szCs w:val="24"/>
          <w:highlight w:val="none"/>
          <w:lang w:val="en-US" w:eastAsia="zh-CN"/>
        </w:rPr>
        <w:t>西安浐灞国际港</w:t>
      </w:r>
      <w:r>
        <w:rPr>
          <w:rFonts w:hint="eastAsia" w:ascii="宋体" w:hAnsi="宋体" w:eastAsia="宋体" w:cs="宋体"/>
          <w:color w:val="000000"/>
          <w:spacing w:val="0"/>
          <w:sz w:val="24"/>
          <w:szCs w:val="24"/>
          <w:highlight w:val="none"/>
          <w:lang w:val="en-US" w:eastAsia="en-US" w:bidi="ar-SA"/>
        </w:rPr>
        <w:t>开展政采贷业务</w:t>
      </w:r>
      <w:r>
        <w:rPr>
          <w:rFonts w:hint="eastAsia" w:ascii="宋体" w:hAnsi="宋体" w:eastAsia="宋体" w:cs="宋体"/>
          <w:color w:val="000000"/>
          <w:spacing w:val="0"/>
          <w:sz w:val="24"/>
          <w:szCs w:val="24"/>
          <w:highlight w:val="none"/>
        </w:rPr>
        <w:t>联系方式：</w:t>
      </w:r>
    </w:p>
    <w:p w14:paraId="4E2675D6">
      <w:pPr>
        <w:spacing w:before="165" w:after="0" w:line="360" w:lineRule="auto"/>
        <w:ind w:left="0" w:right="0" w:firstLine="480" w:firstLineChars="200"/>
        <w:jc w:val="left"/>
        <w:rPr>
          <w:rFonts w:hint="eastAsia" w:ascii="宋体" w:hAnsi="宋体" w:eastAsia="宋体" w:cs="宋体"/>
          <w:color w:val="000000"/>
          <w:spacing w:val="0"/>
          <w:sz w:val="24"/>
          <w:szCs w:val="24"/>
          <w:highlight w:val="none"/>
        </w:rPr>
      </w:pPr>
      <w:r>
        <w:rPr>
          <w:rFonts w:hint="eastAsia" w:ascii="宋体" w:hAnsi="宋体" w:eastAsia="宋体" w:cs="宋体"/>
          <w:sz w:val="24"/>
          <w:szCs w:val="24"/>
          <w:highlight w:val="none"/>
          <w:lang w:val="en-US" w:eastAsia="zh-CN"/>
        </w:rPr>
        <w:t>西安浐灞国际港</w:t>
      </w:r>
      <w:r>
        <w:rPr>
          <w:rFonts w:hint="eastAsia" w:ascii="宋体" w:hAnsi="宋体" w:eastAsia="宋体" w:cs="宋体"/>
          <w:color w:val="000000"/>
          <w:spacing w:val="0"/>
          <w:sz w:val="24"/>
          <w:szCs w:val="24"/>
          <w:highlight w:val="none"/>
        </w:rPr>
        <w:t>政府采购信用融资联系人：王涛  15029991040</w:t>
      </w:r>
    </w:p>
    <w:p w14:paraId="6F21970A">
      <w:pPr>
        <w:rPr>
          <w:rFonts w:hint="eastAsia" w:ascii="宋体" w:hAnsi="宋体" w:eastAsia="宋体" w:cs="宋体"/>
          <w:sz w:val="24"/>
          <w:szCs w:val="24"/>
          <w:highlight w:val="none"/>
        </w:rPr>
      </w:pPr>
    </w:p>
    <w:p w14:paraId="449BDC5F">
      <w:pPr>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br w:type="page"/>
      </w:r>
    </w:p>
    <w:p w14:paraId="41B89F4B">
      <w:pPr>
        <w:pStyle w:val="3"/>
        <w:numPr>
          <w:ilvl w:val="0"/>
          <w:numId w:val="5"/>
        </w:numPr>
        <w:rPr>
          <w:rFonts w:hint="eastAsia" w:ascii="宋体" w:hAnsi="宋体" w:eastAsia="宋体" w:cs="宋体"/>
          <w:b/>
          <w:bCs/>
          <w:sz w:val="32"/>
          <w:szCs w:val="32"/>
          <w:highlight w:val="none"/>
        </w:rPr>
      </w:pPr>
      <w:bookmarkStart w:id="15" w:name="_Toc12670"/>
      <w:r>
        <w:rPr>
          <w:rFonts w:hint="eastAsia" w:ascii="宋体" w:hAnsi="宋体" w:eastAsia="宋体" w:cs="宋体"/>
          <w:b/>
          <w:bCs/>
          <w:sz w:val="32"/>
          <w:szCs w:val="32"/>
          <w:highlight w:val="none"/>
          <w:lang w:val="en-US" w:eastAsia="zh-CN"/>
        </w:rPr>
        <w:t xml:space="preserve"> </w:t>
      </w:r>
      <w:r>
        <w:rPr>
          <w:rFonts w:hint="eastAsia" w:ascii="宋体" w:hAnsi="宋体" w:eastAsia="宋体" w:cs="宋体"/>
          <w:b/>
          <w:bCs/>
          <w:sz w:val="32"/>
          <w:szCs w:val="32"/>
          <w:highlight w:val="none"/>
        </w:rPr>
        <w:t xml:space="preserve"> </w:t>
      </w:r>
      <w:bookmarkStart w:id="16" w:name="_Toc23789"/>
      <w:r>
        <w:rPr>
          <w:rFonts w:hint="eastAsia" w:ascii="宋体" w:hAnsi="宋体" w:eastAsia="宋体" w:cs="宋体"/>
          <w:b/>
          <w:bCs/>
          <w:sz w:val="32"/>
          <w:szCs w:val="32"/>
          <w:highlight w:val="none"/>
        </w:rPr>
        <w:t>招标内容及要求</w:t>
      </w:r>
      <w:bookmarkEnd w:id="14"/>
      <w:bookmarkEnd w:id="15"/>
      <w:bookmarkEnd w:id="16"/>
    </w:p>
    <w:p w14:paraId="45FA2562">
      <w:pPr>
        <w:numPr>
          <w:ilvl w:val="0"/>
          <w:numId w:val="0"/>
        </w:numPr>
        <w:bidi w:val="0"/>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bidi="ar-SA"/>
        </w:rPr>
        <w:t>一、</w:t>
      </w:r>
      <w:r>
        <w:rPr>
          <w:rFonts w:hint="eastAsia" w:ascii="宋体" w:hAnsi="宋体" w:eastAsia="宋体" w:cs="宋体"/>
          <w:b/>
          <w:bCs/>
          <w:sz w:val="24"/>
          <w:szCs w:val="24"/>
          <w:highlight w:val="none"/>
          <w:lang w:val="en-US" w:eastAsia="zh-CN"/>
        </w:rPr>
        <w:t>项目名称</w:t>
      </w:r>
    </w:p>
    <w:p w14:paraId="13F29D2F">
      <w:pPr>
        <w:keepNext w:val="0"/>
        <w:keepLines w:val="0"/>
        <w:pageBreakBefore w:val="0"/>
        <w:widowControl/>
        <w:numPr>
          <w:ilvl w:val="0"/>
          <w:numId w:val="0"/>
        </w:numPr>
        <w:kinsoku/>
        <w:wordWrap/>
        <w:overflowPunct/>
        <w:topLinePunct w:val="0"/>
        <w:autoSpaceDE/>
        <w:autoSpaceDN/>
        <w:bidi w:val="0"/>
        <w:adjustRightInd/>
        <w:snapToGrid/>
        <w:textAlignment w:val="auto"/>
        <w:rPr>
          <w:rFonts w:hint="eastAsia" w:ascii="宋体" w:hAnsi="宋体" w:eastAsia="宋体" w:cs="宋体"/>
          <w:spacing w:val="0"/>
          <w:sz w:val="24"/>
          <w:szCs w:val="24"/>
          <w:highlight w:val="none"/>
          <w:lang w:val="en-US" w:eastAsia="zh-CN"/>
        </w:rPr>
      </w:pPr>
      <w:r>
        <w:rPr>
          <w:rFonts w:hint="eastAsia" w:ascii="宋体" w:hAnsi="宋体" w:eastAsia="宋体" w:cs="宋体"/>
          <w:spacing w:val="0"/>
          <w:sz w:val="24"/>
          <w:szCs w:val="24"/>
          <w:highlight w:val="none"/>
          <w:lang w:val="en-US" w:eastAsia="zh-CN"/>
        </w:rPr>
        <w:t>2025年全区学校教育教学设施设备采购项目第二批次(信息化及多媒体类部室)第四包</w:t>
      </w:r>
    </w:p>
    <w:p w14:paraId="4AA5A3EA">
      <w:pPr>
        <w:numPr>
          <w:ilvl w:val="0"/>
          <w:numId w:val="6"/>
        </w:numPr>
        <w:bidi w:val="0"/>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采购清单</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8"/>
        <w:gridCol w:w="914"/>
        <w:gridCol w:w="677"/>
        <w:gridCol w:w="6109"/>
        <w:gridCol w:w="625"/>
        <w:gridCol w:w="671"/>
      </w:tblGrid>
      <w:tr w14:paraId="775DF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14:paraId="7D730332">
            <w:pPr>
              <w:keepNext w:val="0"/>
              <w:keepLines w:val="0"/>
              <w:widowControl/>
              <w:suppressLineNumbers w:val="0"/>
              <w:jc w:val="left"/>
              <w:textAlignment w:val="center"/>
              <w:rPr>
                <w:rFonts w:hint="eastAsia" w:eastAsia="宋体"/>
                <w:sz w:val="20"/>
                <w:szCs w:val="20"/>
                <w:highlight w:val="none"/>
                <w:vertAlign w:val="baseline"/>
                <w:lang w:val="en-US" w:eastAsia="zh-CN"/>
              </w:rPr>
            </w:pPr>
            <w:bookmarkStart w:id="17" w:name="_Toc100219615"/>
            <w:r>
              <w:rPr>
                <w:rFonts w:hint="eastAsia" w:ascii="宋体" w:hAnsi="宋体" w:eastAsia="宋体" w:cs="宋体"/>
                <w:i w:val="0"/>
                <w:iCs w:val="0"/>
                <w:color w:val="000000"/>
                <w:kern w:val="0"/>
                <w:sz w:val="20"/>
                <w:szCs w:val="20"/>
                <w:highlight w:val="none"/>
                <w:u w:val="none"/>
                <w:lang w:val="en-US" w:eastAsia="zh-CN" w:bidi="ar"/>
              </w:rPr>
              <w:t>序号</w:t>
            </w:r>
          </w:p>
        </w:tc>
        <w:tc>
          <w:tcPr>
            <w:tcW w:w="0" w:type="auto"/>
            <w:noWrap w:val="0"/>
            <w:vAlign w:val="top"/>
          </w:tcPr>
          <w:p w14:paraId="0E820F90">
            <w:pPr>
              <w:rPr>
                <w:sz w:val="20"/>
                <w:szCs w:val="20"/>
                <w:highlight w:val="none"/>
                <w:vertAlign w:val="baseline"/>
              </w:rPr>
            </w:pPr>
            <w:r>
              <w:rPr>
                <w:rFonts w:hint="eastAsia"/>
                <w:sz w:val="20"/>
                <w:szCs w:val="20"/>
                <w:highlight w:val="none"/>
                <w:vertAlign w:val="baseline"/>
              </w:rPr>
              <w:t>部室名称/项目名称</w:t>
            </w:r>
          </w:p>
        </w:tc>
        <w:tc>
          <w:tcPr>
            <w:tcW w:w="0" w:type="auto"/>
            <w:noWrap w:val="0"/>
            <w:vAlign w:val="top"/>
          </w:tcPr>
          <w:p w14:paraId="24F0CBC0">
            <w:pPr>
              <w:rPr>
                <w:sz w:val="20"/>
                <w:szCs w:val="20"/>
                <w:highlight w:val="none"/>
                <w:vertAlign w:val="baseline"/>
              </w:rPr>
            </w:pPr>
            <w:r>
              <w:rPr>
                <w:rFonts w:hint="eastAsia"/>
                <w:sz w:val="20"/>
                <w:szCs w:val="20"/>
                <w:highlight w:val="none"/>
                <w:vertAlign w:val="baseline"/>
              </w:rPr>
              <w:t>设备名称</w:t>
            </w:r>
          </w:p>
        </w:tc>
        <w:tc>
          <w:tcPr>
            <w:tcW w:w="0" w:type="auto"/>
            <w:noWrap w:val="0"/>
            <w:vAlign w:val="center"/>
          </w:tcPr>
          <w:p w14:paraId="74BFFD31">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规格参数</w:t>
            </w:r>
          </w:p>
        </w:tc>
        <w:tc>
          <w:tcPr>
            <w:tcW w:w="0" w:type="auto"/>
            <w:noWrap w:val="0"/>
            <w:vAlign w:val="top"/>
          </w:tcPr>
          <w:p w14:paraId="38568C83">
            <w:pPr>
              <w:rPr>
                <w:sz w:val="20"/>
                <w:szCs w:val="20"/>
                <w:highlight w:val="none"/>
                <w:vertAlign w:val="baseline"/>
              </w:rPr>
            </w:pPr>
            <w:r>
              <w:rPr>
                <w:rFonts w:hint="eastAsia"/>
                <w:sz w:val="20"/>
                <w:szCs w:val="20"/>
                <w:highlight w:val="none"/>
                <w:vertAlign w:val="baseline"/>
              </w:rPr>
              <w:t>采购数量</w:t>
            </w:r>
          </w:p>
        </w:tc>
        <w:tc>
          <w:tcPr>
            <w:tcW w:w="0" w:type="auto"/>
            <w:noWrap w:val="0"/>
            <w:vAlign w:val="top"/>
          </w:tcPr>
          <w:p w14:paraId="66810723">
            <w:pPr>
              <w:rPr>
                <w:sz w:val="20"/>
                <w:szCs w:val="20"/>
                <w:highlight w:val="none"/>
                <w:vertAlign w:val="baseline"/>
              </w:rPr>
            </w:pPr>
            <w:r>
              <w:rPr>
                <w:rFonts w:hint="eastAsia"/>
                <w:sz w:val="20"/>
                <w:szCs w:val="20"/>
                <w:highlight w:val="none"/>
                <w:vertAlign w:val="baseline"/>
              </w:rPr>
              <w:t>学校名称</w:t>
            </w:r>
          </w:p>
        </w:tc>
      </w:tr>
      <w:tr w14:paraId="65863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14:paraId="6709680E">
            <w:pPr>
              <w:keepNext w:val="0"/>
              <w:keepLines w:val="0"/>
              <w:widowControl/>
              <w:suppressLineNumbers w:val="0"/>
              <w:jc w:val="righ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w:t>
            </w:r>
          </w:p>
        </w:tc>
        <w:tc>
          <w:tcPr>
            <w:tcW w:w="0" w:type="auto"/>
            <w:noWrap w:val="0"/>
            <w:vAlign w:val="center"/>
          </w:tcPr>
          <w:p w14:paraId="6C8FBAF9">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移动检点车及其RFID系统操作软件</w:t>
            </w:r>
          </w:p>
        </w:tc>
        <w:tc>
          <w:tcPr>
            <w:tcW w:w="0" w:type="auto"/>
            <w:noWrap w:val="0"/>
            <w:vAlign w:val="center"/>
          </w:tcPr>
          <w:p w14:paraId="2F823B28">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移动检点车及其RFID系统操作软件</w:t>
            </w:r>
          </w:p>
        </w:tc>
        <w:tc>
          <w:tcPr>
            <w:tcW w:w="0" w:type="auto"/>
            <w:noWrap w:val="0"/>
            <w:vAlign w:val="center"/>
          </w:tcPr>
          <w:p w14:paraId="62DEEEB6">
            <w:pPr>
              <w:keepNext w:val="0"/>
              <w:keepLines w:val="0"/>
              <w:widowControl/>
              <w:numPr>
                <w:ilvl w:val="0"/>
                <w:numId w:val="7"/>
              </w:numPr>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技术要求</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1.工作频率：≥13.56MHz</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2.屏幕尺寸：≥19英寸电容触摸一体机</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3.主机配置：windows系统，≥4G运行内存，≥128G存储内存</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4.供电方式：锂离子蓄电池 容量：≥120000mAh</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5.充电一次可使用：≥5小时</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二、功能要求</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通过对书架上粘贴有RFID标签的流通资料的扫描，扫描速度高效，精确可靠，实现盘点、顺架、错架、数据采集处理功能。</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1.非接触式地快速识别粘贴在流通资料上的RFID标签和层标、架标，完成盘点、查找等功能。</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2.盘点：能够生成在架图书列表，同应在架图书列表比对后能生成缺书图书列表。</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3.顺架：盘点过程中发现与架位序列表不符的图书进行提示，并标示出图书所的正确架位号，以便于管理员进行图书的顺架工作。</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4.状态改写：对于已借出的图书馆员可以直接在盘点设备上直接改写，无需到借还设备上操作，方便馆员上架图书。</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5.数据采集处理及批处理：可在盘点过程中在盘点仪中生成表单，将表单上传至服务器进行批处理作业。</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6.支持无线盘点，盘点拍与电脑主机通过蓝牙连接，在一定范围内可进行无线盘点，无线数据传输摆脱传统传输方式的束缚。</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7.设备具备电量百分比显示，可以显示电池所剩电量的百分比，方便管理员对设备进行及时充电。                                                                                      三、产品要求</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1.所投产品具有国家强制性3C认证证书，提供证书复印件。</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2.产品通过防尘、防水试验，≥IP54。</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3.所投设备外观应无漏喷、锈蚀和脱色、掉色现象，表面涂层光滑均匀、色泽一致、无流挂、疙瘩、皱皮飞漆等缺陷。</w:t>
            </w:r>
          </w:p>
        </w:tc>
        <w:tc>
          <w:tcPr>
            <w:tcW w:w="0" w:type="auto"/>
            <w:noWrap w:val="0"/>
            <w:vAlign w:val="center"/>
          </w:tcPr>
          <w:p w14:paraId="094170C7">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w:t>
            </w:r>
          </w:p>
        </w:tc>
        <w:tc>
          <w:tcPr>
            <w:tcW w:w="0" w:type="auto"/>
            <w:noWrap w:val="0"/>
            <w:vAlign w:val="center"/>
          </w:tcPr>
          <w:p w14:paraId="63D476CB">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浐灞国际港第一学校（暂定名）</w:t>
            </w:r>
          </w:p>
        </w:tc>
      </w:tr>
      <w:tr w14:paraId="667C3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14:paraId="2DC6FD56">
            <w:pPr>
              <w:keepNext w:val="0"/>
              <w:keepLines w:val="0"/>
              <w:widowControl/>
              <w:suppressLineNumbers w:val="0"/>
              <w:jc w:val="righ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2</w:t>
            </w:r>
          </w:p>
        </w:tc>
        <w:tc>
          <w:tcPr>
            <w:tcW w:w="0" w:type="auto"/>
            <w:noWrap w:val="0"/>
            <w:vAlign w:val="center"/>
          </w:tcPr>
          <w:p w14:paraId="60EB0420">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墨水屏阅读器</w:t>
            </w:r>
          </w:p>
        </w:tc>
        <w:tc>
          <w:tcPr>
            <w:tcW w:w="0" w:type="auto"/>
            <w:noWrap w:val="0"/>
            <w:vAlign w:val="center"/>
          </w:tcPr>
          <w:p w14:paraId="02818672">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阅读器</w:t>
            </w:r>
          </w:p>
        </w:tc>
        <w:tc>
          <w:tcPr>
            <w:tcW w:w="0" w:type="auto"/>
            <w:noWrap w:val="0"/>
            <w:vAlign w:val="center"/>
          </w:tcPr>
          <w:p w14:paraId="6B156208">
            <w:pPr>
              <w:keepNext w:val="0"/>
              <w:keepLines w:val="0"/>
              <w:widowControl/>
              <w:numPr>
                <w:ilvl w:val="0"/>
                <w:numId w:val="8"/>
              </w:numPr>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 xml:space="preserve">主芯片：≥四核 </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 xml:space="preserve">2.缓存：≥3GB </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3.内置存储：≥64G</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 xml:space="preserve">4.屏幕材质：电子墨水屏 </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 xml:space="preserve">5.屏幕尺寸：≥10.3英寸 </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6.屏幕类型：纯平面板</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7.分辨率：≥1404x1872</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8.触控类型：电容触控</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9.前照光：NA</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10.无线连接：WIFI、蓝牙</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11.电池：≥3800毫安锂电</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12.数据接口：Type-C</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13.应用程序：支持用户安装安卓应用程序</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14.浏览器：支持</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15.固件升级：支持本地升级/OTA升级</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学生端：</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提供不少于8000本适合中小学使用的高清电子图书，图书资源针对各个年级（1-12年级）提供不同的书籍，并按照全国优秀儿童奖、百年百部中国儿童文学、诺贝尔文学奖、世界文学名著、中小学必读书籍、国学经典、哲学书籍、文学艺术等进行分类；图书内容定期更新；</w:t>
            </w:r>
          </w:p>
          <w:p w14:paraId="31921DB7">
            <w:pPr>
              <w:keepNext w:val="0"/>
              <w:keepLines w:val="0"/>
              <w:widowControl/>
              <w:numPr>
                <w:ilvl w:val="0"/>
                <w:numId w:val="8"/>
              </w:numPr>
              <w:suppressLineNumbers w:val="0"/>
              <w:ind w:left="0" w:leftChars="0" w:firstLine="0" w:firstLineChars="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通过在线书城下载，直接阅读原版文本全文，每月更新量不少于100本。</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3.提供适合中小学学生的图书测评题库，根据图书内容进行测评，可在线答题，在线获得测评结果。</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4.可提供学生用户个人阅读时长、班级排行、年级排行全校排名、同学录等数据。</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5.学生用户支持图书下载、图书阅读、图书测评、读后感写作、朗读等功能；</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6.支持布置朗读类作业；</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7.支持PDF, EPUB , TXT,  MOBI等格式本地图书导入阅读；</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8.支持图书字体大小切换、关键词搜索、章节目录查找、文字批注、翻译成英文、复制粘贴等阅读功能；</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9.学生端用户同时支持手机端应用且同时支持以上所有功能；</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10.系统支持学生阅读后感语音输入并及时转换文字读后感；</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12.朗读作业提供海量精选朗读素材，支持录制领读音频，为学生提供朗读范例。包含名家散文、诗歌类、经典国学类、文学类等。</w:t>
            </w:r>
          </w:p>
          <w:p w14:paraId="668D7428">
            <w:pPr>
              <w:keepNext w:val="0"/>
              <w:keepLines w:val="0"/>
              <w:widowControl/>
              <w:numPr>
                <w:ilvl w:val="0"/>
                <w:numId w:val="0"/>
              </w:numPr>
              <w:suppressLineNumbers w:val="0"/>
              <w:ind w:leftChars="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教师端：</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1.老师可通过教师端书城给学生推荐优质书籍，学生在学生端书城首页点击老师导读，即可看到老师推荐的优质书籍；</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 教师端支持发布公告至特定班级，可随时发布；</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3.支持布置作业，作业类型分别为书籍阅读、短篇阅读、朗读作业；书籍阅读作业可以引用书城内书籍的具体章节，学生点击即可跳转至阅读界面，高效方便完成阅读作业；短篇阅读支持老师随时布置纸质资料中的精彩篇章，转化为电子阅读作业，分享给学生阅读；海量精选朗读素材，且可录制领读音频，为学生提供朗读范例；</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4.查看作业报告，可查看作业平均正确率、完成人数以及完成率，具体题目的准确率，且可查看学生具体的作业报告；</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5.班级阅读详情数据统计，统计总阅读时长、人均阅读时长、总阅读量、人均阅读量，最近七天阅读数据图直观明了地体现班级阅读数据，且可分析学生对不同种类图书偏好程度；</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6.学生个人的阅读数据，分别为阅读字数、阅读数量、阅读时长，且可以对其进行排序，数据直观清晰；</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7.排行榜数据，可查看班级内学生的阅读时长排行，以及班级在年级、全校、全国的排行。</w:t>
            </w:r>
          </w:p>
        </w:tc>
        <w:tc>
          <w:tcPr>
            <w:tcW w:w="0" w:type="auto"/>
            <w:noWrap w:val="0"/>
            <w:vAlign w:val="center"/>
          </w:tcPr>
          <w:p w14:paraId="1FA69E09">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30</w:t>
            </w:r>
          </w:p>
        </w:tc>
        <w:tc>
          <w:tcPr>
            <w:tcW w:w="0" w:type="auto"/>
            <w:noWrap w:val="0"/>
            <w:vAlign w:val="center"/>
          </w:tcPr>
          <w:p w14:paraId="236C600B">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浐灞国际港第一学校（暂定名）</w:t>
            </w:r>
          </w:p>
        </w:tc>
      </w:tr>
      <w:tr w14:paraId="1E281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14:paraId="146B1075">
            <w:pPr>
              <w:keepNext w:val="0"/>
              <w:keepLines w:val="0"/>
              <w:widowControl/>
              <w:suppressLineNumbers w:val="0"/>
              <w:jc w:val="righ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3</w:t>
            </w:r>
          </w:p>
        </w:tc>
        <w:tc>
          <w:tcPr>
            <w:tcW w:w="0" w:type="auto"/>
            <w:noWrap w:val="0"/>
            <w:vAlign w:val="center"/>
          </w:tcPr>
          <w:p w14:paraId="25F9E2AE">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墨水屏充电车</w:t>
            </w:r>
          </w:p>
        </w:tc>
        <w:tc>
          <w:tcPr>
            <w:tcW w:w="0" w:type="auto"/>
            <w:noWrap w:val="0"/>
            <w:vAlign w:val="center"/>
          </w:tcPr>
          <w:p w14:paraId="323D8F10">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充电车</w:t>
            </w:r>
          </w:p>
        </w:tc>
        <w:tc>
          <w:tcPr>
            <w:tcW w:w="0" w:type="auto"/>
            <w:noWrap w:val="0"/>
            <w:vAlign w:val="center"/>
          </w:tcPr>
          <w:p w14:paraId="4DEB4861">
            <w:pPr>
              <w:keepNext w:val="0"/>
              <w:keepLines w:val="0"/>
              <w:widowControl/>
              <w:numPr>
                <w:ilvl w:val="0"/>
                <w:numId w:val="9"/>
              </w:numPr>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整机支持≥60台设备同时充电；整机尺寸：≥长570*宽510*高1050（mm）；柜体工位可放置最大设备尺寸≥280*200*30（mm）；</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2、主体材质1.0-3.0（mm）SPCC冷轧碳素钢与环保ABS工程塑料相结合;采用全封闭防盗结构、工艺上耐酸碱腐蚀、耐磨、防静电等。</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3、顶盖边角圆弧设计，安全稳固。</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4、采用分舱设计，前部为老师、学生使用区域，后部为设备调试维护区域。前后使用不同防盗锁（其中前门为双重防盗天地锁）。内部分舱，强弱电分离。（前舱为设备放置充电区域，学生接触区域，无强电；后舱为电源管理控制区域，由专业管理人员控制）。</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5、四轮万向，两轮带刹车和左右人体工学把手。</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6、循环散热结构，温控感应控制风扇强制散热。</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7、环保工程塑料单机隔断，保证隔断塑料面板厚度不低于7MM，以保证隔板强度。</w:t>
            </w:r>
          </w:p>
          <w:p w14:paraId="6ADD61D5">
            <w:pPr>
              <w:keepNext w:val="0"/>
              <w:keepLines w:val="0"/>
              <w:widowControl/>
              <w:numPr>
                <w:ilvl w:val="0"/>
                <w:numId w:val="0"/>
              </w:numPr>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8、供电安全方面采用独有的USB接口后置供电模式，5V/0.5-2A之间智能输出，电源管理芯片式集成电路设计，自动检测平板允许输入电流，优先供应低电位设备。根据电池电量自动以普通，快速，涓流三种模式供电，满电自动断电。</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9、配有一体化电源管理系统，集防漏电，防短路，防过载，多模式显示数码智能开关机功能为一体。可设置时间，具有优先供电功能。使用（自动）时，系统默认为全天充电。</w:t>
            </w:r>
          </w:p>
        </w:tc>
        <w:tc>
          <w:tcPr>
            <w:tcW w:w="0" w:type="auto"/>
            <w:noWrap w:val="0"/>
            <w:vAlign w:val="center"/>
          </w:tcPr>
          <w:p w14:paraId="00E5BD2F">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w:t>
            </w:r>
          </w:p>
        </w:tc>
        <w:tc>
          <w:tcPr>
            <w:tcW w:w="0" w:type="auto"/>
            <w:noWrap w:val="0"/>
            <w:vAlign w:val="center"/>
          </w:tcPr>
          <w:p w14:paraId="75B61573">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浐灞国际港第一学校（暂定名）</w:t>
            </w:r>
          </w:p>
        </w:tc>
      </w:tr>
      <w:tr w14:paraId="4E277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14:paraId="4BE74146">
            <w:pPr>
              <w:keepNext w:val="0"/>
              <w:keepLines w:val="0"/>
              <w:widowControl/>
              <w:suppressLineNumbers w:val="0"/>
              <w:jc w:val="righ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4</w:t>
            </w:r>
          </w:p>
        </w:tc>
        <w:tc>
          <w:tcPr>
            <w:tcW w:w="0" w:type="auto"/>
            <w:noWrap w:val="0"/>
            <w:vAlign w:val="center"/>
          </w:tcPr>
          <w:p w14:paraId="77274CE2">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弱电：校园监控设备更新采购</w:t>
            </w:r>
          </w:p>
        </w:tc>
        <w:tc>
          <w:tcPr>
            <w:tcW w:w="0" w:type="auto"/>
            <w:noWrap w:val="0"/>
            <w:vAlign w:val="center"/>
          </w:tcPr>
          <w:p w14:paraId="1F733429">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枪式摄像机</w:t>
            </w:r>
          </w:p>
        </w:tc>
        <w:tc>
          <w:tcPr>
            <w:tcW w:w="0" w:type="auto"/>
            <w:noWrap w:val="0"/>
            <w:vAlign w:val="center"/>
          </w:tcPr>
          <w:p w14:paraId="31EBFC4C">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枪式摄像机传感器类型：1/2.8英寸CMOS   像素：≥200万   最大分辨率：1920×1080  扫描方式：逐行扫描  电子快门：1/3s～1/100000s（可手动或自动调节）  最低照度：0.01lux（彩色模式）；0.001lux（黑白模式）；0lux（补光灯开启）  信噪比：≥56dB  最大补光距离：80m（红外）  补光灯：红外灯；镜头尺寸6mm</w:t>
            </w:r>
          </w:p>
        </w:tc>
        <w:tc>
          <w:tcPr>
            <w:tcW w:w="0" w:type="auto"/>
            <w:noWrap w:val="0"/>
            <w:vAlign w:val="center"/>
          </w:tcPr>
          <w:p w14:paraId="746BB5C5">
            <w:pPr>
              <w:keepNext w:val="0"/>
              <w:keepLines w:val="0"/>
              <w:widowControl/>
              <w:suppressLineNumbers w:val="0"/>
              <w:jc w:val="center"/>
              <w:textAlignment w:val="center"/>
              <w:rPr>
                <w:sz w:val="20"/>
                <w:szCs w:val="20"/>
                <w:highlight w:val="none"/>
                <w:vertAlign w:val="baseline"/>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0" w:type="auto"/>
            <w:noWrap w:val="0"/>
            <w:vAlign w:val="center"/>
          </w:tcPr>
          <w:p w14:paraId="6E3B1960">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西大附中浐灞中学</w:t>
            </w:r>
          </w:p>
        </w:tc>
      </w:tr>
      <w:tr w14:paraId="52815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14:paraId="2D67DCED">
            <w:pPr>
              <w:keepNext w:val="0"/>
              <w:keepLines w:val="0"/>
              <w:widowControl/>
              <w:suppressLineNumbers w:val="0"/>
              <w:jc w:val="righ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5</w:t>
            </w:r>
          </w:p>
        </w:tc>
        <w:tc>
          <w:tcPr>
            <w:tcW w:w="0" w:type="auto"/>
            <w:noWrap w:val="0"/>
            <w:vAlign w:val="center"/>
          </w:tcPr>
          <w:p w14:paraId="0919CEF3">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弱电：校园监控设备更新采购</w:t>
            </w:r>
          </w:p>
        </w:tc>
        <w:tc>
          <w:tcPr>
            <w:tcW w:w="0" w:type="auto"/>
            <w:noWrap w:val="0"/>
            <w:vAlign w:val="center"/>
          </w:tcPr>
          <w:p w14:paraId="4354D468">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枪式摄像机</w:t>
            </w:r>
          </w:p>
        </w:tc>
        <w:tc>
          <w:tcPr>
            <w:tcW w:w="0" w:type="auto"/>
            <w:noWrap w:val="0"/>
            <w:vAlign w:val="center"/>
          </w:tcPr>
          <w:p w14:paraId="4E6C420E">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枪式摄像机传感器类型：1/2.8英寸CMOS   像素：≥200万   最大分辨率：1920×1080  扫描方式：逐行扫描  电子快门：1/3s～1/100000s（可手动或自动调节）  最低照度：0.01lux（彩色模式）；0.001lux（黑白模式）；0lux（补光灯开启）  信噪比：≥56dB  最大补光距离：80m（红外）  补光灯：红外灯；镜头尺寸3.6mm</w:t>
            </w:r>
          </w:p>
        </w:tc>
        <w:tc>
          <w:tcPr>
            <w:tcW w:w="0" w:type="auto"/>
            <w:noWrap w:val="0"/>
            <w:vAlign w:val="center"/>
          </w:tcPr>
          <w:p w14:paraId="3F89B33B">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74</w:t>
            </w:r>
          </w:p>
        </w:tc>
        <w:tc>
          <w:tcPr>
            <w:tcW w:w="0" w:type="auto"/>
            <w:noWrap w:val="0"/>
            <w:vAlign w:val="center"/>
          </w:tcPr>
          <w:p w14:paraId="167104E8">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西大附中浐灞中学</w:t>
            </w:r>
          </w:p>
        </w:tc>
      </w:tr>
      <w:tr w14:paraId="1FB6D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14:paraId="23F17A51">
            <w:pPr>
              <w:keepNext w:val="0"/>
              <w:keepLines w:val="0"/>
              <w:widowControl/>
              <w:suppressLineNumbers w:val="0"/>
              <w:jc w:val="righ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6</w:t>
            </w:r>
          </w:p>
        </w:tc>
        <w:tc>
          <w:tcPr>
            <w:tcW w:w="0" w:type="auto"/>
            <w:noWrap w:val="0"/>
            <w:vAlign w:val="center"/>
          </w:tcPr>
          <w:p w14:paraId="42C2B3C4">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弱电：校园监控设备更新采购</w:t>
            </w:r>
          </w:p>
        </w:tc>
        <w:tc>
          <w:tcPr>
            <w:tcW w:w="0" w:type="auto"/>
            <w:noWrap w:val="0"/>
            <w:vAlign w:val="center"/>
          </w:tcPr>
          <w:p w14:paraId="6AE07DF2">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球型摄像机</w:t>
            </w:r>
          </w:p>
        </w:tc>
        <w:tc>
          <w:tcPr>
            <w:tcW w:w="0" w:type="auto"/>
            <w:noWrap w:val="0"/>
            <w:vAlign w:val="center"/>
          </w:tcPr>
          <w:p w14:paraId="51E79406">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球型摄像机 传感器类型：1/2.8英寸CMOS  像素：≥400万  最大补光距离：150m（红外）； 补光类型：红外+白光  镜头：光学变倍25倍 云台旋转范围：水平：0°~360°连续旋转 垂直：-20°~+90°自动翻转180° 日夜转换/ICR自动切换/电子彩转黑  宽动态/强光抑制/白平衡/2D降噪/3D降噪  电子防抖/电子透雾   信噪比：≥55dB</w:t>
            </w:r>
          </w:p>
        </w:tc>
        <w:tc>
          <w:tcPr>
            <w:tcW w:w="0" w:type="auto"/>
            <w:noWrap w:val="0"/>
            <w:vAlign w:val="center"/>
          </w:tcPr>
          <w:p w14:paraId="469BE62B">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6</w:t>
            </w:r>
          </w:p>
        </w:tc>
        <w:tc>
          <w:tcPr>
            <w:tcW w:w="0" w:type="auto"/>
            <w:noWrap w:val="0"/>
            <w:vAlign w:val="center"/>
          </w:tcPr>
          <w:p w14:paraId="4D1730AF">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西大附中浐灞中学</w:t>
            </w:r>
          </w:p>
        </w:tc>
      </w:tr>
      <w:tr w14:paraId="159B5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14:paraId="5A6D955B">
            <w:pPr>
              <w:keepNext w:val="0"/>
              <w:keepLines w:val="0"/>
              <w:widowControl/>
              <w:suppressLineNumbers w:val="0"/>
              <w:jc w:val="righ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7</w:t>
            </w:r>
          </w:p>
        </w:tc>
        <w:tc>
          <w:tcPr>
            <w:tcW w:w="0" w:type="auto"/>
            <w:noWrap w:val="0"/>
            <w:vAlign w:val="center"/>
          </w:tcPr>
          <w:p w14:paraId="4BC7F300">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弱电：校园监控设备更新采购</w:t>
            </w:r>
          </w:p>
        </w:tc>
        <w:tc>
          <w:tcPr>
            <w:tcW w:w="0" w:type="auto"/>
            <w:noWrap w:val="0"/>
            <w:vAlign w:val="center"/>
          </w:tcPr>
          <w:p w14:paraId="6111EA2A">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硬盘录像机更换主处理器</w:t>
            </w:r>
          </w:p>
        </w:tc>
        <w:tc>
          <w:tcPr>
            <w:tcW w:w="0" w:type="auto"/>
            <w:noWrap w:val="0"/>
            <w:vAlign w:val="center"/>
          </w:tcPr>
          <w:p w14:paraId="552242F9">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 xml:space="preserve">硬盘录像机更换主处理器：工业级微控制器   智能应用：后智能分析   支持后智能人脸检测、人脸识别、周界防范、智能动检  接入路数：32路；支持三方摄像机接入；网络模式：支持多址模式、负载均衡、容错、链路聚合等网口绑定模式  供电方式：AC100V–240V, 50-60Hz  功耗：≤13W 工作温度：-10℃～+55℃   工作湿度：10%~90 安装方式：机架安装/台式安装        </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 xml:space="preserve">  </w:t>
            </w:r>
          </w:p>
        </w:tc>
        <w:tc>
          <w:tcPr>
            <w:tcW w:w="0" w:type="auto"/>
            <w:noWrap w:val="0"/>
            <w:vAlign w:val="center"/>
          </w:tcPr>
          <w:p w14:paraId="7A6E3038">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6</w:t>
            </w:r>
          </w:p>
        </w:tc>
        <w:tc>
          <w:tcPr>
            <w:tcW w:w="0" w:type="auto"/>
            <w:noWrap w:val="0"/>
            <w:vAlign w:val="center"/>
          </w:tcPr>
          <w:p w14:paraId="7A0839FC">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西大附中浐灞中学</w:t>
            </w:r>
          </w:p>
        </w:tc>
      </w:tr>
      <w:tr w14:paraId="1F4BC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14:paraId="3E690FFB">
            <w:pPr>
              <w:keepNext w:val="0"/>
              <w:keepLines w:val="0"/>
              <w:widowControl/>
              <w:suppressLineNumbers w:val="0"/>
              <w:jc w:val="righ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8</w:t>
            </w:r>
          </w:p>
        </w:tc>
        <w:tc>
          <w:tcPr>
            <w:tcW w:w="0" w:type="auto"/>
            <w:noWrap w:val="0"/>
            <w:vAlign w:val="center"/>
          </w:tcPr>
          <w:p w14:paraId="2D6D510C">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弱电：校园监控设备更新采购</w:t>
            </w:r>
          </w:p>
        </w:tc>
        <w:tc>
          <w:tcPr>
            <w:tcW w:w="0" w:type="auto"/>
            <w:noWrap w:val="0"/>
            <w:vAlign w:val="center"/>
          </w:tcPr>
          <w:p w14:paraId="44D62DEC">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校园监控设备更新采购</w:t>
            </w:r>
          </w:p>
        </w:tc>
        <w:tc>
          <w:tcPr>
            <w:tcW w:w="0" w:type="auto"/>
            <w:noWrap w:val="0"/>
            <w:vAlign w:val="center"/>
          </w:tcPr>
          <w:p w14:paraId="565F9445">
            <w:pPr>
              <w:keepNext w:val="0"/>
              <w:keepLines w:val="0"/>
              <w:widowControl/>
              <w:suppressLineNumbers w:val="0"/>
              <w:jc w:val="left"/>
              <w:textAlignment w:val="center"/>
              <w:rPr>
                <w:sz w:val="20"/>
                <w:szCs w:val="20"/>
                <w:highlight w:val="none"/>
                <w:vertAlign w:val="baseline"/>
              </w:rPr>
            </w:pPr>
            <w:r>
              <w:rPr>
                <w:rStyle w:val="115"/>
                <w:rFonts w:eastAsia="宋体"/>
                <w:sz w:val="20"/>
                <w:szCs w:val="20"/>
                <w:highlight w:val="none"/>
                <w:lang w:val="en-US" w:eastAsia="zh-CN" w:bidi="ar"/>
              </w:rPr>
              <w:t>‌</w:t>
            </w:r>
            <w:r>
              <w:rPr>
                <w:rFonts w:hint="eastAsia" w:ascii="宋体" w:hAnsi="宋体" w:eastAsia="宋体" w:cs="宋体"/>
                <w:i w:val="0"/>
                <w:iCs w:val="0"/>
                <w:color w:val="000000"/>
                <w:kern w:val="0"/>
                <w:sz w:val="20"/>
                <w:szCs w:val="20"/>
                <w:highlight w:val="none"/>
                <w:u w:val="none"/>
                <w:lang w:val="en-US" w:eastAsia="zh-CN" w:bidi="ar"/>
              </w:rPr>
              <w:t>容量</w:t>
            </w:r>
            <w:r>
              <w:rPr>
                <w:rStyle w:val="115"/>
                <w:rFonts w:eastAsia="宋体"/>
                <w:sz w:val="20"/>
                <w:szCs w:val="20"/>
                <w:highlight w:val="none"/>
                <w:lang w:val="en-US" w:eastAsia="zh-CN" w:bidi="ar"/>
              </w:rPr>
              <w:t>‌</w:t>
            </w:r>
            <w:r>
              <w:rPr>
                <w:rFonts w:hint="eastAsia" w:ascii="宋体" w:hAnsi="宋体" w:eastAsia="宋体" w:cs="宋体"/>
                <w:i w:val="0"/>
                <w:iCs w:val="0"/>
                <w:color w:val="000000"/>
                <w:kern w:val="0"/>
                <w:sz w:val="20"/>
                <w:szCs w:val="20"/>
                <w:highlight w:val="none"/>
                <w:u w:val="none"/>
                <w:lang w:val="en-US" w:eastAsia="zh-CN" w:bidi="ar"/>
              </w:rPr>
              <w:t>：≥10TB（10000GB）</w:t>
            </w:r>
            <w:r>
              <w:rPr>
                <w:rStyle w:val="115"/>
                <w:rFonts w:eastAsia="宋体"/>
                <w:sz w:val="20"/>
                <w:szCs w:val="20"/>
                <w:highlight w:val="none"/>
                <w:lang w:val="en-US" w:eastAsia="zh-CN" w:bidi="ar"/>
              </w:rPr>
              <w:t>‌</w:t>
            </w:r>
            <w:r>
              <w:rPr>
                <w:rFonts w:hint="eastAsia" w:ascii="宋体" w:hAnsi="宋体" w:eastAsia="宋体" w:cs="宋体"/>
                <w:i w:val="0"/>
                <w:iCs w:val="0"/>
                <w:color w:val="000000"/>
                <w:kern w:val="0"/>
                <w:sz w:val="20"/>
                <w:szCs w:val="20"/>
                <w:highlight w:val="none"/>
                <w:u w:val="none"/>
                <w:lang w:val="en-US" w:eastAsia="zh-CN" w:bidi="ar"/>
              </w:rPr>
              <w:t>；</w:t>
            </w:r>
            <w:r>
              <w:rPr>
                <w:rStyle w:val="115"/>
                <w:rFonts w:eastAsia="宋体"/>
                <w:sz w:val="20"/>
                <w:szCs w:val="20"/>
                <w:highlight w:val="none"/>
                <w:lang w:val="en-US" w:eastAsia="zh-CN" w:bidi="ar"/>
              </w:rPr>
              <w:t>‌</w:t>
            </w:r>
            <w:r>
              <w:rPr>
                <w:rFonts w:hint="eastAsia" w:ascii="宋体" w:hAnsi="宋体" w:eastAsia="宋体" w:cs="宋体"/>
                <w:i w:val="0"/>
                <w:iCs w:val="0"/>
                <w:color w:val="000000"/>
                <w:kern w:val="0"/>
                <w:sz w:val="20"/>
                <w:szCs w:val="20"/>
                <w:highlight w:val="none"/>
                <w:u w:val="none"/>
                <w:lang w:val="en-US" w:eastAsia="zh-CN" w:bidi="ar"/>
              </w:rPr>
              <w:t>接口</w:t>
            </w:r>
            <w:r>
              <w:rPr>
                <w:rStyle w:val="115"/>
                <w:rFonts w:eastAsia="宋体"/>
                <w:sz w:val="20"/>
                <w:szCs w:val="20"/>
                <w:highlight w:val="none"/>
                <w:lang w:val="en-US" w:eastAsia="zh-CN" w:bidi="ar"/>
              </w:rPr>
              <w:t>‌</w:t>
            </w:r>
            <w:r>
              <w:rPr>
                <w:rFonts w:hint="eastAsia" w:ascii="宋体" w:hAnsi="宋体" w:eastAsia="宋体" w:cs="宋体"/>
                <w:i w:val="0"/>
                <w:iCs w:val="0"/>
                <w:color w:val="000000"/>
                <w:kern w:val="0"/>
                <w:sz w:val="20"/>
                <w:szCs w:val="20"/>
                <w:highlight w:val="none"/>
                <w:u w:val="none"/>
                <w:lang w:val="en-US" w:eastAsia="zh-CN" w:bidi="ar"/>
              </w:rPr>
              <w:t>：SATA接口</w:t>
            </w:r>
            <w:r>
              <w:rPr>
                <w:rStyle w:val="115"/>
                <w:rFonts w:eastAsia="宋体"/>
                <w:sz w:val="20"/>
                <w:szCs w:val="20"/>
                <w:highlight w:val="none"/>
                <w:lang w:val="en-US" w:eastAsia="zh-CN" w:bidi="ar"/>
              </w:rPr>
              <w:t>‌</w:t>
            </w:r>
            <w:r>
              <w:rPr>
                <w:rFonts w:hint="eastAsia" w:ascii="宋体" w:hAnsi="宋体" w:eastAsia="宋体" w:cs="宋体"/>
                <w:i w:val="0"/>
                <w:iCs w:val="0"/>
                <w:color w:val="000000"/>
                <w:kern w:val="0"/>
                <w:sz w:val="20"/>
                <w:szCs w:val="20"/>
                <w:highlight w:val="none"/>
                <w:u w:val="none"/>
                <w:lang w:val="en-US" w:eastAsia="zh-CN" w:bidi="ar"/>
              </w:rPr>
              <w:t>；</w:t>
            </w:r>
            <w:r>
              <w:rPr>
                <w:rStyle w:val="115"/>
                <w:rFonts w:eastAsia="宋体"/>
                <w:sz w:val="20"/>
                <w:szCs w:val="20"/>
                <w:highlight w:val="none"/>
                <w:lang w:val="en-US" w:eastAsia="zh-CN" w:bidi="ar"/>
              </w:rPr>
              <w:t>‌</w:t>
            </w:r>
            <w:r>
              <w:rPr>
                <w:rFonts w:hint="eastAsia" w:ascii="宋体" w:hAnsi="宋体" w:eastAsia="宋体" w:cs="宋体"/>
                <w:i w:val="0"/>
                <w:iCs w:val="0"/>
                <w:color w:val="000000"/>
                <w:kern w:val="0"/>
                <w:sz w:val="20"/>
                <w:szCs w:val="20"/>
                <w:highlight w:val="none"/>
                <w:u w:val="none"/>
                <w:lang w:val="en-US" w:eastAsia="zh-CN" w:bidi="ar"/>
              </w:rPr>
              <w:t>转速</w:t>
            </w:r>
            <w:r>
              <w:rPr>
                <w:rStyle w:val="115"/>
                <w:rFonts w:eastAsia="宋体"/>
                <w:sz w:val="20"/>
                <w:szCs w:val="20"/>
                <w:highlight w:val="none"/>
                <w:lang w:val="en-US" w:eastAsia="zh-CN" w:bidi="ar"/>
              </w:rPr>
              <w:t>‌</w:t>
            </w:r>
            <w:r>
              <w:rPr>
                <w:rFonts w:hint="eastAsia" w:ascii="宋体" w:hAnsi="宋体" w:eastAsia="宋体" w:cs="宋体"/>
                <w:i w:val="0"/>
                <w:iCs w:val="0"/>
                <w:color w:val="000000"/>
                <w:kern w:val="0"/>
                <w:sz w:val="20"/>
                <w:szCs w:val="20"/>
                <w:highlight w:val="none"/>
                <w:u w:val="none"/>
                <w:lang w:val="en-US" w:eastAsia="zh-CN" w:bidi="ar"/>
              </w:rPr>
              <w:t>：≥7200转/分（rpm）</w:t>
            </w:r>
            <w:r>
              <w:rPr>
                <w:rStyle w:val="115"/>
                <w:rFonts w:eastAsia="宋体"/>
                <w:sz w:val="20"/>
                <w:szCs w:val="20"/>
                <w:highlight w:val="none"/>
                <w:lang w:val="en-US" w:eastAsia="zh-CN" w:bidi="ar"/>
              </w:rPr>
              <w:t>‌</w:t>
            </w:r>
            <w:r>
              <w:rPr>
                <w:rFonts w:hint="eastAsia" w:ascii="宋体" w:hAnsi="宋体" w:eastAsia="宋体" w:cs="宋体"/>
                <w:i w:val="0"/>
                <w:iCs w:val="0"/>
                <w:color w:val="000000"/>
                <w:kern w:val="0"/>
                <w:sz w:val="20"/>
                <w:szCs w:val="20"/>
                <w:highlight w:val="none"/>
                <w:u w:val="none"/>
                <w:lang w:val="en-US" w:eastAsia="zh-CN" w:bidi="ar"/>
              </w:rPr>
              <w:t>；</w:t>
            </w:r>
            <w:r>
              <w:rPr>
                <w:rStyle w:val="115"/>
                <w:rFonts w:eastAsia="宋体"/>
                <w:sz w:val="20"/>
                <w:szCs w:val="20"/>
                <w:highlight w:val="none"/>
                <w:lang w:val="en-US" w:eastAsia="zh-CN" w:bidi="ar"/>
              </w:rPr>
              <w:t>‌</w:t>
            </w:r>
            <w:r>
              <w:rPr>
                <w:rFonts w:hint="eastAsia" w:ascii="宋体" w:hAnsi="宋体" w:eastAsia="宋体" w:cs="宋体"/>
                <w:i w:val="0"/>
                <w:iCs w:val="0"/>
                <w:color w:val="000000"/>
                <w:kern w:val="0"/>
                <w:sz w:val="20"/>
                <w:szCs w:val="20"/>
                <w:highlight w:val="none"/>
                <w:u w:val="none"/>
                <w:lang w:val="en-US" w:eastAsia="zh-CN" w:bidi="ar"/>
              </w:rPr>
              <w:t>缓存</w:t>
            </w:r>
            <w:r>
              <w:rPr>
                <w:rStyle w:val="115"/>
                <w:rFonts w:eastAsia="宋体"/>
                <w:sz w:val="20"/>
                <w:szCs w:val="20"/>
                <w:highlight w:val="none"/>
                <w:lang w:val="en-US" w:eastAsia="zh-CN" w:bidi="ar"/>
              </w:rPr>
              <w:t>‌</w:t>
            </w:r>
            <w:r>
              <w:rPr>
                <w:rFonts w:hint="eastAsia" w:ascii="宋体" w:hAnsi="宋体" w:eastAsia="宋体" w:cs="宋体"/>
                <w:i w:val="0"/>
                <w:iCs w:val="0"/>
                <w:color w:val="000000"/>
                <w:kern w:val="0"/>
                <w:sz w:val="20"/>
                <w:szCs w:val="20"/>
                <w:highlight w:val="none"/>
                <w:u w:val="none"/>
                <w:lang w:val="en-US" w:eastAsia="zh-CN" w:bidi="ar"/>
              </w:rPr>
              <w:t>：256MB</w:t>
            </w:r>
            <w:r>
              <w:rPr>
                <w:rStyle w:val="115"/>
                <w:rFonts w:eastAsia="宋体"/>
                <w:sz w:val="20"/>
                <w:szCs w:val="20"/>
                <w:highlight w:val="none"/>
                <w:lang w:val="en-US" w:eastAsia="zh-CN" w:bidi="ar"/>
              </w:rPr>
              <w:t>‌</w:t>
            </w:r>
            <w:r>
              <w:rPr>
                <w:rFonts w:hint="eastAsia" w:ascii="宋体" w:hAnsi="宋体" w:eastAsia="宋体" w:cs="宋体"/>
                <w:i w:val="0"/>
                <w:iCs w:val="0"/>
                <w:color w:val="000000"/>
                <w:kern w:val="0"/>
                <w:sz w:val="20"/>
                <w:szCs w:val="20"/>
                <w:highlight w:val="none"/>
                <w:u w:val="none"/>
                <w:lang w:val="en-US" w:eastAsia="zh-CN" w:bidi="ar"/>
              </w:rPr>
              <w:t>；</w:t>
            </w:r>
            <w:r>
              <w:rPr>
                <w:rStyle w:val="115"/>
                <w:rFonts w:eastAsia="宋体"/>
                <w:sz w:val="20"/>
                <w:szCs w:val="20"/>
                <w:highlight w:val="none"/>
                <w:lang w:val="en-US" w:eastAsia="zh-CN" w:bidi="ar"/>
              </w:rPr>
              <w:t>‌</w:t>
            </w:r>
            <w:r>
              <w:rPr>
                <w:rFonts w:hint="eastAsia" w:ascii="宋体" w:hAnsi="宋体" w:eastAsia="宋体" w:cs="宋体"/>
                <w:i w:val="0"/>
                <w:iCs w:val="0"/>
                <w:color w:val="000000"/>
                <w:kern w:val="0"/>
                <w:sz w:val="20"/>
                <w:szCs w:val="20"/>
                <w:highlight w:val="none"/>
                <w:u w:val="none"/>
                <w:lang w:val="en-US" w:eastAsia="zh-CN" w:bidi="ar"/>
              </w:rPr>
              <w:t>接口速率</w:t>
            </w:r>
            <w:r>
              <w:rPr>
                <w:rStyle w:val="115"/>
                <w:rFonts w:eastAsia="宋体"/>
                <w:sz w:val="20"/>
                <w:szCs w:val="20"/>
                <w:highlight w:val="none"/>
                <w:lang w:val="en-US" w:eastAsia="zh-CN" w:bidi="ar"/>
              </w:rPr>
              <w:t>‌</w:t>
            </w:r>
            <w:r>
              <w:rPr>
                <w:rFonts w:hint="eastAsia" w:ascii="宋体" w:hAnsi="宋体" w:eastAsia="宋体" w:cs="宋体"/>
                <w:i w:val="0"/>
                <w:iCs w:val="0"/>
                <w:color w:val="000000"/>
                <w:kern w:val="0"/>
                <w:sz w:val="20"/>
                <w:szCs w:val="20"/>
                <w:highlight w:val="none"/>
                <w:u w:val="none"/>
                <w:lang w:val="en-US" w:eastAsia="zh-CN" w:bidi="ar"/>
              </w:rPr>
              <w:t>：≥6Gb/s</w:t>
            </w:r>
            <w:r>
              <w:rPr>
                <w:rStyle w:val="115"/>
                <w:rFonts w:eastAsia="宋体"/>
                <w:sz w:val="20"/>
                <w:szCs w:val="20"/>
                <w:highlight w:val="none"/>
                <w:lang w:val="en-US" w:eastAsia="zh-CN" w:bidi="ar"/>
              </w:rPr>
              <w:t>‌</w:t>
            </w:r>
            <w:r>
              <w:rPr>
                <w:rFonts w:hint="eastAsia" w:ascii="宋体" w:hAnsi="宋体" w:eastAsia="宋体" w:cs="宋体"/>
                <w:i w:val="0"/>
                <w:iCs w:val="0"/>
                <w:color w:val="000000"/>
                <w:kern w:val="0"/>
                <w:sz w:val="20"/>
                <w:szCs w:val="20"/>
                <w:highlight w:val="none"/>
                <w:u w:val="none"/>
                <w:lang w:val="en-US" w:eastAsia="zh-CN" w:bidi="ar"/>
              </w:rPr>
              <w:t>；</w:t>
            </w:r>
            <w:r>
              <w:rPr>
                <w:rStyle w:val="115"/>
                <w:rFonts w:eastAsia="宋体"/>
                <w:sz w:val="20"/>
                <w:szCs w:val="20"/>
                <w:highlight w:val="none"/>
                <w:lang w:val="en-US" w:eastAsia="zh-CN" w:bidi="ar"/>
              </w:rPr>
              <w:t>‌</w:t>
            </w:r>
            <w:r>
              <w:rPr>
                <w:rFonts w:hint="eastAsia" w:ascii="宋体" w:hAnsi="宋体" w:eastAsia="宋体" w:cs="宋体"/>
                <w:i w:val="0"/>
                <w:iCs w:val="0"/>
                <w:color w:val="000000"/>
                <w:kern w:val="0"/>
                <w:sz w:val="20"/>
                <w:szCs w:val="20"/>
                <w:highlight w:val="none"/>
                <w:u w:val="none"/>
                <w:lang w:val="en-US" w:eastAsia="zh-CN" w:bidi="ar"/>
              </w:rPr>
              <w:t>盘体尺寸</w:t>
            </w:r>
            <w:r>
              <w:rPr>
                <w:rStyle w:val="115"/>
                <w:rFonts w:eastAsia="宋体"/>
                <w:sz w:val="20"/>
                <w:szCs w:val="20"/>
                <w:highlight w:val="none"/>
                <w:lang w:val="en-US" w:eastAsia="zh-CN" w:bidi="ar"/>
              </w:rPr>
              <w:t>‌</w:t>
            </w:r>
            <w:r>
              <w:rPr>
                <w:rFonts w:hint="eastAsia" w:ascii="宋体" w:hAnsi="宋体" w:eastAsia="宋体" w:cs="宋体"/>
                <w:i w:val="0"/>
                <w:iCs w:val="0"/>
                <w:color w:val="000000"/>
                <w:kern w:val="0"/>
                <w:sz w:val="20"/>
                <w:szCs w:val="20"/>
                <w:highlight w:val="none"/>
                <w:u w:val="none"/>
                <w:lang w:val="en-US" w:eastAsia="zh-CN" w:bidi="ar"/>
              </w:rPr>
              <w:t>：3.5英寸；</w:t>
            </w:r>
            <w:r>
              <w:rPr>
                <w:rStyle w:val="115"/>
                <w:rFonts w:eastAsia="宋体"/>
                <w:sz w:val="20"/>
                <w:szCs w:val="20"/>
                <w:highlight w:val="none"/>
                <w:lang w:val="en-US" w:eastAsia="zh-CN" w:bidi="ar"/>
              </w:rPr>
              <w:t>‌</w:t>
            </w:r>
            <w:r>
              <w:rPr>
                <w:rFonts w:hint="eastAsia" w:ascii="宋体" w:hAnsi="宋体" w:eastAsia="宋体" w:cs="宋体"/>
                <w:i w:val="0"/>
                <w:iCs w:val="0"/>
                <w:color w:val="000000"/>
                <w:kern w:val="0"/>
                <w:sz w:val="20"/>
                <w:szCs w:val="20"/>
                <w:highlight w:val="none"/>
                <w:u w:val="none"/>
                <w:lang w:val="en-US" w:eastAsia="zh-CN" w:bidi="ar"/>
              </w:rPr>
              <w:t>平均寻道时间</w:t>
            </w:r>
            <w:r>
              <w:rPr>
                <w:rStyle w:val="115"/>
                <w:rFonts w:eastAsia="宋体"/>
                <w:sz w:val="20"/>
                <w:szCs w:val="20"/>
                <w:highlight w:val="none"/>
                <w:lang w:val="en-US" w:eastAsia="zh-CN" w:bidi="ar"/>
              </w:rPr>
              <w:t>‌</w:t>
            </w:r>
            <w:r>
              <w:rPr>
                <w:rFonts w:hint="eastAsia" w:ascii="宋体" w:hAnsi="宋体" w:eastAsia="宋体" w:cs="宋体"/>
                <w:i w:val="0"/>
                <w:iCs w:val="0"/>
                <w:color w:val="000000"/>
                <w:kern w:val="0"/>
                <w:sz w:val="20"/>
                <w:szCs w:val="20"/>
                <w:highlight w:val="none"/>
                <w:u w:val="none"/>
                <w:lang w:val="en-US" w:eastAsia="zh-CN" w:bidi="ar"/>
              </w:rPr>
              <w:t>：4.16ms</w:t>
            </w:r>
            <w:r>
              <w:rPr>
                <w:rStyle w:val="115"/>
                <w:rFonts w:eastAsia="宋体"/>
                <w:sz w:val="20"/>
                <w:szCs w:val="20"/>
                <w:highlight w:val="none"/>
                <w:lang w:val="en-US" w:eastAsia="zh-CN" w:bidi="ar"/>
              </w:rPr>
              <w:t>‌</w:t>
            </w:r>
            <w:r>
              <w:rPr>
                <w:rFonts w:hint="eastAsia" w:ascii="宋体" w:hAnsi="宋体" w:eastAsia="宋体" w:cs="宋体"/>
                <w:i w:val="0"/>
                <w:iCs w:val="0"/>
                <w:color w:val="000000"/>
                <w:kern w:val="0"/>
                <w:sz w:val="20"/>
                <w:szCs w:val="20"/>
                <w:highlight w:val="none"/>
                <w:u w:val="none"/>
                <w:lang w:val="en-US" w:eastAsia="zh-CN" w:bidi="ar"/>
              </w:rPr>
              <w:t>；</w:t>
            </w:r>
            <w:r>
              <w:rPr>
                <w:rStyle w:val="115"/>
                <w:rFonts w:eastAsia="宋体"/>
                <w:sz w:val="20"/>
                <w:szCs w:val="20"/>
                <w:highlight w:val="none"/>
                <w:lang w:val="en-US" w:eastAsia="zh-CN" w:bidi="ar"/>
              </w:rPr>
              <w:t>‌</w:t>
            </w:r>
            <w:r>
              <w:rPr>
                <w:rFonts w:hint="eastAsia" w:ascii="宋体" w:hAnsi="宋体" w:eastAsia="宋体" w:cs="宋体"/>
                <w:i w:val="0"/>
                <w:iCs w:val="0"/>
                <w:color w:val="000000"/>
                <w:kern w:val="0"/>
                <w:sz w:val="20"/>
                <w:szCs w:val="20"/>
                <w:highlight w:val="none"/>
                <w:u w:val="none"/>
                <w:lang w:val="en-US" w:eastAsia="zh-CN" w:bidi="ar"/>
              </w:rPr>
              <w:t>平均无故障时间</w:t>
            </w:r>
            <w:r>
              <w:rPr>
                <w:rStyle w:val="115"/>
                <w:rFonts w:eastAsia="宋体"/>
                <w:sz w:val="20"/>
                <w:szCs w:val="20"/>
                <w:highlight w:val="none"/>
                <w:lang w:val="en-US" w:eastAsia="zh-CN" w:bidi="ar"/>
              </w:rPr>
              <w:t>‌</w:t>
            </w:r>
            <w:r>
              <w:rPr>
                <w:rFonts w:hint="eastAsia" w:ascii="宋体" w:hAnsi="宋体" w:eastAsia="宋体" w:cs="宋体"/>
                <w:i w:val="0"/>
                <w:iCs w:val="0"/>
                <w:color w:val="000000"/>
                <w:kern w:val="0"/>
                <w:sz w:val="20"/>
                <w:szCs w:val="20"/>
                <w:highlight w:val="none"/>
                <w:u w:val="none"/>
                <w:lang w:val="en-US" w:eastAsia="zh-CN" w:bidi="ar"/>
              </w:rPr>
              <w:t>：≥250万小时</w:t>
            </w:r>
            <w:r>
              <w:rPr>
                <w:rStyle w:val="115"/>
                <w:rFonts w:eastAsia="宋体"/>
                <w:sz w:val="20"/>
                <w:szCs w:val="20"/>
                <w:highlight w:val="none"/>
                <w:lang w:val="en-US" w:eastAsia="zh-CN" w:bidi="ar"/>
              </w:rPr>
              <w:t>‌</w:t>
            </w:r>
            <w:r>
              <w:rPr>
                <w:rFonts w:hint="eastAsia" w:ascii="宋体" w:hAnsi="宋体" w:eastAsia="宋体" w:cs="宋体"/>
                <w:i w:val="0"/>
                <w:iCs w:val="0"/>
                <w:color w:val="000000"/>
                <w:kern w:val="0"/>
                <w:sz w:val="20"/>
                <w:szCs w:val="20"/>
                <w:highlight w:val="none"/>
                <w:u w:val="none"/>
                <w:lang w:val="en-US" w:eastAsia="zh-CN" w:bidi="ar"/>
              </w:rPr>
              <w:t>；</w:t>
            </w:r>
            <w:r>
              <w:rPr>
                <w:rStyle w:val="115"/>
                <w:rFonts w:eastAsia="宋体"/>
                <w:sz w:val="20"/>
                <w:szCs w:val="20"/>
                <w:highlight w:val="none"/>
                <w:lang w:val="en-US" w:eastAsia="zh-CN" w:bidi="ar"/>
              </w:rPr>
              <w:t>‌</w:t>
            </w:r>
            <w:r>
              <w:rPr>
                <w:rFonts w:hint="eastAsia" w:ascii="宋体" w:hAnsi="宋体" w:eastAsia="宋体" w:cs="宋体"/>
                <w:i w:val="0"/>
                <w:iCs w:val="0"/>
                <w:color w:val="000000"/>
                <w:kern w:val="0"/>
                <w:sz w:val="20"/>
                <w:szCs w:val="20"/>
                <w:highlight w:val="none"/>
                <w:u w:val="none"/>
                <w:lang w:val="en-US" w:eastAsia="zh-CN" w:bidi="ar"/>
              </w:rPr>
              <w:t>工作温度</w:t>
            </w:r>
            <w:r>
              <w:rPr>
                <w:rStyle w:val="115"/>
                <w:rFonts w:eastAsia="宋体"/>
                <w:sz w:val="20"/>
                <w:szCs w:val="20"/>
                <w:highlight w:val="none"/>
                <w:lang w:val="en-US" w:eastAsia="zh-CN" w:bidi="ar"/>
              </w:rPr>
              <w:t>‌</w:t>
            </w:r>
            <w:r>
              <w:rPr>
                <w:rFonts w:hint="eastAsia" w:ascii="宋体" w:hAnsi="宋体" w:eastAsia="宋体" w:cs="宋体"/>
                <w:i w:val="0"/>
                <w:iCs w:val="0"/>
                <w:color w:val="000000"/>
                <w:kern w:val="0"/>
                <w:sz w:val="20"/>
                <w:szCs w:val="20"/>
                <w:highlight w:val="none"/>
                <w:u w:val="none"/>
                <w:lang w:val="en-US" w:eastAsia="zh-CN" w:bidi="ar"/>
              </w:rPr>
              <w:t>：0℃～+60℃</w:t>
            </w:r>
            <w:r>
              <w:rPr>
                <w:rStyle w:val="115"/>
                <w:rFonts w:eastAsia="宋体"/>
                <w:sz w:val="20"/>
                <w:szCs w:val="20"/>
                <w:highlight w:val="none"/>
                <w:lang w:val="en-US" w:eastAsia="zh-CN" w:bidi="ar"/>
              </w:rPr>
              <w:t>‌</w:t>
            </w:r>
            <w:r>
              <w:rPr>
                <w:rFonts w:hint="eastAsia" w:ascii="宋体" w:hAnsi="宋体" w:eastAsia="宋体" w:cs="宋体"/>
                <w:i w:val="0"/>
                <w:iCs w:val="0"/>
                <w:color w:val="000000"/>
                <w:kern w:val="0"/>
                <w:sz w:val="20"/>
                <w:szCs w:val="20"/>
                <w:highlight w:val="none"/>
                <w:u w:val="none"/>
                <w:lang w:val="en-US" w:eastAsia="zh-CN" w:bidi="ar"/>
              </w:rPr>
              <w:t>；</w:t>
            </w:r>
            <w:r>
              <w:rPr>
                <w:rStyle w:val="115"/>
                <w:rFonts w:eastAsia="宋体"/>
                <w:sz w:val="20"/>
                <w:szCs w:val="20"/>
                <w:highlight w:val="none"/>
                <w:lang w:val="en-US" w:eastAsia="zh-CN" w:bidi="ar"/>
              </w:rPr>
              <w:t>‌</w:t>
            </w:r>
            <w:r>
              <w:rPr>
                <w:rFonts w:hint="eastAsia" w:ascii="宋体" w:hAnsi="宋体" w:eastAsia="宋体" w:cs="宋体"/>
                <w:i w:val="0"/>
                <w:iCs w:val="0"/>
                <w:color w:val="000000"/>
                <w:kern w:val="0"/>
                <w:sz w:val="20"/>
                <w:szCs w:val="20"/>
                <w:highlight w:val="none"/>
                <w:u w:val="none"/>
                <w:lang w:val="en-US" w:eastAsia="zh-CN" w:bidi="ar"/>
              </w:rPr>
              <w:t>工作湿度</w:t>
            </w:r>
            <w:r>
              <w:rPr>
                <w:rStyle w:val="115"/>
                <w:rFonts w:eastAsia="宋体"/>
                <w:sz w:val="20"/>
                <w:szCs w:val="20"/>
                <w:highlight w:val="none"/>
                <w:lang w:val="en-US" w:eastAsia="zh-CN" w:bidi="ar"/>
              </w:rPr>
              <w:t>‌</w:t>
            </w:r>
            <w:r>
              <w:rPr>
                <w:rFonts w:hint="eastAsia" w:ascii="宋体" w:hAnsi="宋体" w:eastAsia="宋体" w:cs="宋体"/>
                <w:i w:val="0"/>
                <w:iCs w:val="0"/>
                <w:color w:val="000000"/>
                <w:kern w:val="0"/>
                <w:sz w:val="20"/>
                <w:szCs w:val="20"/>
                <w:highlight w:val="none"/>
                <w:u w:val="none"/>
                <w:lang w:val="en-US" w:eastAsia="zh-CN" w:bidi="ar"/>
              </w:rPr>
              <w:t>：5%～95%rh(无凝结)</w:t>
            </w:r>
            <w:r>
              <w:rPr>
                <w:rStyle w:val="115"/>
                <w:rFonts w:eastAsia="宋体"/>
                <w:sz w:val="20"/>
                <w:szCs w:val="20"/>
                <w:highlight w:val="none"/>
                <w:lang w:val="en-US" w:eastAsia="zh-CN" w:bidi="ar"/>
              </w:rPr>
              <w:t>‌</w:t>
            </w:r>
            <w:r>
              <w:rPr>
                <w:rFonts w:hint="eastAsia" w:ascii="宋体" w:hAnsi="宋体" w:eastAsia="宋体" w:cs="宋体"/>
                <w:i w:val="0"/>
                <w:iCs w:val="0"/>
                <w:color w:val="000000"/>
                <w:kern w:val="0"/>
                <w:sz w:val="20"/>
                <w:szCs w:val="20"/>
                <w:highlight w:val="none"/>
                <w:u w:val="none"/>
                <w:lang w:val="en-US" w:eastAsia="zh-CN" w:bidi="ar"/>
              </w:rPr>
              <w:t>；</w:t>
            </w:r>
          </w:p>
        </w:tc>
        <w:tc>
          <w:tcPr>
            <w:tcW w:w="0" w:type="auto"/>
            <w:noWrap w:val="0"/>
            <w:vAlign w:val="center"/>
          </w:tcPr>
          <w:p w14:paraId="793AC102">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6</w:t>
            </w:r>
          </w:p>
        </w:tc>
        <w:tc>
          <w:tcPr>
            <w:tcW w:w="0" w:type="auto"/>
            <w:noWrap w:val="0"/>
            <w:vAlign w:val="center"/>
          </w:tcPr>
          <w:p w14:paraId="2808192C">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西大附中浐灞中学</w:t>
            </w:r>
          </w:p>
        </w:tc>
      </w:tr>
      <w:tr w14:paraId="589E3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14:paraId="0684BF0A">
            <w:pPr>
              <w:keepNext w:val="0"/>
              <w:keepLines w:val="0"/>
              <w:widowControl/>
              <w:suppressLineNumbers w:val="0"/>
              <w:jc w:val="righ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9</w:t>
            </w:r>
          </w:p>
        </w:tc>
        <w:tc>
          <w:tcPr>
            <w:tcW w:w="0" w:type="auto"/>
            <w:noWrap w:val="0"/>
            <w:vAlign w:val="center"/>
          </w:tcPr>
          <w:p w14:paraId="722CADF1">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弱电：校园监控设备更新采购</w:t>
            </w:r>
          </w:p>
        </w:tc>
        <w:tc>
          <w:tcPr>
            <w:tcW w:w="0" w:type="auto"/>
            <w:noWrap w:val="0"/>
            <w:vAlign w:val="center"/>
          </w:tcPr>
          <w:p w14:paraId="46A9C27D">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开关电源</w:t>
            </w:r>
          </w:p>
        </w:tc>
        <w:tc>
          <w:tcPr>
            <w:tcW w:w="0" w:type="auto"/>
            <w:noWrap w:val="0"/>
            <w:vAlign w:val="center"/>
          </w:tcPr>
          <w:p w14:paraId="05B7F8DE">
            <w:pPr>
              <w:keepNext w:val="0"/>
              <w:keepLines w:val="0"/>
              <w:widowControl/>
              <w:suppressLineNumbers w:val="0"/>
              <w:jc w:val="left"/>
              <w:textAlignment w:val="center"/>
              <w:rPr>
                <w:sz w:val="20"/>
                <w:szCs w:val="20"/>
                <w:highlight w:val="none"/>
                <w:vertAlign w:val="baseline"/>
              </w:rPr>
            </w:pPr>
            <w:r>
              <w:rPr>
                <w:rStyle w:val="115"/>
                <w:rFonts w:eastAsia="宋体"/>
                <w:sz w:val="20"/>
                <w:szCs w:val="20"/>
                <w:highlight w:val="none"/>
                <w:lang w:val="en-US" w:eastAsia="zh-CN" w:bidi="ar"/>
              </w:rPr>
              <w:t>‌</w:t>
            </w:r>
            <w:r>
              <w:rPr>
                <w:rFonts w:hint="eastAsia" w:ascii="宋体" w:hAnsi="宋体" w:eastAsia="宋体" w:cs="宋体"/>
                <w:i w:val="0"/>
                <w:iCs w:val="0"/>
                <w:color w:val="000000"/>
                <w:kern w:val="0"/>
                <w:sz w:val="20"/>
                <w:szCs w:val="20"/>
                <w:highlight w:val="none"/>
                <w:u w:val="none"/>
                <w:lang w:val="en-US" w:eastAsia="zh-CN" w:bidi="ar"/>
              </w:rPr>
              <w:t>开关电源   输入电压范围</w:t>
            </w:r>
            <w:r>
              <w:rPr>
                <w:rStyle w:val="115"/>
                <w:rFonts w:eastAsia="宋体"/>
                <w:sz w:val="20"/>
                <w:szCs w:val="20"/>
                <w:highlight w:val="none"/>
                <w:lang w:val="en-US" w:eastAsia="zh-CN" w:bidi="ar"/>
              </w:rPr>
              <w:t>‌</w:t>
            </w:r>
            <w:r>
              <w:rPr>
                <w:rFonts w:hint="eastAsia" w:ascii="宋体" w:hAnsi="宋体" w:eastAsia="宋体" w:cs="宋体"/>
                <w:i w:val="0"/>
                <w:iCs w:val="0"/>
                <w:color w:val="000000"/>
                <w:kern w:val="0"/>
                <w:sz w:val="20"/>
                <w:szCs w:val="20"/>
                <w:highlight w:val="none"/>
                <w:u w:val="none"/>
                <w:lang w:val="en-US" w:eastAsia="zh-CN" w:bidi="ar"/>
              </w:rPr>
              <w:t>：AC100-240V，具体型号如DC 12V20A 240W；</w:t>
            </w:r>
            <w:r>
              <w:rPr>
                <w:rStyle w:val="115"/>
                <w:rFonts w:eastAsia="宋体"/>
                <w:sz w:val="20"/>
                <w:szCs w:val="20"/>
                <w:highlight w:val="none"/>
                <w:lang w:val="en-US" w:eastAsia="zh-CN" w:bidi="ar"/>
              </w:rPr>
              <w:t>‌</w:t>
            </w:r>
            <w:r>
              <w:rPr>
                <w:rFonts w:hint="eastAsia" w:ascii="宋体" w:hAnsi="宋体" w:eastAsia="宋体" w:cs="宋体"/>
                <w:i w:val="0"/>
                <w:iCs w:val="0"/>
                <w:color w:val="000000"/>
                <w:kern w:val="0"/>
                <w:sz w:val="20"/>
                <w:szCs w:val="20"/>
                <w:highlight w:val="none"/>
                <w:u w:val="none"/>
                <w:lang w:val="en-US" w:eastAsia="zh-CN" w:bidi="ar"/>
              </w:rPr>
              <w:t>输出电压</w:t>
            </w:r>
            <w:r>
              <w:rPr>
                <w:rStyle w:val="115"/>
                <w:rFonts w:eastAsia="宋体"/>
                <w:sz w:val="20"/>
                <w:szCs w:val="20"/>
                <w:highlight w:val="none"/>
                <w:lang w:val="en-US" w:eastAsia="zh-CN" w:bidi="ar"/>
              </w:rPr>
              <w:t>‌</w:t>
            </w:r>
            <w:r>
              <w:rPr>
                <w:rFonts w:hint="eastAsia" w:ascii="宋体" w:hAnsi="宋体" w:eastAsia="宋体" w:cs="宋体"/>
                <w:i w:val="0"/>
                <w:iCs w:val="0"/>
                <w:color w:val="000000"/>
                <w:kern w:val="0"/>
                <w:sz w:val="20"/>
                <w:szCs w:val="20"/>
                <w:highlight w:val="none"/>
                <w:u w:val="none"/>
                <w:lang w:val="en-US" w:eastAsia="zh-CN" w:bidi="ar"/>
              </w:rPr>
              <w:t>：DC 12V</w:t>
            </w:r>
            <w:r>
              <w:rPr>
                <w:rStyle w:val="115"/>
                <w:rFonts w:eastAsia="宋体"/>
                <w:sz w:val="20"/>
                <w:szCs w:val="20"/>
                <w:highlight w:val="none"/>
                <w:lang w:val="en-US" w:eastAsia="zh-CN" w:bidi="ar"/>
              </w:rPr>
              <w:t>‌</w:t>
            </w:r>
            <w:r>
              <w:rPr>
                <w:rFonts w:hint="eastAsia" w:ascii="宋体" w:hAnsi="宋体" w:eastAsia="宋体" w:cs="宋体"/>
                <w:i w:val="0"/>
                <w:iCs w:val="0"/>
                <w:color w:val="000000"/>
                <w:kern w:val="0"/>
                <w:sz w:val="20"/>
                <w:szCs w:val="20"/>
                <w:highlight w:val="none"/>
                <w:u w:val="none"/>
                <w:lang w:val="en-US" w:eastAsia="zh-CN" w:bidi="ar"/>
              </w:rPr>
              <w:t>；</w:t>
            </w:r>
            <w:r>
              <w:rPr>
                <w:rStyle w:val="115"/>
                <w:rFonts w:eastAsia="宋体"/>
                <w:sz w:val="20"/>
                <w:szCs w:val="20"/>
                <w:highlight w:val="none"/>
                <w:lang w:val="en-US" w:eastAsia="zh-CN" w:bidi="ar"/>
              </w:rPr>
              <w:t>‌</w:t>
            </w:r>
            <w:r>
              <w:rPr>
                <w:rFonts w:hint="eastAsia" w:ascii="宋体" w:hAnsi="宋体" w:eastAsia="宋体" w:cs="宋体"/>
                <w:i w:val="0"/>
                <w:iCs w:val="0"/>
                <w:color w:val="000000"/>
                <w:kern w:val="0"/>
                <w:sz w:val="20"/>
                <w:szCs w:val="20"/>
                <w:highlight w:val="none"/>
                <w:u w:val="none"/>
                <w:lang w:val="en-US" w:eastAsia="zh-CN" w:bidi="ar"/>
              </w:rPr>
              <w:t>输出电流</w:t>
            </w:r>
            <w:r>
              <w:rPr>
                <w:rStyle w:val="115"/>
                <w:rFonts w:eastAsia="宋体"/>
                <w:sz w:val="20"/>
                <w:szCs w:val="20"/>
                <w:highlight w:val="none"/>
                <w:lang w:val="en-US" w:eastAsia="zh-CN" w:bidi="ar"/>
              </w:rPr>
              <w:t>‌</w:t>
            </w:r>
            <w:r>
              <w:rPr>
                <w:rFonts w:hint="eastAsia" w:ascii="宋体" w:hAnsi="宋体" w:eastAsia="宋体" w:cs="宋体"/>
                <w:i w:val="0"/>
                <w:iCs w:val="0"/>
                <w:color w:val="000000"/>
                <w:kern w:val="0"/>
                <w:sz w:val="20"/>
                <w:szCs w:val="20"/>
                <w:highlight w:val="none"/>
                <w:u w:val="none"/>
                <w:lang w:val="en-US" w:eastAsia="zh-CN" w:bidi="ar"/>
              </w:rPr>
              <w:t>：20A</w:t>
            </w:r>
            <w:r>
              <w:rPr>
                <w:rStyle w:val="115"/>
                <w:rFonts w:eastAsia="宋体"/>
                <w:sz w:val="20"/>
                <w:szCs w:val="20"/>
                <w:highlight w:val="none"/>
                <w:lang w:val="en-US" w:eastAsia="zh-CN" w:bidi="ar"/>
              </w:rPr>
              <w:t>‌</w:t>
            </w:r>
            <w:r>
              <w:rPr>
                <w:rFonts w:hint="eastAsia" w:ascii="宋体" w:hAnsi="宋体" w:eastAsia="宋体" w:cs="宋体"/>
                <w:i w:val="0"/>
                <w:iCs w:val="0"/>
                <w:color w:val="000000"/>
                <w:kern w:val="0"/>
                <w:sz w:val="20"/>
                <w:szCs w:val="20"/>
                <w:highlight w:val="none"/>
                <w:u w:val="none"/>
                <w:lang w:val="en-US" w:eastAsia="zh-CN" w:bidi="ar"/>
              </w:rPr>
              <w:t>；</w:t>
            </w:r>
            <w:r>
              <w:rPr>
                <w:rStyle w:val="115"/>
                <w:rFonts w:eastAsia="宋体"/>
                <w:sz w:val="20"/>
                <w:szCs w:val="20"/>
                <w:highlight w:val="none"/>
                <w:lang w:val="en-US" w:eastAsia="zh-CN" w:bidi="ar"/>
              </w:rPr>
              <w:t>‌</w:t>
            </w:r>
            <w:r>
              <w:rPr>
                <w:rFonts w:hint="eastAsia" w:ascii="宋体" w:hAnsi="宋体" w:eastAsia="宋体" w:cs="宋体"/>
                <w:i w:val="0"/>
                <w:iCs w:val="0"/>
                <w:color w:val="000000"/>
                <w:kern w:val="0"/>
                <w:sz w:val="20"/>
                <w:szCs w:val="20"/>
                <w:highlight w:val="none"/>
                <w:u w:val="none"/>
                <w:lang w:val="en-US" w:eastAsia="zh-CN" w:bidi="ar"/>
              </w:rPr>
              <w:t>输出功率</w:t>
            </w:r>
            <w:r>
              <w:rPr>
                <w:rStyle w:val="115"/>
                <w:rFonts w:eastAsia="宋体"/>
                <w:sz w:val="20"/>
                <w:szCs w:val="20"/>
                <w:highlight w:val="none"/>
                <w:lang w:val="en-US" w:eastAsia="zh-CN" w:bidi="ar"/>
              </w:rPr>
              <w:t>‌</w:t>
            </w:r>
            <w:r>
              <w:rPr>
                <w:rFonts w:hint="eastAsia" w:ascii="宋体" w:hAnsi="宋体" w:eastAsia="宋体" w:cs="宋体"/>
                <w:i w:val="0"/>
                <w:iCs w:val="0"/>
                <w:color w:val="000000"/>
                <w:kern w:val="0"/>
                <w:sz w:val="20"/>
                <w:szCs w:val="20"/>
                <w:highlight w:val="none"/>
                <w:u w:val="none"/>
                <w:lang w:val="en-US" w:eastAsia="zh-CN" w:bidi="ar"/>
              </w:rPr>
              <w:t>：240W</w:t>
            </w:r>
            <w:r>
              <w:rPr>
                <w:rStyle w:val="115"/>
                <w:rFonts w:eastAsia="宋体"/>
                <w:sz w:val="20"/>
                <w:szCs w:val="20"/>
                <w:highlight w:val="none"/>
                <w:lang w:val="en-US" w:eastAsia="zh-CN" w:bidi="ar"/>
              </w:rPr>
              <w:t>‌</w:t>
            </w:r>
            <w:r>
              <w:rPr>
                <w:rFonts w:hint="eastAsia" w:ascii="宋体" w:hAnsi="宋体" w:eastAsia="宋体" w:cs="宋体"/>
                <w:i w:val="0"/>
                <w:iCs w:val="0"/>
                <w:color w:val="000000"/>
                <w:kern w:val="0"/>
                <w:sz w:val="20"/>
                <w:szCs w:val="20"/>
                <w:highlight w:val="none"/>
                <w:u w:val="none"/>
                <w:lang w:val="en-US" w:eastAsia="zh-CN" w:bidi="ar"/>
              </w:rPr>
              <w:t>；</w:t>
            </w:r>
            <w:r>
              <w:rPr>
                <w:rStyle w:val="115"/>
                <w:rFonts w:eastAsia="宋体"/>
                <w:sz w:val="20"/>
                <w:szCs w:val="20"/>
                <w:highlight w:val="none"/>
                <w:lang w:val="en-US" w:eastAsia="zh-CN" w:bidi="ar"/>
              </w:rPr>
              <w:t>‌</w:t>
            </w:r>
            <w:r>
              <w:rPr>
                <w:rFonts w:hint="eastAsia" w:ascii="宋体" w:hAnsi="宋体" w:eastAsia="宋体" w:cs="宋体"/>
                <w:i w:val="0"/>
                <w:iCs w:val="0"/>
                <w:color w:val="000000"/>
                <w:kern w:val="0"/>
                <w:sz w:val="20"/>
                <w:szCs w:val="20"/>
                <w:highlight w:val="none"/>
                <w:u w:val="none"/>
                <w:lang w:val="en-US" w:eastAsia="zh-CN" w:bidi="ar"/>
              </w:rPr>
              <w:t>效率</w:t>
            </w:r>
            <w:r>
              <w:rPr>
                <w:rStyle w:val="115"/>
                <w:rFonts w:eastAsia="宋体"/>
                <w:sz w:val="20"/>
                <w:szCs w:val="20"/>
                <w:highlight w:val="none"/>
                <w:lang w:val="en-US" w:eastAsia="zh-CN" w:bidi="ar"/>
              </w:rPr>
              <w:t>‌</w:t>
            </w:r>
            <w:r>
              <w:rPr>
                <w:rFonts w:hint="eastAsia" w:ascii="宋体" w:hAnsi="宋体" w:eastAsia="宋体" w:cs="宋体"/>
                <w:i w:val="0"/>
                <w:iCs w:val="0"/>
                <w:color w:val="000000"/>
                <w:kern w:val="0"/>
                <w:sz w:val="20"/>
                <w:szCs w:val="20"/>
                <w:highlight w:val="none"/>
                <w:u w:val="none"/>
                <w:lang w:val="en-US" w:eastAsia="zh-CN" w:bidi="ar"/>
              </w:rPr>
              <w:t>：约为85%</w:t>
            </w:r>
            <w:r>
              <w:rPr>
                <w:rStyle w:val="115"/>
                <w:rFonts w:eastAsia="宋体"/>
                <w:sz w:val="20"/>
                <w:szCs w:val="20"/>
                <w:highlight w:val="none"/>
                <w:lang w:val="en-US" w:eastAsia="zh-CN" w:bidi="ar"/>
              </w:rPr>
              <w:t>‌</w:t>
            </w:r>
            <w:r>
              <w:rPr>
                <w:rFonts w:hint="eastAsia" w:ascii="宋体" w:hAnsi="宋体" w:eastAsia="宋体" w:cs="宋体"/>
                <w:i w:val="0"/>
                <w:iCs w:val="0"/>
                <w:color w:val="000000"/>
                <w:kern w:val="0"/>
                <w:sz w:val="20"/>
                <w:szCs w:val="20"/>
                <w:highlight w:val="none"/>
                <w:u w:val="none"/>
                <w:lang w:val="en-US" w:eastAsia="zh-CN" w:bidi="ar"/>
              </w:rPr>
              <w:t>；</w:t>
            </w:r>
            <w:r>
              <w:rPr>
                <w:rStyle w:val="115"/>
                <w:rFonts w:eastAsia="宋体"/>
                <w:sz w:val="20"/>
                <w:szCs w:val="20"/>
                <w:highlight w:val="none"/>
                <w:lang w:val="en-US" w:eastAsia="zh-CN" w:bidi="ar"/>
              </w:rPr>
              <w:t>‌</w:t>
            </w:r>
            <w:r>
              <w:rPr>
                <w:rFonts w:hint="eastAsia" w:ascii="宋体" w:hAnsi="宋体" w:eastAsia="宋体" w:cs="宋体"/>
                <w:i w:val="0"/>
                <w:iCs w:val="0"/>
                <w:color w:val="000000"/>
                <w:kern w:val="0"/>
                <w:sz w:val="20"/>
                <w:szCs w:val="20"/>
                <w:highlight w:val="none"/>
                <w:u w:val="none"/>
                <w:lang w:val="en-US" w:eastAsia="zh-CN" w:bidi="ar"/>
              </w:rPr>
              <w:t>保护功能</w:t>
            </w:r>
            <w:r>
              <w:rPr>
                <w:rStyle w:val="115"/>
                <w:rFonts w:eastAsia="宋体"/>
                <w:sz w:val="20"/>
                <w:szCs w:val="20"/>
                <w:highlight w:val="none"/>
                <w:lang w:val="en-US" w:eastAsia="zh-CN" w:bidi="ar"/>
              </w:rPr>
              <w:t>‌</w:t>
            </w:r>
            <w:r>
              <w:rPr>
                <w:rFonts w:hint="eastAsia" w:ascii="宋体" w:hAnsi="宋体" w:eastAsia="宋体" w:cs="宋体"/>
                <w:i w:val="0"/>
                <w:iCs w:val="0"/>
                <w:color w:val="000000"/>
                <w:kern w:val="0"/>
                <w:sz w:val="20"/>
                <w:szCs w:val="20"/>
                <w:highlight w:val="none"/>
                <w:u w:val="none"/>
                <w:lang w:val="en-US" w:eastAsia="zh-CN" w:bidi="ar"/>
              </w:rPr>
              <w:t>：包括过载保护（105-115%打嗝模式，自动恢复）和过电压保护（115-135%切断输出，自动恢复）</w:t>
            </w:r>
            <w:r>
              <w:rPr>
                <w:rStyle w:val="115"/>
                <w:rFonts w:eastAsia="宋体"/>
                <w:sz w:val="20"/>
                <w:szCs w:val="20"/>
                <w:highlight w:val="none"/>
                <w:lang w:val="en-US" w:eastAsia="zh-CN" w:bidi="ar"/>
              </w:rPr>
              <w:t>‌</w:t>
            </w:r>
            <w:r>
              <w:rPr>
                <w:rFonts w:hint="eastAsia" w:ascii="宋体" w:hAnsi="宋体" w:eastAsia="宋体" w:cs="宋体"/>
                <w:i w:val="0"/>
                <w:iCs w:val="0"/>
                <w:color w:val="000000"/>
                <w:kern w:val="0"/>
                <w:sz w:val="20"/>
                <w:szCs w:val="20"/>
                <w:highlight w:val="none"/>
                <w:u w:val="none"/>
                <w:lang w:val="en-US" w:eastAsia="zh-CN" w:bidi="ar"/>
              </w:rPr>
              <w:t>；</w:t>
            </w:r>
            <w:r>
              <w:rPr>
                <w:rStyle w:val="115"/>
                <w:rFonts w:eastAsia="宋体"/>
                <w:sz w:val="20"/>
                <w:szCs w:val="20"/>
                <w:highlight w:val="none"/>
                <w:lang w:val="en-US" w:eastAsia="zh-CN" w:bidi="ar"/>
              </w:rPr>
              <w:t>‌</w:t>
            </w:r>
            <w:r>
              <w:rPr>
                <w:rFonts w:hint="eastAsia" w:ascii="宋体" w:hAnsi="宋体" w:eastAsia="宋体" w:cs="宋体"/>
                <w:i w:val="0"/>
                <w:iCs w:val="0"/>
                <w:color w:val="000000"/>
                <w:kern w:val="0"/>
                <w:sz w:val="20"/>
                <w:szCs w:val="20"/>
                <w:highlight w:val="none"/>
                <w:u w:val="none"/>
                <w:lang w:val="en-US" w:eastAsia="zh-CN" w:bidi="ar"/>
              </w:rPr>
              <w:t>工作温度范围</w:t>
            </w:r>
            <w:r>
              <w:rPr>
                <w:rStyle w:val="115"/>
                <w:rFonts w:eastAsia="宋体"/>
                <w:sz w:val="20"/>
                <w:szCs w:val="20"/>
                <w:highlight w:val="none"/>
                <w:lang w:val="en-US" w:eastAsia="zh-CN" w:bidi="ar"/>
              </w:rPr>
              <w:t>‌</w:t>
            </w:r>
            <w:r>
              <w:rPr>
                <w:rFonts w:hint="eastAsia" w:ascii="宋体" w:hAnsi="宋体" w:eastAsia="宋体" w:cs="宋体"/>
                <w:i w:val="0"/>
                <w:iCs w:val="0"/>
                <w:color w:val="000000"/>
                <w:kern w:val="0"/>
                <w:sz w:val="20"/>
                <w:szCs w:val="20"/>
                <w:highlight w:val="none"/>
                <w:u w:val="none"/>
                <w:lang w:val="en-US" w:eastAsia="zh-CN" w:bidi="ar"/>
              </w:rPr>
              <w:t>：工作温度为-10°C~+60°C；工作湿度为20~95%</w:t>
            </w:r>
            <w:r>
              <w:rPr>
                <w:rStyle w:val="115"/>
                <w:rFonts w:eastAsia="宋体"/>
                <w:sz w:val="20"/>
                <w:szCs w:val="20"/>
                <w:highlight w:val="none"/>
                <w:lang w:val="en-US" w:eastAsia="zh-CN" w:bidi="ar"/>
              </w:rPr>
              <w:t>‌</w:t>
            </w:r>
            <w:r>
              <w:rPr>
                <w:rFonts w:hint="eastAsia" w:ascii="宋体" w:hAnsi="宋体" w:eastAsia="宋体" w:cs="宋体"/>
                <w:i w:val="0"/>
                <w:iCs w:val="0"/>
                <w:color w:val="000000"/>
                <w:kern w:val="0"/>
                <w:sz w:val="20"/>
                <w:szCs w:val="20"/>
                <w:highlight w:val="none"/>
                <w:u w:val="none"/>
                <w:lang w:val="en-US" w:eastAsia="zh-CN" w:bidi="ar"/>
              </w:rPr>
              <w:t>；</w:t>
            </w:r>
            <w:r>
              <w:rPr>
                <w:rStyle w:val="115"/>
                <w:rFonts w:eastAsia="宋体"/>
                <w:sz w:val="20"/>
                <w:szCs w:val="20"/>
                <w:highlight w:val="none"/>
                <w:lang w:val="en-US" w:eastAsia="zh-CN" w:bidi="ar"/>
              </w:rPr>
              <w:t>‌</w:t>
            </w:r>
            <w:r>
              <w:rPr>
                <w:rFonts w:hint="eastAsia" w:ascii="宋体" w:hAnsi="宋体" w:eastAsia="宋体" w:cs="宋体"/>
                <w:i w:val="0"/>
                <w:iCs w:val="0"/>
                <w:color w:val="000000"/>
                <w:kern w:val="0"/>
                <w:sz w:val="20"/>
                <w:szCs w:val="20"/>
                <w:highlight w:val="none"/>
                <w:u w:val="none"/>
                <w:lang w:val="en-US" w:eastAsia="zh-CN" w:bidi="ar"/>
              </w:rPr>
              <w:t>安全标准</w:t>
            </w:r>
            <w:r>
              <w:rPr>
                <w:rStyle w:val="115"/>
                <w:rFonts w:eastAsia="宋体"/>
                <w:sz w:val="20"/>
                <w:szCs w:val="20"/>
                <w:highlight w:val="none"/>
                <w:lang w:val="en-US" w:eastAsia="zh-CN" w:bidi="ar"/>
              </w:rPr>
              <w:t>‌</w:t>
            </w:r>
            <w:r>
              <w:rPr>
                <w:rFonts w:hint="eastAsia" w:ascii="宋体" w:hAnsi="宋体" w:eastAsia="宋体" w:cs="宋体"/>
                <w:i w:val="0"/>
                <w:iCs w:val="0"/>
                <w:color w:val="000000"/>
                <w:kern w:val="0"/>
                <w:sz w:val="20"/>
                <w:szCs w:val="20"/>
                <w:highlight w:val="none"/>
                <w:u w:val="none"/>
                <w:lang w:val="en-US" w:eastAsia="zh-CN" w:bidi="ar"/>
              </w:rPr>
              <w:t>：符合EN55015/EN61000-3-2等标准</w:t>
            </w:r>
          </w:p>
        </w:tc>
        <w:tc>
          <w:tcPr>
            <w:tcW w:w="0" w:type="auto"/>
            <w:noWrap w:val="0"/>
            <w:vAlign w:val="center"/>
          </w:tcPr>
          <w:p w14:paraId="4287F4A1">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6</w:t>
            </w:r>
          </w:p>
        </w:tc>
        <w:tc>
          <w:tcPr>
            <w:tcW w:w="0" w:type="auto"/>
            <w:noWrap w:val="0"/>
            <w:vAlign w:val="center"/>
          </w:tcPr>
          <w:p w14:paraId="152DE043">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西大附中浐灞中学</w:t>
            </w:r>
          </w:p>
        </w:tc>
      </w:tr>
      <w:tr w14:paraId="4F361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14:paraId="12D9B000">
            <w:pPr>
              <w:keepNext w:val="0"/>
              <w:keepLines w:val="0"/>
              <w:widowControl/>
              <w:suppressLineNumbers w:val="0"/>
              <w:jc w:val="righ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10</w:t>
            </w:r>
          </w:p>
        </w:tc>
        <w:tc>
          <w:tcPr>
            <w:tcW w:w="0" w:type="auto"/>
            <w:noWrap w:val="0"/>
            <w:vAlign w:val="center"/>
          </w:tcPr>
          <w:p w14:paraId="63ADBD3F">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弱电：校园监控设备更新采购</w:t>
            </w:r>
          </w:p>
        </w:tc>
        <w:tc>
          <w:tcPr>
            <w:tcW w:w="0" w:type="auto"/>
            <w:noWrap w:val="0"/>
            <w:vAlign w:val="center"/>
          </w:tcPr>
          <w:p w14:paraId="6F63312B">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光纤收发器</w:t>
            </w:r>
          </w:p>
        </w:tc>
        <w:tc>
          <w:tcPr>
            <w:tcW w:w="0" w:type="auto"/>
            <w:noWrap w:val="0"/>
            <w:vAlign w:val="center"/>
          </w:tcPr>
          <w:p w14:paraId="46F9C88D">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光纤收发器   传输速率：支持百兆数据传输</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物理尺寸：整机设计紧凑，尺寸为94.5毫米（长）×73毫米（宽）×27毫米（高）</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兼容性：专为单模光纤环境优化设计</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产品认证：符合国家通信设备技术标准</w:t>
            </w:r>
          </w:p>
        </w:tc>
        <w:tc>
          <w:tcPr>
            <w:tcW w:w="0" w:type="auto"/>
            <w:noWrap w:val="0"/>
            <w:vAlign w:val="center"/>
          </w:tcPr>
          <w:p w14:paraId="504DCEED">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6</w:t>
            </w:r>
          </w:p>
        </w:tc>
        <w:tc>
          <w:tcPr>
            <w:tcW w:w="0" w:type="auto"/>
            <w:noWrap w:val="0"/>
            <w:vAlign w:val="center"/>
          </w:tcPr>
          <w:p w14:paraId="0276B1F6">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西大附中浐灞中学</w:t>
            </w:r>
          </w:p>
        </w:tc>
      </w:tr>
      <w:tr w14:paraId="76724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14:paraId="77AB8426">
            <w:pPr>
              <w:keepNext w:val="0"/>
              <w:keepLines w:val="0"/>
              <w:widowControl/>
              <w:suppressLineNumbers w:val="0"/>
              <w:jc w:val="righ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11</w:t>
            </w:r>
          </w:p>
        </w:tc>
        <w:tc>
          <w:tcPr>
            <w:tcW w:w="0" w:type="auto"/>
            <w:noWrap w:val="0"/>
            <w:vAlign w:val="center"/>
          </w:tcPr>
          <w:p w14:paraId="23D20B14">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弱电：校园监控设备更新采购</w:t>
            </w:r>
          </w:p>
        </w:tc>
        <w:tc>
          <w:tcPr>
            <w:tcW w:w="0" w:type="auto"/>
            <w:noWrap w:val="0"/>
            <w:vAlign w:val="center"/>
          </w:tcPr>
          <w:p w14:paraId="783C6314">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校园监控设备更新采购</w:t>
            </w:r>
          </w:p>
        </w:tc>
        <w:tc>
          <w:tcPr>
            <w:tcW w:w="0" w:type="auto"/>
            <w:noWrap w:val="0"/>
            <w:vAlign w:val="center"/>
          </w:tcPr>
          <w:p w14:paraId="21275388">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采用专业软件对摄像机进行运行测试</w:t>
            </w:r>
          </w:p>
        </w:tc>
        <w:tc>
          <w:tcPr>
            <w:tcW w:w="0" w:type="auto"/>
            <w:noWrap w:val="0"/>
            <w:vAlign w:val="center"/>
          </w:tcPr>
          <w:p w14:paraId="4385029B">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87</w:t>
            </w:r>
          </w:p>
        </w:tc>
        <w:tc>
          <w:tcPr>
            <w:tcW w:w="0" w:type="auto"/>
            <w:noWrap w:val="0"/>
            <w:vAlign w:val="center"/>
          </w:tcPr>
          <w:p w14:paraId="3D8DB654">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西大附中浐灞中学</w:t>
            </w:r>
          </w:p>
        </w:tc>
      </w:tr>
      <w:tr w14:paraId="293E3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14:paraId="47340DE8">
            <w:pPr>
              <w:keepNext w:val="0"/>
              <w:keepLines w:val="0"/>
              <w:widowControl/>
              <w:suppressLineNumbers w:val="0"/>
              <w:jc w:val="righ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12</w:t>
            </w:r>
          </w:p>
        </w:tc>
        <w:tc>
          <w:tcPr>
            <w:tcW w:w="0" w:type="auto"/>
            <w:noWrap w:val="0"/>
            <w:vAlign w:val="center"/>
          </w:tcPr>
          <w:p w14:paraId="45765846">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弱电：校园监控设备更新采购</w:t>
            </w:r>
          </w:p>
        </w:tc>
        <w:tc>
          <w:tcPr>
            <w:tcW w:w="0" w:type="auto"/>
            <w:noWrap w:val="0"/>
            <w:vAlign w:val="center"/>
          </w:tcPr>
          <w:p w14:paraId="60F8DDE5">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线材辅材</w:t>
            </w:r>
          </w:p>
        </w:tc>
        <w:tc>
          <w:tcPr>
            <w:tcW w:w="0" w:type="auto"/>
            <w:noWrap w:val="0"/>
            <w:vAlign w:val="center"/>
          </w:tcPr>
          <w:p w14:paraId="6BBFC6A7">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线材辅材RVV3*2.5护套电源线用于摄像机电源的传输；CAT6类网线用于视频信号的数据传输；辅材用于线材的敷设和固定</w:t>
            </w:r>
          </w:p>
        </w:tc>
        <w:tc>
          <w:tcPr>
            <w:tcW w:w="0" w:type="auto"/>
            <w:noWrap w:val="0"/>
            <w:vAlign w:val="center"/>
          </w:tcPr>
          <w:p w14:paraId="6CC98879">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w:t>
            </w:r>
          </w:p>
        </w:tc>
        <w:tc>
          <w:tcPr>
            <w:tcW w:w="0" w:type="auto"/>
            <w:noWrap w:val="0"/>
            <w:vAlign w:val="center"/>
          </w:tcPr>
          <w:p w14:paraId="7137055D">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西大附中浐灞中学</w:t>
            </w:r>
          </w:p>
        </w:tc>
      </w:tr>
      <w:tr w14:paraId="2FDC5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14:paraId="507BAB48">
            <w:pPr>
              <w:keepNext w:val="0"/>
              <w:keepLines w:val="0"/>
              <w:widowControl/>
              <w:suppressLineNumbers w:val="0"/>
              <w:jc w:val="righ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13</w:t>
            </w:r>
          </w:p>
        </w:tc>
        <w:tc>
          <w:tcPr>
            <w:tcW w:w="0" w:type="auto"/>
            <w:noWrap w:val="0"/>
            <w:vAlign w:val="center"/>
          </w:tcPr>
          <w:p w14:paraId="75D079BC">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弱电：校园监控设备更新采购</w:t>
            </w:r>
          </w:p>
        </w:tc>
        <w:tc>
          <w:tcPr>
            <w:tcW w:w="0" w:type="auto"/>
            <w:noWrap w:val="0"/>
            <w:vAlign w:val="center"/>
          </w:tcPr>
          <w:p w14:paraId="5CF7A9C1">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校园其他故障部位的维修</w:t>
            </w:r>
          </w:p>
        </w:tc>
        <w:tc>
          <w:tcPr>
            <w:tcW w:w="0" w:type="auto"/>
            <w:noWrap w:val="0"/>
            <w:vAlign w:val="center"/>
          </w:tcPr>
          <w:p w14:paraId="007950BF">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校园其他故障部位的维修，包括交换机、摄像机、硬盘录像机、解码器等</w:t>
            </w:r>
          </w:p>
        </w:tc>
        <w:tc>
          <w:tcPr>
            <w:tcW w:w="0" w:type="auto"/>
            <w:noWrap w:val="0"/>
            <w:vAlign w:val="center"/>
          </w:tcPr>
          <w:p w14:paraId="20B763B5">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w:t>
            </w:r>
          </w:p>
        </w:tc>
        <w:tc>
          <w:tcPr>
            <w:tcW w:w="0" w:type="auto"/>
            <w:noWrap w:val="0"/>
            <w:vAlign w:val="center"/>
          </w:tcPr>
          <w:p w14:paraId="40ECB2EE">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西大附中浐灞中学</w:t>
            </w:r>
          </w:p>
        </w:tc>
      </w:tr>
      <w:tr w14:paraId="0DB6C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14:paraId="74CE0861">
            <w:pPr>
              <w:keepNext w:val="0"/>
              <w:keepLines w:val="0"/>
              <w:widowControl/>
              <w:suppressLineNumbers w:val="0"/>
              <w:jc w:val="righ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14</w:t>
            </w:r>
          </w:p>
        </w:tc>
        <w:tc>
          <w:tcPr>
            <w:tcW w:w="0" w:type="auto"/>
            <w:noWrap w:val="0"/>
            <w:vAlign w:val="center"/>
          </w:tcPr>
          <w:p w14:paraId="3D20D4BD">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全彩LED显示屏</w:t>
            </w:r>
          </w:p>
        </w:tc>
        <w:tc>
          <w:tcPr>
            <w:tcW w:w="0" w:type="auto"/>
            <w:noWrap w:val="0"/>
            <w:vAlign w:val="center"/>
          </w:tcPr>
          <w:p w14:paraId="75CD5F75">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LED显示屏</w:t>
            </w:r>
          </w:p>
        </w:tc>
        <w:tc>
          <w:tcPr>
            <w:tcW w:w="0" w:type="auto"/>
            <w:noWrap w:val="0"/>
            <w:vAlign w:val="center"/>
          </w:tcPr>
          <w:p w14:paraId="0D126FF1">
            <w:pPr>
              <w:keepNext w:val="0"/>
              <w:keepLines w:val="0"/>
              <w:widowControl/>
              <w:suppressLineNumbers w:val="0"/>
              <w:spacing w:after="200" w:afterAutospacing="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全彩LED显示屏显示P2.5</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显示屏尺寸：6.4m*3.84m(2560点*1536点)</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1、像素间距：2.5mm；</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2、点密度：160000点/ m²；</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3、LED灯种类：SMD2525；</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4、维护方式：前维护，模组与单元箱体间采用磁吸固定方式，磁吸固定点≥8个；</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5、模组尺寸：320mm×160mm×mm；</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6、亮度：≥4000cd以上/m²可调（色温6500K）；</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7、视角：≥160°/160°（水平视角/垂直）；</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8、平整度：≤0.1mm；</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9、亮度均匀性：≥97%；</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10、色度均匀性：±0.003  Cx,Cy之内；</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11、对比度：≥8000:1；</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12、防护等级：IP54；</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13、信号颜色处理位数：红、绿、蓝各≥16bit ；</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14、驱动方式：恒流驱动；</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15、扫描方式：1/16扫描；</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16、刷新率：1920Hz；</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17、换帧频率：60Hz；</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18、屏体色温：2000K～9500K可调；</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19、亮度调节方式：手动/自动/程控；</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20、校正：配备亮度与色度逐点校正；</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21、控制方式：同步映射控制；</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22、控制距离：超五类双绞网线,超过100米使用光纤传输；</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23、工作电压：AC：110V~240V、50~60Hz；</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24、连续工作时间：≥7×24hrs，支持连续不间断显示；</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25、平均无故障工作时间：≥10000小时；</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26、LED寿命：12万小时；</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27.换帧频率，符合SJ/T11141-2017标准C级，频率≥50Hz；</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28.基色主波长误差符合SJ/T11141-2017标准C级，△λD≤5</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29.摩尔纹抑制功能：显示屏支持抑制摩尔纹功能，减轻摩尔纹视觉主观效果80%</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30.表面硬度：具备划痕性能计算，表面硬度≥4H</w:t>
            </w:r>
          </w:p>
        </w:tc>
        <w:tc>
          <w:tcPr>
            <w:tcW w:w="0" w:type="auto"/>
            <w:noWrap w:val="0"/>
            <w:vAlign w:val="center"/>
          </w:tcPr>
          <w:p w14:paraId="3DF406C0">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24.6</w:t>
            </w:r>
          </w:p>
        </w:tc>
        <w:tc>
          <w:tcPr>
            <w:tcW w:w="0" w:type="auto"/>
            <w:noWrap w:val="0"/>
            <w:vAlign w:val="center"/>
          </w:tcPr>
          <w:p w14:paraId="7EFC284E">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西安市交大附中浐灞右岸学校</w:t>
            </w:r>
          </w:p>
        </w:tc>
      </w:tr>
      <w:tr w14:paraId="196AC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14:paraId="33797C27">
            <w:pPr>
              <w:keepNext w:val="0"/>
              <w:keepLines w:val="0"/>
              <w:widowControl/>
              <w:suppressLineNumbers w:val="0"/>
              <w:jc w:val="righ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15</w:t>
            </w:r>
          </w:p>
        </w:tc>
        <w:tc>
          <w:tcPr>
            <w:tcW w:w="0" w:type="auto"/>
            <w:noWrap w:val="0"/>
            <w:vAlign w:val="center"/>
          </w:tcPr>
          <w:p w14:paraId="0ACCB467">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全彩LED显示屏</w:t>
            </w:r>
          </w:p>
        </w:tc>
        <w:tc>
          <w:tcPr>
            <w:tcW w:w="0" w:type="auto"/>
            <w:noWrap w:val="0"/>
            <w:vAlign w:val="center"/>
          </w:tcPr>
          <w:p w14:paraId="420B9E15">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防水箱体</w:t>
            </w:r>
          </w:p>
        </w:tc>
        <w:tc>
          <w:tcPr>
            <w:tcW w:w="0" w:type="auto"/>
            <w:noWrap w:val="0"/>
            <w:vAlign w:val="center"/>
          </w:tcPr>
          <w:p w14:paraId="46D30CC5">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全彩LED显示屏箱体铁箱</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1、户外防水箱体。</w:t>
            </w:r>
          </w:p>
        </w:tc>
        <w:tc>
          <w:tcPr>
            <w:tcW w:w="0" w:type="auto"/>
            <w:noWrap w:val="0"/>
            <w:vAlign w:val="center"/>
          </w:tcPr>
          <w:p w14:paraId="4A92874F">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24.6</w:t>
            </w:r>
          </w:p>
        </w:tc>
        <w:tc>
          <w:tcPr>
            <w:tcW w:w="0" w:type="auto"/>
            <w:noWrap w:val="0"/>
            <w:vAlign w:val="center"/>
          </w:tcPr>
          <w:p w14:paraId="27A93C72">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西安市交大附中浐灞右岸学校</w:t>
            </w:r>
          </w:p>
        </w:tc>
      </w:tr>
      <w:tr w14:paraId="30120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14:paraId="1B0ECE09">
            <w:pPr>
              <w:keepNext w:val="0"/>
              <w:keepLines w:val="0"/>
              <w:widowControl/>
              <w:suppressLineNumbers w:val="0"/>
              <w:jc w:val="righ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16</w:t>
            </w:r>
          </w:p>
        </w:tc>
        <w:tc>
          <w:tcPr>
            <w:tcW w:w="0" w:type="auto"/>
            <w:noWrap w:val="0"/>
            <w:vAlign w:val="center"/>
          </w:tcPr>
          <w:p w14:paraId="7AA0239C">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全彩LED显示屏</w:t>
            </w:r>
          </w:p>
        </w:tc>
        <w:tc>
          <w:tcPr>
            <w:tcW w:w="0" w:type="auto"/>
            <w:noWrap w:val="0"/>
            <w:vAlign w:val="center"/>
          </w:tcPr>
          <w:p w14:paraId="0FCF94E6">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视频处理器</w:t>
            </w:r>
          </w:p>
        </w:tc>
        <w:tc>
          <w:tcPr>
            <w:tcW w:w="0" w:type="auto"/>
            <w:noWrap w:val="0"/>
            <w:vAlign w:val="center"/>
          </w:tcPr>
          <w:p w14:paraId="3FB414C7">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全彩LED显示屏视频处理器</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1.集成双画面视频处理、发送卡功能的二合一控制器；</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2.带载面积：520万像素点(VP820)，最宽可达16000点，最高可达3840点；</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3.支持4K高清输入，自由切换输入信号源，各通道之间实现快速切换，支持淡入淡出；</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4.支持双画面功能，画中画PIP、画外画POP；</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5.输入接口：DP×1，信号标准：DP1.2 向下兼容，分辨率：VESA 标准，≤3840×2160@60Hz，HDMI×1，信号标准：HDMI2.0 向下兼容分辨率：VESA 标准，≤3840×2160@60Hz，DVI×2，信号标准：DVI1.0，HDMI1.3 向下兼容，分辨率：VESA 标准，PC to 1920x1080，HD to 1080p；VGAx 1 1080p@60；</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6.支持自由切换输入信号源，各通道之间实现无缝切换，支持淡入淡出；</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7.60Hz帧频输出，画面播放更流畅；</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8.HDMI/DP音频输入，1路独立模拟音频输入，3选1输送到音频输出端子；</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9.支持EDID，DVI/HDMI/DP输入模式时，支持常用输入分辨率预设及自定义调节。</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10.支持导航设置功能，方便进行快捷设置；</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11.支持连接设置功能，无需电脑，直接通过面板设置各个箱体的连接；</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12.支持画面锐度，饱和度，色温，亮度等设置；</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13.支持图像旋转、水平镜像和垂直镜像等；</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14.工作温度：-10℃～45℃ ，存储温度：-40℃～105℃ ，工作湿度：0～90%，无冷凝；</w:t>
            </w:r>
          </w:p>
        </w:tc>
        <w:tc>
          <w:tcPr>
            <w:tcW w:w="0" w:type="auto"/>
            <w:noWrap w:val="0"/>
            <w:vAlign w:val="center"/>
          </w:tcPr>
          <w:p w14:paraId="64C76D75">
            <w:pPr>
              <w:keepNext w:val="0"/>
              <w:keepLines w:val="0"/>
              <w:widowControl/>
              <w:suppressLineNumbers w:val="0"/>
              <w:jc w:val="center"/>
              <w:textAlignment w:val="center"/>
              <w:rPr>
                <w:sz w:val="20"/>
                <w:szCs w:val="20"/>
                <w:highlight w:val="none"/>
                <w:vertAlign w:val="baseline"/>
              </w:rPr>
            </w:pPr>
            <w:r>
              <w:rPr>
                <w:rFonts w:hint="default" w:ascii="仿宋_GB2312" w:hAnsi="宋体" w:eastAsia="仿宋_GB2312" w:cs="仿宋_GB2312"/>
                <w:i w:val="0"/>
                <w:iCs w:val="0"/>
                <w:color w:val="000000"/>
                <w:kern w:val="0"/>
                <w:sz w:val="20"/>
                <w:szCs w:val="20"/>
                <w:highlight w:val="none"/>
                <w:u w:val="none"/>
                <w:lang w:val="en-US" w:eastAsia="zh-CN" w:bidi="ar"/>
              </w:rPr>
              <w:t>1</w:t>
            </w:r>
          </w:p>
        </w:tc>
        <w:tc>
          <w:tcPr>
            <w:tcW w:w="0" w:type="auto"/>
            <w:noWrap w:val="0"/>
            <w:vAlign w:val="center"/>
          </w:tcPr>
          <w:p w14:paraId="22EE6D80">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西安市交大附中浐灞右岸学校</w:t>
            </w:r>
          </w:p>
        </w:tc>
      </w:tr>
      <w:tr w14:paraId="42911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14:paraId="66D32FDA">
            <w:pPr>
              <w:keepNext w:val="0"/>
              <w:keepLines w:val="0"/>
              <w:widowControl/>
              <w:suppressLineNumbers w:val="0"/>
              <w:jc w:val="righ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17</w:t>
            </w:r>
          </w:p>
        </w:tc>
        <w:tc>
          <w:tcPr>
            <w:tcW w:w="0" w:type="auto"/>
            <w:noWrap w:val="0"/>
            <w:vAlign w:val="center"/>
          </w:tcPr>
          <w:p w14:paraId="6DB4DA66">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全彩LED显示屏</w:t>
            </w:r>
          </w:p>
        </w:tc>
        <w:tc>
          <w:tcPr>
            <w:tcW w:w="0" w:type="auto"/>
            <w:noWrap w:val="0"/>
            <w:vAlign w:val="center"/>
          </w:tcPr>
          <w:p w14:paraId="2B1005D9">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接收卡</w:t>
            </w:r>
          </w:p>
        </w:tc>
        <w:tc>
          <w:tcPr>
            <w:tcW w:w="0" w:type="auto"/>
            <w:noWrap w:val="0"/>
            <w:vAlign w:val="center"/>
          </w:tcPr>
          <w:p w14:paraId="7BA58461">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全彩LED显示屏接收卡</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1.单卡16组RGB数据，支持256*512像素点；</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2.支持静态、1/2至1/64之间的任意扫描类型；</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3.支持绝大多数芯片高灰度高刷新，低亮高灰；</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4.本卡工作状态监测；</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5.支持网线通讯状态检测；</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6.支持配置文件回读；</w:t>
            </w:r>
          </w:p>
        </w:tc>
        <w:tc>
          <w:tcPr>
            <w:tcW w:w="0" w:type="auto"/>
            <w:noWrap w:val="0"/>
            <w:vAlign w:val="center"/>
          </w:tcPr>
          <w:p w14:paraId="20041101">
            <w:pPr>
              <w:keepNext w:val="0"/>
              <w:keepLines w:val="0"/>
              <w:widowControl/>
              <w:suppressLineNumbers w:val="0"/>
              <w:jc w:val="center"/>
              <w:textAlignment w:val="center"/>
              <w:rPr>
                <w:sz w:val="20"/>
                <w:szCs w:val="20"/>
                <w:highlight w:val="none"/>
                <w:vertAlign w:val="baseline"/>
              </w:rPr>
            </w:pPr>
            <w:r>
              <w:rPr>
                <w:rFonts w:hint="default" w:ascii="仿宋_GB2312" w:hAnsi="宋体" w:eastAsia="仿宋_GB2312" w:cs="仿宋_GB2312"/>
                <w:i w:val="0"/>
                <w:iCs w:val="0"/>
                <w:color w:val="000000"/>
                <w:kern w:val="0"/>
                <w:sz w:val="20"/>
                <w:szCs w:val="20"/>
                <w:highlight w:val="none"/>
                <w:u w:val="none"/>
                <w:lang w:val="en-US" w:eastAsia="zh-CN" w:bidi="ar"/>
              </w:rPr>
              <w:t>28</w:t>
            </w:r>
          </w:p>
        </w:tc>
        <w:tc>
          <w:tcPr>
            <w:tcW w:w="0" w:type="auto"/>
            <w:noWrap w:val="0"/>
            <w:vAlign w:val="center"/>
          </w:tcPr>
          <w:p w14:paraId="7209F3C4">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西安市交大附中浐灞右岸学校</w:t>
            </w:r>
          </w:p>
        </w:tc>
      </w:tr>
      <w:tr w14:paraId="67DB6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trPr>
        <w:tc>
          <w:tcPr>
            <w:tcW w:w="0" w:type="auto"/>
            <w:noWrap w:val="0"/>
            <w:vAlign w:val="center"/>
          </w:tcPr>
          <w:p w14:paraId="6A9CCD80">
            <w:pPr>
              <w:keepNext w:val="0"/>
              <w:keepLines w:val="0"/>
              <w:widowControl/>
              <w:suppressLineNumbers w:val="0"/>
              <w:jc w:val="righ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18</w:t>
            </w:r>
          </w:p>
        </w:tc>
        <w:tc>
          <w:tcPr>
            <w:tcW w:w="0" w:type="auto"/>
            <w:noWrap w:val="0"/>
            <w:vAlign w:val="center"/>
          </w:tcPr>
          <w:p w14:paraId="3A399D90">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全彩LED显示屏</w:t>
            </w:r>
          </w:p>
        </w:tc>
        <w:tc>
          <w:tcPr>
            <w:tcW w:w="0" w:type="auto"/>
            <w:noWrap w:val="0"/>
            <w:vAlign w:val="center"/>
          </w:tcPr>
          <w:p w14:paraId="0B5DCAE9">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开关电源</w:t>
            </w:r>
          </w:p>
        </w:tc>
        <w:tc>
          <w:tcPr>
            <w:tcW w:w="0" w:type="auto"/>
            <w:noWrap w:val="0"/>
            <w:vAlign w:val="center"/>
          </w:tcPr>
          <w:p w14:paraId="1465514B">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全彩LED显示屏开关电源</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1.节能电源；</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2.200W、5V40A。</w:t>
            </w:r>
          </w:p>
        </w:tc>
        <w:tc>
          <w:tcPr>
            <w:tcW w:w="0" w:type="auto"/>
            <w:noWrap w:val="0"/>
            <w:vAlign w:val="center"/>
          </w:tcPr>
          <w:p w14:paraId="6EF730A7">
            <w:pPr>
              <w:keepNext w:val="0"/>
              <w:keepLines w:val="0"/>
              <w:widowControl/>
              <w:suppressLineNumbers w:val="0"/>
              <w:jc w:val="center"/>
              <w:textAlignment w:val="center"/>
              <w:rPr>
                <w:sz w:val="20"/>
                <w:szCs w:val="20"/>
                <w:highlight w:val="none"/>
                <w:vertAlign w:val="baseline"/>
              </w:rPr>
            </w:pPr>
            <w:r>
              <w:rPr>
                <w:rFonts w:hint="default" w:ascii="仿宋_GB2312" w:hAnsi="宋体" w:eastAsia="仿宋_GB2312" w:cs="仿宋_GB2312"/>
                <w:i w:val="0"/>
                <w:iCs w:val="0"/>
                <w:color w:val="000000"/>
                <w:kern w:val="0"/>
                <w:sz w:val="20"/>
                <w:szCs w:val="20"/>
                <w:highlight w:val="none"/>
                <w:u w:val="none"/>
                <w:lang w:val="en-US" w:eastAsia="zh-CN" w:bidi="ar"/>
              </w:rPr>
              <w:t>120</w:t>
            </w:r>
          </w:p>
        </w:tc>
        <w:tc>
          <w:tcPr>
            <w:tcW w:w="0" w:type="auto"/>
            <w:noWrap w:val="0"/>
            <w:vAlign w:val="center"/>
          </w:tcPr>
          <w:p w14:paraId="698C10C8">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西安市交大附中浐灞右岸学校</w:t>
            </w:r>
          </w:p>
        </w:tc>
      </w:tr>
      <w:tr w14:paraId="65731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14:paraId="1349353E">
            <w:pPr>
              <w:keepNext w:val="0"/>
              <w:keepLines w:val="0"/>
              <w:widowControl/>
              <w:suppressLineNumbers w:val="0"/>
              <w:jc w:val="righ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19</w:t>
            </w:r>
          </w:p>
        </w:tc>
        <w:tc>
          <w:tcPr>
            <w:tcW w:w="0" w:type="auto"/>
            <w:noWrap w:val="0"/>
            <w:vAlign w:val="center"/>
          </w:tcPr>
          <w:p w14:paraId="1968AF68">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全彩LED显示屏</w:t>
            </w:r>
          </w:p>
        </w:tc>
        <w:tc>
          <w:tcPr>
            <w:tcW w:w="0" w:type="auto"/>
            <w:noWrap w:val="0"/>
            <w:vAlign w:val="center"/>
          </w:tcPr>
          <w:p w14:paraId="75C0FA96">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散热系统空调+风机</w:t>
            </w:r>
          </w:p>
        </w:tc>
        <w:tc>
          <w:tcPr>
            <w:tcW w:w="0" w:type="auto"/>
            <w:noWrap w:val="0"/>
            <w:vAlign w:val="center"/>
          </w:tcPr>
          <w:p w14:paraId="367CA8E2">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全彩LED显示屏散热系统空调+风机</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1.≥1.5P空调一台</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2.能效等级一级</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3.变频</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4.壁挂式</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5.制冷剂：R322</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6.电压频率：220V/50Hz</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7.制冷功率≥800w</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8.高速风机：大功率、耐高温、耐腐蚀</w:t>
            </w:r>
          </w:p>
        </w:tc>
        <w:tc>
          <w:tcPr>
            <w:tcW w:w="0" w:type="auto"/>
            <w:noWrap w:val="0"/>
            <w:vAlign w:val="center"/>
          </w:tcPr>
          <w:p w14:paraId="2B12F22C">
            <w:pPr>
              <w:keepNext w:val="0"/>
              <w:keepLines w:val="0"/>
              <w:widowControl/>
              <w:suppressLineNumbers w:val="0"/>
              <w:jc w:val="center"/>
              <w:textAlignment w:val="center"/>
              <w:rPr>
                <w:sz w:val="20"/>
                <w:szCs w:val="20"/>
                <w:highlight w:val="none"/>
                <w:vertAlign w:val="baseline"/>
              </w:rPr>
            </w:pPr>
            <w:r>
              <w:rPr>
                <w:rFonts w:hint="default" w:ascii="仿宋_GB2312" w:hAnsi="宋体" w:eastAsia="仿宋_GB2312" w:cs="仿宋_GB2312"/>
                <w:i w:val="0"/>
                <w:iCs w:val="0"/>
                <w:color w:val="000000"/>
                <w:kern w:val="0"/>
                <w:sz w:val="20"/>
                <w:szCs w:val="20"/>
                <w:highlight w:val="none"/>
                <w:u w:val="none"/>
                <w:lang w:val="en-US" w:eastAsia="zh-CN" w:bidi="ar"/>
              </w:rPr>
              <w:t>1</w:t>
            </w:r>
          </w:p>
        </w:tc>
        <w:tc>
          <w:tcPr>
            <w:tcW w:w="0" w:type="auto"/>
            <w:noWrap w:val="0"/>
            <w:vAlign w:val="center"/>
          </w:tcPr>
          <w:p w14:paraId="1E91C840">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西安市交大附中浐灞右岸学校</w:t>
            </w:r>
          </w:p>
        </w:tc>
      </w:tr>
      <w:tr w14:paraId="1E35D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14:paraId="72CD29DD">
            <w:pPr>
              <w:keepNext w:val="0"/>
              <w:keepLines w:val="0"/>
              <w:widowControl/>
              <w:suppressLineNumbers w:val="0"/>
              <w:jc w:val="righ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20</w:t>
            </w:r>
          </w:p>
        </w:tc>
        <w:tc>
          <w:tcPr>
            <w:tcW w:w="0" w:type="auto"/>
            <w:noWrap w:val="0"/>
            <w:vAlign w:val="center"/>
          </w:tcPr>
          <w:p w14:paraId="4B57EAD4">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全彩LED显示屏</w:t>
            </w:r>
          </w:p>
        </w:tc>
        <w:tc>
          <w:tcPr>
            <w:tcW w:w="0" w:type="auto"/>
            <w:noWrap w:val="0"/>
            <w:vAlign w:val="center"/>
          </w:tcPr>
          <w:p w14:paraId="51658161">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防水音响</w:t>
            </w:r>
          </w:p>
        </w:tc>
        <w:tc>
          <w:tcPr>
            <w:tcW w:w="0" w:type="auto"/>
            <w:noWrap w:val="0"/>
            <w:vAlign w:val="center"/>
          </w:tcPr>
          <w:p w14:paraId="2DBDDC48">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全彩LED显示屏音响防水音响</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功放一台,2通道麦克风输入，2通道Line线路输入，自带一通道MP3播放器，带1路线路输出。麦克风1具有优先功能。每一路输入音量有单独调节按钮和高音、低音音量调节按钮。设备具有良好的短路、过载、过热等自我保护，散热风机温控启动及关闭，功放温度实时监控，温控增益智能调节，高温下增益自动下调，温度越高下调力度越大，使整机工作更加稳定。2种功率输出方式：定压输出110V、70V和定阻输出4～16Ω。五路时序分区输出（110V），按键控制打开/关闭，十级三段色电平指示灯。2.音柱两只，额定功率：60W，内置扬声器：5寸*4只定压输入:70-100v</w:t>
            </w:r>
          </w:p>
        </w:tc>
        <w:tc>
          <w:tcPr>
            <w:tcW w:w="0" w:type="auto"/>
            <w:noWrap w:val="0"/>
            <w:vAlign w:val="center"/>
          </w:tcPr>
          <w:p w14:paraId="348FC418">
            <w:pPr>
              <w:keepNext w:val="0"/>
              <w:keepLines w:val="0"/>
              <w:widowControl/>
              <w:suppressLineNumbers w:val="0"/>
              <w:jc w:val="center"/>
              <w:textAlignment w:val="center"/>
              <w:rPr>
                <w:sz w:val="20"/>
                <w:szCs w:val="20"/>
                <w:highlight w:val="none"/>
                <w:vertAlign w:val="baseline"/>
              </w:rPr>
            </w:pPr>
            <w:r>
              <w:rPr>
                <w:rFonts w:hint="default" w:ascii="仿宋_GB2312" w:hAnsi="宋体" w:eastAsia="仿宋_GB2312" w:cs="仿宋_GB2312"/>
                <w:i w:val="0"/>
                <w:iCs w:val="0"/>
                <w:color w:val="000000"/>
                <w:kern w:val="0"/>
                <w:sz w:val="20"/>
                <w:szCs w:val="20"/>
                <w:highlight w:val="none"/>
                <w:u w:val="none"/>
                <w:lang w:val="en-US" w:eastAsia="zh-CN" w:bidi="ar"/>
              </w:rPr>
              <w:t>1</w:t>
            </w:r>
          </w:p>
        </w:tc>
        <w:tc>
          <w:tcPr>
            <w:tcW w:w="0" w:type="auto"/>
            <w:noWrap w:val="0"/>
            <w:vAlign w:val="center"/>
          </w:tcPr>
          <w:p w14:paraId="3A7554F9">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西安市交大附中浐灞右岸学校</w:t>
            </w:r>
          </w:p>
        </w:tc>
      </w:tr>
      <w:tr w14:paraId="12457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4" w:hRule="atLeast"/>
        </w:trPr>
        <w:tc>
          <w:tcPr>
            <w:tcW w:w="0" w:type="auto"/>
            <w:noWrap w:val="0"/>
            <w:vAlign w:val="center"/>
          </w:tcPr>
          <w:p w14:paraId="7D52F146">
            <w:pPr>
              <w:keepNext w:val="0"/>
              <w:keepLines w:val="0"/>
              <w:widowControl/>
              <w:suppressLineNumbers w:val="0"/>
              <w:jc w:val="righ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21</w:t>
            </w:r>
          </w:p>
        </w:tc>
        <w:tc>
          <w:tcPr>
            <w:tcW w:w="0" w:type="auto"/>
            <w:noWrap w:val="0"/>
            <w:vAlign w:val="center"/>
          </w:tcPr>
          <w:p w14:paraId="533B9F30">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全彩LED显示屏</w:t>
            </w:r>
          </w:p>
        </w:tc>
        <w:tc>
          <w:tcPr>
            <w:tcW w:w="0" w:type="auto"/>
            <w:noWrap w:val="0"/>
            <w:vAlign w:val="center"/>
          </w:tcPr>
          <w:p w14:paraId="25D8285E">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双立柱立柱及基础</w:t>
            </w:r>
          </w:p>
        </w:tc>
        <w:tc>
          <w:tcPr>
            <w:tcW w:w="0" w:type="auto"/>
            <w:noWrap w:val="0"/>
            <w:vAlign w:val="center"/>
          </w:tcPr>
          <w:p w14:paraId="469A3026">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全彩LED显示屏双立柱立柱及基础</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1.双立柱结构；2.混凝土浇筑；3.基础处理。</w:t>
            </w:r>
          </w:p>
        </w:tc>
        <w:tc>
          <w:tcPr>
            <w:tcW w:w="0" w:type="auto"/>
            <w:noWrap w:val="0"/>
            <w:vAlign w:val="center"/>
          </w:tcPr>
          <w:p w14:paraId="50351052">
            <w:pPr>
              <w:keepNext w:val="0"/>
              <w:keepLines w:val="0"/>
              <w:widowControl/>
              <w:suppressLineNumbers w:val="0"/>
              <w:jc w:val="center"/>
              <w:textAlignment w:val="center"/>
              <w:rPr>
                <w:sz w:val="20"/>
                <w:szCs w:val="20"/>
                <w:highlight w:val="none"/>
                <w:vertAlign w:val="baseline"/>
              </w:rPr>
            </w:pPr>
            <w:r>
              <w:rPr>
                <w:rFonts w:hint="default" w:ascii="仿宋_GB2312" w:hAnsi="宋体" w:eastAsia="仿宋_GB2312" w:cs="仿宋_GB2312"/>
                <w:i w:val="0"/>
                <w:iCs w:val="0"/>
                <w:color w:val="000000"/>
                <w:kern w:val="0"/>
                <w:sz w:val="20"/>
                <w:szCs w:val="20"/>
                <w:highlight w:val="none"/>
                <w:u w:val="none"/>
                <w:lang w:val="en-US" w:eastAsia="zh-CN" w:bidi="ar"/>
              </w:rPr>
              <w:t>2</w:t>
            </w:r>
          </w:p>
        </w:tc>
        <w:tc>
          <w:tcPr>
            <w:tcW w:w="0" w:type="auto"/>
            <w:noWrap w:val="0"/>
            <w:vAlign w:val="center"/>
          </w:tcPr>
          <w:p w14:paraId="1672F8E1">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西安市交大附中浐灞右岸学校</w:t>
            </w:r>
          </w:p>
        </w:tc>
      </w:tr>
      <w:tr w14:paraId="0DA53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14:paraId="129E49FA">
            <w:pPr>
              <w:keepNext w:val="0"/>
              <w:keepLines w:val="0"/>
              <w:widowControl/>
              <w:suppressLineNumbers w:val="0"/>
              <w:jc w:val="righ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22</w:t>
            </w:r>
          </w:p>
        </w:tc>
        <w:tc>
          <w:tcPr>
            <w:tcW w:w="0" w:type="auto"/>
            <w:noWrap w:val="0"/>
            <w:vAlign w:val="center"/>
          </w:tcPr>
          <w:p w14:paraId="6B332D74">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全彩LED显示屏</w:t>
            </w:r>
          </w:p>
        </w:tc>
        <w:tc>
          <w:tcPr>
            <w:tcW w:w="0" w:type="auto"/>
            <w:noWrap w:val="0"/>
            <w:vAlign w:val="center"/>
          </w:tcPr>
          <w:p w14:paraId="60195D3F">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钢结构国标镀锌结构</w:t>
            </w:r>
          </w:p>
        </w:tc>
        <w:tc>
          <w:tcPr>
            <w:tcW w:w="0" w:type="auto"/>
            <w:noWrap w:val="0"/>
            <w:vAlign w:val="center"/>
          </w:tcPr>
          <w:p w14:paraId="5341D719">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全彩LED显示屏钢结构国标镀锌结构</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1.镀锌方管焊接而成；</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2.国标产品。</w:t>
            </w:r>
          </w:p>
        </w:tc>
        <w:tc>
          <w:tcPr>
            <w:tcW w:w="0" w:type="auto"/>
            <w:noWrap w:val="0"/>
            <w:vAlign w:val="center"/>
          </w:tcPr>
          <w:p w14:paraId="3078A431">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24.6</w:t>
            </w:r>
          </w:p>
        </w:tc>
        <w:tc>
          <w:tcPr>
            <w:tcW w:w="0" w:type="auto"/>
            <w:noWrap w:val="0"/>
            <w:vAlign w:val="center"/>
          </w:tcPr>
          <w:p w14:paraId="26C86D67">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西安市交大附中浐灞右岸学校</w:t>
            </w:r>
          </w:p>
        </w:tc>
      </w:tr>
      <w:tr w14:paraId="5EC04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5" w:hRule="atLeast"/>
        </w:trPr>
        <w:tc>
          <w:tcPr>
            <w:tcW w:w="0" w:type="auto"/>
            <w:noWrap w:val="0"/>
            <w:vAlign w:val="center"/>
          </w:tcPr>
          <w:p w14:paraId="5965A414">
            <w:pPr>
              <w:keepNext w:val="0"/>
              <w:keepLines w:val="0"/>
              <w:widowControl/>
              <w:suppressLineNumbers w:val="0"/>
              <w:jc w:val="righ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23</w:t>
            </w:r>
          </w:p>
        </w:tc>
        <w:tc>
          <w:tcPr>
            <w:tcW w:w="0" w:type="auto"/>
            <w:noWrap w:val="0"/>
            <w:vAlign w:val="center"/>
          </w:tcPr>
          <w:p w14:paraId="7BD0E81D">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全彩LED显示屏</w:t>
            </w:r>
          </w:p>
        </w:tc>
        <w:tc>
          <w:tcPr>
            <w:tcW w:w="0" w:type="auto"/>
            <w:noWrap w:val="0"/>
            <w:vAlign w:val="center"/>
          </w:tcPr>
          <w:p w14:paraId="105C08DE">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包边包边装饰</w:t>
            </w:r>
          </w:p>
        </w:tc>
        <w:tc>
          <w:tcPr>
            <w:tcW w:w="0" w:type="auto"/>
            <w:noWrap w:val="0"/>
            <w:vAlign w:val="center"/>
          </w:tcPr>
          <w:p w14:paraId="6214ABB9">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全彩LED显示屏包边包边装饰</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1.不锈钢包边装饰；2.夹芯板封后背。</w:t>
            </w:r>
          </w:p>
        </w:tc>
        <w:tc>
          <w:tcPr>
            <w:tcW w:w="0" w:type="auto"/>
            <w:noWrap w:val="0"/>
            <w:vAlign w:val="center"/>
          </w:tcPr>
          <w:p w14:paraId="24C82D3E">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24.6</w:t>
            </w:r>
          </w:p>
        </w:tc>
        <w:tc>
          <w:tcPr>
            <w:tcW w:w="0" w:type="auto"/>
            <w:noWrap w:val="0"/>
            <w:vAlign w:val="center"/>
          </w:tcPr>
          <w:p w14:paraId="76039231">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西安市交大附中浐灞右岸学校</w:t>
            </w:r>
          </w:p>
        </w:tc>
      </w:tr>
      <w:tr w14:paraId="6B45D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14:paraId="51FAC78F">
            <w:pPr>
              <w:keepNext w:val="0"/>
              <w:keepLines w:val="0"/>
              <w:widowControl/>
              <w:suppressLineNumbers w:val="0"/>
              <w:jc w:val="righ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24</w:t>
            </w:r>
          </w:p>
        </w:tc>
        <w:tc>
          <w:tcPr>
            <w:tcW w:w="0" w:type="auto"/>
            <w:noWrap w:val="0"/>
            <w:vAlign w:val="center"/>
          </w:tcPr>
          <w:p w14:paraId="6E0C6299">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全彩LED显示屏</w:t>
            </w:r>
          </w:p>
        </w:tc>
        <w:tc>
          <w:tcPr>
            <w:tcW w:w="0" w:type="auto"/>
            <w:noWrap w:val="0"/>
            <w:vAlign w:val="center"/>
          </w:tcPr>
          <w:p w14:paraId="221F1827">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配电箱</w:t>
            </w:r>
          </w:p>
        </w:tc>
        <w:tc>
          <w:tcPr>
            <w:tcW w:w="0" w:type="auto"/>
            <w:noWrap w:val="0"/>
            <w:vAlign w:val="center"/>
          </w:tcPr>
          <w:p w14:paraId="6DB09CCD">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全彩LED显示屏配电箱</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1.≥30KW；</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2.一键启停。</w:t>
            </w:r>
          </w:p>
        </w:tc>
        <w:tc>
          <w:tcPr>
            <w:tcW w:w="0" w:type="auto"/>
            <w:noWrap w:val="0"/>
            <w:vAlign w:val="center"/>
          </w:tcPr>
          <w:p w14:paraId="0A99F632">
            <w:pPr>
              <w:keepNext w:val="0"/>
              <w:keepLines w:val="0"/>
              <w:widowControl/>
              <w:suppressLineNumbers w:val="0"/>
              <w:jc w:val="center"/>
              <w:textAlignment w:val="center"/>
              <w:rPr>
                <w:sz w:val="20"/>
                <w:szCs w:val="20"/>
                <w:highlight w:val="none"/>
                <w:vertAlign w:val="baseline"/>
              </w:rPr>
            </w:pPr>
            <w:r>
              <w:rPr>
                <w:rFonts w:hint="default" w:ascii="仿宋_GB2312" w:hAnsi="宋体" w:eastAsia="仿宋_GB2312" w:cs="仿宋_GB2312"/>
                <w:i w:val="0"/>
                <w:iCs w:val="0"/>
                <w:color w:val="000000"/>
                <w:kern w:val="0"/>
                <w:sz w:val="20"/>
                <w:szCs w:val="20"/>
                <w:highlight w:val="none"/>
                <w:u w:val="none"/>
                <w:lang w:val="en-US" w:eastAsia="zh-CN" w:bidi="ar"/>
              </w:rPr>
              <w:t>1</w:t>
            </w:r>
          </w:p>
        </w:tc>
        <w:tc>
          <w:tcPr>
            <w:tcW w:w="0" w:type="auto"/>
            <w:noWrap w:val="0"/>
            <w:vAlign w:val="center"/>
          </w:tcPr>
          <w:p w14:paraId="51542110">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西安市交大附中浐灞右岸学校</w:t>
            </w:r>
          </w:p>
        </w:tc>
      </w:tr>
      <w:tr w14:paraId="73235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14:paraId="470588EB">
            <w:pPr>
              <w:keepNext w:val="0"/>
              <w:keepLines w:val="0"/>
              <w:widowControl/>
              <w:suppressLineNumbers w:val="0"/>
              <w:jc w:val="righ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25</w:t>
            </w:r>
          </w:p>
        </w:tc>
        <w:tc>
          <w:tcPr>
            <w:tcW w:w="0" w:type="auto"/>
            <w:noWrap w:val="0"/>
            <w:vAlign w:val="center"/>
          </w:tcPr>
          <w:p w14:paraId="0C351B54">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全彩LED显示屏</w:t>
            </w:r>
          </w:p>
        </w:tc>
        <w:tc>
          <w:tcPr>
            <w:tcW w:w="0" w:type="auto"/>
            <w:noWrap w:val="0"/>
            <w:vAlign w:val="center"/>
          </w:tcPr>
          <w:p w14:paraId="6F0511CB">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主电源线及网线5*10平方</w:t>
            </w:r>
          </w:p>
        </w:tc>
        <w:tc>
          <w:tcPr>
            <w:tcW w:w="0" w:type="auto"/>
            <w:noWrap w:val="0"/>
            <w:vAlign w:val="center"/>
          </w:tcPr>
          <w:p w14:paraId="42C52D3E">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全彩LED显示屏主电源线及网线5*10平方</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1.国标纯铜线缆；</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2.线缆铺设。</w:t>
            </w:r>
          </w:p>
        </w:tc>
        <w:tc>
          <w:tcPr>
            <w:tcW w:w="0" w:type="auto"/>
            <w:noWrap w:val="0"/>
            <w:vAlign w:val="center"/>
          </w:tcPr>
          <w:p w14:paraId="2C1136D1">
            <w:pPr>
              <w:keepNext w:val="0"/>
              <w:keepLines w:val="0"/>
              <w:widowControl/>
              <w:suppressLineNumbers w:val="0"/>
              <w:jc w:val="center"/>
              <w:textAlignment w:val="center"/>
              <w:rPr>
                <w:sz w:val="20"/>
                <w:szCs w:val="20"/>
                <w:highlight w:val="none"/>
                <w:vertAlign w:val="baseline"/>
              </w:rPr>
            </w:pPr>
            <w:r>
              <w:rPr>
                <w:rFonts w:hint="default" w:ascii="仿宋_GB2312" w:hAnsi="宋体" w:eastAsia="仿宋_GB2312" w:cs="仿宋_GB2312"/>
                <w:i w:val="0"/>
                <w:iCs w:val="0"/>
                <w:color w:val="000000"/>
                <w:kern w:val="0"/>
                <w:sz w:val="20"/>
                <w:szCs w:val="20"/>
                <w:highlight w:val="none"/>
                <w:u w:val="none"/>
                <w:lang w:val="en-US" w:eastAsia="zh-CN" w:bidi="ar"/>
              </w:rPr>
              <w:t>150</w:t>
            </w:r>
          </w:p>
        </w:tc>
        <w:tc>
          <w:tcPr>
            <w:tcW w:w="0" w:type="auto"/>
            <w:noWrap w:val="0"/>
            <w:vAlign w:val="center"/>
          </w:tcPr>
          <w:p w14:paraId="02F00A52">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西安市交大附中浐灞右岸学校</w:t>
            </w:r>
          </w:p>
        </w:tc>
      </w:tr>
      <w:tr w14:paraId="0F1A7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14:paraId="5BF0A0C1">
            <w:pPr>
              <w:keepNext w:val="0"/>
              <w:keepLines w:val="0"/>
              <w:widowControl/>
              <w:suppressLineNumbers w:val="0"/>
              <w:jc w:val="righ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26</w:t>
            </w:r>
          </w:p>
        </w:tc>
        <w:tc>
          <w:tcPr>
            <w:tcW w:w="0" w:type="auto"/>
            <w:noWrap w:val="0"/>
            <w:vAlign w:val="center"/>
          </w:tcPr>
          <w:p w14:paraId="18B687DF">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全彩LED显示屏</w:t>
            </w:r>
          </w:p>
        </w:tc>
        <w:tc>
          <w:tcPr>
            <w:tcW w:w="0" w:type="auto"/>
            <w:noWrap w:val="0"/>
            <w:vAlign w:val="center"/>
          </w:tcPr>
          <w:p w14:paraId="44A95F54">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安装调试及辅材</w:t>
            </w:r>
          </w:p>
        </w:tc>
        <w:tc>
          <w:tcPr>
            <w:tcW w:w="0" w:type="auto"/>
            <w:noWrap w:val="0"/>
            <w:vAlign w:val="center"/>
          </w:tcPr>
          <w:p w14:paraId="6534BB58">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全彩LED显示屏安装调试及辅材</w:t>
            </w:r>
          </w:p>
        </w:tc>
        <w:tc>
          <w:tcPr>
            <w:tcW w:w="0" w:type="auto"/>
            <w:noWrap w:val="0"/>
            <w:vAlign w:val="center"/>
          </w:tcPr>
          <w:p w14:paraId="24125C33">
            <w:pPr>
              <w:keepNext w:val="0"/>
              <w:keepLines w:val="0"/>
              <w:widowControl/>
              <w:suppressLineNumbers w:val="0"/>
              <w:jc w:val="center"/>
              <w:textAlignment w:val="center"/>
              <w:rPr>
                <w:sz w:val="20"/>
                <w:szCs w:val="20"/>
                <w:highlight w:val="none"/>
                <w:vertAlign w:val="baseline"/>
              </w:rPr>
            </w:pPr>
            <w:r>
              <w:rPr>
                <w:rFonts w:hint="default" w:ascii="仿宋_GB2312" w:hAnsi="宋体" w:eastAsia="仿宋_GB2312" w:cs="仿宋_GB2312"/>
                <w:i w:val="0"/>
                <w:iCs w:val="0"/>
                <w:color w:val="000000"/>
                <w:kern w:val="0"/>
                <w:sz w:val="20"/>
                <w:szCs w:val="20"/>
                <w:highlight w:val="none"/>
                <w:u w:val="none"/>
                <w:lang w:val="en-US" w:eastAsia="zh-CN" w:bidi="ar"/>
              </w:rPr>
              <w:t>1</w:t>
            </w:r>
          </w:p>
        </w:tc>
        <w:tc>
          <w:tcPr>
            <w:tcW w:w="0" w:type="auto"/>
            <w:noWrap w:val="0"/>
            <w:vAlign w:val="center"/>
          </w:tcPr>
          <w:p w14:paraId="1130380D">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西安市交大附中浐灞右岸学校</w:t>
            </w:r>
          </w:p>
        </w:tc>
      </w:tr>
      <w:tr w14:paraId="15D3E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14:paraId="42F9DDD8">
            <w:pPr>
              <w:keepNext w:val="0"/>
              <w:keepLines w:val="0"/>
              <w:widowControl/>
              <w:suppressLineNumbers w:val="0"/>
              <w:jc w:val="righ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27</w:t>
            </w:r>
          </w:p>
        </w:tc>
        <w:tc>
          <w:tcPr>
            <w:tcW w:w="0" w:type="auto"/>
            <w:noWrap w:val="0"/>
            <w:vAlign w:val="center"/>
          </w:tcPr>
          <w:p w14:paraId="5F6DEA72">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弱电：防火墙</w:t>
            </w:r>
          </w:p>
        </w:tc>
        <w:tc>
          <w:tcPr>
            <w:tcW w:w="0" w:type="auto"/>
            <w:noWrap w:val="0"/>
            <w:vAlign w:val="center"/>
          </w:tcPr>
          <w:p w14:paraId="01F35523">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防火墙</w:t>
            </w:r>
          </w:p>
        </w:tc>
        <w:tc>
          <w:tcPr>
            <w:tcW w:w="0" w:type="auto"/>
            <w:noWrap w:val="0"/>
            <w:vAlign w:val="center"/>
          </w:tcPr>
          <w:p w14:paraId="173135E4">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1、硬件：采用非X86多核架构，性能2MGMT+18GE+8Combo+4Bypass+2SFP+ +2USB, ≥500G HDD、480G SSD，自带单电源</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2、性能：吞吐量：≥5Gbps，并发连接数:≥140万，新建连接数：≥2.8万，全威胁吞吐：≥600M，SSL VPN并发用户：≥700，支持5G带宽（测速）</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3、功能：支持路由、透明、混合模式部署，支持基于AI的策略冗余分析、策略命中分析以及应用风险调优等能力，支持资产扫描、加密流量检测、应用审计、数据安全、网页过滤、带宽管理、IPS、AV等应用层安全功能，支持链路负载，支持国密算法，支持IPV6协议，支持网页诊断功能等</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4、设备可自行向云平台注册，实现设备注册上线、显示在线离线状态、报活等工作。</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5、支持云端防病毒。</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6、带机量：≥2000人。</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配套授权：≥100个SLL VPN用户授权，≥三年IPS/AV/URL/威胁授权函</w:t>
            </w:r>
          </w:p>
        </w:tc>
        <w:tc>
          <w:tcPr>
            <w:tcW w:w="0" w:type="auto"/>
            <w:noWrap w:val="0"/>
            <w:vAlign w:val="center"/>
          </w:tcPr>
          <w:p w14:paraId="43B5BB6E">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 xml:space="preserve">1 </w:t>
            </w:r>
          </w:p>
        </w:tc>
        <w:tc>
          <w:tcPr>
            <w:tcW w:w="0" w:type="auto"/>
            <w:noWrap w:val="0"/>
            <w:vAlign w:val="center"/>
          </w:tcPr>
          <w:p w14:paraId="59ED4997">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西安市第三十四中学</w:t>
            </w:r>
          </w:p>
        </w:tc>
      </w:tr>
      <w:tr w14:paraId="4312C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14:paraId="086145D1">
            <w:pPr>
              <w:keepNext w:val="0"/>
              <w:keepLines w:val="0"/>
              <w:widowControl/>
              <w:suppressLineNumbers w:val="0"/>
              <w:jc w:val="righ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28</w:t>
            </w:r>
          </w:p>
        </w:tc>
        <w:tc>
          <w:tcPr>
            <w:tcW w:w="0" w:type="auto"/>
            <w:noWrap w:val="0"/>
            <w:vAlign w:val="center"/>
          </w:tcPr>
          <w:p w14:paraId="0A60C039">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弱电：上网行为管理、身份认证</w:t>
            </w:r>
          </w:p>
        </w:tc>
        <w:tc>
          <w:tcPr>
            <w:tcW w:w="0" w:type="auto"/>
            <w:noWrap w:val="0"/>
            <w:vAlign w:val="center"/>
          </w:tcPr>
          <w:p w14:paraId="6DE14A14">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上网行为管理、身份认证</w:t>
            </w:r>
          </w:p>
        </w:tc>
        <w:tc>
          <w:tcPr>
            <w:tcW w:w="0" w:type="auto"/>
            <w:noWrap w:val="0"/>
            <w:vAlign w:val="center"/>
          </w:tcPr>
          <w:p w14:paraId="16038296">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1、端口：1console口+12GE（光）+12GE（电）；</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2、性能：网络吞吐：≥6G,应用层吞吐≥2.5G，</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3、日志存储：内置硬盘≥2T/180天日志，行为审计&amp;应用控制适用用户规模：≥2000人，SSL VPN最大用户规模：≥1500，无线非经支持最大AP数量：≥1024，</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4、应用审计+应用识别+流量控制+IPS+AV全开专线带宽：≥400M，应用审计+应用识别+流量控制+IPS+AV全开运营商带宽：≥500M，含身份认证软件</w:t>
            </w:r>
          </w:p>
        </w:tc>
        <w:tc>
          <w:tcPr>
            <w:tcW w:w="0" w:type="auto"/>
            <w:noWrap w:val="0"/>
            <w:vAlign w:val="center"/>
          </w:tcPr>
          <w:p w14:paraId="426F743C">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 xml:space="preserve">1 </w:t>
            </w:r>
          </w:p>
        </w:tc>
        <w:tc>
          <w:tcPr>
            <w:tcW w:w="0" w:type="auto"/>
            <w:noWrap w:val="0"/>
            <w:vAlign w:val="center"/>
          </w:tcPr>
          <w:p w14:paraId="138E0651">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西安市第三十四中学</w:t>
            </w:r>
          </w:p>
        </w:tc>
      </w:tr>
      <w:tr w14:paraId="37040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14:paraId="0C48DF6D">
            <w:pPr>
              <w:keepNext w:val="0"/>
              <w:keepLines w:val="0"/>
              <w:widowControl/>
              <w:suppressLineNumbers w:val="0"/>
              <w:jc w:val="righ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29</w:t>
            </w:r>
          </w:p>
        </w:tc>
        <w:tc>
          <w:tcPr>
            <w:tcW w:w="0" w:type="auto"/>
            <w:noWrap w:val="0"/>
            <w:vAlign w:val="center"/>
          </w:tcPr>
          <w:p w14:paraId="2098C79D">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弱电：核心交换机</w:t>
            </w:r>
          </w:p>
        </w:tc>
        <w:tc>
          <w:tcPr>
            <w:tcW w:w="0" w:type="auto"/>
            <w:noWrap w:val="0"/>
            <w:vAlign w:val="center"/>
          </w:tcPr>
          <w:p w14:paraId="74AA96CA">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核心交换机</w:t>
            </w:r>
          </w:p>
        </w:tc>
        <w:tc>
          <w:tcPr>
            <w:tcW w:w="0" w:type="auto"/>
            <w:noWrap w:val="0"/>
            <w:vAlign w:val="center"/>
          </w:tcPr>
          <w:p w14:paraId="39CBFB36">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1、交换容量：≥51.2Tbps/201.6Tbps包转发率：≥36000Mpps，</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2、支持千兆电口、千兆光口、万兆光口、40G光接口、100G光接口，</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3、硬件架构：业务槽位数≥3个，可配双主控，主控引擎自带业务端口，主控、电源、接口模块、风扇等关键部件可热插拔。</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4、支持IPV4、IPV6微分段功能；支持BFD for VRRP/BGP/IS-IS/OSPF/静态路由等，实现各协议的快速故障检测机制，故障检测时间小于50ms，支持IP、VLAN 、MAC和端口等多种组合精细绑定；支持uRPF单播反向路径转发，防止非法流量访问网络；</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5、国产化芯片、提供国产化报告；入网证、入网检测报告；</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6、内置网管软件，支持网络统一纳管，支持无线、交换机、路由器等一体化纳管，提供免费运维和简化开局能力。</w:t>
            </w:r>
          </w:p>
        </w:tc>
        <w:tc>
          <w:tcPr>
            <w:tcW w:w="0" w:type="auto"/>
            <w:noWrap w:val="0"/>
            <w:vAlign w:val="center"/>
          </w:tcPr>
          <w:p w14:paraId="2F44905F">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 xml:space="preserve">1 </w:t>
            </w:r>
          </w:p>
        </w:tc>
        <w:tc>
          <w:tcPr>
            <w:tcW w:w="0" w:type="auto"/>
            <w:noWrap w:val="0"/>
            <w:vAlign w:val="center"/>
          </w:tcPr>
          <w:p w14:paraId="71D97933">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西安市第三十四中学</w:t>
            </w:r>
          </w:p>
        </w:tc>
      </w:tr>
      <w:tr w14:paraId="5C790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14:paraId="15F78AC1">
            <w:pPr>
              <w:keepNext w:val="0"/>
              <w:keepLines w:val="0"/>
              <w:widowControl/>
              <w:suppressLineNumbers w:val="0"/>
              <w:jc w:val="righ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30</w:t>
            </w:r>
          </w:p>
        </w:tc>
        <w:tc>
          <w:tcPr>
            <w:tcW w:w="0" w:type="auto"/>
            <w:noWrap w:val="0"/>
            <w:vAlign w:val="center"/>
          </w:tcPr>
          <w:p w14:paraId="2EDD1E0B">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弱电：POE交换机</w:t>
            </w:r>
          </w:p>
        </w:tc>
        <w:tc>
          <w:tcPr>
            <w:tcW w:w="0" w:type="auto"/>
            <w:noWrap w:val="0"/>
            <w:vAlign w:val="center"/>
          </w:tcPr>
          <w:p w14:paraId="530FFEDE">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POE交换机</w:t>
            </w:r>
          </w:p>
        </w:tc>
        <w:tc>
          <w:tcPr>
            <w:tcW w:w="0" w:type="auto"/>
            <w:noWrap w:val="0"/>
            <w:vAlign w:val="center"/>
          </w:tcPr>
          <w:p w14:paraId="553D24A3">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网管交换机，24个10/100/1000BASE-T电口(支持PoE+),支持4个100/1000BASE-X SFP Combo口,支持4个1G/10G BASE-X SFP+端口，）交换容量:≥336Gbps/3.36Tbps 包转发率：≥126Mpps,POE供电170W</w:t>
            </w:r>
          </w:p>
        </w:tc>
        <w:tc>
          <w:tcPr>
            <w:tcW w:w="0" w:type="auto"/>
            <w:noWrap w:val="0"/>
            <w:vAlign w:val="center"/>
          </w:tcPr>
          <w:p w14:paraId="0EAC4045">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 xml:space="preserve">1 </w:t>
            </w:r>
          </w:p>
        </w:tc>
        <w:tc>
          <w:tcPr>
            <w:tcW w:w="0" w:type="auto"/>
            <w:noWrap w:val="0"/>
            <w:vAlign w:val="center"/>
          </w:tcPr>
          <w:p w14:paraId="53A49309">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西安市第三十四中学</w:t>
            </w:r>
          </w:p>
        </w:tc>
      </w:tr>
      <w:tr w14:paraId="7A10C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14:paraId="20CFE8CF">
            <w:pPr>
              <w:keepNext w:val="0"/>
              <w:keepLines w:val="0"/>
              <w:widowControl/>
              <w:suppressLineNumbers w:val="0"/>
              <w:jc w:val="righ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31</w:t>
            </w:r>
          </w:p>
        </w:tc>
        <w:tc>
          <w:tcPr>
            <w:tcW w:w="0" w:type="auto"/>
            <w:noWrap w:val="0"/>
            <w:vAlign w:val="center"/>
          </w:tcPr>
          <w:p w14:paraId="224B82A7">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弱电：接入交换机</w:t>
            </w:r>
          </w:p>
        </w:tc>
        <w:tc>
          <w:tcPr>
            <w:tcW w:w="0" w:type="auto"/>
            <w:noWrap w:val="0"/>
            <w:vAlign w:val="center"/>
          </w:tcPr>
          <w:p w14:paraId="6EA85D51">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接入交换机</w:t>
            </w:r>
          </w:p>
        </w:tc>
        <w:tc>
          <w:tcPr>
            <w:tcW w:w="0" w:type="auto"/>
            <w:noWrap w:val="0"/>
            <w:vAlign w:val="center"/>
          </w:tcPr>
          <w:p w14:paraId="7967CB3A">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1、端口：48个10/100/1000Base-T电口（其中8个是combo口）、4个1/2.5/10GE BASE-X SFP+万兆光口；</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2、交换容量：≥672Gbps/6.72Tbps， 包转发率：≥207Mpps/252Mpps，</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3、支持三层静态路由：支持IPv6 静态路由、支持IPv4 静态路由、支持OSPFv1/v2、OSPFv3；</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4、支持IRF2智能弹性架构、支持本地堆叠和远程堆叠；</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5、支持二层环网协议：支持 RRPP 环型拓扑和 RRPP 多实例</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6、支持命令行接口、支持Telemetry可视化、支持SNMPv1/v2/v3，WEB网管</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7、支持绿色节能EEE(802.3az)</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8、支持可视化图形化操作管理，对网络的统一运维及管理</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9、支持双电冗余</w:t>
            </w:r>
          </w:p>
        </w:tc>
        <w:tc>
          <w:tcPr>
            <w:tcW w:w="0" w:type="auto"/>
            <w:noWrap w:val="0"/>
            <w:vAlign w:val="center"/>
          </w:tcPr>
          <w:p w14:paraId="028D6E0A">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 xml:space="preserve">1 </w:t>
            </w:r>
          </w:p>
        </w:tc>
        <w:tc>
          <w:tcPr>
            <w:tcW w:w="0" w:type="auto"/>
            <w:noWrap w:val="0"/>
            <w:vAlign w:val="center"/>
          </w:tcPr>
          <w:p w14:paraId="06C2B38B">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西安市第三十四中学</w:t>
            </w:r>
          </w:p>
        </w:tc>
      </w:tr>
      <w:tr w14:paraId="53A1C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14:paraId="3E578EA7">
            <w:pPr>
              <w:keepNext w:val="0"/>
              <w:keepLines w:val="0"/>
              <w:widowControl/>
              <w:suppressLineNumbers w:val="0"/>
              <w:jc w:val="righ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32</w:t>
            </w:r>
          </w:p>
        </w:tc>
        <w:tc>
          <w:tcPr>
            <w:tcW w:w="0" w:type="auto"/>
            <w:noWrap w:val="0"/>
            <w:vAlign w:val="center"/>
          </w:tcPr>
          <w:p w14:paraId="575A3831">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弱电：入侵防御系统</w:t>
            </w:r>
          </w:p>
        </w:tc>
        <w:tc>
          <w:tcPr>
            <w:tcW w:w="0" w:type="auto"/>
            <w:noWrap w:val="0"/>
            <w:vAlign w:val="center"/>
          </w:tcPr>
          <w:p w14:paraId="4C143A79">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入侵防御系统</w:t>
            </w:r>
          </w:p>
        </w:tc>
        <w:tc>
          <w:tcPr>
            <w:tcW w:w="0" w:type="auto"/>
            <w:noWrap w:val="0"/>
            <w:vAlign w:val="center"/>
          </w:tcPr>
          <w:p w14:paraId="00977148">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硬件：采用非X86多核架构，2U机架式设备，1个独立管理口+16个千兆电口+4个Combo口+6个千兆光口+2个万兆光口，2个接口卡扩展槽位，1个硬盘扩展槽位，可扩展≥480G SSD硬盘或≥1T SATA机械硬盘，自带单交流电源，可配置双电源。</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性能：应用层吞吐量≥4Gbps；并发连接数≥110万，每秒新建连接数（HTTP）≥2.2万；全威胁应用层吞吐（流控+IPS+AV防病毒）≥1.5Gbps。</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功能：支持路由、透明、混合模式部署，支持对畸形包、DDOS等共计防范，支持对IPS特征库手动、自动升级、回滚以及自定义，支持对多种应用层协议进行防病毒检测，集成第三方专业防病毒厂商的专业病毒库，支持数据过滤、文件过滤、带宽管理以及应用管控、Web攻击防护等功能，支持IPV6协议以及翻译技术等，支持多虚一集群以及一虚多虚拟化功能。</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配套授权：≥3年IPS特征库升级授权。</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硬件质保服务：三年原厂硬件质保及5*10*NBD备件服务</w:t>
            </w:r>
          </w:p>
        </w:tc>
        <w:tc>
          <w:tcPr>
            <w:tcW w:w="0" w:type="auto"/>
            <w:noWrap w:val="0"/>
            <w:vAlign w:val="center"/>
          </w:tcPr>
          <w:p w14:paraId="74B013AB">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 xml:space="preserve">1 </w:t>
            </w:r>
          </w:p>
        </w:tc>
        <w:tc>
          <w:tcPr>
            <w:tcW w:w="0" w:type="auto"/>
            <w:noWrap w:val="0"/>
            <w:vAlign w:val="center"/>
          </w:tcPr>
          <w:p w14:paraId="20C7085E">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西安市第三十四中学</w:t>
            </w:r>
          </w:p>
        </w:tc>
      </w:tr>
      <w:tr w14:paraId="1A721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14:paraId="41835AA3">
            <w:pPr>
              <w:keepNext w:val="0"/>
              <w:keepLines w:val="0"/>
              <w:widowControl/>
              <w:suppressLineNumbers w:val="0"/>
              <w:jc w:val="righ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33</w:t>
            </w:r>
          </w:p>
        </w:tc>
        <w:tc>
          <w:tcPr>
            <w:tcW w:w="0" w:type="auto"/>
            <w:noWrap w:val="0"/>
            <w:vAlign w:val="center"/>
          </w:tcPr>
          <w:p w14:paraId="22BE8DE1">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弱电：无线控制器</w:t>
            </w:r>
          </w:p>
        </w:tc>
        <w:tc>
          <w:tcPr>
            <w:tcW w:w="0" w:type="auto"/>
            <w:noWrap w:val="0"/>
            <w:vAlign w:val="center"/>
          </w:tcPr>
          <w:p w14:paraId="23F16AB9">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无线控制器</w:t>
            </w:r>
          </w:p>
        </w:tc>
        <w:tc>
          <w:tcPr>
            <w:tcW w:w="0" w:type="auto"/>
            <w:noWrap w:val="0"/>
            <w:vAlign w:val="center"/>
          </w:tcPr>
          <w:p w14:paraId="1D9EF612">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 吞吐量：≥10Gbps，最大接入用户数≥4096</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 AP管理： 最大管理AP≥256， 支持分销面板翻倍，</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3. 接口：WAN 2*GE &amp; LAN 6*GE + 2*SFP+ &amp; 1*USB + 1*Console ，内置双电源</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4. 支持AC内漫游，支持跨AC间漫游，支持跨VLAN的三层漫游</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5.支持基于802.11k/802.11v/802.11r协议的智能漫游</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6. 支持标准capwap协议、AC和AP之间支持L2/L3层网络拓扑</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7. 支持与无线云平台对接，实现多种的应用功能，支持微信/短信认证以及一键认证及流量管控功能</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8. 为保障网络全面运维，支持通过云平台显示AC CPU、内存使用情况、整机或单口广播、单播历史信息等，含无线授权</w:t>
            </w:r>
          </w:p>
        </w:tc>
        <w:tc>
          <w:tcPr>
            <w:tcW w:w="0" w:type="auto"/>
            <w:noWrap w:val="0"/>
            <w:vAlign w:val="center"/>
          </w:tcPr>
          <w:p w14:paraId="09B0814C">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 xml:space="preserve">1 </w:t>
            </w:r>
          </w:p>
        </w:tc>
        <w:tc>
          <w:tcPr>
            <w:tcW w:w="0" w:type="auto"/>
            <w:noWrap w:val="0"/>
            <w:vAlign w:val="center"/>
          </w:tcPr>
          <w:p w14:paraId="6C1B8212">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西安市第三十四中学</w:t>
            </w:r>
          </w:p>
        </w:tc>
      </w:tr>
      <w:tr w14:paraId="65BEC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14:paraId="11446318">
            <w:pPr>
              <w:keepNext w:val="0"/>
              <w:keepLines w:val="0"/>
              <w:widowControl/>
              <w:suppressLineNumbers w:val="0"/>
              <w:jc w:val="righ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34</w:t>
            </w:r>
          </w:p>
        </w:tc>
        <w:tc>
          <w:tcPr>
            <w:tcW w:w="0" w:type="auto"/>
            <w:noWrap w:val="0"/>
            <w:vAlign w:val="center"/>
          </w:tcPr>
          <w:p w14:paraId="29FD24DA">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弱电：无线AP</w:t>
            </w:r>
          </w:p>
        </w:tc>
        <w:tc>
          <w:tcPr>
            <w:tcW w:w="0" w:type="auto"/>
            <w:noWrap w:val="0"/>
            <w:vAlign w:val="center"/>
          </w:tcPr>
          <w:p w14:paraId="12D7DF45">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无线AP</w:t>
            </w:r>
          </w:p>
        </w:tc>
        <w:tc>
          <w:tcPr>
            <w:tcW w:w="0" w:type="auto"/>
            <w:noWrap w:val="0"/>
            <w:vAlign w:val="center"/>
          </w:tcPr>
          <w:p w14:paraId="5FD24009">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1、采用整机双频4流设计，可工作在802.11a/b/g/n/ac/ac wave2/ax模式，</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2、整机协商速率2.975Gbps，其中5G射频速率≥2.4G，2.4G速率0.575G，</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3、接口：1个（10/100/1000M电口）,支持 802.3af供电</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4、⽀持内置BLE5.1，可满足基于蓝牙协议的物联网业务</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5、整机接入用户规格≥256</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6、支持包括802.1x认证、PSK认证、MAC、PPPOE、Portal、微信、短信等认证加密方式，用以保护无线网络安全</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7、在网络拥塞情况下，支持对终端报文进行识别，可对关键业务优先处理并加速</w:t>
            </w:r>
          </w:p>
        </w:tc>
        <w:tc>
          <w:tcPr>
            <w:tcW w:w="0" w:type="auto"/>
            <w:noWrap w:val="0"/>
            <w:vAlign w:val="center"/>
          </w:tcPr>
          <w:p w14:paraId="68D1EA9A">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10</w:t>
            </w:r>
          </w:p>
        </w:tc>
        <w:tc>
          <w:tcPr>
            <w:tcW w:w="0" w:type="auto"/>
            <w:noWrap w:val="0"/>
            <w:vAlign w:val="center"/>
          </w:tcPr>
          <w:p w14:paraId="11320644">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西安市第三十四中学</w:t>
            </w:r>
          </w:p>
        </w:tc>
      </w:tr>
      <w:tr w14:paraId="0656B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14:paraId="0A15809A">
            <w:pPr>
              <w:keepNext w:val="0"/>
              <w:keepLines w:val="0"/>
              <w:widowControl/>
              <w:suppressLineNumbers w:val="0"/>
              <w:jc w:val="righ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35</w:t>
            </w:r>
          </w:p>
        </w:tc>
        <w:tc>
          <w:tcPr>
            <w:tcW w:w="0" w:type="auto"/>
            <w:noWrap w:val="0"/>
            <w:vAlign w:val="center"/>
          </w:tcPr>
          <w:p w14:paraId="20159AD9">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信息化：LED显示屏</w:t>
            </w:r>
          </w:p>
        </w:tc>
        <w:tc>
          <w:tcPr>
            <w:tcW w:w="0" w:type="auto"/>
            <w:noWrap w:val="0"/>
            <w:vAlign w:val="center"/>
          </w:tcPr>
          <w:p w14:paraId="1EF82C08">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LED显示屏</w:t>
            </w:r>
          </w:p>
        </w:tc>
        <w:tc>
          <w:tcPr>
            <w:tcW w:w="0" w:type="auto"/>
            <w:noWrap w:val="0"/>
            <w:vAlign w:val="center"/>
          </w:tcPr>
          <w:p w14:paraId="07A26053">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操场/LED显示屏：</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P10户外单色，P10，尺寸：12900mm*600mm   像素点间距≤10mm</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模组尺寸:320mm*160mm</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模组分辨率:32*16=512 像素</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像素密度;10000Dots/㎡</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封装技术：表贴或直插</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结构特点：灯驱合一</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亮度：≥1500cd/㎡</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刷新频率：≥60HZ</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可视角度：水平 160°，垂直 160°</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亮度调节：256 级手动/自动</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色温：5000-9000 可调</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峰值功耗：≤540W/㎡</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平均功耗：≤180w/㎡</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包含电源、控制卡、结构辅材等所有设备及材料</w:t>
            </w:r>
          </w:p>
        </w:tc>
        <w:tc>
          <w:tcPr>
            <w:tcW w:w="0" w:type="auto"/>
            <w:noWrap w:val="0"/>
            <w:vAlign w:val="center"/>
          </w:tcPr>
          <w:p w14:paraId="61F1D6C6">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7.74</w:t>
            </w:r>
          </w:p>
        </w:tc>
        <w:tc>
          <w:tcPr>
            <w:tcW w:w="0" w:type="auto"/>
            <w:noWrap w:val="0"/>
            <w:vAlign w:val="center"/>
          </w:tcPr>
          <w:p w14:paraId="060E4191">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西安市第五十七中学</w:t>
            </w:r>
          </w:p>
        </w:tc>
      </w:tr>
      <w:tr w14:paraId="2715F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14:paraId="70043857">
            <w:pPr>
              <w:keepNext w:val="0"/>
              <w:keepLines w:val="0"/>
              <w:widowControl/>
              <w:suppressLineNumbers w:val="0"/>
              <w:jc w:val="righ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36</w:t>
            </w:r>
          </w:p>
        </w:tc>
        <w:tc>
          <w:tcPr>
            <w:tcW w:w="0" w:type="auto"/>
            <w:noWrap w:val="0"/>
            <w:vAlign w:val="center"/>
          </w:tcPr>
          <w:p w14:paraId="0E5A9E03">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弱电：网络广播系统/15寸网络服务器主机</w:t>
            </w:r>
          </w:p>
        </w:tc>
        <w:tc>
          <w:tcPr>
            <w:tcW w:w="0" w:type="auto"/>
            <w:noWrap w:val="0"/>
            <w:vAlign w:val="center"/>
          </w:tcPr>
          <w:p w14:paraId="23F586B3">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15寸网络服务器主机</w:t>
            </w:r>
          </w:p>
        </w:tc>
        <w:tc>
          <w:tcPr>
            <w:tcW w:w="0" w:type="auto"/>
            <w:noWrap w:val="0"/>
            <w:vAlign w:val="center"/>
          </w:tcPr>
          <w:p w14:paraId="68615D2C">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网络广播系统/15寸网络服务器主机</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1、专业机架式工控机箱体设计。</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2、采用≥15.6英寸工业级加固触摸屏。</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3、具有录音功能。</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4、具有智能电源管理功能。</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5、系统内置监听喇叭。</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6、内置大容量固态硬盘。</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7、支持专用百兆网/千兆网传输。</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技术参数：</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屏幕产品尺寸：≥15.6英寸、亮度：350、对比度：≥600：1</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视角：可视角度：80/80/60/80（L/R/U/D）</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芯片组：性能≥Intel® H410高速芯片组</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处理器：性能≥i5 10400 2.9GHZ 六核十二线程</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硬盘：≥1*240GB固态硬盘</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内存：≥1*DDR4/8G内存</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系统：Windows 10及以上专业版</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显示：1* VGA 接口，1* HDMI接口</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音频：MIC-in/Line-out/Line-in</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后板电脑IO接口：1*PS/2键盘接口；1*PS/2鼠标接口；6*RS232串口接口；1*HDMI接口；1*VGA接口</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6*USB接口； 1*RJ-45网线接口；3*音频接口（MIC-in/Line-out/Line-in）</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后板接口：4*AC220V输出插座，受面板钥匙开关控制开/关；2*AC220V品字电源输入插座；4*XLR/6.35音响组合插座；</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4*RCA莲花插座信号输入，；4*6.35话筒插座信号输出；6*音量电位器，控制XLR/6.35和RCA输入信号；</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1*幻象电源开关；1*幻象电源指示灯（红色）；1*电脑远程开机接口；1*远程短路输出接口；1*5口百兆交换机；1*内置1.85寸监听喇叭；</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面板：1*开机按钮，电脑开机；1*钥匙开关，控制后板4路AC220V输出插座；1*监听音量电位器，控制后板内置监听喇叭音量；</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1*总音量电位器，控制后板4*6.35话筒插座音量；2*USB接口；1*消防按钮；1*抽拉式键盘（带触摸板、数字键盘）；1*15.6寸液晶屏/1920*1080带触摸屏</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电源：升级版专业电源（AC 200-240V/5A/50-60Hz）</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工作温度、湿度：-10℃～50℃，≤90%RH（无结露）</w:t>
            </w:r>
          </w:p>
        </w:tc>
        <w:tc>
          <w:tcPr>
            <w:tcW w:w="0" w:type="auto"/>
            <w:noWrap w:val="0"/>
            <w:vAlign w:val="center"/>
          </w:tcPr>
          <w:p w14:paraId="2FB0FFD6">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w:t>
            </w:r>
          </w:p>
        </w:tc>
        <w:tc>
          <w:tcPr>
            <w:tcW w:w="0" w:type="auto"/>
            <w:noWrap w:val="0"/>
            <w:vAlign w:val="center"/>
          </w:tcPr>
          <w:p w14:paraId="77230B4E">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西安市第五十七中学</w:t>
            </w:r>
          </w:p>
        </w:tc>
      </w:tr>
      <w:tr w14:paraId="7616E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14:paraId="1854224F">
            <w:pPr>
              <w:keepNext w:val="0"/>
              <w:keepLines w:val="0"/>
              <w:widowControl/>
              <w:suppressLineNumbers w:val="0"/>
              <w:jc w:val="righ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37</w:t>
            </w:r>
          </w:p>
        </w:tc>
        <w:tc>
          <w:tcPr>
            <w:tcW w:w="0" w:type="auto"/>
            <w:noWrap w:val="0"/>
            <w:vAlign w:val="center"/>
          </w:tcPr>
          <w:p w14:paraId="095EDD52">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弱电：网络广播系统/网络广播管理软件</w:t>
            </w:r>
          </w:p>
        </w:tc>
        <w:tc>
          <w:tcPr>
            <w:tcW w:w="0" w:type="auto"/>
            <w:noWrap w:val="0"/>
            <w:vAlign w:val="center"/>
          </w:tcPr>
          <w:p w14:paraId="4798F667">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网络广播管理软件</w:t>
            </w:r>
          </w:p>
        </w:tc>
        <w:tc>
          <w:tcPr>
            <w:tcW w:w="0" w:type="auto"/>
            <w:noWrap w:val="0"/>
            <w:vAlign w:val="center"/>
          </w:tcPr>
          <w:p w14:paraId="2D91AE18">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网络广播系统/网络广播管理软件</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1、采用B/S架构。</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2、支持≥800个以下终端设备搭建，管理，授权，组织调整；</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3、支持无线音柱和无线功放及无线音频收扩终端无线控制广播；</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4、具有自动搜索设备功能。</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5、查看设备状态可显示设备音量、电池电量、信号强度、故障等信息；</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6、支持用户角色创建。</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7、支持在线地图与平面图片地图呈现。</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8、具有敏感词过滤功能。</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9、具有呼叫管理功能。</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10、具有采播功能。</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11、具有摄像机管理功能。</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12、具有系统任务巡查功能。</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13、支持实时对讲。</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14、媒体资源管理。</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15、定时广播功能。</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16、文件广播功能。</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18、支持远程设置设备参数。</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19、支持远程电源管理。</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20、支持GPS、北斗时钟授时。</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21、跨网段广播，设备管理，异地寻呼和远程对讲；</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22、支持多种网络协议：TCP/IP、UDP、RTP、RTCP、RTMP、RTSP、单播、组播。                                                                                 23.可手机远程控制。</w:t>
            </w:r>
          </w:p>
        </w:tc>
        <w:tc>
          <w:tcPr>
            <w:tcW w:w="0" w:type="auto"/>
            <w:noWrap w:val="0"/>
            <w:vAlign w:val="center"/>
          </w:tcPr>
          <w:p w14:paraId="67ECE453">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4</w:t>
            </w:r>
          </w:p>
        </w:tc>
        <w:tc>
          <w:tcPr>
            <w:tcW w:w="0" w:type="auto"/>
            <w:noWrap w:val="0"/>
            <w:vAlign w:val="center"/>
          </w:tcPr>
          <w:p w14:paraId="1B460F64">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西安市第五十七中学</w:t>
            </w:r>
          </w:p>
        </w:tc>
      </w:tr>
      <w:tr w14:paraId="02188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14:paraId="73BE6905">
            <w:pPr>
              <w:keepNext w:val="0"/>
              <w:keepLines w:val="0"/>
              <w:widowControl/>
              <w:suppressLineNumbers w:val="0"/>
              <w:jc w:val="righ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38</w:t>
            </w:r>
          </w:p>
        </w:tc>
        <w:tc>
          <w:tcPr>
            <w:tcW w:w="0" w:type="auto"/>
            <w:noWrap w:val="0"/>
            <w:vAlign w:val="center"/>
          </w:tcPr>
          <w:p w14:paraId="3AA6ACF9">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弱电：网络广播系统/7寸桌面式网络话筒</w:t>
            </w:r>
          </w:p>
        </w:tc>
        <w:tc>
          <w:tcPr>
            <w:tcW w:w="0" w:type="auto"/>
            <w:noWrap w:val="0"/>
            <w:vAlign w:val="center"/>
          </w:tcPr>
          <w:p w14:paraId="02EA99BD">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7寸桌面式网络话筒</w:t>
            </w:r>
          </w:p>
        </w:tc>
        <w:tc>
          <w:tcPr>
            <w:tcW w:w="0" w:type="auto"/>
            <w:noWrap w:val="0"/>
            <w:vAlign w:val="center"/>
          </w:tcPr>
          <w:p w14:paraId="2345B7AE">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网络广播系统/7寸桌面式网络话筒</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1、强指向性话筒。</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 xml:space="preserve">2、具有红色硬件紧急按键。 </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3、具有物理全区广播按钮。</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4、具有音量调节硬件按钮。</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5、支持实时显示所属分区设备的在线状态等；</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6、支持跨网络广播寻呼功能；</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7、具备自动刷新功能。</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8、支持对讲功能。</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9、支持POE供电；</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技术参数：</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网络通讯协议：TCP、UDP、ARP、HTTP、FTP等</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网络芯片速率：10/100Mbps</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音频编码格式：PCM、OPUS、MP3</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采样率：8K-48KHz</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比特率：64Kbps~768Kbps</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网络延时：音频≤5ms</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信噪比：≥80dB</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频率响应：20Hz-20KHz</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供电方式：DC 24V/POE</w:t>
            </w:r>
          </w:p>
        </w:tc>
        <w:tc>
          <w:tcPr>
            <w:tcW w:w="0" w:type="auto"/>
            <w:noWrap w:val="0"/>
            <w:vAlign w:val="center"/>
          </w:tcPr>
          <w:p w14:paraId="44EC75EA">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4</w:t>
            </w:r>
          </w:p>
        </w:tc>
        <w:tc>
          <w:tcPr>
            <w:tcW w:w="0" w:type="auto"/>
            <w:noWrap w:val="0"/>
            <w:vAlign w:val="center"/>
          </w:tcPr>
          <w:p w14:paraId="160EA1B2">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西安市第五十七中学</w:t>
            </w:r>
          </w:p>
        </w:tc>
      </w:tr>
      <w:tr w14:paraId="25941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14:paraId="3F401A98">
            <w:pPr>
              <w:keepNext w:val="0"/>
              <w:keepLines w:val="0"/>
              <w:widowControl/>
              <w:suppressLineNumbers w:val="0"/>
              <w:jc w:val="righ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39</w:t>
            </w:r>
          </w:p>
        </w:tc>
        <w:tc>
          <w:tcPr>
            <w:tcW w:w="0" w:type="auto"/>
            <w:noWrap w:val="0"/>
            <w:vAlign w:val="center"/>
          </w:tcPr>
          <w:p w14:paraId="25F7B4C3">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弱电：网络广播系统/机架式网络音频采集器</w:t>
            </w:r>
          </w:p>
        </w:tc>
        <w:tc>
          <w:tcPr>
            <w:tcW w:w="0" w:type="auto"/>
            <w:noWrap w:val="0"/>
            <w:vAlign w:val="center"/>
          </w:tcPr>
          <w:p w14:paraId="3D442E15">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音频采集器</w:t>
            </w:r>
          </w:p>
        </w:tc>
        <w:tc>
          <w:tcPr>
            <w:tcW w:w="0" w:type="auto"/>
            <w:noWrap w:val="0"/>
            <w:vAlign w:val="center"/>
          </w:tcPr>
          <w:p w14:paraId="00E2CC78">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网络广播系统/机架式网络音频采集器</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1、标准1U机架式设计。</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2、支持本地监听。</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3、支持本地通道状态指示。</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4、可以通过平台页面。</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5、可以服务器远程升级设备固件。</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技术参数：</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网络通讯协议：TCP、UDP、ARP、HTTP、FTP等</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网络芯片速率：10/100/1000Mbps</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音频编码格式：MP3、PCM</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音频模式：48000Hz，16Bits超CD音质</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采样率：8K-48KHz</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比特率：64Kbps~768Kbps</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网络延时：音频≤30ms</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输入灵敏度/阻抗：MIC 15mV/600Ω不平衡TS端子输入；AUX 350mV/10KΩ不平衡凤凰/RCA端子；</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输出灵敏度/阻抗：800mV /470Ω不平衡凤凰/RCA端子</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信噪比：≥90dB</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频率响应：20Hz-20KHz</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供电方式：AC 220V/50-60Hz</w:t>
            </w:r>
          </w:p>
        </w:tc>
        <w:tc>
          <w:tcPr>
            <w:tcW w:w="0" w:type="auto"/>
            <w:noWrap w:val="0"/>
            <w:vAlign w:val="center"/>
          </w:tcPr>
          <w:p w14:paraId="713A05F7">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w:t>
            </w:r>
          </w:p>
        </w:tc>
        <w:tc>
          <w:tcPr>
            <w:tcW w:w="0" w:type="auto"/>
            <w:noWrap w:val="0"/>
            <w:vAlign w:val="center"/>
          </w:tcPr>
          <w:p w14:paraId="7DE65B97">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西安市第五十七中学</w:t>
            </w:r>
          </w:p>
        </w:tc>
      </w:tr>
      <w:tr w14:paraId="6E233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14:paraId="519B0A70">
            <w:pPr>
              <w:keepNext w:val="0"/>
              <w:keepLines w:val="0"/>
              <w:widowControl/>
              <w:suppressLineNumbers w:val="0"/>
              <w:jc w:val="righ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40</w:t>
            </w:r>
          </w:p>
        </w:tc>
        <w:tc>
          <w:tcPr>
            <w:tcW w:w="0" w:type="auto"/>
            <w:noWrap w:val="0"/>
            <w:vAlign w:val="center"/>
          </w:tcPr>
          <w:p w14:paraId="3B14B1CC">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弱电：网络广播系统/数字播放器</w:t>
            </w:r>
          </w:p>
        </w:tc>
        <w:tc>
          <w:tcPr>
            <w:tcW w:w="0" w:type="auto"/>
            <w:noWrap w:val="0"/>
            <w:vAlign w:val="center"/>
          </w:tcPr>
          <w:p w14:paraId="28A81ADB">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数字播放器</w:t>
            </w:r>
          </w:p>
        </w:tc>
        <w:tc>
          <w:tcPr>
            <w:tcW w:w="0" w:type="auto"/>
            <w:noWrap w:val="0"/>
            <w:vAlign w:val="center"/>
          </w:tcPr>
          <w:p w14:paraId="7566556E">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网络广播系统/数字播放器</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1、标准机箱设计。</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2、自动播放控制。</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3、带USB接口。</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4、具1路音频信号左右声道（L/R）输出；</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5、支持2路视频输出端口。</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6、带红外遥控功能。</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技术参数：</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频率响应：20-20KHz</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播放类型：CD/VCD/MP3/DVD碟片，U盘</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播放格式：MP3、WMA、CD、AAC、FLAC</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动态范围：90dB</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音频输出：1KΩ0-1.5V非平衡</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音频失真度：0.05%</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信噪比：≥92dB</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保护：ACFUSE×1A</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工作电压：AC220V/50Hz</w:t>
            </w:r>
          </w:p>
        </w:tc>
        <w:tc>
          <w:tcPr>
            <w:tcW w:w="0" w:type="auto"/>
            <w:noWrap w:val="0"/>
            <w:vAlign w:val="center"/>
          </w:tcPr>
          <w:p w14:paraId="742BE9E7">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w:t>
            </w:r>
          </w:p>
        </w:tc>
        <w:tc>
          <w:tcPr>
            <w:tcW w:w="0" w:type="auto"/>
            <w:noWrap w:val="0"/>
            <w:vAlign w:val="center"/>
          </w:tcPr>
          <w:p w14:paraId="36F016C5">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西安市第五十七中学</w:t>
            </w:r>
          </w:p>
        </w:tc>
      </w:tr>
      <w:tr w14:paraId="7BB77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14:paraId="7ADC3D53">
            <w:pPr>
              <w:keepNext w:val="0"/>
              <w:keepLines w:val="0"/>
              <w:widowControl/>
              <w:suppressLineNumbers w:val="0"/>
              <w:jc w:val="righ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41</w:t>
            </w:r>
          </w:p>
        </w:tc>
        <w:tc>
          <w:tcPr>
            <w:tcW w:w="0" w:type="auto"/>
            <w:noWrap w:val="0"/>
            <w:vAlign w:val="center"/>
          </w:tcPr>
          <w:p w14:paraId="6180C263">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弱电：网络广播系统/数字调谐器</w:t>
            </w:r>
          </w:p>
        </w:tc>
        <w:tc>
          <w:tcPr>
            <w:tcW w:w="0" w:type="auto"/>
            <w:noWrap w:val="0"/>
            <w:vAlign w:val="center"/>
          </w:tcPr>
          <w:p w14:paraId="4D3EAB70">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数字调谐器</w:t>
            </w:r>
          </w:p>
        </w:tc>
        <w:tc>
          <w:tcPr>
            <w:tcW w:w="0" w:type="auto"/>
            <w:noWrap w:val="0"/>
            <w:vAlign w:val="center"/>
          </w:tcPr>
          <w:p w14:paraId="22AB0106">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网络广播系统/数字调谐器</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1、标准机箱设计；</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2、电台频率记忆存储≥90个；</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3、1路音频信号左右声道（L/R）输出；</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4、带红外遥控功能。</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技术参数：</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接收范围FM：87.0-108.0MHz</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灵敏度FM：18dBμ</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信噪比FM：≥76dB</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调谐频率步距FM：50KHz</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中频频率FM：10.7MHz</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音频输出：1KΩ，0.775V非平衡</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频率响应：20Hz-20KHz</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信噪比：≥92dB</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保护：ACFUSE×1A</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工作电压：AC220V/50Hz</w:t>
            </w:r>
          </w:p>
        </w:tc>
        <w:tc>
          <w:tcPr>
            <w:tcW w:w="0" w:type="auto"/>
            <w:noWrap w:val="0"/>
            <w:vAlign w:val="center"/>
          </w:tcPr>
          <w:p w14:paraId="3E30187F">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w:t>
            </w:r>
          </w:p>
        </w:tc>
        <w:tc>
          <w:tcPr>
            <w:tcW w:w="0" w:type="auto"/>
            <w:noWrap w:val="0"/>
            <w:vAlign w:val="center"/>
          </w:tcPr>
          <w:p w14:paraId="6BFEE90D">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西安市第五十七中学</w:t>
            </w:r>
          </w:p>
        </w:tc>
      </w:tr>
      <w:tr w14:paraId="3E41D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14:paraId="5B813DE1">
            <w:pPr>
              <w:keepNext w:val="0"/>
              <w:keepLines w:val="0"/>
              <w:widowControl/>
              <w:suppressLineNumbers w:val="0"/>
              <w:jc w:val="righ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42</w:t>
            </w:r>
          </w:p>
        </w:tc>
        <w:tc>
          <w:tcPr>
            <w:tcW w:w="0" w:type="auto"/>
            <w:noWrap w:val="0"/>
            <w:vAlign w:val="center"/>
          </w:tcPr>
          <w:p w14:paraId="5A005134">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弱电：网络广播系统/前置放大器</w:t>
            </w:r>
          </w:p>
        </w:tc>
        <w:tc>
          <w:tcPr>
            <w:tcW w:w="0" w:type="auto"/>
            <w:noWrap w:val="0"/>
            <w:vAlign w:val="center"/>
          </w:tcPr>
          <w:p w14:paraId="359DF0BF">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前置放大器</w:t>
            </w:r>
          </w:p>
        </w:tc>
        <w:tc>
          <w:tcPr>
            <w:tcW w:w="0" w:type="auto"/>
            <w:noWrap w:val="0"/>
            <w:vAlign w:val="center"/>
          </w:tcPr>
          <w:p w14:paraId="49CFDC25">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网络广播系统/前置放大器</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1、标准机箱设计；</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2、≥8个输入通道；</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3、≥2路线路输出；</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4、话筒接口带+48V幻象电源。</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技术参数：</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话筒输入：5mV/600Ω 非平衡</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辅助输入：3500mV/10KΩ 非平衡</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紧急话筒输入：5mV-25mV/600Ω 非平衡</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紧急线路输入：200mV-1000mV/10KΩ 非平衡</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音频输出：10KΩ，0-6V非平衡</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输出静噪：≤3mV</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频率响应：20Hz-20KHz</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信噪比：MIC 输入：50dB AUX输入：80dB</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音调调节（低音）：±10dB @ 100Hz</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音调调节（高音）：±10dB @ 10KHz</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保护：AC FUSE×1A</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工作电压：AC 220V/50Hz</w:t>
            </w:r>
          </w:p>
        </w:tc>
        <w:tc>
          <w:tcPr>
            <w:tcW w:w="0" w:type="auto"/>
            <w:noWrap w:val="0"/>
            <w:vAlign w:val="center"/>
          </w:tcPr>
          <w:p w14:paraId="54827771">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w:t>
            </w:r>
          </w:p>
        </w:tc>
        <w:tc>
          <w:tcPr>
            <w:tcW w:w="0" w:type="auto"/>
            <w:noWrap w:val="0"/>
            <w:vAlign w:val="center"/>
          </w:tcPr>
          <w:p w14:paraId="24C60E15">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西安市第五十七中学</w:t>
            </w:r>
          </w:p>
        </w:tc>
      </w:tr>
      <w:tr w14:paraId="61045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14:paraId="4BB51FC2">
            <w:pPr>
              <w:keepNext w:val="0"/>
              <w:keepLines w:val="0"/>
              <w:widowControl/>
              <w:suppressLineNumbers w:val="0"/>
              <w:jc w:val="righ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43</w:t>
            </w:r>
          </w:p>
        </w:tc>
        <w:tc>
          <w:tcPr>
            <w:tcW w:w="0" w:type="auto"/>
            <w:noWrap w:val="0"/>
            <w:vAlign w:val="center"/>
          </w:tcPr>
          <w:p w14:paraId="0AF80E62">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弱电：网络广播系统/监听音响</w:t>
            </w:r>
          </w:p>
        </w:tc>
        <w:tc>
          <w:tcPr>
            <w:tcW w:w="0" w:type="auto"/>
            <w:noWrap w:val="0"/>
            <w:vAlign w:val="center"/>
          </w:tcPr>
          <w:p w14:paraId="3204823E">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监听音响</w:t>
            </w:r>
          </w:p>
        </w:tc>
        <w:tc>
          <w:tcPr>
            <w:tcW w:w="0" w:type="auto"/>
            <w:noWrap w:val="0"/>
            <w:vAlign w:val="center"/>
          </w:tcPr>
          <w:p w14:paraId="3C918A7D">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网络广播系统/监听音响</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1、服务软件远程调节音量；</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2、1路≥30W定阻输出；</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3、标准RJ45网络接口；                                                                                                                                                                                                                                                                                                          4、 支持实时接收服务器音频广播功能；</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 xml:space="preserve">5、支持本地用旋钮调节话筒输入音量；                                                                                                                                                                                                                                                                                                                                                                                             6、支持服务器分区分组远程管理功能；                                                                                                                                                                                                                                                                                                                                                                                 7、支持服务器远程参数修改。                                                                                                                                                                                                                                                                                                                                                                 </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技术参数：</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功率：≥30W（额定）/60W（峰值）</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网络通讯协议：TCP、UDP、ARP、HTTP、FTP等</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网络芯片速率：10/100Mbps</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音频编码：WAV、MP3、PCM、OPUS</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音频采样，位率：8KHz-44.1KHz，16位，8Kbps-768Kbps</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信噪比：≥90dB</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网络声音延迟：广播延迟≤100ms</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频率响应：60Hz-18KHz灵敏度：97dB±3dB</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接口：RJ45×1，USB×1，mic×1，DC 24V×1，凤凰端子×2组</w:t>
            </w:r>
          </w:p>
        </w:tc>
        <w:tc>
          <w:tcPr>
            <w:tcW w:w="0" w:type="auto"/>
            <w:noWrap w:val="0"/>
            <w:vAlign w:val="center"/>
          </w:tcPr>
          <w:p w14:paraId="152EA90A">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w:t>
            </w:r>
          </w:p>
        </w:tc>
        <w:tc>
          <w:tcPr>
            <w:tcW w:w="0" w:type="auto"/>
            <w:noWrap w:val="0"/>
            <w:vAlign w:val="center"/>
          </w:tcPr>
          <w:p w14:paraId="72A14A23">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西安市第五十七中学</w:t>
            </w:r>
          </w:p>
        </w:tc>
      </w:tr>
      <w:tr w14:paraId="66E09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14:paraId="14B49AEF">
            <w:pPr>
              <w:keepNext w:val="0"/>
              <w:keepLines w:val="0"/>
              <w:widowControl/>
              <w:suppressLineNumbers w:val="0"/>
              <w:jc w:val="righ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44</w:t>
            </w:r>
          </w:p>
        </w:tc>
        <w:tc>
          <w:tcPr>
            <w:tcW w:w="0" w:type="auto"/>
            <w:noWrap w:val="0"/>
            <w:vAlign w:val="center"/>
          </w:tcPr>
          <w:p w14:paraId="1BBF431C">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弱电：网络广播系统/机架式网络电源管理器</w:t>
            </w:r>
          </w:p>
        </w:tc>
        <w:tc>
          <w:tcPr>
            <w:tcW w:w="0" w:type="auto"/>
            <w:noWrap w:val="0"/>
            <w:vAlign w:val="center"/>
          </w:tcPr>
          <w:p w14:paraId="667DF23C">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电源管理器</w:t>
            </w:r>
          </w:p>
        </w:tc>
        <w:tc>
          <w:tcPr>
            <w:tcW w:w="0" w:type="auto"/>
            <w:noWrap w:val="0"/>
            <w:vAlign w:val="center"/>
          </w:tcPr>
          <w:p w14:paraId="1E898FFE">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网络广播系统/机架式网络电源管理器</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1、标准机箱设计；</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2、带负载总电流≥50A；</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3、带8个LED指示灯显示；</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4、带RJ45网口；</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5、带232和485智能化控制接口；</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6、带短路信号输入输出接口。</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技术参数：</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通讯协议：TCP、UDP、ARPP等</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传输速度：≥10Mbps/100Mbps</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最大总电流：50A</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每通道最大电流：16A</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通道数：9路</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电源供应：AC 110V/220V 50/60Hz</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装机高度：1U</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电源指示：LED指示灯</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接口：前面板1个万能插座、后面板8个万能插座、1个网口、1个485口、1个短路输入输出口、2个USB口</w:t>
            </w:r>
          </w:p>
        </w:tc>
        <w:tc>
          <w:tcPr>
            <w:tcW w:w="0" w:type="auto"/>
            <w:noWrap w:val="0"/>
            <w:vAlign w:val="center"/>
          </w:tcPr>
          <w:p w14:paraId="279A171B">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w:t>
            </w:r>
          </w:p>
        </w:tc>
        <w:tc>
          <w:tcPr>
            <w:tcW w:w="0" w:type="auto"/>
            <w:noWrap w:val="0"/>
            <w:vAlign w:val="center"/>
          </w:tcPr>
          <w:p w14:paraId="4A9DCC9F">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西安市第五十七中学</w:t>
            </w:r>
          </w:p>
        </w:tc>
      </w:tr>
      <w:tr w14:paraId="7CCC5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14:paraId="5307A6E1">
            <w:pPr>
              <w:keepNext w:val="0"/>
              <w:keepLines w:val="0"/>
              <w:widowControl/>
              <w:suppressLineNumbers w:val="0"/>
              <w:jc w:val="righ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45</w:t>
            </w:r>
          </w:p>
        </w:tc>
        <w:tc>
          <w:tcPr>
            <w:tcW w:w="0" w:type="auto"/>
            <w:noWrap w:val="0"/>
            <w:vAlign w:val="center"/>
          </w:tcPr>
          <w:p w14:paraId="70D615E2">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弱电：网络广播系统/机架式网络NTP授时器</w:t>
            </w:r>
          </w:p>
        </w:tc>
        <w:tc>
          <w:tcPr>
            <w:tcW w:w="0" w:type="auto"/>
            <w:noWrap w:val="0"/>
            <w:vAlign w:val="center"/>
          </w:tcPr>
          <w:p w14:paraId="2F5E796A">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机架式网络NTP授时器</w:t>
            </w:r>
          </w:p>
        </w:tc>
        <w:tc>
          <w:tcPr>
            <w:tcW w:w="0" w:type="auto"/>
            <w:noWrap w:val="0"/>
            <w:vAlign w:val="center"/>
          </w:tcPr>
          <w:p w14:paraId="1CFEE459">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网络广播系统/机架式网络NTP授时器</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1、标准机箱设计；</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2、支持 GPS 和 BD 双卫星授时；</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技术参数：</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网络接口：标准RJ45输入</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传输速率：≥100Mbps，每秒钟可处理10000次以上的授时请求</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支持协议：NTP v1.v2.v3(RFC1119&amp;1305) SNTP(RFC2030)（RFC1321） DHCP (RFC2131) HTTP IPV4</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电源：100VAC-240VAC，50Hz</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工作温度：0～45℃（工作）；-20～80℃（储存）</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环境气压：86-105KPa。</w:t>
            </w:r>
          </w:p>
        </w:tc>
        <w:tc>
          <w:tcPr>
            <w:tcW w:w="0" w:type="auto"/>
            <w:noWrap w:val="0"/>
            <w:vAlign w:val="center"/>
          </w:tcPr>
          <w:p w14:paraId="7826B13F">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w:t>
            </w:r>
          </w:p>
        </w:tc>
        <w:tc>
          <w:tcPr>
            <w:tcW w:w="0" w:type="auto"/>
            <w:noWrap w:val="0"/>
            <w:vAlign w:val="center"/>
          </w:tcPr>
          <w:p w14:paraId="32351A38">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西安市第五十七中学</w:t>
            </w:r>
          </w:p>
        </w:tc>
      </w:tr>
      <w:tr w14:paraId="68358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14:paraId="32C16E9C">
            <w:pPr>
              <w:keepNext w:val="0"/>
              <w:keepLines w:val="0"/>
              <w:widowControl/>
              <w:suppressLineNumbers w:val="0"/>
              <w:jc w:val="righ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46</w:t>
            </w:r>
          </w:p>
        </w:tc>
        <w:tc>
          <w:tcPr>
            <w:tcW w:w="0" w:type="auto"/>
            <w:noWrap w:val="0"/>
            <w:vAlign w:val="center"/>
          </w:tcPr>
          <w:p w14:paraId="79B80BAB">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弱电：网络广播系统/广播专业机柜(豪华型）</w:t>
            </w:r>
          </w:p>
        </w:tc>
        <w:tc>
          <w:tcPr>
            <w:tcW w:w="0" w:type="auto"/>
            <w:noWrap w:val="0"/>
            <w:vAlign w:val="center"/>
          </w:tcPr>
          <w:p w14:paraId="14E05BE9">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广播专业机柜豪华型</w:t>
            </w:r>
          </w:p>
        </w:tc>
        <w:tc>
          <w:tcPr>
            <w:tcW w:w="0" w:type="auto"/>
            <w:noWrap w:val="0"/>
            <w:vAlign w:val="center"/>
          </w:tcPr>
          <w:p w14:paraId="7804AB8C">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网络广播系统/广播专业机柜</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≥1.2mm冷板、钢化玻璃门、2风扇、黑色；</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2.产品尺寸（L×W×H）：≥600×600×1800mm</w:t>
            </w:r>
          </w:p>
        </w:tc>
        <w:tc>
          <w:tcPr>
            <w:tcW w:w="0" w:type="auto"/>
            <w:noWrap w:val="0"/>
            <w:vAlign w:val="center"/>
          </w:tcPr>
          <w:p w14:paraId="5498A851">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w:t>
            </w:r>
          </w:p>
        </w:tc>
        <w:tc>
          <w:tcPr>
            <w:tcW w:w="0" w:type="auto"/>
            <w:noWrap w:val="0"/>
            <w:vAlign w:val="center"/>
          </w:tcPr>
          <w:p w14:paraId="59DB7E40">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西安市第五十七中学</w:t>
            </w:r>
          </w:p>
        </w:tc>
      </w:tr>
      <w:tr w14:paraId="586D0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14:paraId="294B6584">
            <w:pPr>
              <w:keepNext w:val="0"/>
              <w:keepLines w:val="0"/>
              <w:widowControl/>
              <w:suppressLineNumbers w:val="0"/>
              <w:jc w:val="righ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47</w:t>
            </w:r>
          </w:p>
        </w:tc>
        <w:tc>
          <w:tcPr>
            <w:tcW w:w="0" w:type="auto"/>
            <w:noWrap w:val="0"/>
            <w:vAlign w:val="center"/>
          </w:tcPr>
          <w:p w14:paraId="54DA2F77">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弱电：网络广播系统/壁挂式网络音箱</w:t>
            </w:r>
          </w:p>
        </w:tc>
        <w:tc>
          <w:tcPr>
            <w:tcW w:w="0" w:type="auto"/>
            <w:noWrap w:val="0"/>
            <w:vAlign w:val="center"/>
          </w:tcPr>
          <w:p w14:paraId="021DC9A9">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壁挂式网络音箱</w:t>
            </w:r>
          </w:p>
        </w:tc>
        <w:tc>
          <w:tcPr>
            <w:tcW w:w="0" w:type="auto"/>
            <w:noWrap w:val="0"/>
            <w:vAlign w:val="center"/>
          </w:tcPr>
          <w:p w14:paraId="0560C0A2">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 xml:space="preserve">网络广播系统/壁挂式网络音箱                                                                                                                                                                                                                                                                                                                                                                </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技术参数：</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功率：≥30W（额定）/60W（峰值）</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网络通讯协议：TCP、UDP、ARP、HTTP、FTP等</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网络芯片速率：10/100Mbps</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音频编码：WAV、MP3、PCM、OPUS</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音频采样，位率：8KHz-44.1KHz，16位，8Kbps-768Kbps</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信噪比：≥90dB</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网络声音延迟：广播延迟≤100ms</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频率响应：60Hz-18KHz灵敏度：97dB±3dB</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接口：RJ45×1，USB×1，mic×1，DC 24V×1，凤凰端子×2组</w:t>
            </w:r>
          </w:p>
        </w:tc>
        <w:tc>
          <w:tcPr>
            <w:tcW w:w="0" w:type="auto"/>
            <w:noWrap w:val="0"/>
            <w:vAlign w:val="center"/>
          </w:tcPr>
          <w:p w14:paraId="386BA5C9">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50</w:t>
            </w:r>
          </w:p>
        </w:tc>
        <w:tc>
          <w:tcPr>
            <w:tcW w:w="0" w:type="auto"/>
            <w:noWrap w:val="0"/>
            <w:vAlign w:val="center"/>
          </w:tcPr>
          <w:p w14:paraId="57525924">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西安市第五十七中学</w:t>
            </w:r>
          </w:p>
        </w:tc>
      </w:tr>
      <w:tr w14:paraId="21D21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14:paraId="54755043">
            <w:pPr>
              <w:keepNext w:val="0"/>
              <w:keepLines w:val="0"/>
              <w:widowControl/>
              <w:suppressLineNumbers w:val="0"/>
              <w:jc w:val="righ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48</w:t>
            </w:r>
          </w:p>
        </w:tc>
        <w:tc>
          <w:tcPr>
            <w:tcW w:w="0" w:type="auto"/>
            <w:noWrap w:val="0"/>
            <w:vAlign w:val="center"/>
          </w:tcPr>
          <w:p w14:paraId="19EBC713">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弱电：网络广播系统/壁挂式副箱</w:t>
            </w:r>
          </w:p>
        </w:tc>
        <w:tc>
          <w:tcPr>
            <w:tcW w:w="0" w:type="auto"/>
            <w:noWrap w:val="0"/>
            <w:vAlign w:val="center"/>
          </w:tcPr>
          <w:p w14:paraId="6200FB7A">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壁挂式副箱</w:t>
            </w:r>
          </w:p>
        </w:tc>
        <w:tc>
          <w:tcPr>
            <w:tcW w:w="0" w:type="auto"/>
            <w:noWrap w:val="0"/>
            <w:vAlign w:val="center"/>
          </w:tcPr>
          <w:p w14:paraId="6DB0FE73">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网络广播系统/壁挂式副箱</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技术参数：</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功率：≥30W（额定）/60W（峰值）</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输入阻抗：8Ω</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灵敏度：97dB</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频率响应：130Hz-18KHz</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喇叭单元：6.5"×1  2"×1</w:t>
            </w:r>
          </w:p>
        </w:tc>
        <w:tc>
          <w:tcPr>
            <w:tcW w:w="0" w:type="auto"/>
            <w:noWrap w:val="0"/>
            <w:vAlign w:val="center"/>
          </w:tcPr>
          <w:p w14:paraId="04381E4B">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50</w:t>
            </w:r>
          </w:p>
        </w:tc>
        <w:tc>
          <w:tcPr>
            <w:tcW w:w="0" w:type="auto"/>
            <w:noWrap w:val="0"/>
            <w:vAlign w:val="center"/>
          </w:tcPr>
          <w:p w14:paraId="79D4D14B">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西安市第五十七中学</w:t>
            </w:r>
          </w:p>
        </w:tc>
      </w:tr>
      <w:tr w14:paraId="35590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14:paraId="16559C26">
            <w:pPr>
              <w:keepNext w:val="0"/>
              <w:keepLines w:val="0"/>
              <w:widowControl/>
              <w:suppressLineNumbers w:val="0"/>
              <w:jc w:val="righ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49</w:t>
            </w:r>
          </w:p>
        </w:tc>
        <w:tc>
          <w:tcPr>
            <w:tcW w:w="0" w:type="auto"/>
            <w:noWrap w:val="0"/>
            <w:vAlign w:val="center"/>
          </w:tcPr>
          <w:p w14:paraId="4CF1E597">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弱电：网络广播系统/双向网络广播解码终端（机架式）</w:t>
            </w:r>
          </w:p>
        </w:tc>
        <w:tc>
          <w:tcPr>
            <w:tcW w:w="0" w:type="auto"/>
            <w:noWrap w:val="0"/>
            <w:vAlign w:val="center"/>
          </w:tcPr>
          <w:p w14:paraId="7AB26695">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双向网络广播解码终端</w:t>
            </w:r>
          </w:p>
        </w:tc>
        <w:tc>
          <w:tcPr>
            <w:tcW w:w="0" w:type="auto"/>
            <w:noWrap w:val="0"/>
            <w:vAlign w:val="center"/>
          </w:tcPr>
          <w:p w14:paraId="4D42965F">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网络广播系统/双向网络广播解码终端（机架式）</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产品描述：</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标准机箱设计。</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≥4路受控220V/1000W输出；≥4路短路输出信号；1路线路输出。</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1路麦克风输入。</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具备电源时序器功能。</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支持本地播放。</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技术参数：</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网络通讯协议：TCP、UDP、ARP、HTTP、FTP等</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网络芯片速率：10/100Mbps</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音频编码格式：WAV、MP3、PCM</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采样率：8K-48KHz</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比特率：64Kbps~768Kbps</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网络延时：音频≤30ms</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MIC输入灵敏度：5±0.5 mv/10KΩ</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输出灵敏度/阻抗：775mV /10KΩ不平衡凤凰/RCA端子</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信噪比：≥80dB</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频率响应：20Hz-20KHz</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整机功耗：10W/4500W（峰值）</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供电方式：AC 220V/50-60Hz</w:t>
            </w:r>
          </w:p>
        </w:tc>
        <w:tc>
          <w:tcPr>
            <w:tcW w:w="0" w:type="auto"/>
            <w:noWrap w:val="0"/>
            <w:vAlign w:val="center"/>
          </w:tcPr>
          <w:p w14:paraId="22551920">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w:t>
            </w:r>
          </w:p>
        </w:tc>
        <w:tc>
          <w:tcPr>
            <w:tcW w:w="0" w:type="auto"/>
            <w:noWrap w:val="0"/>
            <w:vAlign w:val="center"/>
          </w:tcPr>
          <w:p w14:paraId="331CDA22">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西安市第五十七中学</w:t>
            </w:r>
          </w:p>
        </w:tc>
      </w:tr>
      <w:tr w14:paraId="02E2C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14:paraId="5AA0E7E8">
            <w:pPr>
              <w:keepNext w:val="0"/>
              <w:keepLines w:val="0"/>
              <w:widowControl/>
              <w:suppressLineNumbers w:val="0"/>
              <w:jc w:val="righ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50</w:t>
            </w:r>
          </w:p>
        </w:tc>
        <w:tc>
          <w:tcPr>
            <w:tcW w:w="0" w:type="auto"/>
            <w:noWrap w:val="0"/>
            <w:vAlign w:val="center"/>
          </w:tcPr>
          <w:p w14:paraId="567225EC">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弱电：网络广播系统/真分集无线话筒</w:t>
            </w:r>
          </w:p>
        </w:tc>
        <w:tc>
          <w:tcPr>
            <w:tcW w:w="0" w:type="auto"/>
            <w:noWrap w:val="0"/>
            <w:vAlign w:val="center"/>
          </w:tcPr>
          <w:p w14:paraId="143F7565">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真分集无线话筒</w:t>
            </w:r>
          </w:p>
        </w:tc>
        <w:tc>
          <w:tcPr>
            <w:tcW w:w="0" w:type="auto"/>
            <w:noWrap w:val="0"/>
            <w:vAlign w:val="center"/>
          </w:tcPr>
          <w:p w14:paraId="27087192">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网络广播系统/真分集无线话筒</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接收机技术参数</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工作频率：500-980MHz</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红外对频，频率同频技术</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显示屏显示发射器电池电量</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S/N信噪比：≥105dB</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T.H.D失真:≤0.5%</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频率响应:40Hz-18KHz</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发射器技术参数</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频道:200频道</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频带宽度:50MHz</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频道间隔:250KHz</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频率稳定度:±0.005%</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使用电池:2节AA电池/5号电池</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发射功率：</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出厂为低功率150-200米</w:t>
            </w:r>
          </w:p>
        </w:tc>
        <w:tc>
          <w:tcPr>
            <w:tcW w:w="0" w:type="auto"/>
            <w:noWrap w:val="0"/>
            <w:vAlign w:val="center"/>
          </w:tcPr>
          <w:p w14:paraId="7AC24D08">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w:t>
            </w:r>
          </w:p>
        </w:tc>
        <w:tc>
          <w:tcPr>
            <w:tcW w:w="0" w:type="auto"/>
            <w:noWrap w:val="0"/>
            <w:vAlign w:val="center"/>
          </w:tcPr>
          <w:p w14:paraId="50A3077F">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西安市第五十七中学</w:t>
            </w:r>
          </w:p>
        </w:tc>
      </w:tr>
      <w:tr w14:paraId="461BF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14:paraId="18F8D808">
            <w:pPr>
              <w:keepNext w:val="0"/>
              <w:keepLines w:val="0"/>
              <w:widowControl/>
              <w:suppressLineNumbers w:val="0"/>
              <w:jc w:val="righ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51</w:t>
            </w:r>
          </w:p>
        </w:tc>
        <w:tc>
          <w:tcPr>
            <w:tcW w:w="0" w:type="auto"/>
            <w:noWrap w:val="0"/>
            <w:vAlign w:val="center"/>
          </w:tcPr>
          <w:p w14:paraId="62FFA0EE">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弱电：网络广播系统/无线话筒天线放大器</w:t>
            </w:r>
          </w:p>
        </w:tc>
        <w:tc>
          <w:tcPr>
            <w:tcW w:w="0" w:type="auto"/>
            <w:noWrap w:val="0"/>
            <w:vAlign w:val="center"/>
          </w:tcPr>
          <w:p w14:paraId="65761AFA">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无线话筒天线放大器</w:t>
            </w:r>
          </w:p>
        </w:tc>
        <w:tc>
          <w:tcPr>
            <w:tcW w:w="0" w:type="auto"/>
            <w:noWrap w:val="0"/>
            <w:vAlign w:val="center"/>
          </w:tcPr>
          <w:p w14:paraId="43A58E24">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网络广播系统/无线话筒天线放大器</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分配器技术参数：</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频率范围：500-950MHz</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输入截断点：+22dBm</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噪声比：4.0dB Type(Center Band)</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增益：+6-9dB(Center Band)</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输出阻抗：15dB min</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阻抗：50Ω  指向</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频宽：450MHz</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插座：TNC female</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电源供应：100-240V/50/60Hz</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电源消耗：170mA    指向性：180度</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四组电源输出：12V/600~1000mA                                                                                                                                                                                                                                        天线类型：指向性天线</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工作频带：500MHz-950MHz</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增益：6dB典型</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阻抗：50Ω 典型</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指向性:  椭圆形180度 典型</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指向极性：垂直（于垂直安装）</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连接端子：固定式直角BNC母座</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构造：玻璃铜及铜膜镜层</w:t>
            </w:r>
          </w:p>
        </w:tc>
        <w:tc>
          <w:tcPr>
            <w:tcW w:w="0" w:type="auto"/>
            <w:noWrap w:val="0"/>
            <w:vAlign w:val="center"/>
          </w:tcPr>
          <w:p w14:paraId="4430E7C6">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w:t>
            </w:r>
          </w:p>
        </w:tc>
        <w:tc>
          <w:tcPr>
            <w:tcW w:w="0" w:type="auto"/>
            <w:noWrap w:val="0"/>
            <w:vAlign w:val="center"/>
          </w:tcPr>
          <w:p w14:paraId="3D18FC89">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西安市第五十七中学</w:t>
            </w:r>
          </w:p>
        </w:tc>
      </w:tr>
      <w:tr w14:paraId="3038F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14:paraId="22880C27">
            <w:pPr>
              <w:keepNext w:val="0"/>
              <w:keepLines w:val="0"/>
              <w:widowControl/>
              <w:suppressLineNumbers w:val="0"/>
              <w:jc w:val="righ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52</w:t>
            </w:r>
          </w:p>
        </w:tc>
        <w:tc>
          <w:tcPr>
            <w:tcW w:w="0" w:type="auto"/>
            <w:noWrap w:val="0"/>
            <w:vAlign w:val="center"/>
          </w:tcPr>
          <w:p w14:paraId="3ED92D0A">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弱电：网络广播系统/前置放大器</w:t>
            </w:r>
          </w:p>
        </w:tc>
        <w:tc>
          <w:tcPr>
            <w:tcW w:w="0" w:type="auto"/>
            <w:noWrap w:val="0"/>
            <w:vAlign w:val="center"/>
          </w:tcPr>
          <w:p w14:paraId="3F40502B">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前置放大器</w:t>
            </w:r>
          </w:p>
        </w:tc>
        <w:tc>
          <w:tcPr>
            <w:tcW w:w="0" w:type="auto"/>
            <w:noWrap w:val="0"/>
            <w:vAlign w:val="center"/>
          </w:tcPr>
          <w:p w14:paraId="2D69AE40">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网络广播系统/前置放大器</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产品描述：</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1、标准机箱设计；</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2、≥10个输入通道；</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3、2路线路输出；</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4、各路话筒（MIC）输入通道和线路（AUX）输入通道均可独立调节音量；</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5、话筒接口带+48V幻象电源；</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技术参数：</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话筒输入：5mV/600Ω 非平衡</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辅助输入：3500mV/10KΩ 非平衡</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紧急话筒输入：5mV-25mV/600Ω 非平衡</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紧急线路输入：200mV-1000mV/10KΩ 非平衡</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音频输出：10KΩ，0-6V非平衡</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输出静噪：≤3mV</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频率响应：20Hz-20KHz</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信噪比：MIC 输入：50dB AUX输入：80dB</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音调调节（低音）：±10dB @ 100Hz</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音调调节（高音）：±10dB @ 10KHz</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保护：AC FUSE×1A</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工作电压：AC 220V/50Hz</w:t>
            </w:r>
          </w:p>
        </w:tc>
        <w:tc>
          <w:tcPr>
            <w:tcW w:w="0" w:type="auto"/>
            <w:noWrap w:val="0"/>
            <w:vAlign w:val="center"/>
          </w:tcPr>
          <w:p w14:paraId="146D2085">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w:t>
            </w:r>
          </w:p>
        </w:tc>
        <w:tc>
          <w:tcPr>
            <w:tcW w:w="0" w:type="auto"/>
            <w:noWrap w:val="0"/>
            <w:vAlign w:val="center"/>
          </w:tcPr>
          <w:p w14:paraId="07541182">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西安市第五十七中学</w:t>
            </w:r>
          </w:p>
        </w:tc>
      </w:tr>
      <w:tr w14:paraId="3F58B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14:paraId="3D13EBF3">
            <w:pPr>
              <w:keepNext w:val="0"/>
              <w:keepLines w:val="0"/>
              <w:widowControl/>
              <w:suppressLineNumbers w:val="0"/>
              <w:jc w:val="righ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53</w:t>
            </w:r>
          </w:p>
        </w:tc>
        <w:tc>
          <w:tcPr>
            <w:tcW w:w="0" w:type="auto"/>
            <w:noWrap w:val="0"/>
            <w:vAlign w:val="center"/>
          </w:tcPr>
          <w:p w14:paraId="0A4EAD8A">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弱电：网络广播系统/单通道纯后级数字功放</w:t>
            </w:r>
          </w:p>
        </w:tc>
        <w:tc>
          <w:tcPr>
            <w:tcW w:w="0" w:type="auto"/>
            <w:noWrap w:val="0"/>
            <w:vAlign w:val="center"/>
          </w:tcPr>
          <w:p w14:paraId="34898A76">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单通道纯后级数字功放</w:t>
            </w:r>
          </w:p>
        </w:tc>
        <w:tc>
          <w:tcPr>
            <w:tcW w:w="0" w:type="auto"/>
            <w:noWrap w:val="0"/>
            <w:vAlign w:val="center"/>
          </w:tcPr>
          <w:p w14:paraId="36935F7D">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网络广播系统/单通道纯后级数字功放</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产品描述：</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标准机箱设计；                                                                                                                                                                          技术参数：                                                                                                                                                                                                                                                                                                                                                                                                                                 额定功率：≥450W                                                                                                                                                                                                                                                                                                                                                                                                                              输出方式：70V，100V，4-16Ω                                                                                                                                                                                                                                                                                                                                                                                              输入灵敏度/阻抗：MIC1，2，3：5mV/600Ω                                                                                                                                                                                                                                                                                                                                                                    不平衡TS端子输入。AUX1，2，3：350mV/10KΩ                                                                                                                                                                                                                                                                                                                                                           不平衡RCA端子输入输出灵敏度/阻抗：1000mV/470Ω                                                                                                                                                                                                                                                                                                                                               不平衡TS端子输出过载源电动势：MIC1，2，3：&gt;12dB                                                                                                                                                                                                                                                                                                                                             不平衡TRS端子输入：AUX1，2，3：&gt;20dB                                                                                                                                                                                                                                                                                                                                                                  不平衡RCA端子输入音调（低音）：±10dB@100Hz音调（高音）：±10dB@10KHz                                                                                                                                                                                                                                                                                            频率响应：50-16KHz（+1dB，-3dB）                                                                                                                                                                                                                                                                                                                                                                                      信噪比：MIC1，2，3：66dB   AUX1，2，3：80</w:t>
            </w:r>
            <w:r>
              <w:rPr>
                <w:rFonts w:hint="eastAsia" w:ascii="宋体" w:hAnsi="宋体" w:eastAsia="宋体" w:cs="宋体"/>
                <w:i w:val="0"/>
                <w:iCs w:val="0"/>
                <w:color w:val="000000"/>
                <w:kern w:val="0"/>
                <w:sz w:val="20"/>
                <w:szCs w:val="20"/>
                <w:highlight w:val="none"/>
                <w:u w:val="none"/>
                <w:lang w:val="en-US" w:eastAsia="zh-CN" w:bidi="ar"/>
              </w:rPr>
              <w:t>dB                                                                                                                                                                                                                                                                                                                                                总谐波失真：1KHz时0.5%                                                                                                                                                                                                                                                                                                                                                                                                    1/3输出功率默音功能：MIC3优先                                                                                                                                                                                                                                                                                                                                                                                      其他通道通道串音衰减：≤50dB                                                                                                                                                                                                                                                                                                                                                                                         散热：由前往后强制风冷，散热器温度55度时启动内置风扇                                                                                                                                                                                                                                                                                                                             保护：过热，过载&amp;短路                                                                                                                                                                                                                                                                                                                                                                                                                 电源：AC220V/50Hz</w:t>
            </w:r>
          </w:p>
        </w:tc>
        <w:tc>
          <w:tcPr>
            <w:tcW w:w="0" w:type="auto"/>
            <w:noWrap w:val="0"/>
            <w:vAlign w:val="center"/>
          </w:tcPr>
          <w:p w14:paraId="77322D33">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w:t>
            </w:r>
          </w:p>
        </w:tc>
        <w:tc>
          <w:tcPr>
            <w:tcW w:w="0" w:type="auto"/>
            <w:noWrap w:val="0"/>
            <w:vAlign w:val="center"/>
          </w:tcPr>
          <w:p w14:paraId="7B8CFA91">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西安市第五十七中学</w:t>
            </w:r>
          </w:p>
        </w:tc>
      </w:tr>
      <w:tr w14:paraId="31C1D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14:paraId="063ABBB8">
            <w:pPr>
              <w:keepNext w:val="0"/>
              <w:keepLines w:val="0"/>
              <w:widowControl/>
              <w:suppressLineNumbers w:val="0"/>
              <w:jc w:val="righ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54</w:t>
            </w:r>
          </w:p>
        </w:tc>
        <w:tc>
          <w:tcPr>
            <w:tcW w:w="0" w:type="auto"/>
            <w:noWrap w:val="0"/>
            <w:vAlign w:val="center"/>
          </w:tcPr>
          <w:p w14:paraId="5CC499CC">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弱电：网络广播系统/大型室外全天候豪华音柱</w:t>
            </w:r>
          </w:p>
        </w:tc>
        <w:tc>
          <w:tcPr>
            <w:tcW w:w="0" w:type="auto"/>
            <w:noWrap w:val="0"/>
            <w:vAlign w:val="center"/>
          </w:tcPr>
          <w:p w14:paraId="0B273FC5">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大型室外全天候豪华音柱</w:t>
            </w:r>
          </w:p>
        </w:tc>
        <w:tc>
          <w:tcPr>
            <w:tcW w:w="0" w:type="auto"/>
            <w:noWrap w:val="0"/>
            <w:vAlign w:val="center"/>
          </w:tcPr>
          <w:p w14:paraId="67C8EC69">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网络广播系统/大型室外全天候豪华音柱</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额定功率：≥90W</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频率响应：55Hz-18KHz</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灵敏度：94dB</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输入阻抗：100/70V</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喇叭单元：3×5.5"/1×3"</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防水等级：≥IPX6</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盐雾等级：≥5级</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辐射等级：符合国家标准</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工作环境参数：</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工作温度：-40℃~+70℃</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工作湿度：20%～80%相对湿度，无结露</w:t>
            </w:r>
          </w:p>
        </w:tc>
        <w:tc>
          <w:tcPr>
            <w:tcW w:w="0" w:type="auto"/>
            <w:noWrap w:val="0"/>
            <w:vAlign w:val="center"/>
          </w:tcPr>
          <w:p w14:paraId="70B5DBEC">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4</w:t>
            </w:r>
          </w:p>
        </w:tc>
        <w:tc>
          <w:tcPr>
            <w:tcW w:w="0" w:type="auto"/>
            <w:noWrap w:val="0"/>
            <w:vAlign w:val="center"/>
          </w:tcPr>
          <w:p w14:paraId="5ECDB876">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西安市第五十七中学</w:t>
            </w:r>
          </w:p>
        </w:tc>
      </w:tr>
      <w:tr w14:paraId="70960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14:paraId="58F18EAC">
            <w:pPr>
              <w:keepNext w:val="0"/>
              <w:keepLines w:val="0"/>
              <w:widowControl/>
              <w:suppressLineNumbers w:val="0"/>
              <w:jc w:val="righ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55</w:t>
            </w:r>
          </w:p>
        </w:tc>
        <w:tc>
          <w:tcPr>
            <w:tcW w:w="0" w:type="auto"/>
            <w:noWrap w:val="0"/>
            <w:vAlign w:val="center"/>
          </w:tcPr>
          <w:p w14:paraId="63BDB2C2">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弱电：网络广播系统/全天候网络音柱(40W)</w:t>
            </w:r>
          </w:p>
        </w:tc>
        <w:tc>
          <w:tcPr>
            <w:tcW w:w="0" w:type="auto"/>
            <w:noWrap w:val="0"/>
            <w:vAlign w:val="center"/>
          </w:tcPr>
          <w:p w14:paraId="471D81E2">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全天候网络音柱40W</w:t>
            </w:r>
          </w:p>
        </w:tc>
        <w:tc>
          <w:tcPr>
            <w:tcW w:w="0" w:type="auto"/>
            <w:noWrap w:val="0"/>
            <w:vAlign w:val="center"/>
          </w:tcPr>
          <w:p w14:paraId="4D079A73">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网络广播系统/全天候网络音柱(40W)</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电源参数：</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电源输入：220V</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整机功耗：52W</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其他参数：</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额定功率：≥40W</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网络通讯协议：TCD、UDP、ARP、HTTP、FTP等</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网络芯片速率：10/100Mbps</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音频编码：WAV、MP3、PCM、OPUS</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采样率：8K-48KHz</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比特率：64Kbps~768Kbps</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网络延时：音频≤5ms</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频率响应：60Hz-18KHz</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灵敏度：94dB</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阻抗：8Ω</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喇叭单元：5"×1  2.5"×1</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防水等级：≥IPX6</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盐雾等级：≥5级</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辐射等级：符合国家标准</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工作环境参数：</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工作温度：-40℃~+70℃</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工作湿度：20%～80%相对湿度，无结露</w:t>
            </w:r>
          </w:p>
        </w:tc>
        <w:tc>
          <w:tcPr>
            <w:tcW w:w="0" w:type="auto"/>
            <w:noWrap w:val="0"/>
            <w:vAlign w:val="center"/>
          </w:tcPr>
          <w:p w14:paraId="6C1AE836">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6</w:t>
            </w:r>
          </w:p>
        </w:tc>
        <w:tc>
          <w:tcPr>
            <w:tcW w:w="0" w:type="auto"/>
            <w:noWrap w:val="0"/>
            <w:vAlign w:val="center"/>
          </w:tcPr>
          <w:p w14:paraId="547F4A9C">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西安市第五十七中学</w:t>
            </w:r>
          </w:p>
        </w:tc>
      </w:tr>
      <w:tr w14:paraId="31379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14:paraId="35E71A1E">
            <w:pPr>
              <w:keepNext w:val="0"/>
              <w:keepLines w:val="0"/>
              <w:widowControl/>
              <w:suppressLineNumbers w:val="0"/>
              <w:jc w:val="righ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56</w:t>
            </w:r>
          </w:p>
        </w:tc>
        <w:tc>
          <w:tcPr>
            <w:tcW w:w="0" w:type="auto"/>
            <w:noWrap w:val="0"/>
            <w:vAlign w:val="center"/>
          </w:tcPr>
          <w:p w14:paraId="104743B3">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弱电：网络广播系统/交换机</w:t>
            </w:r>
          </w:p>
        </w:tc>
        <w:tc>
          <w:tcPr>
            <w:tcW w:w="0" w:type="auto"/>
            <w:noWrap w:val="0"/>
            <w:vAlign w:val="center"/>
          </w:tcPr>
          <w:p w14:paraId="703BF46B">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交换机</w:t>
            </w:r>
          </w:p>
        </w:tc>
        <w:tc>
          <w:tcPr>
            <w:tcW w:w="0" w:type="auto"/>
            <w:noWrap w:val="0"/>
            <w:vAlign w:val="center"/>
          </w:tcPr>
          <w:p w14:paraId="4032F9CA">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1.≥24个10/100/1000M自适应RJ45端口</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2.所有端口均具备线速转发能力</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3.支持端口自动翻转（Auto MDI/MDIX）功能</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4.提供标准交换、VLAN隔离和网络克隆三种工作模式，适应不同网络环境</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5.支持通过拨动开关切换交换机工作模式</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6.即插即用，可上机架</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7.网络标准：IEEE 802.3 、EEE 802.3 i、IEEE 802.3u、IEEE 802.3ab、IEEE 802.3x</w:t>
            </w:r>
          </w:p>
        </w:tc>
        <w:tc>
          <w:tcPr>
            <w:tcW w:w="0" w:type="auto"/>
            <w:noWrap w:val="0"/>
            <w:vAlign w:val="center"/>
          </w:tcPr>
          <w:p w14:paraId="6C591C08">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4</w:t>
            </w:r>
          </w:p>
        </w:tc>
        <w:tc>
          <w:tcPr>
            <w:tcW w:w="0" w:type="auto"/>
            <w:noWrap w:val="0"/>
            <w:vAlign w:val="center"/>
          </w:tcPr>
          <w:p w14:paraId="74AAAD8E">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西安市第五十七中学</w:t>
            </w:r>
          </w:p>
        </w:tc>
      </w:tr>
      <w:tr w14:paraId="48C21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14:paraId="6D75B720">
            <w:pPr>
              <w:keepNext w:val="0"/>
              <w:keepLines w:val="0"/>
              <w:widowControl/>
              <w:suppressLineNumbers w:val="0"/>
              <w:jc w:val="righ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57</w:t>
            </w:r>
          </w:p>
        </w:tc>
        <w:tc>
          <w:tcPr>
            <w:tcW w:w="0" w:type="auto"/>
            <w:noWrap w:val="0"/>
            <w:vAlign w:val="center"/>
          </w:tcPr>
          <w:p w14:paraId="705EF676">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弱电：网络广播系统/网线</w:t>
            </w:r>
          </w:p>
        </w:tc>
        <w:tc>
          <w:tcPr>
            <w:tcW w:w="0" w:type="auto"/>
            <w:noWrap w:val="0"/>
            <w:vAlign w:val="center"/>
          </w:tcPr>
          <w:p w14:paraId="68B19402">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网线</w:t>
            </w:r>
          </w:p>
        </w:tc>
        <w:tc>
          <w:tcPr>
            <w:tcW w:w="0" w:type="auto"/>
            <w:noWrap w:val="0"/>
            <w:vAlign w:val="center"/>
          </w:tcPr>
          <w:p w14:paraId="44975B58">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CAT6；≥305M/箱   材质：无氧铜芯。绝缘层为聚乙烯材料；   频率范围：1MHz-250MHz， 支持速率：常规1Gbps，短距离可达10Gbps；兼容10GBASE-T网络  （15箱）</w:t>
            </w:r>
          </w:p>
        </w:tc>
        <w:tc>
          <w:tcPr>
            <w:tcW w:w="0" w:type="auto"/>
            <w:noWrap w:val="0"/>
            <w:vAlign w:val="center"/>
          </w:tcPr>
          <w:p w14:paraId="2DED0EE0">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15</w:t>
            </w:r>
          </w:p>
        </w:tc>
        <w:tc>
          <w:tcPr>
            <w:tcW w:w="0" w:type="auto"/>
            <w:noWrap w:val="0"/>
            <w:vAlign w:val="center"/>
          </w:tcPr>
          <w:p w14:paraId="502E5912">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西安市第五十七中学</w:t>
            </w:r>
          </w:p>
        </w:tc>
      </w:tr>
      <w:tr w14:paraId="48109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14:paraId="683B4834">
            <w:pPr>
              <w:keepNext w:val="0"/>
              <w:keepLines w:val="0"/>
              <w:widowControl/>
              <w:suppressLineNumbers w:val="0"/>
              <w:jc w:val="righ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58</w:t>
            </w:r>
          </w:p>
        </w:tc>
        <w:tc>
          <w:tcPr>
            <w:tcW w:w="0" w:type="auto"/>
            <w:noWrap w:val="0"/>
            <w:vAlign w:val="center"/>
          </w:tcPr>
          <w:p w14:paraId="5F97BE3D">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弱电：网络广播系统/系统集成</w:t>
            </w:r>
          </w:p>
        </w:tc>
        <w:tc>
          <w:tcPr>
            <w:tcW w:w="0" w:type="auto"/>
            <w:noWrap w:val="0"/>
            <w:vAlign w:val="center"/>
          </w:tcPr>
          <w:p w14:paraId="59286032">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系统集成</w:t>
            </w:r>
          </w:p>
        </w:tc>
        <w:tc>
          <w:tcPr>
            <w:tcW w:w="0" w:type="auto"/>
            <w:noWrap w:val="0"/>
            <w:vAlign w:val="center"/>
          </w:tcPr>
          <w:p w14:paraId="14C0E97D">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网络广播系统/系统集成</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安装、调试、辅材、配件等</w:t>
            </w:r>
          </w:p>
        </w:tc>
        <w:tc>
          <w:tcPr>
            <w:tcW w:w="0" w:type="auto"/>
            <w:noWrap w:val="0"/>
            <w:vAlign w:val="center"/>
          </w:tcPr>
          <w:p w14:paraId="1FF40180">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w:t>
            </w:r>
          </w:p>
        </w:tc>
        <w:tc>
          <w:tcPr>
            <w:tcW w:w="0" w:type="auto"/>
            <w:noWrap w:val="0"/>
            <w:vAlign w:val="center"/>
          </w:tcPr>
          <w:p w14:paraId="3457A4EF">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西安市第五十七中学</w:t>
            </w:r>
          </w:p>
        </w:tc>
      </w:tr>
      <w:tr w14:paraId="4E4FF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14:paraId="6283B14E">
            <w:pPr>
              <w:keepNext w:val="0"/>
              <w:keepLines w:val="0"/>
              <w:widowControl/>
              <w:suppressLineNumbers w:val="0"/>
              <w:jc w:val="righ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59</w:t>
            </w:r>
          </w:p>
        </w:tc>
        <w:tc>
          <w:tcPr>
            <w:tcW w:w="0" w:type="auto"/>
            <w:noWrap w:val="0"/>
            <w:vAlign w:val="center"/>
          </w:tcPr>
          <w:p w14:paraId="0B8FF0B5">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弱电：校园监控室/监控专用硬盘</w:t>
            </w:r>
          </w:p>
        </w:tc>
        <w:tc>
          <w:tcPr>
            <w:tcW w:w="0" w:type="auto"/>
            <w:noWrap w:val="0"/>
            <w:vAlign w:val="center"/>
          </w:tcPr>
          <w:p w14:paraId="7DD4F77A">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监控专用硬盘</w:t>
            </w:r>
          </w:p>
        </w:tc>
        <w:tc>
          <w:tcPr>
            <w:tcW w:w="0" w:type="auto"/>
            <w:noWrap w:val="0"/>
            <w:vAlign w:val="center"/>
          </w:tcPr>
          <w:p w14:paraId="3B35B19A">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校园监控室/监控专用硬盘</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缓存：128MB接口：SATA接口转速：7200rpm容量：≧10TB硬盘尺寸：3.5英寸</w:t>
            </w:r>
          </w:p>
        </w:tc>
        <w:tc>
          <w:tcPr>
            <w:tcW w:w="0" w:type="auto"/>
            <w:noWrap w:val="0"/>
            <w:vAlign w:val="center"/>
          </w:tcPr>
          <w:p w14:paraId="16C411D7">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10</w:t>
            </w:r>
          </w:p>
        </w:tc>
        <w:tc>
          <w:tcPr>
            <w:tcW w:w="0" w:type="auto"/>
            <w:noWrap w:val="0"/>
            <w:vAlign w:val="center"/>
          </w:tcPr>
          <w:p w14:paraId="3839639A">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西安市第五十七中学</w:t>
            </w:r>
          </w:p>
        </w:tc>
      </w:tr>
      <w:tr w14:paraId="21545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14:paraId="077ACA0C">
            <w:pPr>
              <w:keepNext w:val="0"/>
              <w:keepLines w:val="0"/>
              <w:widowControl/>
              <w:suppressLineNumbers w:val="0"/>
              <w:jc w:val="righ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60</w:t>
            </w:r>
          </w:p>
        </w:tc>
        <w:tc>
          <w:tcPr>
            <w:tcW w:w="0" w:type="auto"/>
            <w:noWrap w:val="0"/>
            <w:vAlign w:val="center"/>
          </w:tcPr>
          <w:p w14:paraId="464D43AE">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弱电：校园监控室/64路硬盘录像机</w:t>
            </w:r>
          </w:p>
        </w:tc>
        <w:tc>
          <w:tcPr>
            <w:tcW w:w="0" w:type="auto"/>
            <w:noWrap w:val="0"/>
            <w:vAlign w:val="center"/>
          </w:tcPr>
          <w:p w14:paraId="030577E4">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64路硬盘录像机</w:t>
            </w:r>
          </w:p>
        </w:tc>
        <w:tc>
          <w:tcPr>
            <w:tcW w:w="0" w:type="auto"/>
            <w:noWrap w:val="0"/>
            <w:vAlign w:val="center"/>
          </w:tcPr>
          <w:p w14:paraId="27E22E1A">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校园监控室/64路硬盘录像机</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视频接入数：64；可接驳符合ONVIF、RTSP标准的众多主流厂商网络摄像机；</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 支持接入H.265、Smart265、H.264、视频编码码流；</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 支持≧800万像素高清网络视频的预览、存储与回放；</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 支持HDMI与VGA同/异源输出，HDMI最大支持4K超高清显示输出，VGA支持1080P高清显示输出；</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 自带16个SATA接口，最大支持满配10T硬盘；</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 支持IP设备集中管理，包括IP设备一键添加、参数配置、批量升级、导入/导出等；</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 支持本地同步回放及多路同步倒放；</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 针对人、车及事件类型，支持快速回放与智能检索功能，大幅提升录像回放和检索效率；</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 支持云服务，可实现手机远程预览/回放/配置；</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 xml:space="preserve">• 支持平台接入    </w:t>
            </w:r>
          </w:p>
        </w:tc>
        <w:tc>
          <w:tcPr>
            <w:tcW w:w="0" w:type="auto"/>
            <w:noWrap w:val="0"/>
            <w:vAlign w:val="center"/>
          </w:tcPr>
          <w:p w14:paraId="212CEAB3">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w:t>
            </w:r>
          </w:p>
        </w:tc>
        <w:tc>
          <w:tcPr>
            <w:tcW w:w="0" w:type="auto"/>
            <w:noWrap w:val="0"/>
            <w:vAlign w:val="center"/>
          </w:tcPr>
          <w:p w14:paraId="6D6FF63A">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西安市第五十七中学</w:t>
            </w:r>
          </w:p>
        </w:tc>
      </w:tr>
      <w:tr w14:paraId="700B7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14:paraId="57F0873B">
            <w:pPr>
              <w:keepNext w:val="0"/>
              <w:keepLines w:val="0"/>
              <w:widowControl/>
              <w:suppressLineNumbers w:val="0"/>
              <w:jc w:val="righ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61</w:t>
            </w:r>
          </w:p>
        </w:tc>
        <w:tc>
          <w:tcPr>
            <w:tcW w:w="0" w:type="auto"/>
            <w:noWrap w:val="0"/>
            <w:vAlign w:val="center"/>
          </w:tcPr>
          <w:p w14:paraId="29BD7CF7">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弱电：校园监控室/24口交换机</w:t>
            </w:r>
          </w:p>
        </w:tc>
        <w:tc>
          <w:tcPr>
            <w:tcW w:w="0" w:type="auto"/>
            <w:noWrap w:val="0"/>
            <w:vAlign w:val="center"/>
          </w:tcPr>
          <w:p w14:paraId="261A0A76">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24口交换机</w:t>
            </w:r>
          </w:p>
        </w:tc>
        <w:tc>
          <w:tcPr>
            <w:tcW w:w="0" w:type="auto"/>
            <w:noWrap w:val="0"/>
            <w:vAlign w:val="center"/>
          </w:tcPr>
          <w:p w14:paraId="49898606">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校园监控室/24口交换机</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提供24个千兆PoE电口、2个千兆光口</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交换容量：≧56 Gbps</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包转发率：≧41.67Mpps</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支持IEEE 802.3at/af标准</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端口最大供电功率：30 W</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整机最大供电功率：370 W</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支持PoE看门狗</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支持6 KV防浪涌（PoE口）</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支持IEEE 802.3、IEEE 802.3u、IEEE 802.3x、IEEE 802.3ab、IEEE 802.3z标准</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支持管理平台管理</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支持手机APP管理</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支持安防网络拓扑管理、链路聚合、端口管理</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支持远程升级</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支持PoE输出功率管理</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支持VLAN</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支持SNMPv1/v2c协议</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支持DHCP Snooping</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支持终端安全防护</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坚固式高强度金属外壳</w:t>
            </w:r>
          </w:p>
        </w:tc>
        <w:tc>
          <w:tcPr>
            <w:tcW w:w="0" w:type="auto"/>
            <w:noWrap w:val="0"/>
            <w:vAlign w:val="center"/>
          </w:tcPr>
          <w:p w14:paraId="07004C14">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2</w:t>
            </w:r>
          </w:p>
        </w:tc>
        <w:tc>
          <w:tcPr>
            <w:tcW w:w="0" w:type="auto"/>
            <w:noWrap w:val="0"/>
            <w:vAlign w:val="center"/>
          </w:tcPr>
          <w:p w14:paraId="294575BA">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西安市第五十七中学</w:t>
            </w:r>
          </w:p>
        </w:tc>
      </w:tr>
      <w:tr w14:paraId="266D3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14:paraId="0C4C549C">
            <w:pPr>
              <w:keepNext w:val="0"/>
              <w:keepLines w:val="0"/>
              <w:widowControl/>
              <w:suppressLineNumbers w:val="0"/>
              <w:jc w:val="righ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62</w:t>
            </w:r>
          </w:p>
        </w:tc>
        <w:tc>
          <w:tcPr>
            <w:tcW w:w="0" w:type="auto"/>
            <w:noWrap w:val="0"/>
            <w:vAlign w:val="center"/>
          </w:tcPr>
          <w:p w14:paraId="10A2B374">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弱电：校园监控室/8口交换机</w:t>
            </w:r>
          </w:p>
        </w:tc>
        <w:tc>
          <w:tcPr>
            <w:tcW w:w="0" w:type="auto"/>
            <w:noWrap w:val="0"/>
            <w:vAlign w:val="center"/>
          </w:tcPr>
          <w:p w14:paraId="75EFB858">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8口交换机</w:t>
            </w:r>
          </w:p>
        </w:tc>
        <w:tc>
          <w:tcPr>
            <w:tcW w:w="0" w:type="auto"/>
            <w:noWrap w:val="0"/>
            <w:vAlign w:val="center"/>
          </w:tcPr>
          <w:p w14:paraId="30FFE835">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校园监控室/8口交换机</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 xml:space="preserve">千兆POE交换机8口交换器       </w:t>
            </w:r>
          </w:p>
        </w:tc>
        <w:tc>
          <w:tcPr>
            <w:tcW w:w="0" w:type="auto"/>
            <w:noWrap w:val="0"/>
            <w:vAlign w:val="center"/>
          </w:tcPr>
          <w:p w14:paraId="3BB5F1AA">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6</w:t>
            </w:r>
          </w:p>
        </w:tc>
        <w:tc>
          <w:tcPr>
            <w:tcW w:w="0" w:type="auto"/>
            <w:noWrap w:val="0"/>
            <w:vAlign w:val="center"/>
          </w:tcPr>
          <w:p w14:paraId="3E43096F">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西安市第五十七中学</w:t>
            </w:r>
          </w:p>
        </w:tc>
      </w:tr>
      <w:tr w14:paraId="14D9F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14:paraId="233AC4D8">
            <w:pPr>
              <w:keepNext w:val="0"/>
              <w:keepLines w:val="0"/>
              <w:widowControl/>
              <w:suppressLineNumbers w:val="0"/>
              <w:jc w:val="righ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63</w:t>
            </w:r>
          </w:p>
        </w:tc>
        <w:tc>
          <w:tcPr>
            <w:tcW w:w="0" w:type="auto"/>
            <w:noWrap w:val="0"/>
            <w:vAlign w:val="center"/>
          </w:tcPr>
          <w:p w14:paraId="6DB9FA5A">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弱电：校园监控室/半球摄像头</w:t>
            </w:r>
          </w:p>
        </w:tc>
        <w:tc>
          <w:tcPr>
            <w:tcW w:w="0" w:type="auto"/>
            <w:noWrap w:val="0"/>
            <w:vAlign w:val="center"/>
          </w:tcPr>
          <w:p w14:paraId="577AC404">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半球摄像头</w:t>
            </w:r>
          </w:p>
        </w:tc>
        <w:tc>
          <w:tcPr>
            <w:tcW w:w="0" w:type="auto"/>
            <w:noWrap w:val="0"/>
            <w:vAlign w:val="center"/>
          </w:tcPr>
          <w:p w14:paraId="67444ABB">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校园监控室/半球摄像头</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≥400万半球网络摄像机</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最高分辨率可达2560 × 1440 @25 fps，在该分辨率下可输出实时图像</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支持用户登录锁定机制，及密码复杂度提示</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支持背光补偿，强光抑制，3D数字降噪，数字宽动态</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支持人形检测</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支持ROI感兴趣区域增强编码</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支持开放型网络视频接口，ISAPI，SDK，GB28181协议</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智能补光，支持白光/红外双补光，红外最远可达30 m，白光最远可达20 m</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1个内置麦克风，高清拾音</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供电方式：DC：12 V ± 25%，支持防反接保护</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 xml:space="preserve">PoE：IEEE 802.3af，Class 3 </w:t>
            </w:r>
          </w:p>
        </w:tc>
        <w:tc>
          <w:tcPr>
            <w:tcW w:w="0" w:type="auto"/>
            <w:noWrap w:val="0"/>
            <w:vAlign w:val="center"/>
          </w:tcPr>
          <w:p w14:paraId="56401373">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24</w:t>
            </w:r>
          </w:p>
        </w:tc>
        <w:tc>
          <w:tcPr>
            <w:tcW w:w="0" w:type="auto"/>
            <w:noWrap w:val="0"/>
            <w:vAlign w:val="center"/>
          </w:tcPr>
          <w:p w14:paraId="6F2604BC">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西安市第五十七中学</w:t>
            </w:r>
          </w:p>
        </w:tc>
      </w:tr>
      <w:tr w14:paraId="1913E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14:paraId="668CCC37">
            <w:pPr>
              <w:keepNext w:val="0"/>
              <w:keepLines w:val="0"/>
              <w:widowControl/>
              <w:suppressLineNumbers w:val="0"/>
              <w:jc w:val="righ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64</w:t>
            </w:r>
          </w:p>
        </w:tc>
        <w:tc>
          <w:tcPr>
            <w:tcW w:w="0" w:type="auto"/>
            <w:noWrap w:val="0"/>
            <w:vAlign w:val="center"/>
          </w:tcPr>
          <w:p w14:paraId="340CC49E">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弱电：校园监控室/枪式摄像头</w:t>
            </w:r>
          </w:p>
        </w:tc>
        <w:tc>
          <w:tcPr>
            <w:tcW w:w="0" w:type="auto"/>
            <w:noWrap w:val="0"/>
            <w:vAlign w:val="center"/>
          </w:tcPr>
          <w:p w14:paraId="0763D0F3">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枪式摄像头</w:t>
            </w:r>
          </w:p>
        </w:tc>
        <w:tc>
          <w:tcPr>
            <w:tcW w:w="0" w:type="auto"/>
            <w:noWrap w:val="0"/>
            <w:vAlign w:val="center"/>
          </w:tcPr>
          <w:p w14:paraId="4593F93A">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校园监控室/枪式摄像头</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POE高清网络摄像机400万筒型网络摄像机</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最高分辨率可达2560 × 1440 @25 fps</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支持SmartIR，防止夜间红外过曝</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支持背光补偿，强光抑制，3D数字降噪，数字宽动态，适应不同使用环境</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支持开放型网络视频接口，ISAPI，SDK，GB28181协议，支持平台接入</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1个内置麦克风</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智能补光，支持白光/红外双补光，红外光最远可达50 m，白光最远可达30 m</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符合≥IP67防尘防水设计，可靠性高</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传感器类型：1/2.7" Progressive Scan CMOS</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 xml:space="preserve">最低照度：彩色：0.005 Lux </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 xml:space="preserve">宽动态：数字宽动态   </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红外波长范围：850 nm</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 xml:space="preserve">补光距离：红外光最远可达50 m，白光最远可达30 m  </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最大分辨率：2560 × 1440</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视频压缩标准：主码流：H.265/H.264/Smart264/Smart265</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 xml:space="preserve">子码流：H.265/H.264 </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音频：1个内置麦克风</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 xml:space="preserve">网络：1个RJ45 10 M/100 M自适应以太网口 </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启动及工作温湿度：-30 ℃~60 ℃，湿度小于95%（无凝结）</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存储温湿度：-30 ℃~60 ℃，湿度小于95%（无凝结）</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供电方式：DC：12 V ± 25%，支持防反接保护</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PoE：IEEE 802.3af，Class 3</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电流及功耗：DC：12 V，0.42 A，最大功耗：5 W</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PoE：IEEE 802.3af，CLASS 3，最大功耗：6.5 W</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电源接口类型：Ø5.5 mm圆口</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 xml:space="preserve">防护：≥IP67 </w:t>
            </w:r>
          </w:p>
        </w:tc>
        <w:tc>
          <w:tcPr>
            <w:tcW w:w="0" w:type="auto"/>
            <w:noWrap w:val="0"/>
            <w:vAlign w:val="center"/>
          </w:tcPr>
          <w:p w14:paraId="1FEA5D99">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36</w:t>
            </w:r>
          </w:p>
        </w:tc>
        <w:tc>
          <w:tcPr>
            <w:tcW w:w="0" w:type="auto"/>
            <w:noWrap w:val="0"/>
            <w:vAlign w:val="center"/>
          </w:tcPr>
          <w:p w14:paraId="15937441">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西安市第五十七中学</w:t>
            </w:r>
          </w:p>
        </w:tc>
      </w:tr>
      <w:tr w14:paraId="31318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14:paraId="7827C87A">
            <w:pPr>
              <w:keepNext w:val="0"/>
              <w:keepLines w:val="0"/>
              <w:widowControl/>
              <w:suppressLineNumbers w:val="0"/>
              <w:jc w:val="righ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65</w:t>
            </w:r>
          </w:p>
        </w:tc>
        <w:tc>
          <w:tcPr>
            <w:tcW w:w="0" w:type="auto"/>
            <w:noWrap w:val="0"/>
            <w:vAlign w:val="center"/>
          </w:tcPr>
          <w:p w14:paraId="154110F2">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弱电：天线话筒放大器</w:t>
            </w:r>
          </w:p>
        </w:tc>
        <w:tc>
          <w:tcPr>
            <w:tcW w:w="0" w:type="auto"/>
            <w:noWrap w:val="0"/>
            <w:vAlign w:val="center"/>
          </w:tcPr>
          <w:p w14:paraId="7AC6CCF9">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天线话筒放大器</w:t>
            </w:r>
          </w:p>
        </w:tc>
        <w:tc>
          <w:tcPr>
            <w:tcW w:w="0" w:type="auto"/>
            <w:noWrap w:val="0"/>
            <w:vAlign w:val="center"/>
          </w:tcPr>
          <w:p w14:paraId="25EAF870">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频率范围：500-950MHz</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输入截断点：+22dBm</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噪声比：4.0dB Type(Center Band)</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增益：+6-9dB(Center Band)</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输出阻抗：15dB min</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阻抗：50Ω  指向</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频宽：450MHz</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插座：TNC female</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电源供应：100-240V/50/60Hz</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电源消耗：170mA    指向性：180度</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四组电源输出：12V/600~1000mA                                                                                                                                                                                                                                        天线类型：指向性天线</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工作频带：500MHz-950MHz</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增益：6dB典型</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阻抗：50Ω 典型</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指向性:  椭圆形180度 典型</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指向极性：垂直（于垂直安装）</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连接端子：固定式直角BNC母座</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构造：玻璃铜及铜膜镜层</w:t>
            </w:r>
          </w:p>
        </w:tc>
        <w:tc>
          <w:tcPr>
            <w:tcW w:w="0" w:type="auto"/>
            <w:noWrap w:val="0"/>
            <w:vAlign w:val="center"/>
          </w:tcPr>
          <w:p w14:paraId="2A65F64E">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w:t>
            </w:r>
          </w:p>
        </w:tc>
        <w:tc>
          <w:tcPr>
            <w:tcW w:w="0" w:type="auto"/>
            <w:noWrap w:val="0"/>
            <w:vAlign w:val="center"/>
          </w:tcPr>
          <w:p w14:paraId="276896FE">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西安市第五十七中学</w:t>
            </w:r>
          </w:p>
        </w:tc>
      </w:tr>
      <w:tr w14:paraId="62872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14:paraId="0738D63A">
            <w:pPr>
              <w:keepNext w:val="0"/>
              <w:keepLines w:val="0"/>
              <w:widowControl/>
              <w:suppressLineNumbers w:val="0"/>
              <w:jc w:val="righ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66</w:t>
            </w:r>
          </w:p>
        </w:tc>
        <w:tc>
          <w:tcPr>
            <w:tcW w:w="0" w:type="auto"/>
            <w:noWrap w:val="0"/>
            <w:vAlign w:val="center"/>
          </w:tcPr>
          <w:p w14:paraId="5973F762">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弱电：网络主控室/网络交换机</w:t>
            </w:r>
          </w:p>
        </w:tc>
        <w:tc>
          <w:tcPr>
            <w:tcW w:w="0" w:type="auto"/>
            <w:noWrap w:val="0"/>
            <w:vAlign w:val="center"/>
          </w:tcPr>
          <w:p w14:paraId="0DC3561C">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网络主控室/网络交换机</w:t>
            </w:r>
          </w:p>
        </w:tc>
        <w:tc>
          <w:tcPr>
            <w:tcW w:w="0" w:type="auto"/>
            <w:noWrap w:val="0"/>
            <w:vAlign w:val="center"/>
          </w:tcPr>
          <w:p w14:paraId="7CC7A666">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网络交换机24口全千兆交换机 非网管T系列 企业级交换器 监控网络网线分线器 分流器</w:t>
            </w:r>
          </w:p>
        </w:tc>
        <w:tc>
          <w:tcPr>
            <w:tcW w:w="0" w:type="auto"/>
            <w:noWrap w:val="0"/>
            <w:vAlign w:val="center"/>
          </w:tcPr>
          <w:p w14:paraId="35580147">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6</w:t>
            </w:r>
          </w:p>
        </w:tc>
        <w:tc>
          <w:tcPr>
            <w:tcW w:w="0" w:type="auto"/>
            <w:noWrap w:val="0"/>
            <w:vAlign w:val="center"/>
          </w:tcPr>
          <w:p w14:paraId="33DD360B">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西安市第五十七中学</w:t>
            </w:r>
          </w:p>
        </w:tc>
      </w:tr>
      <w:tr w14:paraId="51393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14:paraId="3ABB9F1E">
            <w:pPr>
              <w:keepNext w:val="0"/>
              <w:keepLines w:val="0"/>
              <w:widowControl/>
              <w:suppressLineNumbers w:val="0"/>
              <w:jc w:val="righ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67</w:t>
            </w:r>
          </w:p>
        </w:tc>
        <w:tc>
          <w:tcPr>
            <w:tcW w:w="0" w:type="auto"/>
            <w:noWrap w:val="0"/>
            <w:vAlign w:val="center"/>
          </w:tcPr>
          <w:p w14:paraId="098FB319">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信息化：操场防水线性阵列全频音箱</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（双10寸）</w:t>
            </w:r>
          </w:p>
        </w:tc>
        <w:tc>
          <w:tcPr>
            <w:tcW w:w="0" w:type="auto"/>
            <w:noWrap w:val="0"/>
            <w:vAlign w:val="center"/>
          </w:tcPr>
          <w:p w14:paraId="7ED6AF34">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全频音箱双10寸</w:t>
            </w:r>
          </w:p>
        </w:tc>
        <w:tc>
          <w:tcPr>
            <w:tcW w:w="0" w:type="auto"/>
            <w:noWrap w:val="0"/>
            <w:vAlign w:val="center"/>
          </w:tcPr>
          <w:p w14:paraId="1AE85B60">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类型：双10英寸两分频线性阵列音箱</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喇叭单元：LF 2x10"铁氧体 /音圈∅65mm/磁钢∅170mm</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 xml:space="preserve">            HF 1x2.95"  钕铁硼压缩高音 /音圈∅75mm</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 xml:space="preserve">额定阻抗：LF 16Ω；HF 16Ω                             </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额定功率（AES）：LF 500W / HF 100W</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峰值功率（AES）：LF2000W / HF 400W</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频率响应（-3dB）：50Hz-18KHz</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灵敏度（1m/1W）：LF 99dB ；HF 112dB</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 xml:space="preserve"> 指向性（H *V）：120°x 10°垂直可调                                                  </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最大声压级（1m/1W)：LF 130dB(连续）/ 136dB( 峰值）</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 xml:space="preserve">                      HF 132dB(连续）/ 142dB( 峰值）</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表面处理：黑色砂漆</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板材：15mm多层桦木夹板</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外形尺寸（W*D*H）：820×480×300mm　　　　　</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栅网：六角孔网+外覆透声网棉</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吊挂：4点式吊挂，0°至10°可调</w:t>
            </w:r>
          </w:p>
        </w:tc>
        <w:tc>
          <w:tcPr>
            <w:tcW w:w="0" w:type="auto"/>
            <w:noWrap w:val="0"/>
            <w:vAlign w:val="center"/>
          </w:tcPr>
          <w:p w14:paraId="1F1AC39C">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8</w:t>
            </w:r>
          </w:p>
        </w:tc>
        <w:tc>
          <w:tcPr>
            <w:tcW w:w="0" w:type="auto"/>
            <w:noWrap w:val="0"/>
            <w:vAlign w:val="center"/>
          </w:tcPr>
          <w:p w14:paraId="3C040DA6">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西安市第五十七中学</w:t>
            </w:r>
          </w:p>
        </w:tc>
      </w:tr>
      <w:tr w14:paraId="6E62F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14:paraId="436BFD81">
            <w:pPr>
              <w:keepNext w:val="0"/>
              <w:keepLines w:val="0"/>
              <w:widowControl/>
              <w:suppressLineNumbers w:val="0"/>
              <w:jc w:val="righ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68</w:t>
            </w:r>
          </w:p>
        </w:tc>
        <w:tc>
          <w:tcPr>
            <w:tcW w:w="0" w:type="auto"/>
            <w:noWrap w:val="0"/>
            <w:vAlign w:val="center"/>
          </w:tcPr>
          <w:p w14:paraId="09FD5273">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信息化：操场防水线性阵列低音音箱（单18寸）</w:t>
            </w:r>
          </w:p>
        </w:tc>
        <w:tc>
          <w:tcPr>
            <w:tcW w:w="0" w:type="auto"/>
            <w:noWrap w:val="0"/>
            <w:vAlign w:val="center"/>
          </w:tcPr>
          <w:p w14:paraId="409511C5">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低音音箱单18寸</w:t>
            </w:r>
          </w:p>
        </w:tc>
        <w:tc>
          <w:tcPr>
            <w:tcW w:w="0" w:type="auto"/>
            <w:noWrap w:val="0"/>
            <w:vAlign w:val="center"/>
          </w:tcPr>
          <w:p w14:paraId="1AD5387B">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类型：无源单18英寸线性次低阵列音箱</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喇叭单元：1x18"铁氧体 /音圈∅100mm/磁钢∅220mm</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额定阻抗：8Ω</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额定功率（AES）： 800W</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峰值功率（AES）： 3200W</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频率响应（-3dB）：35Hz-200Hz</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 xml:space="preserve">灵敏度（1m/1W）：98dB </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指向性（H *V）：无指向</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 xml:space="preserve">最大声压级（1m/1W)： 127dB(连续）/ 136dB( 峰值）                                           </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表面处理：黑色砂漆</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板材：≥18mm多层桦木夹板　　　　　　</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栅网：六角孔网+外覆透声网棉</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吊挂：4点式吊挂</w:t>
            </w:r>
          </w:p>
        </w:tc>
        <w:tc>
          <w:tcPr>
            <w:tcW w:w="0" w:type="auto"/>
            <w:noWrap w:val="0"/>
            <w:vAlign w:val="center"/>
          </w:tcPr>
          <w:p w14:paraId="61EF792B">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2</w:t>
            </w:r>
          </w:p>
        </w:tc>
        <w:tc>
          <w:tcPr>
            <w:tcW w:w="0" w:type="auto"/>
            <w:noWrap w:val="0"/>
            <w:vAlign w:val="center"/>
          </w:tcPr>
          <w:p w14:paraId="36ABB101">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西安市第五十七中学</w:t>
            </w:r>
          </w:p>
        </w:tc>
      </w:tr>
      <w:tr w14:paraId="429BD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14:paraId="2303F007">
            <w:pPr>
              <w:keepNext w:val="0"/>
              <w:keepLines w:val="0"/>
              <w:widowControl/>
              <w:suppressLineNumbers w:val="0"/>
              <w:jc w:val="righ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69</w:t>
            </w:r>
          </w:p>
        </w:tc>
        <w:tc>
          <w:tcPr>
            <w:tcW w:w="0" w:type="auto"/>
            <w:noWrap w:val="0"/>
            <w:vAlign w:val="center"/>
          </w:tcPr>
          <w:p w14:paraId="709DF13B">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信息化：操场线性阵列音箱专用田字架</w:t>
            </w:r>
          </w:p>
        </w:tc>
        <w:tc>
          <w:tcPr>
            <w:tcW w:w="0" w:type="auto"/>
            <w:noWrap w:val="0"/>
            <w:vAlign w:val="center"/>
          </w:tcPr>
          <w:p w14:paraId="310B5443">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音箱专用田字架</w:t>
            </w:r>
          </w:p>
        </w:tc>
        <w:tc>
          <w:tcPr>
            <w:tcW w:w="0" w:type="auto"/>
            <w:noWrap w:val="0"/>
            <w:vAlign w:val="center"/>
          </w:tcPr>
          <w:p w14:paraId="124BD0D2">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1、田字吊架采用加厚方钢，坚固可靠。</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2、多个开孔位选择，并配有相应的U型扣和安装彩带，安装方便。</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3、吊架采用阳极氧化加厚镀漆处理，防腐蚀，防生锈，可适用各种严苛环境。</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4、单只承重1.5吨以下，可满足多组大型线阵音箱吊挂</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技术参数：</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1、尺寸（W*H*D)：≥540mm*65mm*580mm</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2、承重：≥1.5T</w:t>
            </w:r>
          </w:p>
        </w:tc>
        <w:tc>
          <w:tcPr>
            <w:tcW w:w="0" w:type="auto"/>
            <w:noWrap w:val="0"/>
            <w:vAlign w:val="center"/>
          </w:tcPr>
          <w:p w14:paraId="27C89B5B">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2</w:t>
            </w:r>
          </w:p>
        </w:tc>
        <w:tc>
          <w:tcPr>
            <w:tcW w:w="0" w:type="auto"/>
            <w:noWrap w:val="0"/>
            <w:vAlign w:val="center"/>
          </w:tcPr>
          <w:p w14:paraId="48041954">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西安市第五十七中学</w:t>
            </w:r>
          </w:p>
        </w:tc>
      </w:tr>
      <w:tr w14:paraId="14834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14:paraId="32F7D12B">
            <w:pPr>
              <w:keepNext w:val="0"/>
              <w:keepLines w:val="0"/>
              <w:widowControl/>
              <w:suppressLineNumbers w:val="0"/>
              <w:jc w:val="righ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70</w:t>
            </w:r>
          </w:p>
        </w:tc>
        <w:tc>
          <w:tcPr>
            <w:tcW w:w="0" w:type="auto"/>
            <w:noWrap w:val="0"/>
            <w:vAlign w:val="center"/>
          </w:tcPr>
          <w:p w14:paraId="62AAC93C">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信息化：操场线阵功放</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（高音）</w:t>
            </w:r>
          </w:p>
        </w:tc>
        <w:tc>
          <w:tcPr>
            <w:tcW w:w="0" w:type="auto"/>
            <w:noWrap w:val="0"/>
            <w:vAlign w:val="center"/>
          </w:tcPr>
          <w:p w14:paraId="4B06D689">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线阵功放高音</w:t>
            </w:r>
          </w:p>
        </w:tc>
        <w:tc>
          <w:tcPr>
            <w:tcW w:w="0" w:type="auto"/>
            <w:noWrap w:val="0"/>
            <w:vAlign w:val="center"/>
          </w:tcPr>
          <w:p w14:paraId="356EF8AA">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2U功放，双通道，额定功率（8Ω／通道）：2x550W</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 xml:space="preserve">额定功率（4Ω／通道）：2x1100W             </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额定桥式功率（8Ω）：1100W</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 xml:space="preserve">频响范围：20Hz～20kHz                </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信噪比：≥105dB</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阻尼系数：≥400（8Ω）(5Hz-1KHz)                                                                                                                                                                         输入灵敏度：0.775V/26dB/35dB                                                                                                                                                            输入阻抗：20kΩ/Balacde, 10kΩ/un-Balanced失真度：Less than 0.1%                                                                                                                          转换速率：29V/uS</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 xml:space="preserve">工作电压：交流电230V，50/60Hz                                           </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保护方式：功率保护、温度功率控制、功放输出短路、过载保护、输出直流保护</w:t>
            </w:r>
          </w:p>
        </w:tc>
        <w:tc>
          <w:tcPr>
            <w:tcW w:w="0" w:type="auto"/>
            <w:noWrap w:val="0"/>
            <w:vAlign w:val="center"/>
          </w:tcPr>
          <w:p w14:paraId="64417280">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2</w:t>
            </w:r>
          </w:p>
        </w:tc>
        <w:tc>
          <w:tcPr>
            <w:tcW w:w="0" w:type="auto"/>
            <w:noWrap w:val="0"/>
            <w:vAlign w:val="center"/>
          </w:tcPr>
          <w:p w14:paraId="282BE3C1">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西安市第五十七中学</w:t>
            </w:r>
          </w:p>
        </w:tc>
      </w:tr>
      <w:tr w14:paraId="051F0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14:paraId="3E744045">
            <w:pPr>
              <w:keepNext w:val="0"/>
              <w:keepLines w:val="0"/>
              <w:widowControl/>
              <w:suppressLineNumbers w:val="0"/>
              <w:jc w:val="righ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71</w:t>
            </w:r>
          </w:p>
        </w:tc>
        <w:tc>
          <w:tcPr>
            <w:tcW w:w="0" w:type="auto"/>
            <w:noWrap w:val="0"/>
            <w:vAlign w:val="center"/>
          </w:tcPr>
          <w:p w14:paraId="4EF4E576">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信息化：操场线阵功放</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（中音)</w:t>
            </w:r>
          </w:p>
        </w:tc>
        <w:tc>
          <w:tcPr>
            <w:tcW w:w="0" w:type="auto"/>
            <w:noWrap w:val="0"/>
            <w:vAlign w:val="center"/>
          </w:tcPr>
          <w:p w14:paraId="7271868E">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线阵功放中音</w:t>
            </w:r>
          </w:p>
        </w:tc>
        <w:tc>
          <w:tcPr>
            <w:tcW w:w="0" w:type="auto"/>
            <w:noWrap w:val="0"/>
            <w:vAlign w:val="center"/>
          </w:tcPr>
          <w:p w14:paraId="66EA03BB">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2U功放，双通道，额定功率（8Ω／通道）：2x1100W</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 xml:space="preserve">额定功率（4Ω／通道）：2x2200W             </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额定桥式功率（8Ω）：2200W</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 xml:space="preserve">频响范围：20Hz～20kHz                </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信噪比：≥105dB</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阻尼系数：≥400（8Ω）(5Hz-1KHz)                                                                                                                                                                         输入灵敏度：0.775V/26dB/35dB                                                                                                                                                            输入阻抗：20kΩ/Balacde, 10kΩ/un-Balanced失真度：Less than 0.1%                                                                                                                          转换速率：29V/uS</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 xml:space="preserve">工作电压：交流电230V，50/60Hz                                           </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保护方式：功率保护、温度功率控制、功放输出短路、过载保护、输出直流保护</w:t>
            </w:r>
          </w:p>
        </w:tc>
        <w:tc>
          <w:tcPr>
            <w:tcW w:w="0" w:type="auto"/>
            <w:noWrap w:val="0"/>
            <w:vAlign w:val="center"/>
          </w:tcPr>
          <w:p w14:paraId="4CCE8432">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2</w:t>
            </w:r>
          </w:p>
        </w:tc>
        <w:tc>
          <w:tcPr>
            <w:tcW w:w="0" w:type="auto"/>
            <w:noWrap w:val="0"/>
            <w:vAlign w:val="center"/>
          </w:tcPr>
          <w:p w14:paraId="691BE6F4">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西安市第五十七中学</w:t>
            </w:r>
          </w:p>
        </w:tc>
      </w:tr>
      <w:tr w14:paraId="6305B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14:paraId="223E185E">
            <w:pPr>
              <w:keepNext w:val="0"/>
              <w:keepLines w:val="0"/>
              <w:widowControl/>
              <w:suppressLineNumbers w:val="0"/>
              <w:jc w:val="righ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72</w:t>
            </w:r>
          </w:p>
        </w:tc>
        <w:tc>
          <w:tcPr>
            <w:tcW w:w="0" w:type="auto"/>
            <w:noWrap w:val="0"/>
            <w:vAlign w:val="center"/>
          </w:tcPr>
          <w:p w14:paraId="176D0988">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信息化：操场线阵功放（低音）</w:t>
            </w:r>
          </w:p>
        </w:tc>
        <w:tc>
          <w:tcPr>
            <w:tcW w:w="0" w:type="auto"/>
            <w:noWrap w:val="0"/>
            <w:vAlign w:val="center"/>
          </w:tcPr>
          <w:p w14:paraId="615F27DD">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线阵功放低音</w:t>
            </w:r>
          </w:p>
        </w:tc>
        <w:tc>
          <w:tcPr>
            <w:tcW w:w="0" w:type="auto"/>
            <w:noWrap w:val="0"/>
            <w:vAlign w:val="center"/>
          </w:tcPr>
          <w:p w14:paraId="4167DBB0">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2U功放，双通道，额定功率（8Ω／通道）：2x1350W</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 xml:space="preserve">额定功率（4Ω／通道）：2x2700W             </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额定桥式功率（8Ω）：2700W</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 xml:space="preserve">频响范围：20Hz～20kHz                </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信噪比：≥105dB</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阻尼系数：≥400（8Ω）(5Hz-1KHz)                                                                                                                                                                         输入灵敏度：0.775V/26dB/35dB                                                                                                                                                            输入阻抗：20kΩ/Balacde, 10kΩ/un-Balanced失真度：Less than 0.1%                                                                                                                          转换速率：29V/uS</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 xml:space="preserve">工作电压：交流电230V，50/60Hz                                           </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保护方式：功率保护、温度功率控制、功放输出短路、过载保护、输出直流保护</w:t>
            </w:r>
          </w:p>
        </w:tc>
        <w:tc>
          <w:tcPr>
            <w:tcW w:w="0" w:type="auto"/>
            <w:noWrap w:val="0"/>
            <w:vAlign w:val="center"/>
          </w:tcPr>
          <w:p w14:paraId="7D2943B6">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w:t>
            </w:r>
          </w:p>
        </w:tc>
        <w:tc>
          <w:tcPr>
            <w:tcW w:w="0" w:type="auto"/>
            <w:noWrap w:val="0"/>
            <w:vAlign w:val="center"/>
          </w:tcPr>
          <w:p w14:paraId="3BDA0BD7">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西安市第五十七中学</w:t>
            </w:r>
          </w:p>
        </w:tc>
      </w:tr>
      <w:tr w14:paraId="27A42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14:paraId="316DDB39">
            <w:pPr>
              <w:keepNext w:val="0"/>
              <w:keepLines w:val="0"/>
              <w:widowControl/>
              <w:suppressLineNumbers w:val="0"/>
              <w:jc w:val="righ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73</w:t>
            </w:r>
          </w:p>
        </w:tc>
        <w:tc>
          <w:tcPr>
            <w:tcW w:w="0" w:type="auto"/>
            <w:noWrap w:val="0"/>
            <w:vAlign w:val="center"/>
          </w:tcPr>
          <w:p w14:paraId="27AD7AD3">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信息化：操场调音台</w:t>
            </w:r>
          </w:p>
        </w:tc>
        <w:tc>
          <w:tcPr>
            <w:tcW w:w="0" w:type="auto"/>
            <w:noWrap w:val="0"/>
            <w:vAlign w:val="center"/>
          </w:tcPr>
          <w:p w14:paraId="710D54C2">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调音台</w:t>
            </w:r>
          </w:p>
        </w:tc>
        <w:tc>
          <w:tcPr>
            <w:tcW w:w="0" w:type="auto"/>
            <w:noWrap w:val="0"/>
            <w:vAlign w:val="center"/>
          </w:tcPr>
          <w:p w14:paraId="79C3E870">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便携式12路输入.</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2个编组设有独立输出端，使连接更灵活.</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内置16种DSP效果</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单独+48v幻想电源开关</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MP3大屏播放器</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高品质USB音乐播放器.</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支持无线蓝牙接收</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设1个辅助发送，方便扩展设备.</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1个效果发送，1个返回.</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60mm长寿命高分析推子.</w:t>
            </w:r>
          </w:p>
        </w:tc>
        <w:tc>
          <w:tcPr>
            <w:tcW w:w="0" w:type="auto"/>
            <w:noWrap w:val="0"/>
            <w:vAlign w:val="center"/>
          </w:tcPr>
          <w:p w14:paraId="5A0A54B9">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w:t>
            </w:r>
          </w:p>
        </w:tc>
        <w:tc>
          <w:tcPr>
            <w:tcW w:w="0" w:type="auto"/>
            <w:noWrap w:val="0"/>
            <w:vAlign w:val="center"/>
          </w:tcPr>
          <w:p w14:paraId="35889734">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西安市第五十七中学</w:t>
            </w:r>
          </w:p>
        </w:tc>
      </w:tr>
      <w:tr w14:paraId="1D54D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14:paraId="3C366951">
            <w:pPr>
              <w:keepNext w:val="0"/>
              <w:keepLines w:val="0"/>
              <w:widowControl/>
              <w:suppressLineNumbers w:val="0"/>
              <w:jc w:val="righ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74</w:t>
            </w:r>
          </w:p>
        </w:tc>
        <w:tc>
          <w:tcPr>
            <w:tcW w:w="0" w:type="auto"/>
            <w:noWrap w:val="0"/>
            <w:vAlign w:val="center"/>
          </w:tcPr>
          <w:p w14:paraId="3FFD14E8">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信息化：操场数字音频处理器</w:t>
            </w:r>
          </w:p>
        </w:tc>
        <w:tc>
          <w:tcPr>
            <w:tcW w:w="0" w:type="auto"/>
            <w:noWrap w:val="0"/>
            <w:vAlign w:val="center"/>
          </w:tcPr>
          <w:p w14:paraId="24D81693">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数字音频处理器</w:t>
            </w:r>
          </w:p>
        </w:tc>
        <w:tc>
          <w:tcPr>
            <w:tcW w:w="0" w:type="auto"/>
            <w:noWrap w:val="0"/>
            <w:vAlign w:val="center"/>
          </w:tcPr>
          <w:p w14:paraId="78ED9F50">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模拟输入 ≥ 4 x XLR 平衡式。</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模拟输出 ≥ 8 x XLR 平衡式。</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最小负载 150 ohm。</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THD+N 失真 ≥ 0.001% at 1kHz 0dBu。</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S/N信噪比 &gt;110dBA。</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频响0Hz – 20kHz; -0.5dBu at 20Hz and 20kHz。</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AD &amp; DA 转换 ≥ 1 x AK5388 24bit, 2 x AK4396 24bit-96kHz。</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DSP 处理 ≥ 24x32位滤波处理, ≥ 54位累加寄存器，≥ 96位精度中间数据运算结果。</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参数均衡器 输入上带≥ 13段均衡的滤波器 / 输出上带≥ 11段均衡的滤波器。</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滤波器类型 所有均衡滤波器可设置为贝尔、雪弗、高/低通、带通和陷波滤波器和全通滤波器</w:t>
            </w:r>
          </w:p>
        </w:tc>
        <w:tc>
          <w:tcPr>
            <w:tcW w:w="0" w:type="auto"/>
            <w:noWrap w:val="0"/>
            <w:vAlign w:val="center"/>
          </w:tcPr>
          <w:p w14:paraId="3E9D9183">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w:t>
            </w:r>
          </w:p>
        </w:tc>
        <w:tc>
          <w:tcPr>
            <w:tcW w:w="0" w:type="auto"/>
            <w:noWrap w:val="0"/>
            <w:vAlign w:val="center"/>
          </w:tcPr>
          <w:p w14:paraId="2BCF3285">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西安市第五十七中学</w:t>
            </w:r>
          </w:p>
        </w:tc>
      </w:tr>
      <w:tr w14:paraId="55B06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14:paraId="0F429053">
            <w:pPr>
              <w:keepNext w:val="0"/>
              <w:keepLines w:val="0"/>
              <w:widowControl/>
              <w:suppressLineNumbers w:val="0"/>
              <w:jc w:val="righ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75</w:t>
            </w:r>
          </w:p>
        </w:tc>
        <w:tc>
          <w:tcPr>
            <w:tcW w:w="0" w:type="auto"/>
            <w:noWrap w:val="0"/>
            <w:vAlign w:val="center"/>
          </w:tcPr>
          <w:p w14:paraId="3F543682">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信息化：操场智能电源时序器</w:t>
            </w:r>
          </w:p>
        </w:tc>
        <w:tc>
          <w:tcPr>
            <w:tcW w:w="0" w:type="auto"/>
            <w:noWrap w:val="0"/>
            <w:vAlign w:val="center"/>
          </w:tcPr>
          <w:p w14:paraId="2CC5FBA6">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智能电源时序器</w:t>
            </w:r>
          </w:p>
        </w:tc>
        <w:tc>
          <w:tcPr>
            <w:tcW w:w="0" w:type="auto"/>
            <w:noWrap w:val="0"/>
            <w:vAlign w:val="center"/>
          </w:tcPr>
          <w:p w14:paraId="445B261B">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输入电压：AC220V/50Hz,额定功率：总容量16A,输出功率：，每路插座最大输出电流10A,规格（长*宽*高）mm ：1U ,输入方式：3*2.5平方交流电源线，不带插头，与空气开关连接,输出方式：10路电源输出，标准通用三芯插座,功能：打开时由前级到后级逐个顺序启动，关闭时由后级到前级逐个顺序关闭，每路之间动作时间1.5秒</w:t>
            </w:r>
          </w:p>
        </w:tc>
        <w:tc>
          <w:tcPr>
            <w:tcW w:w="0" w:type="auto"/>
            <w:noWrap w:val="0"/>
            <w:vAlign w:val="center"/>
          </w:tcPr>
          <w:p w14:paraId="3CC2309E">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2</w:t>
            </w:r>
          </w:p>
        </w:tc>
        <w:tc>
          <w:tcPr>
            <w:tcW w:w="0" w:type="auto"/>
            <w:noWrap w:val="0"/>
            <w:vAlign w:val="center"/>
          </w:tcPr>
          <w:p w14:paraId="78678337">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西安市第五十七中学</w:t>
            </w:r>
          </w:p>
        </w:tc>
      </w:tr>
      <w:tr w14:paraId="2CD8D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14:paraId="301C9CD3">
            <w:pPr>
              <w:keepNext w:val="0"/>
              <w:keepLines w:val="0"/>
              <w:widowControl/>
              <w:suppressLineNumbers w:val="0"/>
              <w:jc w:val="righ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76</w:t>
            </w:r>
          </w:p>
        </w:tc>
        <w:tc>
          <w:tcPr>
            <w:tcW w:w="0" w:type="auto"/>
            <w:noWrap w:val="0"/>
            <w:vAlign w:val="center"/>
          </w:tcPr>
          <w:p w14:paraId="61FB59EC">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信息化：操场一拖二无线手持话筒</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（真分集演出）</w:t>
            </w:r>
          </w:p>
        </w:tc>
        <w:tc>
          <w:tcPr>
            <w:tcW w:w="0" w:type="auto"/>
            <w:noWrap w:val="0"/>
            <w:vAlign w:val="center"/>
          </w:tcPr>
          <w:p w14:paraId="3B0E64D3">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一拖二无线手持话筒真分集演出</w:t>
            </w:r>
          </w:p>
        </w:tc>
        <w:tc>
          <w:tcPr>
            <w:tcW w:w="0" w:type="auto"/>
            <w:noWrap w:val="0"/>
            <w:vAlign w:val="center"/>
          </w:tcPr>
          <w:p w14:paraId="3D2C15EB">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接收机参数</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 xml:space="preserve">载波频率范围：600-900MHz                    </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震荡方式：PLL锁相环</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可用带宽：每通道30MHz（一共60MHz）中频频率：第一中频：110MHz</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第二中频：10.7MHz</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 xml:space="preserve">调制方式：FM调频                                                       </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 xml:space="preserve">信道数目：红外自动对频200信道               </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天线接口：TNC座</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使用温度：-18℃到50℃                             显示方式：LCD</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 xml:space="preserve">偏移度：45KHz                                          </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灵敏度：-100dBm（40dBS/N）</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 xml:space="preserve">动态范围：≥110dB                                    </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杂散抑制：≥80dB</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 xml:space="preserve">音频响应：60Hz-17KHz                           </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音频输出：非平衡：+4dB（1.25v)/5K Ω</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 xml:space="preserve">综合信噪比：≤0.5%                                                      </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平衡：+10dB（1.5v)/600Ω</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 xml:space="preserve">接收方式：二次变频超外差                        </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供电电流：250mA</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手持参数</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震荡方式：PLL锁相环</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输出功率：3dBm-10dBm(LO/H转换)</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电池：2节1.5v5号电池</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使用时间（碱性电池）：大功率时≥8小时，小功率时≥16小时</w:t>
            </w:r>
          </w:p>
        </w:tc>
        <w:tc>
          <w:tcPr>
            <w:tcW w:w="0" w:type="auto"/>
            <w:noWrap w:val="0"/>
            <w:vAlign w:val="center"/>
          </w:tcPr>
          <w:p w14:paraId="362E3E20">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w:t>
            </w:r>
          </w:p>
        </w:tc>
        <w:tc>
          <w:tcPr>
            <w:tcW w:w="0" w:type="auto"/>
            <w:noWrap w:val="0"/>
            <w:vAlign w:val="center"/>
          </w:tcPr>
          <w:p w14:paraId="410104C2">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西安市第五十七中学</w:t>
            </w:r>
          </w:p>
        </w:tc>
      </w:tr>
      <w:tr w14:paraId="7B590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14:paraId="62C2C268">
            <w:pPr>
              <w:keepNext w:val="0"/>
              <w:keepLines w:val="0"/>
              <w:widowControl/>
              <w:suppressLineNumbers w:val="0"/>
              <w:jc w:val="righ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77</w:t>
            </w:r>
          </w:p>
        </w:tc>
        <w:tc>
          <w:tcPr>
            <w:tcW w:w="0" w:type="auto"/>
            <w:noWrap w:val="0"/>
            <w:vAlign w:val="center"/>
          </w:tcPr>
          <w:p w14:paraId="0DB4DE10">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信息化：操场16通道天线放大器</w:t>
            </w:r>
          </w:p>
        </w:tc>
        <w:tc>
          <w:tcPr>
            <w:tcW w:w="0" w:type="auto"/>
            <w:noWrap w:val="0"/>
            <w:vAlign w:val="center"/>
          </w:tcPr>
          <w:p w14:paraId="37002E8D">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16通道天线放大器</w:t>
            </w:r>
          </w:p>
        </w:tc>
        <w:tc>
          <w:tcPr>
            <w:tcW w:w="0" w:type="auto"/>
            <w:noWrap w:val="0"/>
            <w:vAlign w:val="center"/>
          </w:tcPr>
          <w:p w14:paraId="7D5566D3">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产品名称：天线放大器</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产品介绍：</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1.全频道的UHF天线分配器，可以在多频道系统中导引天线讯号从一对天线到多台接收机；</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2.分配器会放大射频讯号；</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3.外置5A开关电源，可提供四组12v直流电给无线接收机；</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4.单一台天线分配器主机可支援最多8个天线通道端口；</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5.指向性功能特点采用对数周期偶极振子阵列；</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6.集成式放大器具有四档增益设置,用于补偿不同级别的同轴线缆信号损失；</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7.可将天线翼叶子固定在话筒支架上,也可将其悬挂在天花板上,或者使用集成式可旋转支架固定在墙壁上；</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8.低噪声信号放大器能够补偿同轴缆线的插入损失可与无线接收机和天线分配系统兼容,能够提供10-15伏直流偏压。</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技术参数：</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放大器主机：</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频率响应：450-970MHZ；</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阻抗：50Ω；</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输入交流电电压：100-240V；</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输出直流电电压：12V四组DC輸出端子；</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天线增幅器电压：12V；</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放大器天线：</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射频频率范围:450-950MHz；</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天线增益：四档位增益可选择；</w:t>
            </w:r>
          </w:p>
        </w:tc>
        <w:tc>
          <w:tcPr>
            <w:tcW w:w="0" w:type="auto"/>
            <w:noWrap w:val="0"/>
            <w:vAlign w:val="center"/>
          </w:tcPr>
          <w:p w14:paraId="14397E94">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w:t>
            </w:r>
          </w:p>
        </w:tc>
        <w:tc>
          <w:tcPr>
            <w:tcW w:w="0" w:type="auto"/>
            <w:noWrap w:val="0"/>
            <w:vAlign w:val="center"/>
          </w:tcPr>
          <w:p w14:paraId="3BF02355">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西安市第五十七中学</w:t>
            </w:r>
          </w:p>
        </w:tc>
      </w:tr>
      <w:tr w14:paraId="3923F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14:paraId="66CEF9A7">
            <w:pPr>
              <w:keepNext w:val="0"/>
              <w:keepLines w:val="0"/>
              <w:widowControl/>
              <w:suppressLineNumbers w:val="0"/>
              <w:jc w:val="righ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78</w:t>
            </w:r>
          </w:p>
        </w:tc>
        <w:tc>
          <w:tcPr>
            <w:tcW w:w="0" w:type="auto"/>
            <w:noWrap w:val="0"/>
            <w:vAlign w:val="center"/>
          </w:tcPr>
          <w:p w14:paraId="6587E057">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信息化：操场机柜</w:t>
            </w:r>
          </w:p>
        </w:tc>
        <w:tc>
          <w:tcPr>
            <w:tcW w:w="0" w:type="auto"/>
            <w:noWrap w:val="0"/>
            <w:vAlign w:val="center"/>
          </w:tcPr>
          <w:p w14:paraId="6D65922F">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机柜</w:t>
            </w:r>
          </w:p>
        </w:tc>
        <w:tc>
          <w:tcPr>
            <w:tcW w:w="0" w:type="auto"/>
            <w:noWrap w:val="0"/>
            <w:vAlign w:val="center"/>
          </w:tcPr>
          <w:p w14:paraId="6B76288A">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42U，600*600*2055mm</w:t>
            </w:r>
          </w:p>
        </w:tc>
        <w:tc>
          <w:tcPr>
            <w:tcW w:w="0" w:type="auto"/>
            <w:noWrap w:val="0"/>
            <w:vAlign w:val="center"/>
          </w:tcPr>
          <w:p w14:paraId="63F45874">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w:t>
            </w:r>
          </w:p>
        </w:tc>
        <w:tc>
          <w:tcPr>
            <w:tcW w:w="0" w:type="auto"/>
            <w:noWrap w:val="0"/>
            <w:vAlign w:val="center"/>
          </w:tcPr>
          <w:p w14:paraId="07358E55">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西安市第五十七中学</w:t>
            </w:r>
          </w:p>
        </w:tc>
      </w:tr>
      <w:tr w14:paraId="1A5E7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14:paraId="682B4E92">
            <w:pPr>
              <w:keepNext w:val="0"/>
              <w:keepLines w:val="0"/>
              <w:widowControl/>
              <w:suppressLineNumbers w:val="0"/>
              <w:jc w:val="righ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79</w:t>
            </w:r>
          </w:p>
        </w:tc>
        <w:tc>
          <w:tcPr>
            <w:tcW w:w="0" w:type="auto"/>
            <w:noWrap w:val="0"/>
            <w:vAlign w:val="center"/>
          </w:tcPr>
          <w:p w14:paraId="45C5CBEB">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信息化：操场电动葫芦</w:t>
            </w:r>
          </w:p>
        </w:tc>
        <w:tc>
          <w:tcPr>
            <w:tcW w:w="0" w:type="auto"/>
            <w:noWrap w:val="0"/>
            <w:vAlign w:val="center"/>
          </w:tcPr>
          <w:p w14:paraId="64ECA011">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电动葫芦</w:t>
            </w:r>
          </w:p>
        </w:tc>
        <w:tc>
          <w:tcPr>
            <w:tcW w:w="0" w:type="auto"/>
            <w:noWrap w:val="0"/>
            <w:vAlign w:val="center"/>
          </w:tcPr>
          <w:p w14:paraId="39CE2CF2">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1、额定起重量:≥1000kg</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2、起升速度:≥2.25m/min</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3、起升高度:≥3-8m</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4、盘式电机型号:YHPE500-4</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5、电机功率:≥500w</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6、电机转速:≥1380转/分</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7、电源电压:380V</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8、链条：单链≥8米</w:t>
            </w:r>
          </w:p>
        </w:tc>
        <w:tc>
          <w:tcPr>
            <w:tcW w:w="0" w:type="auto"/>
            <w:noWrap w:val="0"/>
            <w:vAlign w:val="center"/>
          </w:tcPr>
          <w:p w14:paraId="4927A719">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2</w:t>
            </w:r>
          </w:p>
        </w:tc>
        <w:tc>
          <w:tcPr>
            <w:tcW w:w="0" w:type="auto"/>
            <w:noWrap w:val="0"/>
            <w:vAlign w:val="center"/>
          </w:tcPr>
          <w:p w14:paraId="0D6E13DA">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西安市第五十七中学</w:t>
            </w:r>
          </w:p>
        </w:tc>
      </w:tr>
      <w:tr w14:paraId="39384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14:paraId="7AC2B353">
            <w:pPr>
              <w:keepNext w:val="0"/>
              <w:keepLines w:val="0"/>
              <w:widowControl/>
              <w:suppressLineNumbers w:val="0"/>
              <w:jc w:val="righ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80</w:t>
            </w:r>
          </w:p>
        </w:tc>
        <w:tc>
          <w:tcPr>
            <w:tcW w:w="0" w:type="auto"/>
            <w:noWrap w:val="0"/>
            <w:vAlign w:val="center"/>
          </w:tcPr>
          <w:p w14:paraId="7254ADAF">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弱电：无线网络覆盖</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弱电：无线网络覆盖</w:t>
            </w:r>
          </w:p>
        </w:tc>
        <w:tc>
          <w:tcPr>
            <w:tcW w:w="0" w:type="auto"/>
            <w:noWrap w:val="0"/>
            <w:vAlign w:val="center"/>
          </w:tcPr>
          <w:p w14:paraId="3D520444">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核心交换机</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无线网络覆盖</w:t>
            </w:r>
          </w:p>
        </w:tc>
        <w:tc>
          <w:tcPr>
            <w:tcW w:w="0" w:type="auto"/>
            <w:noWrap w:val="0"/>
            <w:vAlign w:val="center"/>
          </w:tcPr>
          <w:p w14:paraId="0277F179">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核心交换机一台1.交换容量≥1.3Tbps，包转发率≥460Mpps。</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2.固化10/100/1000M自适应电口≥24个，1G/10G SFP+光口≥8个；</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3.设备可提供业务扩展槽≥1个，支持100G端口扩展。</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4.整机采用绿色环保设计，满负荷情况下功耗≤85W(带扩展卡)，</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5.支持RIPv2，OSPFv2/v3，BGP4/4+，IS-ISv4/v6，</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6.支持IGMP v1/v2/v3，PIM-SM等组播协议，</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7.支持基于IPv4/IPv6五元组、基于源/目的MAC、基于VLAN、基于802.1P优先级的ACL，</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8.支持特有的CPU保护策略。</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9.支持基础网络保护策略；</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10.支持虚拟化功能。</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11.本次配置≥2块交流电源模块</w:t>
            </w:r>
          </w:p>
        </w:tc>
        <w:tc>
          <w:tcPr>
            <w:tcW w:w="0" w:type="auto"/>
            <w:noWrap w:val="0"/>
            <w:vAlign w:val="center"/>
          </w:tcPr>
          <w:p w14:paraId="2FE058EF">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w:t>
            </w:r>
          </w:p>
        </w:tc>
        <w:tc>
          <w:tcPr>
            <w:tcW w:w="0" w:type="auto"/>
            <w:noWrap w:val="0"/>
            <w:vAlign w:val="center"/>
          </w:tcPr>
          <w:p w14:paraId="3F7A2BC8">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西安市第五十七中学</w:t>
            </w:r>
          </w:p>
        </w:tc>
      </w:tr>
      <w:tr w14:paraId="448B3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14:paraId="052AC85A">
            <w:pPr>
              <w:keepNext w:val="0"/>
              <w:keepLines w:val="0"/>
              <w:widowControl/>
              <w:suppressLineNumbers w:val="0"/>
              <w:jc w:val="righ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81</w:t>
            </w:r>
          </w:p>
        </w:tc>
        <w:tc>
          <w:tcPr>
            <w:tcW w:w="0" w:type="auto"/>
            <w:noWrap w:val="0"/>
            <w:vAlign w:val="center"/>
          </w:tcPr>
          <w:p w14:paraId="0DE08B9B">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弱电：无线网络覆盖</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弱电：无线网络覆盖</w:t>
            </w:r>
          </w:p>
        </w:tc>
        <w:tc>
          <w:tcPr>
            <w:tcW w:w="0" w:type="auto"/>
            <w:noWrap w:val="0"/>
            <w:vAlign w:val="center"/>
          </w:tcPr>
          <w:p w14:paraId="297AA599">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上网行为管理器</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无线网络覆盖</w:t>
            </w:r>
          </w:p>
        </w:tc>
        <w:tc>
          <w:tcPr>
            <w:tcW w:w="0" w:type="auto"/>
            <w:noWrap w:val="0"/>
            <w:vAlign w:val="center"/>
          </w:tcPr>
          <w:p w14:paraId="4B7C6157">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上网行为管理器                                                                                                                 1.所投产品须整机最少支持千兆电口≥6，万兆光口≥1,千兆光口≥2，USB2.0接口≥2，RJ45的Console接口≥1，Bypass接口≥1组</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2.支持加密导入与导出整个系统的配置文件。</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 xml:space="preserve"> 支持恢复整个设备的配置到出厂初始状态。</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3.网络吞吐≥1Gbps， 1U设备，内置电源。</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4.支持认证服务器：本地服务器、Radius服务器、AD服务器、LDAP服务器与认证服务器。</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可支持短信认证、AD域联动和SAM联动等，也可以结合业务平台如飞书、钉钉和企业邮箱等。</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5.支持管理员可以通过流量统计分析报表可查询上网流量状态，根据用户流量排名查询网络中占用流量较大用户，根据应用流量排名占用率最高应用，便于分析对网络中的异常流量。</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6.支持流控功能准确识别协议流量，将带宽做颗粒度的划分，保证流控的精细程度；针对IP、用户、应用的精细流量识别，统一分析，找出更准确的流控策略；对于具体用户/用户组、具体应用进行带宽限制和带宽保障，确保核心部门核心业务的正常运行与开展。</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7.支持身份识别：支持多种身份认证方式，识别入网每一个人的真实身份</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8.支持行为管控：采用DPI技术，深度识别报文内容，对上网行为进行精细化管控</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9.本次配置≥3年授权特征库</w:t>
            </w:r>
          </w:p>
        </w:tc>
        <w:tc>
          <w:tcPr>
            <w:tcW w:w="0" w:type="auto"/>
            <w:noWrap w:val="0"/>
            <w:vAlign w:val="center"/>
          </w:tcPr>
          <w:p w14:paraId="6EBD1FCC">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w:t>
            </w:r>
          </w:p>
        </w:tc>
        <w:tc>
          <w:tcPr>
            <w:tcW w:w="0" w:type="auto"/>
            <w:noWrap w:val="0"/>
            <w:vAlign w:val="center"/>
          </w:tcPr>
          <w:p w14:paraId="2B2CDB01">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西安市第五十七中学</w:t>
            </w:r>
          </w:p>
        </w:tc>
      </w:tr>
      <w:tr w14:paraId="78AA9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14:paraId="37534C93">
            <w:pPr>
              <w:keepNext w:val="0"/>
              <w:keepLines w:val="0"/>
              <w:widowControl/>
              <w:suppressLineNumbers w:val="0"/>
              <w:jc w:val="righ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82</w:t>
            </w:r>
          </w:p>
        </w:tc>
        <w:tc>
          <w:tcPr>
            <w:tcW w:w="0" w:type="auto"/>
            <w:noWrap w:val="0"/>
            <w:vAlign w:val="center"/>
          </w:tcPr>
          <w:p w14:paraId="5DA5F099">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弱电：无线网络覆盖</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弱电：无线网络覆盖</w:t>
            </w:r>
          </w:p>
        </w:tc>
        <w:tc>
          <w:tcPr>
            <w:tcW w:w="0" w:type="auto"/>
            <w:noWrap w:val="0"/>
            <w:vAlign w:val="center"/>
          </w:tcPr>
          <w:p w14:paraId="71AFECE3">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路由器</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无线网络覆盖</w:t>
            </w:r>
          </w:p>
        </w:tc>
        <w:tc>
          <w:tcPr>
            <w:tcW w:w="0" w:type="auto"/>
            <w:noWrap w:val="0"/>
            <w:vAlign w:val="center"/>
          </w:tcPr>
          <w:p w14:paraId="114A65BA">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路由器：1：固化≥8个千兆电口，固化≥1个千兆光口，固化≥1个万兆光</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2：内存≥2G，内置1T硬盘，并发带机数≥500</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3：支持TCP/IP 协议簇，实现了IP、ICMP、IGMP、TCP和UDP等协议</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4：支持IPv6协议，实现了ICMPv6、ND协议</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支持多种IPv4/IPv6路由协议：静态路由、RIP(V1/V2)、RIPNG、OSPFv2/v3</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5：支持DHCP Relay 、DHCP Server</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6：支持Web接入，支持IOS、MacOS、Windows、Android等平台客户端接入</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7：配置多WAN口，支持负载均衡和链路聚合</w:t>
            </w:r>
          </w:p>
        </w:tc>
        <w:tc>
          <w:tcPr>
            <w:tcW w:w="0" w:type="auto"/>
            <w:noWrap w:val="0"/>
            <w:vAlign w:val="center"/>
          </w:tcPr>
          <w:p w14:paraId="4D03C6D6">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w:t>
            </w:r>
          </w:p>
        </w:tc>
        <w:tc>
          <w:tcPr>
            <w:tcW w:w="0" w:type="auto"/>
            <w:noWrap w:val="0"/>
            <w:vAlign w:val="center"/>
          </w:tcPr>
          <w:p w14:paraId="294E89A8">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西安市第五十七中学</w:t>
            </w:r>
          </w:p>
        </w:tc>
      </w:tr>
      <w:tr w14:paraId="2A8CA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14:paraId="2791114D">
            <w:pPr>
              <w:keepNext w:val="0"/>
              <w:keepLines w:val="0"/>
              <w:widowControl/>
              <w:suppressLineNumbers w:val="0"/>
              <w:jc w:val="righ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83</w:t>
            </w:r>
          </w:p>
        </w:tc>
        <w:tc>
          <w:tcPr>
            <w:tcW w:w="0" w:type="auto"/>
            <w:noWrap w:val="0"/>
            <w:vAlign w:val="center"/>
          </w:tcPr>
          <w:p w14:paraId="68DC0B70">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弱电：无线网络覆盖</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弱电：无线网络覆盖</w:t>
            </w:r>
          </w:p>
        </w:tc>
        <w:tc>
          <w:tcPr>
            <w:tcW w:w="0" w:type="auto"/>
            <w:noWrap w:val="0"/>
            <w:vAlign w:val="center"/>
          </w:tcPr>
          <w:p w14:paraId="40FA3916">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POE交换机</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无线网络覆盖</w:t>
            </w:r>
          </w:p>
        </w:tc>
        <w:tc>
          <w:tcPr>
            <w:tcW w:w="0" w:type="auto"/>
            <w:noWrap w:val="0"/>
            <w:vAlign w:val="center"/>
          </w:tcPr>
          <w:p w14:paraId="5F582D7F">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POE交换机：</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1.交换容量≥330Gbps包转发率≥120Mpps，如官网以A/B形式表述则以其中最小值为准。</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2.固化10/100/1000M以太网电口≥24，1G SFP千兆光接口≥4个</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3.支持POE和POE+,同时可POE供电端口≥24个，POE最大输出功率≥370W，PoE满载下整机最大功耗450W</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4.设备支持自动、节能供电管理模式，支持热启动不间断供电.</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5.支持IPV4/IPV6静态路由协议</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6.支持SNMP、RMON、Syslog特性</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7.提供工信部设备进网许可证</w:t>
            </w:r>
          </w:p>
        </w:tc>
        <w:tc>
          <w:tcPr>
            <w:tcW w:w="0" w:type="auto"/>
            <w:noWrap w:val="0"/>
            <w:vAlign w:val="center"/>
          </w:tcPr>
          <w:p w14:paraId="5F4432CB">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6</w:t>
            </w:r>
          </w:p>
        </w:tc>
        <w:tc>
          <w:tcPr>
            <w:tcW w:w="0" w:type="auto"/>
            <w:noWrap w:val="0"/>
            <w:vAlign w:val="center"/>
          </w:tcPr>
          <w:p w14:paraId="339FAA50">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西安市第五十七中学</w:t>
            </w:r>
          </w:p>
        </w:tc>
      </w:tr>
      <w:tr w14:paraId="76FBF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14:paraId="3EB15E1F">
            <w:pPr>
              <w:keepNext w:val="0"/>
              <w:keepLines w:val="0"/>
              <w:widowControl/>
              <w:suppressLineNumbers w:val="0"/>
              <w:jc w:val="righ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84</w:t>
            </w:r>
          </w:p>
        </w:tc>
        <w:tc>
          <w:tcPr>
            <w:tcW w:w="0" w:type="auto"/>
            <w:noWrap w:val="0"/>
            <w:vAlign w:val="center"/>
          </w:tcPr>
          <w:p w14:paraId="3C20571C">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弱电：无线网络覆盖</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弱电：无线网络覆盖</w:t>
            </w:r>
          </w:p>
        </w:tc>
        <w:tc>
          <w:tcPr>
            <w:tcW w:w="0" w:type="auto"/>
            <w:noWrap w:val="0"/>
            <w:vAlign w:val="center"/>
          </w:tcPr>
          <w:p w14:paraId="49143BDD">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无线控制器</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无线网络覆盖</w:t>
            </w:r>
          </w:p>
        </w:tc>
        <w:tc>
          <w:tcPr>
            <w:tcW w:w="0" w:type="auto"/>
            <w:noWrap w:val="0"/>
            <w:vAlign w:val="center"/>
          </w:tcPr>
          <w:p w14:paraId="244FDDC3">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无线控制器：1.标准1U机架式结构。</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2.简化运维，便于快速传输配置文件，至少固化1个USB接口。</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3.内部实配硬盘插槽，且实配硬盘容量≥1T。</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4. 固化千兆电口≥8个，固化千兆光口≥1个。</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5.保障无线用户的高并发体验，设备固化万兆光口≥1个。</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6.支持内存≥4G。</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7.出厂默认AP可管理数≥96个。</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8.支持实时频谱防护。</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9.支持短信认证、固定账号认证、访客二维码、微信认证多种方式认证页面合一，由用户选择自己想要的认证方式进行认证上网；支持中移动portal2.0认证。</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10.支持对用户的管理，可对用户信息进行编辑；支持终端MAC黑白名单，过滤非法终端。</w:t>
            </w:r>
          </w:p>
        </w:tc>
        <w:tc>
          <w:tcPr>
            <w:tcW w:w="0" w:type="auto"/>
            <w:noWrap w:val="0"/>
            <w:vAlign w:val="center"/>
          </w:tcPr>
          <w:p w14:paraId="35BFCDA1">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w:t>
            </w:r>
          </w:p>
        </w:tc>
        <w:tc>
          <w:tcPr>
            <w:tcW w:w="0" w:type="auto"/>
            <w:noWrap w:val="0"/>
            <w:vAlign w:val="center"/>
          </w:tcPr>
          <w:p w14:paraId="4D0446ED">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西安市第五十七中学</w:t>
            </w:r>
          </w:p>
        </w:tc>
      </w:tr>
      <w:tr w14:paraId="058F6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14:paraId="714E0FC6">
            <w:pPr>
              <w:keepNext w:val="0"/>
              <w:keepLines w:val="0"/>
              <w:widowControl/>
              <w:suppressLineNumbers w:val="0"/>
              <w:jc w:val="righ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85</w:t>
            </w:r>
          </w:p>
        </w:tc>
        <w:tc>
          <w:tcPr>
            <w:tcW w:w="0" w:type="auto"/>
            <w:noWrap w:val="0"/>
            <w:vAlign w:val="center"/>
          </w:tcPr>
          <w:p w14:paraId="6E010DAF">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弱电：无线网络覆盖</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弱电：无线网络覆盖</w:t>
            </w:r>
          </w:p>
        </w:tc>
        <w:tc>
          <w:tcPr>
            <w:tcW w:w="0" w:type="auto"/>
            <w:noWrap w:val="0"/>
            <w:vAlign w:val="center"/>
          </w:tcPr>
          <w:p w14:paraId="655C866F">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出口路由</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无线网络覆盖</w:t>
            </w:r>
          </w:p>
        </w:tc>
        <w:tc>
          <w:tcPr>
            <w:tcW w:w="0" w:type="auto"/>
            <w:noWrap w:val="0"/>
            <w:vAlign w:val="center"/>
          </w:tcPr>
          <w:p w14:paraId="1CFA40C4">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出口路由：1.支持固化千兆电口≥8个，固化千兆光口≥1个，固化万兆光口≥1个；</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2.支持1个硬盘，硬盘容量≥1TB；</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3.支持内存≥2GB</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4.支持状态检测防火墙，支持TCP/UDP/ICMP/IP分片包等报文过滤；</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5.设备支持IPv6。</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6.支持URL的黑白名单；</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7.支持基于对象的访问控制；</w:t>
            </w:r>
          </w:p>
        </w:tc>
        <w:tc>
          <w:tcPr>
            <w:tcW w:w="0" w:type="auto"/>
            <w:noWrap w:val="0"/>
            <w:vAlign w:val="center"/>
          </w:tcPr>
          <w:p w14:paraId="3051005D">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w:t>
            </w:r>
          </w:p>
        </w:tc>
        <w:tc>
          <w:tcPr>
            <w:tcW w:w="0" w:type="auto"/>
            <w:noWrap w:val="0"/>
            <w:vAlign w:val="center"/>
          </w:tcPr>
          <w:p w14:paraId="074E6F9E">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西安市第五十七中学</w:t>
            </w:r>
          </w:p>
        </w:tc>
      </w:tr>
      <w:tr w14:paraId="13C7E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14:paraId="4DBDAEA2">
            <w:pPr>
              <w:keepNext w:val="0"/>
              <w:keepLines w:val="0"/>
              <w:widowControl/>
              <w:suppressLineNumbers w:val="0"/>
              <w:jc w:val="righ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86</w:t>
            </w:r>
          </w:p>
        </w:tc>
        <w:tc>
          <w:tcPr>
            <w:tcW w:w="0" w:type="auto"/>
            <w:noWrap w:val="0"/>
            <w:vAlign w:val="center"/>
          </w:tcPr>
          <w:p w14:paraId="032046D7">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弱电：无线网络覆盖</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弱电：无线网络覆盖</w:t>
            </w:r>
          </w:p>
        </w:tc>
        <w:tc>
          <w:tcPr>
            <w:tcW w:w="0" w:type="auto"/>
            <w:noWrap w:val="0"/>
            <w:vAlign w:val="center"/>
          </w:tcPr>
          <w:p w14:paraId="4847B510">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吸顶AP</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无线网络覆盖</w:t>
            </w:r>
          </w:p>
        </w:tc>
        <w:tc>
          <w:tcPr>
            <w:tcW w:w="0" w:type="auto"/>
            <w:noWrap w:val="0"/>
            <w:vAlign w:val="center"/>
          </w:tcPr>
          <w:p w14:paraId="0B36C8D6">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 xml:space="preserve">吸顶AP： </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1.支持802.11ax标准；双射频设计，一个2.4GHz射频卡，一个5GHz射频卡；整机空间流≥4条。</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2.整机最大无线速率≥2.97Gbps。</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3.至少支持1个1G以太网接口、1个2.5G SFP光口。</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4.整机最大接入用户数≥1024，</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5.支持每个SSID可配置单独的认证方式、加密机制，VLAN属性，支持边缘智能感知（RIPT），支持终端智能识别技术。</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支持基于终端数或流量的智能负载均衡</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6.支持Fat/Fit模式切换。</w:t>
            </w:r>
          </w:p>
        </w:tc>
        <w:tc>
          <w:tcPr>
            <w:tcW w:w="0" w:type="auto"/>
            <w:noWrap w:val="0"/>
            <w:vAlign w:val="center"/>
          </w:tcPr>
          <w:p w14:paraId="47B8AFDB">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30</w:t>
            </w:r>
          </w:p>
        </w:tc>
        <w:tc>
          <w:tcPr>
            <w:tcW w:w="0" w:type="auto"/>
            <w:noWrap w:val="0"/>
            <w:vAlign w:val="center"/>
          </w:tcPr>
          <w:p w14:paraId="5A081B02">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西安市第五十七中学</w:t>
            </w:r>
          </w:p>
        </w:tc>
      </w:tr>
      <w:tr w14:paraId="32D14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14:paraId="371F149A">
            <w:pPr>
              <w:keepNext w:val="0"/>
              <w:keepLines w:val="0"/>
              <w:widowControl/>
              <w:suppressLineNumbers w:val="0"/>
              <w:jc w:val="righ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87</w:t>
            </w:r>
          </w:p>
        </w:tc>
        <w:tc>
          <w:tcPr>
            <w:tcW w:w="0" w:type="auto"/>
            <w:noWrap w:val="0"/>
            <w:vAlign w:val="center"/>
          </w:tcPr>
          <w:p w14:paraId="61547B96">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弱电：无线网络覆盖</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弱电：无线网络覆盖</w:t>
            </w:r>
          </w:p>
        </w:tc>
        <w:tc>
          <w:tcPr>
            <w:tcW w:w="0" w:type="auto"/>
            <w:noWrap w:val="0"/>
            <w:vAlign w:val="center"/>
          </w:tcPr>
          <w:p w14:paraId="69E402C0">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 xml:space="preserve">面板AP </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无线网络覆盖</w:t>
            </w:r>
          </w:p>
        </w:tc>
        <w:tc>
          <w:tcPr>
            <w:tcW w:w="0" w:type="auto"/>
            <w:noWrap w:val="0"/>
            <w:vAlign w:val="center"/>
          </w:tcPr>
          <w:p w14:paraId="46A64CBE">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 xml:space="preserve">面板AP </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1.支持802.11ax标准，采用双射频设计，整机空间流≥4条，整机最大接入速率≥2.975Gbps。</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2.至少支持1个1G以太网口上联，4个1G以太网口下联。</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3.支持Fat/Fit模式切换。</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4.支持非法AP检测及反制。</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5.支持PSK认证、Web认证、微信认证、二维码访客认证、短信认证、无感知认证等认证方式；</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6.支持基于终端数或流量的智能负载均衡。</w:t>
            </w:r>
          </w:p>
        </w:tc>
        <w:tc>
          <w:tcPr>
            <w:tcW w:w="0" w:type="auto"/>
            <w:noWrap w:val="0"/>
            <w:vAlign w:val="center"/>
          </w:tcPr>
          <w:p w14:paraId="554655A1">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10</w:t>
            </w:r>
          </w:p>
        </w:tc>
        <w:tc>
          <w:tcPr>
            <w:tcW w:w="0" w:type="auto"/>
            <w:noWrap w:val="0"/>
            <w:vAlign w:val="center"/>
          </w:tcPr>
          <w:p w14:paraId="32C7640F">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西安市第五十七中学</w:t>
            </w:r>
          </w:p>
        </w:tc>
      </w:tr>
      <w:tr w14:paraId="1C22A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14:paraId="117DD153">
            <w:pPr>
              <w:keepNext w:val="0"/>
              <w:keepLines w:val="0"/>
              <w:widowControl/>
              <w:suppressLineNumbers w:val="0"/>
              <w:jc w:val="righ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88</w:t>
            </w:r>
          </w:p>
        </w:tc>
        <w:tc>
          <w:tcPr>
            <w:tcW w:w="0" w:type="auto"/>
            <w:noWrap w:val="0"/>
            <w:vAlign w:val="center"/>
          </w:tcPr>
          <w:p w14:paraId="4B67CB67">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弱电：无线网络覆盖</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弱电：无线网络覆盖</w:t>
            </w:r>
          </w:p>
        </w:tc>
        <w:tc>
          <w:tcPr>
            <w:tcW w:w="0" w:type="auto"/>
            <w:noWrap w:val="0"/>
            <w:vAlign w:val="center"/>
          </w:tcPr>
          <w:p w14:paraId="0F92985D">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室外型无线接入点</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无线网络覆盖</w:t>
            </w:r>
          </w:p>
        </w:tc>
        <w:tc>
          <w:tcPr>
            <w:tcW w:w="0" w:type="auto"/>
            <w:noWrap w:val="0"/>
            <w:vAlign w:val="center"/>
          </w:tcPr>
          <w:p w14:paraId="79F96792">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1.室外型无线接入点</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2.支持标准的802.11ax协议，采用双射频设计，整机空间流≥4条。</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3.至少支持1个2.5G SFP光口；1个10/100/1000Base-T以太网接口。</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4.整机最大无线接入速率≥2.975Gbps。</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5. 防护等级≥IP68。</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6.支持标准的802.3af/802.3at协议进行PoE供电。</w:t>
            </w:r>
          </w:p>
        </w:tc>
        <w:tc>
          <w:tcPr>
            <w:tcW w:w="0" w:type="auto"/>
            <w:noWrap w:val="0"/>
            <w:vAlign w:val="center"/>
          </w:tcPr>
          <w:p w14:paraId="5452E2A9">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14</w:t>
            </w:r>
          </w:p>
        </w:tc>
        <w:tc>
          <w:tcPr>
            <w:tcW w:w="0" w:type="auto"/>
            <w:noWrap w:val="0"/>
            <w:vAlign w:val="center"/>
          </w:tcPr>
          <w:p w14:paraId="4949A3DA">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西安市第五十七中学</w:t>
            </w:r>
          </w:p>
        </w:tc>
      </w:tr>
      <w:tr w14:paraId="1EDC2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14:paraId="0613BE3F">
            <w:pPr>
              <w:keepNext w:val="0"/>
              <w:keepLines w:val="0"/>
              <w:widowControl/>
              <w:suppressLineNumbers w:val="0"/>
              <w:jc w:val="righ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89</w:t>
            </w:r>
          </w:p>
        </w:tc>
        <w:tc>
          <w:tcPr>
            <w:tcW w:w="0" w:type="auto"/>
            <w:noWrap w:val="0"/>
            <w:vAlign w:val="center"/>
          </w:tcPr>
          <w:p w14:paraId="600AF8B1">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弱电：无线网络覆盖</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弱电：无线网络覆盖</w:t>
            </w:r>
          </w:p>
        </w:tc>
        <w:tc>
          <w:tcPr>
            <w:tcW w:w="0" w:type="auto"/>
            <w:noWrap w:val="0"/>
            <w:vAlign w:val="center"/>
          </w:tcPr>
          <w:p w14:paraId="5DCD423C">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线材</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无线网络覆盖</w:t>
            </w:r>
          </w:p>
        </w:tc>
        <w:tc>
          <w:tcPr>
            <w:tcW w:w="0" w:type="auto"/>
            <w:noWrap w:val="0"/>
            <w:vAlign w:val="center"/>
          </w:tcPr>
          <w:p w14:paraId="7E02BA4E">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线材，305米六类网线20箱、水晶头2盒、标签及扎带、PVC线槽5000米、插座线缆100米、三孔插座、电源插排5个、空气开关1个、壁装支架14个等</w:t>
            </w:r>
          </w:p>
        </w:tc>
        <w:tc>
          <w:tcPr>
            <w:tcW w:w="0" w:type="auto"/>
            <w:noWrap w:val="0"/>
            <w:vAlign w:val="center"/>
          </w:tcPr>
          <w:p w14:paraId="21CC29BF">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w:t>
            </w:r>
          </w:p>
        </w:tc>
        <w:tc>
          <w:tcPr>
            <w:tcW w:w="0" w:type="auto"/>
            <w:noWrap w:val="0"/>
            <w:vAlign w:val="center"/>
          </w:tcPr>
          <w:p w14:paraId="76B171D2">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西安市第五十七中学</w:t>
            </w:r>
          </w:p>
        </w:tc>
      </w:tr>
      <w:tr w14:paraId="7F004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14:paraId="0A3292BD">
            <w:pPr>
              <w:keepNext w:val="0"/>
              <w:keepLines w:val="0"/>
              <w:widowControl/>
              <w:suppressLineNumbers w:val="0"/>
              <w:jc w:val="righ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90</w:t>
            </w:r>
          </w:p>
        </w:tc>
        <w:tc>
          <w:tcPr>
            <w:tcW w:w="0" w:type="auto"/>
            <w:noWrap w:val="0"/>
            <w:vAlign w:val="center"/>
          </w:tcPr>
          <w:p w14:paraId="4F0F5C74">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弱电：无线网络覆盖</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弱电：无线网络覆盖</w:t>
            </w:r>
          </w:p>
        </w:tc>
        <w:tc>
          <w:tcPr>
            <w:tcW w:w="0" w:type="auto"/>
            <w:noWrap w:val="0"/>
            <w:vAlign w:val="center"/>
          </w:tcPr>
          <w:p w14:paraId="488E02EB">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入室弱电箱</w:t>
            </w:r>
          </w:p>
        </w:tc>
        <w:tc>
          <w:tcPr>
            <w:tcW w:w="0" w:type="auto"/>
            <w:noWrap w:val="0"/>
            <w:vAlign w:val="center"/>
          </w:tcPr>
          <w:p w14:paraId="67446B4B">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入室弱电箱：箱体 底盒尺寸:L550*W400*D115,可安装模块容量13U</w:t>
            </w:r>
          </w:p>
        </w:tc>
        <w:tc>
          <w:tcPr>
            <w:tcW w:w="0" w:type="auto"/>
            <w:noWrap w:val="0"/>
            <w:vAlign w:val="center"/>
          </w:tcPr>
          <w:p w14:paraId="029B8F8B">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4</w:t>
            </w:r>
          </w:p>
        </w:tc>
        <w:tc>
          <w:tcPr>
            <w:tcW w:w="0" w:type="auto"/>
            <w:noWrap w:val="0"/>
            <w:vAlign w:val="center"/>
          </w:tcPr>
          <w:p w14:paraId="48B9B06D">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西安市第五十七中学</w:t>
            </w:r>
          </w:p>
        </w:tc>
      </w:tr>
      <w:tr w14:paraId="54234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14:paraId="7A9F92BE">
            <w:pPr>
              <w:keepNext w:val="0"/>
              <w:keepLines w:val="0"/>
              <w:widowControl/>
              <w:suppressLineNumbers w:val="0"/>
              <w:jc w:val="righ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91</w:t>
            </w:r>
          </w:p>
        </w:tc>
        <w:tc>
          <w:tcPr>
            <w:tcW w:w="0" w:type="auto"/>
            <w:noWrap w:val="0"/>
            <w:vAlign w:val="center"/>
          </w:tcPr>
          <w:p w14:paraId="1C415F0D">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弱电：无线网络覆盖</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弱电：无线网络覆盖</w:t>
            </w:r>
          </w:p>
        </w:tc>
        <w:tc>
          <w:tcPr>
            <w:tcW w:w="0" w:type="auto"/>
            <w:noWrap w:val="0"/>
            <w:vAlign w:val="center"/>
          </w:tcPr>
          <w:p w14:paraId="3F8FE47E">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安装调试费用</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无线网络覆盖</w:t>
            </w:r>
          </w:p>
        </w:tc>
        <w:tc>
          <w:tcPr>
            <w:tcW w:w="0" w:type="auto"/>
            <w:noWrap w:val="0"/>
            <w:vAlign w:val="center"/>
          </w:tcPr>
          <w:p w14:paraId="22727979">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安装调试费用：施工内容：吊顶拆除，过墙打孔，桥架盖板恢复，吊顶恢复。设备安装、调试、培训。</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施工规范：施工依照综合布线标准设计，强弱电规范（分离）施工，要具有高扩展性、灵活性、先进性、可管理性。在布线中，所有线路、信息点均有一定编号或颜色标识，以方便维护。网线6100米布线、PVC线槽5000安装；AP安装54点，后台设备安装等）</w:t>
            </w:r>
          </w:p>
        </w:tc>
        <w:tc>
          <w:tcPr>
            <w:tcW w:w="0" w:type="auto"/>
            <w:noWrap w:val="0"/>
            <w:vAlign w:val="center"/>
          </w:tcPr>
          <w:p w14:paraId="2DCB5E96">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w:t>
            </w:r>
          </w:p>
        </w:tc>
        <w:tc>
          <w:tcPr>
            <w:tcW w:w="0" w:type="auto"/>
            <w:noWrap w:val="0"/>
            <w:vAlign w:val="center"/>
          </w:tcPr>
          <w:p w14:paraId="729AA290">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西安市第五十七中学</w:t>
            </w:r>
          </w:p>
        </w:tc>
      </w:tr>
      <w:tr w14:paraId="78C95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14:paraId="28E2A840">
            <w:pPr>
              <w:keepNext w:val="0"/>
              <w:keepLines w:val="0"/>
              <w:widowControl/>
              <w:suppressLineNumbers w:val="0"/>
              <w:jc w:val="righ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92</w:t>
            </w:r>
          </w:p>
        </w:tc>
        <w:tc>
          <w:tcPr>
            <w:tcW w:w="0" w:type="auto"/>
            <w:noWrap w:val="0"/>
            <w:vAlign w:val="center"/>
          </w:tcPr>
          <w:p w14:paraId="290E4F80">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弱电：智慧“云”广播系统音频终端（木制壁挂音箱）</w:t>
            </w:r>
          </w:p>
        </w:tc>
        <w:tc>
          <w:tcPr>
            <w:tcW w:w="0" w:type="auto"/>
            <w:noWrap w:val="0"/>
            <w:vAlign w:val="center"/>
          </w:tcPr>
          <w:p w14:paraId="08153E22">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壁挂音箱</w:t>
            </w:r>
          </w:p>
        </w:tc>
        <w:tc>
          <w:tcPr>
            <w:tcW w:w="0" w:type="auto"/>
            <w:noWrap w:val="0"/>
            <w:vAlign w:val="center"/>
          </w:tcPr>
          <w:p w14:paraId="2687647F">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1.智慧云广播系统智慧音频终端采用一体化壁挂式高精密度板材设计，整合网络音频解码；数字功放及音箱；系统智能控制，接受来自智慧云广播系统平台的定时节目.背景节目.广播寻呼.紧急寻呼.告警信号等；</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2.采用高速工业级双核(ARM+DSP)芯片，全数字化设计，高保真.语音传输高标准指数；</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3.智慧系统采用Ai智能识别技术，具备数字音频智能绑定功能，智慧终端在系统主页面自动显示状态；</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 xml:space="preserve">4.标准RJ45网络接口，支持互联网和本地局域网，支持DHCP，兼容路由器.交换机.Intelnet.4G.5G.组播.单播等任意网络结构； </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5.内置高保真扬声器和立体声D类功率高品质数字功放，可外接副箱，低功耗设置.</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6.内置DSP数字音频通道自适应参量均衡算法，多频段动态范围调节，十段参量 DSP 音效处理，登陆系统即可调节终端音效，流行.舞曲.摇滚.古典.人声.柔和以及自定义10段均衡器调节：分别有31Hz.62Hz.125Hz.250Hz.500Hz.1KHz.2KHz.4KHz.8KHz.16KHz频点的±10dB调节，支持终端设备在现场使用环境不同而调节修饰音效；</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 xml:space="preserve">7.支持移动手机网络4G.5G.WIFI点播.广播.喊话功能，自适应式屏幕分辨率算法，兼容Android系统手机高清屏以及智能平板 </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 xml:space="preserve">8.具有一路AUX音频输入.一路AUX音频输出.一路话筒输入.双电源供电模式，具有市电三插输入接口，备用DC24V4A电源输入接口；                                                                                                                                             </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9.平均无故障时间(MTBF)≥10万小时；</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 xml:space="preserve">10.局域网内可脱离服务器接受寻呼广播.紧急报警，音量自动调节到呼叫设备设定值； </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11.可以关联摄像头，通过主机软件实时查看摄像头内容；</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12.支持一键复位功能，可以通过该按键来复位到默认的IP地址，如开启DHCP工作，可以正常自动恢复来自网关自动分配给设备IP地址；</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13.支持设备在线分区设置，通过web页面后台或分控客户端均可轻松设置分区；</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14.支持TTS 文字转语音广播，语音清晰自然，支持数据备份.还原.导入.导出；</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15.支持无音乐信号（包括本地音频信号）自动待机节能工作模式；</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16.接受系统在线分组，按系统分组定时，只需添加分组名称即可；支持系统平台设备主音量播放一致的同时还可以调节此设备子音量；</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17.智慧系统融合.增强现场感.智能化.图像化.数字孪生等技术；</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18.音频终端模块采用音频信号通道实时量化传输，音频信息电平值和灰度电平值的离散化处理；</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19.网络接口： RJ45×1；</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20.传输速率： 100Mbps；</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21.支持协议： TCP/IP.UDP.IGMP；</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22.音频模式： 立体声CD音质；</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23.音频格式： MP3/WAV/；</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24.频率响应： 80Hz～16KHz；</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25.音箱阻抗： 8Ω；</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26.音箱功率： 25W；</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27.AUX输出灵敏度：1V；</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28.AUX输入接口：2位莲花座；</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29.AUX输出接口：2位莲花座；</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30.MIC输入接口：1路6.35插座；</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 xml:space="preserve">31.输入灵敏度： AUX：500mV  MIC：10mV； </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32.采 样 率： 8K～48KHz；</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33.喇叭单元： 6.5"×1；3"×1；</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34.功放功率： 20W×20W；</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35.最大声压级：106dB；</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36.谐波失真： ≤0.3%；</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37.信 噪 比： ≥90dB；</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38.工作环境： 温度：-40℃~+70℃  湿度：10%—90%；</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39.电    源： AC～220V 50Hz/DC24V/4A（双电源输出设计）；</w:t>
            </w:r>
          </w:p>
        </w:tc>
        <w:tc>
          <w:tcPr>
            <w:tcW w:w="0" w:type="auto"/>
            <w:noWrap w:val="0"/>
            <w:vAlign w:val="center"/>
          </w:tcPr>
          <w:p w14:paraId="4D86B74F">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5</w:t>
            </w:r>
          </w:p>
        </w:tc>
        <w:tc>
          <w:tcPr>
            <w:tcW w:w="0" w:type="auto"/>
            <w:noWrap w:val="0"/>
            <w:vAlign w:val="center"/>
          </w:tcPr>
          <w:p w14:paraId="0B11E2BC">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西安市浐灞第十学校</w:t>
            </w:r>
          </w:p>
        </w:tc>
      </w:tr>
      <w:tr w14:paraId="78DF9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14:paraId="748165B1">
            <w:pPr>
              <w:keepNext w:val="0"/>
              <w:keepLines w:val="0"/>
              <w:widowControl/>
              <w:suppressLineNumbers w:val="0"/>
              <w:jc w:val="righ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93</w:t>
            </w:r>
          </w:p>
        </w:tc>
        <w:tc>
          <w:tcPr>
            <w:tcW w:w="0" w:type="auto"/>
            <w:noWrap w:val="0"/>
            <w:vAlign w:val="center"/>
          </w:tcPr>
          <w:p w14:paraId="60A7C5A1">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弱电：高清红外半球</w:t>
            </w:r>
          </w:p>
        </w:tc>
        <w:tc>
          <w:tcPr>
            <w:tcW w:w="0" w:type="auto"/>
            <w:noWrap w:val="0"/>
            <w:vAlign w:val="center"/>
          </w:tcPr>
          <w:p w14:paraId="4D1FEF32">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高清红外半球</w:t>
            </w:r>
          </w:p>
        </w:tc>
        <w:tc>
          <w:tcPr>
            <w:tcW w:w="0" w:type="auto"/>
            <w:noWrap w:val="0"/>
            <w:vAlign w:val="center"/>
          </w:tcPr>
          <w:p w14:paraId="010A84FB">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≥400万像素1/3”CMOS 红外半球型网络摄像机</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快门 1/3秒至1/100,000秒；</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最小照度：0.002Lux(彩色模式);0.0002Lux(黑白模式);0Lux（红外灯开启）；</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镜头：2.8mm,4mm，6mm,8mm可选；</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宽动态范围：≥120dB；</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视频压缩标准：支持H.265 / H.264；</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音频接口：1进1出，供接入拾音器；</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帧率：50Hz: 25fps(2560×1440, 2048 × 1536, 1920 × 1080, 1280 × 720)；</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支持DC12V、P0E；</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支持≥IP67、≥IK10防护等级，防浪涌，防静电，防雷设计；</w:t>
            </w:r>
          </w:p>
        </w:tc>
        <w:tc>
          <w:tcPr>
            <w:tcW w:w="0" w:type="auto"/>
            <w:noWrap w:val="0"/>
            <w:vAlign w:val="center"/>
          </w:tcPr>
          <w:p w14:paraId="6F45BCAB">
            <w:pPr>
              <w:keepNext w:val="0"/>
              <w:keepLines w:val="0"/>
              <w:widowControl/>
              <w:suppressLineNumbers w:val="0"/>
              <w:jc w:val="center"/>
              <w:textAlignment w:val="center"/>
              <w:rPr>
                <w:sz w:val="20"/>
                <w:szCs w:val="20"/>
                <w:highlight w:val="none"/>
                <w:vertAlign w:val="baseline"/>
              </w:rPr>
            </w:pPr>
            <w:r>
              <w:rPr>
                <w:rFonts w:hint="default" w:ascii="仿宋_GB2312" w:hAnsi="宋体" w:eastAsia="仿宋_GB2312" w:cs="仿宋_GB2312"/>
                <w:i w:val="0"/>
                <w:iCs w:val="0"/>
                <w:color w:val="000000"/>
                <w:kern w:val="0"/>
                <w:sz w:val="20"/>
                <w:szCs w:val="20"/>
                <w:highlight w:val="none"/>
                <w:u w:val="none"/>
                <w:lang w:val="en-US" w:eastAsia="zh-CN" w:bidi="ar"/>
              </w:rPr>
              <w:t xml:space="preserve">5 </w:t>
            </w:r>
          </w:p>
        </w:tc>
        <w:tc>
          <w:tcPr>
            <w:tcW w:w="0" w:type="auto"/>
            <w:noWrap w:val="0"/>
            <w:vAlign w:val="center"/>
          </w:tcPr>
          <w:p w14:paraId="2F3F3E09">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西安市浐灞第十学校</w:t>
            </w:r>
          </w:p>
        </w:tc>
      </w:tr>
      <w:tr w14:paraId="6CD0B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14:paraId="1AD12FA9">
            <w:pPr>
              <w:keepNext w:val="0"/>
              <w:keepLines w:val="0"/>
              <w:widowControl/>
              <w:suppressLineNumbers w:val="0"/>
              <w:jc w:val="righ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94</w:t>
            </w:r>
          </w:p>
        </w:tc>
        <w:tc>
          <w:tcPr>
            <w:tcW w:w="0" w:type="auto"/>
            <w:noWrap w:val="0"/>
            <w:vAlign w:val="center"/>
          </w:tcPr>
          <w:p w14:paraId="382B5C12">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弱电：电子班牌</w:t>
            </w:r>
          </w:p>
        </w:tc>
        <w:tc>
          <w:tcPr>
            <w:tcW w:w="0" w:type="auto"/>
            <w:noWrap w:val="0"/>
            <w:vAlign w:val="center"/>
          </w:tcPr>
          <w:p w14:paraId="61FCC688">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电子班牌</w:t>
            </w:r>
          </w:p>
        </w:tc>
        <w:tc>
          <w:tcPr>
            <w:tcW w:w="0" w:type="auto"/>
            <w:noWrap w:val="0"/>
            <w:vAlign w:val="center"/>
          </w:tcPr>
          <w:p w14:paraId="3A28A47C">
            <w:pPr>
              <w:keepNext w:val="0"/>
              <w:keepLines w:val="0"/>
              <w:widowControl/>
              <w:numPr>
                <w:ilvl w:val="0"/>
                <w:numId w:val="10"/>
              </w:numPr>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屏幕：采用电容式触摸屏，支持≥10点触控。分辨率≥1920*1080，显示比例16：9。尺寸≥24英寸。屏幕等级：采用A+级别屏幕。</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 屏幕透光率≥90%。屏幕能抗强光干扰，在照度≥100K lx环境下可以正常工作。</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3. 配置：Android智能操作系统≥12，稳定可靠；支持外部存储禁用功能，禁止外部存储设备访问</w:t>
            </w:r>
          </w:p>
          <w:p w14:paraId="52EC8BAD">
            <w:pPr>
              <w:keepNext w:val="0"/>
              <w:keepLines w:val="0"/>
              <w:widowControl/>
              <w:numPr>
                <w:ilvl w:val="0"/>
                <w:numId w:val="8"/>
              </w:numPr>
              <w:suppressLineNumbers w:val="0"/>
              <w:ind w:left="0" w:leftChars="0" w:firstLine="0" w:firstLineChars="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支持定时开关机功能。支持高温保护功能，在环境温度≥70℃下自动断电保护。</w:t>
            </w:r>
          </w:p>
          <w:p w14:paraId="2A5B9D57">
            <w:pPr>
              <w:keepNext w:val="0"/>
              <w:keepLines w:val="0"/>
              <w:widowControl/>
              <w:numPr>
                <w:ilvl w:val="0"/>
                <w:numId w:val="0"/>
              </w:numPr>
              <w:suppressLineNumbers w:val="0"/>
              <w:ind w:leftChars="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5. 内置光感：支持根据周围环境光线强弱，自动调节显示屏的亮度</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6. 内置拾音器，具有回声消除功能，可抵消语音对讲的回声。</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7. 系统内存：≧2G内存；系统存储空间：内置≥16G emmc</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8. 支持门禁接口，包含RS485（485+,485-,GND），韦根接口（W0，W1，GND），门锁（NC，COM，NO），门磁（SENSOR，GND），按钮（BTN，GND）信号。</w:t>
            </w:r>
          </w:p>
          <w:p w14:paraId="44A2F636">
            <w:pPr>
              <w:keepNext w:val="0"/>
              <w:keepLines w:val="0"/>
              <w:widowControl/>
              <w:numPr>
                <w:ilvl w:val="0"/>
                <w:numId w:val="0"/>
              </w:numPr>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9. 可最多同时支持10人做刷脸验证，单张刷脸验证结果确认时间≤0.5s</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10. 支持对手机、打印纸等二维码识别，识别速度≤0.2s</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11. 提供的产品厚度≤30mm</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12. 产品应符合GB/T 20138-2006中IK07等级要求</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13. 屏幕亮度对比度≥3000：</w:t>
            </w:r>
          </w:p>
          <w:p w14:paraId="7766DF2F">
            <w:pPr>
              <w:keepNext w:val="0"/>
              <w:keepLines w:val="0"/>
              <w:widowControl/>
              <w:numPr>
                <w:ilvl w:val="0"/>
                <w:numId w:val="0"/>
              </w:numPr>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 xml:space="preserve"> 14. 屏幕亮度≥400cd/㎡</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15. 终端采用壁挂式，自带安装上墙盖板，出线孔在盖板上方，设备贴墙安装后，与墙面间隙≤1mm。</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16. 具备RJ45接口为1000M/100M自适应以太网接口</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17. 支持刷卡，识别速度≤1s；</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18. 具有防雾功能。</w:t>
            </w:r>
          </w:p>
          <w:p w14:paraId="1BA82F66">
            <w:pPr>
              <w:keepNext w:val="0"/>
              <w:keepLines w:val="0"/>
              <w:widowControl/>
              <w:numPr>
                <w:ilvl w:val="0"/>
                <w:numId w:val="0"/>
              </w:numPr>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19. 内置麦克风。</w:t>
            </w:r>
          </w:p>
          <w:p w14:paraId="2CFE2339">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20. 支持蓝牙与其它设备进行通信；支持WiFi 与网络进行连接，空旷区域内有效传输范围≥30 m。21. 内置天线：整机采用内置天线设计，无任何天线外露接口。</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22. 扬声器：采用双通道3W功率立体扬声器。</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23. 支持解码显示接入IPC实时监控画面</w:t>
            </w:r>
          </w:p>
          <w:p w14:paraId="791F971C">
            <w:pPr>
              <w:keepNext w:val="0"/>
              <w:keepLines w:val="0"/>
              <w:widowControl/>
              <w:numPr>
                <w:ilvl w:val="0"/>
                <w:numId w:val="0"/>
              </w:numPr>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24. 支持远程开关机，定时开关机。支持通过web端和USB端口进行软件升级。设备升级后保留原有参数配置，不需要重新进行参数配置。（25. 表面硬度：玻璃表面硬度达到7H以上。</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26. 产品应符合GB/T 4208-2017中IP65规定。</w:t>
            </w:r>
          </w:p>
          <w:p w14:paraId="3C91653D">
            <w:pPr>
              <w:keepNext w:val="0"/>
              <w:keepLines w:val="0"/>
              <w:widowControl/>
              <w:numPr>
                <w:ilvl w:val="0"/>
                <w:numId w:val="0"/>
              </w:numPr>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27. 支持视力表功能。</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28. 可对视频、图片、打印的人脸照片进行过滤，支持活体检测，防假体准确率≥99%。</w:t>
            </w:r>
          </w:p>
        </w:tc>
        <w:tc>
          <w:tcPr>
            <w:tcW w:w="0" w:type="auto"/>
            <w:noWrap w:val="0"/>
            <w:vAlign w:val="center"/>
          </w:tcPr>
          <w:p w14:paraId="2987335F">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53</w:t>
            </w:r>
          </w:p>
        </w:tc>
        <w:tc>
          <w:tcPr>
            <w:tcW w:w="0" w:type="auto"/>
            <w:noWrap w:val="0"/>
            <w:vAlign w:val="center"/>
          </w:tcPr>
          <w:p w14:paraId="206852B4">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西安市浐灞第十学校</w:t>
            </w:r>
          </w:p>
        </w:tc>
      </w:tr>
      <w:tr w14:paraId="63783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14:paraId="593229A4">
            <w:pPr>
              <w:keepNext w:val="0"/>
              <w:keepLines w:val="0"/>
              <w:widowControl/>
              <w:suppressLineNumbers w:val="0"/>
              <w:jc w:val="righ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95</w:t>
            </w:r>
          </w:p>
        </w:tc>
        <w:tc>
          <w:tcPr>
            <w:tcW w:w="0" w:type="auto"/>
            <w:noWrap w:val="0"/>
            <w:vAlign w:val="center"/>
          </w:tcPr>
          <w:p w14:paraId="7CC5514B">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弱电：电子班牌软件</w:t>
            </w:r>
          </w:p>
        </w:tc>
        <w:tc>
          <w:tcPr>
            <w:tcW w:w="0" w:type="auto"/>
            <w:noWrap w:val="0"/>
            <w:vAlign w:val="center"/>
          </w:tcPr>
          <w:p w14:paraId="642906E4">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电子班牌软件</w:t>
            </w:r>
          </w:p>
        </w:tc>
        <w:tc>
          <w:tcPr>
            <w:tcW w:w="0" w:type="auto"/>
            <w:noWrap w:val="0"/>
            <w:vAlign w:val="center"/>
          </w:tcPr>
          <w:p w14:paraId="4303FB48">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 xml:space="preserve">一、电子班牌终端软件  </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 多模式切换 支持多模式智能自动切换，其中包含普通模式、考勤模式、上课模式、考试模式、紧急通知模式以及校宣模式。</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 首页展示 班牌首页可展示班级简介、今日课表、校园新闻、校园公告、班级公告、班级相册、班级视频、今日值日、倒计时以及班级荣誉信息，其中班级荣誉中第一名会显示一枚流动小红旗。</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3 班级值日 今日值日模块支持显示班级今日值日人员姓名信息。</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4 班级相册 支持从班级相册中自助选择部分照片，在班牌首页展示，并自动轮播。</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5 校徽展示 班牌首页支持展示学校校徽。</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6 考勤模式 支持通过平台设置考勤规则，考勤时间段内学生可以通过刷卡或者刷脸进行考勤，实时显示考勤签到情况，并支持离线考勤。</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7 上课模式 支持依据班级课表，进入上课时间自动从普通模式切换至上课模式，可展示当前课程、授课教师、授课时间以及下节课信息；上课过程中，巡课员可在班牌上实时查看教室画面。</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8 考试模式 通过班牌后台发布考试安排后，进入考试时间班牌切换至考试模式，展示当前考试科目、剩余考试时间以及监考教师。</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9 紧急通知 支持管理员通过后台指定部分或全部班牌即时播放文字或图片，进行相关事项的紧急通知。</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10 校宣模式 支持全校统一展示文章、图片和视频内容，并可设置每天指定时间循环播放。</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11 班级简介 班级简介支持显示本班班主任、班长、班级人数和班级口号信息；成员信息中包含班级的所有任课教师、任教科目以及本班所有学生信息。</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12 班级荣誉 支持通过班级荣誉查看班级和个人获得的荣誉证书。</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13 班级视频 支持学生通过班牌查看老师发布的微课视频学习资料。</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14 班级评价 支持管理者通过班牌对班级卫生、纪律、眼保健操以及可自定义的德育直接进行评分。</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15 信息互通 支持学生在任意班级的任意一台班牌刷脸或刷卡进入个人空间，查看个人课表和本学期所有考勤信息，支持查看和回复家长的文字或语音留言；长时间无操作后，自动退出个人中心，返回之前显示界面。</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16 留言展示 家长留言未被查看时，班牌首页显示对应学生姓名信息。当有多条留言时，滚动显示对应学生姓名和信息。</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17 第三方接入 支持接入第三方应用或添加网页地址，并可设置定时切换第三方应用，定时开启与关闭。</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18 联动开门 支持通过刷脸或刷卡联动门禁进行开门。</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19 消毒记录 支持工作人员刷脸或刷卡进入消毒模块，确认消毒后，班牌首页显示消毒记录。</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20 支持视力表功能，符合GB/T  11533-2011《标准对数视力表》标准要求。</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21 请假管理 教师通过手机端下发电子假条后，电子假条信息会同步显示在班牌请假模块，学生在此模块上刷脸或刷卡实现身份验证。</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22 场地预约 支持在平台端或手机端进行场地预约，班牌洪端会根据预约时间自动进入场地预约模式，支持人员刷脸或刷卡进行签到或签退，班牌页面显示应到、实到、未到人数，托班类型中的签到或签退消息可推送至家长手机端。</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23 一键报警 支持联动报警设备，下发报警信息后，班牌端弹窗显示报警内容；背景内容支持图片和文字，同时显示报警地点，支持语音提醒，并可联动光电报警灯。</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24 学生考勤记录 支持教师通过刷脸或刷卡查看学生考勤记录，支持按班级、日期、考勤时段进行记录查询。</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25 特殊模式 班牌处于任一界面30秒未操作，自动返回当天优先级最高模式，支持手动切换回当前模式。</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26 班牌配置项 支持配置项设置包括护眼模式、屏保模式、人脸识别参数配置、语音播报速度配置、定时开关机设置、离线测温、数据恢复等功能，支持查看本地人脸库。</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27 物联控制 支持班牌端控制教室内物联设备。</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28 巡课功能 支持教师通过刷脸或刷卡进入班牌巡课模块，进入后可查看班牌绑定ipc画面。</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29 视频通话 支持学生在班牌端向家长发起视频通话。</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30 设备采集人脸 支持教师或学生通过刷脸或刷卡进入班牌人脸采集模块自行完成人脸录入。</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32 分段考勤 支持按不同时间段自定义设置考勤，支持老师和学生考勤，考勤成功后显示人员姓名、地点、考勤时间，支持关闭人脸识别。</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33 幼教模板 班牌可展示幼教皮肤模板，此模板支持家长接送功能，支持查看接送记录。</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34 学生评价 教师或学生可在班牌端对学生进行积分评价操作，学生可在个人中心查看评价明细。</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35 积分抽奖 在学生评价功能之上，构建积分体系，积分通过平时在校的优良表现，老师和班干部针对学生进行点评获得积分，每个老师可以通过系统针对班级的奖品进行统一管理，支持设置使用一些实物和虚拟奖品来针对学生进行激励，完成学生评价的积分消费，正向鼓励学生</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 xml:space="preserve">二、电子班牌管理平台  </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 信息配置 管理平台采用B/S结构，支持对人员、卡号、人脸信息的上传和管理，支持配置学校作息时间表和上传课表信息。</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 信息发布 支持通过平台发布班牌端展示内容。支持自定义背景图片、发布制定图片至首页、配置值日表和评价项、添加考试计划，提供多种首页模板供用户选择、也可以自定义首页展示模块；支持配置校宣模式定时发布和展示时长；支持设置发布至单个班级或多个班级。</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3 场地管理 支持按场地进行信息发布；支持场地添加、编辑和删除，支持自定义场地类型和场地关联设配配置。</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4 批量管理 支持通过平台批量管理设备，可设置定时开关机、查看设备状态和当前显示画面，并支持角色权限设置。</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5 门禁授权 支持通过平台对班牌进行门禁授权，可按人员对象进行授权，授权人员可刷脸/刷卡进行开门。</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6 发布信息查询 平台端支持查看发布历史。</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7 健康体检 在“学生体检”模块，支持查看学生自己视力的“成长曲线”，建立视力健康档案。</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8 校园考勤 支持查看考勤记录并导出考勤数据，可自定时间对教职工或学生进行考勤统计，生成考勤率排名，支持设定考勤规则，规则可按考勤人员类型、考勤时间、考勤对象、考勤地点进行设置，支持节假日配置。</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9 应用发布 支持下发网页和APP，APP支持配置3个开/关时间段。</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10 模板自定义 支持模板配置自定义，内容包含：横版及竖版模板样式，普教及幼教模板样式，背景样式：支持全部模块名称自定义，内容包含：首页卡片名称，功能项名称，导航栏名称。</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11 富文本编辑 用户可手动编辑自定义文字格式内容进行发布。</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12 消毒记录 支持按建筑、场地类型、消毒状态、消毒事件进行查询。</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13 查询统计 支持查看报警记录，设备状态日志，用户操作日志和门禁事件日志，报警记录数据可导出。</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14 请假管理 可在平台上对请假数据进行查询。</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15 场地预约 支持在平台上添加场地预约，查看预约记录，以及配置考勤规则，考勤规则可自选是否签到/签退。</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16 一键报警 支持平台下发报警信息，支持开启语音报警提示，报警内容可编辑，支持选择循环播放和固定次数播放两种语音报警播放方式，平台可配置是否开启光电提示。</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17 屏幕锁屏 支持平台端对班牌进行远程锁屏设置，锁屏开启后，班牌设备端无法进行触屏操作</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 xml:space="preserve">18 学生评价 支持教师在平台端进行学生评价功能的评价项配置以及下发评价人权限。 </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 xml:space="preserve">三、手机端应用  </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 移动端信息查看 系统提供移动端App，支持教师通过移动端查看任教班级考勤结果，可按时间条件进行过滤，可查看单个人员考勤信息。</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 移动端信息发布 支持教师通过移动端发布紧急通知、添加照片至班级相册、上传视频至班牌展示、设置班级值日表和上传学习资料。</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3 移动端班级评价 支持管理员通过移动端对班级进行德育评价。</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4 发布留言 支持家长通过微信端小程序向孩子发布文字或语音留言，并可查收孩子留言。</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5 信息接收 微信小程序可自动接收孩子发来的信息和体温数据。</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6 课堂考勤 校管理员可查看全校学生/教师考勤结果，教师可查看本班学生考勤结果，支持到课率统计及显示。</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7 学生请假 支持教师在手机端创建学生电子请假单。</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8 场地预约 支持教师在手机端创建场地预约。</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9 人脸录入 支持教师通过手机App进行教职工或学生人脸录入。</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10 家长查看信息 支持家长通过微信端小程序查看自己孩子每日体温数据，查看自己孩子的课表，查询自己孩子的考勤记录。</w:t>
            </w:r>
          </w:p>
        </w:tc>
        <w:tc>
          <w:tcPr>
            <w:tcW w:w="0" w:type="auto"/>
            <w:noWrap w:val="0"/>
            <w:vAlign w:val="center"/>
          </w:tcPr>
          <w:p w14:paraId="5047A4BC">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 xml:space="preserve">53 </w:t>
            </w:r>
          </w:p>
        </w:tc>
        <w:tc>
          <w:tcPr>
            <w:tcW w:w="0" w:type="auto"/>
            <w:noWrap w:val="0"/>
            <w:vAlign w:val="center"/>
          </w:tcPr>
          <w:p w14:paraId="0C95F3CF">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西安市浐灞第十学校</w:t>
            </w:r>
          </w:p>
        </w:tc>
      </w:tr>
      <w:tr w14:paraId="219E2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14:paraId="45D08995">
            <w:pPr>
              <w:keepNext w:val="0"/>
              <w:keepLines w:val="0"/>
              <w:widowControl/>
              <w:suppressLineNumbers w:val="0"/>
              <w:jc w:val="righ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96</w:t>
            </w:r>
          </w:p>
        </w:tc>
        <w:tc>
          <w:tcPr>
            <w:tcW w:w="0" w:type="auto"/>
            <w:noWrap w:val="0"/>
            <w:vAlign w:val="center"/>
          </w:tcPr>
          <w:p w14:paraId="0C61BF7A">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弱电：交换机</w:t>
            </w:r>
          </w:p>
        </w:tc>
        <w:tc>
          <w:tcPr>
            <w:tcW w:w="0" w:type="auto"/>
            <w:noWrap w:val="0"/>
            <w:vAlign w:val="center"/>
          </w:tcPr>
          <w:p w14:paraId="567940C7">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交换机</w:t>
            </w:r>
          </w:p>
        </w:tc>
        <w:tc>
          <w:tcPr>
            <w:tcW w:w="0" w:type="auto"/>
            <w:noWrap w:val="0"/>
            <w:vAlign w:val="center"/>
          </w:tcPr>
          <w:p w14:paraId="07967662">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1.≥24个10/100/1000M自适应RJ45端口</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2.所有端口均具备线速转发能力</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3.支持端口自动翻转（Auto MDI/MDIX）功能</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4.提供标准交换、VLAN隔离和网络克隆三种工作模式，适应不同网络环境</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5.支持通过拨动开关切换交换机工作模式</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6.即插即用，可上机架</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7.网络标准：IEEE 802.3 、EEE 802.3 i、IEEE 802.3u、IEEE 802.3ab、IEEE 802.3x</w:t>
            </w:r>
          </w:p>
        </w:tc>
        <w:tc>
          <w:tcPr>
            <w:tcW w:w="0" w:type="auto"/>
            <w:noWrap w:val="0"/>
            <w:vAlign w:val="center"/>
          </w:tcPr>
          <w:p w14:paraId="0A6FAC1A">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2</w:t>
            </w:r>
          </w:p>
        </w:tc>
        <w:tc>
          <w:tcPr>
            <w:tcW w:w="0" w:type="auto"/>
            <w:noWrap w:val="0"/>
            <w:vAlign w:val="center"/>
          </w:tcPr>
          <w:p w14:paraId="01504B00">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西安市浐灞第十学校</w:t>
            </w:r>
          </w:p>
        </w:tc>
      </w:tr>
      <w:tr w14:paraId="1BDE1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14:paraId="2581EE1A">
            <w:pPr>
              <w:keepNext w:val="0"/>
              <w:keepLines w:val="0"/>
              <w:widowControl/>
              <w:suppressLineNumbers w:val="0"/>
              <w:jc w:val="righ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97</w:t>
            </w:r>
          </w:p>
        </w:tc>
        <w:tc>
          <w:tcPr>
            <w:tcW w:w="0" w:type="auto"/>
            <w:noWrap w:val="0"/>
            <w:vAlign w:val="center"/>
          </w:tcPr>
          <w:p w14:paraId="44DA23E7">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弱电：智慧班牌</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（软件开发）</w:t>
            </w:r>
          </w:p>
        </w:tc>
        <w:tc>
          <w:tcPr>
            <w:tcW w:w="0" w:type="auto"/>
            <w:noWrap w:val="0"/>
            <w:vAlign w:val="center"/>
          </w:tcPr>
          <w:p w14:paraId="3FD623DB">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智慧班牌软件开发</w:t>
            </w:r>
          </w:p>
        </w:tc>
        <w:tc>
          <w:tcPr>
            <w:tcW w:w="0" w:type="auto"/>
            <w:noWrap w:val="0"/>
            <w:vAlign w:val="center"/>
          </w:tcPr>
          <w:p w14:paraId="18E030A1">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1、PC端</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公告发布：在pc端发布公告（自定义排版或使用链接），内置5套公布模板（寒暑假通知，放假通知，活动通知，考试安排通知，防溺水通知）发布时需要维护标题，范围。</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海报模板：在pc端发布海拔模板，选择限制的班牌范围，显示时间，图片（内置6种主题，也支上传自定义图片），内容。</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心灵港湾：在pc端设置不同教师可被学生预约咨询的日期与时段；老师可维护个人的咨询地点；查看预约记录。管理员可维护教师标签及教师成员（用于学生区分教师身份）</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失物招领：发布失物招领（物品名称，描述，图片，拾取地点，拾取时间，联系老师），未认领状态下支持修改为已认领，或删除该记录。已认领状态下支持删除该记录。</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首页配置：维护学校logo，学校介绍，图片，校训，介绍视频。</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权限配置：维护管理权限组：权限名称，管理人员，管理范围（年级范围）</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班级文化墙：维护各班的班级文化墙，维护班级，显示日期，内容</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学生查询：支持配置其他网站的链接。如安全教育平台，学校信息网等</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班级风采：发布班级风采：发布范围，主题， 描述，图片</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考务模式：配置考试信息（考试名称，时间，参与本次考试的班级，以及各班级的考试安排表，学生座位表）；配置后在班牌会固定展示，考试结束后会默认退出该模式。</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班牌模板：支持配置不同的班牌界面，配置后默认应用到管理的所有班牌（提供两种排版方式）</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2、教师手机端</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心灵港湾：管理员可查看所有预约记录与辅导记录；教师可查看与自己相关的预约记录和辅导记录。</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失物招领：发布失物招领（物品名称，描述，图片，拾取地点，拾取时间，联系老师），未认领状态下支持修改为已认领，或删除该记录。已认领状态下支持删除该记录。</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班级文化墙：维护各班的班级文化墙。管理员可配置所有班级，老师可配置所在班级；维护显示日期，内容。</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班级风采：发布班级风采：主题， 描述，图片；管理员可配置所有班级，老师可配置所在班级</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班级口号：维护班级口号（50字符以内），管理员可配置所有班级，老师可配置所在班级</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班干部管理：维护班级内班干部信息：名称，学生</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值日生管理：维护班级内班干部信息：名称，学生</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师生寻呼：学生在班牌上向对应老师反馈问题，老师可在手机端进行回复。</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3、班牌端</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版式一：</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"支持选择：默认展示班级信息（班主任，绑定班级，班级学生人数），教师寄语（班级文化墙），班级格言（班级口号））</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1.课程表：查看绑定班级的今日课表，本周课表；查看上课中和下节课的信息；</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2.师生寻呼：学生在班牌上选择本班教师进行反馈问题</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3.班级信息：查看班干部和值日生信息</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4.学生查询：可查看管理员在pc端配置的学生查询链接</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5.留言板：学生在班牌上可给家长进行留言或回复</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6.校园公告：查看班级收到的校园公告</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7.点评学生：查看今日，本周，本月学生的表扬分和待改进分</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8.班级风采：查看绑定班级的老师发布的班级风采</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9.智能柜：查看绑定班级的学生待取件信息</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10.失物招领：查看未认领的失物招领信息</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11.值周管理：本周得分，本周排名，上周排名；</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12.学生考勤：查看班级今日上学考勤情况（正常，迟到，未打卡，请假人数）</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13.点名系统：查看当前课程的点名情况（出勤，迟到，缺勤，请假人数）"</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版式二：</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"支持选择：</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1.班级信息：展示班主任，班级，学生人数</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2.值周管理：展示本周得分，本周排名，上周排名；各二级项目得分情况</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3.班级口号：查看维护的班级口号</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4.教师寄语（班级文化墙）：查看维护的班级文化墙</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5.失物招领：查看未认领的失物招领信息</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6.课程提醒：上课中和下节课信息；今日课程信息；</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7.留言板：学生收到的家长留言</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8.智能柜：查看学生待取件信息</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9.班级风采：查看绑定班级的老师发布的班级风采</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10.校园公告：查看班级收到的校园公告</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11.点评学生：查看学生的表扬分和待改进分"</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版式一与版式二通用组件</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"1.欢迎模式：查看pc端配置的显示中的海报模板，多个模板时支持切换展示。</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2.班级德育：查看班级本周值周总分，年级排名。各二级项加分扣分情况，今日点评情况。</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3.课程表：查看本周班级课程情况。</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4.笑脸墙：查看校园笑脸墙。</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5.校园公告：查看绑定班级收到的校园公告。</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6.学生考勤：当天学生上学考勤情况（正常，迟到，未打卡人数），打卡学生的打卡时间，请假学生的请假类型、请假时间</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7.点名系统：老师上课点名情况（课程信息，教师信息），出勤，迟到，缺勤，请假学生人数</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8.点评学生：查看今日，本周，本月学生的表扬分和待改进分，支持查看单个学生的累计表扬，待改进分值。对比上周被点评次数与点评得分，支持查看点评记录</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9.学生请假：查看绑定班级今日的请假学生、请假类型、请假时间</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10.学校介绍：查看校训，学校介绍，校园风采（图片，视频）"</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4、班牌端</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在线课表：根据教务系统调代课内容形成课表在线化，实时更新   5、钉钉平台对接：平台统一入口，钉钉数据融合打通</w:t>
            </w:r>
          </w:p>
        </w:tc>
        <w:tc>
          <w:tcPr>
            <w:tcW w:w="0" w:type="auto"/>
            <w:noWrap w:val="0"/>
            <w:vAlign w:val="center"/>
          </w:tcPr>
          <w:p w14:paraId="44AF0206">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w:t>
            </w:r>
          </w:p>
        </w:tc>
        <w:tc>
          <w:tcPr>
            <w:tcW w:w="0" w:type="auto"/>
            <w:noWrap w:val="0"/>
            <w:vAlign w:val="center"/>
          </w:tcPr>
          <w:p w14:paraId="2CB754DB">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西安市浐灞第十学校</w:t>
            </w:r>
          </w:p>
        </w:tc>
      </w:tr>
      <w:tr w14:paraId="6994E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14:paraId="76421C16">
            <w:pPr>
              <w:keepNext w:val="0"/>
              <w:keepLines w:val="0"/>
              <w:widowControl/>
              <w:suppressLineNumbers w:val="0"/>
              <w:jc w:val="righ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98</w:t>
            </w:r>
          </w:p>
        </w:tc>
        <w:tc>
          <w:tcPr>
            <w:tcW w:w="0" w:type="auto"/>
            <w:noWrap w:val="0"/>
            <w:vAlign w:val="center"/>
          </w:tcPr>
          <w:p w14:paraId="515FF110">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弱电：辅材</w:t>
            </w:r>
          </w:p>
        </w:tc>
        <w:tc>
          <w:tcPr>
            <w:tcW w:w="0" w:type="auto"/>
            <w:noWrap w:val="0"/>
            <w:vAlign w:val="center"/>
          </w:tcPr>
          <w:p w14:paraId="21953E4A">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辅材</w:t>
            </w:r>
          </w:p>
        </w:tc>
        <w:tc>
          <w:tcPr>
            <w:tcW w:w="0" w:type="auto"/>
            <w:noWrap w:val="0"/>
            <w:vAlign w:val="center"/>
          </w:tcPr>
          <w:p w14:paraId="1CA51AE6">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6类网线1600米，电源线RVV3*1.5类型800米，PVC线管Φ20类型150米</w:t>
            </w:r>
          </w:p>
        </w:tc>
        <w:tc>
          <w:tcPr>
            <w:tcW w:w="0" w:type="auto"/>
            <w:noWrap w:val="0"/>
            <w:vAlign w:val="center"/>
          </w:tcPr>
          <w:p w14:paraId="6A4ADE49">
            <w:pPr>
              <w:keepNext w:val="0"/>
              <w:keepLines w:val="0"/>
              <w:widowControl/>
              <w:suppressLineNumbers w:val="0"/>
              <w:jc w:val="center"/>
              <w:textAlignment w:val="center"/>
              <w:rPr>
                <w:sz w:val="20"/>
                <w:szCs w:val="20"/>
                <w:highlight w:val="none"/>
                <w:vertAlign w:val="baseli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0" w:type="auto"/>
            <w:noWrap w:val="0"/>
            <w:vAlign w:val="center"/>
          </w:tcPr>
          <w:p w14:paraId="28B7FF09">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西安市浐灞第十学校</w:t>
            </w:r>
          </w:p>
        </w:tc>
      </w:tr>
      <w:tr w14:paraId="18EEA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14:paraId="7B307410">
            <w:pPr>
              <w:keepNext w:val="0"/>
              <w:keepLines w:val="0"/>
              <w:widowControl/>
              <w:suppressLineNumbers w:val="0"/>
              <w:jc w:val="righ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99</w:t>
            </w:r>
          </w:p>
        </w:tc>
        <w:tc>
          <w:tcPr>
            <w:tcW w:w="0" w:type="auto"/>
            <w:noWrap w:val="0"/>
            <w:vAlign w:val="center"/>
          </w:tcPr>
          <w:p w14:paraId="7F5FABD2">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弱电：安装调试费</w:t>
            </w:r>
          </w:p>
        </w:tc>
        <w:tc>
          <w:tcPr>
            <w:tcW w:w="0" w:type="auto"/>
            <w:noWrap w:val="0"/>
            <w:vAlign w:val="center"/>
          </w:tcPr>
          <w:p w14:paraId="5599857B">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安装调试费</w:t>
            </w:r>
          </w:p>
        </w:tc>
        <w:tc>
          <w:tcPr>
            <w:tcW w:w="0" w:type="auto"/>
            <w:noWrap w:val="0"/>
            <w:vAlign w:val="center"/>
          </w:tcPr>
          <w:p w14:paraId="66E68384">
            <w:pPr>
              <w:rPr>
                <w:sz w:val="20"/>
                <w:szCs w:val="20"/>
                <w:highlight w:val="none"/>
                <w:vertAlign w:val="baseline"/>
              </w:rPr>
            </w:pPr>
          </w:p>
        </w:tc>
        <w:tc>
          <w:tcPr>
            <w:tcW w:w="0" w:type="auto"/>
            <w:noWrap w:val="0"/>
            <w:vAlign w:val="center"/>
          </w:tcPr>
          <w:p w14:paraId="3CF10C60">
            <w:pPr>
              <w:keepNext w:val="0"/>
              <w:keepLines w:val="0"/>
              <w:widowControl/>
              <w:suppressLineNumbers w:val="0"/>
              <w:jc w:val="center"/>
              <w:textAlignment w:val="center"/>
              <w:rPr>
                <w:sz w:val="20"/>
                <w:szCs w:val="20"/>
                <w:highlight w:val="none"/>
                <w:vertAlign w:val="baseli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0" w:type="auto"/>
            <w:noWrap w:val="0"/>
            <w:vAlign w:val="center"/>
          </w:tcPr>
          <w:p w14:paraId="09786D1B">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西安市浐灞第十学校</w:t>
            </w:r>
          </w:p>
        </w:tc>
      </w:tr>
      <w:tr w14:paraId="58A33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14:paraId="31DC32A6">
            <w:pPr>
              <w:keepNext w:val="0"/>
              <w:keepLines w:val="0"/>
              <w:widowControl/>
              <w:suppressLineNumbers w:val="0"/>
              <w:jc w:val="righ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100</w:t>
            </w:r>
          </w:p>
        </w:tc>
        <w:tc>
          <w:tcPr>
            <w:tcW w:w="0" w:type="auto"/>
            <w:noWrap w:val="0"/>
            <w:vAlign w:val="center"/>
          </w:tcPr>
          <w:p w14:paraId="2A2A3366">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LED屏：户外全彩大屏</w:t>
            </w:r>
          </w:p>
        </w:tc>
        <w:tc>
          <w:tcPr>
            <w:tcW w:w="0" w:type="auto"/>
            <w:noWrap w:val="0"/>
            <w:vAlign w:val="center"/>
          </w:tcPr>
          <w:p w14:paraId="18A9AD2C">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LED屏：户外全彩大屏</w:t>
            </w:r>
          </w:p>
        </w:tc>
        <w:tc>
          <w:tcPr>
            <w:tcW w:w="0" w:type="auto"/>
            <w:noWrap w:val="0"/>
            <w:vAlign w:val="center"/>
          </w:tcPr>
          <w:p w14:paraId="1AA1695F">
            <w:pPr>
              <w:bidi w:val="0"/>
              <w:rPr>
                <w:rFonts w:hint="eastAsia" w:ascii="宋体" w:hAnsi="宋体" w:eastAsia="宋体" w:cs="宋体"/>
                <w:sz w:val="20"/>
                <w:szCs w:val="20"/>
                <w:highlight w:val="none"/>
              </w:rPr>
            </w:pPr>
            <w:r>
              <w:rPr>
                <w:rFonts w:hint="eastAsia" w:ascii="宋体" w:hAnsi="宋体" w:eastAsia="宋体" w:cs="宋体"/>
                <w:sz w:val="20"/>
                <w:szCs w:val="20"/>
                <w:highlight w:val="none"/>
                <w:lang w:val="en-US" w:eastAsia="zh-CN"/>
              </w:rPr>
              <w:t xml:space="preserve">屏体净尺寸：长12.8m*高4m=51.2㎡；钢结构尺寸13m(W)*4.8m（H）=62.4㎡； </w:t>
            </w:r>
            <w:r>
              <w:rPr>
                <w:rFonts w:hint="eastAsia" w:ascii="宋体" w:hAnsi="宋体" w:eastAsia="宋体" w:cs="宋体"/>
                <w:sz w:val="20"/>
                <w:szCs w:val="20"/>
                <w:highlight w:val="none"/>
                <w:lang w:val="en-US" w:eastAsia="zh-CN"/>
              </w:rPr>
              <w:br w:type="textWrapping"/>
            </w:r>
            <w:r>
              <w:rPr>
                <w:rFonts w:hint="eastAsia" w:ascii="宋体" w:hAnsi="宋体" w:eastAsia="宋体" w:cs="宋体"/>
                <w:sz w:val="20"/>
                <w:szCs w:val="20"/>
                <w:highlight w:val="none"/>
                <w:lang w:val="en-US" w:eastAsia="zh-CN"/>
              </w:rPr>
              <w:t>全彩显示屏：</w:t>
            </w:r>
            <w:r>
              <w:rPr>
                <w:rFonts w:hint="eastAsia" w:ascii="宋体" w:hAnsi="宋体" w:eastAsia="宋体" w:cs="宋体"/>
                <w:sz w:val="20"/>
                <w:szCs w:val="20"/>
                <w:highlight w:val="none"/>
                <w:lang w:val="en-US" w:eastAsia="zh-CN"/>
              </w:rPr>
              <w:br w:type="textWrapping"/>
            </w:r>
            <w:r>
              <w:rPr>
                <w:rFonts w:hint="eastAsia" w:ascii="宋体" w:hAnsi="宋体" w:eastAsia="宋体" w:cs="宋体"/>
                <w:sz w:val="20"/>
                <w:szCs w:val="20"/>
                <w:highlight w:val="none"/>
                <w:lang w:val="en-US" w:eastAsia="zh-CN"/>
              </w:rPr>
              <w:t>1.像素结构：SMD表贴三合一</w:t>
            </w:r>
            <w:r>
              <w:rPr>
                <w:rFonts w:hint="eastAsia" w:ascii="宋体" w:hAnsi="宋体" w:eastAsia="宋体" w:cs="宋体"/>
                <w:sz w:val="20"/>
                <w:szCs w:val="20"/>
                <w:highlight w:val="none"/>
                <w:lang w:val="en-US" w:eastAsia="zh-CN"/>
              </w:rPr>
              <w:br w:type="textWrapping"/>
            </w:r>
            <w:r>
              <w:rPr>
                <w:rFonts w:hint="eastAsia" w:ascii="宋体" w:hAnsi="宋体" w:eastAsia="宋体" w:cs="宋体"/>
                <w:sz w:val="20"/>
                <w:szCs w:val="20"/>
                <w:highlight w:val="none"/>
                <w:lang w:val="en-US" w:eastAsia="zh-CN"/>
              </w:rPr>
              <w:t>2.投标产品LED屏像素点间距≤4mm</w:t>
            </w:r>
            <w:r>
              <w:rPr>
                <w:rFonts w:hint="eastAsia" w:ascii="宋体" w:hAnsi="宋体" w:eastAsia="宋体" w:cs="宋体"/>
                <w:sz w:val="20"/>
                <w:szCs w:val="20"/>
                <w:highlight w:val="none"/>
                <w:lang w:val="en-US" w:eastAsia="zh-CN"/>
              </w:rPr>
              <w:br w:type="textWrapping"/>
            </w:r>
            <w:r>
              <w:rPr>
                <w:rFonts w:hint="eastAsia" w:ascii="宋体" w:hAnsi="宋体" w:eastAsia="宋体" w:cs="宋体"/>
                <w:sz w:val="20"/>
                <w:szCs w:val="20"/>
                <w:highlight w:val="none"/>
                <w:lang w:val="en-US" w:eastAsia="zh-CN"/>
              </w:rPr>
              <w:t>3.模组尺寸：320mm*160mm</w:t>
            </w:r>
            <w:r>
              <w:rPr>
                <w:rFonts w:hint="eastAsia" w:ascii="宋体" w:hAnsi="宋体" w:eastAsia="宋体" w:cs="宋体"/>
                <w:sz w:val="20"/>
                <w:szCs w:val="20"/>
                <w:highlight w:val="none"/>
                <w:lang w:val="en-US" w:eastAsia="zh-CN"/>
              </w:rPr>
              <w:br w:type="textWrapping"/>
            </w:r>
            <w:r>
              <w:rPr>
                <w:rFonts w:hint="eastAsia" w:ascii="宋体" w:hAnsi="宋体" w:eastAsia="宋体" w:cs="宋体"/>
                <w:sz w:val="20"/>
                <w:szCs w:val="20"/>
                <w:highlight w:val="none"/>
                <w:lang w:val="en-US" w:eastAsia="zh-CN"/>
              </w:rPr>
              <w:t>4.刷新率≥3840Hz</w:t>
            </w:r>
            <w:r>
              <w:rPr>
                <w:rFonts w:hint="eastAsia" w:ascii="宋体" w:hAnsi="宋体" w:eastAsia="宋体" w:cs="宋体"/>
                <w:sz w:val="20"/>
                <w:szCs w:val="20"/>
                <w:highlight w:val="none"/>
                <w:lang w:val="en-US" w:eastAsia="zh-CN"/>
              </w:rPr>
              <w:br w:type="textWrapping"/>
            </w:r>
            <w:r>
              <w:rPr>
                <w:rFonts w:hint="eastAsia" w:ascii="宋体" w:hAnsi="宋体" w:eastAsia="宋体" w:cs="宋体"/>
                <w:sz w:val="20"/>
                <w:szCs w:val="20"/>
                <w:highlight w:val="none"/>
                <w:lang w:val="en-US" w:eastAsia="zh-CN"/>
              </w:rPr>
              <w:t>5.白平衡亮度：≥4500cd/㎡</w:t>
            </w:r>
            <w:r>
              <w:rPr>
                <w:rFonts w:hint="eastAsia" w:ascii="宋体" w:hAnsi="宋体" w:eastAsia="宋体" w:cs="宋体"/>
                <w:sz w:val="20"/>
                <w:szCs w:val="20"/>
                <w:highlight w:val="none"/>
                <w:lang w:val="en-US" w:eastAsia="zh-CN"/>
              </w:rPr>
              <w:br w:type="textWrapping"/>
            </w:r>
            <w:r>
              <w:rPr>
                <w:rFonts w:hint="eastAsia" w:ascii="宋体" w:hAnsi="宋体" w:eastAsia="宋体" w:cs="宋体"/>
                <w:sz w:val="20"/>
                <w:szCs w:val="20"/>
                <w:highlight w:val="none"/>
                <w:lang w:val="en-US" w:eastAsia="zh-CN"/>
              </w:rPr>
              <w:t>6.对比度≥3000:1</w:t>
            </w:r>
            <w:r>
              <w:rPr>
                <w:rFonts w:hint="eastAsia" w:ascii="宋体" w:hAnsi="宋体" w:eastAsia="宋体" w:cs="宋体"/>
                <w:sz w:val="20"/>
                <w:szCs w:val="20"/>
                <w:highlight w:val="none"/>
                <w:lang w:val="en-US" w:eastAsia="zh-CN"/>
              </w:rPr>
              <w:br w:type="textWrapping"/>
            </w:r>
            <w:r>
              <w:rPr>
                <w:rFonts w:hint="eastAsia" w:ascii="宋体" w:hAnsi="宋体" w:eastAsia="宋体" w:cs="宋体"/>
                <w:sz w:val="20"/>
                <w:szCs w:val="20"/>
                <w:highlight w:val="none"/>
                <w:lang w:val="en-US" w:eastAsia="zh-CN"/>
              </w:rPr>
              <w:t>7.亮度均匀性≥95%</w:t>
            </w:r>
            <w:r>
              <w:rPr>
                <w:rFonts w:hint="eastAsia" w:ascii="宋体" w:hAnsi="宋体" w:eastAsia="宋体" w:cs="宋体"/>
                <w:sz w:val="20"/>
                <w:szCs w:val="20"/>
                <w:highlight w:val="none"/>
                <w:lang w:val="en-US" w:eastAsia="zh-CN"/>
              </w:rPr>
              <w:br w:type="textWrapping"/>
            </w:r>
            <w:r>
              <w:rPr>
                <w:rFonts w:hint="eastAsia" w:ascii="宋体" w:hAnsi="宋体" w:eastAsia="宋体" w:cs="宋体"/>
                <w:sz w:val="20"/>
                <w:szCs w:val="20"/>
                <w:highlight w:val="none"/>
                <w:lang w:val="en-US" w:eastAsia="zh-CN"/>
              </w:rPr>
              <w:t>8.平整度≤0.3mm</w:t>
            </w:r>
            <w:r>
              <w:rPr>
                <w:rFonts w:hint="eastAsia" w:ascii="宋体" w:hAnsi="宋体" w:eastAsia="宋体" w:cs="宋体"/>
                <w:sz w:val="20"/>
                <w:szCs w:val="20"/>
                <w:highlight w:val="none"/>
                <w:lang w:val="en-US" w:eastAsia="zh-CN"/>
              </w:rPr>
              <w:br w:type="textWrapping"/>
            </w:r>
            <w:r>
              <w:rPr>
                <w:rFonts w:hint="eastAsia" w:ascii="宋体" w:hAnsi="宋体" w:eastAsia="宋体" w:cs="宋体"/>
                <w:sz w:val="20"/>
                <w:szCs w:val="20"/>
                <w:highlight w:val="none"/>
                <w:lang w:val="en-US" w:eastAsia="zh-CN"/>
              </w:rPr>
              <w:t>9.像素密度：62500点/㎡</w:t>
            </w:r>
            <w:r>
              <w:rPr>
                <w:rFonts w:hint="eastAsia" w:ascii="宋体" w:hAnsi="宋体" w:eastAsia="宋体" w:cs="宋体"/>
                <w:sz w:val="20"/>
                <w:szCs w:val="20"/>
                <w:highlight w:val="none"/>
                <w:lang w:val="en-US" w:eastAsia="zh-CN"/>
              </w:rPr>
              <w:br w:type="textWrapping"/>
            </w:r>
            <w:r>
              <w:rPr>
                <w:rFonts w:hint="eastAsia" w:ascii="宋体" w:hAnsi="宋体" w:eastAsia="宋体" w:cs="宋体"/>
                <w:sz w:val="20"/>
                <w:szCs w:val="20"/>
                <w:highlight w:val="none"/>
                <w:lang w:val="en-US" w:eastAsia="zh-CN"/>
              </w:rPr>
              <w:t>10.LED显示单元防护等级≥IP65</w:t>
            </w:r>
            <w:r>
              <w:rPr>
                <w:rFonts w:hint="eastAsia" w:ascii="宋体" w:hAnsi="宋体" w:eastAsia="宋体" w:cs="宋体"/>
                <w:sz w:val="20"/>
                <w:szCs w:val="20"/>
                <w:highlight w:val="none"/>
                <w:lang w:val="en-US" w:eastAsia="zh-CN"/>
              </w:rPr>
              <w:br w:type="textWrapping"/>
            </w:r>
            <w:r>
              <w:rPr>
                <w:rFonts w:hint="eastAsia" w:ascii="宋体" w:hAnsi="宋体" w:eastAsia="宋体" w:cs="宋体"/>
                <w:sz w:val="20"/>
                <w:szCs w:val="20"/>
                <w:highlight w:val="none"/>
                <w:lang w:val="en-US" w:eastAsia="zh-CN"/>
              </w:rPr>
              <w:t>11.LED显示单元可抵抗太阳光等强光干扰，照度在95K Lux能正常观看（提供表面具有CMA、ilac-MRA、CNAS标识的检测报告为证）</w:t>
            </w:r>
            <w:r>
              <w:rPr>
                <w:rFonts w:hint="eastAsia" w:ascii="宋体" w:hAnsi="宋体" w:eastAsia="宋体" w:cs="宋体"/>
                <w:sz w:val="20"/>
                <w:szCs w:val="20"/>
                <w:highlight w:val="none"/>
                <w:lang w:val="en-US" w:eastAsia="zh-CN"/>
              </w:rPr>
              <w:br w:type="textWrapping"/>
            </w:r>
            <w:r>
              <w:rPr>
                <w:rFonts w:hint="eastAsia" w:ascii="宋体" w:hAnsi="宋体" w:eastAsia="宋体" w:cs="宋体"/>
                <w:sz w:val="20"/>
                <w:szCs w:val="20"/>
                <w:highlight w:val="none"/>
                <w:lang w:val="en-US" w:eastAsia="zh-CN"/>
              </w:rPr>
              <w:t>12.通过采用多层光学处理技术提高屏体的黑色水平，增强屏体的对比度，同时提高观看的舒适度，降低触摸痕迹，黑色亮度≤0.0005cd/㎡</w:t>
            </w:r>
            <w:r>
              <w:rPr>
                <w:rFonts w:hint="eastAsia" w:ascii="宋体" w:hAnsi="宋体" w:eastAsia="宋体" w:cs="宋体"/>
                <w:sz w:val="20"/>
                <w:szCs w:val="20"/>
                <w:highlight w:val="none"/>
                <w:lang w:val="en-US" w:eastAsia="zh-CN"/>
              </w:rPr>
              <w:br w:type="textWrapping"/>
            </w:r>
            <w:r>
              <w:rPr>
                <w:rFonts w:hint="eastAsia" w:ascii="宋体" w:hAnsi="宋体" w:eastAsia="宋体" w:cs="宋体"/>
                <w:sz w:val="20"/>
                <w:szCs w:val="20"/>
                <w:highlight w:val="none"/>
                <w:lang w:val="en-US" w:eastAsia="zh-CN"/>
              </w:rPr>
              <w:t>13.不同接收卡之间画面同步性在1ms以内。</w:t>
            </w:r>
            <w:r>
              <w:rPr>
                <w:rFonts w:hint="eastAsia" w:ascii="宋体" w:hAnsi="宋体" w:eastAsia="宋体" w:cs="宋体"/>
                <w:sz w:val="20"/>
                <w:szCs w:val="20"/>
                <w:highlight w:val="none"/>
                <w:lang w:val="en-US" w:eastAsia="zh-CN"/>
              </w:rPr>
              <w:br w:type="textWrapping"/>
            </w:r>
            <w:r>
              <w:rPr>
                <w:rFonts w:hint="eastAsia" w:ascii="宋体" w:hAnsi="宋体" w:eastAsia="宋体" w:cs="宋体"/>
                <w:sz w:val="20"/>
                <w:szCs w:val="20"/>
                <w:highlight w:val="none"/>
                <w:lang w:val="en-US" w:eastAsia="zh-CN"/>
              </w:rPr>
              <w:t>14.整屏失控点数：≤1/1000000（验收时失控点为0），连续失控点为0，盲点率≤1/1000000；无单列或单行像素失控现象，无常亮点。</w:t>
            </w:r>
            <w:r>
              <w:rPr>
                <w:rFonts w:hint="eastAsia" w:ascii="宋体" w:hAnsi="宋体" w:eastAsia="宋体" w:cs="宋体"/>
                <w:sz w:val="20"/>
                <w:szCs w:val="20"/>
                <w:highlight w:val="none"/>
                <w:lang w:val="en-US" w:eastAsia="zh-CN"/>
              </w:rPr>
              <w:br w:type="textWrapping"/>
            </w:r>
            <w:r>
              <w:rPr>
                <w:rFonts w:hint="eastAsia" w:ascii="宋体" w:hAnsi="宋体" w:eastAsia="宋体" w:cs="宋体"/>
                <w:sz w:val="20"/>
                <w:szCs w:val="20"/>
                <w:highlight w:val="none"/>
                <w:lang w:val="en-US" w:eastAsia="zh-CN"/>
              </w:rPr>
              <w:t>15.产品具备一定的抗霉菌能力。LED 显示屏单元板具备 0 级防霉特性</w:t>
            </w:r>
            <w:r>
              <w:rPr>
                <w:rFonts w:hint="eastAsia" w:ascii="宋体" w:hAnsi="宋体" w:eastAsia="宋体" w:cs="宋体"/>
                <w:sz w:val="20"/>
                <w:szCs w:val="20"/>
                <w:highlight w:val="none"/>
                <w:lang w:val="en-US" w:eastAsia="zh-CN"/>
              </w:rPr>
              <w:br w:type="textWrapping"/>
            </w:r>
            <w:r>
              <w:rPr>
                <w:rFonts w:hint="eastAsia" w:ascii="宋体" w:hAnsi="宋体" w:eastAsia="宋体" w:cs="宋体"/>
                <w:sz w:val="20"/>
                <w:szCs w:val="20"/>
                <w:highlight w:val="none"/>
                <w:lang w:val="en-US" w:eastAsia="zh-CN"/>
              </w:rPr>
              <w:t>16.根据GB21520-2023 标准，能效达到一级。</w:t>
            </w:r>
            <w:r>
              <w:rPr>
                <w:rFonts w:hint="eastAsia" w:ascii="宋体" w:hAnsi="宋体" w:eastAsia="宋体" w:cs="宋体"/>
                <w:sz w:val="20"/>
                <w:szCs w:val="20"/>
                <w:highlight w:val="none"/>
                <w:lang w:val="en-US" w:eastAsia="zh-CN"/>
              </w:rPr>
              <w:br w:type="textWrapping"/>
            </w:r>
            <w:r>
              <w:rPr>
                <w:rFonts w:hint="eastAsia" w:ascii="宋体" w:hAnsi="宋体" w:eastAsia="宋体" w:cs="宋体"/>
                <w:sz w:val="20"/>
                <w:szCs w:val="20"/>
                <w:highlight w:val="none"/>
                <w:lang w:val="en-US" w:eastAsia="zh-CN"/>
              </w:rPr>
              <w:t>17.低功耗设计：符合CQC3158-2024 LED显示单元节能认证技术规范的能源效率和睡眠模式功率密度要求，能源效率≥2.4，睡眠功耗≤100W/m2。</w:t>
            </w:r>
            <w:r>
              <w:rPr>
                <w:rFonts w:hint="eastAsia" w:ascii="宋体" w:hAnsi="宋体" w:eastAsia="宋体" w:cs="宋体"/>
                <w:sz w:val="20"/>
                <w:szCs w:val="20"/>
                <w:highlight w:val="none"/>
                <w:lang w:val="en-US" w:eastAsia="zh-CN"/>
              </w:rPr>
              <w:br w:type="textWrapping"/>
            </w:r>
            <w:r>
              <w:rPr>
                <w:rFonts w:hint="eastAsia" w:ascii="宋体" w:hAnsi="宋体" w:eastAsia="宋体" w:cs="宋体"/>
                <w:sz w:val="20"/>
                <w:szCs w:val="20"/>
                <w:highlight w:val="none"/>
                <w:lang w:val="en-US" w:eastAsia="zh-CN"/>
              </w:rPr>
              <w:t>18.根据GB 4943.1-2022信息技术设备安全标准对设备进行接地电阻测试实验，输入地线-接地远端，测试限值≤100mΩ。</w:t>
            </w:r>
            <w:r>
              <w:rPr>
                <w:rFonts w:hint="eastAsia" w:ascii="宋体" w:hAnsi="宋体" w:eastAsia="宋体" w:cs="宋体"/>
                <w:sz w:val="20"/>
                <w:szCs w:val="20"/>
                <w:highlight w:val="none"/>
                <w:lang w:val="en-US" w:eastAsia="zh-CN"/>
              </w:rPr>
              <w:br w:type="textWrapping"/>
            </w:r>
            <w:r>
              <w:rPr>
                <w:rFonts w:hint="eastAsia" w:ascii="宋体" w:hAnsi="宋体" w:eastAsia="宋体" w:cs="宋体"/>
                <w:sz w:val="20"/>
                <w:szCs w:val="20"/>
                <w:highlight w:val="none"/>
                <w:lang w:val="en-US" w:eastAsia="zh-CN"/>
              </w:rPr>
              <w:t>19.显示屏无首行偏暗，亮度偏差小于0.1%。</w:t>
            </w:r>
            <w:r>
              <w:rPr>
                <w:rFonts w:hint="eastAsia" w:ascii="宋体" w:hAnsi="宋体" w:eastAsia="宋体" w:cs="宋体"/>
                <w:sz w:val="20"/>
                <w:szCs w:val="20"/>
                <w:highlight w:val="none"/>
                <w:lang w:val="en-US" w:eastAsia="zh-CN"/>
              </w:rPr>
              <w:br w:type="textWrapping"/>
            </w:r>
            <w:r>
              <w:rPr>
                <w:rFonts w:hint="eastAsia" w:ascii="宋体" w:hAnsi="宋体" w:eastAsia="宋体" w:cs="宋体"/>
                <w:sz w:val="20"/>
                <w:szCs w:val="20"/>
                <w:highlight w:val="none"/>
                <w:lang w:val="en-US" w:eastAsia="zh-CN"/>
              </w:rPr>
              <w:t>20.显示单元的色彩还原准确性指标Δ≤0.1</w:t>
            </w:r>
            <w:r>
              <w:rPr>
                <w:rFonts w:hint="eastAsia" w:ascii="宋体" w:hAnsi="宋体" w:eastAsia="宋体" w:cs="宋体"/>
                <w:sz w:val="20"/>
                <w:szCs w:val="20"/>
                <w:highlight w:val="none"/>
                <w:lang w:val="en-US" w:eastAsia="zh-CN"/>
              </w:rPr>
              <w:br w:type="textWrapping"/>
            </w:r>
            <w:r>
              <w:rPr>
                <w:rFonts w:hint="eastAsia" w:ascii="宋体" w:hAnsi="宋体" w:eastAsia="宋体" w:cs="宋体"/>
                <w:sz w:val="20"/>
                <w:szCs w:val="20"/>
                <w:highlight w:val="none"/>
                <w:lang w:val="en-US" w:eastAsia="zh-CN"/>
              </w:rPr>
              <w:t>21.为保证更好的抗震效果，模拟10级烈度地震，在振动频率5Hz～55Hz～5Hz,振幅为0.2mm的条件下，5min扫描一次，每一轴向循环扫描50次，试验结束后对LED显示单元的功能特性和像素失控率检测符合要求。</w:t>
            </w:r>
            <w:r>
              <w:rPr>
                <w:rFonts w:hint="eastAsia" w:ascii="宋体" w:hAnsi="宋体" w:eastAsia="宋体" w:cs="宋体"/>
                <w:sz w:val="20"/>
                <w:szCs w:val="20"/>
                <w:highlight w:val="none"/>
                <w:lang w:val="en-US" w:eastAsia="zh-CN"/>
              </w:rPr>
              <w:br w:type="textWrapping"/>
            </w:r>
            <w:r>
              <w:rPr>
                <w:rFonts w:hint="eastAsia" w:ascii="宋体" w:hAnsi="宋体" w:eastAsia="宋体" w:cs="宋体"/>
                <w:sz w:val="20"/>
                <w:szCs w:val="20"/>
                <w:highlight w:val="none"/>
                <w:lang w:val="en-US" w:eastAsia="zh-CN"/>
              </w:rPr>
              <w:t>符合IEC 62471:2006 标准的光生物安全及蓝光危害评估检测的无危害类要求(豁免级)，具备防蓝光护眼模式，蓝光辐射能量≤0.5W/(m2sr)，视网膜热危害值不高于16W/(m2sr)。</w:t>
            </w:r>
            <w:r>
              <w:rPr>
                <w:rFonts w:hint="eastAsia" w:ascii="宋体" w:hAnsi="宋体" w:eastAsia="宋体" w:cs="宋体"/>
                <w:sz w:val="20"/>
                <w:szCs w:val="20"/>
                <w:highlight w:val="none"/>
                <w:lang w:val="en-US" w:eastAsia="zh-CN"/>
              </w:rPr>
              <w:br w:type="textWrapping"/>
            </w:r>
            <w:r>
              <w:rPr>
                <w:rFonts w:hint="eastAsia" w:ascii="宋体" w:hAnsi="宋体" w:eastAsia="宋体" w:cs="宋体"/>
                <w:sz w:val="20"/>
                <w:szCs w:val="20"/>
                <w:highlight w:val="none"/>
                <w:lang w:val="en-US" w:eastAsia="zh-CN"/>
              </w:rPr>
              <w:t>接收卡80张：</w:t>
            </w:r>
            <w:r>
              <w:rPr>
                <w:rFonts w:hint="eastAsia" w:ascii="宋体" w:hAnsi="宋体" w:eastAsia="宋体" w:cs="宋体"/>
                <w:sz w:val="20"/>
                <w:szCs w:val="20"/>
                <w:highlight w:val="none"/>
                <w:lang w:val="en-US" w:eastAsia="zh-CN"/>
              </w:rPr>
              <w:br w:type="textWrapping"/>
            </w:r>
            <w:r>
              <w:rPr>
                <w:rFonts w:hint="eastAsia" w:ascii="宋体" w:hAnsi="宋体" w:eastAsia="宋体" w:cs="宋体"/>
                <w:sz w:val="20"/>
                <w:szCs w:val="20"/>
                <w:highlight w:val="none"/>
                <w:lang w:val="en-US" w:eastAsia="zh-CN"/>
              </w:rPr>
              <w:t>1.集成12个HUB75，无需再配转接板</w:t>
            </w:r>
            <w:r>
              <w:rPr>
                <w:rFonts w:hint="eastAsia" w:ascii="宋体" w:hAnsi="宋体" w:eastAsia="宋体" w:cs="宋体"/>
                <w:sz w:val="20"/>
                <w:szCs w:val="20"/>
                <w:highlight w:val="none"/>
                <w:lang w:val="en-US" w:eastAsia="zh-CN"/>
              </w:rPr>
              <w:br w:type="textWrapping"/>
            </w:r>
            <w:r>
              <w:rPr>
                <w:rFonts w:hint="eastAsia" w:ascii="宋体" w:hAnsi="宋体" w:eastAsia="宋体" w:cs="宋体"/>
                <w:sz w:val="20"/>
                <w:szCs w:val="20"/>
                <w:highlight w:val="none"/>
                <w:lang w:val="en-US" w:eastAsia="zh-CN"/>
              </w:rPr>
              <w:t>2.单卡最大带载192×1024像素，最多支持24组并行数据</w:t>
            </w:r>
            <w:r>
              <w:rPr>
                <w:rFonts w:hint="eastAsia" w:ascii="宋体" w:hAnsi="宋体" w:eastAsia="宋体" w:cs="宋体"/>
                <w:sz w:val="20"/>
                <w:szCs w:val="20"/>
                <w:highlight w:val="none"/>
                <w:lang w:val="en-US" w:eastAsia="zh-CN"/>
              </w:rPr>
              <w:br w:type="textWrapping"/>
            </w:r>
            <w:r>
              <w:rPr>
                <w:rFonts w:hint="eastAsia" w:ascii="宋体" w:hAnsi="宋体" w:eastAsia="宋体" w:cs="宋体"/>
                <w:sz w:val="20"/>
                <w:szCs w:val="20"/>
                <w:highlight w:val="none"/>
                <w:lang w:val="en-US" w:eastAsia="zh-CN"/>
              </w:rPr>
              <w:t>3.支持8bit色深视频源输入输出，单色灰阶为256，可搭配出16777216种混合色彩。</w:t>
            </w:r>
            <w:r>
              <w:rPr>
                <w:rFonts w:hint="eastAsia" w:ascii="宋体" w:hAnsi="宋体" w:eastAsia="宋体" w:cs="宋体"/>
                <w:sz w:val="20"/>
                <w:szCs w:val="20"/>
                <w:highlight w:val="none"/>
                <w:lang w:val="en-US" w:eastAsia="zh-CN"/>
              </w:rPr>
              <w:br w:type="textWrapping"/>
            </w:r>
            <w:r>
              <w:rPr>
                <w:rFonts w:hint="eastAsia" w:ascii="宋体" w:hAnsi="宋体" w:eastAsia="宋体" w:cs="宋体"/>
                <w:sz w:val="20"/>
                <w:szCs w:val="20"/>
                <w:highlight w:val="none"/>
                <w:lang w:val="en-US" w:eastAsia="zh-CN"/>
              </w:rPr>
              <w:t>4.支持自适应帧率技术，不仅支持23.98/24/29.97/30/50/59.94/60Hz常规及非整数帧率，还可输出显示120/240Hz高帧率画面，大幅提升画面流畅度、减少拖影。</w:t>
            </w:r>
            <w:r>
              <w:rPr>
                <w:rFonts w:hint="eastAsia" w:ascii="宋体" w:hAnsi="宋体" w:eastAsia="宋体" w:cs="宋体"/>
                <w:sz w:val="20"/>
                <w:szCs w:val="20"/>
                <w:highlight w:val="none"/>
                <w:lang w:val="en-US" w:eastAsia="zh-CN"/>
              </w:rPr>
              <w:br w:type="textWrapping"/>
            </w:r>
            <w:r>
              <w:rPr>
                <w:rFonts w:hint="eastAsia" w:ascii="宋体" w:hAnsi="宋体" w:eastAsia="宋体" w:cs="宋体"/>
                <w:sz w:val="20"/>
                <w:szCs w:val="20"/>
                <w:highlight w:val="none"/>
                <w:lang w:val="en-US" w:eastAsia="zh-CN"/>
              </w:rPr>
              <w:t>5.支持色温调节，提供调整色温，即饱和度调节，增强画面表现力</w:t>
            </w:r>
            <w:r>
              <w:rPr>
                <w:rFonts w:hint="eastAsia" w:ascii="宋体" w:hAnsi="宋体" w:eastAsia="宋体" w:cs="宋体"/>
                <w:sz w:val="20"/>
                <w:szCs w:val="20"/>
                <w:highlight w:val="none"/>
                <w:lang w:val="en-US" w:eastAsia="zh-CN"/>
              </w:rPr>
              <w:br w:type="textWrapping"/>
            </w:r>
            <w:r>
              <w:rPr>
                <w:rFonts w:hint="eastAsia" w:ascii="宋体" w:hAnsi="宋体" w:eastAsia="宋体" w:cs="宋体"/>
                <w:sz w:val="20"/>
                <w:szCs w:val="20"/>
                <w:highlight w:val="none"/>
                <w:lang w:val="en-US" w:eastAsia="zh-CN"/>
              </w:rPr>
              <w:t>6.支持低亮高灰</w:t>
            </w:r>
            <w:r>
              <w:rPr>
                <w:rFonts w:hint="eastAsia" w:ascii="宋体" w:hAnsi="宋体" w:eastAsia="宋体" w:cs="宋体"/>
                <w:sz w:val="20"/>
                <w:szCs w:val="20"/>
                <w:highlight w:val="none"/>
                <w:lang w:val="en-US" w:eastAsia="zh-CN"/>
              </w:rPr>
              <w:br w:type="textWrapping"/>
            </w:r>
            <w:r>
              <w:rPr>
                <w:rFonts w:hint="eastAsia" w:ascii="宋体" w:hAnsi="宋体" w:eastAsia="宋体" w:cs="宋体"/>
                <w:sz w:val="20"/>
                <w:szCs w:val="20"/>
                <w:highlight w:val="none"/>
                <w:lang w:val="en-US" w:eastAsia="zh-CN"/>
              </w:rPr>
              <w:t>7.支持亮色度逐点校正，能有效消除灯点色差，保证整屏的颜色亮度的均匀性和一致性，提升整体显示效果</w:t>
            </w:r>
            <w:r>
              <w:rPr>
                <w:rFonts w:hint="eastAsia" w:ascii="宋体" w:hAnsi="宋体" w:eastAsia="宋体" w:cs="宋体"/>
                <w:sz w:val="20"/>
                <w:szCs w:val="20"/>
                <w:highlight w:val="none"/>
                <w:lang w:val="en-US" w:eastAsia="zh-CN"/>
              </w:rPr>
              <w:br w:type="textWrapping"/>
            </w:r>
            <w:r>
              <w:rPr>
                <w:rFonts w:hint="eastAsia" w:ascii="宋体" w:hAnsi="宋体" w:eastAsia="宋体" w:cs="宋体"/>
                <w:sz w:val="20"/>
                <w:szCs w:val="20"/>
                <w:highlight w:val="none"/>
                <w:lang w:val="en-US" w:eastAsia="zh-CN"/>
              </w:rPr>
              <w:t>8.支持箱体标定和快速标序</w:t>
            </w:r>
            <w:r>
              <w:rPr>
                <w:rFonts w:hint="eastAsia" w:ascii="宋体" w:hAnsi="宋体" w:eastAsia="宋体" w:cs="宋体"/>
                <w:sz w:val="20"/>
                <w:szCs w:val="20"/>
                <w:highlight w:val="none"/>
                <w:lang w:val="en-US" w:eastAsia="zh-CN"/>
              </w:rPr>
              <w:br w:type="textWrapping"/>
            </w:r>
            <w:r>
              <w:rPr>
                <w:rFonts w:hint="eastAsia" w:ascii="宋体" w:hAnsi="宋体" w:eastAsia="宋体" w:cs="宋体"/>
                <w:sz w:val="20"/>
                <w:szCs w:val="20"/>
                <w:highlight w:val="none"/>
                <w:lang w:val="en-US" w:eastAsia="zh-CN"/>
              </w:rPr>
              <w:t>9.支持画面旋转，单个箱体画面以90°/180°/270°角度进行旋转，配合部分主控可实现单箱体画面任意角度旋转显示</w:t>
            </w:r>
            <w:r>
              <w:rPr>
                <w:rFonts w:hint="eastAsia" w:ascii="宋体" w:hAnsi="宋体" w:eastAsia="宋体" w:cs="宋体"/>
                <w:sz w:val="20"/>
                <w:szCs w:val="20"/>
                <w:highlight w:val="none"/>
                <w:lang w:val="en-US" w:eastAsia="zh-CN"/>
              </w:rPr>
              <w:br w:type="textWrapping"/>
            </w:r>
            <w:r>
              <w:rPr>
                <w:rFonts w:hint="eastAsia" w:ascii="宋体" w:hAnsi="宋体" w:eastAsia="宋体" w:cs="宋体"/>
                <w:sz w:val="20"/>
                <w:szCs w:val="20"/>
                <w:highlight w:val="none"/>
                <w:lang w:val="en-US" w:eastAsia="zh-CN"/>
              </w:rPr>
              <w:t>10.支持数据偏移，支持误码侦测</w:t>
            </w:r>
            <w:r>
              <w:rPr>
                <w:rFonts w:hint="eastAsia" w:ascii="宋体" w:hAnsi="宋体" w:eastAsia="宋体" w:cs="宋体"/>
                <w:sz w:val="20"/>
                <w:szCs w:val="20"/>
                <w:highlight w:val="none"/>
                <w:lang w:val="en-US" w:eastAsia="zh-CN"/>
              </w:rPr>
              <w:br w:type="textWrapping"/>
            </w:r>
            <w:r>
              <w:rPr>
                <w:rFonts w:hint="eastAsia" w:ascii="宋体" w:hAnsi="宋体" w:eastAsia="宋体" w:cs="宋体"/>
                <w:sz w:val="20"/>
                <w:szCs w:val="20"/>
                <w:highlight w:val="none"/>
                <w:lang w:val="en-US" w:eastAsia="zh-CN"/>
              </w:rPr>
              <w:t>11.支持环路备份，支持固件备份。</w:t>
            </w:r>
            <w:r>
              <w:rPr>
                <w:rFonts w:hint="eastAsia" w:ascii="宋体" w:hAnsi="宋体" w:eastAsia="宋体" w:cs="宋体"/>
                <w:sz w:val="20"/>
                <w:szCs w:val="20"/>
                <w:highlight w:val="none"/>
                <w:lang w:val="en-US" w:eastAsia="zh-CN"/>
              </w:rPr>
              <w:br w:type="textWrapping"/>
            </w:r>
            <w:r>
              <w:rPr>
                <w:rFonts w:hint="eastAsia" w:ascii="宋体" w:hAnsi="宋体" w:eastAsia="宋体" w:cs="宋体"/>
                <w:sz w:val="20"/>
                <w:szCs w:val="20"/>
                <w:highlight w:val="none"/>
                <w:lang w:val="en-US" w:eastAsia="zh-CN"/>
              </w:rPr>
              <w:t>开关电源150个：专业4.5V40A电源。</w:t>
            </w:r>
            <w:r>
              <w:rPr>
                <w:rFonts w:hint="eastAsia" w:ascii="宋体" w:hAnsi="宋体" w:eastAsia="宋体" w:cs="宋体"/>
                <w:sz w:val="20"/>
                <w:szCs w:val="20"/>
                <w:highlight w:val="none"/>
                <w:lang w:val="en-US" w:eastAsia="zh-CN"/>
              </w:rPr>
              <w:br w:type="textWrapping"/>
            </w:r>
            <w:r>
              <w:rPr>
                <w:rFonts w:hint="eastAsia" w:ascii="宋体" w:hAnsi="宋体" w:eastAsia="宋体" w:cs="宋体"/>
                <w:sz w:val="20"/>
                <w:szCs w:val="20"/>
                <w:highlight w:val="none"/>
                <w:lang w:val="en-US" w:eastAsia="zh-CN"/>
              </w:rPr>
              <w:t>视频处理器1台：</w:t>
            </w:r>
            <w:r>
              <w:rPr>
                <w:rFonts w:hint="eastAsia" w:ascii="宋体" w:hAnsi="宋体" w:eastAsia="宋体" w:cs="宋体"/>
                <w:sz w:val="20"/>
                <w:szCs w:val="20"/>
                <w:highlight w:val="none"/>
                <w:lang w:val="en-US" w:eastAsia="zh-CN"/>
              </w:rPr>
              <w:br w:type="textWrapping"/>
            </w:r>
            <w:r>
              <w:rPr>
                <w:rFonts w:hint="eastAsia" w:ascii="宋体" w:hAnsi="宋体" w:eastAsia="宋体" w:cs="宋体"/>
                <w:sz w:val="20"/>
                <w:szCs w:val="20"/>
                <w:highlight w:val="none"/>
                <w:lang w:val="en-US" w:eastAsia="zh-CN"/>
              </w:rPr>
              <w:t>1.最大1920X1080@60Hz 输入分辨率</w:t>
            </w:r>
            <w:r>
              <w:rPr>
                <w:rFonts w:hint="eastAsia" w:ascii="宋体" w:hAnsi="宋体" w:eastAsia="宋体" w:cs="宋体"/>
                <w:sz w:val="20"/>
                <w:szCs w:val="20"/>
                <w:highlight w:val="none"/>
                <w:lang w:val="en-US" w:eastAsia="zh-CN"/>
              </w:rPr>
              <w:br w:type="textWrapping"/>
            </w:r>
            <w:r>
              <w:rPr>
                <w:rFonts w:hint="eastAsia" w:ascii="宋体" w:hAnsi="宋体" w:eastAsia="宋体" w:cs="宋体"/>
                <w:sz w:val="20"/>
                <w:szCs w:val="20"/>
                <w:highlight w:val="none"/>
                <w:lang w:val="en-US" w:eastAsia="zh-CN"/>
              </w:rPr>
              <w:t>2.最大带载260万像素，4路千兆网口输出</w:t>
            </w:r>
            <w:r>
              <w:rPr>
                <w:rFonts w:hint="eastAsia" w:ascii="宋体" w:hAnsi="宋体" w:eastAsia="宋体" w:cs="宋体"/>
                <w:sz w:val="20"/>
                <w:szCs w:val="20"/>
                <w:highlight w:val="none"/>
                <w:lang w:val="en-US" w:eastAsia="zh-CN"/>
              </w:rPr>
              <w:br w:type="textWrapping"/>
            </w:r>
            <w:r>
              <w:rPr>
                <w:rFonts w:hint="eastAsia" w:ascii="宋体" w:hAnsi="宋体" w:eastAsia="宋体" w:cs="宋体"/>
                <w:sz w:val="20"/>
                <w:szCs w:val="20"/>
                <w:highlight w:val="none"/>
                <w:lang w:val="en-US" w:eastAsia="zh-CN"/>
              </w:rPr>
              <w:t>3.最宽3840像素点或最高2000像素点</w:t>
            </w:r>
            <w:r>
              <w:rPr>
                <w:rFonts w:hint="eastAsia" w:ascii="宋体" w:hAnsi="宋体" w:eastAsia="宋体" w:cs="宋体"/>
                <w:sz w:val="20"/>
                <w:szCs w:val="20"/>
                <w:highlight w:val="none"/>
                <w:lang w:val="en-US" w:eastAsia="zh-CN"/>
              </w:rPr>
              <w:br w:type="textWrapping"/>
            </w:r>
            <w:r>
              <w:rPr>
                <w:rFonts w:hint="eastAsia" w:ascii="宋体" w:hAnsi="宋体" w:eastAsia="宋体" w:cs="宋体"/>
                <w:sz w:val="20"/>
                <w:szCs w:val="20"/>
                <w:highlight w:val="none"/>
                <w:lang w:val="en-US" w:eastAsia="zh-CN"/>
              </w:rPr>
              <w:t>4.支持5路信号输入:2xHDMI1.4，1xDVI，1xVGA，1xCVBS，1路U盘输入</w:t>
            </w:r>
            <w:r>
              <w:rPr>
                <w:rFonts w:hint="eastAsia" w:ascii="宋体" w:hAnsi="宋体" w:eastAsia="宋体" w:cs="宋体"/>
                <w:sz w:val="20"/>
                <w:szCs w:val="20"/>
                <w:highlight w:val="none"/>
                <w:lang w:val="en-US" w:eastAsia="zh-CN"/>
              </w:rPr>
              <w:br w:type="textWrapping"/>
            </w:r>
            <w:r>
              <w:rPr>
                <w:rFonts w:hint="eastAsia" w:ascii="宋体" w:hAnsi="宋体" w:eastAsia="宋体" w:cs="宋体"/>
                <w:sz w:val="20"/>
                <w:szCs w:val="20"/>
                <w:highlight w:val="none"/>
                <w:lang w:val="en-US" w:eastAsia="zh-CN"/>
              </w:rPr>
              <w:t>5.支持网口备份</w:t>
            </w:r>
            <w:r>
              <w:rPr>
                <w:rFonts w:hint="eastAsia" w:ascii="宋体" w:hAnsi="宋体" w:eastAsia="宋体" w:cs="宋体"/>
                <w:sz w:val="20"/>
                <w:szCs w:val="20"/>
                <w:highlight w:val="none"/>
                <w:lang w:val="en-US" w:eastAsia="zh-CN"/>
              </w:rPr>
              <w:br w:type="textWrapping"/>
            </w:r>
            <w:r>
              <w:rPr>
                <w:rFonts w:hint="eastAsia" w:ascii="宋体" w:hAnsi="宋体" w:eastAsia="宋体" w:cs="宋体"/>
                <w:sz w:val="20"/>
                <w:szCs w:val="20"/>
                <w:highlight w:val="none"/>
                <w:lang w:val="en-US" w:eastAsia="zh-CN"/>
              </w:rPr>
              <w:t>6.支持1路独立音频输入，1路独立音频输出</w:t>
            </w:r>
            <w:r>
              <w:rPr>
                <w:rFonts w:hint="eastAsia" w:ascii="宋体" w:hAnsi="宋体" w:eastAsia="宋体" w:cs="宋体"/>
                <w:sz w:val="20"/>
                <w:szCs w:val="20"/>
                <w:highlight w:val="none"/>
                <w:lang w:val="en-US" w:eastAsia="zh-CN"/>
              </w:rPr>
              <w:br w:type="textWrapping"/>
            </w:r>
            <w:r>
              <w:rPr>
                <w:rFonts w:hint="eastAsia" w:ascii="宋体" w:hAnsi="宋体" w:eastAsia="宋体" w:cs="宋体"/>
                <w:sz w:val="20"/>
                <w:szCs w:val="20"/>
                <w:highlight w:val="none"/>
                <w:lang w:val="en-US" w:eastAsia="zh-CN"/>
              </w:rPr>
              <w:t>7.支持HDMI、U-DISK音频解析输出</w:t>
            </w:r>
            <w:r>
              <w:rPr>
                <w:rFonts w:hint="eastAsia" w:ascii="宋体" w:hAnsi="宋体" w:eastAsia="宋体" w:cs="宋体"/>
                <w:sz w:val="20"/>
                <w:szCs w:val="20"/>
                <w:highlight w:val="none"/>
                <w:lang w:val="en-US" w:eastAsia="zh-CN"/>
              </w:rPr>
              <w:br w:type="textWrapping"/>
            </w:r>
            <w:r>
              <w:rPr>
                <w:rFonts w:hint="eastAsia" w:ascii="宋体" w:hAnsi="宋体" w:eastAsia="宋体" w:cs="宋体"/>
                <w:sz w:val="20"/>
                <w:szCs w:val="20"/>
                <w:highlight w:val="none"/>
                <w:lang w:val="en-US" w:eastAsia="zh-CN"/>
              </w:rPr>
              <w:t>8.支持对视频信号任意切换，裁剪，缩放，支持画面偏移</w:t>
            </w:r>
            <w:r>
              <w:rPr>
                <w:rFonts w:hint="eastAsia" w:ascii="宋体" w:hAnsi="宋体" w:eastAsia="宋体" w:cs="宋体"/>
                <w:sz w:val="20"/>
                <w:szCs w:val="20"/>
                <w:highlight w:val="none"/>
                <w:lang w:val="en-US" w:eastAsia="zh-CN"/>
              </w:rPr>
              <w:br w:type="textWrapping"/>
            </w:r>
            <w:r>
              <w:rPr>
                <w:rFonts w:hint="eastAsia" w:ascii="宋体" w:hAnsi="宋体" w:eastAsia="宋体" w:cs="宋体"/>
                <w:sz w:val="20"/>
                <w:szCs w:val="20"/>
                <w:highlight w:val="none"/>
                <w:lang w:val="en-US" w:eastAsia="zh-CN"/>
              </w:rPr>
              <w:t>9.支持画面调整：对比度、饱和度、色度、亮度补偿，锐度调整</w:t>
            </w:r>
            <w:r>
              <w:rPr>
                <w:rFonts w:hint="eastAsia" w:ascii="宋体" w:hAnsi="宋体" w:eastAsia="宋体" w:cs="宋体"/>
                <w:sz w:val="20"/>
                <w:szCs w:val="20"/>
                <w:highlight w:val="none"/>
                <w:lang w:val="en-US" w:eastAsia="zh-CN"/>
              </w:rPr>
              <w:br w:type="textWrapping"/>
            </w:r>
            <w:r>
              <w:rPr>
                <w:rFonts w:hint="eastAsia" w:ascii="宋体" w:hAnsi="宋体" w:eastAsia="宋体" w:cs="宋体"/>
                <w:sz w:val="20"/>
                <w:szCs w:val="20"/>
                <w:highlight w:val="none"/>
                <w:lang w:val="en-US" w:eastAsia="zh-CN"/>
              </w:rPr>
              <w:t>10.支持有限转完全功能，支持发送/回读校正系数，高级修缝</w:t>
            </w:r>
            <w:r>
              <w:rPr>
                <w:rFonts w:hint="eastAsia" w:ascii="宋体" w:hAnsi="宋体" w:eastAsia="宋体" w:cs="宋体"/>
                <w:sz w:val="20"/>
                <w:szCs w:val="20"/>
                <w:highlight w:val="none"/>
                <w:lang w:val="en-US" w:eastAsia="zh-CN"/>
              </w:rPr>
              <w:br w:type="textWrapping"/>
            </w:r>
            <w:r>
              <w:rPr>
                <w:rFonts w:hint="eastAsia" w:ascii="宋体" w:hAnsi="宋体" w:eastAsia="宋体" w:cs="宋体"/>
                <w:sz w:val="20"/>
                <w:szCs w:val="20"/>
                <w:highlight w:val="none"/>
                <w:lang w:val="en-US" w:eastAsia="zh-CN"/>
              </w:rPr>
              <w:t>11.支持HDCP高带宽数字内容保护技术</w:t>
            </w:r>
            <w:r>
              <w:rPr>
                <w:rFonts w:hint="eastAsia" w:ascii="宋体" w:hAnsi="宋体" w:eastAsia="宋体" w:cs="宋体"/>
                <w:sz w:val="20"/>
                <w:szCs w:val="20"/>
                <w:highlight w:val="none"/>
                <w:lang w:val="en-US" w:eastAsia="zh-CN"/>
              </w:rPr>
              <w:br w:type="textWrapping"/>
            </w:r>
            <w:r>
              <w:rPr>
                <w:rFonts w:hint="eastAsia" w:ascii="宋体" w:hAnsi="宋体" w:eastAsia="宋体" w:cs="宋体"/>
                <w:sz w:val="20"/>
                <w:szCs w:val="20"/>
                <w:highlight w:val="none"/>
                <w:lang w:val="en-US" w:eastAsia="zh-CN"/>
              </w:rPr>
              <w:t>12.支持精确颜色管理，可调节显示屏色域，需对应型号接收卡支持</w:t>
            </w:r>
            <w:r>
              <w:rPr>
                <w:rFonts w:hint="eastAsia" w:ascii="宋体" w:hAnsi="宋体" w:eastAsia="宋体" w:cs="宋体"/>
                <w:sz w:val="20"/>
                <w:szCs w:val="20"/>
                <w:highlight w:val="none"/>
                <w:lang w:val="en-US" w:eastAsia="zh-CN"/>
              </w:rPr>
              <w:br w:type="textWrapping"/>
            </w:r>
            <w:r>
              <w:rPr>
                <w:rFonts w:hint="eastAsia" w:ascii="宋体" w:hAnsi="宋体" w:eastAsia="宋体" w:cs="宋体"/>
                <w:sz w:val="20"/>
                <w:szCs w:val="20"/>
                <w:highlight w:val="none"/>
                <w:lang w:val="en-US" w:eastAsia="zh-CN"/>
              </w:rPr>
              <w:t>13.支持亮度和色温调节，支持精确色温</w:t>
            </w:r>
            <w:r>
              <w:rPr>
                <w:rFonts w:hint="eastAsia" w:ascii="宋体" w:hAnsi="宋体" w:eastAsia="宋体" w:cs="宋体"/>
                <w:sz w:val="20"/>
                <w:szCs w:val="20"/>
                <w:highlight w:val="none"/>
                <w:lang w:val="en-US" w:eastAsia="zh-CN"/>
              </w:rPr>
              <w:br w:type="textWrapping"/>
            </w:r>
            <w:r>
              <w:rPr>
                <w:rFonts w:hint="eastAsia" w:ascii="宋体" w:hAnsi="宋体" w:eastAsia="宋体" w:cs="宋体"/>
                <w:sz w:val="20"/>
                <w:szCs w:val="20"/>
                <w:highlight w:val="none"/>
                <w:lang w:val="en-US" w:eastAsia="zh-CN"/>
              </w:rPr>
              <w:t>14.支持低亮高灰，可有效保持低亮度下灰阶的完整显示</w:t>
            </w:r>
            <w:r>
              <w:rPr>
                <w:rFonts w:hint="eastAsia" w:ascii="宋体" w:hAnsi="宋体" w:eastAsia="宋体" w:cs="宋体"/>
                <w:sz w:val="20"/>
                <w:szCs w:val="20"/>
                <w:highlight w:val="none"/>
                <w:lang w:val="en-US" w:eastAsia="zh-CN"/>
              </w:rPr>
              <w:br w:type="textWrapping"/>
            </w:r>
            <w:r>
              <w:rPr>
                <w:rFonts w:hint="eastAsia" w:ascii="宋体" w:hAnsi="宋体" w:eastAsia="宋体" w:cs="宋体"/>
                <w:sz w:val="20"/>
                <w:szCs w:val="20"/>
                <w:highlight w:val="none"/>
                <w:lang w:val="en-US" w:eastAsia="zh-CN"/>
              </w:rPr>
              <w:t>15.支持16个场景保存和调用，支持U盘播放，支持OSD</w:t>
            </w:r>
            <w:r>
              <w:rPr>
                <w:rFonts w:hint="eastAsia" w:ascii="宋体" w:hAnsi="宋体" w:eastAsia="宋体" w:cs="宋体"/>
                <w:sz w:val="20"/>
                <w:szCs w:val="20"/>
                <w:highlight w:val="none"/>
                <w:lang w:val="en-US" w:eastAsia="zh-CN"/>
              </w:rPr>
              <w:br w:type="textWrapping"/>
            </w:r>
            <w:r>
              <w:rPr>
                <w:rFonts w:hint="eastAsia" w:ascii="宋体" w:hAnsi="宋体" w:eastAsia="宋体" w:cs="宋体"/>
                <w:sz w:val="20"/>
                <w:szCs w:val="20"/>
                <w:highlight w:val="none"/>
                <w:lang w:val="en-US" w:eastAsia="zh-CN"/>
              </w:rPr>
              <w:t>16.确保产品质量可靠，提供厂家3C认证证书。</w:t>
            </w:r>
            <w:r>
              <w:rPr>
                <w:rFonts w:hint="eastAsia" w:ascii="宋体" w:hAnsi="宋体" w:eastAsia="宋体" w:cs="宋体"/>
                <w:sz w:val="20"/>
                <w:szCs w:val="20"/>
                <w:highlight w:val="none"/>
                <w:lang w:val="en-US" w:eastAsia="zh-CN"/>
              </w:rPr>
              <w:br w:type="textWrapping"/>
            </w:r>
            <w:r>
              <w:rPr>
                <w:rFonts w:hint="eastAsia" w:ascii="宋体" w:hAnsi="宋体" w:eastAsia="宋体" w:cs="宋体"/>
                <w:sz w:val="20"/>
                <w:szCs w:val="20"/>
                <w:highlight w:val="none"/>
                <w:lang w:val="en-US" w:eastAsia="zh-CN"/>
              </w:rPr>
              <w:t>钢结构45㎡：立地钢结构尺寸10m(W)*4.5m（H）=45㎡ + 封后背板</w:t>
            </w:r>
            <w:r>
              <w:rPr>
                <w:rFonts w:hint="eastAsia" w:ascii="宋体" w:hAnsi="宋体" w:eastAsia="宋体" w:cs="宋体"/>
                <w:sz w:val="20"/>
                <w:szCs w:val="20"/>
                <w:highlight w:val="none"/>
                <w:lang w:val="en-US" w:eastAsia="zh-CN"/>
              </w:rPr>
              <w:br w:type="textWrapping"/>
            </w:r>
            <w:r>
              <w:rPr>
                <w:rFonts w:hint="eastAsia" w:ascii="宋体" w:hAnsi="宋体" w:eastAsia="宋体" w:cs="宋体"/>
                <w:sz w:val="20"/>
                <w:szCs w:val="20"/>
                <w:highlight w:val="none"/>
                <w:lang w:val="en-US" w:eastAsia="zh-CN"/>
              </w:rPr>
              <w:t>主电缆RVV4*16+1，1根，50米。</w:t>
            </w:r>
            <w:r>
              <w:rPr>
                <w:rFonts w:hint="eastAsia" w:ascii="宋体" w:hAnsi="宋体" w:eastAsia="宋体" w:cs="宋体"/>
                <w:sz w:val="20"/>
                <w:szCs w:val="20"/>
                <w:highlight w:val="none"/>
                <w:lang w:val="en-US" w:eastAsia="zh-CN"/>
              </w:rPr>
              <w:br w:type="textWrapping"/>
            </w:r>
            <w:r>
              <w:rPr>
                <w:rFonts w:hint="eastAsia" w:ascii="宋体" w:hAnsi="宋体" w:eastAsia="宋体" w:cs="宋体"/>
                <w:sz w:val="20"/>
                <w:szCs w:val="20"/>
                <w:highlight w:val="none"/>
                <w:lang w:val="en-US" w:eastAsia="zh-CN"/>
              </w:rPr>
              <w:t>分项电缆RVV3*2.5 ，9根，100米。</w:t>
            </w:r>
            <w:r>
              <w:rPr>
                <w:rFonts w:hint="eastAsia" w:ascii="宋体" w:hAnsi="宋体" w:eastAsia="宋体" w:cs="宋体"/>
                <w:sz w:val="20"/>
                <w:szCs w:val="20"/>
                <w:highlight w:val="none"/>
                <w:lang w:val="en-US" w:eastAsia="zh-CN"/>
              </w:rPr>
              <w:br w:type="textWrapping"/>
            </w:r>
            <w:r>
              <w:rPr>
                <w:rFonts w:hint="eastAsia" w:ascii="宋体" w:hAnsi="宋体" w:eastAsia="宋体" w:cs="宋体"/>
                <w:sz w:val="20"/>
                <w:szCs w:val="20"/>
                <w:highlight w:val="none"/>
                <w:lang w:val="en-US" w:eastAsia="zh-CN"/>
              </w:rPr>
              <w:t>6类网线1箱。</w:t>
            </w:r>
            <w:r>
              <w:rPr>
                <w:rFonts w:hint="eastAsia" w:ascii="宋体" w:hAnsi="宋体" w:eastAsia="宋体" w:cs="宋体"/>
                <w:sz w:val="20"/>
                <w:szCs w:val="20"/>
                <w:highlight w:val="none"/>
                <w:lang w:val="en-US" w:eastAsia="zh-CN"/>
              </w:rPr>
              <w:br w:type="textWrapping"/>
            </w:r>
            <w:r>
              <w:rPr>
                <w:rFonts w:hint="eastAsia" w:ascii="宋体" w:hAnsi="宋体" w:eastAsia="宋体" w:cs="宋体"/>
                <w:sz w:val="20"/>
                <w:szCs w:val="20"/>
                <w:highlight w:val="none"/>
                <w:lang w:val="en-US" w:eastAsia="zh-CN"/>
              </w:rPr>
              <w:t xml:space="preserve">辅材：排线、线管线槽、电源连接线、照明灯管等。           </w:t>
            </w:r>
            <w:r>
              <w:rPr>
                <w:rFonts w:hint="eastAsia" w:ascii="宋体" w:hAnsi="宋体" w:eastAsia="宋体" w:cs="宋体"/>
                <w:sz w:val="20"/>
                <w:szCs w:val="20"/>
                <w:highlight w:val="none"/>
                <w:lang w:val="en-US" w:eastAsia="zh-CN"/>
              </w:rPr>
              <w:br w:type="textWrapping"/>
            </w:r>
            <w:r>
              <w:rPr>
                <w:rFonts w:hint="eastAsia" w:ascii="宋体" w:hAnsi="宋体" w:eastAsia="宋体" w:cs="宋体"/>
                <w:sz w:val="20"/>
                <w:szCs w:val="20"/>
                <w:highlight w:val="none"/>
                <w:lang w:val="en-US" w:eastAsia="zh-CN"/>
              </w:rPr>
              <w:t>2P空调1台：制冷量≥5000（600-6100）;制热量≥6300（750-8100）W;电辅热（W）：≥1250W</w:t>
            </w:r>
            <w:r>
              <w:rPr>
                <w:rFonts w:hint="eastAsia" w:ascii="宋体" w:hAnsi="宋体" w:eastAsia="宋体" w:cs="宋体"/>
                <w:sz w:val="20"/>
                <w:szCs w:val="20"/>
                <w:highlight w:val="none"/>
                <w:lang w:val="en-US" w:eastAsia="zh-CN"/>
              </w:rPr>
              <w:br w:type="textWrapping"/>
            </w:r>
            <w:r>
              <w:rPr>
                <w:rFonts w:hint="eastAsia" w:ascii="宋体" w:hAnsi="宋体" w:eastAsia="宋体" w:cs="宋体"/>
                <w:sz w:val="20"/>
                <w:szCs w:val="20"/>
                <w:highlight w:val="none"/>
                <w:lang w:val="en-US" w:eastAsia="zh-CN"/>
              </w:rPr>
              <w:t>循环风量≥850m³/h;能效等级：≥3级;压频率：220V/50Hz;内机噪音:≤24-40-44d。</w:t>
            </w:r>
            <w:r>
              <w:rPr>
                <w:rFonts w:hint="eastAsia" w:ascii="宋体" w:hAnsi="宋体" w:eastAsia="宋体" w:cs="宋体"/>
                <w:sz w:val="20"/>
                <w:szCs w:val="20"/>
                <w:highlight w:val="none"/>
                <w:lang w:val="en-US" w:eastAsia="zh-CN"/>
              </w:rPr>
              <w:br w:type="textWrapping"/>
            </w:r>
            <w:r>
              <w:rPr>
                <w:rFonts w:hint="eastAsia" w:ascii="宋体" w:hAnsi="宋体" w:eastAsia="宋体" w:cs="宋体"/>
                <w:sz w:val="20"/>
                <w:szCs w:val="20"/>
                <w:highlight w:val="none"/>
                <w:lang w:val="en-US" w:eastAsia="zh-CN"/>
              </w:rPr>
              <w:t>内部气流循环散热风机4台。</w:t>
            </w:r>
            <w:r>
              <w:rPr>
                <w:rFonts w:hint="eastAsia" w:ascii="宋体" w:hAnsi="宋体" w:eastAsia="宋体" w:cs="宋体"/>
                <w:sz w:val="20"/>
                <w:szCs w:val="20"/>
                <w:highlight w:val="none"/>
                <w:lang w:val="en-US" w:eastAsia="zh-CN"/>
              </w:rPr>
              <w:br w:type="textWrapping"/>
            </w:r>
            <w:r>
              <w:rPr>
                <w:rFonts w:hint="eastAsia" w:ascii="宋体" w:hAnsi="宋体" w:eastAsia="宋体" w:cs="宋体"/>
                <w:sz w:val="20"/>
                <w:szCs w:val="20"/>
                <w:highlight w:val="none"/>
                <w:lang w:val="en-US" w:eastAsia="zh-CN"/>
              </w:rPr>
              <w:t>LED屏幕安装布线、备用模组、辅材、网线、安装、调试、培训等。</w:t>
            </w:r>
          </w:p>
        </w:tc>
        <w:tc>
          <w:tcPr>
            <w:tcW w:w="0" w:type="auto"/>
            <w:noWrap w:val="0"/>
            <w:vAlign w:val="center"/>
          </w:tcPr>
          <w:p w14:paraId="712E2A69">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w:t>
            </w:r>
          </w:p>
        </w:tc>
        <w:tc>
          <w:tcPr>
            <w:tcW w:w="0" w:type="auto"/>
            <w:noWrap w:val="0"/>
            <w:vAlign w:val="center"/>
          </w:tcPr>
          <w:p w14:paraId="6BBC2F20">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西安市浐灞第一小学</w:t>
            </w:r>
          </w:p>
        </w:tc>
      </w:tr>
      <w:tr w14:paraId="59F1B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14:paraId="47F3B9EC">
            <w:pPr>
              <w:keepNext w:val="0"/>
              <w:keepLines w:val="0"/>
              <w:widowControl/>
              <w:suppressLineNumbers w:val="0"/>
              <w:jc w:val="righ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101</w:t>
            </w:r>
          </w:p>
        </w:tc>
        <w:tc>
          <w:tcPr>
            <w:tcW w:w="0" w:type="auto"/>
            <w:noWrap w:val="0"/>
            <w:vAlign w:val="center"/>
          </w:tcPr>
          <w:p w14:paraId="31466595">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LED屏:室内屏</w:t>
            </w:r>
          </w:p>
        </w:tc>
        <w:tc>
          <w:tcPr>
            <w:tcW w:w="0" w:type="auto"/>
            <w:noWrap w:val="0"/>
            <w:vAlign w:val="center"/>
          </w:tcPr>
          <w:p w14:paraId="7AA926A9">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LED屏:室内屏（核心产品）</w:t>
            </w:r>
          </w:p>
        </w:tc>
        <w:tc>
          <w:tcPr>
            <w:tcW w:w="0" w:type="auto"/>
            <w:noWrap w:val="0"/>
            <w:vAlign w:val="center"/>
          </w:tcPr>
          <w:p w14:paraId="74111290">
            <w:pPr>
              <w:bidi w:val="0"/>
              <w:rPr>
                <w:rFonts w:hint="eastAsia" w:asciiTheme="minorEastAsia" w:hAnsiTheme="minorEastAsia" w:eastAsiaTheme="minorEastAsia" w:cstheme="minorEastAsia"/>
                <w:sz w:val="20"/>
                <w:szCs w:val="20"/>
                <w:highlight w:val="none"/>
                <w:lang w:val="en-US" w:eastAsia="zh-CN"/>
              </w:rPr>
            </w:pPr>
            <w:r>
              <w:rPr>
                <w:rFonts w:hint="eastAsia" w:asciiTheme="minorEastAsia" w:hAnsiTheme="minorEastAsia" w:eastAsiaTheme="minorEastAsia" w:cstheme="minorEastAsia"/>
                <w:sz w:val="20"/>
                <w:szCs w:val="20"/>
                <w:highlight w:val="none"/>
                <w:lang w:val="en-US" w:eastAsia="zh-CN"/>
              </w:rPr>
              <w:t>主屏尺寸：8.64m（W）*3.04m（H）=26.27㎡；侧屏尺寸：1.92m（W）*3.04m（H）*2块=11.67㎡。   包边尺寸：12.58m（W）*3.3m（H）=41.51㎡ 。LED显示屏D2.0  37.94㎡</w:t>
            </w:r>
            <w:r>
              <w:rPr>
                <w:rFonts w:hint="eastAsia" w:asciiTheme="minorEastAsia" w:hAnsiTheme="minorEastAsia" w:eastAsiaTheme="minorEastAsia" w:cstheme="minorEastAsia"/>
                <w:sz w:val="20"/>
                <w:szCs w:val="20"/>
                <w:highlight w:val="none"/>
                <w:lang w:val="en-US" w:eastAsia="zh-CN"/>
              </w:rPr>
              <w:br w:type="textWrapping"/>
            </w:r>
            <w:r>
              <w:rPr>
                <w:rFonts w:hint="eastAsia" w:asciiTheme="minorEastAsia" w:hAnsiTheme="minorEastAsia" w:eastAsiaTheme="minorEastAsia" w:cstheme="minorEastAsia"/>
                <w:sz w:val="20"/>
                <w:szCs w:val="20"/>
                <w:highlight w:val="none"/>
                <w:lang w:val="en-US" w:eastAsia="zh-CN"/>
              </w:rPr>
              <w:t>1.像素结构：SMD表贴三合一</w:t>
            </w:r>
            <w:r>
              <w:rPr>
                <w:rFonts w:hint="eastAsia" w:asciiTheme="minorEastAsia" w:hAnsiTheme="minorEastAsia" w:eastAsiaTheme="minorEastAsia" w:cstheme="minorEastAsia"/>
                <w:sz w:val="20"/>
                <w:szCs w:val="20"/>
                <w:highlight w:val="none"/>
                <w:lang w:val="en-US" w:eastAsia="zh-CN"/>
              </w:rPr>
              <w:br w:type="textWrapping"/>
            </w:r>
            <w:r>
              <w:rPr>
                <w:rFonts w:hint="eastAsia" w:asciiTheme="minorEastAsia" w:hAnsiTheme="minorEastAsia" w:eastAsiaTheme="minorEastAsia" w:cstheme="minorEastAsia"/>
                <w:sz w:val="20"/>
                <w:szCs w:val="20"/>
                <w:highlight w:val="none"/>
                <w:lang w:val="en-US" w:eastAsia="zh-CN"/>
              </w:rPr>
              <w:t>2.投标产品LED屏像素点间距≤2.0mm</w:t>
            </w:r>
            <w:r>
              <w:rPr>
                <w:rFonts w:hint="eastAsia" w:asciiTheme="minorEastAsia" w:hAnsiTheme="minorEastAsia" w:eastAsiaTheme="minorEastAsia" w:cstheme="minorEastAsia"/>
                <w:sz w:val="20"/>
                <w:szCs w:val="20"/>
                <w:highlight w:val="none"/>
                <w:lang w:val="en-US" w:eastAsia="zh-CN"/>
              </w:rPr>
              <w:br w:type="textWrapping"/>
            </w:r>
            <w:r>
              <w:rPr>
                <w:rFonts w:hint="eastAsia" w:asciiTheme="minorEastAsia" w:hAnsiTheme="minorEastAsia" w:eastAsiaTheme="minorEastAsia" w:cstheme="minorEastAsia"/>
                <w:sz w:val="20"/>
                <w:szCs w:val="20"/>
                <w:highlight w:val="none"/>
                <w:lang w:val="en-US" w:eastAsia="zh-CN"/>
              </w:rPr>
              <w:t>3.模组尺寸：320mm*160mm</w:t>
            </w:r>
            <w:r>
              <w:rPr>
                <w:rFonts w:hint="eastAsia" w:asciiTheme="minorEastAsia" w:hAnsiTheme="minorEastAsia" w:eastAsiaTheme="minorEastAsia" w:cstheme="minorEastAsia"/>
                <w:sz w:val="20"/>
                <w:szCs w:val="20"/>
                <w:highlight w:val="none"/>
                <w:lang w:val="en-US" w:eastAsia="zh-CN"/>
              </w:rPr>
              <w:br w:type="textWrapping"/>
            </w:r>
            <w:r>
              <w:rPr>
                <w:rFonts w:hint="eastAsia" w:asciiTheme="minorEastAsia" w:hAnsiTheme="minorEastAsia" w:eastAsiaTheme="minorEastAsia" w:cstheme="minorEastAsia"/>
                <w:sz w:val="20"/>
                <w:szCs w:val="20"/>
                <w:highlight w:val="none"/>
                <w:lang w:val="en-US" w:eastAsia="zh-CN"/>
              </w:rPr>
              <w:t>4.刷新率≥3840 Hz</w:t>
            </w:r>
            <w:r>
              <w:rPr>
                <w:rFonts w:hint="eastAsia" w:asciiTheme="minorEastAsia" w:hAnsiTheme="minorEastAsia" w:eastAsiaTheme="minorEastAsia" w:cstheme="minorEastAsia"/>
                <w:sz w:val="20"/>
                <w:szCs w:val="20"/>
                <w:highlight w:val="none"/>
                <w:lang w:val="en-US" w:eastAsia="zh-CN"/>
              </w:rPr>
              <w:br w:type="textWrapping"/>
            </w:r>
            <w:r>
              <w:rPr>
                <w:rFonts w:hint="eastAsia" w:asciiTheme="minorEastAsia" w:hAnsiTheme="minorEastAsia" w:eastAsiaTheme="minorEastAsia" w:cstheme="minorEastAsia"/>
                <w:sz w:val="20"/>
                <w:szCs w:val="20"/>
                <w:highlight w:val="none"/>
                <w:lang w:val="en-US" w:eastAsia="zh-CN"/>
              </w:rPr>
              <w:t>5.色温：3000K-12000K可调</w:t>
            </w:r>
            <w:r>
              <w:rPr>
                <w:rFonts w:hint="eastAsia" w:asciiTheme="minorEastAsia" w:hAnsiTheme="minorEastAsia" w:eastAsiaTheme="minorEastAsia" w:cstheme="minorEastAsia"/>
                <w:sz w:val="20"/>
                <w:szCs w:val="20"/>
                <w:highlight w:val="none"/>
                <w:lang w:val="en-US" w:eastAsia="zh-CN"/>
              </w:rPr>
              <w:br w:type="textWrapping"/>
            </w:r>
            <w:r>
              <w:rPr>
                <w:rFonts w:hint="eastAsia" w:asciiTheme="minorEastAsia" w:hAnsiTheme="minorEastAsia" w:eastAsiaTheme="minorEastAsia" w:cstheme="minorEastAsia"/>
                <w:sz w:val="20"/>
                <w:szCs w:val="20"/>
                <w:highlight w:val="none"/>
                <w:lang w:val="en-US" w:eastAsia="zh-CN"/>
              </w:rPr>
              <w:t>6.白平衡亮度：≥500cd/㎡</w:t>
            </w:r>
            <w:r>
              <w:rPr>
                <w:rFonts w:hint="eastAsia" w:asciiTheme="minorEastAsia" w:hAnsiTheme="minorEastAsia" w:eastAsiaTheme="minorEastAsia" w:cstheme="minorEastAsia"/>
                <w:sz w:val="20"/>
                <w:szCs w:val="20"/>
                <w:highlight w:val="none"/>
                <w:lang w:val="en-US" w:eastAsia="zh-CN"/>
              </w:rPr>
              <w:br w:type="textWrapping"/>
            </w:r>
            <w:r>
              <w:rPr>
                <w:rFonts w:hint="eastAsia" w:asciiTheme="minorEastAsia" w:hAnsiTheme="minorEastAsia" w:eastAsiaTheme="minorEastAsia" w:cstheme="minorEastAsia"/>
                <w:sz w:val="20"/>
                <w:szCs w:val="20"/>
                <w:highlight w:val="none"/>
                <w:lang w:val="en-US" w:eastAsia="zh-CN"/>
              </w:rPr>
              <w:t>7.对比度≥3000:1</w:t>
            </w:r>
            <w:r>
              <w:rPr>
                <w:rFonts w:hint="eastAsia" w:asciiTheme="minorEastAsia" w:hAnsiTheme="minorEastAsia" w:eastAsiaTheme="minorEastAsia" w:cstheme="minorEastAsia"/>
                <w:sz w:val="20"/>
                <w:szCs w:val="20"/>
                <w:highlight w:val="none"/>
                <w:lang w:val="en-US" w:eastAsia="zh-CN"/>
              </w:rPr>
              <w:br w:type="textWrapping"/>
            </w:r>
            <w:r>
              <w:rPr>
                <w:rFonts w:hint="eastAsia" w:asciiTheme="minorEastAsia" w:hAnsiTheme="minorEastAsia" w:eastAsiaTheme="minorEastAsia" w:cstheme="minorEastAsia"/>
                <w:sz w:val="20"/>
                <w:szCs w:val="20"/>
                <w:highlight w:val="none"/>
                <w:lang w:val="en-US" w:eastAsia="zh-CN"/>
              </w:rPr>
              <w:t>8.亮度均匀性≥99.5%</w:t>
            </w:r>
            <w:r>
              <w:rPr>
                <w:rFonts w:hint="eastAsia" w:asciiTheme="minorEastAsia" w:hAnsiTheme="minorEastAsia" w:eastAsiaTheme="minorEastAsia" w:cstheme="minorEastAsia"/>
                <w:sz w:val="20"/>
                <w:szCs w:val="20"/>
                <w:highlight w:val="none"/>
                <w:lang w:val="en-US" w:eastAsia="zh-CN"/>
              </w:rPr>
              <w:br w:type="textWrapping"/>
            </w:r>
            <w:r>
              <w:rPr>
                <w:rFonts w:hint="eastAsia" w:asciiTheme="minorEastAsia" w:hAnsiTheme="minorEastAsia" w:eastAsiaTheme="minorEastAsia" w:cstheme="minorEastAsia"/>
                <w:sz w:val="20"/>
                <w:szCs w:val="20"/>
                <w:highlight w:val="none"/>
                <w:lang w:val="en-US" w:eastAsia="zh-CN"/>
              </w:rPr>
              <w:t>9.平整度≤0.2mm</w:t>
            </w:r>
            <w:r>
              <w:rPr>
                <w:rFonts w:hint="eastAsia" w:asciiTheme="minorEastAsia" w:hAnsiTheme="minorEastAsia" w:eastAsiaTheme="minorEastAsia" w:cstheme="minorEastAsia"/>
                <w:sz w:val="20"/>
                <w:szCs w:val="20"/>
                <w:highlight w:val="none"/>
                <w:lang w:val="en-US" w:eastAsia="zh-CN"/>
              </w:rPr>
              <w:br w:type="textWrapping"/>
            </w:r>
            <w:r>
              <w:rPr>
                <w:rFonts w:hint="eastAsia" w:asciiTheme="minorEastAsia" w:hAnsiTheme="minorEastAsia" w:eastAsiaTheme="minorEastAsia" w:cstheme="minorEastAsia"/>
                <w:sz w:val="20"/>
                <w:szCs w:val="20"/>
                <w:highlight w:val="none"/>
                <w:lang w:val="en-US" w:eastAsia="zh-CN"/>
              </w:rPr>
              <w:t>10.像素密度：250000点/㎡</w:t>
            </w:r>
          </w:p>
          <w:p w14:paraId="04EC982A">
            <w:pPr>
              <w:bidi w:val="0"/>
              <w:rPr>
                <w:rFonts w:hint="eastAsia" w:asciiTheme="minorEastAsia" w:hAnsiTheme="minorEastAsia" w:eastAsiaTheme="minorEastAsia" w:cstheme="minorEastAsia"/>
                <w:sz w:val="20"/>
                <w:szCs w:val="20"/>
                <w:highlight w:val="none"/>
              </w:rPr>
            </w:pPr>
            <w:r>
              <w:rPr>
                <w:rFonts w:hint="eastAsia" w:asciiTheme="minorEastAsia" w:hAnsiTheme="minorEastAsia" w:eastAsiaTheme="minorEastAsia" w:cstheme="minorEastAsia"/>
                <w:sz w:val="20"/>
                <w:szCs w:val="20"/>
                <w:highlight w:val="none"/>
                <w:lang w:val="en-US" w:eastAsia="zh-CN"/>
              </w:rPr>
              <w:t>11.同时兼容前，后维护，显示屏模组可前、后拆卸维护</w:t>
            </w:r>
            <w:r>
              <w:rPr>
                <w:rFonts w:hint="eastAsia" w:asciiTheme="minorEastAsia" w:hAnsiTheme="minorEastAsia" w:eastAsiaTheme="minorEastAsia" w:cstheme="minorEastAsia"/>
                <w:sz w:val="20"/>
                <w:szCs w:val="20"/>
                <w:highlight w:val="none"/>
                <w:lang w:val="en-US" w:eastAsia="zh-CN"/>
              </w:rPr>
              <w:br w:type="textWrapping"/>
            </w:r>
            <w:r>
              <w:rPr>
                <w:rFonts w:hint="eastAsia" w:asciiTheme="minorEastAsia" w:hAnsiTheme="minorEastAsia" w:eastAsiaTheme="minorEastAsia" w:cstheme="minorEastAsia"/>
                <w:sz w:val="20"/>
                <w:szCs w:val="20"/>
                <w:highlight w:val="none"/>
                <w:lang w:val="en-US" w:eastAsia="zh-CN"/>
              </w:rPr>
              <w:t>12.整屏失控点数：≤1/1000000（验收时失控点为0），连续失控点为0，盲点率≤1/1000000；无单列或单行像素失控现象，无常亮点。</w:t>
            </w:r>
            <w:r>
              <w:rPr>
                <w:rFonts w:hint="eastAsia" w:asciiTheme="minorEastAsia" w:hAnsiTheme="minorEastAsia" w:eastAsiaTheme="minorEastAsia" w:cstheme="minorEastAsia"/>
                <w:sz w:val="20"/>
                <w:szCs w:val="20"/>
                <w:highlight w:val="none"/>
                <w:lang w:val="en-US" w:eastAsia="zh-CN"/>
              </w:rPr>
              <w:br w:type="textWrapping"/>
            </w:r>
            <w:r>
              <w:rPr>
                <w:rFonts w:hint="eastAsia" w:asciiTheme="minorEastAsia" w:hAnsiTheme="minorEastAsia" w:eastAsiaTheme="minorEastAsia" w:cstheme="minorEastAsia"/>
                <w:sz w:val="20"/>
                <w:szCs w:val="20"/>
                <w:highlight w:val="none"/>
                <w:lang w:val="en-US" w:eastAsia="zh-CN"/>
              </w:rPr>
              <w:t>控制卡（E120）80张：</w:t>
            </w:r>
            <w:r>
              <w:rPr>
                <w:rFonts w:hint="eastAsia" w:asciiTheme="minorEastAsia" w:hAnsiTheme="minorEastAsia" w:eastAsiaTheme="minorEastAsia" w:cstheme="minorEastAsia"/>
                <w:sz w:val="20"/>
                <w:szCs w:val="20"/>
                <w:highlight w:val="none"/>
                <w:lang w:val="en-US" w:eastAsia="zh-CN"/>
              </w:rPr>
              <w:br w:type="textWrapping"/>
            </w:r>
            <w:r>
              <w:rPr>
                <w:rFonts w:hint="eastAsia" w:asciiTheme="minorEastAsia" w:hAnsiTheme="minorEastAsia" w:eastAsiaTheme="minorEastAsia" w:cstheme="minorEastAsia"/>
                <w:sz w:val="20"/>
                <w:szCs w:val="20"/>
                <w:highlight w:val="none"/>
                <w:lang w:val="en-US" w:eastAsia="zh-CN"/>
              </w:rPr>
              <w:t>1、单卡12个标准HUB75E接口，输出32组RGB数据，无需配转接板，减少接插HUB板，减少故障点，故障率低。</w:t>
            </w:r>
            <w:r>
              <w:rPr>
                <w:rFonts w:hint="eastAsia" w:asciiTheme="minorEastAsia" w:hAnsiTheme="minorEastAsia" w:eastAsiaTheme="minorEastAsia" w:cstheme="minorEastAsia"/>
                <w:sz w:val="20"/>
                <w:szCs w:val="20"/>
                <w:highlight w:val="none"/>
                <w:lang w:val="en-US" w:eastAsia="zh-CN"/>
              </w:rPr>
              <w:br w:type="textWrapping"/>
            </w:r>
            <w:r>
              <w:rPr>
                <w:rFonts w:hint="eastAsia" w:asciiTheme="minorEastAsia" w:hAnsiTheme="minorEastAsia" w:eastAsiaTheme="minorEastAsia" w:cstheme="minorEastAsia"/>
                <w:sz w:val="20"/>
                <w:szCs w:val="20"/>
                <w:highlight w:val="none"/>
                <w:lang w:val="en-US" w:eastAsia="zh-CN"/>
              </w:rPr>
              <w:t>2、支持高灰高刷、低亮高灰显示，可消除某行偏暗、低灰偏红、鬼影等细节问题。</w:t>
            </w:r>
            <w:r>
              <w:rPr>
                <w:rFonts w:hint="eastAsia" w:asciiTheme="minorEastAsia" w:hAnsiTheme="minorEastAsia" w:eastAsiaTheme="minorEastAsia" w:cstheme="minorEastAsia"/>
                <w:sz w:val="20"/>
                <w:szCs w:val="20"/>
                <w:highlight w:val="none"/>
                <w:lang w:val="en-US" w:eastAsia="zh-CN"/>
              </w:rPr>
              <w:br w:type="textWrapping"/>
            </w:r>
            <w:r>
              <w:rPr>
                <w:rFonts w:hint="eastAsia" w:asciiTheme="minorEastAsia" w:hAnsiTheme="minorEastAsia" w:eastAsiaTheme="minorEastAsia" w:cstheme="minorEastAsia"/>
                <w:sz w:val="20"/>
                <w:szCs w:val="20"/>
                <w:highlight w:val="none"/>
                <w:lang w:val="en-US" w:eastAsia="zh-CN"/>
              </w:rPr>
              <w:t>3、支持亮度逐点校正，提供校正低灰补偿，保障低灰显示效果。</w:t>
            </w:r>
            <w:r>
              <w:rPr>
                <w:rFonts w:hint="eastAsia" w:asciiTheme="minorEastAsia" w:hAnsiTheme="minorEastAsia" w:eastAsiaTheme="minorEastAsia" w:cstheme="minorEastAsia"/>
                <w:sz w:val="20"/>
                <w:szCs w:val="20"/>
                <w:highlight w:val="none"/>
                <w:lang w:val="en-US" w:eastAsia="zh-CN"/>
              </w:rPr>
              <w:br w:type="textWrapping"/>
            </w:r>
            <w:r>
              <w:rPr>
                <w:rFonts w:hint="eastAsia" w:asciiTheme="minorEastAsia" w:hAnsiTheme="minorEastAsia" w:eastAsiaTheme="minorEastAsia" w:cstheme="minorEastAsia"/>
                <w:sz w:val="20"/>
                <w:szCs w:val="20"/>
                <w:highlight w:val="none"/>
                <w:lang w:val="en-US" w:eastAsia="zh-CN"/>
              </w:rPr>
              <w:t>4、支持修边修缝功能，可消除显示单元间的亮暗线，且不影响原始校正系数。</w:t>
            </w:r>
            <w:r>
              <w:rPr>
                <w:rFonts w:hint="eastAsia" w:asciiTheme="minorEastAsia" w:hAnsiTheme="minorEastAsia" w:eastAsiaTheme="minorEastAsia" w:cstheme="minorEastAsia"/>
                <w:sz w:val="20"/>
                <w:szCs w:val="20"/>
                <w:highlight w:val="none"/>
                <w:lang w:val="en-US" w:eastAsia="zh-CN"/>
              </w:rPr>
              <w:br w:type="textWrapping"/>
            </w:r>
            <w:r>
              <w:rPr>
                <w:rFonts w:hint="eastAsia" w:asciiTheme="minorEastAsia" w:hAnsiTheme="minorEastAsia" w:eastAsiaTheme="minorEastAsia" w:cstheme="minorEastAsia"/>
                <w:sz w:val="20"/>
                <w:szCs w:val="20"/>
                <w:highlight w:val="none"/>
                <w:lang w:val="en-US" w:eastAsia="zh-CN"/>
              </w:rPr>
              <w:t>5、支持接收卡画面旋转功能，实现0度、90度、180度、270度画面显示。</w:t>
            </w:r>
            <w:r>
              <w:rPr>
                <w:rFonts w:hint="eastAsia" w:asciiTheme="minorEastAsia" w:hAnsiTheme="minorEastAsia" w:eastAsiaTheme="minorEastAsia" w:cstheme="minorEastAsia"/>
                <w:sz w:val="20"/>
                <w:szCs w:val="20"/>
                <w:highlight w:val="none"/>
                <w:lang w:val="en-US" w:eastAsia="zh-CN"/>
              </w:rPr>
              <w:br w:type="textWrapping"/>
            </w:r>
            <w:r>
              <w:rPr>
                <w:rFonts w:hint="eastAsia" w:asciiTheme="minorEastAsia" w:hAnsiTheme="minorEastAsia" w:eastAsiaTheme="minorEastAsia" w:cstheme="minorEastAsia"/>
                <w:sz w:val="20"/>
                <w:szCs w:val="20"/>
                <w:highlight w:val="none"/>
                <w:lang w:val="en-US" w:eastAsia="zh-CN"/>
              </w:rPr>
              <w:t>6、支持抽点显示与数据偏移，可完成异形屏带载。</w:t>
            </w:r>
            <w:r>
              <w:rPr>
                <w:rFonts w:hint="eastAsia" w:asciiTheme="minorEastAsia" w:hAnsiTheme="minorEastAsia" w:eastAsiaTheme="minorEastAsia" w:cstheme="minorEastAsia"/>
                <w:sz w:val="20"/>
                <w:szCs w:val="20"/>
                <w:highlight w:val="none"/>
                <w:lang w:val="en-US" w:eastAsia="zh-CN"/>
              </w:rPr>
              <w:br w:type="textWrapping"/>
            </w:r>
            <w:r>
              <w:rPr>
                <w:rFonts w:hint="eastAsia" w:asciiTheme="minorEastAsia" w:hAnsiTheme="minorEastAsia" w:eastAsiaTheme="minorEastAsia" w:cstheme="minorEastAsia"/>
                <w:sz w:val="20"/>
                <w:szCs w:val="20"/>
                <w:highlight w:val="none"/>
                <w:lang w:val="en-US" w:eastAsia="zh-CN"/>
              </w:rPr>
              <w:t>专用电源（200W）125个：</w:t>
            </w:r>
            <w:r>
              <w:rPr>
                <w:rFonts w:hint="eastAsia" w:asciiTheme="minorEastAsia" w:hAnsiTheme="minorEastAsia" w:eastAsiaTheme="minorEastAsia" w:cstheme="minorEastAsia"/>
                <w:sz w:val="20"/>
                <w:szCs w:val="20"/>
                <w:highlight w:val="none"/>
                <w:lang w:val="en-US" w:eastAsia="zh-CN"/>
              </w:rPr>
              <w:br w:type="textWrapping"/>
            </w:r>
            <w:r>
              <w:rPr>
                <w:rFonts w:hint="eastAsia" w:asciiTheme="minorEastAsia" w:hAnsiTheme="minorEastAsia" w:eastAsiaTheme="minorEastAsia" w:cstheme="minorEastAsia"/>
                <w:sz w:val="20"/>
                <w:szCs w:val="20"/>
                <w:highlight w:val="none"/>
                <w:lang w:val="en-US" w:eastAsia="zh-CN"/>
              </w:rPr>
              <w:t xml:space="preserve">输出电压 5V </w:t>
            </w:r>
            <w:r>
              <w:rPr>
                <w:rFonts w:hint="eastAsia" w:asciiTheme="minorEastAsia" w:hAnsiTheme="minorEastAsia" w:eastAsiaTheme="minorEastAsia" w:cstheme="minorEastAsia"/>
                <w:sz w:val="20"/>
                <w:szCs w:val="20"/>
                <w:highlight w:val="none"/>
                <w:lang w:val="en-US" w:eastAsia="zh-CN"/>
              </w:rPr>
              <w:br w:type="textWrapping"/>
            </w:r>
            <w:r>
              <w:rPr>
                <w:rFonts w:hint="eastAsia" w:asciiTheme="minorEastAsia" w:hAnsiTheme="minorEastAsia" w:eastAsiaTheme="minorEastAsia" w:cstheme="minorEastAsia"/>
                <w:sz w:val="20"/>
                <w:szCs w:val="20"/>
                <w:highlight w:val="none"/>
                <w:lang w:val="en-US" w:eastAsia="zh-CN"/>
              </w:rPr>
              <w:t>输出电压调整范围 4.5~5.6 V</w:t>
            </w:r>
            <w:r>
              <w:rPr>
                <w:rFonts w:hint="eastAsia" w:asciiTheme="minorEastAsia" w:hAnsiTheme="minorEastAsia" w:eastAsiaTheme="minorEastAsia" w:cstheme="minorEastAsia"/>
                <w:sz w:val="20"/>
                <w:szCs w:val="20"/>
                <w:highlight w:val="none"/>
                <w:lang w:val="en-US" w:eastAsia="zh-CN"/>
              </w:rPr>
              <w:br w:type="textWrapping"/>
            </w:r>
            <w:r>
              <w:rPr>
                <w:rFonts w:hint="eastAsia" w:asciiTheme="minorEastAsia" w:hAnsiTheme="minorEastAsia" w:eastAsiaTheme="minorEastAsia" w:cstheme="minorEastAsia"/>
                <w:sz w:val="20"/>
                <w:szCs w:val="20"/>
                <w:highlight w:val="none"/>
                <w:lang w:val="en-US" w:eastAsia="zh-CN"/>
              </w:rPr>
              <w:t xml:space="preserve">过载保护 105~150% </w:t>
            </w:r>
            <w:r>
              <w:rPr>
                <w:rFonts w:hint="eastAsia" w:asciiTheme="minorEastAsia" w:hAnsiTheme="minorEastAsia" w:eastAsiaTheme="minorEastAsia" w:cstheme="minorEastAsia"/>
                <w:sz w:val="20"/>
                <w:szCs w:val="20"/>
                <w:highlight w:val="none"/>
                <w:lang w:val="en-US" w:eastAsia="zh-CN"/>
              </w:rPr>
              <w:br w:type="textWrapping"/>
            </w:r>
            <w:r>
              <w:rPr>
                <w:rFonts w:hint="eastAsia" w:asciiTheme="minorEastAsia" w:hAnsiTheme="minorEastAsia" w:eastAsiaTheme="minorEastAsia" w:cstheme="minorEastAsia"/>
                <w:sz w:val="20"/>
                <w:szCs w:val="20"/>
                <w:highlight w:val="none"/>
                <w:lang w:val="en-US" w:eastAsia="zh-CN"/>
              </w:rPr>
              <w:t>过温保护 100℃±5℃（5V） ℃</w:t>
            </w:r>
            <w:r>
              <w:rPr>
                <w:rFonts w:hint="eastAsia" w:asciiTheme="minorEastAsia" w:hAnsiTheme="minorEastAsia" w:eastAsiaTheme="minorEastAsia" w:cstheme="minorEastAsia"/>
                <w:sz w:val="20"/>
                <w:szCs w:val="20"/>
                <w:highlight w:val="none"/>
                <w:lang w:val="en-US" w:eastAsia="zh-CN"/>
              </w:rPr>
              <w:br w:type="textWrapping"/>
            </w:r>
            <w:r>
              <w:rPr>
                <w:rFonts w:hint="eastAsia" w:asciiTheme="minorEastAsia" w:hAnsiTheme="minorEastAsia" w:eastAsiaTheme="minorEastAsia" w:cstheme="minorEastAsia"/>
                <w:sz w:val="20"/>
                <w:szCs w:val="20"/>
                <w:highlight w:val="none"/>
                <w:lang w:val="en-US" w:eastAsia="zh-CN"/>
              </w:rPr>
              <w:t>绝缘耐压 1/P-FG:1.5KVAC V</w:t>
            </w:r>
            <w:r>
              <w:rPr>
                <w:rFonts w:hint="eastAsia" w:asciiTheme="minorEastAsia" w:hAnsiTheme="minorEastAsia" w:eastAsiaTheme="minorEastAsia" w:cstheme="minorEastAsia"/>
                <w:sz w:val="20"/>
                <w:szCs w:val="20"/>
                <w:highlight w:val="none"/>
                <w:lang w:val="en-US" w:eastAsia="zh-CN"/>
              </w:rPr>
              <w:br w:type="textWrapping"/>
            </w:r>
            <w:r>
              <w:rPr>
                <w:rFonts w:hint="eastAsia" w:asciiTheme="minorEastAsia" w:hAnsiTheme="minorEastAsia" w:eastAsiaTheme="minorEastAsia" w:cstheme="minorEastAsia"/>
                <w:sz w:val="20"/>
                <w:szCs w:val="20"/>
                <w:highlight w:val="none"/>
                <w:lang w:val="en-US" w:eastAsia="zh-CN"/>
              </w:rPr>
              <w:t>视频处理器1台：输入接口包括 1 ×HDMI 1.4、 1 × DVI、 1 × 3G-SDI（IN+LOOP），选配 1 × 3.5mm 音频输入接口；输出接口包括 20路千兆网口，最大带载 1300万像素，单台设备输出最大宽度 10240，高度 8192， 1 路 HDMI 1.3 输出接口，可用作输出预监或视频输出；</w:t>
            </w:r>
            <w:r>
              <w:rPr>
                <w:rFonts w:hint="eastAsia" w:asciiTheme="minorEastAsia" w:hAnsiTheme="minorEastAsia" w:eastAsiaTheme="minorEastAsia" w:cstheme="minorEastAsia"/>
                <w:sz w:val="20"/>
                <w:szCs w:val="20"/>
                <w:highlight w:val="none"/>
                <w:lang w:val="en-US" w:eastAsia="zh-CN"/>
              </w:rPr>
              <w:br w:type="textWrapping"/>
            </w:r>
            <w:r>
              <w:rPr>
                <w:rFonts w:hint="eastAsia" w:asciiTheme="minorEastAsia" w:hAnsiTheme="minorEastAsia" w:eastAsiaTheme="minorEastAsia" w:cstheme="minorEastAsia"/>
                <w:sz w:val="20"/>
                <w:szCs w:val="20"/>
                <w:highlight w:val="none"/>
                <w:lang w:val="en-US" w:eastAsia="zh-CN"/>
              </w:rPr>
              <w:t>音频输入输出： 支持 HDMI 伴随音频输入， 支持 3.5mm 独立音频输入， 支持 3.5mm 独立音频输出， 支持通过多功能卡进行音频输出</w:t>
            </w:r>
            <w:r>
              <w:rPr>
                <w:rFonts w:hint="eastAsia" w:asciiTheme="minorEastAsia" w:hAnsiTheme="minorEastAsia" w:eastAsiaTheme="minorEastAsia" w:cstheme="minorEastAsia"/>
                <w:sz w:val="20"/>
                <w:szCs w:val="20"/>
                <w:highlight w:val="none"/>
                <w:lang w:val="en-US" w:eastAsia="zh-CN"/>
              </w:rPr>
              <w:br w:type="textWrapping"/>
            </w:r>
            <w:r>
              <w:rPr>
                <w:rFonts w:hint="eastAsia" w:asciiTheme="minorEastAsia" w:hAnsiTheme="minorEastAsia" w:eastAsiaTheme="minorEastAsia" w:cstheme="minorEastAsia"/>
                <w:sz w:val="20"/>
                <w:szCs w:val="20"/>
                <w:highlight w:val="none"/>
                <w:lang w:val="en-US" w:eastAsia="zh-CN"/>
              </w:rPr>
              <w:t>钢结构及包边：包边尺寸12.58m（W）*3.3m（H）=41.51㎡ ；</w:t>
            </w:r>
            <w:r>
              <w:rPr>
                <w:rFonts w:hint="eastAsia" w:asciiTheme="minorEastAsia" w:hAnsiTheme="minorEastAsia" w:eastAsiaTheme="minorEastAsia" w:cstheme="minorEastAsia"/>
                <w:sz w:val="20"/>
                <w:szCs w:val="20"/>
                <w:highlight w:val="none"/>
                <w:lang w:val="en-US" w:eastAsia="zh-CN"/>
              </w:rPr>
              <w:br w:type="textWrapping"/>
            </w:r>
            <w:r>
              <w:rPr>
                <w:rFonts w:hint="eastAsia" w:asciiTheme="minorEastAsia" w:hAnsiTheme="minorEastAsia" w:eastAsiaTheme="minorEastAsia" w:cstheme="minorEastAsia"/>
                <w:sz w:val="20"/>
                <w:szCs w:val="20"/>
                <w:highlight w:val="none"/>
                <w:lang w:val="en-US" w:eastAsia="zh-CN"/>
              </w:rPr>
              <w:t>屏体内部220v排线40㎡；超六类网线400米；分项电源线300米；主电缆80米；40kw配电箱1台、三相五线制；6张模组；布线施工辅材；现场安装调试等。</w:t>
            </w:r>
          </w:p>
        </w:tc>
        <w:tc>
          <w:tcPr>
            <w:tcW w:w="0" w:type="auto"/>
            <w:noWrap w:val="0"/>
            <w:vAlign w:val="center"/>
          </w:tcPr>
          <w:p w14:paraId="6FA596F0">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w:t>
            </w:r>
          </w:p>
        </w:tc>
        <w:tc>
          <w:tcPr>
            <w:tcW w:w="0" w:type="auto"/>
            <w:noWrap w:val="0"/>
            <w:vAlign w:val="center"/>
          </w:tcPr>
          <w:p w14:paraId="78EE1726">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西安市浐灞第一小学</w:t>
            </w:r>
          </w:p>
        </w:tc>
      </w:tr>
      <w:tr w14:paraId="27EA1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14:paraId="24384C2B">
            <w:pPr>
              <w:keepNext w:val="0"/>
              <w:keepLines w:val="0"/>
              <w:widowControl/>
              <w:suppressLineNumbers w:val="0"/>
              <w:jc w:val="righ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102</w:t>
            </w:r>
          </w:p>
        </w:tc>
        <w:tc>
          <w:tcPr>
            <w:tcW w:w="0" w:type="auto"/>
            <w:noWrap w:val="0"/>
            <w:vAlign w:val="center"/>
          </w:tcPr>
          <w:p w14:paraId="114F88D6">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LED屏：户外单色</w:t>
            </w:r>
          </w:p>
        </w:tc>
        <w:tc>
          <w:tcPr>
            <w:tcW w:w="0" w:type="auto"/>
            <w:noWrap w:val="0"/>
            <w:vAlign w:val="center"/>
          </w:tcPr>
          <w:p w14:paraId="629EA8EA">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LED屏：户外单色</w:t>
            </w:r>
          </w:p>
        </w:tc>
        <w:tc>
          <w:tcPr>
            <w:tcW w:w="0" w:type="auto"/>
            <w:noWrap w:val="0"/>
            <w:vAlign w:val="center"/>
          </w:tcPr>
          <w:p w14:paraId="1038E8C5">
            <w:pPr>
              <w:bidi w:val="0"/>
              <w:rPr>
                <w:rFonts w:hint="eastAsia" w:asciiTheme="minorEastAsia" w:hAnsiTheme="minorEastAsia" w:eastAsiaTheme="minorEastAsia" w:cstheme="minorEastAsia"/>
                <w:sz w:val="20"/>
                <w:szCs w:val="20"/>
                <w:highlight w:val="none"/>
              </w:rPr>
            </w:pPr>
            <w:r>
              <w:rPr>
                <w:rFonts w:hint="eastAsia" w:asciiTheme="minorEastAsia" w:hAnsiTheme="minorEastAsia" w:eastAsiaTheme="minorEastAsia" w:cstheme="minorEastAsia"/>
                <w:sz w:val="20"/>
                <w:szCs w:val="20"/>
                <w:highlight w:val="none"/>
                <w:lang w:val="en-US" w:eastAsia="zh-CN"/>
              </w:rPr>
              <w:t>户外单色LED显示屏：</w:t>
            </w:r>
            <w:r>
              <w:rPr>
                <w:rFonts w:hint="eastAsia" w:asciiTheme="minorEastAsia" w:hAnsiTheme="minorEastAsia" w:eastAsiaTheme="minorEastAsia" w:cstheme="minorEastAsia"/>
                <w:sz w:val="20"/>
                <w:szCs w:val="20"/>
                <w:highlight w:val="none"/>
                <w:lang w:val="en-US" w:eastAsia="zh-CN"/>
              </w:rPr>
              <w:br w:type="textWrapping"/>
            </w:r>
            <w:r>
              <w:rPr>
                <w:rFonts w:hint="eastAsia" w:asciiTheme="minorEastAsia" w:hAnsiTheme="minorEastAsia" w:eastAsiaTheme="minorEastAsia" w:cstheme="minorEastAsia"/>
                <w:sz w:val="20"/>
                <w:szCs w:val="20"/>
                <w:highlight w:val="none"/>
                <w:lang w:val="en-US" w:eastAsia="zh-CN"/>
              </w:rPr>
              <w:t>P10户外单色LED显示屏；模组尺寸320*160mm；面积：宽13m*高0.42m=5.46㎡</w:t>
            </w:r>
            <w:r>
              <w:rPr>
                <w:rFonts w:hint="eastAsia" w:asciiTheme="minorEastAsia" w:hAnsiTheme="minorEastAsia" w:eastAsiaTheme="minorEastAsia" w:cstheme="minorEastAsia"/>
                <w:sz w:val="20"/>
                <w:szCs w:val="20"/>
                <w:highlight w:val="none"/>
                <w:lang w:val="en-US" w:eastAsia="zh-CN"/>
              </w:rPr>
              <w:br w:type="textWrapping"/>
            </w:r>
            <w:r>
              <w:rPr>
                <w:rFonts w:hint="eastAsia" w:asciiTheme="minorEastAsia" w:hAnsiTheme="minorEastAsia" w:eastAsiaTheme="minorEastAsia" w:cstheme="minorEastAsia"/>
                <w:sz w:val="20"/>
                <w:szCs w:val="20"/>
                <w:highlight w:val="none"/>
                <w:lang w:val="en-US" w:eastAsia="zh-CN"/>
              </w:rPr>
              <w:t>亮度 ≥1000cd/㎡ 亮度均匀性 ≥0.8</w:t>
            </w:r>
            <w:r>
              <w:rPr>
                <w:rFonts w:hint="eastAsia" w:asciiTheme="minorEastAsia" w:hAnsiTheme="minorEastAsia" w:eastAsiaTheme="minorEastAsia" w:cstheme="minorEastAsia"/>
                <w:sz w:val="20"/>
                <w:szCs w:val="20"/>
                <w:highlight w:val="none"/>
                <w:lang w:val="en-US" w:eastAsia="zh-CN"/>
              </w:rPr>
              <w:br w:type="textWrapping"/>
            </w:r>
            <w:r>
              <w:rPr>
                <w:rFonts w:hint="eastAsia" w:asciiTheme="minorEastAsia" w:hAnsiTheme="minorEastAsia" w:eastAsiaTheme="minorEastAsia" w:cstheme="minorEastAsia"/>
                <w:sz w:val="20"/>
                <w:szCs w:val="20"/>
                <w:highlight w:val="none"/>
                <w:lang w:val="en-US" w:eastAsia="zh-CN"/>
              </w:rPr>
              <w:t>屏幕水平视角 140±10度 屏幕垂直视角 130±10度</w:t>
            </w:r>
            <w:r>
              <w:rPr>
                <w:rFonts w:hint="eastAsia" w:asciiTheme="minorEastAsia" w:hAnsiTheme="minorEastAsia" w:eastAsiaTheme="minorEastAsia" w:cstheme="minorEastAsia"/>
                <w:sz w:val="20"/>
                <w:szCs w:val="20"/>
                <w:highlight w:val="none"/>
                <w:lang w:val="en-US" w:eastAsia="zh-CN"/>
              </w:rPr>
              <w:br w:type="textWrapping"/>
            </w:r>
            <w:r>
              <w:rPr>
                <w:rFonts w:hint="eastAsia" w:asciiTheme="minorEastAsia" w:hAnsiTheme="minorEastAsia" w:eastAsiaTheme="minorEastAsia" w:cstheme="minorEastAsia"/>
                <w:sz w:val="20"/>
                <w:szCs w:val="20"/>
                <w:highlight w:val="none"/>
                <w:lang w:val="en-US" w:eastAsia="zh-CN"/>
              </w:rPr>
              <w:t>最佳视距 ≥10m 使用环境 户外</w:t>
            </w:r>
            <w:r>
              <w:rPr>
                <w:rFonts w:hint="eastAsia" w:asciiTheme="minorEastAsia" w:hAnsiTheme="minorEastAsia" w:eastAsiaTheme="minorEastAsia" w:cstheme="minorEastAsia"/>
                <w:sz w:val="20"/>
                <w:szCs w:val="20"/>
                <w:highlight w:val="none"/>
                <w:lang w:val="en-US" w:eastAsia="zh-CN"/>
              </w:rPr>
              <w:br w:type="textWrapping"/>
            </w:r>
            <w:r>
              <w:rPr>
                <w:rFonts w:hint="eastAsia" w:asciiTheme="minorEastAsia" w:hAnsiTheme="minorEastAsia" w:eastAsiaTheme="minorEastAsia" w:cstheme="minorEastAsia"/>
                <w:sz w:val="20"/>
                <w:szCs w:val="20"/>
                <w:highlight w:val="none"/>
                <w:lang w:val="en-US" w:eastAsia="zh-CN"/>
              </w:rPr>
              <w:t xml:space="preserve">每平方模组最大功率 ≤308W/㎡  </w:t>
            </w:r>
            <w:r>
              <w:rPr>
                <w:rFonts w:hint="eastAsia" w:asciiTheme="minorEastAsia" w:hAnsiTheme="minorEastAsia" w:eastAsiaTheme="minorEastAsia" w:cstheme="minorEastAsia"/>
                <w:sz w:val="20"/>
                <w:szCs w:val="20"/>
                <w:highlight w:val="none"/>
                <w:lang w:val="en-US" w:eastAsia="zh-CN"/>
              </w:rPr>
              <w:br w:type="textWrapping"/>
            </w:r>
            <w:r>
              <w:rPr>
                <w:rFonts w:hint="eastAsia" w:asciiTheme="minorEastAsia" w:hAnsiTheme="minorEastAsia" w:eastAsiaTheme="minorEastAsia" w:cstheme="minorEastAsia"/>
                <w:sz w:val="20"/>
                <w:szCs w:val="20"/>
                <w:highlight w:val="none"/>
                <w:lang w:val="en-US" w:eastAsia="zh-CN"/>
              </w:rPr>
              <w:t>配电功率（每平方最大功率÷78%÷85%） ≤464W/m2</w:t>
            </w:r>
            <w:r>
              <w:rPr>
                <w:rFonts w:hint="eastAsia" w:asciiTheme="minorEastAsia" w:hAnsiTheme="minorEastAsia" w:eastAsiaTheme="minorEastAsia" w:cstheme="minorEastAsia"/>
                <w:sz w:val="20"/>
                <w:szCs w:val="20"/>
                <w:highlight w:val="none"/>
                <w:lang w:val="en-US" w:eastAsia="zh-CN"/>
              </w:rPr>
              <w:br w:type="textWrapping"/>
            </w:r>
            <w:r>
              <w:rPr>
                <w:rFonts w:hint="eastAsia" w:asciiTheme="minorEastAsia" w:hAnsiTheme="minorEastAsia" w:eastAsiaTheme="minorEastAsia" w:cstheme="minorEastAsia"/>
                <w:sz w:val="20"/>
                <w:szCs w:val="20"/>
                <w:highlight w:val="none"/>
                <w:lang w:val="en-US" w:eastAsia="zh-CN"/>
              </w:rPr>
              <w:t>灰度等级 8bits 显示颜色 256种</w:t>
            </w:r>
            <w:r>
              <w:rPr>
                <w:rFonts w:hint="eastAsia" w:asciiTheme="minorEastAsia" w:hAnsiTheme="minorEastAsia" w:eastAsiaTheme="minorEastAsia" w:cstheme="minorEastAsia"/>
                <w:sz w:val="20"/>
                <w:szCs w:val="20"/>
                <w:highlight w:val="none"/>
                <w:lang w:val="en-US" w:eastAsia="zh-CN"/>
              </w:rPr>
              <w:br w:type="textWrapping"/>
            </w:r>
            <w:r>
              <w:rPr>
                <w:rFonts w:hint="eastAsia" w:asciiTheme="minorEastAsia" w:hAnsiTheme="minorEastAsia" w:eastAsiaTheme="minorEastAsia" w:cstheme="minorEastAsia"/>
                <w:sz w:val="20"/>
                <w:szCs w:val="20"/>
                <w:highlight w:val="none"/>
                <w:lang w:val="en-US" w:eastAsia="zh-CN"/>
              </w:rPr>
              <w:t>换帧频率 ≥60帧/秒 刷新频率 ≥60Hz</w:t>
            </w:r>
            <w:r>
              <w:rPr>
                <w:rFonts w:hint="eastAsia" w:asciiTheme="minorEastAsia" w:hAnsiTheme="minorEastAsia" w:eastAsiaTheme="minorEastAsia" w:cstheme="minorEastAsia"/>
                <w:sz w:val="20"/>
                <w:szCs w:val="20"/>
                <w:highlight w:val="none"/>
                <w:lang w:val="en-US" w:eastAsia="zh-CN"/>
              </w:rPr>
              <w:br w:type="textWrapping"/>
            </w:r>
            <w:r>
              <w:rPr>
                <w:rFonts w:hint="eastAsia" w:asciiTheme="minorEastAsia" w:hAnsiTheme="minorEastAsia" w:eastAsiaTheme="minorEastAsia" w:cstheme="minorEastAsia"/>
                <w:sz w:val="20"/>
                <w:szCs w:val="20"/>
                <w:highlight w:val="none"/>
                <w:lang w:val="en-US" w:eastAsia="zh-CN"/>
              </w:rPr>
              <w:t>控制方式 计算机控制，逐点一一对应，视频同步，实时显示 亮度调节 256级手动/自动</w:t>
            </w:r>
            <w:r>
              <w:rPr>
                <w:rFonts w:hint="eastAsia" w:asciiTheme="minorEastAsia" w:hAnsiTheme="minorEastAsia" w:eastAsiaTheme="minorEastAsia" w:cstheme="minorEastAsia"/>
                <w:sz w:val="20"/>
                <w:szCs w:val="20"/>
                <w:highlight w:val="none"/>
                <w:lang w:val="en-US" w:eastAsia="zh-CN"/>
              </w:rPr>
              <w:br w:type="textWrapping"/>
            </w:r>
            <w:r>
              <w:rPr>
                <w:rFonts w:hint="eastAsia" w:asciiTheme="minorEastAsia" w:hAnsiTheme="minorEastAsia" w:eastAsiaTheme="minorEastAsia" w:cstheme="minorEastAsia"/>
                <w:sz w:val="20"/>
                <w:szCs w:val="20"/>
                <w:highlight w:val="none"/>
                <w:lang w:val="en-US" w:eastAsia="zh-CN"/>
              </w:rPr>
              <w:t xml:space="preserve">输入信号 DVI/VGA，视频(多种制式)RGBHV、复合视频信号、S-VIDEO YpbPr(HDTV) </w:t>
            </w:r>
            <w:r>
              <w:rPr>
                <w:rFonts w:hint="eastAsia" w:asciiTheme="minorEastAsia" w:hAnsiTheme="minorEastAsia" w:eastAsiaTheme="minorEastAsia" w:cstheme="minorEastAsia"/>
                <w:sz w:val="20"/>
                <w:szCs w:val="20"/>
                <w:highlight w:val="none"/>
                <w:lang w:val="en-US" w:eastAsia="zh-CN"/>
              </w:rPr>
              <w:br w:type="textWrapping"/>
            </w:r>
            <w:r>
              <w:rPr>
                <w:rFonts w:hint="eastAsia" w:asciiTheme="minorEastAsia" w:hAnsiTheme="minorEastAsia" w:eastAsiaTheme="minorEastAsia" w:cstheme="minorEastAsia"/>
                <w:sz w:val="20"/>
                <w:szCs w:val="20"/>
                <w:highlight w:val="none"/>
                <w:lang w:val="en-US" w:eastAsia="zh-CN"/>
              </w:rPr>
              <w:t>使用寿命 ≥10万小时 平均无故障时间 ≥1万小时</w:t>
            </w:r>
            <w:r>
              <w:rPr>
                <w:rFonts w:hint="eastAsia" w:asciiTheme="minorEastAsia" w:hAnsiTheme="minorEastAsia" w:eastAsiaTheme="minorEastAsia" w:cstheme="minorEastAsia"/>
                <w:sz w:val="20"/>
                <w:szCs w:val="20"/>
                <w:highlight w:val="none"/>
                <w:lang w:val="en-US" w:eastAsia="zh-CN"/>
              </w:rPr>
              <w:br w:type="textWrapping"/>
            </w:r>
            <w:r>
              <w:rPr>
                <w:rFonts w:hint="eastAsia" w:asciiTheme="minorEastAsia" w:hAnsiTheme="minorEastAsia" w:eastAsiaTheme="minorEastAsia" w:cstheme="minorEastAsia"/>
                <w:sz w:val="20"/>
                <w:szCs w:val="20"/>
                <w:highlight w:val="none"/>
                <w:lang w:val="en-US" w:eastAsia="zh-CN"/>
              </w:rPr>
              <w:t>衰减率(工作3年) ≤25％ 连续失控点 0</w:t>
            </w:r>
            <w:r>
              <w:rPr>
                <w:rFonts w:hint="eastAsia" w:asciiTheme="minorEastAsia" w:hAnsiTheme="minorEastAsia" w:eastAsiaTheme="minorEastAsia" w:cstheme="minorEastAsia"/>
                <w:sz w:val="20"/>
                <w:szCs w:val="20"/>
                <w:highlight w:val="none"/>
                <w:lang w:val="en-US" w:eastAsia="zh-CN"/>
              </w:rPr>
              <w:br w:type="textWrapping"/>
            </w:r>
            <w:r>
              <w:rPr>
                <w:rFonts w:hint="eastAsia" w:asciiTheme="minorEastAsia" w:hAnsiTheme="minorEastAsia" w:eastAsiaTheme="minorEastAsia" w:cstheme="minorEastAsia"/>
                <w:sz w:val="20"/>
                <w:szCs w:val="20"/>
                <w:highlight w:val="none"/>
                <w:lang w:val="en-US" w:eastAsia="zh-CN"/>
              </w:rPr>
              <w:t>离散失控点 ≤0.0001，出厂时为0 盲点率 ＜0.0003，出厂时为0</w:t>
            </w:r>
            <w:r>
              <w:rPr>
                <w:rFonts w:hint="eastAsia" w:asciiTheme="minorEastAsia" w:hAnsiTheme="minorEastAsia" w:eastAsiaTheme="minorEastAsia" w:cstheme="minorEastAsia"/>
                <w:sz w:val="20"/>
                <w:szCs w:val="20"/>
                <w:highlight w:val="none"/>
                <w:lang w:val="en-US" w:eastAsia="zh-CN"/>
              </w:rPr>
              <w:br w:type="textWrapping"/>
            </w:r>
            <w:r>
              <w:rPr>
                <w:rFonts w:hint="eastAsia" w:asciiTheme="minorEastAsia" w:hAnsiTheme="minorEastAsia" w:eastAsiaTheme="minorEastAsia" w:cstheme="minorEastAsia"/>
                <w:sz w:val="20"/>
                <w:szCs w:val="20"/>
                <w:highlight w:val="none"/>
                <w:lang w:val="en-US" w:eastAsia="zh-CN"/>
              </w:rPr>
              <w:t>工作温度范围 -20-40℃ 工作湿度范围 10％-90％RH</w:t>
            </w:r>
            <w:r>
              <w:rPr>
                <w:rFonts w:hint="eastAsia" w:asciiTheme="minorEastAsia" w:hAnsiTheme="minorEastAsia" w:eastAsiaTheme="minorEastAsia" w:cstheme="minorEastAsia"/>
                <w:sz w:val="20"/>
                <w:szCs w:val="20"/>
                <w:highlight w:val="none"/>
                <w:lang w:val="en-US" w:eastAsia="zh-CN"/>
              </w:rPr>
              <w:br w:type="textWrapping"/>
            </w:r>
            <w:r>
              <w:rPr>
                <w:rFonts w:hint="eastAsia" w:asciiTheme="minorEastAsia" w:hAnsiTheme="minorEastAsia" w:eastAsiaTheme="minorEastAsia" w:cstheme="minorEastAsia"/>
                <w:sz w:val="20"/>
                <w:szCs w:val="20"/>
                <w:highlight w:val="none"/>
                <w:lang w:val="en-US" w:eastAsia="zh-CN"/>
              </w:rPr>
              <w:t>防护性能 超温/过载/掉电/过流/过压/防雷</w:t>
            </w:r>
            <w:r>
              <w:rPr>
                <w:rFonts w:hint="eastAsia" w:asciiTheme="minorEastAsia" w:hAnsiTheme="minorEastAsia" w:eastAsiaTheme="minorEastAsia" w:cstheme="minorEastAsia"/>
                <w:sz w:val="20"/>
                <w:szCs w:val="20"/>
                <w:highlight w:val="none"/>
                <w:lang w:val="en-US" w:eastAsia="zh-CN"/>
              </w:rPr>
              <w:br w:type="textWrapping"/>
            </w:r>
            <w:r>
              <w:rPr>
                <w:rFonts w:hint="eastAsia" w:asciiTheme="minorEastAsia" w:hAnsiTheme="minorEastAsia" w:eastAsiaTheme="minorEastAsia" w:cstheme="minorEastAsia"/>
                <w:sz w:val="20"/>
                <w:szCs w:val="20"/>
                <w:highlight w:val="none"/>
                <w:lang w:val="en-US" w:eastAsia="zh-CN"/>
              </w:rPr>
              <w:t>屏幕水平平整度 ≤1mm/㎡</w:t>
            </w:r>
            <w:r>
              <w:rPr>
                <w:rFonts w:hint="eastAsia" w:asciiTheme="minorEastAsia" w:hAnsiTheme="minorEastAsia" w:eastAsiaTheme="minorEastAsia" w:cstheme="minorEastAsia"/>
                <w:sz w:val="20"/>
                <w:szCs w:val="20"/>
                <w:highlight w:val="none"/>
                <w:lang w:val="en-US" w:eastAsia="zh-CN"/>
              </w:rPr>
              <w:br w:type="textWrapping"/>
            </w:r>
            <w:r>
              <w:rPr>
                <w:rFonts w:hint="eastAsia" w:asciiTheme="minorEastAsia" w:hAnsiTheme="minorEastAsia" w:eastAsiaTheme="minorEastAsia" w:cstheme="minorEastAsia"/>
                <w:sz w:val="20"/>
                <w:szCs w:val="20"/>
                <w:highlight w:val="none"/>
                <w:lang w:val="en-US" w:eastAsia="zh-CN"/>
              </w:rPr>
              <w:t>屏幕垂直平整度 ≤1mm/㎡</w:t>
            </w:r>
            <w:r>
              <w:rPr>
                <w:rFonts w:hint="eastAsia" w:asciiTheme="minorEastAsia" w:hAnsiTheme="minorEastAsia" w:eastAsiaTheme="minorEastAsia" w:cstheme="minorEastAsia"/>
                <w:sz w:val="20"/>
                <w:szCs w:val="20"/>
                <w:highlight w:val="none"/>
                <w:lang w:val="en-US" w:eastAsia="zh-CN"/>
              </w:rPr>
              <w:br w:type="textWrapping"/>
            </w:r>
            <w:r>
              <w:rPr>
                <w:rFonts w:hint="eastAsia" w:asciiTheme="minorEastAsia" w:hAnsiTheme="minorEastAsia" w:eastAsiaTheme="minorEastAsia" w:cstheme="minorEastAsia"/>
                <w:sz w:val="20"/>
                <w:szCs w:val="20"/>
                <w:highlight w:val="none"/>
                <w:lang w:val="en-US" w:eastAsia="zh-CN"/>
              </w:rPr>
              <w:t>像数点间距 10mm 像素密度 10000Dots/㎡</w:t>
            </w:r>
            <w:r>
              <w:rPr>
                <w:rFonts w:hint="eastAsia" w:asciiTheme="minorEastAsia" w:hAnsiTheme="minorEastAsia" w:eastAsiaTheme="minorEastAsia" w:cstheme="minorEastAsia"/>
                <w:sz w:val="20"/>
                <w:szCs w:val="20"/>
                <w:highlight w:val="none"/>
                <w:lang w:val="en-US" w:eastAsia="zh-CN"/>
              </w:rPr>
              <w:br w:type="textWrapping"/>
            </w:r>
            <w:r>
              <w:rPr>
                <w:rFonts w:hint="eastAsia" w:asciiTheme="minorEastAsia" w:hAnsiTheme="minorEastAsia" w:eastAsiaTheme="minorEastAsia" w:cstheme="minorEastAsia"/>
                <w:sz w:val="20"/>
                <w:szCs w:val="20"/>
                <w:highlight w:val="none"/>
                <w:lang w:val="en-US" w:eastAsia="zh-CN"/>
              </w:rPr>
              <w:t>像素构成 1R 灯管封装 SMD2835H</w:t>
            </w:r>
            <w:r>
              <w:rPr>
                <w:rFonts w:hint="eastAsia" w:asciiTheme="minorEastAsia" w:hAnsiTheme="minorEastAsia" w:eastAsiaTheme="minorEastAsia" w:cstheme="minorEastAsia"/>
                <w:sz w:val="20"/>
                <w:szCs w:val="20"/>
                <w:highlight w:val="none"/>
                <w:lang w:val="en-US" w:eastAsia="zh-CN"/>
              </w:rPr>
              <w:br w:type="textWrapping"/>
            </w:r>
            <w:r>
              <w:rPr>
                <w:rFonts w:hint="eastAsia" w:asciiTheme="minorEastAsia" w:hAnsiTheme="minorEastAsia" w:eastAsiaTheme="minorEastAsia" w:cstheme="minorEastAsia"/>
                <w:sz w:val="20"/>
                <w:szCs w:val="20"/>
                <w:highlight w:val="none"/>
                <w:lang w:val="en-US" w:eastAsia="zh-CN"/>
              </w:rPr>
              <w:t>结构特点 灯驱合一 模组分辨率 32*16=512Dots</w:t>
            </w:r>
            <w:r>
              <w:rPr>
                <w:rFonts w:hint="eastAsia" w:asciiTheme="minorEastAsia" w:hAnsiTheme="minorEastAsia" w:eastAsiaTheme="minorEastAsia" w:cstheme="minorEastAsia"/>
                <w:sz w:val="20"/>
                <w:szCs w:val="20"/>
                <w:highlight w:val="none"/>
                <w:lang w:val="en-US" w:eastAsia="zh-CN"/>
              </w:rPr>
              <w:br w:type="textWrapping"/>
            </w:r>
            <w:r>
              <w:rPr>
                <w:rFonts w:hint="eastAsia" w:asciiTheme="minorEastAsia" w:hAnsiTheme="minorEastAsia" w:eastAsiaTheme="minorEastAsia" w:cstheme="minorEastAsia"/>
                <w:sz w:val="20"/>
                <w:szCs w:val="20"/>
                <w:highlight w:val="none"/>
                <w:lang w:val="en-US" w:eastAsia="zh-CN"/>
              </w:rPr>
              <w:t>输入电压(直流) 4.5±0.1V 最大电流 ≤3.5A</w:t>
            </w:r>
            <w:r>
              <w:rPr>
                <w:rFonts w:hint="eastAsia" w:asciiTheme="minorEastAsia" w:hAnsiTheme="minorEastAsia" w:eastAsiaTheme="minorEastAsia" w:cstheme="minorEastAsia"/>
                <w:sz w:val="20"/>
                <w:szCs w:val="20"/>
                <w:highlight w:val="none"/>
                <w:lang w:val="en-US" w:eastAsia="zh-CN"/>
              </w:rPr>
              <w:br w:type="textWrapping"/>
            </w:r>
            <w:r>
              <w:rPr>
                <w:rFonts w:hint="eastAsia" w:asciiTheme="minorEastAsia" w:hAnsiTheme="minorEastAsia" w:eastAsiaTheme="minorEastAsia" w:cstheme="minorEastAsia"/>
                <w:sz w:val="20"/>
                <w:szCs w:val="20"/>
                <w:highlight w:val="none"/>
                <w:lang w:val="en-US" w:eastAsia="zh-CN"/>
              </w:rPr>
              <w:t>模组功率 ≤16W 驱动方式 1/4恒流驱动</w:t>
            </w:r>
            <w:r>
              <w:rPr>
                <w:rFonts w:hint="eastAsia" w:asciiTheme="minorEastAsia" w:hAnsiTheme="minorEastAsia" w:eastAsiaTheme="minorEastAsia" w:cstheme="minorEastAsia"/>
                <w:sz w:val="20"/>
                <w:szCs w:val="20"/>
                <w:highlight w:val="none"/>
                <w:lang w:val="en-US" w:eastAsia="zh-CN"/>
              </w:rPr>
              <w:br w:type="textWrapping"/>
            </w:r>
            <w:r>
              <w:rPr>
                <w:rFonts w:hint="eastAsia" w:asciiTheme="minorEastAsia" w:hAnsiTheme="minorEastAsia" w:eastAsiaTheme="minorEastAsia" w:cstheme="minorEastAsia"/>
                <w:sz w:val="20"/>
                <w:szCs w:val="20"/>
                <w:highlight w:val="none"/>
                <w:lang w:val="en-US" w:eastAsia="zh-CN"/>
              </w:rPr>
              <w:t>40A电源带模组数8-9张，80A电源带模组数17-18张。</w:t>
            </w:r>
            <w:r>
              <w:rPr>
                <w:rFonts w:hint="eastAsia" w:asciiTheme="minorEastAsia" w:hAnsiTheme="minorEastAsia" w:eastAsiaTheme="minorEastAsia" w:cstheme="minorEastAsia"/>
                <w:sz w:val="20"/>
                <w:szCs w:val="20"/>
                <w:highlight w:val="none"/>
                <w:lang w:val="en-US" w:eastAsia="zh-CN"/>
              </w:rPr>
              <w:br w:type="textWrapping"/>
            </w:r>
            <w:r>
              <w:rPr>
                <w:rFonts w:hint="eastAsia" w:asciiTheme="minorEastAsia" w:hAnsiTheme="minorEastAsia" w:eastAsiaTheme="minorEastAsia" w:cstheme="minorEastAsia"/>
                <w:sz w:val="20"/>
                <w:szCs w:val="20"/>
                <w:highlight w:val="none"/>
                <w:lang w:val="en-US" w:eastAsia="zh-CN"/>
              </w:rPr>
              <w:t>LED开关电源10台，铝型材包边7㎡，控制卡1个，可手机控制，布线安装。</w:t>
            </w:r>
          </w:p>
        </w:tc>
        <w:tc>
          <w:tcPr>
            <w:tcW w:w="0" w:type="auto"/>
            <w:noWrap w:val="0"/>
            <w:vAlign w:val="center"/>
          </w:tcPr>
          <w:p w14:paraId="0306B40A">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w:t>
            </w:r>
          </w:p>
        </w:tc>
        <w:tc>
          <w:tcPr>
            <w:tcW w:w="0" w:type="auto"/>
            <w:noWrap w:val="0"/>
            <w:vAlign w:val="center"/>
          </w:tcPr>
          <w:p w14:paraId="35990E4C">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西安市浐灞第一小学</w:t>
            </w:r>
          </w:p>
        </w:tc>
      </w:tr>
      <w:tr w14:paraId="36A25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14:paraId="1750F771">
            <w:pPr>
              <w:keepNext w:val="0"/>
              <w:keepLines w:val="0"/>
              <w:widowControl/>
              <w:suppressLineNumbers w:val="0"/>
              <w:jc w:val="righ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103</w:t>
            </w:r>
          </w:p>
        </w:tc>
        <w:tc>
          <w:tcPr>
            <w:tcW w:w="0" w:type="auto"/>
            <w:noWrap w:val="0"/>
            <w:vAlign w:val="center"/>
          </w:tcPr>
          <w:p w14:paraId="41009710">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LED屏：户外LED电子大屏</w:t>
            </w:r>
          </w:p>
        </w:tc>
        <w:tc>
          <w:tcPr>
            <w:tcW w:w="0" w:type="auto"/>
            <w:noWrap w:val="0"/>
            <w:vAlign w:val="center"/>
          </w:tcPr>
          <w:p w14:paraId="3D49A491">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LED屏：户外LED电子大屏</w:t>
            </w:r>
          </w:p>
        </w:tc>
        <w:tc>
          <w:tcPr>
            <w:tcW w:w="0" w:type="auto"/>
            <w:noWrap w:val="0"/>
            <w:vAlign w:val="center"/>
          </w:tcPr>
          <w:p w14:paraId="69E24CA5">
            <w:pPr>
              <w:bidi w:val="0"/>
              <w:rPr>
                <w:rFonts w:hint="eastAsia" w:asciiTheme="minorEastAsia" w:hAnsiTheme="minorEastAsia" w:eastAsiaTheme="minorEastAsia" w:cstheme="minorEastAsia"/>
                <w:sz w:val="20"/>
                <w:szCs w:val="20"/>
                <w:highlight w:val="none"/>
              </w:rPr>
            </w:pPr>
            <w:r>
              <w:rPr>
                <w:rFonts w:hint="eastAsia" w:asciiTheme="minorEastAsia" w:hAnsiTheme="minorEastAsia" w:eastAsiaTheme="minorEastAsia" w:cstheme="minorEastAsia"/>
                <w:sz w:val="20"/>
                <w:szCs w:val="20"/>
                <w:highlight w:val="none"/>
                <w:lang w:val="en-US" w:eastAsia="zh-CN"/>
              </w:rPr>
              <w:t>（像素点间距4mm；屏幕面积为35.5㎡）                                                                             像素构成：表贴三合一2020（1R1G1B）；像素密度：62500点/㎡；模组分辨率：80点*40点；模组尺寸：320mm*160mm；白平衡亮度：≥600cd/㎡；亮度调节功能：0-100%亮度可调，屏幕亮度具有随环境照度的变化任意调整功能；刷新频率：≥3840Hz；拼接功能：模组、箱体定位柱快速拼接，精准定位；阻燃（防火）：PCB的阻燃等级达到UL94 V-0级；安全防护功能：具有防尘、防腐蚀、防水、防静电、防撞、抗震动、防电磁干扰、抗雷击等功能，具有电源过压、过流、断电保护、分布上电措施、具有实时监控温度、故障报警功能、防盐雾、耐黄变； 模组表面结构：灯珠不反射环境光，对比度高，色彩柔和，墨色一致性好；最大功耗：≤650W/㎡；平均功耗：≤300W/㎡；灯珠耐焊耐热：Tmax=260℃，汇流焊2次；抗电强度：显示模组或LED显示屏应承受50Hz、1500VAC（交流有效值）的试验电压60S不发生绝缘击穿；工作电压：4.5V-5V；供电方式：AC200-240V,50/60Hz；带户外音响。含视频接收卡、处理器、控制设备、电源、线缆、结构等所有辅材及安装</w:t>
            </w:r>
          </w:p>
        </w:tc>
        <w:tc>
          <w:tcPr>
            <w:tcW w:w="0" w:type="auto"/>
            <w:noWrap w:val="0"/>
            <w:vAlign w:val="center"/>
          </w:tcPr>
          <w:p w14:paraId="576DC8A7">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w:t>
            </w:r>
          </w:p>
        </w:tc>
        <w:tc>
          <w:tcPr>
            <w:tcW w:w="0" w:type="auto"/>
            <w:noWrap w:val="0"/>
            <w:vAlign w:val="center"/>
          </w:tcPr>
          <w:p w14:paraId="79CC4402">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西安市浐灞一小创新小学</w:t>
            </w:r>
          </w:p>
        </w:tc>
      </w:tr>
      <w:tr w14:paraId="31228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14:paraId="0EA80757">
            <w:pPr>
              <w:keepNext w:val="0"/>
              <w:keepLines w:val="0"/>
              <w:widowControl/>
              <w:suppressLineNumbers w:val="0"/>
              <w:jc w:val="righ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104</w:t>
            </w:r>
          </w:p>
        </w:tc>
        <w:tc>
          <w:tcPr>
            <w:tcW w:w="0" w:type="auto"/>
            <w:noWrap w:val="0"/>
            <w:vAlign w:val="center"/>
          </w:tcPr>
          <w:p w14:paraId="03680421">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操场设备-作品展示架</w:t>
            </w:r>
          </w:p>
        </w:tc>
        <w:tc>
          <w:tcPr>
            <w:tcW w:w="0" w:type="auto"/>
            <w:noWrap w:val="0"/>
            <w:vAlign w:val="center"/>
          </w:tcPr>
          <w:p w14:paraId="35631137">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展示架</w:t>
            </w:r>
          </w:p>
        </w:tc>
        <w:tc>
          <w:tcPr>
            <w:tcW w:w="0" w:type="auto"/>
            <w:noWrap w:val="0"/>
            <w:vAlign w:val="center"/>
          </w:tcPr>
          <w:p w14:paraId="17098843">
            <w:pPr>
              <w:keepNext w:val="0"/>
              <w:keepLines w:val="0"/>
              <w:widowControl/>
              <w:suppressLineNumbers w:val="0"/>
              <w:jc w:val="left"/>
              <w:textAlignment w:val="center"/>
              <w:rPr>
                <w:rFonts w:hint="eastAsia" w:asciiTheme="minorEastAsia" w:hAnsiTheme="minorEastAsia" w:eastAsiaTheme="minorEastAsia" w:cstheme="minorEastAsia"/>
                <w:sz w:val="20"/>
                <w:szCs w:val="20"/>
                <w:highlight w:val="none"/>
                <w:vertAlign w:val="baseline"/>
              </w:rPr>
            </w:pP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 xml:space="preserve">2600*2300  </w:t>
            </w:r>
          </w:p>
        </w:tc>
        <w:tc>
          <w:tcPr>
            <w:tcW w:w="0" w:type="auto"/>
            <w:noWrap w:val="0"/>
            <w:vAlign w:val="center"/>
          </w:tcPr>
          <w:p w14:paraId="31883ABE">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10</w:t>
            </w:r>
          </w:p>
        </w:tc>
        <w:tc>
          <w:tcPr>
            <w:tcW w:w="0" w:type="auto"/>
            <w:noWrap w:val="0"/>
            <w:vAlign w:val="center"/>
          </w:tcPr>
          <w:p w14:paraId="79117228">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西安市浐灞第四小学</w:t>
            </w:r>
          </w:p>
        </w:tc>
      </w:tr>
      <w:tr w14:paraId="6A566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14:paraId="25E1F7DA">
            <w:pPr>
              <w:keepNext w:val="0"/>
              <w:keepLines w:val="0"/>
              <w:widowControl/>
              <w:suppressLineNumbers w:val="0"/>
              <w:jc w:val="righ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105</w:t>
            </w:r>
          </w:p>
        </w:tc>
        <w:tc>
          <w:tcPr>
            <w:tcW w:w="0" w:type="auto"/>
            <w:noWrap w:val="0"/>
            <w:vAlign w:val="center"/>
          </w:tcPr>
          <w:p w14:paraId="2FC8D0CD">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LED彩色屏</w:t>
            </w:r>
          </w:p>
        </w:tc>
        <w:tc>
          <w:tcPr>
            <w:tcW w:w="0" w:type="auto"/>
            <w:noWrap w:val="0"/>
            <w:vAlign w:val="center"/>
          </w:tcPr>
          <w:p w14:paraId="6008008D">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LED彩色屏</w:t>
            </w:r>
          </w:p>
        </w:tc>
        <w:tc>
          <w:tcPr>
            <w:tcW w:w="0" w:type="auto"/>
            <w:noWrap w:val="0"/>
            <w:vAlign w:val="center"/>
          </w:tcPr>
          <w:p w14:paraId="4BD71C1A">
            <w:pPr>
              <w:keepNext w:val="0"/>
              <w:keepLines w:val="0"/>
              <w:widowControl/>
              <w:suppressLineNumbers w:val="0"/>
              <w:jc w:val="left"/>
              <w:textAlignment w:val="center"/>
              <w:rPr>
                <w:rFonts w:hint="eastAsia" w:asciiTheme="minorEastAsia" w:hAnsiTheme="minorEastAsia" w:eastAsiaTheme="minorEastAsia" w:cstheme="minorEastAsia"/>
                <w:sz w:val="20"/>
                <w:szCs w:val="20"/>
                <w:highlight w:val="none"/>
                <w:vertAlign w:val="baseline"/>
              </w:rPr>
            </w:pP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尺寸:6800*600mm   室内条幅屏</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1.像素结构:SM表贴三合一</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2.LED屏像素点间距:≤3mm</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3.模组尺寸:320mm*160mm</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4.刷新率≥3840Hz</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5.色温:3000K-12000K可调</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6.白平衡亮度:≥500cd/㎡</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7.对比度≥3000:18.高度均匀性多99.5%</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9.平整度:0.2mm</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10.像素密度:160000点/㎡</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11.同时兼容前，后维护，显示屏模组可前、后拆卸维护</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12.整屏失控点数:≤1/1000000</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13.含所有辅材及安装</w:t>
            </w:r>
          </w:p>
        </w:tc>
        <w:tc>
          <w:tcPr>
            <w:tcW w:w="0" w:type="auto"/>
            <w:noWrap w:val="0"/>
            <w:vAlign w:val="center"/>
          </w:tcPr>
          <w:p w14:paraId="798CA669">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4.08</w:t>
            </w:r>
          </w:p>
        </w:tc>
        <w:tc>
          <w:tcPr>
            <w:tcW w:w="0" w:type="auto"/>
            <w:noWrap w:val="0"/>
            <w:vAlign w:val="center"/>
          </w:tcPr>
          <w:p w14:paraId="6B824F2D">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西安市浐灞第八小学</w:t>
            </w:r>
          </w:p>
        </w:tc>
      </w:tr>
      <w:tr w14:paraId="0462A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14:paraId="6435665F">
            <w:pPr>
              <w:keepNext w:val="0"/>
              <w:keepLines w:val="0"/>
              <w:widowControl/>
              <w:suppressLineNumbers w:val="0"/>
              <w:jc w:val="righ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106</w:t>
            </w:r>
          </w:p>
        </w:tc>
        <w:tc>
          <w:tcPr>
            <w:tcW w:w="0" w:type="auto"/>
            <w:noWrap w:val="0"/>
            <w:vAlign w:val="center"/>
          </w:tcPr>
          <w:p w14:paraId="08B1ED71">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弱电：全指向电容话筒</w:t>
            </w:r>
          </w:p>
        </w:tc>
        <w:tc>
          <w:tcPr>
            <w:tcW w:w="0" w:type="auto"/>
            <w:noWrap w:val="0"/>
            <w:vAlign w:val="center"/>
          </w:tcPr>
          <w:p w14:paraId="60C2092C">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全指向电容话筒</w:t>
            </w:r>
          </w:p>
        </w:tc>
        <w:tc>
          <w:tcPr>
            <w:tcW w:w="0" w:type="auto"/>
            <w:noWrap w:val="0"/>
            <w:vAlign w:val="center"/>
          </w:tcPr>
          <w:p w14:paraId="538426BA">
            <w:pPr>
              <w:keepNext w:val="0"/>
              <w:keepLines w:val="0"/>
              <w:widowControl/>
              <w:suppressLineNumbers w:val="0"/>
              <w:jc w:val="left"/>
              <w:textAlignment w:val="center"/>
              <w:rPr>
                <w:rFonts w:hint="eastAsia" w:asciiTheme="minorEastAsia" w:hAnsiTheme="minorEastAsia" w:eastAsiaTheme="minorEastAsia" w:cstheme="minorEastAsia"/>
                <w:sz w:val="20"/>
                <w:szCs w:val="20"/>
                <w:highlight w:val="none"/>
                <w:vertAlign w:val="baseline"/>
              </w:rPr>
            </w:pP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可互换心型、超心型和全指向音头</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48V幻象电源供电</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单体  背极式驻极体</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指向性 可选配心型 / 超心型 / 全指向</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频率范围40Hz-16KHz (±3dB)</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灵敏度  (48V/1.5V) -38dB ±3dB(1dB=1V/Pa at 1KHz)</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输出阻抗  600Ω ±20% (at 1KHz)</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最大声压级  130dB / 115dB (T.H. D≤1% at 1KHz)</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信噪比  70dB (1KHz at 1Pa) (A-Weighted)</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等效噪声级l ≤25dBa</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使用电源  48V DC 2mA</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输出接口  三针公卡侬</w:t>
            </w:r>
          </w:p>
        </w:tc>
        <w:tc>
          <w:tcPr>
            <w:tcW w:w="0" w:type="auto"/>
            <w:noWrap w:val="0"/>
            <w:vAlign w:val="center"/>
          </w:tcPr>
          <w:p w14:paraId="5AD8ABC6">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2</w:t>
            </w:r>
          </w:p>
        </w:tc>
        <w:tc>
          <w:tcPr>
            <w:tcW w:w="0" w:type="auto"/>
            <w:noWrap w:val="0"/>
            <w:vAlign w:val="center"/>
          </w:tcPr>
          <w:p w14:paraId="7E216EF9">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西安市浐灞第八小学</w:t>
            </w:r>
          </w:p>
        </w:tc>
      </w:tr>
      <w:tr w14:paraId="0D34C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14:paraId="03A4EF75">
            <w:pPr>
              <w:keepNext w:val="0"/>
              <w:keepLines w:val="0"/>
              <w:widowControl/>
              <w:suppressLineNumbers w:val="0"/>
              <w:jc w:val="righ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107</w:t>
            </w:r>
          </w:p>
        </w:tc>
        <w:tc>
          <w:tcPr>
            <w:tcW w:w="0" w:type="auto"/>
            <w:noWrap w:val="0"/>
            <w:vAlign w:val="center"/>
          </w:tcPr>
          <w:p w14:paraId="032CC1F3">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弱电：话筒电动升降吊架</w:t>
            </w:r>
          </w:p>
        </w:tc>
        <w:tc>
          <w:tcPr>
            <w:tcW w:w="0" w:type="auto"/>
            <w:noWrap w:val="0"/>
            <w:vAlign w:val="center"/>
          </w:tcPr>
          <w:p w14:paraId="6D6D4099">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话筒电动升降吊架</w:t>
            </w:r>
          </w:p>
        </w:tc>
        <w:tc>
          <w:tcPr>
            <w:tcW w:w="0" w:type="auto"/>
            <w:noWrap w:val="0"/>
            <w:vAlign w:val="center"/>
          </w:tcPr>
          <w:p w14:paraId="1243A1EB">
            <w:pPr>
              <w:keepNext w:val="0"/>
              <w:keepLines w:val="0"/>
              <w:widowControl/>
              <w:suppressLineNumbers w:val="0"/>
              <w:jc w:val="left"/>
              <w:textAlignment w:val="center"/>
              <w:rPr>
                <w:rFonts w:hint="eastAsia" w:asciiTheme="minorEastAsia" w:hAnsiTheme="minorEastAsia" w:eastAsiaTheme="minorEastAsia" w:cstheme="minorEastAsia"/>
                <w:sz w:val="20"/>
                <w:szCs w:val="20"/>
                <w:highlight w:val="none"/>
                <w:vertAlign w:val="baseline"/>
              </w:rPr>
            </w:pP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功耗 ≤40W（待机≤0.5W）</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电机 （直流）</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负重  ≥8KG</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定位方式 电子定位（带双重保护）</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精度 伸缩5mm ，左右偏转 ±1°</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遥控距离 50米（空旷）</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 xml:space="preserve">调节范围 角度可调±10°，丝杆上下可调 </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控制接口 无线遥控，按键、RS232   512群控</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 xml:space="preserve">输入电压 100-240V~50/60Hz </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尺寸  ≥高355*宽310*厚150mm</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安装方式 天花吊装</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存储温度 -20℃～60℃</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工作温度 -10℃～40℃</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工作湿度 20%～80%RH</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MTBF ≥30000小时</w:t>
            </w:r>
          </w:p>
        </w:tc>
        <w:tc>
          <w:tcPr>
            <w:tcW w:w="0" w:type="auto"/>
            <w:noWrap w:val="0"/>
            <w:vAlign w:val="center"/>
          </w:tcPr>
          <w:p w14:paraId="5CCF8B95">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2</w:t>
            </w:r>
          </w:p>
        </w:tc>
        <w:tc>
          <w:tcPr>
            <w:tcW w:w="0" w:type="auto"/>
            <w:noWrap w:val="0"/>
            <w:vAlign w:val="center"/>
          </w:tcPr>
          <w:p w14:paraId="62D16B4C">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西安市浐灞第八小学</w:t>
            </w:r>
          </w:p>
        </w:tc>
      </w:tr>
      <w:tr w14:paraId="5DA8F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14:paraId="4CA2F55B">
            <w:pPr>
              <w:keepNext w:val="0"/>
              <w:keepLines w:val="0"/>
              <w:widowControl/>
              <w:suppressLineNumbers w:val="0"/>
              <w:jc w:val="righ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108</w:t>
            </w:r>
          </w:p>
        </w:tc>
        <w:tc>
          <w:tcPr>
            <w:tcW w:w="0" w:type="auto"/>
            <w:noWrap w:val="0"/>
            <w:vAlign w:val="center"/>
          </w:tcPr>
          <w:p w14:paraId="05B79A3F">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弱电：无线一拖四话筒</w:t>
            </w:r>
          </w:p>
        </w:tc>
        <w:tc>
          <w:tcPr>
            <w:tcW w:w="0" w:type="auto"/>
            <w:noWrap w:val="0"/>
            <w:vAlign w:val="center"/>
          </w:tcPr>
          <w:p w14:paraId="3D6D36AE">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无线一拖四话筒</w:t>
            </w:r>
          </w:p>
        </w:tc>
        <w:tc>
          <w:tcPr>
            <w:tcW w:w="0" w:type="auto"/>
            <w:noWrap w:val="0"/>
            <w:vAlign w:val="center"/>
          </w:tcPr>
          <w:p w14:paraId="69C8D02C">
            <w:pPr>
              <w:keepNext w:val="0"/>
              <w:keepLines w:val="0"/>
              <w:widowControl/>
              <w:suppressLineNumbers w:val="0"/>
              <w:jc w:val="left"/>
              <w:textAlignment w:val="center"/>
              <w:rPr>
                <w:rFonts w:hint="eastAsia" w:asciiTheme="minorEastAsia" w:hAnsiTheme="minorEastAsia" w:eastAsiaTheme="minorEastAsia" w:cstheme="minorEastAsia"/>
                <w:sz w:val="20"/>
                <w:szCs w:val="20"/>
                <w:highlight w:val="none"/>
                <w:vertAlign w:val="baseline"/>
              </w:rPr>
            </w:pP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1. 内置4编组叠机频率,一键调取. 同一频段可同时轻松叠机四套使用.</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 xml:space="preserve">2 具有IR红外线自动对频功能,独立式的防误触系统锁键. </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3. 四通道音量独立可调. 提供4+1共5通道音频输出.四通道各音频音量输出独立可控.</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4.提供多种发射器可选. 发射器有会议式/手持式/领夹式 可以混搭使用</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5. 彩色LED显示屏指示了话筒编号与RF和AF信号强度，频率，频率组/频道等工作状态.</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6. 主机四通道频率范围,发射器可以随意配对任意通道.和随时互换。</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 xml:space="preserve">500MHZ~900MHZ 频率范围. </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 xml:space="preserve">接收机系统指标 </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频率范围 : 610~670 MHz</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调制方式 : FM</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可调范围 : 50MHz</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信道数目: 200</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信道间隔 : 300KHz</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频率稳定度:±0.005%</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动态范围 :100dB</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最大频偏 Max frequency deviation</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音频响应 : 80Hz-18KHz(±3dB)</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综合信噪比 SNR: ≥105 dB</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综合失真 : ≤0.5%</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工作温度 : -10℃ -+40 ℃</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 xml:space="preserve">接收机指标 </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 xml:space="preserve">接收机方式：二次变频超外差 </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中频频率 ：第一中频  ：110MHz,  10.7MHz</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无线接口  ：BNC/50Ω</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灵敏度  ：12dBμV（80DbS/N）</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灵敏度调节范围 ：12-32 dBμV</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杂散抑制 ： ≥75dB</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最大输出电平 ：+10dBV</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 xml:space="preserve">工作电压电流: 12V 1000mA </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 xml:space="preserve"> </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 xml:space="preserve">发射器指标 </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无线程式：佩挂发射器采用1/4波长鞭状天线，手持麦克风内置螺旋天线</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输出功率 ：高功率15mW; 低功率 8mW</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杂散抑制 ：-60dB</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 xml:space="preserve">供电  ：两节AA电池 2 AA </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使用距离: ≥80米</w:t>
            </w:r>
          </w:p>
        </w:tc>
        <w:tc>
          <w:tcPr>
            <w:tcW w:w="0" w:type="auto"/>
            <w:noWrap w:val="0"/>
            <w:vAlign w:val="center"/>
          </w:tcPr>
          <w:p w14:paraId="2BCF6E8D">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w:t>
            </w:r>
          </w:p>
        </w:tc>
        <w:tc>
          <w:tcPr>
            <w:tcW w:w="0" w:type="auto"/>
            <w:noWrap w:val="0"/>
            <w:vAlign w:val="center"/>
          </w:tcPr>
          <w:p w14:paraId="74254D4A">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西安市浐灞第八小学</w:t>
            </w:r>
          </w:p>
        </w:tc>
      </w:tr>
      <w:tr w14:paraId="2CB20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14:paraId="6C203992">
            <w:pPr>
              <w:keepNext w:val="0"/>
              <w:keepLines w:val="0"/>
              <w:widowControl/>
              <w:suppressLineNumbers w:val="0"/>
              <w:jc w:val="righ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109</w:t>
            </w:r>
          </w:p>
        </w:tc>
        <w:tc>
          <w:tcPr>
            <w:tcW w:w="0" w:type="auto"/>
            <w:noWrap w:val="0"/>
            <w:vAlign w:val="center"/>
          </w:tcPr>
          <w:p w14:paraId="68339392">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弱电：数字话筒效果处理器</w:t>
            </w:r>
          </w:p>
        </w:tc>
        <w:tc>
          <w:tcPr>
            <w:tcW w:w="0" w:type="auto"/>
            <w:noWrap w:val="0"/>
            <w:vAlign w:val="center"/>
          </w:tcPr>
          <w:p w14:paraId="1E0726B6">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数字话筒效果处理器</w:t>
            </w:r>
          </w:p>
        </w:tc>
        <w:tc>
          <w:tcPr>
            <w:tcW w:w="0" w:type="auto"/>
            <w:noWrap w:val="0"/>
            <w:vAlign w:val="center"/>
          </w:tcPr>
          <w:p w14:paraId="52E18B9F">
            <w:pPr>
              <w:keepNext w:val="0"/>
              <w:keepLines w:val="0"/>
              <w:widowControl/>
              <w:suppressLineNumbers w:val="0"/>
              <w:jc w:val="left"/>
              <w:textAlignment w:val="center"/>
              <w:rPr>
                <w:rFonts w:hint="eastAsia" w:asciiTheme="minorEastAsia" w:hAnsiTheme="minorEastAsia" w:eastAsiaTheme="minorEastAsia" w:cstheme="minorEastAsia"/>
                <w:sz w:val="20"/>
                <w:szCs w:val="20"/>
                <w:highlight w:val="none"/>
                <w:vertAlign w:val="baseline"/>
              </w:rPr>
            </w:pP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乐卡侬输入、8路输出，双路话筒调节、音乐动态均衡;</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带音箱处理器功能，主通道、超低音、中置、辅助独立可调;全参量均衡;(音乐15段,麦克风20段.)</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全新电脑操作界面，支持效果另存及发送,操作简单直观;</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独有回声\混响效果参量均衡;(PEQ\LSH\HSH切换)</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辅助声道（包括超低音）音乐及麦克风参数独立可调;各通道延时功能，适应各种形状房型及音箱摆位;第五代反馈抑制方案;</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自主开发全新电路，宽频响。高速CPu，处理更精细;带录音输出，输出参数可独立控制;</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管理员/用户模式切换，确保系统安全;</w:t>
            </w:r>
          </w:p>
        </w:tc>
        <w:tc>
          <w:tcPr>
            <w:tcW w:w="0" w:type="auto"/>
            <w:noWrap w:val="0"/>
            <w:vAlign w:val="center"/>
          </w:tcPr>
          <w:p w14:paraId="498164EE">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w:t>
            </w:r>
          </w:p>
        </w:tc>
        <w:tc>
          <w:tcPr>
            <w:tcW w:w="0" w:type="auto"/>
            <w:noWrap w:val="0"/>
            <w:vAlign w:val="center"/>
          </w:tcPr>
          <w:p w14:paraId="79B6FEF2">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西安市浐灞第八小学</w:t>
            </w:r>
          </w:p>
        </w:tc>
      </w:tr>
      <w:tr w14:paraId="48F8C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14:paraId="2F84D78B">
            <w:pPr>
              <w:keepNext w:val="0"/>
              <w:keepLines w:val="0"/>
              <w:widowControl/>
              <w:suppressLineNumbers w:val="0"/>
              <w:jc w:val="righ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110</w:t>
            </w:r>
          </w:p>
        </w:tc>
        <w:tc>
          <w:tcPr>
            <w:tcW w:w="0" w:type="auto"/>
            <w:noWrap w:val="0"/>
            <w:vAlign w:val="center"/>
          </w:tcPr>
          <w:p w14:paraId="2F7F7461">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弱电：4路音频切换器</w:t>
            </w:r>
          </w:p>
        </w:tc>
        <w:tc>
          <w:tcPr>
            <w:tcW w:w="0" w:type="auto"/>
            <w:noWrap w:val="0"/>
            <w:vAlign w:val="center"/>
          </w:tcPr>
          <w:p w14:paraId="57935E9C">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4路音频切换器</w:t>
            </w:r>
          </w:p>
        </w:tc>
        <w:tc>
          <w:tcPr>
            <w:tcW w:w="0" w:type="auto"/>
            <w:noWrap w:val="0"/>
            <w:vAlign w:val="center"/>
          </w:tcPr>
          <w:p w14:paraId="3A3A5495">
            <w:pPr>
              <w:keepNext w:val="0"/>
              <w:keepLines w:val="0"/>
              <w:widowControl/>
              <w:suppressLineNumbers w:val="0"/>
              <w:jc w:val="left"/>
              <w:textAlignment w:val="center"/>
              <w:rPr>
                <w:rFonts w:hint="eastAsia" w:asciiTheme="minorEastAsia" w:hAnsiTheme="minorEastAsia" w:eastAsiaTheme="minorEastAsia" w:cstheme="minorEastAsia"/>
                <w:sz w:val="20"/>
                <w:szCs w:val="20"/>
                <w:highlight w:val="none"/>
                <w:vertAlign w:val="baseline"/>
              </w:rPr>
            </w:pP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4切1音频切换器</w:t>
            </w:r>
          </w:p>
        </w:tc>
        <w:tc>
          <w:tcPr>
            <w:tcW w:w="0" w:type="auto"/>
            <w:noWrap w:val="0"/>
            <w:vAlign w:val="center"/>
          </w:tcPr>
          <w:p w14:paraId="325B8413">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w:t>
            </w:r>
          </w:p>
        </w:tc>
        <w:tc>
          <w:tcPr>
            <w:tcW w:w="0" w:type="auto"/>
            <w:noWrap w:val="0"/>
            <w:vAlign w:val="center"/>
          </w:tcPr>
          <w:p w14:paraId="7A9EB8B7">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西安市浐灞第八小学</w:t>
            </w:r>
          </w:p>
        </w:tc>
      </w:tr>
      <w:tr w14:paraId="6280D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14:paraId="01EB6683">
            <w:pPr>
              <w:keepNext w:val="0"/>
              <w:keepLines w:val="0"/>
              <w:widowControl/>
              <w:suppressLineNumbers w:val="0"/>
              <w:jc w:val="righ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111</w:t>
            </w:r>
          </w:p>
        </w:tc>
        <w:tc>
          <w:tcPr>
            <w:tcW w:w="0" w:type="auto"/>
            <w:noWrap w:val="0"/>
            <w:vAlign w:val="center"/>
          </w:tcPr>
          <w:p w14:paraId="7F4A0895">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弱电：AP及配套材料</w:t>
            </w:r>
          </w:p>
        </w:tc>
        <w:tc>
          <w:tcPr>
            <w:tcW w:w="0" w:type="auto"/>
            <w:noWrap w:val="0"/>
            <w:vAlign w:val="center"/>
          </w:tcPr>
          <w:p w14:paraId="703E3763">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AP及配套材料</w:t>
            </w:r>
          </w:p>
        </w:tc>
        <w:tc>
          <w:tcPr>
            <w:tcW w:w="0" w:type="auto"/>
            <w:noWrap w:val="0"/>
            <w:vAlign w:val="center"/>
          </w:tcPr>
          <w:p w14:paraId="79CFF258">
            <w:pPr>
              <w:keepNext w:val="0"/>
              <w:keepLines w:val="0"/>
              <w:widowControl/>
              <w:suppressLineNumbers w:val="0"/>
              <w:jc w:val="left"/>
              <w:textAlignment w:val="center"/>
              <w:rPr>
                <w:rFonts w:hint="eastAsia" w:asciiTheme="minorEastAsia" w:hAnsiTheme="minorEastAsia" w:eastAsiaTheme="minorEastAsia" w:cstheme="minorEastAsia"/>
                <w:sz w:val="20"/>
                <w:szCs w:val="20"/>
                <w:highlight w:val="none"/>
                <w:vertAlign w:val="baseline"/>
              </w:rPr>
            </w:pP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1、支持802.11ax协议；整机支持≥4条空间流；整机最大无线速率≥2.97Gbps。</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2、由于AP部署在开放环境中，为保障设备受到外部机械碰撞仍可以保持结构完整、功能完备，要求所投室内无线接入点符合国标GB/T 20138-2006即《电器设备外壳对外界机械碰撞的防护等级（IK代码）》标准，至少达到防护等级IK08。</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3、内置蓝牙5.1及以上。</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4、至少支持1个1000M自适应以太网端口；至少支持1个2.5G SFP光口。</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5、支持1024QAM调制解调方式。</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6、支持SSID隐藏，支持为每个SSID配置单独的认证方式、加密机制，VLAN属性。</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7、AP整机最大终端接入数≥128个。</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含安装、调试</w:t>
            </w:r>
          </w:p>
        </w:tc>
        <w:tc>
          <w:tcPr>
            <w:tcW w:w="0" w:type="auto"/>
            <w:noWrap w:val="0"/>
            <w:vAlign w:val="center"/>
          </w:tcPr>
          <w:p w14:paraId="2C501D3F">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10</w:t>
            </w:r>
          </w:p>
        </w:tc>
        <w:tc>
          <w:tcPr>
            <w:tcW w:w="0" w:type="auto"/>
            <w:noWrap w:val="0"/>
            <w:vAlign w:val="center"/>
          </w:tcPr>
          <w:p w14:paraId="7436AB3E">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西安市浐灞第二十三小学</w:t>
            </w:r>
          </w:p>
        </w:tc>
      </w:tr>
      <w:tr w14:paraId="5D69C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14:paraId="4FD05BA7">
            <w:pPr>
              <w:keepNext w:val="0"/>
              <w:keepLines w:val="0"/>
              <w:widowControl/>
              <w:suppressLineNumbers w:val="0"/>
              <w:jc w:val="righ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112</w:t>
            </w:r>
          </w:p>
        </w:tc>
        <w:tc>
          <w:tcPr>
            <w:tcW w:w="0" w:type="auto"/>
            <w:noWrap w:val="0"/>
            <w:vAlign w:val="center"/>
          </w:tcPr>
          <w:p w14:paraId="48BBB8DD">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弱电：监控摄像头及配套材料</w:t>
            </w:r>
          </w:p>
        </w:tc>
        <w:tc>
          <w:tcPr>
            <w:tcW w:w="0" w:type="auto"/>
            <w:noWrap w:val="0"/>
            <w:vAlign w:val="center"/>
          </w:tcPr>
          <w:p w14:paraId="28F43487">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监控摄像头及配套材料</w:t>
            </w:r>
          </w:p>
        </w:tc>
        <w:tc>
          <w:tcPr>
            <w:tcW w:w="0" w:type="auto"/>
            <w:noWrap w:val="0"/>
            <w:vAlign w:val="center"/>
          </w:tcPr>
          <w:p w14:paraId="2649812B">
            <w:pPr>
              <w:keepNext w:val="0"/>
              <w:keepLines w:val="0"/>
              <w:widowControl/>
              <w:suppressLineNumbers w:val="0"/>
              <w:jc w:val="left"/>
              <w:textAlignment w:val="center"/>
              <w:rPr>
                <w:rFonts w:hint="eastAsia" w:asciiTheme="minorEastAsia" w:hAnsiTheme="minorEastAsia" w:eastAsiaTheme="minorEastAsia" w:cstheme="minorEastAsia"/>
                <w:sz w:val="20"/>
                <w:szCs w:val="20"/>
                <w:highlight w:val="none"/>
                <w:vertAlign w:val="baseline"/>
              </w:rPr>
            </w:pP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1.采用AI ISP技术，支持周界防范（绊线入侵，区域入侵）、SMD Plus(人形/车形检测)</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2.≥800万像素1/1.8英寸CMOS图像传感器，低照度效果好，图像清晰度高</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3.默认可输出≥800万(3840×2160)@20fps，最大可输出≥400万(2688×1520)@25fps</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4.支持H.265编码，压缩比高，实现超低码流传输</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5.内置高效暖光补光灯，最大监控距离30米</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6.支持走廊模式，宽动态，3D降噪，强光抑制，背光补偿，数字水印，适用不同监控环境</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7.支持ROI，SMART H.264/H.265，灵活编码，适用不同带宽和存储环境</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8.内置麦克风</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9.支持DC12V/PoE供电方式</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10.支持≥IP67防护等级</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含安装、并入到学校现有监控系统。</w:t>
            </w:r>
          </w:p>
        </w:tc>
        <w:tc>
          <w:tcPr>
            <w:tcW w:w="0" w:type="auto"/>
            <w:noWrap w:val="0"/>
            <w:vAlign w:val="center"/>
          </w:tcPr>
          <w:p w14:paraId="5520A64F">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8</w:t>
            </w:r>
          </w:p>
        </w:tc>
        <w:tc>
          <w:tcPr>
            <w:tcW w:w="0" w:type="auto"/>
            <w:noWrap w:val="0"/>
            <w:vAlign w:val="center"/>
          </w:tcPr>
          <w:p w14:paraId="58B7550E">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西安市浐灞第二十三小学</w:t>
            </w:r>
          </w:p>
        </w:tc>
      </w:tr>
      <w:tr w14:paraId="01511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14:paraId="72FA6797">
            <w:pPr>
              <w:keepNext w:val="0"/>
              <w:keepLines w:val="0"/>
              <w:widowControl/>
              <w:suppressLineNumbers w:val="0"/>
              <w:jc w:val="righ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113</w:t>
            </w:r>
          </w:p>
        </w:tc>
        <w:tc>
          <w:tcPr>
            <w:tcW w:w="0" w:type="auto"/>
            <w:noWrap w:val="0"/>
            <w:vAlign w:val="center"/>
          </w:tcPr>
          <w:p w14:paraId="2F36A2D5">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弱电：网络交换机及配套材料</w:t>
            </w:r>
          </w:p>
        </w:tc>
        <w:tc>
          <w:tcPr>
            <w:tcW w:w="0" w:type="auto"/>
            <w:noWrap w:val="0"/>
            <w:vAlign w:val="center"/>
          </w:tcPr>
          <w:p w14:paraId="51645BCD">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网络交换机及配套材料</w:t>
            </w:r>
          </w:p>
        </w:tc>
        <w:tc>
          <w:tcPr>
            <w:tcW w:w="0" w:type="auto"/>
            <w:noWrap w:val="0"/>
            <w:vAlign w:val="center"/>
          </w:tcPr>
          <w:p w14:paraId="497D59D6">
            <w:pPr>
              <w:keepNext w:val="0"/>
              <w:keepLines w:val="0"/>
              <w:widowControl/>
              <w:suppressLineNumbers w:val="0"/>
              <w:jc w:val="left"/>
              <w:textAlignment w:val="center"/>
              <w:rPr>
                <w:rFonts w:hint="eastAsia" w:asciiTheme="minorEastAsia" w:hAnsiTheme="minorEastAsia" w:eastAsiaTheme="minorEastAsia" w:cstheme="minorEastAsia"/>
                <w:sz w:val="20"/>
                <w:szCs w:val="20"/>
                <w:highlight w:val="none"/>
                <w:vertAlign w:val="baseline"/>
              </w:rPr>
            </w:pP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1、千兆电 口 ≥48 个，千兆 SFP 光口≥4 个； Console 口 ≥1 个，Manage 口 ≥1 个；</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2、交换容量≥400Gbp s，包转发率≥130Mpps； 支持 MAC 地址≥32K；</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3、支持防网关 ARP 欺骗</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4、支持通过 APP 进行远程管理</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5、支持基于终端类型自动识别结果，禁止非法 终端(例如私接路由器)接入；</w:t>
            </w:r>
          </w:p>
        </w:tc>
        <w:tc>
          <w:tcPr>
            <w:tcW w:w="0" w:type="auto"/>
            <w:noWrap w:val="0"/>
            <w:vAlign w:val="center"/>
          </w:tcPr>
          <w:p w14:paraId="0C6DF74D">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2</w:t>
            </w:r>
          </w:p>
        </w:tc>
        <w:tc>
          <w:tcPr>
            <w:tcW w:w="0" w:type="auto"/>
            <w:noWrap w:val="0"/>
            <w:vAlign w:val="center"/>
          </w:tcPr>
          <w:p w14:paraId="5BA63142">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西安市浐灞第二十三小学</w:t>
            </w:r>
          </w:p>
        </w:tc>
      </w:tr>
      <w:tr w14:paraId="44CAB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14:paraId="3EDCE92B">
            <w:pPr>
              <w:keepNext w:val="0"/>
              <w:keepLines w:val="0"/>
              <w:widowControl/>
              <w:suppressLineNumbers w:val="0"/>
              <w:jc w:val="righ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114</w:t>
            </w:r>
          </w:p>
        </w:tc>
        <w:tc>
          <w:tcPr>
            <w:tcW w:w="0" w:type="auto"/>
            <w:noWrap w:val="0"/>
            <w:vAlign w:val="center"/>
          </w:tcPr>
          <w:p w14:paraId="56EE5768">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弱电：10TB硬盘</w:t>
            </w:r>
          </w:p>
        </w:tc>
        <w:tc>
          <w:tcPr>
            <w:tcW w:w="0" w:type="auto"/>
            <w:noWrap w:val="0"/>
            <w:vAlign w:val="center"/>
          </w:tcPr>
          <w:p w14:paraId="48C7AE1D">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10TB硬盘</w:t>
            </w:r>
          </w:p>
        </w:tc>
        <w:tc>
          <w:tcPr>
            <w:tcW w:w="0" w:type="auto"/>
            <w:noWrap w:val="0"/>
            <w:vAlign w:val="center"/>
          </w:tcPr>
          <w:p w14:paraId="118D8FFF">
            <w:pPr>
              <w:keepNext w:val="0"/>
              <w:keepLines w:val="0"/>
              <w:widowControl/>
              <w:suppressLineNumbers w:val="0"/>
              <w:jc w:val="left"/>
              <w:textAlignment w:val="center"/>
              <w:rPr>
                <w:rFonts w:hint="eastAsia" w:asciiTheme="minorEastAsia" w:hAnsiTheme="minorEastAsia" w:eastAsiaTheme="minorEastAsia" w:cstheme="minorEastAsia"/>
                <w:sz w:val="20"/>
                <w:szCs w:val="20"/>
                <w:highlight w:val="none"/>
                <w:vertAlign w:val="baseline"/>
              </w:rPr>
            </w:pP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≥10TB容量、7200转/分钟、256MB缓存、SATA3接口、3.5英寸企业级硬盘</w:t>
            </w:r>
          </w:p>
        </w:tc>
        <w:tc>
          <w:tcPr>
            <w:tcW w:w="0" w:type="auto"/>
            <w:noWrap w:val="0"/>
            <w:vAlign w:val="center"/>
          </w:tcPr>
          <w:p w14:paraId="35419965">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16</w:t>
            </w:r>
          </w:p>
        </w:tc>
        <w:tc>
          <w:tcPr>
            <w:tcW w:w="0" w:type="auto"/>
            <w:noWrap w:val="0"/>
            <w:vAlign w:val="center"/>
          </w:tcPr>
          <w:p w14:paraId="7AE44D8C">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西安市浐灞第二十三小学</w:t>
            </w:r>
          </w:p>
        </w:tc>
      </w:tr>
      <w:tr w14:paraId="1C87E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noWrap w:val="0"/>
            <w:vAlign w:val="center"/>
          </w:tcPr>
          <w:p w14:paraId="7D29395F">
            <w:pPr>
              <w:keepNext w:val="0"/>
              <w:keepLines w:val="0"/>
              <w:widowControl/>
              <w:suppressLineNumbers w:val="0"/>
              <w:jc w:val="righ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115</w:t>
            </w:r>
          </w:p>
        </w:tc>
        <w:tc>
          <w:tcPr>
            <w:tcW w:w="0" w:type="auto"/>
            <w:noWrap w:val="0"/>
            <w:vAlign w:val="center"/>
          </w:tcPr>
          <w:p w14:paraId="588EEC43">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LED专用控制电脑</w:t>
            </w:r>
          </w:p>
        </w:tc>
        <w:tc>
          <w:tcPr>
            <w:tcW w:w="0" w:type="auto"/>
            <w:noWrap w:val="0"/>
            <w:vAlign w:val="center"/>
          </w:tcPr>
          <w:p w14:paraId="21C50C34">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控制电脑</w:t>
            </w:r>
          </w:p>
        </w:tc>
        <w:tc>
          <w:tcPr>
            <w:tcW w:w="0" w:type="auto"/>
            <w:noWrap w:val="0"/>
            <w:vAlign w:val="center"/>
          </w:tcPr>
          <w:p w14:paraId="3586E2E3">
            <w:pPr>
              <w:keepNext w:val="0"/>
              <w:keepLines w:val="0"/>
              <w:widowControl/>
              <w:suppressLineNumbers w:val="0"/>
              <w:jc w:val="left"/>
              <w:textAlignment w:val="center"/>
              <w:rPr>
                <w:rFonts w:hint="eastAsia" w:asciiTheme="minorEastAsia" w:hAnsiTheme="minorEastAsia" w:eastAsiaTheme="minorEastAsia" w:cstheme="minorEastAsia"/>
                <w:sz w:val="20"/>
                <w:szCs w:val="20"/>
                <w:highlight w:val="none"/>
                <w:vertAlign w:val="baseline"/>
              </w:rPr>
            </w:pP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1、处理器：性能 ≥KX-U6780A处理器，八核，主频 ≥2.7GHz</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2、内存： ≥16GB DDR4 UDIMM内存，配置≥2个内存插槽；</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3、显卡： ≥4G现存独立显卡，支持VGA+HDMI接口，支持4K视频输出；</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4、硬盘：≥512GB M.2光驱 选配Slim DVD RW；</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5、电源：电源功率≤180W；</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6、网络：1个RJ45 10/100/1000自适应以太网口；</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7、接口扩展：1个PCIe x16，2个PCIe x1扩展槽；USB接口≥8个（其中前置USB3.0数量≥4个，后置USB3.0数量≥2个，USB2.0数频接口；</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8、数据安全：1、支持基于BIOS级的一键备份和恢复的功能（非操作系统自带功能）；2、BIOS级USB屏蔽及智能USB数据保护：USB支持BIOS下全部接口一键开关，前后分组开关；针对存储设备支持全部USB接口一键切换禁止访问模式/只读模式。</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9、显示器：≥23.8英寸。                                                                                                                                                      10、出厂麒麟或统信系统量≥2个），音频接口：麦克风1个，耳机1个；后端3个Audio音</w:t>
            </w:r>
          </w:p>
        </w:tc>
        <w:tc>
          <w:tcPr>
            <w:tcW w:w="0" w:type="auto"/>
            <w:noWrap w:val="0"/>
            <w:vAlign w:val="center"/>
          </w:tcPr>
          <w:p w14:paraId="3E1C5C23">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3</w:t>
            </w:r>
          </w:p>
        </w:tc>
        <w:tc>
          <w:tcPr>
            <w:tcW w:w="0" w:type="auto"/>
            <w:noWrap w:val="0"/>
            <w:vAlign w:val="center"/>
          </w:tcPr>
          <w:p w14:paraId="1EC100C9">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浐灞国际港第一学校（暂定名）</w:t>
            </w:r>
          </w:p>
        </w:tc>
      </w:tr>
      <w:tr w14:paraId="07626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14:paraId="7BB2ADD4">
            <w:pPr>
              <w:keepNext w:val="0"/>
              <w:keepLines w:val="0"/>
              <w:widowControl/>
              <w:suppressLineNumbers w:val="0"/>
              <w:jc w:val="righ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116</w:t>
            </w:r>
          </w:p>
        </w:tc>
        <w:tc>
          <w:tcPr>
            <w:tcW w:w="0" w:type="auto"/>
            <w:noWrap w:val="0"/>
            <w:vAlign w:val="center"/>
          </w:tcPr>
          <w:p w14:paraId="7579E0C6">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弱电：出口路由</w:t>
            </w:r>
          </w:p>
        </w:tc>
        <w:tc>
          <w:tcPr>
            <w:tcW w:w="0" w:type="auto"/>
            <w:noWrap w:val="0"/>
            <w:vAlign w:val="center"/>
          </w:tcPr>
          <w:p w14:paraId="0D7B3520">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出口路由</w:t>
            </w:r>
          </w:p>
        </w:tc>
        <w:tc>
          <w:tcPr>
            <w:tcW w:w="0" w:type="auto"/>
            <w:noWrap w:val="0"/>
            <w:vAlign w:val="center"/>
          </w:tcPr>
          <w:p w14:paraId="033AA7E0">
            <w:pPr>
              <w:keepNext w:val="0"/>
              <w:keepLines w:val="0"/>
              <w:widowControl/>
              <w:suppressLineNumbers w:val="0"/>
              <w:jc w:val="left"/>
              <w:textAlignment w:val="center"/>
              <w:rPr>
                <w:rFonts w:hint="eastAsia" w:asciiTheme="minorEastAsia" w:hAnsiTheme="minorEastAsia" w:eastAsiaTheme="minorEastAsia" w:cstheme="minorEastAsia"/>
                <w:sz w:val="20"/>
                <w:szCs w:val="20"/>
                <w:highlight w:val="none"/>
                <w:vertAlign w:val="baseline"/>
              </w:rPr>
            </w:pP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1.支持固化千兆电口≥8个，固化千兆光口≥1个，固化万兆光口≥1个；</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2.支持1个硬盘，硬盘容量≥1TB；</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3.支持内存≥2GB</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4.所投产品URL数据库、应用分类库、地址库、内容审计特征库、支持在产品维保期内免费升级，</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6.支持正向DNS代理功能。</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10.支持状态检测防火墙，支持TCP/UDP/ICMP/IP分片包等报文过滤；</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11.设备支持IPv6</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12.支持URL的黑白名单；</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13.支持基于对象的访问控制；</w:t>
            </w:r>
          </w:p>
        </w:tc>
        <w:tc>
          <w:tcPr>
            <w:tcW w:w="0" w:type="auto"/>
            <w:noWrap w:val="0"/>
            <w:vAlign w:val="center"/>
          </w:tcPr>
          <w:p w14:paraId="78A2A91C">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w:t>
            </w:r>
          </w:p>
        </w:tc>
        <w:tc>
          <w:tcPr>
            <w:tcW w:w="0" w:type="auto"/>
            <w:noWrap w:val="0"/>
            <w:vAlign w:val="center"/>
          </w:tcPr>
          <w:p w14:paraId="75A831F1">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浐灞国际港第一学校（暂定名）</w:t>
            </w:r>
          </w:p>
        </w:tc>
      </w:tr>
      <w:tr w14:paraId="5DD21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14:paraId="36FB52C0">
            <w:pPr>
              <w:keepNext w:val="0"/>
              <w:keepLines w:val="0"/>
              <w:widowControl/>
              <w:suppressLineNumbers w:val="0"/>
              <w:jc w:val="righ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117</w:t>
            </w:r>
          </w:p>
        </w:tc>
        <w:tc>
          <w:tcPr>
            <w:tcW w:w="0" w:type="auto"/>
            <w:noWrap w:val="0"/>
            <w:vAlign w:val="center"/>
          </w:tcPr>
          <w:p w14:paraId="0D57F12D">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弱电：汇聚交换机</w:t>
            </w:r>
          </w:p>
        </w:tc>
        <w:tc>
          <w:tcPr>
            <w:tcW w:w="0" w:type="auto"/>
            <w:noWrap w:val="0"/>
            <w:vAlign w:val="center"/>
          </w:tcPr>
          <w:p w14:paraId="3DDBDE4A">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汇聚交换机</w:t>
            </w:r>
          </w:p>
        </w:tc>
        <w:tc>
          <w:tcPr>
            <w:tcW w:w="0" w:type="auto"/>
            <w:noWrap w:val="0"/>
            <w:vAlign w:val="center"/>
          </w:tcPr>
          <w:p w14:paraId="3F2C8656">
            <w:pPr>
              <w:keepNext w:val="0"/>
              <w:keepLines w:val="0"/>
              <w:widowControl/>
              <w:suppressLineNumbers w:val="0"/>
              <w:jc w:val="left"/>
              <w:textAlignment w:val="center"/>
              <w:rPr>
                <w:rFonts w:hint="eastAsia" w:asciiTheme="minorEastAsia" w:hAnsiTheme="minorEastAsia" w:eastAsiaTheme="minorEastAsia" w:cstheme="minorEastAsia"/>
                <w:sz w:val="20"/>
                <w:szCs w:val="20"/>
                <w:highlight w:val="none"/>
                <w:vertAlign w:val="baseline"/>
              </w:rPr>
            </w:pP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1、千兆光口≥24个，千兆combo电口≥4个，万兆SFP+光口≥4个，Console口≥1个、Manage口≥1个。提供交换机面板端口截图证明；</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 xml:space="preserve">2、交换性能≥430Gbps，包转发率≥156Mpps（若存在双参数，以较小参数为准）；支持MAC地址≥16K，支持4K个VLAN，支持STP、RSTP、MSTP协议，支持IGMP v1/v2/v3 Snooping；支持IEEE 802.3az 标准的 EEE节能技术； </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3、支持智能交换机和普通交换机两种工作模式。</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4、支持M-LAG技术，跨设备链路聚合（非堆叠技术实现）。</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5、支持终端类型库；</w:t>
            </w:r>
          </w:p>
        </w:tc>
        <w:tc>
          <w:tcPr>
            <w:tcW w:w="0" w:type="auto"/>
            <w:noWrap w:val="0"/>
            <w:vAlign w:val="center"/>
          </w:tcPr>
          <w:p w14:paraId="1F542549">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2</w:t>
            </w:r>
          </w:p>
        </w:tc>
        <w:tc>
          <w:tcPr>
            <w:tcW w:w="0" w:type="auto"/>
            <w:noWrap w:val="0"/>
            <w:vAlign w:val="center"/>
          </w:tcPr>
          <w:p w14:paraId="1A285653">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浐灞国际港第一学校（暂定名）</w:t>
            </w:r>
          </w:p>
        </w:tc>
      </w:tr>
      <w:tr w14:paraId="04AB0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14:paraId="254CFE55">
            <w:pPr>
              <w:keepNext w:val="0"/>
              <w:keepLines w:val="0"/>
              <w:widowControl/>
              <w:suppressLineNumbers w:val="0"/>
              <w:jc w:val="righ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118</w:t>
            </w:r>
          </w:p>
        </w:tc>
        <w:tc>
          <w:tcPr>
            <w:tcW w:w="0" w:type="auto"/>
            <w:noWrap w:val="0"/>
            <w:vAlign w:val="center"/>
          </w:tcPr>
          <w:p w14:paraId="0A1FBF8F">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弱电：UPS电源</w:t>
            </w:r>
          </w:p>
        </w:tc>
        <w:tc>
          <w:tcPr>
            <w:tcW w:w="0" w:type="auto"/>
            <w:noWrap w:val="0"/>
            <w:vAlign w:val="center"/>
          </w:tcPr>
          <w:p w14:paraId="5171D2B4">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UPS电源</w:t>
            </w:r>
          </w:p>
        </w:tc>
        <w:tc>
          <w:tcPr>
            <w:tcW w:w="0" w:type="auto"/>
            <w:noWrap w:val="0"/>
            <w:vAlign w:val="center"/>
          </w:tcPr>
          <w:p w14:paraId="05A4A193">
            <w:pPr>
              <w:keepNext w:val="0"/>
              <w:keepLines w:val="0"/>
              <w:widowControl/>
              <w:suppressLineNumbers w:val="0"/>
              <w:jc w:val="left"/>
              <w:textAlignment w:val="center"/>
              <w:rPr>
                <w:rFonts w:hint="eastAsia" w:asciiTheme="minorEastAsia" w:hAnsiTheme="minorEastAsia" w:eastAsiaTheme="minorEastAsia" w:cstheme="minorEastAsia"/>
                <w:sz w:val="20"/>
                <w:szCs w:val="20"/>
                <w:highlight w:val="none"/>
                <w:vertAlign w:val="baseline"/>
              </w:rPr>
            </w:pP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1. 容量：20KVA，通过并机线即可实现 UPS 并联，最大可3台并机，具备并机冗余和并机扩容两种模式。</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2. 输入指标</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电压可变范围：190V-520VAC；</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输入频率：45-65Hz，支持50Hz输入/60Hz输出以及60Hz输入/50Hz输出变频模式；</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电流谐波含量：≤4%；</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输入功率因数：≥0.99；</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3. 输出指标</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输出电压：可设定相电压208V/220V/230V/240V</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稳压精度：≤0.7％；</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输出频率精度(电池逆变工作方式)：50Hz±0.4Hz；</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输出功率因数：≥0.9；</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市电电池切换时间：0ms；旁路逆变切换时间(逆变器故障切换时)：0ms；</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工作效率：≥91%（满载）；</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输出波形失真度：阻性负载≤2%，非线性负载 ≤3%；</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4. 电池电压范围：192V/240V可调，现场配置灵活。</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5. LCD 显示面板</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6. 采用APFC电感技术，提高输入功因。</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7. 可选配内置 SNMP 适配器，UPS 具有远程网络管理功能，提供即时的 UPS 信息。</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8. 具备输出短路、过载、过温、蓄电池电压低、输出过欠压等保护功能。</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9. 具有EPO紧急关机功能。</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10. UPS设备应具有自动再启动功能、直流全启动功能。</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11. 备经济安全的ECO模式，整机效率达98%以上。</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12. 采用智能电池管理技术。</w:t>
            </w:r>
          </w:p>
        </w:tc>
        <w:tc>
          <w:tcPr>
            <w:tcW w:w="0" w:type="auto"/>
            <w:noWrap w:val="0"/>
            <w:vAlign w:val="center"/>
          </w:tcPr>
          <w:p w14:paraId="38A21865">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w:t>
            </w:r>
          </w:p>
        </w:tc>
        <w:tc>
          <w:tcPr>
            <w:tcW w:w="0" w:type="auto"/>
            <w:noWrap w:val="0"/>
            <w:vAlign w:val="center"/>
          </w:tcPr>
          <w:p w14:paraId="394E9EC0">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浐灞国际港第一学校（暂定名）</w:t>
            </w:r>
          </w:p>
        </w:tc>
      </w:tr>
      <w:tr w14:paraId="06122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14:paraId="2F803432">
            <w:pPr>
              <w:keepNext w:val="0"/>
              <w:keepLines w:val="0"/>
              <w:widowControl/>
              <w:suppressLineNumbers w:val="0"/>
              <w:jc w:val="righ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119</w:t>
            </w:r>
          </w:p>
        </w:tc>
        <w:tc>
          <w:tcPr>
            <w:tcW w:w="0" w:type="auto"/>
            <w:noWrap w:val="0"/>
            <w:vAlign w:val="center"/>
          </w:tcPr>
          <w:p w14:paraId="76B77B31">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弱电：电池组(包含一体化电池柜)</w:t>
            </w:r>
          </w:p>
        </w:tc>
        <w:tc>
          <w:tcPr>
            <w:tcW w:w="0" w:type="auto"/>
            <w:noWrap w:val="0"/>
            <w:vAlign w:val="center"/>
          </w:tcPr>
          <w:p w14:paraId="1BEDDC23">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电池组包含一体化电池柜</w:t>
            </w:r>
          </w:p>
        </w:tc>
        <w:tc>
          <w:tcPr>
            <w:tcW w:w="0" w:type="auto"/>
            <w:noWrap w:val="0"/>
            <w:vAlign w:val="center"/>
          </w:tcPr>
          <w:p w14:paraId="139FEB69">
            <w:pPr>
              <w:keepNext w:val="0"/>
              <w:keepLines w:val="0"/>
              <w:widowControl/>
              <w:suppressLineNumbers w:val="0"/>
              <w:jc w:val="left"/>
              <w:textAlignment w:val="center"/>
              <w:rPr>
                <w:rFonts w:hint="eastAsia" w:asciiTheme="minorEastAsia" w:hAnsiTheme="minorEastAsia" w:eastAsiaTheme="minorEastAsia" w:cstheme="minorEastAsia"/>
                <w:sz w:val="20"/>
                <w:szCs w:val="20"/>
                <w:highlight w:val="none"/>
                <w:vertAlign w:val="baseline"/>
              </w:rPr>
            </w:pP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1.配置16只12V100AH蓄电池，含电池柜及连接线辅材。</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2.蓄电池必须是通信用阀控式、全封闭免维护铅酸电池,电池须与UPS主机同一品牌。</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 xml:space="preserve">3.浮充电压：13.6～13.8V </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4.放电终止电压：10.5V/单体</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5.设计使用寿命：20℃环境温度下设计使用寿命不低于15年。</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6.适应环境：－10℃～45℃</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7.自放电：在25℃条件下，至少3-6个月内不用补充电</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8.蓄电池组单体间开路电压最高与最低差值之间不得大于17mv；进入浮充状态24小时后，各电池之间的端电压差不大于26mV。</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9.容量保存率：完全充电后的电池在25±5℃的环境中，静放28天后不低于97.4%。</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10.蓄电池密封反应效率应不低于98.8％。</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11.防酸雾性：蓄电池在正常工作中应无酸雾溢出。</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12.蓄电池的安全阀应具有滤酸和自动开启、自动关闭的功能，其开阀压力应为10kPa～35kPa，闭阀压力应为3kPa～30kPa。</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13.防酸雾性能：对完全充电后的电池以0.2I10A电流连续再充电4小时，蓄电池在正常工作中应无酸雾逸出。</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14.气密性：蓄电池应能承受50kPa的正压或负压而不破裂，压力释放后壳体无残余变形。</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15.大电流放电：以30I10A放电3分钟，极柱应不熔断，外观应无变形。</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16.防爆性能：蓄电池在充电过程中遇有明火，内部不应引爆；</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17.恒压充电24h的再充电能力因素应≥94.5%。</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18.全部电池组根据场地条件安装在电池柜或电池架内，方便维护检修。</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19.蓄电池内阻值必须与实际测量的内阻值一致，同组蓄电池内阻偏差应≤6%。</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20.电池箱柜体内，电池极柱距上层电池空间应有15cm的操作空间，侧板用螺丝固定，方便拆卸。同层电池间相临间隙大于1cm，确保所有电池均可测量到电池电压、内阻。</w:t>
            </w:r>
          </w:p>
        </w:tc>
        <w:tc>
          <w:tcPr>
            <w:tcW w:w="0" w:type="auto"/>
            <w:noWrap w:val="0"/>
            <w:vAlign w:val="center"/>
          </w:tcPr>
          <w:p w14:paraId="45CE3E5F">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32</w:t>
            </w:r>
          </w:p>
        </w:tc>
        <w:tc>
          <w:tcPr>
            <w:tcW w:w="0" w:type="auto"/>
            <w:noWrap w:val="0"/>
            <w:vAlign w:val="center"/>
          </w:tcPr>
          <w:p w14:paraId="527B68E7">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浐灞国际港第一学校（暂定名）</w:t>
            </w:r>
          </w:p>
        </w:tc>
      </w:tr>
      <w:tr w14:paraId="16060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14:paraId="07D76639">
            <w:pPr>
              <w:keepNext w:val="0"/>
              <w:keepLines w:val="0"/>
              <w:widowControl/>
              <w:suppressLineNumbers w:val="0"/>
              <w:jc w:val="righ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120</w:t>
            </w:r>
          </w:p>
        </w:tc>
        <w:tc>
          <w:tcPr>
            <w:tcW w:w="0" w:type="auto"/>
            <w:noWrap w:val="0"/>
            <w:vAlign w:val="center"/>
          </w:tcPr>
          <w:p w14:paraId="2BA2C4B8">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弱电：超融合服务器</w:t>
            </w:r>
          </w:p>
        </w:tc>
        <w:tc>
          <w:tcPr>
            <w:tcW w:w="0" w:type="auto"/>
            <w:noWrap w:val="0"/>
            <w:vAlign w:val="center"/>
          </w:tcPr>
          <w:p w14:paraId="20D67D55">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超融合服务器</w:t>
            </w:r>
          </w:p>
        </w:tc>
        <w:tc>
          <w:tcPr>
            <w:tcW w:w="0" w:type="auto"/>
            <w:noWrap w:val="0"/>
            <w:vAlign w:val="center"/>
          </w:tcPr>
          <w:p w14:paraId="27B69DF1">
            <w:pPr>
              <w:keepNext w:val="0"/>
              <w:keepLines w:val="0"/>
              <w:widowControl/>
              <w:suppressLineNumbers w:val="0"/>
              <w:jc w:val="left"/>
              <w:textAlignment w:val="center"/>
              <w:rPr>
                <w:rFonts w:hint="eastAsia" w:asciiTheme="minorEastAsia" w:hAnsiTheme="minorEastAsia" w:eastAsiaTheme="minorEastAsia" w:cstheme="minorEastAsia"/>
                <w:sz w:val="20"/>
                <w:szCs w:val="20"/>
                <w:highlight w:val="none"/>
                <w:vertAlign w:val="baseline"/>
              </w:rPr>
            </w:pP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1.单个节点配置英特尔至强处理器≥1个，每颗CPU≥16核，基本频率≥2.4GHz；内存≥2*32G DDR4；系统盘≥1个240G SSD，缓存盘≥1个960G SSD，数据盘≥4个4T SATA机械硬盘；RAID卡：支持RAID 0/1/10等；接口：≥4个千兆电口，≥2个万兆光口；电源：冗余交流电源；含三年软件升级和硬件质保。</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2.配置相应的计算虚拟化、存储虚拟化、网络虚拟化、安全虚拟化、云管理平台软件授权。</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3.支持硬件监控和大屏展示，包含CPU、内存、网卡、硬盘、存储、RAID等硬件健康检测，便于及时发现问题。</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4.保障主机运行稳定性，对内存ECC可以自动纠错，内存条出现ECC CE和UE错误时，对内存故障空间隔离和定位，减少硬件问题对业务的影响。</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5.支持虚拟机自动安全关机，为保障断电业务安全数据不丢失，支持联动控制UPS临时供应电量，当UPS电量过低时，按照虚拟机优先级先将不重要的虚拟机进行软关机。</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6.具备对常见网络协议（SSH、FTP、RDP、VNC、Netbios）和数据库（MySQL、Oracle、MSSQL）的弱密码扫描功能，全面保障业务的安全。</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7.支持数据重建先后顺序设定，包括名称、类型、数据大小和优先级等信息，对重要数据重建进行优先重建，保证重要的业务优先恢复数据的安全性。</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8.为提升运维管理效率，图形化管理平台上，通过拖拽等方式完成虚拟网络拓扑创建，能够通过同一界面中的功能按键，实现虚拟网络连接、开启和关闭等操作。</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9.为保障数据中心维护的及时性，存在主机节点离线、控制节点离线、存储离线、虚机异常挂起等情况时，管理平台可以通过短信、邮件等方式通知管理员。</w:t>
            </w:r>
          </w:p>
        </w:tc>
        <w:tc>
          <w:tcPr>
            <w:tcW w:w="0" w:type="auto"/>
            <w:noWrap w:val="0"/>
            <w:vAlign w:val="center"/>
          </w:tcPr>
          <w:p w14:paraId="234CAB94">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w:t>
            </w:r>
          </w:p>
        </w:tc>
        <w:tc>
          <w:tcPr>
            <w:tcW w:w="0" w:type="auto"/>
            <w:noWrap w:val="0"/>
            <w:vAlign w:val="center"/>
          </w:tcPr>
          <w:p w14:paraId="62E3121D">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浐灞国际港第一学校（暂定名）</w:t>
            </w:r>
          </w:p>
        </w:tc>
      </w:tr>
      <w:tr w14:paraId="63F4C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14:paraId="2CFBF4E1">
            <w:pPr>
              <w:keepNext w:val="0"/>
              <w:keepLines w:val="0"/>
              <w:widowControl/>
              <w:suppressLineNumbers w:val="0"/>
              <w:jc w:val="righ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121</w:t>
            </w:r>
          </w:p>
        </w:tc>
        <w:tc>
          <w:tcPr>
            <w:tcW w:w="0" w:type="auto"/>
            <w:noWrap w:val="0"/>
            <w:vAlign w:val="center"/>
          </w:tcPr>
          <w:p w14:paraId="4CB7D02D">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弱电：备份一体机</w:t>
            </w:r>
          </w:p>
        </w:tc>
        <w:tc>
          <w:tcPr>
            <w:tcW w:w="0" w:type="auto"/>
            <w:noWrap w:val="0"/>
            <w:vAlign w:val="center"/>
          </w:tcPr>
          <w:p w14:paraId="6FB03A33">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备份一体机</w:t>
            </w:r>
          </w:p>
        </w:tc>
        <w:tc>
          <w:tcPr>
            <w:tcW w:w="0" w:type="auto"/>
            <w:noWrap w:val="0"/>
            <w:vAlign w:val="center"/>
          </w:tcPr>
          <w:p w14:paraId="58608AE1">
            <w:pPr>
              <w:keepNext w:val="0"/>
              <w:keepLines w:val="0"/>
              <w:widowControl/>
              <w:suppressLineNumbers w:val="0"/>
              <w:jc w:val="left"/>
              <w:textAlignment w:val="center"/>
              <w:rPr>
                <w:rFonts w:hint="eastAsia" w:asciiTheme="minorEastAsia" w:hAnsiTheme="minorEastAsia" w:eastAsiaTheme="minorEastAsia" w:cstheme="minorEastAsia"/>
                <w:sz w:val="20"/>
                <w:szCs w:val="20"/>
                <w:highlight w:val="none"/>
                <w:vertAlign w:val="baseline"/>
              </w:rPr>
            </w:pP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1、采用通用X86架构服务器，提供12个热插拔驱动器位，配置2颗2.1GHz/12核 CPU，配置≥2*32GB内存，系统盘≥2块240GB固态硬盘，数据盘≥6块4TB SATA机械硬盘；千兆电口≥2个，万兆光口≥2个，配置所需光模块与光纤线缆；</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2、配置</w:t>
            </w:r>
            <w:r>
              <w:rPr>
                <w:rFonts w:hint="eastAsia" w:ascii="宋体" w:hAnsi="宋体" w:eastAsia="宋体" w:cs="宋体"/>
                <w:i w:val="0"/>
                <w:iCs w:val="0"/>
                <w:color w:val="000000"/>
                <w:kern w:val="0"/>
                <w:sz w:val="20"/>
                <w:szCs w:val="20"/>
                <w:highlight w:val="none"/>
                <w:u w:val="none"/>
                <w:lang w:val="en-US" w:eastAsia="zh-CN" w:bidi="ar"/>
              </w:rPr>
              <w:t>≥</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18T备份软件容量授权；</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3、对X86架构下的物理机、虚拟机、超融合、私有云和公有云提供统一的将主机的操作系统、应用系统、数据库和数据/文件作为一个整体的一致性备份保护；</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4、支持定期完整全量备份、增量备份、差异化备份；</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5、可将选定的备份点加载为CIFS文件共享和网络共享路径可直接在WEB浏览器中直接URL访问，管理员可快速确认需被验证的备份点文件是否是符合预期，备份点是否可用、可靠；</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6、支持对WindowsXP/7/8/10操作系统办公终端提供整机备份保护，按照策略实现历史时间点的整机回滚，保障重要办公终端数据安全；</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7、当数据库系统出现任意灾难时，备份系统可通过自启验证系统，对备份的数据库系统进行验证，对任意一条数据的一致性、可靠性、可用性验证成功后，再进行整机恢复；</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8、支持应急接管时，可同时配置将接管主机整机回迁至原生产环境的相关参数，应急接管期间整机包含新增数据的无缝回迁至生产环境主机，应急接管结束后择机可恢复至生产环境</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9、支持可基于同一个备份点同时启动多个不同IP地址、不同个数CPU、不同大小内存等配置虚拟机对外提供服务，以应对副本使用、系统故障应急等不同功能、性能需求。</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10、支持备份系统的系统数据备份到第三方存储，当备份存储系统自身发生故障时，可通过备份数据进行还原。</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11、提供整机技术备份整机应用状态，无需了解业务系统的类型、部署方法、业务系统间的数据交互机制、数据结构/逻辑关系和数据库的品牌/版本，实现对现有及未来新上业务系统的保护兼容性；</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12、所投备份一体机厂商应具备中国信息安全测评中心颁发的信息安全服务资质。</w:t>
            </w:r>
          </w:p>
        </w:tc>
        <w:tc>
          <w:tcPr>
            <w:tcW w:w="0" w:type="auto"/>
            <w:noWrap w:val="0"/>
            <w:vAlign w:val="center"/>
          </w:tcPr>
          <w:p w14:paraId="26A5A100">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w:t>
            </w:r>
          </w:p>
        </w:tc>
        <w:tc>
          <w:tcPr>
            <w:tcW w:w="0" w:type="auto"/>
            <w:noWrap w:val="0"/>
            <w:vAlign w:val="center"/>
          </w:tcPr>
          <w:p w14:paraId="572590E9">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浐灞国际港第一学校（暂定名）</w:t>
            </w:r>
          </w:p>
        </w:tc>
      </w:tr>
      <w:tr w14:paraId="64FD9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14:paraId="6183C8AD">
            <w:pPr>
              <w:keepNext w:val="0"/>
              <w:keepLines w:val="0"/>
              <w:widowControl/>
              <w:suppressLineNumbers w:val="0"/>
              <w:jc w:val="righ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122</w:t>
            </w:r>
          </w:p>
        </w:tc>
        <w:tc>
          <w:tcPr>
            <w:tcW w:w="0" w:type="auto"/>
            <w:noWrap w:val="0"/>
            <w:vAlign w:val="center"/>
          </w:tcPr>
          <w:p w14:paraId="204A0847">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弱电：终端防护软件</w:t>
            </w:r>
          </w:p>
        </w:tc>
        <w:tc>
          <w:tcPr>
            <w:tcW w:w="0" w:type="auto"/>
            <w:noWrap w:val="0"/>
            <w:vAlign w:val="center"/>
          </w:tcPr>
          <w:p w14:paraId="0116671A">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终端防护软件</w:t>
            </w:r>
          </w:p>
        </w:tc>
        <w:tc>
          <w:tcPr>
            <w:tcW w:w="0" w:type="auto"/>
            <w:noWrap w:val="0"/>
            <w:vAlign w:val="center"/>
          </w:tcPr>
          <w:p w14:paraId="56C7CBD1">
            <w:pPr>
              <w:keepNext w:val="0"/>
              <w:keepLines w:val="0"/>
              <w:widowControl/>
              <w:suppressLineNumbers w:val="0"/>
              <w:jc w:val="left"/>
              <w:textAlignment w:val="center"/>
              <w:rPr>
                <w:rFonts w:hint="eastAsia" w:asciiTheme="minorEastAsia" w:hAnsiTheme="minorEastAsia" w:eastAsiaTheme="minorEastAsia" w:cstheme="minorEastAsia"/>
                <w:sz w:val="20"/>
                <w:szCs w:val="20"/>
                <w:highlight w:val="none"/>
                <w:vertAlign w:val="baseline"/>
              </w:rPr>
            </w:pP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1、管理中心操作系统支持Windows Server 2012 R2/2016/2019/2022的64位版本（简体中文版）；支持CentOS 7系统；产品全功能支持简体中文/繁体中体/英语自由切换。</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2、支持终端用户和管理员是一套账号管理系统，简化账号管理复杂度，一个账号解决所有身份认证，既可以用于终端登录，也可以用于管理管理中心。</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3、支持不同分组，客户端轻量化模式一键切换功能；</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4、客户端主程序、病毒库版本支持按分组和多批次进行灰度更新，保持在低风险中完成终端能力更新。支持设置不同终端类型设置和每批次观察时长。当检测到新版本将从第一批次重新观察。</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5、最后一次全盘扫描时间，记录终端最后一次完成全盘扫描的时间</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 xml:space="preserve">6、扫描分析：显示管理员下发、用户自主发起、第三方联动下发的全部扫描任务列表，且支持针对单个扫描任务提供完整病毒分析（包含终端完成分布、检出威胁率、病毒处理结果分布、发现威胁终端TOP10、病毒类型TOP10、终端分组TOP10、病毒名称TOP10、病毒文件TOP10、病毒路径TOP10、勒索程序TOP10、挖矿木马TOP10、WebShell木马TOP10 ），便于完成日常扫描工作的闭环管理 </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7、支持仅利用多个非工作时间时间段完成一次全盘扫描</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8、支持不少于三个杀毒引擎混合使用，提高病毒检出率。</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9、支持不同分组，客户端轻量化模式一键切换功能；</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10、支持终端密码保护功能，支持终端“防退出”密码保护、“防卸载”密码保护、防安装密码保护。支持设置自我保护功能，可有效防止客户端进程被恶意终止、注入、提高客户端进程、数据、配置的安全性。</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11、病毒报表支持病毒查杀趋势、扫描触发方式趋势、发现病毒趋势、终端感染趋势、病毒类型统计、病毒处理结果统计、病毒发现触、方式统计、趋势图表、按分组、按终端、按病毒名称。</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12、支持对压缩包内的病毒扫描，支持多层压缩包的扫描，可自定义配置压缩包的扫描层数。</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13、支持仅利用多个非工作时间时间段完成一次全盘扫描</w:t>
            </w:r>
          </w:p>
        </w:tc>
        <w:tc>
          <w:tcPr>
            <w:tcW w:w="0" w:type="auto"/>
            <w:noWrap w:val="0"/>
            <w:vAlign w:val="center"/>
          </w:tcPr>
          <w:p w14:paraId="04623F87">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500</w:t>
            </w:r>
          </w:p>
        </w:tc>
        <w:tc>
          <w:tcPr>
            <w:tcW w:w="0" w:type="auto"/>
            <w:noWrap w:val="0"/>
            <w:vAlign w:val="center"/>
          </w:tcPr>
          <w:p w14:paraId="1FE61DF8">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浐灞国际港第一学校（暂定名）</w:t>
            </w:r>
          </w:p>
        </w:tc>
      </w:tr>
      <w:tr w14:paraId="7C290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14:paraId="63AB87A7">
            <w:pPr>
              <w:keepNext w:val="0"/>
              <w:keepLines w:val="0"/>
              <w:widowControl/>
              <w:suppressLineNumbers w:val="0"/>
              <w:jc w:val="righ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123</w:t>
            </w:r>
          </w:p>
        </w:tc>
        <w:tc>
          <w:tcPr>
            <w:tcW w:w="0" w:type="auto"/>
            <w:noWrap w:val="0"/>
            <w:vAlign w:val="center"/>
          </w:tcPr>
          <w:p w14:paraId="439B7FBD">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弱电：日志审计系统</w:t>
            </w:r>
          </w:p>
        </w:tc>
        <w:tc>
          <w:tcPr>
            <w:tcW w:w="0" w:type="auto"/>
            <w:noWrap w:val="0"/>
            <w:vAlign w:val="center"/>
          </w:tcPr>
          <w:p w14:paraId="23CB47F2">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日志审计系统</w:t>
            </w:r>
          </w:p>
        </w:tc>
        <w:tc>
          <w:tcPr>
            <w:tcW w:w="0" w:type="auto"/>
            <w:noWrap w:val="0"/>
            <w:vAlign w:val="center"/>
          </w:tcPr>
          <w:p w14:paraId="38A8B535">
            <w:pPr>
              <w:keepNext w:val="0"/>
              <w:keepLines w:val="0"/>
              <w:widowControl/>
              <w:suppressLineNumbers w:val="0"/>
              <w:jc w:val="left"/>
              <w:textAlignment w:val="center"/>
              <w:rPr>
                <w:rFonts w:hint="eastAsia" w:asciiTheme="minorEastAsia" w:hAnsiTheme="minorEastAsia" w:eastAsiaTheme="minorEastAsia" w:cstheme="minorEastAsia"/>
                <w:sz w:val="20"/>
                <w:szCs w:val="20"/>
                <w:highlight w:val="none"/>
                <w:vertAlign w:val="baseline"/>
              </w:rPr>
            </w:pP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1.性能参数：支持主机审计许可证书数量≥150，平均每秒处理日志数（eps）最大性能≥2500，接口≥6个千兆电口+2个万兆光口；</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2.日志采集：支持安全设备、网络设备、中间件、服务器、数据库、操作系统、业务系统等不少于720种日志对象的日志数据采集；</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3.日志采集：至少支持通过正则、分隔符、json、xml的可视方式进行自定义规则解析，支持对解析结果字段的新增、合并、映射；</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4.日志采集：支持对每个日志源设置过滤条件规则，自动过滤无用日志，满足根据实际业务需求减少采集对象发送到核心服务器的安全事件数，减少对网络带宽和数据库存储空间的占用。</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5.日志传输：支持对单个/多个日志源批量转发，支持定时转发，可通过syslog和kafka方式转发到第三方平台，并且支持转发原始日志和已解析日志的两种日志；</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6.日志检索：支持通配符、范围搜索、字段等多种输入方式、搜索框模糊搜索、指定语段进行语法搜索；可根据时间、严重等级等进行组合查询；可根据具体设备、来源/目的所属（可具体到外网、内网资产等）、IP地址、特征ID、URL进行具体条件搜索；支持可设置定时刷新频率，根据刷新时间显示实时接入日志事件；</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7.日志检索：支持基于时间轴展示日志数据分布，能够通过时间轴进行查询分析；</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8.日志检索：支持解码小工具，按照不同的解码方式解码成不同的目标内容，编码格式至少包括base64、Unicode、GBK、HEX、UTF-8等；</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9.日志分析：至少支持网站攻击、漏洞利用、C&amp;C通信、暴力破解、拒绝服务、主机脆弱性、主机异常、恶意软件、账号异常、权限异常、侦查探测等内置关联分析规则，内置关联分析规则数量达到至少350条，支持自定义关联分析规则；</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10.日志告警：日志进行归一化操作后，对日志等级进行映射，根据不同日志源统计不同等级下的日志数量；</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11、资产管理：支持资产全生命周期管理，资产入库审核、资产离线风险识别、资产退库、资产数据更新，责任人管理机制等，支持自定义资产标签、属性；</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12.支持个性化定制，支持全系统更换logo与系统名称，支持一键恢复默认；</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14.实际配置：配置50个主机审计许可授权；配置</w:t>
            </w:r>
            <w:r>
              <w:rPr>
                <w:rFonts w:hint="eastAsia" w:ascii="宋体" w:hAnsi="宋体" w:eastAsia="宋体" w:cs="宋体"/>
                <w:i w:val="0"/>
                <w:iCs w:val="0"/>
                <w:color w:val="000000"/>
                <w:kern w:val="0"/>
                <w:sz w:val="20"/>
                <w:szCs w:val="20"/>
                <w:highlight w:val="none"/>
                <w:u w:val="none"/>
                <w:lang w:val="en-US" w:eastAsia="zh-CN" w:bidi="ar"/>
              </w:rPr>
              <w:t>≥</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三年产品质保与软件升级服务；</w:t>
            </w:r>
          </w:p>
        </w:tc>
        <w:tc>
          <w:tcPr>
            <w:tcW w:w="0" w:type="auto"/>
            <w:noWrap w:val="0"/>
            <w:vAlign w:val="center"/>
          </w:tcPr>
          <w:p w14:paraId="50B8E01A">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w:t>
            </w:r>
          </w:p>
        </w:tc>
        <w:tc>
          <w:tcPr>
            <w:tcW w:w="0" w:type="auto"/>
            <w:noWrap w:val="0"/>
            <w:vAlign w:val="center"/>
          </w:tcPr>
          <w:p w14:paraId="75801C11">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浐灞国际港第一学校（暂定名）</w:t>
            </w:r>
          </w:p>
        </w:tc>
      </w:tr>
      <w:tr w14:paraId="05728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14:paraId="1EDB97E9">
            <w:pPr>
              <w:keepNext w:val="0"/>
              <w:keepLines w:val="0"/>
              <w:widowControl/>
              <w:suppressLineNumbers w:val="0"/>
              <w:jc w:val="righ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124</w:t>
            </w:r>
          </w:p>
        </w:tc>
        <w:tc>
          <w:tcPr>
            <w:tcW w:w="0" w:type="auto"/>
            <w:noWrap w:val="0"/>
            <w:vAlign w:val="center"/>
          </w:tcPr>
          <w:p w14:paraId="7C2F2F35">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弱电：运维管理系统</w:t>
            </w:r>
          </w:p>
        </w:tc>
        <w:tc>
          <w:tcPr>
            <w:tcW w:w="0" w:type="auto"/>
            <w:noWrap w:val="0"/>
            <w:vAlign w:val="center"/>
          </w:tcPr>
          <w:p w14:paraId="00B30B2D">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运维管理系统</w:t>
            </w:r>
          </w:p>
        </w:tc>
        <w:tc>
          <w:tcPr>
            <w:tcW w:w="0" w:type="auto"/>
            <w:noWrap w:val="0"/>
            <w:vAlign w:val="center"/>
          </w:tcPr>
          <w:p w14:paraId="356B6514">
            <w:pPr>
              <w:keepNext w:val="0"/>
              <w:keepLines w:val="0"/>
              <w:widowControl/>
              <w:suppressLineNumbers w:val="0"/>
              <w:jc w:val="left"/>
              <w:textAlignment w:val="center"/>
              <w:rPr>
                <w:rFonts w:hint="eastAsia" w:asciiTheme="minorEastAsia" w:hAnsiTheme="minorEastAsia" w:eastAsiaTheme="minorEastAsia" w:cstheme="minorEastAsia"/>
                <w:sz w:val="20"/>
                <w:szCs w:val="20"/>
                <w:highlight w:val="none"/>
                <w:vertAlign w:val="baseline"/>
              </w:rPr>
            </w:pP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1.性能：包含运维授权数≥50，最大可扩展资产数≥150，图形运维最大并发数≥100，字符运维最大并发数≥200。</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2.硬件规格：千兆电口≥6个；1U规格，含2个USB2.0接口；</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3.存储容量：内存≥8GB，硬盘容量≥2T；</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4.系统部署：物理旁路单臂部署，以逻辑网关方式工作；不改变现有网络结构；</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5.用户管理：用户登陆认证方式支持静态口令认证、手机动态口令认证、Usbkey（数字证书）认证、AD域认证、Radius认证等认证方式；并支持各种认证方式和静态口令组合认证；</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6.用户管理：内置三员角色的同时支持角色灵活自定义，可根据用户实际的管理特性或特殊的安全管理组织架构，划分管理角色的管理范畴；</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7.资源管理：至少支持unix资源、windows资源、网络设备资源、数据库资源、C/S资源、B/S资源；</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8.资源管理：支持RDP安全模式（RDP、NLA、TLS、ANY）设置，以适应RDP-Tcp属性中的所有功能配置，包括加密级别为客户端兼容、低、高、符合FIPS标准等加密级别；</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9.运维授权：支持在授权基础上自定义访问审批流程，可设置一级或多级审批人，每级审批可指定通过投票数，需逐级审批通过才可最终发起运维操作；</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10.访问控制：支持命令审批规则，用户执行高危命令时需要管理员审批后才允许执行；命令审批规则可以指定运维人员、访问设备、设备账号及命令审批人；</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11.改密计划：支持密码文件备份功能，密码文件需密文保存，密码包及解密密钥分别发送给不同管理员保存，并使用专用的解密器才可打开；</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12.运维方式：支持web页面直接发起运维，无需安装任何控件，并同时至少支持调用SecureCRT、Xshell、Putty、WinSCP、FileZilla、RDP等客户端工具实现单点登陆，不改变运维人员操作习惯；</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13.审计日志：支持对常见设备运维操作进行记录（至少包括windows主机、linux/unix主机、网络设备等），审计信息至少包括以下内容：用户账户、起止时间、登陆IP、设备IP、设备名称、设备类型、访问账号、访问协议等信息；</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14.IPv6：全面支持IPv6，设备自身可以配置IPv6地址供客户端访问；</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15.实际配置：配置</w:t>
            </w:r>
            <w:r>
              <w:rPr>
                <w:rFonts w:hint="eastAsia" w:ascii="宋体" w:hAnsi="宋体" w:eastAsia="宋体" w:cs="宋体"/>
                <w:i w:val="0"/>
                <w:iCs w:val="0"/>
                <w:color w:val="000000"/>
                <w:kern w:val="0"/>
                <w:sz w:val="20"/>
                <w:szCs w:val="20"/>
                <w:highlight w:val="none"/>
                <w:u w:val="none"/>
                <w:lang w:val="en-US" w:eastAsia="zh-CN" w:bidi="ar"/>
              </w:rPr>
              <w:t>≥</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三年产品质保与软件升级服务；</w:t>
            </w:r>
          </w:p>
        </w:tc>
        <w:tc>
          <w:tcPr>
            <w:tcW w:w="0" w:type="auto"/>
            <w:noWrap w:val="0"/>
            <w:vAlign w:val="center"/>
          </w:tcPr>
          <w:p w14:paraId="3790FADC">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w:t>
            </w:r>
          </w:p>
        </w:tc>
        <w:tc>
          <w:tcPr>
            <w:tcW w:w="0" w:type="auto"/>
            <w:noWrap w:val="0"/>
            <w:vAlign w:val="center"/>
          </w:tcPr>
          <w:p w14:paraId="13166F9F">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浐灞国际港第一学校（暂定名）</w:t>
            </w:r>
          </w:p>
        </w:tc>
      </w:tr>
      <w:tr w14:paraId="638D0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14:paraId="5A2D5A62">
            <w:pPr>
              <w:keepNext w:val="0"/>
              <w:keepLines w:val="0"/>
              <w:widowControl/>
              <w:suppressLineNumbers w:val="0"/>
              <w:jc w:val="righ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125</w:t>
            </w:r>
          </w:p>
        </w:tc>
        <w:tc>
          <w:tcPr>
            <w:tcW w:w="0" w:type="auto"/>
            <w:noWrap w:val="0"/>
            <w:vAlign w:val="center"/>
          </w:tcPr>
          <w:p w14:paraId="07291B9B">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弱电：机房动环监测</w:t>
            </w:r>
          </w:p>
        </w:tc>
        <w:tc>
          <w:tcPr>
            <w:tcW w:w="0" w:type="auto"/>
            <w:noWrap w:val="0"/>
            <w:vAlign w:val="center"/>
          </w:tcPr>
          <w:p w14:paraId="0E709F9E">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机房动环监测</w:t>
            </w:r>
          </w:p>
        </w:tc>
        <w:tc>
          <w:tcPr>
            <w:tcW w:w="0" w:type="auto"/>
            <w:noWrap w:val="0"/>
            <w:vAlign w:val="center"/>
          </w:tcPr>
          <w:p w14:paraId="0D56F719">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1、机房监测设备支持LoRa低功率远距离无线协议，lora支持两张射频卡，一张用于认证链路，另一张用于数据链路；</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2、支持5孔插座远程控制支持100-240V AC供电，最大额定负载不低于4000W，支持电量统计，支持瞬时电量统计，包括瞬时电压、电流、功率，可进行大功率告警，断电延迟保护等功能；</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 xml:space="preserve">3、支持对中央空调风机盘管自动化控制，实现空调模式切换控制（制冷、制热、开关）、温度调节、风量调节等；支持配合IoT物联网平台，能够根据机房温度进行自动调节；支持不同传感器间联动策略，如结合人体红外感应装置实现空调面板的开关，实现空调面板的智能控制，实现高效节能； </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 xml:space="preserve">4、检测半径范围10m内的人员流动情况，检测机房区域内是否有人出现，并联动灯关自动开启和关闭； </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5、支持机房内灯关定时开关、远程控制等；</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6、可用于监控机房内的温湿度信息采集，并且可以联动控制空调；采集温度范围：0-50℃，采集最小颗粒度≤0.5°C；采集湿度范围：0-99%RH，采集最小颗粒度≤2%；支持不同传感器间联动策略，如温度值与空调联动，湿度值与除湿器联动；</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7、支持监测UPS电源电压电流等数据，保障供给机房的用电温度且持续；</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8、支持对精密空调温度、工作状态进行监测；</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9、准确检测烟雾，当烟雾浓度超过报警门限时，探测器报警并输出干节点信号经输入模块向控制器报警；</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10、漏水检测线缆覆盖机房范围内，一旦机房出现漏水，系统会在第一时间进行漏水报警；</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11、智慧机房系统支持单种传感器设备策略配置，同时支持根据设备分组配置不同的策略</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12、智慧机房系统支持多种传感器设备联动策略配置，比如人体红外感应装置联动空调恒温器进行空调的开关，实现高效节能</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13、智慧机房系统支持多维度的策略控制，包括时间计划、设备内置按键、数据状态改变、设备上下线等维度进行控制</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14、智慧机房系统支持根据数据状态改变进行策略控制，比如插座的功率、电压、电流；空调面板的温度、风速、工作模式、开关等；</w:t>
            </w:r>
          </w:p>
        </w:tc>
        <w:tc>
          <w:tcPr>
            <w:tcW w:w="0" w:type="auto"/>
            <w:noWrap w:val="0"/>
            <w:vAlign w:val="center"/>
          </w:tcPr>
          <w:p w14:paraId="5367969C">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w:t>
            </w:r>
          </w:p>
        </w:tc>
        <w:tc>
          <w:tcPr>
            <w:tcW w:w="0" w:type="auto"/>
            <w:noWrap w:val="0"/>
            <w:vAlign w:val="center"/>
          </w:tcPr>
          <w:p w14:paraId="77CA2F75">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浐灞国际港第一学校（暂定名）</w:t>
            </w:r>
          </w:p>
        </w:tc>
      </w:tr>
      <w:tr w14:paraId="160FA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14:paraId="21C72A00">
            <w:pPr>
              <w:keepNext w:val="0"/>
              <w:keepLines w:val="0"/>
              <w:widowControl/>
              <w:suppressLineNumbers w:val="0"/>
              <w:jc w:val="righ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126</w:t>
            </w:r>
          </w:p>
        </w:tc>
        <w:tc>
          <w:tcPr>
            <w:tcW w:w="0" w:type="auto"/>
            <w:noWrap w:val="0"/>
            <w:vAlign w:val="center"/>
          </w:tcPr>
          <w:p w14:paraId="4123B1AF">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弱电：监控管理服务器平台</w:t>
            </w:r>
          </w:p>
        </w:tc>
        <w:tc>
          <w:tcPr>
            <w:tcW w:w="0" w:type="auto"/>
            <w:noWrap w:val="0"/>
            <w:vAlign w:val="center"/>
          </w:tcPr>
          <w:p w14:paraId="2A443642">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综合安防管理平台</w:t>
            </w:r>
          </w:p>
        </w:tc>
        <w:tc>
          <w:tcPr>
            <w:tcW w:w="0" w:type="auto"/>
            <w:noWrap w:val="0"/>
            <w:vAlign w:val="center"/>
          </w:tcPr>
          <w:p w14:paraId="3F09D796">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【综合安防管理平台】</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【授权包含】：基础包、视频监控、门禁管理、可视对讲、出入口车辆放行管理、停车场车辆收费管理、园区人员布控、园区人车智能搜索、视频联网、入侵报警、设备网络管理</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【关键规格】：≥500路视频，≥100个门禁，≥2000户可视对讲，≥1万人员，8车道，320个防区管理</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 xml:space="preserve"> 支持高空抛物、电动车进电梯、电瓶车违规停放、人员离岗、暴露垃圾、打包垃圾、垃圾桶满溢等智能监控报警事件</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【平台硬件规格】</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2U标准机架式4盘位一体机，ATX电源</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64位多核高性能处理器</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DDR4高频率内存条</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1个HDMI接口、1个DP接口</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2个10M/100M/1000Mbps网口</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2个USB2.0接口、2个USB3.0接口</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【存储硬件规格】</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1个HDMI接口，1个VGA接口，同源输出</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支持满配≥8T硬盘（不支持IoT硬盘）</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2个10M/100M/1000Mbps网口</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2个USB2.0接口、1个USB2.0接口</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报警IO：16路报警输入，4路报警输出</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【存储性能】</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存储能力：≥32路（仅支持局域网设备接入存储）</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解码能力：8×1080P</w:t>
            </w:r>
          </w:p>
        </w:tc>
        <w:tc>
          <w:tcPr>
            <w:tcW w:w="0" w:type="auto"/>
            <w:noWrap w:val="0"/>
            <w:vAlign w:val="center"/>
          </w:tcPr>
          <w:p w14:paraId="000EFB7A">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w:t>
            </w:r>
          </w:p>
        </w:tc>
        <w:tc>
          <w:tcPr>
            <w:tcW w:w="0" w:type="auto"/>
            <w:noWrap w:val="0"/>
            <w:vAlign w:val="center"/>
          </w:tcPr>
          <w:p w14:paraId="60771E00">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浐灞国际港第一学校（暂定名）</w:t>
            </w:r>
          </w:p>
        </w:tc>
      </w:tr>
      <w:tr w14:paraId="5D578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14:paraId="457804AF">
            <w:pPr>
              <w:keepNext w:val="0"/>
              <w:keepLines w:val="0"/>
              <w:widowControl/>
              <w:suppressLineNumbers w:val="0"/>
              <w:jc w:val="righ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127</w:t>
            </w:r>
          </w:p>
        </w:tc>
        <w:tc>
          <w:tcPr>
            <w:tcW w:w="0" w:type="auto"/>
            <w:noWrap w:val="0"/>
            <w:vAlign w:val="center"/>
          </w:tcPr>
          <w:p w14:paraId="7BB59C9D">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弱电：十六路</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电源时序器</w:t>
            </w:r>
          </w:p>
        </w:tc>
        <w:tc>
          <w:tcPr>
            <w:tcW w:w="0" w:type="auto"/>
            <w:noWrap w:val="0"/>
            <w:vAlign w:val="center"/>
          </w:tcPr>
          <w:p w14:paraId="7EA66D55">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电源时序器十六路</w:t>
            </w:r>
          </w:p>
        </w:tc>
        <w:tc>
          <w:tcPr>
            <w:tcW w:w="0" w:type="auto"/>
            <w:noWrap w:val="0"/>
            <w:vAlign w:val="center"/>
          </w:tcPr>
          <w:p w14:paraId="0A3700E1">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1.微电脑控制，可与定时主机联机；</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2.16路电源输出，并有LED灯指示；</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3.具有紧急/正常开机模式手动转换；</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4.有电子锁开关机控制，防止他人误开机；</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5.16路电源按顺序开启/关闭，每路接通时间间隔为1秒；</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6.整机最大容量：≥5kW，单路最大容量：≥3kW；</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7.整机最大电流：≥30A；单路最大电流：≥15A；</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8.功耗：≤60W；</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9.保险丝：≥30A；</w:t>
            </w:r>
          </w:p>
        </w:tc>
        <w:tc>
          <w:tcPr>
            <w:tcW w:w="0" w:type="auto"/>
            <w:noWrap w:val="0"/>
            <w:vAlign w:val="center"/>
          </w:tcPr>
          <w:p w14:paraId="7585C9D9">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5</w:t>
            </w:r>
          </w:p>
        </w:tc>
        <w:tc>
          <w:tcPr>
            <w:tcW w:w="0" w:type="auto"/>
            <w:noWrap w:val="0"/>
            <w:vAlign w:val="center"/>
          </w:tcPr>
          <w:p w14:paraId="4468F6B4">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浐灞国际港第一学校（暂定名）</w:t>
            </w:r>
          </w:p>
        </w:tc>
      </w:tr>
      <w:tr w14:paraId="70625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14:paraId="5474AA19">
            <w:pPr>
              <w:keepNext w:val="0"/>
              <w:keepLines w:val="0"/>
              <w:widowControl/>
              <w:suppressLineNumbers w:val="0"/>
              <w:jc w:val="righ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128</w:t>
            </w:r>
          </w:p>
        </w:tc>
        <w:tc>
          <w:tcPr>
            <w:tcW w:w="0" w:type="auto"/>
            <w:noWrap w:val="0"/>
            <w:vAlign w:val="center"/>
          </w:tcPr>
          <w:p w14:paraId="77F410A2">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弱电：防静电地板</w:t>
            </w:r>
          </w:p>
        </w:tc>
        <w:tc>
          <w:tcPr>
            <w:tcW w:w="0" w:type="auto"/>
            <w:noWrap w:val="0"/>
            <w:vAlign w:val="center"/>
          </w:tcPr>
          <w:p w14:paraId="049C08C3">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防静电地板</w:t>
            </w:r>
          </w:p>
        </w:tc>
        <w:tc>
          <w:tcPr>
            <w:tcW w:w="0" w:type="auto"/>
            <w:noWrap w:val="0"/>
            <w:vAlign w:val="center"/>
          </w:tcPr>
          <w:p w14:paraId="196F69CB">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产品规格：600*600*35mm</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贴面材质：≥1.2mm防开裂防静电三聚氰胺板</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填充材料：425#发泡水泥</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钢板厚度：上钢板采用0.6mm拉伸钢板 ，下钢板采用0.5mm拉伸钢板</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防火等级：不燃A级 贴面FV-1级</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耐烟火：不小于1600℃</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耐磨性能：0.1g/1000转</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吸水性:≤0.5%</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系统电阻：1.0*10^6~1.0*10^9Ω</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极限载荷：极限集中载荷≥400公斤  均布载荷≥800公斤</w:t>
            </w:r>
          </w:p>
        </w:tc>
        <w:tc>
          <w:tcPr>
            <w:tcW w:w="0" w:type="auto"/>
            <w:noWrap w:val="0"/>
            <w:vAlign w:val="center"/>
          </w:tcPr>
          <w:p w14:paraId="08DA7556">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80</w:t>
            </w:r>
          </w:p>
        </w:tc>
        <w:tc>
          <w:tcPr>
            <w:tcW w:w="0" w:type="auto"/>
            <w:noWrap w:val="0"/>
            <w:vAlign w:val="center"/>
          </w:tcPr>
          <w:p w14:paraId="218AC80E">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浐灞国际港第一学校（暂定名）</w:t>
            </w:r>
          </w:p>
        </w:tc>
      </w:tr>
      <w:tr w14:paraId="2FC58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14:paraId="5BDCA3F5">
            <w:pPr>
              <w:keepNext w:val="0"/>
              <w:keepLines w:val="0"/>
              <w:widowControl/>
              <w:suppressLineNumbers w:val="0"/>
              <w:jc w:val="righ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129</w:t>
            </w:r>
          </w:p>
        </w:tc>
        <w:tc>
          <w:tcPr>
            <w:tcW w:w="0" w:type="auto"/>
            <w:noWrap w:val="0"/>
            <w:vAlign w:val="center"/>
          </w:tcPr>
          <w:p w14:paraId="1D021CAA">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弱电：上网行为管理</w:t>
            </w:r>
          </w:p>
        </w:tc>
        <w:tc>
          <w:tcPr>
            <w:tcW w:w="0" w:type="auto"/>
            <w:noWrap w:val="0"/>
            <w:vAlign w:val="center"/>
          </w:tcPr>
          <w:p w14:paraId="4A72445F">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上网行为管理</w:t>
            </w:r>
          </w:p>
        </w:tc>
        <w:tc>
          <w:tcPr>
            <w:tcW w:w="0" w:type="auto"/>
            <w:noWrap w:val="0"/>
            <w:vAlign w:val="center"/>
          </w:tcPr>
          <w:p w14:paraId="5A59412D">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1.所投产品须整机最少支持千兆电口≥6，万兆光口≥1,千兆光口≥2，USB2.0接口≥2，RJ45的Console接口≥1，Bypass接口≥1组</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2.支持加密导入与导出整个系统的配置文件。</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 xml:space="preserve"> 支持恢复整个设备的配置到出厂初始状态。</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4.支持认证服务器：本地服务器、Radius服务器、AD服务器、LDAP服务器与认证服务器。</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可支持短信认证、AD域联动和SAM联动等，也可以结合业务平台如飞书、钉钉和企业邮箱等。</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5.支持管理员可以通过流量统计分析报表可查询上网流量状态，根据用户流量排名查询网络中占用流量较大用户，根据应用流量排名占用率最高应用，便于分析对网络中的异常流量。</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6.支持流控功能准确识别协议流量，将带宽做颗粒度的划分，保证流控的精细程度；针对IP、用户、应用的精细流量识别，统一分析，找出更准确的流控策略；对于具体用户/用户组、具体应用进行带宽限制和带宽保障，确保核心部门核心业务的正常运行与开展。</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7.支持身份识别</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8.支持行为管控</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9.本次配置≥3年授权特征库 （三年内免费升级维护开发）</w:t>
            </w:r>
          </w:p>
        </w:tc>
        <w:tc>
          <w:tcPr>
            <w:tcW w:w="0" w:type="auto"/>
            <w:noWrap w:val="0"/>
            <w:vAlign w:val="center"/>
          </w:tcPr>
          <w:p w14:paraId="0C28CBBF">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w:t>
            </w:r>
          </w:p>
        </w:tc>
        <w:tc>
          <w:tcPr>
            <w:tcW w:w="0" w:type="auto"/>
            <w:noWrap w:val="0"/>
            <w:vAlign w:val="center"/>
          </w:tcPr>
          <w:p w14:paraId="1AD7D0A2">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浐灞国际港第一学校（暂定名）</w:t>
            </w:r>
          </w:p>
        </w:tc>
      </w:tr>
      <w:tr w14:paraId="4EEE8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6" w:hRule="atLeast"/>
        </w:trPr>
        <w:tc>
          <w:tcPr>
            <w:tcW w:w="0" w:type="auto"/>
            <w:noWrap w:val="0"/>
            <w:vAlign w:val="center"/>
          </w:tcPr>
          <w:p w14:paraId="19A153F1">
            <w:pPr>
              <w:keepNext w:val="0"/>
              <w:keepLines w:val="0"/>
              <w:widowControl/>
              <w:suppressLineNumbers w:val="0"/>
              <w:jc w:val="righ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130</w:t>
            </w:r>
          </w:p>
        </w:tc>
        <w:tc>
          <w:tcPr>
            <w:tcW w:w="0" w:type="auto"/>
            <w:noWrap w:val="0"/>
            <w:vAlign w:val="center"/>
          </w:tcPr>
          <w:p w14:paraId="15AF8455">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弱电：服务器机柜</w:t>
            </w:r>
          </w:p>
        </w:tc>
        <w:tc>
          <w:tcPr>
            <w:tcW w:w="0" w:type="auto"/>
            <w:noWrap w:val="0"/>
            <w:vAlign w:val="center"/>
          </w:tcPr>
          <w:p w14:paraId="7E748B5F">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服务器机柜</w:t>
            </w:r>
          </w:p>
        </w:tc>
        <w:tc>
          <w:tcPr>
            <w:tcW w:w="0" w:type="auto"/>
            <w:noWrap w:val="0"/>
            <w:vAlign w:val="center"/>
          </w:tcPr>
          <w:p w14:paraId="3F0DA97D">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42U钢制机柜</w:t>
            </w:r>
          </w:p>
        </w:tc>
        <w:tc>
          <w:tcPr>
            <w:tcW w:w="0" w:type="auto"/>
            <w:noWrap w:val="0"/>
            <w:vAlign w:val="center"/>
          </w:tcPr>
          <w:p w14:paraId="58FE9074">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w:t>
            </w:r>
          </w:p>
        </w:tc>
        <w:tc>
          <w:tcPr>
            <w:tcW w:w="0" w:type="auto"/>
            <w:noWrap w:val="0"/>
            <w:vAlign w:val="center"/>
          </w:tcPr>
          <w:p w14:paraId="725730BA">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浐灞国际港第一学校（暂定名）</w:t>
            </w:r>
          </w:p>
        </w:tc>
      </w:tr>
      <w:tr w14:paraId="54E78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14:paraId="6B9DE3AA">
            <w:pPr>
              <w:keepNext w:val="0"/>
              <w:keepLines w:val="0"/>
              <w:widowControl/>
              <w:suppressLineNumbers w:val="0"/>
              <w:jc w:val="righ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131</w:t>
            </w:r>
          </w:p>
        </w:tc>
        <w:tc>
          <w:tcPr>
            <w:tcW w:w="0" w:type="auto"/>
            <w:noWrap w:val="0"/>
            <w:vAlign w:val="center"/>
          </w:tcPr>
          <w:p w14:paraId="1C4DFC37">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LED屏：会议室智能会议平板一体机</w:t>
            </w:r>
          </w:p>
        </w:tc>
        <w:tc>
          <w:tcPr>
            <w:tcW w:w="0" w:type="auto"/>
            <w:noWrap w:val="0"/>
            <w:vAlign w:val="center"/>
          </w:tcPr>
          <w:p w14:paraId="7226AEA3">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会议室智能会议平板一体机</w:t>
            </w:r>
          </w:p>
        </w:tc>
        <w:tc>
          <w:tcPr>
            <w:tcW w:w="0" w:type="auto"/>
            <w:noWrap w:val="0"/>
            <w:vAlign w:val="center"/>
          </w:tcPr>
          <w:p w14:paraId="4270942E">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一、整体设计</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1.设备采用一体设计，外部无任何可见内部功能模块连接线。设备采用≥98英寸超高清LED液晶显示屏，显示比例16:9，分辨率≥3840×2160。</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2.支持在Windows及Android系统中进行20点或以上触控。</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3.设备在0℃—40℃环境下可正常工作，在-20℃—60℃的环境下可正常贮存且贮存后功能无损。</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二、电视系统</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4.设备内置声道扬声器。</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5.设备扬声器在100%音量下，可做到1米处声压级≥87db，10米处声压级≥80dB。</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6.整机内置独立音频CPU处理器，支持麦克风3A算法。</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7.设备支持标准、听力、空间感知等音效模式</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8.设备背光系统支持多级亮度调节，支持白颜色背景下最暗亮度≤100nit。</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9.可根据屏幕内容自动调节画质参数</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10.设备采用硬件低蓝光背光技术，在源头减少有害蓝光波段能量，蓝光占比≤50%，低蓝光保护显示不偏色、不泛黄。</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11.设备支持设置类纸质护眼显示</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三、整机功能</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12.设备内置非独立摄像头，采用一体化集成设计，摄像头数量≥1个，视场角≥140度，可拍摄生成≥1600万像素的照片。</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13.摄像头支持人脸识别</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14.设备内置双WiFi6无线网卡，在Android和Windows系统下，可实现Wi-Fi无线上网连接、AP无线热点发射，设备支持蓝牙Bluetooth 标准。</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15.安卓系统下，能对TV多媒体USB所读取到的文件进行自动归类，可分类查找文档、图片、音视频等，检索后可直接在界面中打开。</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五、电脑配置</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16.采用抽拉内置式模块化电脑，抽拉内置式，PC模块可插入整机，可实现无单独接线的插拔。按压式卡扣方式，无需工具即可快速拆卸电脑模块。</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17.搭载性能≥Intel酷睿 i5或以上配置CPU。内存：≥8 GB DDR4笔记本内存或以上配置。硬盘：≥256GB SSD固态硬盘或以上配置。</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 xml:space="preserve">18.设备具备供电保护模块。和整机的连接采用万兆级接口，传输速率≥10Gbps。                                                                                         19.内置智能会议软件                                                                                                                 20.配智能笔                                                                                                                       21.配移动支架                                                                                                                                                                                                    </w:t>
            </w:r>
          </w:p>
        </w:tc>
        <w:tc>
          <w:tcPr>
            <w:tcW w:w="0" w:type="auto"/>
            <w:noWrap w:val="0"/>
            <w:vAlign w:val="center"/>
          </w:tcPr>
          <w:p w14:paraId="6D634A13">
            <w:pPr>
              <w:keepNext w:val="0"/>
              <w:keepLines w:val="0"/>
              <w:widowControl/>
              <w:suppressLineNumbers w:val="0"/>
              <w:jc w:val="center"/>
              <w:textAlignment w:val="center"/>
              <w:rPr>
                <w:sz w:val="20"/>
                <w:szCs w:val="20"/>
                <w:highlight w:val="none"/>
                <w:vertAlign w:val="baseline"/>
              </w:rPr>
            </w:pPr>
            <w:r>
              <w:rPr>
                <w:rFonts w:hint="default" w:ascii="Calibri" w:hAnsi="Calibri" w:eastAsia="宋体" w:cs="Calibri"/>
                <w:i w:val="0"/>
                <w:iCs w:val="0"/>
                <w:color w:val="000000"/>
                <w:kern w:val="0"/>
                <w:sz w:val="20"/>
                <w:szCs w:val="20"/>
                <w:highlight w:val="none"/>
                <w:u w:val="none"/>
                <w:lang w:val="en-US" w:eastAsia="zh-CN" w:bidi="ar"/>
              </w:rPr>
              <w:t>1</w:t>
            </w:r>
          </w:p>
        </w:tc>
        <w:tc>
          <w:tcPr>
            <w:tcW w:w="0" w:type="auto"/>
            <w:noWrap w:val="0"/>
            <w:vAlign w:val="center"/>
          </w:tcPr>
          <w:p w14:paraId="46EDD8FB">
            <w:pPr>
              <w:keepNext w:val="0"/>
              <w:keepLines w:val="0"/>
              <w:widowControl/>
              <w:suppressLineNumbers w:val="0"/>
              <w:jc w:val="center"/>
              <w:textAlignment w:val="center"/>
              <w:rPr>
                <w:sz w:val="20"/>
                <w:szCs w:val="20"/>
                <w:highlight w:val="none"/>
                <w:vertAlign w:val="baseline"/>
              </w:rPr>
            </w:pPr>
            <w:r>
              <w:rPr>
                <w:rFonts w:hint="default" w:ascii="宋体" w:hAnsi="宋体" w:eastAsia="宋体" w:cs="宋体"/>
                <w:i w:val="0"/>
                <w:iCs w:val="0"/>
                <w:color w:val="000000"/>
                <w:kern w:val="0"/>
                <w:sz w:val="20"/>
                <w:szCs w:val="20"/>
                <w:highlight w:val="none"/>
                <w:u w:val="none"/>
                <w:lang w:val="en-US" w:eastAsia="zh-CN" w:bidi="ar"/>
              </w:rPr>
              <w:t>浐灞第一幼儿园</w:t>
            </w:r>
          </w:p>
        </w:tc>
      </w:tr>
      <w:tr w14:paraId="7C226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14:paraId="40C2422A">
            <w:pPr>
              <w:keepNext w:val="0"/>
              <w:keepLines w:val="0"/>
              <w:widowControl/>
              <w:suppressLineNumbers w:val="0"/>
              <w:jc w:val="righ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132</w:t>
            </w:r>
          </w:p>
        </w:tc>
        <w:tc>
          <w:tcPr>
            <w:tcW w:w="0" w:type="auto"/>
            <w:noWrap w:val="0"/>
            <w:vAlign w:val="center"/>
          </w:tcPr>
          <w:p w14:paraId="6C75C147">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报告厅：LED显示屏</w:t>
            </w:r>
          </w:p>
        </w:tc>
        <w:tc>
          <w:tcPr>
            <w:tcW w:w="0" w:type="auto"/>
            <w:noWrap w:val="0"/>
            <w:vAlign w:val="center"/>
          </w:tcPr>
          <w:p w14:paraId="66905748">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LED显示屏</w:t>
            </w:r>
          </w:p>
        </w:tc>
        <w:tc>
          <w:tcPr>
            <w:tcW w:w="0" w:type="auto"/>
            <w:noWrap w:val="0"/>
            <w:vAlign w:val="center"/>
          </w:tcPr>
          <w:p w14:paraId="76C1F21C">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屏体尺寸：4.16*2.24m</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点间距：≤2.0mm</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密度：250000点/m2</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模组尺寸：320mm*160mm</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模组拼接平整度：≤0.1mm</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白平衡亮度:≥600 cd/㎡（色温1800K-10000K），</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刷新率:≥3840Hz</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水平视角：水平≥160°、垂直≥160°，</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色度均匀性:±0.002Cx,Cy之内</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对比度:≥8000:1</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峰值功耗:≤500w/㎡</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平均功耗:≤200w/㎡</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供电要求:AC100V~240V（50-60Hz）</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换帧频率:60Hz-120 Hz</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连续工作时间:≥72小时，平均无故障时间:≥10000小时</w:t>
            </w:r>
          </w:p>
        </w:tc>
        <w:tc>
          <w:tcPr>
            <w:tcW w:w="0" w:type="auto"/>
            <w:noWrap w:val="0"/>
            <w:vAlign w:val="center"/>
          </w:tcPr>
          <w:p w14:paraId="6B2CCC7D">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9.32</w:t>
            </w:r>
          </w:p>
        </w:tc>
        <w:tc>
          <w:tcPr>
            <w:tcW w:w="0" w:type="auto"/>
            <w:noWrap w:val="0"/>
            <w:vAlign w:val="center"/>
          </w:tcPr>
          <w:p w14:paraId="2425CC6E">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浐灞一幼灞柳园区（暂定名）</w:t>
            </w:r>
          </w:p>
        </w:tc>
      </w:tr>
      <w:tr w14:paraId="7C488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14:paraId="34EA8A34">
            <w:pPr>
              <w:keepNext w:val="0"/>
              <w:keepLines w:val="0"/>
              <w:widowControl/>
              <w:suppressLineNumbers w:val="0"/>
              <w:jc w:val="righ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133</w:t>
            </w:r>
          </w:p>
        </w:tc>
        <w:tc>
          <w:tcPr>
            <w:tcW w:w="0" w:type="auto"/>
            <w:noWrap w:val="0"/>
            <w:vAlign w:val="center"/>
          </w:tcPr>
          <w:p w14:paraId="47A81D30">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报告厅：接收卡</w:t>
            </w:r>
          </w:p>
        </w:tc>
        <w:tc>
          <w:tcPr>
            <w:tcW w:w="0" w:type="auto"/>
            <w:noWrap w:val="0"/>
            <w:vAlign w:val="center"/>
          </w:tcPr>
          <w:p w14:paraId="620B49FF">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接收卡</w:t>
            </w:r>
          </w:p>
        </w:tc>
        <w:tc>
          <w:tcPr>
            <w:tcW w:w="0" w:type="auto"/>
            <w:noWrap w:val="0"/>
            <w:vAlign w:val="center"/>
          </w:tcPr>
          <w:p w14:paraId="063ACF3C">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自带8个HUB75接口，数据组数：16组，最大带载：长度256点，高度512点，支持亮度/色度校正</w:t>
            </w:r>
          </w:p>
        </w:tc>
        <w:tc>
          <w:tcPr>
            <w:tcW w:w="0" w:type="auto"/>
            <w:noWrap w:val="0"/>
            <w:vAlign w:val="center"/>
          </w:tcPr>
          <w:p w14:paraId="72D154F1">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26</w:t>
            </w:r>
          </w:p>
        </w:tc>
        <w:tc>
          <w:tcPr>
            <w:tcW w:w="0" w:type="auto"/>
            <w:noWrap w:val="0"/>
            <w:vAlign w:val="center"/>
          </w:tcPr>
          <w:p w14:paraId="191FE3D9">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浐灞一幼灞柳园区（暂定名）</w:t>
            </w:r>
          </w:p>
        </w:tc>
      </w:tr>
      <w:tr w14:paraId="69C8D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14:paraId="15576B27">
            <w:pPr>
              <w:keepNext w:val="0"/>
              <w:keepLines w:val="0"/>
              <w:widowControl/>
              <w:suppressLineNumbers w:val="0"/>
              <w:jc w:val="righ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134</w:t>
            </w:r>
          </w:p>
        </w:tc>
        <w:tc>
          <w:tcPr>
            <w:tcW w:w="0" w:type="auto"/>
            <w:noWrap w:val="0"/>
            <w:vAlign w:val="center"/>
          </w:tcPr>
          <w:p w14:paraId="731C5CBB">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报告厅：电源</w:t>
            </w:r>
          </w:p>
        </w:tc>
        <w:tc>
          <w:tcPr>
            <w:tcW w:w="0" w:type="auto"/>
            <w:noWrap w:val="0"/>
            <w:vAlign w:val="center"/>
          </w:tcPr>
          <w:p w14:paraId="5F995681">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电源</w:t>
            </w:r>
          </w:p>
        </w:tc>
        <w:tc>
          <w:tcPr>
            <w:tcW w:w="0" w:type="auto"/>
            <w:noWrap w:val="0"/>
            <w:vAlign w:val="center"/>
          </w:tcPr>
          <w:p w14:paraId="52EC0BE9">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5V40A</w:t>
            </w:r>
          </w:p>
        </w:tc>
        <w:tc>
          <w:tcPr>
            <w:tcW w:w="0" w:type="auto"/>
            <w:noWrap w:val="0"/>
            <w:vAlign w:val="center"/>
          </w:tcPr>
          <w:p w14:paraId="0C7C2EC1">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47</w:t>
            </w:r>
          </w:p>
        </w:tc>
        <w:tc>
          <w:tcPr>
            <w:tcW w:w="0" w:type="auto"/>
            <w:noWrap w:val="0"/>
            <w:vAlign w:val="center"/>
          </w:tcPr>
          <w:p w14:paraId="6F303FB0">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浐灞一幼灞柳园区（暂定名）</w:t>
            </w:r>
          </w:p>
        </w:tc>
      </w:tr>
      <w:tr w14:paraId="007A1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14:paraId="5F46D07A">
            <w:pPr>
              <w:keepNext w:val="0"/>
              <w:keepLines w:val="0"/>
              <w:widowControl/>
              <w:suppressLineNumbers w:val="0"/>
              <w:jc w:val="righ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135</w:t>
            </w:r>
          </w:p>
        </w:tc>
        <w:tc>
          <w:tcPr>
            <w:tcW w:w="0" w:type="auto"/>
            <w:noWrap w:val="0"/>
            <w:vAlign w:val="center"/>
          </w:tcPr>
          <w:p w14:paraId="3C7CD7A0">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报告厅：视频处理器</w:t>
            </w:r>
          </w:p>
        </w:tc>
        <w:tc>
          <w:tcPr>
            <w:tcW w:w="0" w:type="auto"/>
            <w:noWrap w:val="0"/>
            <w:vAlign w:val="center"/>
          </w:tcPr>
          <w:p w14:paraId="344E1F24">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视频处理器</w:t>
            </w:r>
          </w:p>
        </w:tc>
        <w:tc>
          <w:tcPr>
            <w:tcW w:w="0" w:type="auto"/>
            <w:noWrap w:val="0"/>
            <w:vAlign w:val="center"/>
          </w:tcPr>
          <w:p w14:paraId="00C89CE2">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带载260W像素，最宽4096像素最高2560像素，最大输入分辨率1920*1080@60Hz（支持自定义分辨率设置）输入接口：1路HDMI 1.4、2路DVI，输出接口：4路千兆网口，支持USB级联控制</w:t>
            </w:r>
          </w:p>
        </w:tc>
        <w:tc>
          <w:tcPr>
            <w:tcW w:w="0" w:type="auto"/>
            <w:noWrap w:val="0"/>
            <w:vAlign w:val="center"/>
          </w:tcPr>
          <w:p w14:paraId="48866CBF">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w:t>
            </w:r>
          </w:p>
        </w:tc>
        <w:tc>
          <w:tcPr>
            <w:tcW w:w="0" w:type="auto"/>
            <w:noWrap w:val="0"/>
            <w:vAlign w:val="center"/>
          </w:tcPr>
          <w:p w14:paraId="38EA84A4">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浐灞一幼灞柳园区（暂定名）</w:t>
            </w:r>
          </w:p>
        </w:tc>
      </w:tr>
      <w:tr w14:paraId="0E7DF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14:paraId="2F31E811">
            <w:pPr>
              <w:keepNext w:val="0"/>
              <w:keepLines w:val="0"/>
              <w:widowControl/>
              <w:suppressLineNumbers w:val="0"/>
              <w:jc w:val="righ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136</w:t>
            </w:r>
          </w:p>
        </w:tc>
        <w:tc>
          <w:tcPr>
            <w:tcW w:w="0" w:type="auto"/>
            <w:noWrap w:val="0"/>
            <w:vAlign w:val="center"/>
          </w:tcPr>
          <w:p w14:paraId="21DFBD05">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报告厅：结构</w:t>
            </w:r>
          </w:p>
        </w:tc>
        <w:tc>
          <w:tcPr>
            <w:tcW w:w="0" w:type="auto"/>
            <w:noWrap w:val="0"/>
            <w:vAlign w:val="center"/>
          </w:tcPr>
          <w:p w14:paraId="6E38748A">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结构</w:t>
            </w:r>
          </w:p>
        </w:tc>
        <w:tc>
          <w:tcPr>
            <w:tcW w:w="0" w:type="auto"/>
            <w:noWrap w:val="0"/>
            <w:vAlign w:val="center"/>
          </w:tcPr>
          <w:p w14:paraId="1456B6A3">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壁挂结构，4.16*2.24  贴墙钢结构；  材料：SPCC 高强度钢板</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表面处理：静电喷塑</w:t>
            </w:r>
          </w:p>
        </w:tc>
        <w:tc>
          <w:tcPr>
            <w:tcW w:w="0" w:type="auto"/>
            <w:noWrap w:val="0"/>
            <w:vAlign w:val="center"/>
          </w:tcPr>
          <w:p w14:paraId="5A9C8451">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9.32</w:t>
            </w:r>
          </w:p>
        </w:tc>
        <w:tc>
          <w:tcPr>
            <w:tcW w:w="0" w:type="auto"/>
            <w:noWrap w:val="0"/>
            <w:vAlign w:val="center"/>
          </w:tcPr>
          <w:p w14:paraId="0EBE3F2E">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浐灞一幼灞柳园区（暂定名）</w:t>
            </w:r>
          </w:p>
        </w:tc>
      </w:tr>
      <w:tr w14:paraId="75125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14:paraId="7BC4022C">
            <w:pPr>
              <w:keepNext w:val="0"/>
              <w:keepLines w:val="0"/>
              <w:widowControl/>
              <w:suppressLineNumbers w:val="0"/>
              <w:jc w:val="righ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137</w:t>
            </w:r>
          </w:p>
        </w:tc>
        <w:tc>
          <w:tcPr>
            <w:tcW w:w="0" w:type="auto"/>
            <w:noWrap w:val="0"/>
            <w:vAlign w:val="center"/>
          </w:tcPr>
          <w:p w14:paraId="2CF70B03">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报告厅：配电柜</w:t>
            </w:r>
          </w:p>
        </w:tc>
        <w:tc>
          <w:tcPr>
            <w:tcW w:w="0" w:type="auto"/>
            <w:noWrap w:val="0"/>
            <w:vAlign w:val="center"/>
          </w:tcPr>
          <w:p w14:paraId="2310929E">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配电柜</w:t>
            </w:r>
          </w:p>
        </w:tc>
        <w:tc>
          <w:tcPr>
            <w:tcW w:w="0" w:type="auto"/>
            <w:noWrap w:val="0"/>
            <w:vAlign w:val="center"/>
          </w:tcPr>
          <w:p w14:paraId="6AE9D93F">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1、额定功率：≥20KW，输出路数：3路</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 xml:space="preserve">2、防护功能：具有防静电、抗震动、防电磁干扰；  </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3、具有电源过压、过流、断电保护、分布上电措施；</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4、主线4平方，4+1纯铜线缆</w:t>
            </w:r>
          </w:p>
        </w:tc>
        <w:tc>
          <w:tcPr>
            <w:tcW w:w="0" w:type="auto"/>
            <w:noWrap w:val="0"/>
            <w:vAlign w:val="center"/>
          </w:tcPr>
          <w:p w14:paraId="747F5CE7">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w:t>
            </w:r>
          </w:p>
        </w:tc>
        <w:tc>
          <w:tcPr>
            <w:tcW w:w="0" w:type="auto"/>
            <w:noWrap w:val="0"/>
            <w:vAlign w:val="center"/>
          </w:tcPr>
          <w:p w14:paraId="5C73F9C1">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浐灞一幼灞柳园区（暂定名）</w:t>
            </w:r>
          </w:p>
        </w:tc>
      </w:tr>
      <w:tr w14:paraId="3D0AD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14:paraId="1A1D4386">
            <w:pPr>
              <w:keepNext w:val="0"/>
              <w:keepLines w:val="0"/>
              <w:widowControl/>
              <w:suppressLineNumbers w:val="0"/>
              <w:jc w:val="righ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138</w:t>
            </w:r>
          </w:p>
        </w:tc>
        <w:tc>
          <w:tcPr>
            <w:tcW w:w="0" w:type="auto"/>
            <w:noWrap w:val="0"/>
            <w:vAlign w:val="center"/>
          </w:tcPr>
          <w:p w14:paraId="77668F26">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报告厅：扩声音箱</w:t>
            </w:r>
          </w:p>
        </w:tc>
        <w:tc>
          <w:tcPr>
            <w:tcW w:w="0" w:type="auto"/>
            <w:noWrap w:val="0"/>
            <w:vAlign w:val="center"/>
          </w:tcPr>
          <w:p w14:paraId="06D7A990">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扩声音箱</w:t>
            </w:r>
          </w:p>
        </w:tc>
        <w:tc>
          <w:tcPr>
            <w:tcW w:w="0" w:type="auto"/>
            <w:noWrap w:val="0"/>
            <w:vAlign w:val="center"/>
          </w:tcPr>
          <w:p w14:paraId="0E8E046E">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1、铝合金压铸箱体，磨砂烤漆；                                                                                                                                                                                                                                                                                                                                                                                2、选用了4只3寸钕磁低音单元+1只2寸带式高音单元直射排列组合而成 ；                                                                                                                                                                                                                                                                                                                               3、设计墙面安装支架孔位，提高SPL以及减少垂直辐射波瓣宽度；</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 xml:space="preserve">                                                                                                                                                                                                                                                                                             </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技术参数：                                                                                                                                                                                                         驱动组件: 4x3"低音单元1*2"带式高音单元直射排列</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频率范围(-10dB): 100Hz-23kHz</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频响范围(±3dB: 150Hz-23kHz</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平均功率: 115W</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峰值功率: 230W</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阻抗:8Ω</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灵敏度(1W/1M): 93dB</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输出声压级: 114dB(峰值120dB)</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扩散角度(HxV): 120° x 20°</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信号连接件: 2xNL4音箱插座，凤凰插座</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室外能力: ≥IP52防护等级</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颜色: 标准黑色</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适配安装架: 落地支架；墙面安装：万向吊架</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箱体:铝合金外箱体，ABS驱动器安装面，烤漆穿孔钢网</w:t>
            </w:r>
          </w:p>
        </w:tc>
        <w:tc>
          <w:tcPr>
            <w:tcW w:w="0" w:type="auto"/>
            <w:noWrap w:val="0"/>
            <w:vAlign w:val="center"/>
          </w:tcPr>
          <w:p w14:paraId="5C06529B">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2</w:t>
            </w:r>
          </w:p>
        </w:tc>
        <w:tc>
          <w:tcPr>
            <w:tcW w:w="0" w:type="auto"/>
            <w:noWrap w:val="0"/>
            <w:vAlign w:val="center"/>
          </w:tcPr>
          <w:p w14:paraId="60BAD542">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浐灞一幼灞柳园区（暂定名）</w:t>
            </w:r>
          </w:p>
        </w:tc>
      </w:tr>
      <w:tr w14:paraId="41055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14:paraId="6A1E6026">
            <w:pPr>
              <w:keepNext w:val="0"/>
              <w:keepLines w:val="0"/>
              <w:widowControl/>
              <w:suppressLineNumbers w:val="0"/>
              <w:jc w:val="righ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139</w:t>
            </w:r>
          </w:p>
        </w:tc>
        <w:tc>
          <w:tcPr>
            <w:tcW w:w="0" w:type="auto"/>
            <w:noWrap w:val="0"/>
            <w:vAlign w:val="center"/>
          </w:tcPr>
          <w:p w14:paraId="5F3C870D">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报告厅：数字功放</w:t>
            </w:r>
          </w:p>
        </w:tc>
        <w:tc>
          <w:tcPr>
            <w:tcW w:w="0" w:type="auto"/>
            <w:noWrap w:val="0"/>
            <w:vAlign w:val="center"/>
          </w:tcPr>
          <w:p w14:paraId="2160E28B">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数字功放</w:t>
            </w:r>
          </w:p>
        </w:tc>
        <w:tc>
          <w:tcPr>
            <w:tcW w:w="0" w:type="auto"/>
            <w:noWrap w:val="0"/>
            <w:vAlign w:val="center"/>
          </w:tcPr>
          <w:p w14:paraId="50FBA7C4">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 xml:space="preserve">1、 开关电源（SMPS）和D类功率放大线路（CLASS -D）；                                                                                                                                                                                                                                                                                                                    2、 优质多孔散热片,能低温运行；                                                                                                                                                                                                                                                                                                                              3、 多种灵敏度和压缩模式可供选择，桥接功能；                                                                                                                                                                                                                                                                                                                                                        4、定压定阻支持：100V、8 欧、4 欧                                                                                                                                                                                                                                                                                                                                                                       5、全套的保护功能，，功率智能恒定技术，谐振软开关技术；                                                                                                                                                                                                                                                                                                                                                                                                                                                                                                                                                                                                                                                                                                                           6、 优质电源，抗干扰能力强，稳定度高，转换效率高，保护能力强；                                                                                                                                                                                                                                                                                                                                7、 优质电容，多级滤波。                                                                                                                                                                                                                                                                                                                                                                                                                                                                                                                                                                                                                                                                                                                                               技术参数：                                                                                                                                                                                                                                                                                                                                                                                                                                       输出功率：2*300W/8Ω  2*450W/4Ω                                                                                                                                                                                                                                                                                                                                                                         </w:t>
            </w:r>
            <w:r>
              <w:rPr>
                <w:rFonts w:hint="eastAsia" w:ascii="宋体" w:hAnsi="宋体" w:eastAsia="宋体" w:cs="宋体"/>
                <w:i w:val="0"/>
                <w:iCs w:val="0"/>
                <w:color w:val="000000"/>
                <w:kern w:val="0"/>
                <w:sz w:val="20"/>
                <w:szCs w:val="20"/>
                <w:highlight w:val="none"/>
                <w:u w:val="none"/>
                <w:lang w:val="en-US" w:eastAsia="zh-CN" w:bidi="ar"/>
              </w:rPr>
              <w:t xml:space="preserve">                            桥接：900W/8Ω                                                                                                                                                                                                                                                                                                                                                                                                                           频率响应： 20Hz-20KHz±3db                                                                                                                                                                                                                                                                                                                                                                                                             信噪比：≥80db                                                                                                                                                                                                                                                                                                                                                                                                                  输入灵敏： 1V                                                                                                                                                                                                                                                                                                                                                                                                                             总谐波失真： ≤0.05％@8Ω 1KHz                                                                                                                                                                                                                                                                                                                                                                                    输入阻抗： 20KΩ（平衡） 10KΩ(不平衡）                                                                                                                                                                                                                                                                                                                                                                         转换速率： 40V/μS</w:t>
            </w:r>
          </w:p>
        </w:tc>
        <w:tc>
          <w:tcPr>
            <w:tcW w:w="0" w:type="auto"/>
            <w:noWrap w:val="0"/>
            <w:vAlign w:val="center"/>
          </w:tcPr>
          <w:p w14:paraId="530B7A63">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w:t>
            </w:r>
          </w:p>
        </w:tc>
        <w:tc>
          <w:tcPr>
            <w:tcW w:w="0" w:type="auto"/>
            <w:noWrap w:val="0"/>
            <w:vAlign w:val="center"/>
          </w:tcPr>
          <w:p w14:paraId="26EFADDD">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浐灞一幼灞柳园区（暂定名）</w:t>
            </w:r>
          </w:p>
        </w:tc>
      </w:tr>
      <w:tr w14:paraId="0A30A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14:paraId="236AEFBB">
            <w:pPr>
              <w:keepNext w:val="0"/>
              <w:keepLines w:val="0"/>
              <w:widowControl/>
              <w:suppressLineNumbers w:val="0"/>
              <w:jc w:val="righ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140</w:t>
            </w:r>
          </w:p>
        </w:tc>
        <w:tc>
          <w:tcPr>
            <w:tcW w:w="0" w:type="auto"/>
            <w:noWrap w:val="0"/>
            <w:vAlign w:val="center"/>
          </w:tcPr>
          <w:p w14:paraId="5D0EBD17">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报告厅：四编组调音台</w:t>
            </w:r>
          </w:p>
        </w:tc>
        <w:tc>
          <w:tcPr>
            <w:tcW w:w="0" w:type="auto"/>
            <w:noWrap w:val="0"/>
            <w:vAlign w:val="center"/>
          </w:tcPr>
          <w:p w14:paraId="06E7B562">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四编组调音台</w:t>
            </w:r>
          </w:p>
        </w:tc>
        <w:tc>
          <w:tcPr>
            <w:tcW w:w="0" w:type="auto"/>
            <w:noWrap w:val="0"/>
            <w:vAlign w:val="center"/>
          </w:tcPr>
          <w:p w14:paraId="48A23E37">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 xml:space="preserve">产品特点：                                         </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1、12通道设计，8路MIC单声道+2路立体声输入;                                                                                                                                                                                                                                                                                                                                                    2、单声通道100Hz低频衰减开关（高通滤波）;</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3、每通道3段参量均衡，单声道带扫频;</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4、4辅助编组输出，2推子前折返，1衰减后辅助，1衰减后效果，3组AUX母线辅助输出（包括EFF），1个耳机监听输出、 单通道输入断点插入；</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5、24种DSP数字效果器;</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6、USB播放器，MP3播放，USB直插录音,蓝牙5.0接收播放;</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7、USB音频声卡（连接电脑）将电脑播放的声音传输到调音台;</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8、内置48V幻想电源供电，每通道带独立开关;</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9、主输出双7段立体声图示均衡器;</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10、USB可与一路立体声切换，USB可独立调节;</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11、MP3可与一路立体声切换，MP3可独立调节;</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12、每输入通道带ON开关，PEL耳机开关;</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13、12段精准三色LED电平灯显示信号状态;</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14、平滑高品质100MM行程推子。                                                                                                                                                                                                                                                                                                                                                                                                                     技术参数：</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输入灵敏度：麦克风：-60dB</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立体声通道输入：-40dB</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效果发送：-20dB</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效果返回：-20dB</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低频：±15dB/60HZ</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最大输出电平：20dBm</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总谐波失真度：0.02%@ 0dB1KHz</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频率相应：20Hz~20Kz</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电源功率：30w</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电源电压：100V-240V/50Hz</w:t>
            </w:r>
          </w:p>
        </w:tc>
        <w:tc>
          <w:tcPr>
            <w:tcW w:w="0" w:type="auto"/>
            <w:noWrap w:val="0"/>
            <w:vAlign w:val="center"/>
          </w:tcPr>
          <w:p w14:paraId="32D6ED1C">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w:t>
            </w:r>
          </w:p>
        </w:tc>
        <w:tc>
          <w:tcPr>
            <w:tcW w:w="0" w:type="auto"/>
            <w:noWrap w:val="0"/>
            <w:vAlign w:val="center"/>
          </w:tcPr>
          <w:p w14:paraId="7BA8CB23">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浐灞一幼灞柳园区（暂定名）</w:t>
            </w:r>
          </w:p>
        </w:tc>
      </w:tr>
      <w:tr w14:paraId="68A2B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14:paraId="2DDF8279">
            <w:pPr>
              <w:keepNext w:val="0"/>
              <w:keepLines w:val="0"/>
              <w:widowControl/>
              <w:suppressLineNumbers w:val="0"/>
              <w:jc w:val="righ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141</w:t>
            </w:r>
          </w:p>
        </w:tc>
        <w:tc>
          <w:tcPr>
            <w:tcW w:w="0" w:type="auto"/>
            <w:noWrap w:val="0"/>
            <w:vAlign w:val="center"/>
          </w:tcPr>
          <w:p w14:paraId="3F037B17">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报告厅：8路智能电源管理器</w:t>
            </w:r>
          </w:p>
        </w:tc>
        <w:tc>
          <w:tcPr>
            <w:tcW w:w="0" w:type="auto"/>
            <w:noWrap w:val="0"/>
            <w:vAlign w:val="center"/>
          </w:tcPr>
          <w:p w14:paraId="393D20DD">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8路智能电源管理器</w:t>
            </w:r>
          </w:p>
        </w:tc>
        <w:tc>
          <w:tcPr>
            <w:tcW w:w="0" w:type="auto"/>
            <w:noWrap w:val="0"/>
            <w:vAlign w:val="center"/>
          </w:tcPr>
          <w:p w14:paraId="4BA15315">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功能特点：</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1、高清彩色≥2.0寸显示屏（分辨率320*240），</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2、支持本地10组循环开关机控制；</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3、 内置功率计，电压、电流、功率、功率因数实时显示；</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4、带有过压保护、过流保护、欠压保护均可设置保护阀值；</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5、RS232中控控制，波特率可设置(4800-921600，默认9600)，</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6、多台设备级联，通过RS232联机（最长距离10米），RS232连接线需db9公对公23交叉；</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7、断电记忆；</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8、上电自启（当设备设定开启上电自启后，每次设备通电10秒后会开启所有设备通道）；</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9、8路开关通道输出，每路可单独设置，开关机延时1-999秒（默认1秒）；</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10、中英文同步显示；</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11、整机采用磷铜插座；</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12、工作时间累计单位（分钟），用电量单次累计，多次累计单位（度）。</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技术参数：</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工作电压：90-267V</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最大总功率：5000W</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单路最大功率：2500W</w:t>
            </w:r>
          </w:p>
        </w:tc>
        <w:tc>
          <w:tcPr>
            <w:tcW w:w="0" w:type="auto"/>
            <w:noWrap w:val="0"/>
            <w:vAlign w:val="center"/>
          </w:tcPr>
          <w:p w14:paraId="63713458">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w:t>
            </w:r>
          </w:p>
        </w:tc>
        <w:tc>
          <w:tcPr>
            <w:tcW w:w="0" w:type="auto"/>
            <w:noWrap w:val="0"/>
            <w:vAlign w:val="center"/>
          </w:tcPr>
          <w:p w14:paraId="79A98273">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浐灞一幼灞柳园区（暂定名）</w:t>
            </w:r>
          </w:p>
        </w:tc>
      </w:tr>
      <w:tr w14:paraId="46AC6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14:paraId="60D352FD">
            <w:pPr>
              <w:keepNext w:val="0"/>
              <w:keepLines w:val="0"/>
              <w:widowControl/>
              <w:suppressLineNumbers w:val="0"/>
              <w:jc w:val="righ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142</w:t>
            </w:r>
          </w:p>
        </w:tc>
        <w:tc>
          <w:tcPr>
            <w:tcW w:w="0" w:type="auto"/>
            <w:noWrap w:val="0"/>
            <w:vAlign w:val="center"/>
          </w:tcPr>
          <w:p w14:paraId="50DA1BE6">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报告厅：真分级无线一拖二手持话筒</w:t>
            </w:r>
          </w:p>
        </w:tc>
        <w:tc>
          <w:tcPr>
            <w:tcW w:w="0" w:type="auto"/>
            <w:noWrap w:val="0"/>
            <w:vAlign w:val="center"/>
          </w:tcPr>
          <w:p w14:paraId="6F68F152">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真分级无线一拖二手持话筒</w:t>
            </w:r>
          </w:p>
        </w:tc>
        <w:tc>
          <w:tcPr>
            <w:tcW w:w="0" w:type="auto"/>
            <w:noWrap w:val="0"/>
            <w:vAlign w:val="center"/>
          </w:tcPr>
          <w:p w14:paraId="27BC5011">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 xml:space="preserve">接收机技术参数：                 </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 xml:space="preserve">接收距离：150M左右                       </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 xml:space="preserve">频道总数：220CH                     </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 xml:space="preserve">频率响应：50Hz-18kHz                </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 xml:space="preserve">灵敏度：-100dBm（12dB S/N AD）      </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 xml:space="preserve">输出抗阻：2200Ω                    </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 xml:space="preserve">信噪比：≥100dB（1kHz-A）           </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 xml:space="preserve">频带宽度：25MHz                     </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载波频率范围：630-690MHz ；530-590MHz 840-890MHz：</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 xml:space="preserve">天线：4天线。                       功能：带电子电量；数字导频。                                 </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发射器技术参数:                                                                                                                                                                                                                                                                                                                                                                                                                         电源供应：手持腰包AA1.5v*2 ，会议内置锂电池</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频带宽度：30MHz</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频率间隔：250KHz</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动态范围：≥150dB</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载波误差：±5PPm≤10KHz</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 xml:space="preserve">射频输出功率：20mW                     电流：120mA   </w:t>
            </w:r>
          </w:p>
        </w:tc>
        <w:tc>
          <w:tcPr>
            <w:tcW w:w="0" w:type="auto"/>
            <w:noWrap w:val="0"/>
            <w:vAlign w:val="center"/>
          </w:tcPr>
          <w:p w14:paraId="1D59705C">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2</w:t>
            </w:r>
          </w:p>
        </w:tc>
        <w:tc>
          <w:tcPr>
            <w:tcW w:w="0" w:type="auto"/>
            <w:noWrap w:val="0"/>
            <w:vAlign w:val="center"/>
          </w:tcPr>
          <w:p w14:paraId="5CDA9ABB">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浐灞一幼灞柳园区（暂定名）</w:t>
            </w:r>
          </w:p>
        </w:tc>
      </w:tr>
      <w:tr w14:paraId="47A07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14:paraId="44BE8DA5">
            <w:pPr>
              <w:keepNext w:val="0"/>
              <w:keepLines w:val="0"/>
              <w:widowControl/>
              <w:suppressLineNumbers w:val="0"/>
              <w:jc w:val="righ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143</w:t>
            </w:r>
          </w:p>
        </w:tc>
        <w:tc>
          <w:tcPr>
            <w:tcW w:w="0" w:type="auto"/>
            <w:noWrap w:val="0"/>
            <w:vAlign w:val="center"/>
          </w:tcPr>
          <w:p w14:paraId="6C506508">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报告厅：小会议室显示屏（含移动支架）</w:t>
            </w:r>
          </w:p>
        </w:tc>
        <w:tc>
          <w:tcPr>
            <w:tcW w:w="0" w:type="auto"/>
            <w:noWrap w:val="0"/>
            <w:vAlign w:val="center"/>
          </w:tcPr>
          <w:p w14:paraId="1F92C875">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显示屏含移动支架</w:t>
            </w:r>
          </w:p>
        </w:tc>
        <w:tc>
          <w:tcPr>
            <w:tcW w:w="0" w:type="auto"/>
            <w:noWrap w:val="0"/>
            <w:vAlign w:val="center"/>
          </w:tcPr>
          <w:p w14:paraId="50A1D5A5">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一、整体设计</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1.设备采用一体设计，外部无任何可见内部功能模块连接线。设备采用≥98英寸超高清LED液晶显示屏，显示比例16:9，分辨率≥3840×2160。</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2.支持在Windows及Android系统中进行20点或以上触控。</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3.设备在0℃—40℃环境下可正常工作，在-20℃—60℃的环境下可正常贮存且贮存后功能无损。</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二、电视系统</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4.设备内置声道扬声器。</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5.设备扬声器在100%音量下，可做到1米处声压级≥87db，10米处声压级≥80dB。</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6.整机内置独立音频CPU处理器，支持麦克风3A算法。</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7.设备支持标准、听力、空间感知等音效模式</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8.设备背光系统支持多级亮度调节，支持白颜色背景下最暗亮度≤100nit。</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9.可根据屏幕内容自动调节画质参数</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10.设备采用硬件低蓝光背光技术，在源头减少有害蓝光波段能量，蓝光占比≤50%，低蓝光保护显示不偏色、不泛黄。</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11.设备支持设置类纸质护眼显示</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三、整机功能</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12.设备内置非独立摄像头，采用一体化集成设计，摄像头数量≥1个，视场角≥140度，可拍摄生成≥1600万像素的照片。</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13.摄像头支持人脸识别</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14.设备内置双WiFi6无线网卡，在Android和Windows系统下，可实现Wi-Fi无线上网连接、AP无线热点发射，设备支持蓝牙Bluetooth 标准。</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15.安卓系统下，能对TV多媒体USB所读取到的文件进行自动归类，可分类查找文档、图片、音视频等，检索后可直接在界面中打开。</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五、电脑配置</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16.采用抽拉内置式模块化电脑，抽拉内置式，PC模块可插入整机，可实现无单独接线的插拔。按压式卡扣方式，无需工具即可快速拆卸电脑模块。</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17.搭载性能≥Intel酷睿 i5或以上配置CPU。内存：≥8 GB DDR4笔记本内存或以上配置。硬盘：≥256GB SSD固态硬盘或以上配置。</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18.设备具备供电保护模块。和整机的连接采用万兆级接口，传输速率≥10Gbps。                                                                                       19.内置智能会议软件                                                                                                                20.配智能笔</w:t>
            </w:r>
          </w:p>
        </w:tc>
        <w:tc>
          <w:tcPr>
            <w:tcW w:w="0" w:type="auto"/>
            <w:noWrap w:val="0"/>
            <w:vAlign w:val="center"/>
          </w:tcPr>
          <w:p w14:paraId="1EF28A67">
            <w:pPr>
              <w:keepNext w:val="0"/>
              <w:keepLines w:val="0"/>
              <w:widowControl/>
              <w:suppressLineNumbers w:val="0"/>
              <w:jc w:val="center"/>
              <w:textAlignment w:val="center"/>
              <w:rPr>
                <w:sz w:val="20"/>
                <w:szCs w:val="20"/>
                <w:highlight w:val="none"/>
                <w:vertAlign w:val="baseline"/>
              </w:rPr>
            </w:pPr>
            <w:r>
              <w:rPr>
                <w:rFonts w:hint="default" w:ascii="仿宋_GB2312" w:hAnsi="宋体" w:eastAsia="仿宋_GB2312" w:cs="仿宋_GB2312"/>
                <w:i w:val="0"/>
                <w:iCs w:val="0"/>
                <w:color w:val="000000"/>
                <w:kern w:val="0"/>
                <w:sz w:val="20"/>
                <w:szCs w:val="20"/>
                <w:highlight w:val="none"/>
                <w:u w:val="none"/>
                <w:lang w:val="en-US" w:eastAsia="zh-CN" w:bidi="ar"/>
              </w:rPr>
              <w:t>1</w:t>
            </w:r>
          </w:p>
        </w:tc>
        <w:tc>
          <w:tcPr>
            <w:tcW w:w="0" w:type="auto"/>
            <w:noWrap w:val="0"/>
            <w:vAlign w:val="center"/>
          </w:tcPr>
          <w:p w14:paraId="52FF19CE">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浐灞一幼灞柳园区（暂定名）</w:t>
            </w:r>
          </w:p>
        </w:tc>
      </w:tr>
      <w:tr w14:paraId="40B9F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14:paraId="1C45CA75">
            <w:pPr>
              <w:keepNext w:val="0"/>
              <w:keepLines w:val="0"/>
              <w:widowControl/>
              <w:suppressLineNumbers w:val="0"/>
              <w:jc w:val="righ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144</w:t>
            </w:r>
          </w:p>
        </w:tc>
        <w:tc>
          <w:tcPr>
            <w:tcW w:w="0" w:type="auto"/>
            <w:noWrap w:val="0"/>
            <w:vAlign w:val="center"/>
          </w:tcPr>
          <w:p w14:paraId="7F76C641">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报告厅：机柜</w:t>
            </w:r>
          </w:p>
        </w:tc>
        <w:tc>
          <w:tcPr>
            <w:tcW w:w="0" w:type="auto"/>
            <w:noWrap w:val="0"/>
            <w:vAlign w:val="center"/>
          </w:tcPr>
          <w:p w14:paraId="638CCAAE">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机柜</w:t>
            </w:r>
          </w:p>
        </w:tc>
        <w:tc>
          <w:tcPr>
            <w:tcW w:w="0" w:type="auto"/>
            <w:noWrap w:val="0"/>
            <w:vAlign w:val="center"/>
          </w:tcPr>
          <w:p w14:paraId="71E9C781">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 xml:space="preserve">技术参数：              </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1.≥2mm冷板、钢化玻璃门、2风扇、黑色；</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2.产品尺寸（L×W×H）：≥600×600×1800mm</w:t>
            </w:r>
          </w:p>
        </w:tc>
        <w:tc>
          <w:tcPr>
            <w:tcW w:w="0" w:type="auto"/>
            <w:noWrap w:val="0"/>
            <w:vAlign w:val="center"/>
          </w:tcPr>
          <w:p w14:paraId="5C292288">
            <w:pPr>
              <w:keepNext w:val="0"/>
              <w:keepLines w:val="0"/>
              <w:widowControl/>
              <w:suppressLineNumbers w:val="0"/>
              <w:jc w:val="center"/>
              <w:textAlignment w:val="center"/>
              <w:rPr>
                <w:sz w:val="20"/>
                <w:szCs w:val="20"/>
                <w:highlight w:val="none"/>
                <w:vertAlign w:val="baseline"/>
              </w:rPr>
            </w:pPr>
            <w:r>
              <w:rPr>
                <w:rFonts w:hint="default" w:ascii="仿宋_GB2312" w:hAnsi="宋体" w:eastAsia="仿宋_GB2312" w:cs="仿宋_GB2312"/>
                <w:i w:val="0"/>
                <w:iCs w:val="0"/>
                <w:color w:val="000000"/>
                <w:kern w:val="0"/>
                <w:sz w:val="20"/>
                <w:szCs w:val="20"/>
                <w:highlight w:val="none"/>
                <w:u w:val="none"/>
                <w:lang w:val="en-US" w:eastAsia="zh-CN" w:bidi="ar"/>
              </w:rPr>
              <w:t>1</w:t>
            </w:r>
          </w:p>
        </w:tc>
        <w:tc>
          <w:tcPr>
            <w:tcW w:w="0" w:type="auto"/>
            <w:noWrap w:val="0"/>
            <w:vAlign w:val="center"/>
          </w:tcPr>
          <w:p w14:paraId="31008A70">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浐灞一幼灞柳园区（暂定名）</w:t>
            </w:r>
          </w:p>
        </w:tc>
      </w:tr>
      <w:tr w14:paraId="79D61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14:paraId="496FDAD3">
            <w:pPr>
              <w:keepNext w:val="0"/>
              <w:keepLines w:val="0"/>
              <w:widowControl/>
              <w:suppressLineNumbers w:val="0"/>
              <w:jc w:val="righ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145</w:t>
            </w:r>
          </w:p>
        </w:tc>
        <w:tc>
          <w:tcPr>
            <w:tcW w:w="0" w:type="auto"/>
            <w:noWrap w:val="0"/>
            <w:vAlign w:val="center"/>
          </w:tcPr>
          <w:p w14:paraId="548E2484">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报告厅：线材辅材</w:t>
            </w:r>
          </w:p>
        </w:tc>
        <w:tc>
          <w:tcPr>
            <w:tcW w:w="0" w:type="auto"/>
            <w:noWrap w:val="0"/>
            <w:vAlign w:val="center"/>
          </w:tcPr>
          <w:p w14:paraId="0FD92C88">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线材辅材</w:t>
            </w:r>
          </w:p>
        </w:tc>
        <w:tc>
          <w:tcPr>
            <w:tcW w:w="0" w:type="auto"/>
            <w:noWrap w:val="0"/>
            <w:vAlign w:val="center"/>
          </w:tcPr>
          <w:p w14:paraId="528B3FBC">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1、音箱线                     线芯：2×200芯，外被：PVC，导体：精炼铜+镀锌铜，200米；                         2、话筒线：导体：精炼铜；屏蔽：铝箔+128网编织，外被：PVC，100米，卡侬头、音频头等</w:t>
            </w:r>
          </w:p>
        </w:tc>
        <w:tc>
          <w:tcPr>
            <w:tcW w:w="0" w:type="auto"/>
            <w:noWrap w:val="0"/>
            <w:vAlign w:val="center"/>
          </w:tcPr>
          <w:p w14:paraId="26E2C601">
            <w:pPr>
              <w:keepNext w:val="0"/>
              <w:keepLines w:val="0"/>
              <w:widowControl/>
              <w:suppressLineNumbers w:val="0"/>
              <w:jc w:val="center"/>
              <w:textAlignment w:val="center"/>
              <w:rPr>
                <w:sz w:val="20"/>
                <w:szCs w:val="20"/>
                <w:highlight w:val="none"/>
                <w:vertAlign w:val="baseline"/>
              </w:rPr>
            </w:pPr>
            <w:r>
              <w:rPr>
                <w:rFonts w:hint="default" w:ascii="仿宋_GB2312" w:hAnsi="宋体" w:eastAsia="仿宋_GB2312" w:cs="仿宋_GB2312"/>
                <w:i w:val="0"/>
                <w:iCs w:val="0"/>
                <w:color w:val="000000"/>
                <w:kern w:val="0"/>
                <w:sz w:val="20"/>
                <w:szCs w:val="20"/>
                <w:highlight w:val="none"/>
                <w:u w:val="none"/>
                <w:lang w:val="en-US" w:eastAsia="zh-CN" w:bidi="ar"/>
              </w:rPr>
              <w:t>1</w:t>
            </w:r>
          </w:p>
        </w:tc>
        <w:tc>
          <w:tcPr>
            <w:tcW w:w="0" w:type="auto"/>
            <w:noWrap w:val="0"/>
            <w:vAlign w:val="center"/>
          </w:tcPr>
          <w:p w14:paraId="0AD6268D">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浐灞一幼灞柳园区（暂定名）</w:t>
            </w:r>
          </w:p>
        </w:tc>
      </w:tr>
      <w:tr w14:paraId="4DF96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14:paraId="42F85476">
            <w:pPr>
              <w:keepNext w:val="0"/>
              <w:keepLines w:val="0"/>
              <w:widowControl/>
              <w:suppressLineNumbers w:val="0"/>
              <w:jc w:val="righ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146</w:t>
            </w:r>
          </w:p>
        </w:tc>
        <w:tc>
          <w:tcPr>
            <w:tcW w:w="0" w:type="auto"/>
            <w:noWrap w:val="0"/>
            <w:vAlign w:val="center"/>
          </w:tcPr>
          <w:p w14:paraId="63607ED1">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报告厅：安装调试</w:t>
            </w:r>
          </w:p>
        </w:tc>
        <w:tc>
          <w:tcPr>
            <w:tcW w:w="0" w:type="auto"/>
            <w:noWrap w:val="0"/>
            <w:vAlign w:val="center"/>
          </w:tcPr>
          <w:p w14:paraId="1A03201D">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安装调试</w:t>
            </w:r>
          </w:p>
        </w:tc>
        <w:tc>
          <w:tcPr>
            <w:tcW w:w="0" w:type="auto"/>
            <w:noWrap w:val="0"/>
            <w:vAlign w:val="center"/>
          </w:tcPr>
          <w:p w14:paraId="1A798EF6">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LED显示屏、音响设备设备安装、线路铺设 、设备调试等</w:t>
            </w:r>
          </w:p>
        </w:tc>
        <w:tc>
          <w:tcPr>
            <w:tcW w:w="0" w:type="auto"/>
            <w:noWrap w:val="0"/>
            <w:vAlign w:val="center"/>
          </w:tcPr>
          <w:p w14:paraId="686173EF">
            <w:pPr>
              <w:keepNext w:val="0"/>
              <w:keepLines w:val="0"/>
              <w:widowControl/>
              <w:suppressLineNumbers w:val="0"/>
              <w:jc w:val="center"/>
              <w:textAlignment w:val="center"/>
              <w:rPr>
                <w:sz w:val="20"/>
                <w:szCs w:val="20"/>
                <w:highlight w:val="none"/>
                <w:vertAlign w:val="baseline"/>
              </w:rPr>
            </w:pPr>
            <w:r>
              <w:rPr>
                <w:rFonts w:hint="default" w:ascii="仿宋_GB2312" w:hAnsi="宋体" w:eastAsia="仿宋_GB2312" w:cs="仿宋_GB2312"/>
                <w:i w:val="0"/>
                <w:iCs w:val="0"/>
                <w:color w:val="000000"/>
                <w:kern w:val="0"/>
                <w:sz w:val="20"/>
                <w:szCs w:val="20"/>
                <w:highlight w:val="none"/>
                <w:u w:val="none"/>
                <w:lang w:val="en-US" w:eastAsia="zh-CN" w:bidi="ar"/>
              </w:rPr>
              <w:t>9.32</w:t>
            </w:r>
          </w:p>
        </w:tc>
        <w:tc>
          <w:tcPr>
            <w:tcW w:w="0" w:type="auto"/>
            <w:noWrap w:val="0"/>
            <w:vAlign w:val="center"/>
          </w:tcPr>
          <w:p w14:paraId="5CEEDE49">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浐灞一幼灞柳园区（暂定名）</w:t>
            </w:r>
          </w:p>
        </w:tc>
      </w:tr>
      <w:tr w14:paraId="11598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14:paraId="6AFA5F7A">
            <w:pPr>
              <w:keepNext w:val="0"/>
              <w:keepLines w:val="0"/>
              <w:widowControl/>
              <w:suppressLineNumbers w:val="0"/>
              <w:jc w:val="righ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147</w:t>
            </w:r>
          </w:p>
        </w:tc>
        <w:tc>
          <w:tcPr>
            <w:tcW w:w="0" w:type="auto"/>
            <w:noWrap w:val="0"/>
            <w:vAlign w:val="center"/>
          </w:tcPr>
          <w:p w14:paraId="5652140B">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户外LED显示屏：室外P3</w:t>
            </w:r>
          </w:p>
        </w:tc>
        <w:tc>
          <w:tcPr>
            <w:tcW w:w="0" w:type="auto"/>
            <w:noWrap w:val="0"/>
            <w:vAlign w:val="center"/>
          </w:tcPr>
          <w:p w14:paraId="192A37E1">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LED室外P3</w:t>
            </w:r>
          </w:p>
        </w:tc>
        <w:tc>
          <w:tcPr>
            <w:tcW w:w="0" w:type="auto"/>
            <w:noWrap w:val="0"/>
            <w:vAlign w:val="center"/>
          </w:tcPr>
          <w:p w14:paraId="71502B4E">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尺寸：3840×2240mm                                                                                                                                                                点间距：3.076mm</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密度：105688点/m2</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模组尺寸：320mm*160mm</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模组拼接平整度：≤0.1mm</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白平衡亮度:≥800 cd/㎡（色温1800K-10000K），</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刷新率:≥3840Hz</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水平视角：水平≥160°、垂直≥160°</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色度均匀性:±0.002Cx,Cy之内</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对比度:≥8000:1</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峰值功耗:≤500w/㎡</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平均功耗:≤200w/㎡</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供电要求:AC100V~240V（50-60Hz）</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换帧频率:60Hz-120 Hz</w:t>
            </w:r>
          </w:p>
        </w:tc>
        <w:tc>
          <w:tcPr>
            <w:tcW w:w="0" w:type="auto"/>
            <w:noWrap w:val="0"/>
            <w:vAlign w:val="center"/>
          </w:tcPr>
          <w:p w14:paraId="057801CC">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8.6</w:t>
            </w:r>
          </w:p>
        </w:tc>
        <w:tc>
          <w:tcPr>
            <w:tcW w:w="0" w:type="auto"/>
            <w:noWrap w:val="0"/>
            <w:vAlign w:val="center"/>
          </w:tcPr>
          <w:p w14:paraId="0C7E761C">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浐灞一幼灞柳园区（暂定名）</w:t>
            </w:r>
          </w:p>
        </w:tc>
      </w:tr>
      <w:tr w14:paraId="5CAEA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14:paraId="1D5C94A4">
            <w:pPr>
              <w:keepNext w:val="0"/>
              <w:keepLines w:val="0"/>
              <w:widowControl/>
              <w:suppressLineNumbers w:val="0"/>
              <w:jc w:val="righ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148</w:t>
            </w:r>
          </w:p>
        </w:tc>
        <w:tc>
          <w:tcPr>
            <w:tcW w:w="0" w:type="auto"/>
            <w:noWrap w:val="0"/>
            <w:vAlign w:val="center"/>
          </w:tcPr>
          <w:p w14:paraId="5F510B5C">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户外LED显示屏：开关电源</w:t>
            </w:r>
          </w:p>
        </w:tc>
        <w:tc>
          <w:tcPr>
            <w:tcW w:w="0" w:type="auto"/>
            <w:noWrap w:val="0"/>
            <w:vAlign w:val="center"/>
          </w:tcPr>
          <w:p w14:paraId="13E60CD2">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开关电源</w:t>
            </w:r>
          </w:p>
        </w:tc>
        <w:tc>
          <w:tcPr>
            <w:tcW w:w="0" w:type="auto"/>
            <w:noWrap w:val="0"/>
            <w:vAlign w:val="center"/>
          </w:tcPr>
          <w:p w14:paraId="0D345958">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5V40A</w:t>
            </w:r>
          </w:p>
        </w:tc>
        <w:tc>
          <w:tcPr>
            <w:tcW w:w="0" w:type="auto"/>
            <w:noWrap w:val="0"/>
            <w:vAlign w:val="center"/>
          </w:tcPr>
          <w:p w14:paraId="3A63D182">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45</w:t>
            </w:r>
          </w:p>
        </w:tc>
        <w:tc>
          <w:tcPr>
            <w:tcW w:w="0" w:type="auto"/>
            <w:noWrap w:val="0"/>
            <w:vAlign w:val="center"/>
          </w:tcPr>
          <w:p w14:paraId="20B38200">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浐灞一幼灞柳园区（暂定名）</w:t>
            </w:r>
          </w:p>
        </w:tc>
      </w:tr>
      <w:tr w14:paraId="68FF5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14:paraId="57490736">
            <w:pPr>
              <w:keepNext w:val="0"/>
              <w:keepLines w:val="0"/>
              <w:widowControl/>
              <w:suppressLineNumbers w:val="0"/>
              <w:jc w:val="righ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149</w:t>
            </w:r>
          </w:p>
        </w:tc>
        <w:tc>
          <w:tcPr>
            <w:tcW w:w="0" w:type="auto"/>
            <w:noWrap w:val="0"/>
            <w:vAlign w:val="center"/>
          </w:tcPr>
          <w:p w14:paraId="544C9F0C">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户外LED显示屏：接收卡</w:t>
            </w:r>
          </w:p>
        </w:tc>
        <w:tc>
          <w:tcPr>
            <w:tcW w:w="0" w:type="auto"/>
            <w:noWrap w:val="0"/>
            <w:vAlign w:val="center"/>
          </w:tcPr>
          <w:p w14:paraId="66CE3521">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接收卡</w:t>
            </w:r>
          </w:p>
        </w:tc>
        <w:tc>
          <w:tcPr>
            <w:tcW w:w="0" w:type="auto"/>
            <w:noWrap w:val="0"/>
            <w:vAlign w:val="center"/>
          </w:tcPr>
          <w:p w14:paraId="22105DFE">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自带16个HUB75接口，数据组数：32组，最大带载：长度256点，高度1024点，支持亮度/色度校正</w:t>
            </w:r>
          </w:p>
        </w:tc>
        <w:tc>
          <w:tcPr>
            <w:tcW w:w="0" w:type="auto"/>
            <w:noWrap w:val="0"/>
            <w:vAlign w:val="center"/>
          </w:tcPr>
          <w:p w14:paraId="6BA579F9">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12</w:t>
            </w:r>
          </w:p>
        </w:tc>
        <w:tc>
          <w:tcPr>
            <w:tcW w:w="0" w:type="auto"/>
            <w:noWrap w:val="0"/>
            <w:vAlign w:val="center"/>
          </w:tcPr>
          <w:p w14:paraId="22B70A62">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浐灞一幼灞柳园区（暂定名）</w:t>
            </w:r>
          </w:p>
        </w:tc>
      </w:tr>
      <w:tr w14:paraId="436E5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14:paraId="048F9044">
            <w:pPr>
              <w:keepNext w:val="0"/>
              <w:keepLines w:val="0"/>
              <w:widowControl/>
              <w:suppressLineNumbers w:val="0"/>
              <w:jc w:val="righ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150</w:t>
            </w:r>
          </w:p>
        </w:tc>
        <w:tc>
          <w:tcPr>
            <w:tcW w:w="0" w:type="auto"/>
            <w:noWrap w:val="0"/>
            <w:vAlign w:val="center"/>
          </w:tcPr>
          <w:p w14:paraId="6FC4D2D5">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户外LED显示屏：视频处理器</w:t>
            </w:r>
          </w:p>
        </w:tc>
        <w:tc>
          <w:tcPr>
            <w:tcW w:w="0" w:type="auto"/>
            <w:noWrap w:val="0"/>
            <w:vAlign w:val="center"/>
          </w:tcPr>
          <w:p w14:paraId="15AB3857">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视频处理器</w:t>
            </w:r>
          </w:p>
        </w:tc>
        <w:tc>
          <w:tcPr>
            <w:tcW w:w="0" w:type="auto"/>
            <w:noWrap w:val="0"/>
            <w:vAlign w:val="center"/>
          </w:tcPr>
          <w:p w14:paraId="7FD7C9FE">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带载130W像素，最宽4096像素最高2560像素，最大输入分辨率1920*1080@60Hz（支持自定义分辨率设置）输入接口：1路HDMI 1.4、2路DVI，输出接口：2路千兆网口，支持USB级联控制</w:t>
            </w:r>
          </w:p>
        </w:tc>
        <w:tc>
          <w:tcPr>
            <w:tcW w:w="0" w:type="auto"/>
            <w:noWrap w:val="0"/>
            <w:vAlign w:val="center"/>
          </w:tcPr>
          <w:p w14:paraId="730F9A7E">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w:t>
            </w:r>
          </w:p>
        </w:tc>
        <w:tc>
          <w:tcPr>
            <w:tcW w:w="0" w:type="auto"/>
            <w:noWrap w:val="0"/>
            <w:vAlign w:val="center"/>
          </w:tcPr>
          <w:p w14:paraId="4BBC42DA">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浐灞一幼灞柳园区（暂定名）</w:t>
            </w:r>
          </w:p>
        </w:tc>
      </w:tr>
      <w:tr w14:paraId="1F7EF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14:paraId="1E9BDC08">
            <w:pPr>
              <w:keepNext w:val="0"/>
              <w:keepLines w:val="0"/>
              <w:widowControl/>
              <w:suppressLineNumbers w:val="0"/>
              <w:jc w:val="righ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151</w:t>
            </w:r>
          </w:p>
        </w:tc>
        <w:tc>
          <w:tcPr>
            <w:tcW w:w="0" w:type="auto"/>
            <w:noWrap w:val="0"/>
            <w:vAlign w:val="center"/>
          </w:tcPr>
          <w:p w14:paraId="2BB509D9">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户外LED显示屏：简易箱体</w:t>
            </w:r>
          </w:p>
        </w:tc>
        <w:tc>
          <w:tcPr>
            <w:tcW w:w="0" w:type="auto"/>
            <w:noWrap w:val="0"/>
            <w:vAlign w:val="center"/>
          </w:tcPr>
          <w:p w14:paraId="63DA3138">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简易箱体</w:t>
            </w:r>
          </w:p>
        </w:tc>
        <w:tc>
          <w:tcPr>
            <w:tcW w:w="0" w:type="auto"/>
            <w:noWrap w:val="0"/>
            <w:vAlign w:val="center"/>
          </w:tcPr>
          <w:p w14:paraId="62A875A3">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 xml:space="preserve">箱体尺寸：960×960，材质：铁/铝；防护等级（正面/背面）：≥IP65/IP43  </w:t>
            </w:r>
          </w:p>
        </w:tc>
        <w:tc>
          <w:tcPr>
            <w:tcW w:w="0" w:type="auto"/>
            <w:noWrap w:val="0"/>
            <w:vAlign w:val="center"/>
          </w:tcPr>
          <w:p w14:paraId="6C7FFC14">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8.6</w:t>
            </w:r>
          </w:p>
        </w:tc>
        <w:tc>
          <w:tcPr>
            <w:tcW w:w="0" w:type="auto"/>
            <w:noWrap w:val="0"/>
            <w:vAlign w:val="center"/>
          </w:tcPr>
          <w:p w14:paraId="3D5B7DF3">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浐灞一幼灞柳园区（暂定名）</w:t>
            </w:r>
          </w:p>
        </w:tc>
      </w:tr>
      <w:tr w14:paraId="51CC5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14:paraId="0ED0B818">
            <w:pPr>
              <w:keepNext w:val="0"/>
              <w:keepLines w:val="0"/>
              <w:widowControl/>
              <w:suppressLineNumbers w:val="0"/>
              <w:jc w:val="righ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152</w:t>
            </w:r>
          </w:p>
        </w:tc>
        <w:tc>
          <w:tcPr>
            <w:tcW w:w="0" w:type="auto"/>
            <w:noWrap w:val="0"/>
            <w:vAlign w:val="center"/>
          </w:tcPr>
          <w:p w14:paraId="5A82F2CB">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户外LED显示屏：安装调试费</w:t>
            </w:r>
          </w:p>
        </w:tc>
        <w:tc>
          <w:tcPr>
            <w:tcW w:w="0" w:type="auto"/>
            <w:noWrap w:val="0"/>
            <w:vAlign w:val="center"/>
          </w:tcPr>
          <w:p w14:paraId="09DB0B67">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安装调试费</w:t>
            </w:r>
          </w:p>
        </w:tc>
        <w:tc>
          <w:tcPr>
            <w:tcW w:w="0" w:type="auto"/>
            <w:noWrap w:val="0"/>
            <w:vAlign w:val="center"/>
          </w:tcPr>
          <w:p w14:paraId="7808BD07">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LED显示屏、扩音设备运输、安装、调试等</w:t>
            </w:r>
          </w:p>
        </w:tc>
        <w:tc>
          <w:tcPr>
            <w:tcW w:w="0" w:type="auto"/>
            <w:noWrap w:val="0"/>
            <w:vAlign w:val="center"/>
          </w:tcPr>
          <w:p w14:paraId="14249AF1">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8.6</w:t>
            </w:r>
          </w:p>
        </w:tc>
        <w:tc>
          <w:tcPr>
            <w:tcW w:w="0" w:type="auto"/>
            <w:noWrap w:val="0"/>
            <w:vAlign w:val="center"/>
          </w:tcPr>
          <w:p w14:paraId="12DE219F">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浐灞一幼灞柳园区（暂定名）</w:t>
            </w:r>
          </w:p>
        </w:tc>
      </w:tr>
      <w:tr w14:paraId="04915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14:paraId="3A75F2C7">
            <w:pPr>
              <w:keepNext w:val="0"/>
              <w:keepLines w:val="0"/>
              <w:widowControl/>
              <w:suppressLineNumbers w:val="0"/>
              <w:jc w:val="righ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153</w:t>
            </w:r>
          </w:p>
        </w:tc>
        <w:tc>
          <w:tcPr>
            <w:tcW w:w="0" w:type="auto"/>
            <w:noWrap w:val="0"/>
            <w:vAlign w:val="center"/>
          </w:tcPr>
          <w:p w14:paraId="302A58F5">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户外LED显示屏：大屏结构装饰</w:t>
            </w:r>
          </w:p>
        </w:tc>
        <w:tc>
          <w:tcPr>
            <w:tcW w:w="0" w:type="auto"/>
            <w:noWrap w:val="0"/>
            <w:vAlign w:val="center"/>
          </w:tcPr>
          <w:p w14:paraId="2FF0CF57">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大屏结构装饰</w:t>
            </w:r>
          </w:p>
        </w:tc>
        <w:tc>
          <w:tcPr>
            <w:tcW w:w="0" w:type="auto"/>
            <w:noWrap w:val="0"/>
            <w:vAlign w:val="center"/>
          </w:tcPr>
          <w:p w14:paraId="7E92DED5">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户外版、铝塑板、厚度≧3mm 密封胶</w:t>
            </w:r>
          </w:p>
        </w:tc>
        <w:tc>
          <w:tcPr>
            <w:tcW w:w="0" w:type="auto"/>
            <w:noWrap w:val="0"/>
            <w:vAlign w:val="center"/>
          </w:tcPr>
          <w:p w14:paraId="1C56B42A">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8.6</w:t>
            </w:r>
          </w:p>
        </w:tc>
        <w:tc>
          <w:tcPr>
            <w:tcW w:w="0" w:type="auto"/>
            <w:noWrap w:val="0"/>
            <w:vAlign w:val="center"/>
          </w:tcPr>
          <w:p w14:paraId="25BB5131">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浐灞一幼灞柳园区（暂定名）</w:t>
            </w:r>
          </w:p>
        </w:tc>
      </w:tr>
      <w:tr w14:paraId="757C5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14:paraId="7EAE592B">
            <w:pPr>
              <w:keepNext w:val="0"/>
              <w:keepLines w:val="0"/>
              <w:widowControl/>
              <w:suppressLineNumbers w:val="0"/>
              <w:jc w:val="righ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154</w:t>
            </w:r>
          </w:p>
        </w:tc>
        <w:tc>
          <w:tcPr>
            <w:tcW w:w="0" w:type="auto"/>
            <w:noWrap w:val="0"/>
            <w:vAlign w:val="center"/>
          </w:tcPr>
          <w:p w14:paraId="4E88EFDB">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户外LED显示屏：智能配电箱</w:t>
            </w:r>
          </w:p>
        </w:tc>
        <w:tc>
          <w:tcPr>
            <w:tcW w:w="0" w:type="auto"/>
            <w:noWrap w:val="0"/>
            <w:vAlign w:val="center"/>
          </w:tcPr>
          <w:p w14:paraId="076CA9F3">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配电箱</w:t>
            </w:r>
          </w:p>
        </w:tc>
        <w:tc>
          <w:tcPr>
            <w:tcW w:w="0" w:type="auto"/>
            <w:noWrap w:val="0"/>
            <w:vAlign w:val="center"/>
          </w:tcPr>
          <w:p w14:paraId="2A4F5E57">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1、额定功率：≥30KW</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 xml:space="preserve">2、防护功能：具有防静电、抗震动、防电磁干扰；  </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3、具有电源过压、过流、断电保护、分布上电措施；</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4、主线4平方，4+1纯铜线缆</w:t>
            </w:r>
          </w:p>
        </w:tc>
        <w:tc>
          <w:tcPr>
            <w:tcW w:w="0" w:type="auto"/>
            <w:noWrap w:val="0"/>
            <w:vAlign w:val="center"/>
          </w:tcPr>
          <w:p w14:paraId="340D39CC">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w:t>
            </w:r>
          </w:p>
        </w:tc>
        <w:tc>
          <w:tcPr>
            <w:tcW w:w="0" w:type="auto"/>
            <w:noWrap w:val="0"/>
            <w:vAlign w:val="center"/>
          </w:tcPr>
          <w:p w14:paraId="1190E5F8">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浐灞一幼灞柳园区（暂定名）</w:t>
            </w:r>
          </w:p>
        </w:tc>
      </w:tr>
      <w:tr w14:paraId="084CD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14:paraId="72DC0753">
            <w:pPr>
              <w:keepNext w:val="0"/>
              <w:keepLines w:val="0"/>
              <w:widowControl/>
              <w:suppressLineNumbers w:val="0"/>
              <w:jc w:val="righ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155</w:t>
            </w:r>
          </w:p>
        </w:tc>
        <w:tc>
          <w:tcPr>
            <w:tcW w:w="0" w:type="auto"/>
            <w:noWrap w:val="0"/>
            <w:vAlign w:val="center"/>
          </w:tcPr>
          <w:p w14:paraId="64BD707D">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校园监控：半球摄像机</w:t>
            </w:r>
          </w:p>
        </w:tc>
        <w:tc>
          <w:tcPr>
            <w:tcW w:w="0" w:type="auto"/>
            <w:noWrap w:val="0"/>
            <w:vAlign w:val="center"/>
          </w:tcPr>
          <w:p w14:paraId="3B7978F9">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半球摄像机</w:t>
            </w:r>
          </w:p>
        </w:tc>
        <w:tc>
          <w:tcPr>
            <w:tcW w:w="0" w:type="auto"/>
            <w:noWrap w:val="0"/>
            <w:vAlign w:val="center"/>
          </w:tcPr>
          <w:p w14:paraId="1AA18A20">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≥400万半球网络摄像机</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最高分辨率可达2560 × 1440 @25 fps，在该分辨率下可输出实时图像</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支持用户登录锁定机制，及密码复杂度提示</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支持背光补偿，强光抑制，3D数字降噪，数字宽动态</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支持人形检测</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支持ROI感兴趣区域增强编码</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支持开放型网络视频接口，ISAPI，SDK，GB28181协议</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智能补光，支持白光/红外双补光，红外最远可达30 m，白光最远可达20 m</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1个内置麦克风，高清拾音</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供电方式：DC：12 V ± 25%，支持防反接保护</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PoE：IEEE 802.3af，Class 3</w:t>
            </w:r>
          </w:p>
        </w:tc>
        <w:tc>
          <w:tcPr>
            <w:tcW w:w="0" w:type="auto"/>
            <w:noWrap w:val="0"/>
            <w:vAlign w:val="center"/>
          </w:tcPr>
          <w:p w14:paraId="18491BA8">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90</w:t>
            </w:r>
          </w:p>
        </w:tc>
        <w:tc>
          <w:tcPr>
            <w:tcW w:w="0" w:type="auto"/>
            <w:noWrap w:val="0"/>
            <w:vAlign w:val="center"/>
          </w:tcPr>
          <w:p w14:paraId="6B38A31C">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浐灞一幼灞柳园区（暂定名）</w:t>
            </w:r>
          </w:p>
        </w:tc>
      </w:tr>
      <w:tr w14:paraId="473FA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14:paraId="762AC63F">
            <w:pPr>
              <w:keepNext w:val="0"/>
              <w:keepLines w:val="0"/>
              <w:widowControl/>
              <w:suppressLineNumbers w:val="0"/>
              <w:jc w:val="righ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156</w:t>
            </w:r>
          </w:p>
        </w:tc>
        <w:tc>
          <w:tcPr>
            <w:tcW w:w="0" w:type="auto"/>
            <w:noWrap w:val="0"/>
            <w:vAlign w:val="center"/>
          </w:tcPr>
          <w:p w14:paraId="0BFE2355">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校园监控：筒型网络摄像机</w:t>
            </w:r>
          </w:p>
        </w:tc>
        <w:tc>
          <w:tcPr>
            <w:tcW w:w="0" w:type="auto"/>
            <w:noWrap w:val="0"/>
            <w:vAlign w:val="center"/>
          </w:tcPr>
          <w:p w14:paraId="7238317D">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筒型网络摄像机</w:t>
            </w:r>
          </w:p>
        </w:tc>
        <w:tc>
          <w:tcPr>
            <w:tcW w:w="0" w:type="auto"/>
            <w:noWrap w:val="0"/>
            <w:vAlign w:val="center"/>
          </w:tcPr>
          <w:p w14:paraId="08F06131">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400万筒型网络摄像机</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最高分辨率可达2560 × 1440 @25 fps</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支持SmartIR，防止夜间红外过曝</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支持背光补偿，强光抑制，3D数字降噪，数字宽动态，适应不同使用环境</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支持开放型网络视频接口，ISAPI，SDK，GB28181协议，支持平台接入</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1个内置麦克风</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智能补光，支持白光/红外双补光，红外光最远可达50 m，白光最远可达30 m</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≥IP67防尘防水设计，可靠性高</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传感器类型：1/2.7" Progressive Scan CMOS</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 xml:space="preserve">最低照度：彩色：0.005 Lux </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 xml:space="preserve">宽动态：数字宽动态 </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焦距&amp;视场角：4 mm，水平视场角：70°，垂直视场角：35°，对角视场角：85°</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6 mm，水平视场角：46°，垂直视场角：24°，对角视场角：54°</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8 mm，水平视场角：43°，垂直视场角：24°，对角视场角：50°</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 xml:space="preserve">12 mm，水平视场角：27°，垂直视场角：15°，对角视场角：31°  </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红外波长范围：850 nm</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防补光过曝：支持</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补光灯类型：智能补光，可切换白光灯、红外灯</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 xml:space="preserve">补光距离：红外光最远可达50 m，白光最远可达30 m  </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最大分辨率：2560 × 1440</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视频压缩标准：主码流：H.265/H.264/Smart264/Smart265</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 xml:space="preserve">子码流：H.265/H.264 </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音频：1个内置麦克风</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 xml:space="preserve">网络：1个RJ45 10 M/100 M自适应以太网口 </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启动及工作温湿度：-30 ℃~60 ℃，湿度小于95%（无凝结）</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存储温湿度：-30 ℃~60 ℃，湿度小于95%（无凝结）</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恢复出厂设置：支持客户端或浏览器恢复</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供电方式：DC：12 V ± 25%，支持防反接保护</w:t>
            </w:r>
          </w:p>
        </w:tc>
        <w:tc>
          <w:tcPr>
            <w:tcW w:w="0" w:type="auto"/>
            <w:noWrap w:val="0"/>
            <w:vAlign w:val="center"/>
          </w:tcPr>
          <w:p w14:paraId="0B5F8561">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8</w:t>
            </w:r>
          </w:p>
        </w:tc>
        <w:tc>
          <w:tcPr>
            <w:tcW w:w="0" w:type="auto"/>
            <w:noWrap w:val="0"/>
            <w:vAlign w:val="center"/>
          </w:tcPr>
          <w:p w14:paraId="7803C88E">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浐灞一幼灞柳园区（暂定名）</w:t>
            </w:r>
          </w:p>
        </w:tc>
      </w:tr>
      <w:tr w14:paraId="04583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14:paraId="2D3DCBD2">
            <w:pPr>
              <w:keepNext w:val="0"/>
              <w:keepLines w:val="0"/>
              <w:widowControl/>
              <w:suppressLineNumbers w:val="0"/>
              <w:jc w:val="righ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157</w:t>
            </w:r>
          </w:p>
        </w:tc>
        <w:tc>
          <w:tcPr>
            <w:tcW w:w="0" w:type="auto"/>
            <w:noWrap w:val="0"/>
            <w:vAlign w:val="center"/>
          </w:tcPr>
          <w:p w14:paraId="5D329529">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校园监控：POE电梯碟型摄像机</w:t>
            </w:r>
          </w:p>
        </w:tc>
        <w:tc>
          <w:tcPr>
            <w:tcW w:w="0" w:type="auto"/>
            <w:noWrap w:val="0"/>
            <w:vAlign w:val="center"/>
          </w:tcPr>
          <w:p w14:paraId="4AF97C60">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POE电梯碟型摄像机</w:t>
            </w:r>
          </w:p>
        </w:tc>
        <w:tc>
          <w:tcPr>
            <w:tcW w:w="0" w:type="auto"/>
            <w:noWrap w:val="0"/>
            <w:vAlign w:val="center"/>
          </w:tcPr>
          <w:p w14:paraId="543D5EE1">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最高分辨率可达2560 × 1440@25 fps，在该分辨率下可输出实时图像</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采用高效阵列红外灯，使用寿命长，红外照射距离最远可达10 m</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遮挡检测：内置ToF传感器，可有效检测遮挡摄像机的行为，摄像机检测角度最大25°，检测距离默认70 cm</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支持1路报警输入，1路报警输出，报警输出最大支持DC57 V，2 A</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内置MicroSD/MicroSDHC/MicroSDXC 插槽，最大支持512 供电方式：DC：12 V ± 25%，支持防反接保护</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PoE：IEEE 802.3af，Class 3</w:t>
            </w:r>
          </w:p>
        </w:tc>
        <w:tc>
          <w:tcPr>
            <w:tcW w:w="0" w:type="auto"/>
            <w:noWrap w:val="0"/>
            <w:vAlign w:val="center"/>
          </w:tcPr>
          <w:p w14:paraId="6273A0B0">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w:t>
            </w:r>
          </w:p>
        </w:tc>
        <w:tc>
          <w:tcPr>
            <w:tcW w:w="0" w:type="auto"/>
            <w:noWrap w:val="0"/>
            <w:vAlign w:val="center"/>
          </w:tcPr>
          <w:p w14:paraId="143E265A">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浐灞一幼灞柳园区（暂定名）</w:t>
            </w:r>
          </w:p>
        </w:tc>
      </w:tr>
      <w:tr w14:paraId="2B1BD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14:paraId="7B95D1B4">
            <w:pPr>
              <w:keepNext w:val="0"/>
              <w:keepLines w:val="0"/>
              <w:widowControl/>
              <w:suppressLineNumbers w:val="0"/>
              <w:jc w:val="righ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158</w:t>
            </w:r>
          </w:p>
        </w:tc>
        <w:tc>
          <w:tcPr>
            <w:tcW w:w="0" w:type="auto"/>
            <w:noWrap w:val="0"/>
            <w:vAlign w:val="center"/>
          </w:tcPr>
          <w:p w14:paraId="4AFBD6F1">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校园监控：智能球型摄像机</w:t>
            </w:r>
          </w:p>
        </w:tc>
        <w:tc>
          <w:tcPr>
            <w:tcW w:w="0" w:type="auto"/>
            <w:noWrap w:val="0"/>
            <w:vAlign w:val="center"/>
          </w:tcPr>
          <w:p w14:paraId="62CC23CA">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智能球型摄像机</w:t>
            </w:r>
          </w:p>
        </w:tc>
        <w:tc>
          <w:tcPr>
            <w:tcW w:w="0" w:type="auto"/>
            <w:noWrap w:val="0"/>
            <w:vAlign w:val="center"/>
          </w:tcPr>
          <w:p w14:paraId="253CD69D">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≥400万7寸24倍双眸球机</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支持混合补光，可见光补光30m，同时高效红外阵列照射距离最远可达200m</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支持切换为人脸抓拍模式，最多可同时抓拍5张人脸</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支持超低照度，【广角】彩色0.0005 Lux @（F1.0，AGC ON），0 Lux with light；【变焦】彩色0.005 Lux @（F1.6，AGC ON），黑白0.001 Lux @（F1.6，AGC ON），0 Lux with IR</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内置加热玻璃，有效除雾</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支持定时任务、一键守望、一键巡航功能</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传感器类型：广角：1/1.8＂progressive scan CMOS</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变焦：1/2.8＂progressive scan CMOS</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最低照度：广角：彩色：0.0005 Lux @（F1.0，AGC ON）；0 Lux with light</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变焦：彩色：0.005 Lux @（F1.6，AGC ON）；黑白：0.001 Lux @（F1.6，AGC ON）；0 Lux with IR</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 xml:space="preserve">宽动态：数字宽动态 </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焦距：广角：4 mm  变焦：4.5~108 mm，24倍光学变倍</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视场角：水平视场角：90°~3.3°（广角~望远）</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 xml:space="preserve">其中广角：90°；变焦：56.9°~3.3° </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 xml:space="preserve">白光照射距离：30 m  红外照射距离：200 m </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水平范围：360°  垂直范围：-15°-90°(自动翻转)</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水平速度：水平键控速度：0.1°-160°/s,速度可设;水平预置点速度：240°/s</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 xml:space="preserve">垂直速度：垂直键控速度：0.1°-120°/s,速度可设;垂直预置点速度：200°/s </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主码流帧率分辨率：50 Hz：25 fps（2560 × 1440，1920 × 1080，1280 × 960，1280 × 720）</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60Hz：20 fps（2560 × 1440，1920 × 1080，1280 × 960，1280 × 720）</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 xml:space="preserve">视频压缩标准：H.265;H.264;MJPEG </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 xml:space="preserve">网络接口：RJ45网口，自适应10M/100M网络数据 </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SD卡扩展：内置Micro SD卡插槽，支持Micro SD/Micro SDHC/Micro SDXC卡（最大支持256 GB）</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供电方式：AC24 V</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设备功耗：最大功耗：42 W（其中补光灯最大功耗：15 W ）</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工作温湿度：-30℃-65℃;湿度小于90%</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除雾：加热玻璃除雾</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防护：IP66；</w:t>
            </w:r>
          </w:p>
        </w:tc>
        <w:tc>
          <w:tcPr>
            <w:tcW w:w="0" w:type="auto"/>
            <w:noWrap w:val="0"/>
            <w:vAlign w:val="center"/>
          </w:tcPr>
          <w:p w14:paraId="17DD2816">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2</w:t>
            </w:r>
          </w:p>
        </w:tc>
        <w:tc>
          <w:tcPr>
            <w:tcW w:w="0" w:type="auto"/>
            <w:noWrap w:val="0"/>
            <w:vAlign w:val="center"/>
          </w:tcPr>
          <w:p w14:paraId="3EE9785D">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浐灞一幼灞柳园区（暂定名）</w:t>
            </w:r>
          </w:p>
        </w:tc>
      </w:tr>
      <w:tr w14:paraId="4B565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14:paraId="57148347">
            <w:pPr>
              <w:keepNext w:val="0"/>
              <w:keepLines w:val="0"/>
              <w:widowControl/>
              <w:suppressLineNumbers w:val="0"/>
              <w:jc w:val="righ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159</w:t>
            </w:r>
          </w:p>
        </w:tc>
        <w:tc>
          <w:tcPr>
            <w:tcW w:w="0" w:type="auto"/>
            <w:noWrap w:val="0"/>
            <w:vAlign w:val="center"/>
          </w:tcPr>
          <w:p w14:paraId="4B48E694">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校园监控：128路网络硬盘录像机</w:t>
            </w:r>
          </w:p>
        </w:tc>
        <w:tc>
          <w:tcPr>
            <w:tcW w:w="0" w:type="auto"/>
            <w:noWrap w:val="0"/>
            <w:vAlign w:val="center"/>
          </w:tcPr>
          <w:p w14:paraId="24C5794D">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128路网络硬盘录像机</w:t>
            </w:r>
          </w:p>
        </w:tc>
        <w:tc>
          <w:tcPr>
            <w:tcW w:w="0" w:type="auto"/>
            <w:noWrap w:val="0"/>
            <w:vAlign w:val="center"/>
          </w:tcPr>
          <w:p w14:paraId="12166EEC">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4U机架式24盘位嵌入式网络硬盘录像机，整机采用短机箱设计，搭载1+1冗余电源</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【硬件规格】</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存储接口：24个SATA接口，支持硬盘热插拔，可满配20TB硬盘</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视频接口：4×HDMI，2×VGA</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网络接口：4×RJ45 10/100/1000Mbps自适应以太网口</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报警接口：16路报警输入，8路报警输出</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串行接口：1路RS-232接口，2路半双工RS-485接口</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USB接口：2×USB 2.0，4×USB 3.0</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扩展接口：1×eSATA</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【产品性能】</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输入带宽：768Mbps（开启RAID后为512Mbps）</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输出带宽：768Mbps（开启RAID后为512Mbps）</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接入能力：128路H.264、H.265格式高清码流接入</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解码能力：最大支持32×1080P</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显示能力：最大支持8K+4K+1080P三异源输出</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 xml:space="preserve">RAID模式：RAID0、RAID1、RAID5、RAID6、RAID10，支持全局热备盘 </w:t>
            </w:r>
          </w:p>
        </w:tc>
        <w:tc>
          <w:tcPr>
            <w:tcW w:w="0" w:type="auto"/>
            <w:noWrap w:val="0"/>
            <w:vAlign w:val="center"/>
          </w:tcPr>
          <w:p w14:paraId="714BADAA">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w:t>
            </w:r>
          </w:p>
        </w:tc>
        <w:tc>
          <w:tcPr>
            <w:tcW w:w="0" w:type="auto"/>
            <w:noWrap w:val="0"/>
            <w:vAlign w:val="center"/>
          </w:tcPr>
          <w:p w14:paraId="27D58CA4">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浐灞一幼灞柳园区（暂定名）</w:t>
            </w:r>
          </w:p>
        </w:tc>
      </w:tr>
      <w:tr w14:paraId="616B2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14:paraId="21F309E2">
            <w:pPr>
              <w:keepNext w:val="0"/>
              <w:keepLines w:val="0"/>
              <w:widowControl/>
              <w:suppressLineNumbers w:val="0"/>
              <w:jc w:val="righ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160</w:t>
            </w:r>
          </w:p>
        </w:tc>
        <w:tc>
          <w:tcPr>
            <w:tcW w:w="0" w:type="auto"/>
            <w:noWrap w:val="0"/>
            <w:vAlign w:val="center"/>
          </w:tcPr>
          <w:p w14:paraId="19DD6059">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校园监控：32路网络硬盘录像机</w:t>
            </w:r>
          </w:p>
        </w:tc>
        <w:tc>
          <w:tcPr>
            <w:tcW w:w="0" w:type="auto"/>
            <w:noWrap w:val="0"/>
            <w:vAlign w:val="center"/>
          </w:tcPr>
          <w:p w14:paraId="4ED69BA1">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32路网络硬盘录像机</w:t>
            </w:r>
          </w:p>
        </w:tc>
        <w:tc>
          <w:tcPr>
            <w:tcW w:w="0" w:type="auto"/>
            <w:noWrap w:val="0"/>
            <w:vAlign w:val="center"/>
          </w:tcPr>
          <w:p w14:paraId="2209FB58">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可接驳符合ONVIF、RTSP标准的众多主流厂商网络摄像机；</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 支持接入H.265、Smart265、H.264、Smart264视频编码码流；</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 解码性能强劲，最大支持12路1080P解码（开启SVC增强模式后，可提升至16路1080P解码）；</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 支持800万像素高清网络视频的预览、存储与回放；</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 支持HDMI与VGA同/异源输出，HDMI最大支持4K超高清显示输出，VGA支持1080P高清显示输出；</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 自带4个SATA接口，最大支持满配10T硬盘；</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 支持IP设备集中管理，包括IP设备一键添加、参数配置、批量升级、导入/导出等；</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 支持本地同步回放及多路同步倒放；</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 针对人、车及事件类型，支持快速回放与智能检索功能，大幅提升录像回放和检索效率；</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 支持云服务，通过APP可实现手机远程预览/回放/配置；</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 支持平台接入；</w:t>
            </w:r>
          </w:p>
        </w:tc>
        <w:tc>
          <w:tcPr>
            <w:tcW w:w="0" w:type="auto"/>
            <w:noWrap w:val="0"/>
            <w:vAlign w:val="center"/>
          </w:tcPr>
          <w:p w14:paraId="6DBDF446">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w:t>
            </w:r>
          </w:p>
        </w:tc>
        <w:tc>
          <w:tcPr>
            <w:tcW w:w="0" w:type="auto"/>
            <w:noWrap w:val="0"/>
            <w:vAlign w:val="center"/>
          </w:tcPr>
          <w:p w14:paraId="01CE0D3F">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浐灞一幼灞柳园区（暂定名）</w:t>
            </w:r>
          </w:p>
        </w:tc>
      </w:tr>
      <w:tr w14:paraId="0E1D7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14:paraId="3C8E97C8">
            <w:pPr>
              <w:keepNext w:val="0"/>
              <w:keepLines w:val="0"/>
              <w:widowControl/>
              <w:suppressLineNumbers w:val="0"/>
              <w:jc w:val="righ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161</w:t>
            </w:r>
          </w:p>
        </w:tc>
        <w:tc>
          <w:tcPr>
            <w:tcW w:w="0" w:type="auto"/>
            <w:noWrap w:val="0"/>
            <w:vAlign w:val="center"/>
          </w:tcPr>
          <w:p w14:paraId="6BE13746">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校园监控：监控专用硬盘</w:t>
            </w:r>
          </w:p>
        </w:tc>
        <w:tc>
          <w:tcPr>
            <w:tcW w:w="0" w:type="auto"/>
            <w:noWrap w:val="0"/>
            <w:vAlign w:val="center"/>
          </w:tcPr>
          <w:p w14:paraId="6515747E">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监控专用硬盘</w:t>
            </w:r>
          </w:p>
        </w:tc>
        <w:tc>
          <w:tcPr>
            <w:tcW w:w="0" w:type="auto"/>
            <w:noWrap w:val="0"/>
            <w:vAlign w:val="center"/>
          </w:tcPr>
          <w:p w14:paraId="025DCF45">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缓存：128MB接口：SATA接口转速：≧7200rpm容量：≧16TB硬盘尺寸：3.5英寸</w:t>
            </w:r>
          </w:p>
        </w:tc>
        <w:tc>
          <w:tcPr>
            <w:tcW w:w="0" w:type="auto"/>
            <w:noWrap w:val="0"/>
            <w:vAlign w:val="center"/>
          </w:tcPr>
          <w:p w14:paraId="6D1E5D91">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16</w:t>
            </w:r>
          </w:p>
        </w:tc>
        <w:tc>
          <w:tcPr>
            <w:tcW w:w="0" w:type="auto"/>
            <w:noWrap w:val="0"/>
            <w:vAlign w:val="center"/>
          </w:tcPr>
          <w:p w14:paraId="03726344">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浐灞一幼灞柳园区（暂定名）</w:t>
            </w:r>
          </w:p>
        </w:tc>
      </w:tr>
      <w:tr w14:paraId="27D48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14:paraId="4F1FD63E">
            <w:pPr>
              <w:keepNext w:val="0"/>
              <w:keepLines w:val="0"/>
              <w:widowControl/>
              <w:suppressLineNumbers w:val="0"/>
              <w:jc w:val="righ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162</w:t>
            </w:r>
          </w:p>
        </w:tc>
        <w:tc>
          <w:tcPr>
            <w:tcW w:w="0" w:type="auto"/>
            <w:noWrap w:val="0"/>
            <w:vAlign w:val="center"/>
          </w:tcPr>
          <w:p w14:paraId="37A7B9FE">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校园监控：显示电视机</w:t>
            </w:r>
          </w:p>
        </w:tc>
        <w:tc>
          <w:tcPr>
            <w:tcW w:w="0" w:type="auto"/>
            <w:noWrap w:val="0"/>
            <w:vAlign w:val="center"/>
          </w:tcPr>
          <w:p w14:paraId="2F008FEA">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显示电视机</w:t>
            </w:r>
          </w:p>
        </w:tc>
        <w:tc>
          <w:tcPr>
            <w:tcW w:w="0" w:type="auto"/>
            <w:noWrap w:val="0"/>
            <w:vAlign w:val="center"/>
          </w:tcPr>
          <w:p w14:paraId="26DD2F0E">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屏幕尺寸：≧55英寸；屏幕分辨率：4K；刷屏率：144Hz；屏幕比例：16:9；亮度：300-400尼特；运行内存：≧3GB；存储内存：≧64GB；音响：2×20W；HDMI接口×2</w:t>
            </w:r>
          </w:p>
        </w:tc>
        <w:tc>
          <w:tcPr>
            <w:tcW w:w="0" w:type="auto"/>
            <w:noWrap w:val="0"/>
            <w:vAlign w:val="center"/>
          </w:tcPr>
          <w:p w14:paraId="64FBA640">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4</w:t>
            </w:r>
          </w:p>
        </w:tc>
        <w:tc>
          <w:tcPr>
            <w:tcW w:w="0" w:type="auto"/>
            <w:noWrap w:val="0"/>
            <w:vAlign w:val="center"/>
          </w:tcPr>
          <w:p w14:paraId="520AFC3D">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浐灞一幼灞柳园区（暂定名）</w:t>
            </w:r>
          </w:p>
        </w:tc>
      </w:tr>
      <w:tr w14:paraId="23B38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14:paraId="5EA426E2">
            <w:pPr>
              <w:keepNext w:val="0"/>
              <w:keepLines w:val="0"/>
              <w:widowControl/>
              <w:suppressLineNumbers w:val="0"/>
              <w:jc w:val="righ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163</w:t>
            </w:r>
          </w:p>
        </w:tc>
        <w:tc>
          <w:tcPr>
            <w:tcW w:w="0" w:type="auto"/>
            <w:noWrap w:val="0"/>
            <w:vAlign w:val="center"/>
          </w:tcPr>
          <w:p w14:paraId="63877E04">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校园监控：POE交换机</w:t>
            </w:r>
          </w:p>
        </w:tc>
        <w:tc>
          <w:tcPr>
            <w:tcW w:w="0" w:type="auto"/>
            <w:noWrap w:val="0"/>
            <w:vAlign w:val="center"/>
          </w:tcPr>
          <w:p w14:paraId="6534B416">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POE交换机</w:t>
            </w:r>
          </w:p>
        </w:tc>
        <w:tc>
          <w:tcPr>
            <w:tcW w:w="0" w:type="auto"/>
            <w:noWrap w:val="0"/>
            <w:vAlign w:val="center"/>
          </w:tcPr>
          <w:p w14:paraId="4F40905C">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提供24个千兆PoE电口、2个千兆光口</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交换容量：≧56 Gbps</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包转发率：≧41.67Mpps</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支持IEEE 802.3at/af标准</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端口最大供电功率：30 W</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整机最大供电功率：370 W</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支持PoE看门狗</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支持6 KV防浪涌（PoE口）</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支持IEEE 802.3、IEEE 802.3u、IEEE 802.3x、IEEE 802.3ab、IEEE 802.3z标准</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支持管理平台管理</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支持手机APP管理</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支持安防网络拓扑管理、链路聚合、端口管理</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支持远程升级</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支持PoE输出功率管理</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支持VLAN</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支持终端安全防护</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坚固式高强度金属外壳</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安装方式：机架式</w:t>
            </w:r>
          </w:p>
        </w:tc>
        <w:tc>
          <w:tcPr>
            <w:tcW w:w="0" w:type="auto"/>
            <w:noWrap w:val="0"/>
            <w:vAlign w:val="center"/>
          </w:tcPr>
          <w:p w14:paraId="76682ACD">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7</w:t>
            </w:r>
          </w:p>
        </w:tc>
        <w:tc>
          <w:tcPr>
            <w:tcW w:w="0" w:type="auto"/>
            <w:noWrap w:val="0"/>
            <w:vAlign w:val="center"/>
          </w:tcPr>
          <w:p w14:paraId="6C1D773A">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浐灞一幼灞柳园区（暂定名）</w:t>
            </w:r>
          </w:p>
        </w:tc>
      </w:tr>
      <w:tr w14:paraId="2FA2C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14:paraId="7BCB295B">
            <w:pPr>
              <w:keepNext w:val="0"/>
              <w:keepLines w:val="0"/>
              <w:widowControl/>
              <w:suppressLineNumbers w:val="0"/>
              <w:jc w:val="righ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164</w:t>
            </w:r>
          </w:p>
        </w:tc>
        <w:tc>
          <w:tcPr>
            <w:tcW w:w="0" w:type="auto"/>
            <w:noWrap w:val="0"/>
            <w:vAlign w:val="center"/>
          </w:tcPr>
          <w:p w14:paraId="4CDE1196">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校园监控：汇聚交换机</w:t>
            </w:r>
          </w:p>
        </w:tc>
        <w:tc>
          <w:tcPr>
            <w:tcW w:w="0" w:type="auto"/>
            <w:noWrap w:val="0"/>
            <w:vAlign w:val="center"/>
          </w:tcPr>
          <w:p w14:paraId="48619644">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汇聚交换机</w:t>
            </w:r>
          </w:p>
        </w:tc>
        <w:tc>
          <w:tcPr>
            <w:tcW w:w="0" w:type="auto"/>
            <w:noWrap w:val="0"/>
            <w:vAlign w:val="center"/>
          </w:tcPr>
          <w:p w14:paraId="2DCC0D1D">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 端口配置光口：24个千兆SFP（1G）光纤接口。</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电口：4个10/100/1000M自适应RJ45电口（Combo口，与部分光口复用）。</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上行口：4个1G/10G SFP+万兆光口（支持万兆模块或光纤堆叠）。</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 性能指标</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交换容量：256Gbps（全线速转发）。</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包转发率：95.2Mpps。</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MAC地址表：16K条目。</w:t>
            </w:r>
          </w:p>
        </w:tc>
        <w:tc>
          <w:tcPr>
            <w:tcW w:w="0" w:type="auto"/>
            <w:noWrap w:val="0"/>
            <w:vAlign w:val="center"/>
          </w:tcPr>
          <w:p w14:paraId="6D2CD8EF">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w:t>
            </w:r>
          </w:p>
        </w:tc>
        <w:tc>
          <w:tcPr>
            <w:tcW w:w="0" w:type="auto"/>
            <w:noWrap w:val="0"/>
            <w:vAlign w:val="center"/>
          </w:tcPr>
          <w:p w14:paraId="78F16319">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浐灞一幼灞柳园区（暂定名）</w:t>
            </w:r>
          </w:p>
        </w:tc>
      </w:tr>
      <w:tr w14:paraId="12B02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14:paraId="6A809444">
            <w:pPr>
              <w:keepNext w:val="0"/>
              <w:keepLines w:val="0"/>
              <w:widowControl/>
              <w:suppressLineNumbers w:val="0"/>
              <w:jc w:val="righ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165</w:t>
            </w:r>
          </w:p>
        </w:tc>
        <w:tc>
          <w:tcPr>
            <w:tcW w:w="0" w:type="auto"/>
            <w:noWrap w:val="0"/>
            <w:vAlign w:val="center"/>
          </w:tcPr>
          <w:p w14:paraId="6DFFB769">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校园监控：HDMI延长器（一对装）</w:t>
            </w:r>
          </w:p>
        </w:tc>
        <w:tc>
          <w:tcPr>
            <w:tcW w:w="0" w:type="auto"/>
            <w:noWrap w:val="0"/>
            <w:vAlign w:val="center"/>
          </w:tcPr>
          <w:p w14:paraId="37DCC10C">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HDMI延长器一对装</w:t>
            </w:r>
          </w:p>
        </w:tc>
        <w:tc>
          <w:tcPr>
            <w:tcW w:w="0" w:type="auto"/>
            <w:noWrap w:val="0"/>
            <w:vAlign w:val="center"/>
          </w:tcPr>
          <w:p w14:paraId="0B422F1D">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分辨率：4K/30Hz；1080P/60Hz，网线规格：超五类及以上单股纯铜网线；传输距离：≧100m，接口：HDMI，RJ45，</w:t>
            </w:r>
          </w:p>
        </w:tc>
        <w:tc>
          <w:tcPr>
            <w:tcW w:w="0" w:type="auto"/>
            <w:noWrap w:val="0"/>
            <w:vAlign w:val="center"/>
          </w:tcPr>
          <w:p w14:paraId="197A3B7C">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2</w:t>
            </w:r>
          </w:p>
        </w:tc>
        <w:tc>
          <w:tcPr>
            <w:tcW w:w="0" w:type="auto"/>
            <w:noWrap w:val="0"/>
            <w:vAlign w:val="center"/>
          </w:tcPr>
          <w:p w14:paraId="4230E4FA">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浐灞一幼灞柳园区（暂定名）</w:t>
            </w:r>
          </w:p>
        </w:tc>
      </w:tr>
      <w:tr w14:paraId="21812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14:paraId="58FFE746">
            <w:pPr>
              <w:keepNext w:val="0"/>
              <w:keepLines w:val="0"/>
              <w:widowControl/>
              <w:suppressLineNumbers w:val="0"/>
              <w:jc w:val="righ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166</w:t>
            </w:r>
          </w:p>
        </w:tc>
        <w:tc>
          <w:tcPr>
            <w:tcW w:w="0" w:type="auto"/>
            <w:noWrap w:val="0"/>
            <w:vAlign w:val="center"/>
          </w:tcPr>
          <w:p w14:paraId="4FDCD4CE">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校园监控：半球网络摄像机壁挂支架</w:t>
            </w:r>
          </w:p>
        </w:tc>
        <w:tc>
          <w:tcPr>
            <w:tcW w:w="0" w:type="auto"/>
            <w:noWrap w:val="0"/>
            <w:vAlign w:val="center"/>
          </w:tcPr>
          <w:p w14:paraId="4B102586">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半球网络摄像机壁挂支架</w:t>
            </w:r>
          </w:p>
        </w:tc>
        <w:tc>
          <w:tcPr>
            <w:tcW w:w="0" w:type="auto"/>
            <w:noWrap w:val="0"/>
            <w:vAlign w:val="center"/>
          </w:tcPr>
          <w:p w14:paraId="517AA0DE">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材质：精钢，孔位：通用型，颜色：白色</w:t>
            </w:r>
          </w:p>
        </w:tc>
        <w:tc>
          <w:tcPr>
            <w:tcW w:w="0" w:type="auto"/>
            <w:noWrap w:val="0"/>
            <w:vAlign w:val="center"/>
          </w:tcPr>
          <w:p w14:paraId="706A718D">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40</w:t>
            </w:r>
          </w:p>
        </w:tc>
        <w:tc>
          <w:tcPr>
            <w:tcW w:w="0" w:type="auto"/>
            <w:noWrap w:val="0"/>
            <w:vAlign w:val="center"/>
          </w:tcPr>
          <w:p w14:paraId="3333C374">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浐灞一幼灞柳园区（暂定名）</w:t>
            </w:r>
          </w:p>
        </w:tc>
      </w:tr>
      <w:tr w14:paraId="4590C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14:paraId="7F4EC879">
            <w:pPr>
              <w:keepNext w:val="0"/>
              <w:keepLines w:val="0"/>
              <w:widowControl/>
              <w:suppressLineNumbers w:val="0"/>
              <w:jc w:val="righ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167</w:t>
            </w:r>
          </w:p>
        </w:tc>
        <w:tc>
          <w:tcPr>
            <w:tcW w:w="0" w:type="auto"/>
            <w:noWrap w:val="0"/>
            <w:vAlign w:val="center"/>
          </w:tcPr>
          <w:p w14:paraId="23FE6BAF">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校园监控：电梯网桥</w:t>
            </w:r>
          </w:p>
        </w:tc>
        <w:tc>
          <w:tcPr>
            <w:tcW w:w="0" w:type="auto"/>
            <w:noWrap w:val="0"/>
            <w:vAlign w:val="center"/>
          </w:tcPr>
          <w:p w14:paraId="51993047">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电梯网桥</w:t>
            </w:r>
          </w:p>
        </w:tc>
        <w:tc>
          <w:tcPr>
            <w:tcW w:w="0" w:type="auto"/>
            <w:noWrap w:val="0"/>
            <w:vAlign w:val="center"/>
          </w:tcPr>
          <w:p w14:paraId="6AFF0328">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单频2.4G无线网桥套装，内置定向天线，推荐传输距离300米，最大桥接速率300Mbps。包装包含发射端和接收端两个设备，出厂默认配对，无需配置即可使用。摄像头端网桥支持标准PoE供电输出，直接给电梯摄像头供电。支持睿易APP管理、APP重启网桥下联摄像头</w:t>
            </w:r>
          </w:p>
        </w:tc>
        <w:tc>
          <w:tcPr>
            <w:tcW w:w="0" w:type="auto"/>
            <w:noWrap w:val="0"/>
            <w:vAlign w:val="center"/>
          </w:tcPr>
          <w:p w14:paraId="03AF680B">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w:t>
            </w:r>
          </w:p>
        </w:tc>
        <w:tc>
          <w:tcPr>
            <w:tcW w:w="0" w:type="auto"/>
            <w:noWrap w:val="0"/>
            <w:vAlign w:val="center"/>
          </w:tcPr>
          <w:p w14:paraId="065956A0">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浐灞一幼灞柳园区（暂定名）</w:t>
            </w:r>
          </w:p>
        </w:tc>
      </w:tr>
      <w:tr w14:paraId="5F584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14:paraId="4020365E">
            <w:pPr>
              <w:keepNext w:val="0"/>
              <w:keepLines w:val="0"/>
              <w:widowControl/>
              <w:suppressLineNumbers w:val="0"/>
              <w:jc w:val="righ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168</w:t>
            </w:r>
          </w:p>
        </w:tc>
        <w:tc>
          <w:tcPr>
            <w:tcW w:w="0" w:type="auto"/>
            <w:noWrap w:val="0"/>
            <w:vAlign w:val="center"/>
          </w:tcPr>
          <w:p w14:paraId="1F336C9C">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校园监控：鸭嘴支架</w:t>
            </w:r>
          </w:p>
        </w:tc>
        <w:tc>
          <w:tcPr>
            <w:tcW w:w="0" w:type="auto"/>
            <w:noWrap w:val="0"/>
            <w:vAlign w:val="center"/>
          </w:tcPr>
          <w:p w14:paraId="2ED809F1">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鸭嘴支架</w:t>
            </w:r>
          </w:p>
        </w:tc>
        <w:tc>
          <w:tcPr>
            <w:tcW w:w="0" w:type="auto"/>
            <w:noWrap w:val="0"/>
            <w:vAlign w:val="center"/>
          </w:tcPr>
          <w:p w14:paraId="4F6E88FD">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材质：铝合金，最大载重：≧10KG，，颜色：白色</w:t>
            </w:r>
          </w:p>
        </w:tc>
        <w:tc>
          <w:tcPr>
            <w:tcW w:w="0" w:type="auto"/>
            <w:noWrap w:val="0"/>
            <w:vAlign w:val="center"/>
          </w:tcPr>
          <w:p w14:paraId="7746C9CC">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8</w:t>
            </w:r>
          </w:p>
        </w:tc>
        <w:tc>
          <w:tcPr>
            <w:tcW w:w="0" w:type="auto"/>
            <w:noWrap w:val="0"/>
            <w:vAlign w:val="center"/>
          </w:tcPr>
          <w:p w14:paraId="665B1ECD">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浐灞一幼灞柳园区（暂定名）</w:t>
            </w:r>
          </w:p>
        </w:tc>
      </w:tr>
      <w:tr w14:paraId="39797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14:paraId="65E70EB0">
            <w:pPr>
              <w:keepNext w:val="0"/>
              <w:keepLines w:val="0"/>
              <w:widowControl/>
              <w:suppressLineNumbers w:val="0"/>
              <w:jc w:val="righ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169</w:t>
            </w:r>
          </w:p>
        </w:tc>
        <w:tc>
          <w:tcPr>
            <w:tcW w:w="0" w:type="auto"/>
            <w:noWrap w:val="0"/>
            <w:vAlign w:val="center"/>
          </w:tcPr>
          <w:p w14:paraId="0686D52C">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校园监控：网络机柜</w:t>
            </w:r>
          </w:p>
        </w:tc>
        <w:tc>
          <w:tcPr>
            <w:tcW w:w="0" w:type="auto"/>
            <w:noWrap w:val="0"/>
            <w:vAlign w:val="center"/>
          </w:tcPr>
          <w:p w14:paraId="5E1E9930">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网络机柜</w:t>
            </w:r>
          </w:p>
        </w:tc>
        <w:tc>
          <w:tcPr>
            <w:tcW w:w="0" w:type="auto"/>
            <w:noWrap w:val="0"/>
            <w:vAlign w:val="center"/>
          </w:tcPr>
          <w:p w14:paraId="596AFF92">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 xml:space="preserve">技术参数：              </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1.≧2mm冷板、钢化玻璃门、2风扇、黑色；</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2.产品尺寸（L×W×H）：≧600×600×1800mm</w:t>
            </w:r>
          </w:p>
        </w:tc>
        <w:tc>
          <w:tcPr>
            <w:tcW w:w="0" w:type="auto"/>
            <w:noWrap w:val="0"/>
            <w:vAlign w:val="center"/>
          </w:tcPr>
          <w:p w14:paraId="5969A06D">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w:t>
            </w:r>
          </w:p>
        </w:tc>
        <w:tc>
          <w:tcPr>
            <w:tcW w:w="0" w:type="auto"/>
            <w:noWrap w:val="0"/>
            <w:vAlign w:val="center"/>
          </w:tcPr>
          <w:p w14:paraId="78F3C72C">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浐灞一幼灞柳园区（暂定名）</w:t>
            </w:r>
          </w:p>
        </w:tc>
      </w:tr>
      <w:tr w14:paraId="15C9C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14:paraId="59E0ED86">
            <w:pPr>
              <w:keepNext w:val="0"/>
              <w:keepLines w:val="0"/>
              <w:widowControl/>
              <w:suppressLineNumbers w:val="0"/>
              <w:jc w:val="righ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170</w:t>
            </w:r>
          </w:p>
        </w:tc>
        <w:tc>
          <w:tcPr>
            <w:tcW w:w="0" w:type="auto"/>
            <w:noWrap w:val="0"/>
            <w:vAlign w:val="center"/>
          </w:tcPr>
          <w:p w14:paraId="4AA37691">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校园监控：网线</w:t>
            </w:r>
          </w:p>
        </w:tc>
        <w:tc>
          <w:tcPr>
            <w:tcW w:w="0" w:type="auto"/>
            <w:noWrap w:val="0"/>
            <w:vAlign w:val="center"/>
          </w:tcPr>
          <w:p w14:paraId="56F7A817">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网线</w:t>
            </w:r>
          </w:p>
        </w:tc>
        <w:tc>
          <w:tcPr>
            <w:tcW w:w="0" w:type="auto"/>
            <w:noWrap w:val="0"/>
            <w:vAlign w:val="center"/>
          </w:tcPr>
          <w:p w14:paraId="0C09E08D">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CAT6；305M/箱                              材质：无氧铜芯。绝缘层为聚乙烯材料；                              频率范围：1MHz-250MHz，                 支持速率：常规1Gbps，短距离可达10Gbps；兼容10GBASE-T网络</w:t>
            </w:r>
          </w:p>
        </w:tc>
        <w:tc>
          <w:tcPr>
            <w:tcW w:w="0" w:type="auto"/>
            <w:noWrap w:val="0"/>
            <w:vAlign w:val="center"/>
          </w:tcPr>
          <w:p w14:paraId="505B9639">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25</w:t>
            </w:r>
          </w:p>
        </w:tc>
        <w:tc>
          <w:tcPr>
            <w:tcW w:w="0" w:type="auto"/>
            <w:noWrap w:val="0"/>
            <w:vAlign w:val="center"/>
          </w:tcPr>
          <w:p w14:paraId="60D85BA8">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浐灞一幼灞柳园区（暂定名）</w:t>
            </w:r>
          </w:p>
        </w:tc>
      </w:tr>
      <w:tr w14:paraId="23384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14:paraId="4A6CC0FC">
            <w:pPr>
              <w:keepNext w:val="0"/>
              <w:keepLines w:val="0"/>
              <w:widowControl/>
              <w:suppressLineNumbers w:val="0"/>
              <w:jc w:val="righ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171</w:t>
            </w:r>
          </w:p>
        </w:tc>
        <w:tc>
          <w:tcPr>
            <w:tcW w:w="0" w:type="auto"/>
            <w:noWrap w:val="0"/>
            <w:vAlign w:val="center"/>
          </w:tcPr>
          <w:p w14:paraId="588CBB57">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校园监控：系统集成</w:t>
            </w:r>
          </w:p>
        </w:tc>
        <w:tc>
          <w:tcPr>
            <w:tcW w:w="0" w:type="auto"/>
            <w:noWrap w:val="0"/>
            <w:vAlign w:val="center"/>
          </w:tcPr>
          <w:p w14:paraId="02E4B8F2">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系统集成</w:t>
            </w:r>
          </w:p>
        </w:tc>
        <w:tc>
          <w:tcPr>
            <w:tcW w:w="0" w:type="auto"/>
            <w:noWrap w:val="0"/>
            <w:vAlign w:val="center"/>
          </w:tcPr>
          <w:p w14:paraId="6D074FE8">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设备安装、线路铺设 、设备调试，管材、辅材等</w:t>
            </w:r>
          </w:p>
        </w:tc>
        <w:tc>
          <w:tcPr>
            <w:tcW w:w="0" w:type="auto"/>
            <w:noWrap w:val="0"/>
            <w:vAlign w:val="center"/>
          </w:tcPr>
          <w:p w14:paraId="04D8B091">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103</w:t>
            </w:r>
          </w:p>
        </w:tc>
        <w:tc>
          <w:tcPr>
            <w:tcW w:w="0" w:type="auto"/>
            <w:noWrap w:val="0"/>
            <w:vAlign w:val="center"/>
          </w:tcPr>
          <w:p w14:paraId="2E5A301F">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浐灞一幼灞柳园区（暂定名）</w:t>
            </w:r>
          </w:p>
        </w:tc>
      </w:tr>
      <w:tr w14:paraId="6C7F2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14:paraId="220A3837">
            <w:pPr>
              <w:keepNext w:val="0"/>
              <w:keepLines w:val="0"/>
              <w:widowControl/>
              <w:suppressLineNumbers w:val="0"/>
              <w:jc w:val="righ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172</w:t>
            </w:r>
          </w:p>
        </w:tc>
        <w:tc>
          <w:tcPr>
            <w:tcW w:w="0" w:type="auto"/>
            <w:noWrap w:val="0"/>
            <w:vAlign w:val="center"/>
          </w:tcPr>
          <w:p w14:paraId="1CE15C2F">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通班电话：其他类：校园电话</w:t>
            </w:r>
          </w:p>
        </w:tc>
        <w:tc>
          <w:tcPr>
            <w:tcW w:w="0" w:type="auto"/>
            <w:noWrap w:val="0"/>
            <w:vAlign w:val="center"/>
          </w:tcPr>
          <w:p w14:paraId="2C8EC93C">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校园电话</w:t>
            </w:r>
          </w:p>
        </w:tc>
        <w:tc>
          <w:tcPr>
            <w:tcW w:w="0" w:type="auto"/>
            <w:noWrap w:val="0"/>
            <w:vAlign w:val="center"/>
          </w:tcPr>
          <w:p w14:paraId="5B2D7C10">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有绳扳机；免电池；坐式/壁挂双用</w:t>
            </w:r>
          </w:p>
        </w:tc>
        <w:tc>
          <w:tcPr>
            <w:tcW w:w="0" w:type="auto"/>
            <w:noWrap w:val="0"/>
            <w:vAlign w:val="center"/>
          </w:tcPr>
          <w:p w14:paraId="4D0044B2">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12</w:t>
            </w:r>
          </w:p>
        </w:tc>
        <w:tc>
          <w:tcPr>
            <w:tcW w:w="0" w:type="auto"/>
            <w:noWrap w:val="0"/>
            <w:vAlign w:val="center"/>
          </w:tcPr>
          <w:p w14:paraId="3A3D6FA3">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浐灞一幼灞柳园区（暂定名）</w:t>
            </w:r>
          </w:p>
        </w:tc>
      </w:tr>
      <w:tr w14:paraId="3BF09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14:paraId="48309AD2">
            <w:pPr>
              <w:keepNext w:val="0"/>
              <w:keepLines w:val="0"/>
              <w:widowControl/>
              <w:suppressLineNumbers w:val="0"/>
              <w:jc w:val="righ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173</w:t>
            </w:r>
          </w:p>
        </w:tc>
        <w:tc>
          <w:tcPr>
            <w:tcW w:w="0" w:type="auto"/>
            <w:noWrap w:val="0"/>
            <w:vAlign w:val="center"/>
          </w:tcPr>
          <w:p w14:paraId="70FF2A60">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通班电话：其他类：办公电话</w:t>
            </w:r>
          </w:p>
        </w:tc>
        <w:tc>
          <w:tcPr>
            <w:tcW w:w="0" w:type="auto"/>
            <w:noWrap w:val="0"/>
            <w:vAlign w:val="center"/>
          </w:tcPr>
          <w:p w14:paraId="1A8195B0">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办公电话</w:t>
            </w:r>
          </w:p>
        </w:tc>
        <w:tc>
          <w:tcPr>
            <w:tcW w:w="0" w:type="auto"/>
            <w:noWrap w:val="0"/>
            <w:vAlign w:val="center"/>
          </w:tcPr>
          <w:p w14:paraId="489EC26A">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有绳扳机；来电显示；铃声选择；双接口，座式电话；</w:t>
            </w:r>
          </w:p>
        </w:tc>
        <w:tc>
          <w:tcPr>
            <w:tcW w:w="0" w:type="auto"/>
            <w:noWrap w:val="0"/>
            <w:vAlign w:val="center"/>
          </w:tcPr>
          <w:p w14:paraId="12AD45E6">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10</w:t>
            </w:r>
          </w:p>
        </w:tc>
        <w:tc>
          <w:tcPr>
            <w:tcW w:w="0" w:type="auto"/>
            <w:noWrap w:val="0"/>
            <w:vAlign w:val="center"/>
          </w:tcPr>
          <w:p w14:paraId="78FF9F47">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浐灞一幼灞柳园区（暂定名）</w:t>
            </w:r>
          </w:p>
        </w:tc>
      </w:tr>
      <w:tr w14:paraId="043B5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14:paraId="66E3F0DD">
            <w:pPr>
              <w:keepNext w:val="0"/>
              <w:keepLines w:val="0"/>
              <w:widowControl/>
              <w:suppressLineNumbers w:val="0"/>
              <w:jc w:val="righ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174</w:t>
            </w:r>
          </w:p>
        </w:tc>
        <w:tc>
          <w:tcPr>
            <w:tcW w:w="0" w:type="auto"/>
            <w:noWrap w:val="0"/>
            <w:vAlign w:val="center"/>
          </w:tcPr>
          <w:p w14:paraId="7841C0F2">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通班电话：其他类：电话交换机</w:t>
            </w:r>
          </w:p>
        </w:tc>
        <w:tc>
          <w:tcPr>
            <w:tcW w:w="0" w:type="auto"/>
            <w:noWrap w:val="0"/>
            <w:vAlign w:val="center"/>
          </w:tcPr>
          <w:p w14:paraId="2D00AEE5">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电话交换机</w:t>
            </w:r>
          </w:p>
        </w:tc>
        <w:tc>
          <w:tcPr>
            <w:tcW w:w="0" w:type="auto"/>
            <w:noWrap w:val="0"/>
            <w:vAlign w:val="center"/>
          </w:tcPr>
          <w:p w14:paraId="54B7283F">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信号接口：RJ11，通讯接口：RS232串口；最大外线：8；最大分机：32</w:t>
            </w:r>
          </w:p>
        </w:tc>
        <w:tc>
          <w:tcPr>
            <w:tcW w:w="0" w:type="auto"/>
            <w:noWrap w:val="0"/>
            <w:vAlign w:val="center"/>
          </w:tcPr>
          <w:p w14:paraId="3982F096">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w:t>
            </w:r>
          </w:p>
        </w:tc>
        <w:tc>
          <w:tcPr>
            <w:tcW w:w="0" w:type="auto"/>
            <w:noWrap w:val="0"/>
            <w:vAlign w:val="center"/>
          </w:tcPr>
          <w:p w14:paraId="3D8109EB">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浐灞一幼灞柳园区（暂定名）</w:t>
            </w:r>
          </w:p>
        </w:tc>
      </w:tr>
      <w:tr w14:paraId="11347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14:paraId="4C5F5CF8">
            <w:pPr>
              <w:keepNext w:val="0"/>
              <w:keepLines w:val="0"/>
              <w:widowControl/>
              <w:suppressLineNumbers w:val="0"/>
              <w:jc w:val="righ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175</w:t>
            </w:r>
          </w:p>
        </w:tc>
        <w:tc>
          <w:tcPr>
            <w:tcW w:w="0" w:type="auto"/>
            <w:noWrap w:val="0"/>
            <w:vAlign w:val="center"/>
          </w:tcPr>
          <w:p w14:paraId="2CC7B807">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通班电话：其他：双芯电话线</w:t>
            </w:r>
          </w:p>
        </w:tc>
        <w:tc>
          <w:tcPr>
            <w:tcW w:w="0" w:type="auto"/>
            <w:noWrap w:val="0"/>
            <w:vAlign w:val="center"/>
          </w:tcPr>
          <w:p w14:paraId="6D9431E9">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其他：双芯电话线</w:t>
            </w:r>
          </w:p>
        </w:tc>
        <w:tc>
          <w:tcPr>
            <w:tcW w:w="0" w:type="auto"/>
            <w:noWrap w:val="0"/>
            <w:vAlign w:val="center"/>
          </w:tcPr>
          <w:p w14:paraId="24DAE3C3">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线芯：纯铜，外被：PVC，200M/卷</w:t>
            </w:r>
          </w:p>
        </w:tc>
        <w:tc>
          <w:tcPr>
            <w:tcW w:w="0" w:type="auto"/>
            <w:noWrap w:val="0"/>
            <w:vAlign w:val="center"/>
          </w:tcPr>
          <w:p w14:paraId="6C9FCA63">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10</w:t>
            </w:r>
          </w:p>
        </w:tc>
        <w:tc>
          <w:tcPr>
            <w:tcW w:w="0" w:type="auto"/>
            <w:noWrap w:val="0"/>
            <w:vAlign w:val="center"/>
          </w:tcPr>
          <w:p w14:paraId="6E2936DA">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浐灞一幼灞柳园区（暂定名）</w:t>
            </w:r>
          </w:p>
        </w:tc>
      </w:tr>
      <w:tr w14:paraId="053CD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14:paraId="700D85FA">
            <w:pPr>
              <w:keepNext w:val="0"/>
              <w:keepLines w:val="0"/>
              <w:widowControl/>
              <w:suppressLineNumbers w:val="0"/>
              <w:jc w:val="righ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176</w:t>
            </w:r>
          </w:p>
        </w:tc>
        <w:tc>
          <w:tcPr>
            <w:tcW w:w="0" w:type="auto"/>
            <w:noWrap w:val="0"/>
            <w:vAlign w:val="center"/>
          </w:tcPr>
          <w:p w14:paraId="76D61F98">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通班电话：安装调试费</w:t>
            </w:r>
          </w:p>
        </w:tc>
        <w:tc>
          <w:tcPr>
            <w:tcW w:w="0" w:type="auto"/>
            <w:noWrap w:val="0"/>
            <w:vAlign w:val="center"/>
          </w:tcPr>
          <w:p w14:paraId="1F08D5F5">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安装调试费</w:t>
            </w:r>
          </w:p>
        </w:tc>
        <w:tc>
          <w:tcPr>
            <w:tcW w:w="0" w:type="auto"/>
            <w:noWrap w:val="0"/>
            <w:vAlign w:val="center"/>
          </w:tcPr>
          <w:p w14:paraId="0F4562BB">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线缆、线管铺设</w:t>
            </w:r>
          </w:p>
        </w:tc>
        <w:tc>
          <w:tcPr>
            <w:tcW w:w="0" w:type="auto"/>
            <w:noWrap w:val="0"/>
            <w:vAlign w:val="center"/>
          </w:tcPr>
          <w:p w14:paraId="007B5862">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22</w:t>
            </w:r>
          </w:p>
        </w:tc>
        <w:tc>
          <w:tcPr>
            <w:tcW w:w="0" w:type="auto"/>
            <w:noWrap w:val="0"/>
            <w:vAlign w:val="center"/>
          </w:tcPr>
          <w:p w14:paraId="697C9BFA">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浐灞一幼灞柳园区（暂定名）</w:t>
            </w:r>
          </w:p>
        </w:tc>
      </w:tr>
      <w:tr w14:paraId="3ABDD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14:paraId="202A21E5">
            <w:pPr>
              <w:keepNext w:val="0"/>
              <w:keepLines w:val="0"/>
              <w:widowControl/>
              <w:suppressLineNumbers w:val="0"/>
              <w:jc w:val="righ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177</w:t>
            </w:r>
          </w:p>
        </w:tc>
        <w:tc>
          <w:tcPr>
            <w:tcW w:w="0" w:type="auto"/>
            <w:noWrap w:val="0"/>
            <w:vAlign w:val="center"/>
          </w:tcPr>
          <w:p w14:paraId="36C2274D">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弱电：舞台灯光</w:t>
            </w:r>
          </w:p>
        </w:tc>
        <w:tc>
          <w:tcPr>
            <w:tcW w:w="0" w:type="auto"/>
            <w:noWrap w:val="0"/>
            <w:vAlign w:val="center"/>
          </w:tcPr>
          <w:p w14:paraId="0FAF4C00">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舞台灯光</w:t>
            </w:r>
          </w:p>
        </w:tc>
        <w:tc>
          <w:tcPr>
            <w:tcW w:w="0" w:type="auto"/>
            <w:noWrap w:val="0"/>
            <w:vAlign w:val="center"/>
          </w:tcPr>
          <w:p w14:paraId="1B868975">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1套</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1、LED染色投光灯：</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功率：≥180W</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LED灯珠：≥54颗.R:12.G:12.B:12.W:18</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光学透镜：白色座高光效25度透镜（可选8/15/45/60度）</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通道：≥8个DMX模式控制控制模式：DMX-512控制操作、主从机模式、单机模式，8种内置效果可以通过DMX控台和已制定程序选择使用</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颜色：连续的红绿蓝和白色的颜色转换，RGBW无限混色彩虹</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效果，可调速</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调光：0—100%</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显示：四位八段数码管</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频闪：电子频闪1-25fps/秒，随机频闪，按顺序跳动，变速频闪（从慢到快），混合频闪（频闪+底色、频闪+渐变）</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散热：通过优质散热片对流冷却,智能静音风扇辅助散热</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2、灯光控制台：</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电压/频率：220-240V50/60Hz</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有12个Scanner，每个Scanner中包含16个通道，分A页和B页</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可编程30个Bank，每个Bank中包含8个Scene</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可编程6相Chase，每个Chase可编240步（即30个BankScene）</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具有手动，声控和自动三种动作模式</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每个Scanners中都可设置Reverse（求反和Assign（数码轮）</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在手动和编程时点亮按FINE键时对应LED亮时，可细调数码轮值</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具有Blackout输出功能</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具有MIDI触了Bank、Chase和Blackout功能</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有DMX极性选择开关</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显示屏:LCD液晶显示屏，16*2字符</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 xml:space="preserve">DMX512输出口:3芯XLR针座及孔座 </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3、固定灯光吊杆：φ50、单杆体，防锈漆</w:t>
            </w:r>
          </w:p>
        </w:tc>
        <w:tc>
          <w:tcPr>
            <w:tcW w:w="0" w:type="auto"/>
            <w:noWrap w:val="0"/>
            <w:vAlign w:val="center"/>
          </w:tcPr>
          <w:p w14:paraId="7569E6CB">
            <w:pPr>
              <w:keepNext w:val="0"/>
              <w:keepLines w:val="0"/>
              <w:widowControl/>
              <w:suppressLineNumbers w:val="0"/>
              <w:jc w:val="center"/>
              <w:textAlignment w:val="center"/>
              <w:rPr>
                <w:sz w:val="20"/>
                <w:szCs w:val="20"/>
                <w:highlight w:val="none"/>
                <w:vertAlign w:val="baseline"/>
              </w:rPr>
            </w:pPr>
            <w:r>
              <w:rPr>
                <w:rFonts w:hint="default" w:ascii="Calibri" w:hAnsi="Calibri" w:eastAsia="宋体" w:cs="Calibri"/>
                <w:i w:val="0"/>
                <w:iCs w:val="0"/>
                <w:color w:val="000000"/>
                <w:kern w:val="0"/>
                <w:sz w:val="20"/>
                <w:szCs w:val="20"/>
                <w:highlight w:val="none"/>
                <w:u w:val="none"/>
                <w:lang w:val="en-US" w:eastAsia="zh-CN" w:bidi="ar"/>
              </w:rPr>
              <w:t>1</w:t>
            </w:r>
          </w:p>
        </w:tc>
        <w:tc>
          <w:tcPr>
            <w:tcW w:w="0" w:type="auto"/>
            <w:noWrap w:val="0"/>
            <w:vAlign w:val="center"/>
          </w:tcPr>
          <w:p w14:paraId="14ABAF49">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浐灞第二幼儿园</w:t>
            </w:r>
          </w:p>
        </w:tc>
      </w:tr>
      <w:tr w14:paraId="3B827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14:paraId="567C0C29">
            <w:pPr>
              <w:keepNext w:val="0"/>
              <w:keepLines w:val="0"/>
              <w:widowControl/>
              <w:suppressLineNumbers w:val="0"/>
              <w:jc w:val="righ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178</w:t>
            </w:r>
          </w:p>
        </w:tc>
        <w:tc>
          <w:tcPr>
            <w:tcW w:w="0" w:type="auto"/>
            <w:noWrap w:val="0"/>
            <w:vAlign w:val="center"/>
          </w:tcPr>
          <w:p w14:paraId="3B7BAE7C">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弱电：摄像云台</w:t>
            </w:r>
          </w:p>
        </w:tc>
        <w:tc>
          <w:tcPr>
            <w:tcW w:w="0" w:type="auto"/>
            <w:noWrap w:val="0"/>
            <w:vAlign w:val="center"/>
          </w:tcPr>
          <w:p w14:paraId="04F77637">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摄像云台</w:t>
            </w:r>
          </w:p>
        </w:tc>
        <w:tc>
          <w:tcPr>
            <w:tcW w:w="0" w:type="auto"/>
            <w:noWrap w:val="0"/>
            <w:vAlign w:val="center"/>
          </w:tcPr>
          <w:p w14:paraId="57DF0E4F">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1、手势拍摄</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2、稳定拍摄</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 xml:space="preserve">3、人脸跟踪  </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展开：≥长288毫米、≥宽107毫米、≥高96毫米</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折叠：≥长190毫米、宽95毫米、高46毫米</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适用手机厚度：6.9毫米至10毫米</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适用手机宽度：67毫米至84毫米</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云台充电接口：USB-C</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最大控制转速：≥120°/s</w:t>
            </w:r>
          </w:p>
        </w:tc>
        <w:tc>
          <w:tcPr>
            <w:tcW w:w="0" w:type="auto"/>
            <w:noWrap w:val="0"/>
            <w:vAlign w:val="center"/>
          </w:tcPr>
          <w:p w14:paraId="3970F717">
            <w:pPr>
              <w:keepNext w:val="0"/>
              <w:keepLines w:val="0"/>
              <w:widowControl/>
              <w:suppressLineNumbers w:val="0"/>
              <w:jc w:val="center"/>
              <w:textAlignment w:val="center"/>
              <w:rPr>
                <w:sz w:val="20"/>
                <w:szCs w:val="20"/>
                <w:highlight w:val="none"/>
                <w:vertAlign w:val="baseline"/>
              </w:rPr>
            </w:pPr>
            <w:r>
              <w:rPr>
                <w:rFonts w:hint="default" w:ascii="Calibri" w:hAnsi="Calibri" w:eastAsia="宋体" w:cs="Calibri"/>
                <w:i w:val="0"/>
                <w:iCs w:val="0"/>
                <w:color w:val="000000"/>
                <w:kern w:val="0"/>
                <w:sz w:val="20"/>
                <w:szCs w:val="20"/>
                <w:highlight w:val="none"/>
                <w:u w:val="none"/>
                <w:lang w:val="en-US" w:eastAsia="zh-CN" w:bidi="ar"/>
              </w:rPr>
              <w:t>1</w:t>
            </w:r>
          </w:p>
        </w:tc>
        <w:tc>
          <w:tcPr>
            <w:tcW w:w="0" w:type="auto"/>
            <w:noWrap w:val="0"/>
            <w:vAlign w:val="center"/>
          </w:tcPr>
          <w:p w14:paraId="1E6E0A1B">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浐灞第二幼儿园</w:t>
            </w:r>
          </w:p>
        </w:tc>
      </w:tr>
      <w:tr w14:paraId="6DE46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14:paraId="0267D7AA">
            <w:pPr>
              <w:keepNext w:val="0"/>
              <w:keepLines w:val="0"/>
              <w:widowControl/>
              <w:suppressLineNumbers w:val="0"/>
              <w:jc w:val="righ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179</w:t>
            </w:r>
          </w:p>
        </w:tc>
        <w:tc>
          <w:tcPr>
            <w:tcW w:w="0" w:type="auto"/>
            <w:noWrap w:val="0"/>
            <w:vAlign w:val="center"/>
          </w:tcPr>
          <w:p w14:paraId="33693F23">
            <w:pPr>
              <w:keepNext w:val="0"/>
              <w:keepLines w:val="0"/>
              <w:widowControl/>
              <w:suppressLineNumbers w:val="0"/>
              <w:jc w:val="left"/>
              <w:textAlignment w:val="center"/>
              <w:rPr>
                <w:sz w:val="20"/>
                <w:szCs w:val="20"/>
                <w:highlight w:val="none"/>
                <w:vertAlign w:val="baseline"/>
              </w:rPr>
            </w:pPr>
            <w:r>
              <w:rPr>
                <w:rStyle w:val="117"/>
                <w:sz w:val="20"/>
                <w:szCs w:val="20"/>
                <w:highlight w:val="none"/>
                <w:lang w:val="en-US" w:eastAsia="zh-CN" w:bidi="ar"/>
              </w:rPr>
              <w:t>会议室</w:t>
            </w:r>
            <w:r>
              <w:rPr>
                <w:rStyle w:val="114"/>
                <w:sz w:val="20"/>
                <w:szCs w:val="20"/>
                <w:highlight w:val="none"/>
                <w:lang w:val="en-US" w:eastAsia="zh-CN" w:bidi="ar"/>
              </w:rPr>
              <w:t>LED</w:t>
            </w:r>
            <w:r>
              <w:rPr>
                <w:rStyle w:val="117"/>
                <w:sz w:val="20"/>
                <w:szCs w:val="20"/>
                <w:highlight w:val="none"/>
                <w:lang w:val="en-US" w:eastAsia="zh-CN" w:bidi="ar"/>
              </w:rPr>
              <w:t>显示屏</w:t>
            </w:r>
          </w:p>
        </w:tc>
        <w:tc>
          <w:tcPr>
            <w:tcW w:w="0" w:type="auto"/>
            <w:noWrap w:val="0"/>
            <w:vAlign w:val="center"/>
          </w:tcPr>
          <w:p w14:paraId="34729293">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会议室LED显示屏</w:t>
            </w:r>
          </w:p>
        </w:tc>
        <w:tc>
          <w:tcPr>
            <w:tcW w:w="0" w:type="auto"/>
            <w:noWrap w:val="0"/>
            <w:vAlign w:val="center"/>
          </w:tcPr>
          <w:p w14:paraId="073492EC">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P2室内全彩LED显示屏    面积：4米X2米</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点间距：≤2.0mm</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密度：250000点/m2</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模组尺寸：320mm*160mm</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模组拼接平整度：≤0.1mm</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白平衡亮度:≥600 cd/㎡（色温1800K-10000K），</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刷新率:≥3840Hz</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水平视角：水平≥160°、垂直≥160°，</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色度均匀性:±0.002Cx,Cy之内</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对比度:≥8000:1</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峰值功耗:≤500w/㎡</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平均功耗:≤200w/㎡</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供电要求:AC100V~240V（50-60Hz）</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换帧频率:60Hz-120 Hz</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连续工作时间:≥72小时，平均无故障时间:≥10000小时</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 xml:space="preserve">含视频接收卡、处理器、控制设备、电源、线缆、结构等所有辅材         </w:t>
            </w:r>
          </w:p>
        </w:tc>
        <w:tc>
          <w:tcPr>
            <w:tcW w:w="0" w:type="auto"/>
            <w:noWrap w:val="0"/>
            <w:vAlign w:val="center"/>
          </w:tcPr>
          <w:p w14:paraId="0EE8676D">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w:t>
            </w:r>
          </w:p>
        </w:tc>
        <w:tc>
          <w:tcPr>
            <w:tcW w:w="0" w:type="auto"/>
            <w:noWrap w:val="0"/>
            <w:vAlign w:val="center"/>
          </w:tcPr>
          <w:p w14:paraId="29CE3FB4">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浐灞第二幼儿园</w:t>
            </w:r>
          </w:p>
        </w:tc>
      </w:tr>
      <w:tr w14:paraId="0B8D6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14:paraId="4513A5EE">
            <w:pPr>
              <w:keepNext w:val="0"/>
              <w:keepLines w:val="0"/>
              <w:widowControl/>
              <w:suppressLineNumbers w:val="0"/>
              <w:jc w:val="righ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180</w:t>
            </w:r>
          </w:p>
        </w:tc>
        <w:tc>
          <w:tcPr>
            <w:tcW w:w="0" w:type="auto"/>
            <w:noWrap w:val="0"/>
            <w:vAlign w:val="center"/>
          </w:tcPr>
          <w:p w14:paraId="2467E4DD">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弱电：监控录像机</w:t>
            </w:r>
          </w:p>
        </w:tc>
        <w:tc>
          <w:tcPr>
            <w:tcW w:w="0" w:type="auto"/>
            <w:noWrap w:val="0"/>
            <w:vAlign w:val="center"/>
          </w:tcPr>
          <w:p w14:paraId="20FEC6C1">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监控录像机</w:t>
            </w:r>
          </w:p>
        </w:tc>
        <w:tc>
          <w:tcPr>
            <w:tcW w:w="0" w:type="auto"/>
            <w:noWrap w:val="0"/>
            <w:vAlign w:val="center"/>
          </w:tcPr>
          <w:p w14:paraId="4A1335B8">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1、≥6T空间</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2、≥8块硬盘</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3、≥16路8盘位</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4、≥4K显示</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5、支持手机远程回看</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 xml:space="preserve"> 输出接口：VGA\HDMI</w:t>
            </w:r>
          </w:p>
        </w:tc>
        <w:tc>
          <w:tcPr>
            <w:tcW w:w="0" w:type="auto"/>
            <w:noWrap w:val="0"/>
            <w:vAlign w:val="center"/>
          </w:tcPr>
          <w:p w14:paraId="177861CE">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4</w:t>
            </w:r>
          </w:p>
        </w:tc>
        <w:tc>
          <w:tcPr>
            <w:tcW w:w="0" w:type="auto"/>
            <w:noWrap w:val="0"/>
            <w:vAlign w:val="center"/>
          </w:tcPr>
          <w:p w14:paraId="29DE9333">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浐灞第二幼儿园</w:t>
            </w:r>
          </w:p>
        </w:tc>
      </w:tr>
      <w:tr w14:paraId="2DCA7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14:paraId="7EF308F8">
            <w:pPr>
              <w:keepNext w:val="0"/>
              <w:keepLines w:val="0"/>
              <w:widowControl/>
              <w:suppressLineNumbers w:val="0"/>
              <w:jc w:val="righ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181</w:t>
            </w:r>
          </w:p>
        </w:tc>
        <w:tc>
          <w:tcPr>
            <w:tcW w:w="0" w:type="auto"/>
            <w:noWrap w:val="0"/>
            <w:vAlign w:val="center"/>
          </w:tcPr>
          <w:p w14:paraId="5DB60D61">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LED 平板会议灯</w:t>
            </w:r>
          </w:p>
        </w:tc>
        <w:tc>
          <w:tcPr>
            <w:tcW w:w="0" w:type="auto"/>
            <w:noWrap w:val="0"/>
            <w:vAlign w:val="center"/>
          </w:tcPr>
          <w:p w14:paraId="04DFE2A9">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LED 平板会议灯</w:t>
            </w:r>
          </w:p>
        </w:tc>
        <w:tc>
          <w:tcPr>
            <w:tcW w:w="0" w:type="auto"/>
            <w:noWrap w:val="0"/>
            <w:vAlign w:val="center"/>
          </w:tcPr>
          <w:p w14:paraId="6A491C25">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额定电压：AC210V～240V，50～60Hz</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功率：≥220W</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光源：LED660颗0.5WLED节能发光芯片</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色温：3200K-5600K（可调）（三种选择）</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出光角度：≥120度</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显色指数：Ra96,也可定制更高显色指数98</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通道：1/2CH通道选择（双色温2/4CH选择）</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控制模式：DMX512、手动、主副机</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显示方式：液晶显示,中英文切换</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遮光板：高效乳白色导光板</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外壳材料：铝材+导光板</w:t>
            </w:r>
          </w:p>
        </w:tc>
        <w:tc>
          <w:tcPr>
            <w:tcW w:w="0" w:type="auto"/>
            <w:noWrap w:val="0"/>
            <w:vAlign w:val="center"/>
          </w:tcPr>
          <w:p w14:paraId="4776F4EA">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4</w:t>
            </w:r>
          </w:p>
        </w:tc>
        <w:tc>
          <w:tcPr>
            <w:tcW w:w="0" w:type="auto"/>
            <w:noWrap w:val="0"/>
            <w:vAlign w:val="center"/>
          </w:tcPr>
          <w:p w14:paraId="151BCB88">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浐灞第二幼儿园</w:t>
            </w:r>
          </w:p>
        </w:tc>
      </w:tr>
      <w:tr w14:paraId="350D0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14:paraId="12CED371">
            <w:pPr>
              <w:keepNext w:val="0"/>
              <w:keepLines w:val="0"/>
              <w:widowControl/>
              <w:suppressLineNumbers w:val="0"/>
              <w:jc w:val="righ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182</w:t>
            </w:r>
          </w:p>
        </w:tc>
        <w:tc>
          <w:tcPr>
            <w:tcW w:w="0" w:type="auto"/>
            <w:noWrap w:val="0"/>
            <w:vAlign w:val="center"/>
          </w:tcPr>
          <w:p w14:paraId="16FEC99D">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幼儿园户外场地摄像头</w:t>
            </w:r>
          </w:p>
        </w:tc>
        <w:tc>
          <w:tcPr>
            <w:tcW w:w="0" w:type="auto"/>
            <w:noWrap w:val="0"/>
            <w:vAlign w:val="center"/>
          </w:tcPr>
          <w:p w14:paraId="7A2D82BF">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户外场地摄像头</w:t>
            </w:r>
          </w:p>
        </w:tc>
        <w:tc>
          <w:tcPr>
            <w:tcW w:w="0" w:type="auto"/>
            <w:noWrap w:val="0"/>
            <w:vAlign w:val="center"/>
          </w:tcPr>
          <w:p w14:paraId="370D757D">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幼儿园户外场地摄像头</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基础参数</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单摄像头覆盖范围：</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4MP高清摄像头（焦距4mm）约覆盖半径15-20米。</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复杂区域（如出入口、游乐设施）需缩短覆盖半径至10-15米。</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总点位估算：≥20个</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摄像头选型：</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类型：4MP全彩夜视枪机（IP67防水，支持H.265编码）。</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NVR录像机 32路，≥8TB硬盘</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交换机 8口千兆PoE 2台</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网线 超五类屏蔽线（室外防水） 800-1,000米</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电源线/防水箱 RVV2*1.0线缆+防水配电箱</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立杆/支架 3米高镀锌杆+万向支架</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辅材 水晶头、套管、螺丝、人工等</w:t>
            </w:r>
          </w:p>
        </w:tc>
        <w:tc>
          <w:tcPr>
            <w:tcW w:w="0" w:type="auto"/>
            <w:noWrap w:val="0"/>
            <w:vAlign w:val="center"/>
          </w:tcPr>
          <w:p w14:paraId="2E500EA3">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w:t>
            </w:r>
          </w:p>
        </w:tc>
        <w:tc>
          <w:tcPr>
            <w:tcW w:w="0" w:type="auto"/>
            <w:noWrap w:val="0"/>
            <w:vAlign w:val="center"/>
          </w:tcPr>
          <w:p w14:paraId="3F76FD37">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浐灞二幼奥园誉府（暂定名）</w:t>
            </w:r>
          </w:p>
        </w:tc>
      </w:tr>
      <w:tr w14:paraId="5DB4B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14:paraId="0600BE16">
            <w:pPr>
              <w:keepNext w:val="0"/>
              <w:keepLines w:val="0"/>
              <w:widowControl/>
              <w:suppressLineNumbers w:val="0"/>
              <w:jc w:val="righ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183</w:t>
            </w:r>
          </w:p>
        </w:tc>
        <w:tc>
          <w:tcPr>
            <w:tcW w:w="0" w:type="auto"/>
            <w:noWrap w:val="0"/>
            <w:vAlign w:val="center"/>
          </w:tcPr>
          <w:p w14:paraId="07A0C945">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LED屏：多功能厅LED大屏</w:t>
            </w:r>
          </w:p>
        </w:tc>
        <w:tc>
          <w:tcPr>
            <w:tcW w:w="0" w:type="auto"/>
            <w:noWrap w:val="0"/>
            <w:vAlign w:val="center"/>
          </w:tcPr>
          <w:p w14:paraId="6E8D8EE9">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LED屏：多功能厅LED大屏</w:t>
            </w:r>
          </w:p>
        </w:tc>
        <w:tc>
          <w:tcPr>
            <w:tcW w:w="0" w:type="auto"/>
            <w:noWrap w:val="0"/>
            <w:vAlign w:val="center"/>
          </w:tcPr>
          <w:p w14:paraId="2313B73F">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屏体尺寸：8*3.5m</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像素结构：SMD三合一</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像素间距：3.0mm</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模组尺寸（mm）：320（W）×160(H)</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模组分辨率（W×H）：104×52=5408</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模组最大功耗：≤42W</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像素密度: 105625Pixels/m2；</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 xml:space="preserve">白平衡最大亮度：≥5000cd/m2                                    </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 xml:space="preserve">灰度等级：≥14bit </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峰值功耗：≤700W；</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 xml:space="preserve">平均功耗：≤300m²W/m2 </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 xml:space="preserve">视角：水平视角≥160°,垂直视角≥160°                           </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最高对比度：≥5000:1</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 xml:space="preserve">防护等级：正面IP66，背面IP43                                  </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PCB阻燃：V-0等级色温：2000K-18000K可调</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色域均匀性：±0.003Cx,Cy之内</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刷新频率：≤3840Hz</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像素失控率：≤0.0001</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亮度均匀性：≥98%</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工作温度：-30ºC to +60ºC</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工作湿度：10% to 70%</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显示屏寿命：≥10万小时</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 xml:space="preserve">平均无故障时间：≥5000小时    含视频接收卡、处理器、控制设备、电源、线缆、结构等所有辅材及安装 </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包含舞台（约宽3m*长7.5m*高65cm，材质：木地板）和背景墙（尺寸：结合屏幕周边尺寸实地测量，材质：石膏板造型结合乳胶漆喷涂）安装</w:t>
            </w:r>
          </w:p>
        </w:tc>
        <w:tc>
          <w:tcPr>
            <w:tcW w:w="0" w:type="auto"/>
            <w:noWrap w:val="0"/>
            <w:vAlign w:val="center"/>
          </w:tcPr>
          <w:p w14:paraId="66832AA3">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w:t>
            </w:r>
          </w:p>
        </w:tc>
        <w:tc>
          <w:tcPr>
            <w:tcW w:w="0" w:type="auto"/>
            <w:noWrap w:val="0"/>
            <w:vAlign w:val="center"/>
          </w:tcPr>
          <w:p w14:paraId="0D57BD10">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浐灞二幼奥园誉府（暂定名）</w:t>
            </w:r>
          </w:p>
        </w:tc>
      </w:tr>
      <w:tr w14:paraId="219E9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14:paraId="20AC511E">
            <w:pPr>
              <w:keepNext w:val="0"/>
              <w:keepLines w:val="0"/>
              <w:widowControl/>
              <w:suppressLineNumbers w:val="0"/>
              <w:jc w:val="righ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184</w:t>
            </w:r>
          </w:p>
        </w:tc>
        <w:tc>
          <w:tcPr>
            <w:tcW w:w="0" w:type="auto"/>
            <w:noWrap w:val="0"/>
            <w:vAlign w:val="center"/>
          </w:tcPr>
          <w:p w14:paraId="763B5531">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LED屏：幼儿园大门口LED大屏</w:t>
            </w:r>
          </w:p>
        </w:tc>
        <w:tc>
          <w:tcPr>
            <w:tcW w:w="0" w:type="auto"/>
            <w:noWrap w:val="0"/>
            <w:vAlign w:val="center"/>
          </w:tcPr>
          <w:p w14:paraId="716E4FDB">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LED屏：幼儿园大门口LED大屏</w:t>
            </w:r>
          </w:p>
        </w:tc>
        <w:tc>
          <w:tcPr>
            <w:tcW w:w="0" w:type="auto"/>
            <w:noWrap w:val="0"/>
            <w:vAlign w:val="center"/>
          </w:tcPr>
          <w:p w14:paraId="3AA45224">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（像素点间距4mm；屏幕面积为7.5*4m）                                                                             像素构成：表贴三合一2020（1R1G1B）；像素密度：62500点/㎡；模组分辨率：80点*40点；模组尺寸：320mm*160mm；白平衡亮度：≥600cd/㎡；亮度调节功能：0-100%亮度可调，屏幕亮度具有随环境照度的变化任意调整功能；刷新频率：≥3840Hz；拼接功能：模组、箱体定位柱快速拼接，精准定位；阻燃（防火）：PCB的阻燃等级达到UL94 V-0级；安全防护功能：具有防尘、防腐蚀、防水、防静电、防撞、抗震动、防电磁干扰、抗雷击等功能，具有电源过压、过流、断电保护、分布上电措施、具有实时监控温度、故障报警功能、防盐雾、耐黄变； 模组表面结构：灯珠不反射环境光，对比度高，色彩柔和，墨色一致性好；最大功耗：≤650W/㎡；平均功耗：≤300W/㎡；灯珠耐焊耐热：Tmax=260℃，汇流焊2次；抗电强度：显示模组或LED显示屏应承受50Hz、1500VAC（交流有效值）的试验电压60S不发生绝缘击穿；工作电压：4.5V-5V；供电方式：AC200-240V,50/60Hz；带户外音响。含视频接收卡、处理器、控制设备、电源、线缆、结构等所有辅材及安装</w:t>
            </w:r>
          </w:p>
        </w:tc>
        <w:tc>
          <w:tcPr>
            <w:tcW w:w="0" w:type="auto"/>
            <w:noWrap w:val="0"/>
            <w:vAlign w:val="center"/>
          </w:tcPr>
          <w:p w14:paraId="59800DF4">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w:t>
            </w:r>
          </w:p>
        </w:tc>
        <w:tc>
          <w:tcPr>
            <w:tcW w:w="0" w:type="auto"/>
            <w:noWrap w:val="0"/>
            <w:vAlign w:val="center"/>
          </w:tcPr>
          <w:p w14:paraId="633FA4A3">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浐灞二幼奥园誉府（暂定名）</w:t>
            </w:r>
          </w:p>
        </w:tc>
      </w:tr>
      <w:tr w14:paraId="5EB00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14:paraId="36B58899">
            <w:pPr>
              <w:keepNext w:val="0"/>
              <w:keepLines w:val="0"/>
              <w:widowControl/>
              <w:suppressLineNumbers w:val="0"/>
              <w:jc w:val="righ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185</w:t>
            </w:r>
          </w:p>
        </w:tc>
        <w:tc>
          <w:tcPr>
            <w:tcW w:w="0" w:type="auto"/>
            <w:noWrap w:val="0"/>
            <w:vAlign w:val="center"/>
          </w:tcPr>
          <w:p w14:paraId="45B5E547">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LED屏：幼儿园会议室LED屏</w:t>
            </w:r>
          </w:p>
        </w:tc>
        <w:tc>
          <w:tcPr>
            <w:tcW w:w="0" w:type="auto"/>
            <w:noWrap w:val="0"/>
            <w:vAlign w:val="center"/>
          </w:tcPr>
          <w:p w14:paraId="697F2E35">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LED屏：幼儿园会议室LED屏</w:t>
            </w:r>
          </w:p>
        </w:tc>
        <w:tc>
          <w:tcPr>
            <w:tcW w:w="0" w:type="auto"/>
            <w:noWrap w:val="0"/>
            <w:vAlign w:val="center"/>
          </w:tcPr>
          <w:p w14:paraId="0658143F">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室内P2.5全彩显示屏：4米*3米 ，物理点间距：≤2.5mm/物理密度160000点/m2；模组尺寸：160mm*320mm m模组点数：64点*128点，发光点颜色：1R1G1B/基色：纯红+纯绿+纯蓝；最佳视距：2.5m～15m  /  最佳视角：水平140±10°，垂直130±10°；工作电压：220V；平均功耗：250 W/m2；最大功耗：750W/㎡；亮度：≥800cd/㎡；亮度均匀性：≥0.95；刷新频率：≥3840Hz；盲点率：≤0.0001，出厂时为0；防护性能：超温/过载/图像补偿/各种校正技术/过流/过压/防雷；灰度等级：红、绿、蓝各 12-16bits；屏体水平和垂直平整度：≤1mm/㎡；接收卡参数：新一代处理内核，支持常规芯片实现高刷新、高灰度、高亮度；全新灰度引擎，低灰度表现更佳；支持1级起灰，支持14bit精度逐点校正、亮度一体化逐点校正；三画面；带载≥390万、横向最大4096、纵向最大4096；输入:1xSDI、1xCVBS、1xVGA、1xDVI、2xHDMI；输出:6x网口；选配：U盘脱机播放、支持无线 投屏、1xAudio、鼠标控制；PLC配电柜≥18KW，配备相应的主电缆线、电源线、网线等，安装调试合格；</w:t>
            </w:r>
          </w:p>
        </w:tc>
        <w:tc>
          <w:tcPr>
            <w:tcW w:w="0" w:type="auto"/>
            <w:noWrap w:val="0"/>
            <w:vAlign w:val="center"/>
          </w:tcPr>
          <w:p w14:paraId="446E8A78">
            <w:pPr>
              <w:keepNext w:val="0"/>
              <w:keepLines w:val="0"/>
              <w:widowControl/>
              <w:suppressLineNumbers w:val="0"/>
              <w:jc w:val="center"/>
              <w:textAlignment w:val="center"/>
              <w:rPr>
                <w:sz w:val="20"/>
                <w:szCs w:val="20"/>
                <w:highlight w:val="none"/>
                <w:vertAlign w:val="baseline"/>
              </w:rPr>
            </w:pPr>
            <w:r>
              <w:rPr>
                <w:rFonts w:hint="default" w:ascii="仿宋_GB2312" w:hAnsi="宋体" w:eastAsia="仿宋_GB2312" w:cs="仿宋_GB2312"/>
                <w:i w:val="0"/>
                <w:iCs w:val="0"/>
                <w:color w:val="000000"/>
                <w:kern w:val="0"/>
                <w:sz w:val="20"/>
                <w:szCs w:val="20"/>
                <w:highlight w:val="none"/>
                <w:u w:val="none"/>
                <w:lang w:val="en-US" w:eastAsia="zh-CN" w:bidi="ar"/>
              </w:rPr>
              <w:t>1</w:t>
            </w:r>
          </w:p>
        </w:tc>
        <w:tc>
          <w:tcPr>
            <w:tcW w:w="0" w:type="auto"/>
            <w:noWrap w:val="0"/>
            <w:vAlign w:val="center"/>
          </w:tcPr>
          <w:p w14:paraId="46CB9240">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浐灞二幼奥园誉府（暂定名）</w:t>
            </w:r>
          </w:p>
        </w:tc>
      </w:tr>
      <w:tr w14:paraId="33134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14:paraId="60A5E3D9">
            <w:pPr>
              <w:keepNext w:val="0"/>
              <w:keepLines w:val="0"/>
              <w:widowControl/>
              <w:suppressLineNumbers w:val="0"/>
              <w:jc w:val="righ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186</w:t>
            </w:r>
          </w:p>
        </w:tc>
        <w:tc>
          <w:tcPr>
            <w:tcW w:w="0" w:type="auto"/>
            <w:noWrap w:val="0"/>
            <w:vAlign w:val="center"/>
          </w:tcPr>
          <w:p w14:paraId="484823D6">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多媒体：无线话筒</w:t>
            </w:r>
          </w:p>
        </w:tc>
        <w:tc>
          <w:tcPr>
            <w:tcW w:w="0" w:type="auto"/>
            <w:noWrap w:val="0"/>
            <w:vAlign w:val="center"/>
          </w:tcPr>
          <w:p w14:paraId="06CD677D">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无线话筒</w:t>
            </w:r>
          </w:p>
        </w:tc>
        <w:tc>
          <w:tcPr>
            <w:tcW w:w="0" w:type="auto"/>
            <w:noWrap w:val="0"/>
            <w:vAlign w:val="center"/>
          </w:tcPr>
          <w:p w14:paraId="0C061ED5">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接收机参数</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 xml:space="preserve">载波频率范围：600-900MHz                    </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震荡方式：PLL锁相环</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可用带宽：每通道30MHz（一共60MHz）中频频率：第一中频：110MHz</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第二中频：10.7MHz</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 xml:space="preserve">调制方式：FM调频                                                       </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 xml:space="preserve">信道数目：红外自动对频200信道               </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天线接口：TNC座</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使用温度：-18℃到50℃                             显示方式：LCD</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 xml:space="preserve">偏移度：45KHz                                          </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灵敏度：-100dBm（40dBS/N）</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 xml:space="preserve">动态范围：≥110dB                                    </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杂散抑制：≥80dB</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 xml:space="preserve">音频响应：60Hz-17KHz                           </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音频输出：非平衡：+4dB（1.25v)/5K Ω</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 xml:space="preserve">综合信噪比：≤0.5%                                                      </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平衡：+10dB（1.5v)/600Ω</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 xml:space="preserve">接收方式：二次变频超外差                        </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供电电流：250mA</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手持参数</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震荡方式：PLL锁相环</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输出功率：3dBm-10dBm(LO/H转换)</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电池：2节1.5v5号电池</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使用时间（碱性电池）：大功率时≥8小时，小功率时≥16小时</w:t>
            </w:r>
          </w:p>
        </w:tc>
        <w:tc>
          <w:tcPr>
            <w:tcW w:w="0" w:type="auto"/>
            <w:noWrap w:val="0"/>
            <w:vAlign w:val="center"/>
          </w:tcPr>
          <w:p w14:paraId="76CDDA7B">
            <w:pPr>
              <w:keepNext w:val="0"/>
              <w:keepLines w:val="0"/>
              <w:widowControl/>
              <w:suppressLineNumbers w:val="0"/>
              <w:jc w:val="center"/>
              <w:textAlignment w:val="center"/>
              <w:rPr>
                <w:sz w:val="20"/>
                <w:szCs w:val="20"/>
                <w:highlight w:val="none"/>
                <w:vertAlign w:val="baseline"/>
              </w:rPr>
            </w:pPr>
            <w:r>
              <w:rPr>
                <w:rFonts w:hint="default" w:ascii="仿宋_GB2312" w:hAnsi="宋体" w:eastAsia="仿宋_GB2312" w:cs="仿宋_GB2312"/>
                <w:i w:val="0"/>
                <w:iCs w:val="0"/>
                <w:color w:val="000000"/>
                <w:kern w:val="0"/>
                <w:sz w:val="20"/>
                <w:szCs w:val="20"/>
                <w:highlight w:val="none"/>
                <w:u w:val="none"/>
                <w:lang w:val="en-US" w:eastAsia="zh-CN" w:bidi="ar"/>
              </w:rPr>
              <w:t>4</w:t>
            </w:r>
          </w:p>
        </w:tc>
        <w:tc>
          <w:tcPr>
            <w:tcW w:w="0" w:type="auto"/>
            <w:noWrap w:val="0"/>
            <w:vAlign w:val="center"/>
          </w:tcPr>
          <w:p w14:paraId="13090911">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浐灞二幼奥园誉府（暂定名）</w:t>
            </w:r>
          </w:p>
        </w:tc>
      </w:tr>
      <w:tr w14:paraId="7BBA3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14:paraId="2A694C82">
            <w:pPr>
              <w:keepNext w:val="0"/>
              <w:keepLines w:val="0"/>
              <w:widowControl/>
              <w:suppressLineNumbers w:val="0"/>
              <w:jc w:val="righ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187</w:t>
            </w:r>
          </w:p>
        </w:tc>
        <w:tc>
          <w:tcPr>
            <w:tcW w:w="0" w:type="auto"/>
            <w:noWrap w:val="0"/>
            <w:vAlign w:val="center"/>
          </w:tcPr>
          <w:p w14:paraId="24FD8A6E">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多媒体：全频音响</w:t>
            </w:r>
          </w:p>
        </w:tc>
        <w:tc>
          <w:tcPr>
            <w:tcW w:w="0" w:type="auto"/>
            <w:noWrap w:val="0"/>
            <w:vAlign w:val="center"/>
          </w:tcPr>
          <w:p w14:paraId="1A01C253">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全频音响</w:t>
            </w:r>
          </w:p>
        </w:tc>
        <w:tc>
          <w:tcPr>
            <w:tcW w:w="0" w:type="auto"/>
            <w:noWrap w:val="0"/>
            <w:vAlign w:val="center"/>
          </w:tcPr>
          <w:p w14:paraId="0016A5B3">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 xml:space="preserve">                                                                                                                                                                                                         1、铝合金压铸箱体，表面喷磨砂烤漆；                                                                                                                                                                                                                                                                                                                                                                                2、选用了4只3寸钕磁低音单元+1只2寸带式高音单元直射排列组合而成 ；                                                                                                                                                                                                                                                                                                                                                                                                                                                                                                                                                                                                                           </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技术参数：                                                                                                                                                                                                         驱动组件: 4x3"低音单元1*2"带式高音单元直射排列</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频率范围(-10dB): 100Hz-23kHz</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频响范围(±3dB: 150Hz-23kHz</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平均功率: 115W</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峰值功率: 230W</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阻抗:8Ω</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灵敏度(1W/1M): 93dB</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输出声压级: 114dB(峰值120dB)</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扩散角度(HxV): 120° x 20°</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信号连接件: 2xNL4音箱插座，凤凰插座</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室外能力:≥ IP52防护等级</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颜色: 标准黑色</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适配安装架: 落地支架；墙面安装：万向吊架</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箱体:铝合金外箱体，ABS驱动器安装面，烤漆穿孔钢网</w:t>
            </w:r>
          </w:p>
        </w:tc>
        <w:tc>
          <w:tcPr>
            <w:tcW w:w="0" w:type="auto"/>
            <w:noWrap w:val="0"/>
            <w:vAlign w:val="center"/>
          </w:tcPr>
          <w:p w14:paraId="7A66251A">
            <w:pPr>
              <w:keepNext w:val="0"/>
              <w:keepLines w:val="0"/>
              <w:widowControl/>
              <w:suppressLineNumbers w:val="0"/>
              <w:jc w:val="center"/>
              <w:textAlignment w:val="center"/>
              <w:rPr>
                <w:sz w:val="20"/>
                <w:szCs w:val="20"/>
                <w:highlight w:val="none"/>
                <w:vertAlign w:val="baseline"/>
              </w:rPr>
            </w:pPr>
            <w:r>
              <w:rPr>
                <w:rFonts w:hint="default" w:ascii="仿宋_GB2312" w:hAnsi="宋体" w:eastAsia="仿宋_GB2312" w:cs="仿宋_GB2312"/>
                <w:i w:val="0"/>
                <w:iCs w:val="0"/>
                <w:color w:val="000000"/>
                <w:kern w:val="0"/>
                <w:sz w:val="20"/>
                <w:szCs w:val="20"/>
                <w:highlight w:val="none"/>
                <w:u w:val="none"/>
                <w:lang w:val="en-US" w:eastAsia="zh-CN" w:bidi="ar"/>
              </w:rPr>
              <w:t>4</w:t>
            </w:r>
          </w:p>
        </w:tc>
        <w:tc>
          <w:tcPr>
            <w:tcW w:w="0" w:type="auto"/>
            <w:noWrap w:val="0"/>
            <w:vAlign w:val="center"/>
          </w:tcPr>
          <w:p w14:paraId="5132DD7D">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浐灞二幼奥园誉府（暂定名）</w:t>
            </w:r>
          </w:p>
        </w:tc>
      </w:tr>
      <w:tr w14:paraId="4A078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14:paraId="31BB6101">
            <w:pPr>
              <w:keepNext w:val="0"/>
              <w:keepLines w:val="0"/>
              <w:widowControl/>
              <w:suppressLineNumbers w:val="0"/>
              <w:jc w:val="righ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188</w:t>
            </w:r>
          </w:p>
        </w:tc>
        <w:tc>
          <w:tcPr>
            <w:tcW w:w="0" w:type="auto"/>
            <w:noWrap w:val="0"/>
            <w:vAlign w:val="center"/>
          </w:tcPr>
          <w:p w14:paraId="514479D2">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多媒体：功放</w:t>
            </w:r>
          </w:p>
        </w:tc>
        <w:tc>
          <w:tcPr>
            <w:tcW w:w="0" w:type="auto"/>
            <w:noWrap w:val="0"/>
            <w:vAlign w:val="center"/>
          </w:tcPr>
          <w:p w14:paraId="2A1AD54F">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功放</w:t>
            </w:r>
          </w:p>
        </w:tc>
        <w:tc>
          <w:tcPr>
            <w:tcW w:w="0" w:type="auto"/>
            <w:noWrap w:val="0"/>
            <w:vAlign w:val="center"/>
          </w:tcPr>
          <w:p w14:paraId="136DCD4D">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 xml:space="preserve">主要特点：                                                                                                                                                                                                                                                                                                                                                                                                                                              1、 高效开关电源（SMPS）和D类功率放大线路（CLASS -D）；                                                                                                                                                                                                                                                                                                                    2、 多孔散热，能低温运行；                                                                                                                                                                                                                                                                                                                              3、 多种灵敏度和压缩模式可供选择，桥接功能；                                                                                                                                                                                                                                                                                                                                                        4、定压定阻支持：100V、8 欧、4 欧                                                                                                                                                                                                                                                                                                                                                                       5、全套的保护功能，功率智能恒定技术，谐振软开关技术；                                                                                                                                                                                                                                                                                                                                                                                                                                                                                                                                                                                                                                                                                                                           6、 优质电源，抗干扰能力强，稳定度高，转换效率高，保护能力强；                                                                                                                                                                                                                                                                                                                                7、 优质电容，多级滤波。                                                                                                                                                                                                                                                                                                                                                                                                                                                                                                                                                                                                                                                                                                                                               技术参数：                                                                                                                                                                                                                                                                                                                                                                                        </w:t>
            </w:r>
            <w:r>
              <w:rPr>
                <w:rFonts w:hint="eastAsia" w:ascii="宋体" w:hAnsi="宋体" w:eastAsia="宋体" w:cs="宋体"/>
                <w:i w:val="0"/>
                <w:iCs w:val="0"/>
                <w:color w:val="000000"/>
                <w:kern w:val="0"/>
                <w:sz w:val="20"/>
                <w:szCs w:val="20"/>
                <w:highlight w:val="none"/>
                <w:u w:val="none"/>
                <w:lang w:val="en-US" w:eastAsia="zh-CN" w:bidi="ar"/>
              </w:rPr>
              <w:t xml:space="preserve">                                               输出功率：2*300W/8Ω  2*450W/4Ω                                                                                                                                                                                                                                                                                                                                                                                                     桥接：900W/8Ω                                                                                                                                                                                                                                                                                                                                                                                                                           频率响应： 20Hz-20KHz±3db                                                                                                                                                                                                                                                                                                                                                                                                             信噪比：≥80db                                                                                                                                                                                                                                                                                                                                                                                                                  输入灵敏： 1V                                                                                                                                                                                                                                                                                                                                                                                                                             总谐波失真： ≤0.05％@8Ω 1KHz                                                                                                                                                                                                                                                                                                                                                                                    输入阻抗： 20KΩ（平衡） 10KΩ(不平衡）                                                                                                                                                                                                                                                                                                                                                                         转换速率： 40V/μS</w:t>
            </w:r>
          </w:p>
        </w:tc>
        <w:tc>
          <w:tcPr>
            <w:tcW w:w="0" w:type="auto"/>
            <w:noWrap w:val="0"/>
            <w:vAlign w:val="center"/>
          </w:tcPr>
          <w:p w14:paraId="558851F8">
            <w:pPr>
              <w:keepNext w:val="0"/>
              <w:keepLines w:val="0"/>
              <w:widowControl/>
              <w:suppressLineNumbers w:val="0"/>
              <w:jc w:val="center"/>
              <w:textAlignment w:val="center"/>
              <w:rPr>
                <w:sz w:val="20"/>
                <w:szCs w:val="20"/>
                <w:highlight w:val="none"/>
                <w:vertAlign w:val="baseline"/>
              </w:rPr>
            </w:pPr>
            <w:r>
              <w:rPr>
                <w:rFonts w:hint="default" w:ascii="仿宋_GB2312" w:hAnsi="宋体" w:eastAsia="仿宋_GB2312" w:cs="仿宋_GB2312"/>
                <w:i w:val="0"/>
                <w:iCs w:val="0"/>
                <w:color w:val="000000"/>
                <w:kern w:val="0"/>
                <w:sz w:val="20"/>
                <w:szCs w:val="20"/>
                <w:highlight w:val="none"/>
                <w:u w:val="none"/>
                <w:lang w:val="en-US" w:eastAsia="zh-CN" w:bidi="ar"/>
              </w:rPr>
              <w:t>2</w:t>
            </w:r>
          </w:p>
        </w:tc>
        <w:tc>
          <w:tcPr>
            <w:tcW w:w="0" w:type="auto"/>
            <w:noWrap w:val="0"/>
            <w:vAlign w:val="center"/>
          </w:tcPr>
          <w:p w14:paraId="795501FD">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浐灞二幼奥园誉府（暂定名）</w:t>
            </w:r>
          </w:p>
        </w:tc>
      </w:tr>
      <w:tr w14:paraId="42AEE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14:paraId="69F9F017">
            <w:pPr>
              <w:keepNext w:val="0"/>
              <w:keepLines w:val="0"/>
              <w:widowControl/>
              <w:suppressLineNumbers w:val="0"/>
              <w:jc w:val="righ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189</w:t>
            </w:r>
          </w:p>
        </w:tc>
        <w:tc>
          <w:tcPr>
            <w:tcW w:w="0" w:type="auto"/>
            <w:noWrap w:val="0"/>
            <w:vAlign w:val="center"/>
          </w:tcPr>
          <w:p w14:paraId="15BF047D">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多媒体：调音台</w:t>
            </w:r>
          </w:p>
        </w:tc>
        <w:tc>
          <w:tcPr>
            <w:tcW w:w="0" w:type="auto"/>
            <w:noWrap w:val="0"/>
            <w:vAlign w:val="center"/>
          </w:tcPr>
          <w:p w14:paraId="369DB71B">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调音台</w:t>
            </w:r>
          </w:p>
        </w:tc>
        <w:tc>
          <w:tcPr>
            <w:tcW w:w="0" w:type="auto"/>
            <w:noWrap w:val="0"/>
            <w:vAlign w:val="center"/>
          </w:tcPr>
          <w:p w14:paraId="397493EA">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 xml:space="preserve">产品特点：                                         </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1、12通道设计，8路MIC单声道+2路立体声输入;                                                                                                                                                                                                                                                                                                                                                    2、单声通道100Hz低频衰减开关（高通滤波）;</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3、每通道3段参量均衡，单声道带扫频;</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4、4辅助编组输出，2推子前折返，1衰减后辅助，1衰减后效果，3组AUX母线辅助输出（包括EFF），1个耳机监听输出、 单通道输入断点插入；</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5、24种DSP数字效果器;</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6、USB播放器，MP3播放，USB直插录音,蓝牙5.0接收播放;</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7、USB音频声卡（连接电脑）将电脑播放的声音传输到调音台;</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8、内置48V幻想电源供电，每通道带独立开关;</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9、主输出双7段立体声图示均衡器;</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10、USB可与一路立体声切换，USB可独立调节;</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11、MP3可与一路立体声切换，MP3可独立调节;</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12、每输入通道带ON开关，PEL耳机开关;</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13、12段精准三色LED电平灯显示信号状态;</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14、平滑高品质100MM行程推子。                                                                                                                                                                                                                                                                                                                                                                                                                     技术参数：</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输入灵敏度：麦克风：-60dB</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立体声通道输入：-40dB</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效果发送：-20dB</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效果返回：-20dB</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低频：±15dB/60HZ</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最大输出电平：20dBm</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总谐波失真度：0.02%@ 0dB1KHz</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频率相应：20Hz~20Kz</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电源功率：30w</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电源电压：100V-240V/50Hz</w:t>
            </w:r>
          </w:p>
        </w:tc>
        <w:tc>
          <w:tcPr>
            <w:tcW w:w="0" w:type="auto"/>
            <w:noWrap w:val="0"/>
            <w:vAlign w:val="center"/>
          </w:tcPr>
          <w:p w14:paraId="1CD560E7">
            <w:pPr>
              <w:keepNext w:val="0"/>
              <w:keepLines w:val="0"/>
              <w:widowControl/>
              <w:suppressLineNumbers w:val="0"/>
              <w:jc w:val="center"/>
              <w:textAlignment w:val="center"/>
              <w:rPr>
                <w:sz w:val="20"/>
                <w:szCs w:val="20"/>
                <w:highlight w:val="none"/>
                <w:vertAlign w:val="baseline"/>
              </w:rPr>
            </w:pPr>
            <w:r>
              <w:rPr>
                <w:rFonts w:hint="default" w:ascii="仿宋_GB2312" w:hAnsi="宋体" w:eastAsia="仿宋_GB2312" w:cs="仿宋_GB2312"/>
                <w:i w:val="0"/>
                <w:iCs w:val="0"/>
                <w:color w:val="000000"/>
                <w:kern w:val="0"/>
                <w:sz w:val="20"/>
                <w:szCs w:val="20"/>
                <w:highlight w:val="none"/>
                <w:u w:val="none"/>
                <w:lang w:val="en-US" w:eastAsia="zh-CN" w:bidi="ar"/>
              </w:rPr>
              <w:t>1</w:t>
            </w:r>
          </w:p>
        </w:tc>
        <w:tc>
          <w:tcPr>
            <w:tcW w:w="0" w:type="auto"/>
            <w:noWrap w:val="0"/>
            <w:vAlign w:val="center"/>
          </w:tcPr>
          <w:p w14:paraId="624BDA69">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浐灞二幼奥园誉府（暂定名）</w:t>
            </w:r>
          </w:p>
        </w:tc>
      </w:tr>
      <w:tr w14:paraId="5CDCA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14:paraId="377AC230">
            <w:pPr>
              <w:keepNext w:val="0"/>
              <w:keepLines w:val="0"/>
              <w:widowControl/>
              <w:suppressLineNumbers w:val="0"/>
              <w:jc w:val="righ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190</w:t>
            </w:r>
          </w:p>
        </w:tc>
        <w:tc>
          <w:tcPr>
            <w:tcW w:w="0" w:type="auto"/>
            <w:noWrap w:val="0"/>
            <w:vAlign w:val="center"/>
          </w:tcPr>
          <w:p w14:paraId="4804DAC8">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多媒体：电源时序器</w:t>
            </w:r>
          </w:p>
        </w:tc>
        <w:tc>
          <w:tcPr>
            <w:tcW w:w="0" w:type="auto"/>
            <w:noWrap w:val="0"/>
            <w:vAlign w:val="center"/>
          </w:tcPr>
          <w:p w14:paraId="1948CFDB">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电源时序器</w:t>
            </w:r>
          </w:p>
        </w:tc>
        <w:tc>
          <w:tcPr>
            <w:tcW w:w="0" w:type="auto"/>
            <w:noWrap w:val="0"/>
            <w:vAlign w:val="center"/>
          </w:tcPr>
          <w:p w14:paraId="081CB2DE">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1.微电脑控制，可与定时主机联机；</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2.16路电源输出，并有LED灯指示；</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3.具有紧急/正常开机模式手动转换；</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4.有电子锁开关机控制，防止他人误开机；</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5.16路电源按顺序开启/关闭，每路接通时间间隔为1秒；</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6.整机最大容量：≥5kW，单路最大容量：≥3kW；</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7.整机最大电流：≥30A；单路最大电流：≥15A；</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8.功耗：≤60W；</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9.保险丝：30A；</w:t>
            </w:r>
          </w:p>
        </w:tc>
        <w:tc>
          <w:tcPr>
            <w:tcW w:w="0" w:type="auto"/>
            <w:noWrap w:val="0"/>
            <w:vAlign w:val="center"/>
          </w:tcPr>
          <w:p w14:paraId="0A389D07">
            <w:pPr>
              <w:keepNext w:val="0"/>
              <w:keepLines w:val="0"/>
              <w:widowControl/>
              <w:suppressLineNumbers w:val="0"/>
              <w:jc w:val="center"/>
              <w:textAlignment w:val="center"/>
              <w:rPr>
                <w:sz w:val="20"/>
                <w:szCs w:val="20"/>
                <w:highlight w:val="none"/>
                <w:vertAlign w:val="baseline"/>
              </w:rPr>
            </w:pPr>
            <w:r>
              <w:rPr>
                <w:rFonts w:hint="default" w:ascii="仿宋_GB2312" w:hAnsi="宋体" w:eastAsia="仿宋_GB2312" w:cs="仿宋_GB2312"/>
                <w:i w:val="0"/>
                <w:iCs w:val="0"/>
                <w:color w:val="000000"/>
                <w:kern w:val="0"/>
                <w:sz w:val="20"/>
                <w:szCs w:val="20"/>
                <w:highlight w:val="none"/>
                <w:u w:val="none"/>
                <w:lang w:val="en-US" w:eastAsia="zh-CN" w:bidi="ar"/>
              </w:rPr>
              <w:t>1</w:t>
            </w:r>
          </w:p>
        </w:tc>
        <w:tc>
          <w:tcPr>
            <w:tcW w:w="0" w:type="auto"/>
            <w:noWrap w:val="0"/>
            <w:vAlign w:val="center"/>
          </w:tcPr>
          <w:p w14:paraId="43E1488B">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浐灞二幼奥园誉府（暂定名）</w:t>
            </w:r>
          </w:p>
        </w:tc>
      </w:tr>
      <w:tr w14:paraId="5266F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14:paraId="2E3A740B">
            <w:pPr>
              <w:keepNext w:val="0"/>
              <w:keepLines w:val="0"/>
              <w:widowControl/>
              <w:suppressLineNumbers w:val="0"/>
              <w:jc w:val="righ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191</w:t>
            </w:r>
          </w:p>
        </w:tc>
        <w:tc>
          <w:tcPr>
            <w:tcW w:w="0" w:type="auto"/>
            <w:noWrap w:val="0"/>
            <w:vAlign w:val="center"/>
          </w:tcPr>
          <w:p w14:paraId="634C0871">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多媒体：机柜</w:t>
            </w:r>
          </w:p>
        </w:tc>
        <w:tc>
          <w:tcPr>
            <w:tcW w:w="0" w:type="auto"/>
            <w:noWrap w:val="0"/>
            <w:vAlign w:val="center"/>
          </w:tcPr>
          <w:p w14:paraId="3C778E47">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机柜</w:t>
            </w:r>
          </w:p>
        </w:tc>
        <w:tc>
          <w:tcPr>
            <w:tcW w:w="0" w:type="auto"/>
            <w:noWrap w:val="0"/>
            <w:vAlign w:val="center"/>
          </w:tcPr>
          <w:p w14:paraId="723D334C">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 xml:space="preserve">技术参数：              </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1.≥2mm冷板、钢化玻璃门、2风扇、黑色；</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2.产品尺寸（L×W×H）：≥600×600×1800mm</w:t>
            </w:r>
          </w:p>
        </w:tc>
        <w:tc>
          <w:tcPr>
            <w:tcW w:w="0" w:type="auto"/>
            <w:noWrap w:val="0"/>
            <w:vAlign w:val="center"/>
          </w:tcPr>
          <w:p w14:paraId="68DD435C">
            <w:pPr>
              <w:keepNext w:val="0"/>
              <w:keepLines w:val="0"/>
              <w:widowControl/>
              <w:suppressLineNumbers w:val="0"/>
              <w:jc w:val="center"/>
              <w:textAlignment w:val="center"/>
              <w:rPr>
                <w:sz w:val="20"/>
                <w:szCs w:val="20"/>
                <w:highlight w:val="none"/>
                <w:vertAlign w:val="baseline"/>
              </w:rPr>
            </w:pPr>
            <w:r>
              <w:rPr>
                <w:rFonts w:hint="default" w:ascii="仿宋_GB2312" w:hAnsi="宋体" w:eastAsia="仿宋_GB2312" w:cs="仿宋_GB2312"/>
                <w:i w:val="0"/>
                <w:iCs w:val="0"/>
                <w:color w:val="000000"/>
                <w:kern w:val="0"/>
                <w:sz w:val="20"/>
                <w:szCs w:val="20"/>
                <w:highlight w:val="none"/>
                <w:u w:val="none"/>
                <w:lang w:val="en-US" w:eastAsia="zh-CN" w:bidi="ar"/>
              </w:rPr>
              <w:t>1</w:t>
            </w:r>
          </w:p>
        </w:tc>
        <w:tc>
          <w:tcPr>
            <w:tcW w:w="0" w:type="auto"/>
            <w:noWrap w:val="0"/>
            <w:vAlign w:val="center"/>
          </w:tcPr>
          <w:p w14:paraId="58551AF1">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浐灞二幼奥园誉府（暂定名）</w:t>
            </w:r>
          </w:p>
        </w:tc>
      </w:tr>
      <w:tr w14:paraId="5F8B6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14:paraId="60A2441C">
            <w:pPr>
              <w:keepNext w:val="0"/>
              <w:keepLines w:val="0"/>
              <w:widowControl/>
              <w:suppressLineNumbers w:val="0"/>
              <w:jc w:val="righ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192</w:t>
            </w:r>
          </w:p>
        </w:tc>
        <w:tc>
          <w:tcPr>
            <w:tcW w:w="0" w:type="auto"/>
            <w:noWrap w:val="0"/>
            <w:vAlign w:val="center"/>
          </w:tcPr>
          <w:p w14:paraId="1B9CFF23">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多媒体：辅材及安装</w:t>
            </w:r>
          </w:p>
        </w:tc>
        <w:tc>
          <w:tcPr>
            <w:tcW w:w="0" w:type="auto"/>
            <w:noWrap w:val="0"/>
            <w:vAlign w:val="center"/>
          </w:tcPr>
          <w:p w14:paraId="26C417ED">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辅材及安装</w:t>
            </w:r>
          </w:p>
        </w:tc>
        <w:tc>
          <w:tcPr>
            <w:tcW w:w="0" w:type="auto"/>
            <w:noWrap w:val="0"/>
            <w:vAlign w:val="center"/>
          </w:tcPr>
          <w:p w14:paraId="44EE7228">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 xml:space="preserve"> 辅材及安装调试费用</w:t>
            </w:r>
          </w:p>
        </w:tc>
        <w:tc>
          <w:tcPr>
            <w:tcW w:w="0" w:type="auto"/>
            <w:noWrap w:val="0"/>
            <w:vAlign w:val="center"/>
          </w:tcPr>
          <w:p w14:paraId="4F929566">
            <w:pPr>
              <w:keepNext w:val="0"/>
              <w:keepLines w:val="0"/>
              <w:widowControl/>
              <w:suppressLineNumbers w:val="0"/>
              <w:jc w:val="center"/>
              <w:textAlignment w:val="center"/>
              <w:rPr>
                <w:sz w:val="20"/>
                <w:szCs w:val="20"/>
                <w:highlight w:val="none"/>
                <w:vertAlign w:val="baseline"/>
              </w:rPr>
            </w:pPr>
            <w:r>
              <w:rPr>
                <w:rFonts w:hint="default" w:ascii="仿宋_GB2312" w:hAnsi="宋体" w:eastAsia="仿宋_GB2312" w:cs="仿宋_GB2312"/>
                <w:i w:val="0"/>
                <w:iCs w:val="0"/>
                <w:color w:val="000000"/>
                <w:kern w:val="0"/>
                <w:sz w:val="20"/>
                <w:szCs w:val="20"/>
                <w:highlight w:val="none"/>
                <w:u w:val="none"/>
                <w:lang w:val="en-US" w:eastAsia="zh-CN" w:bidi="ar"/>
              </w:rPr>
              <w:t>1</w:t>
            </w:r>
          </w:p>
        </w:tc>
        <w:tc>
          <w:tcPr>
            <w:tcW w:w="0" w:type="auto"/>
            <w:noWrap w:val="0"/>
            <w:vAlign w:val="center"/>
          </w:tcPr>
          <w:p w14:paraId="7A4C51B3">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浐灞二幼奥园誉府（暂定名）</w:t>
            </w:r>
          </w:p>
        </w:tc>
      </w:tr>
      <w:tr w14:paraId="4252E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14:paraId="7D77744C">
            <w:pPr>
              <w:keepNext w:val="0"/>
              <w:keepLines w:val="0"/>
              <w:widowControl/>
              <w:suppressLineNumbers w:val="0"/>
              <w:jc w:val="righ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193</w:t>
            </w:r>
          </w:p>
        </w:tc>
        <w:tc>
          <w:tcPr>
            <w:tcW w:w="0" w:type="auto"/>
            <w:noWrap w:val="0"/>
            <w:vAlign w:val="center"/>
          </w:tcPr>
          <w:p w14:paraId="79D8D58C">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监控设备及电子围墙</w:t>
            </w:r>
          </w:p>
        </w:tc>
        <w:tc>
          <w:tcPr>
            <w:tcW w:w="0" w:type="auto"/>
            <w:noWrap w:val="0"/>
            <w:vAlign w:val="center"/>
          </w:tcPr>
          <w:p w14:paraId="74857A58">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监控设备及电子围墙</w:t>
            </w:r>
          </w:p>
        </w:tc>
        <w:tc>
          <w:tcPr>
            <w:tcW w:w="0" w:type="auto"/>
            <w:noWrap w:val="0"/>
            <w:vAlign w:val="center"/>
          </w:tcPr>
          <w:p w14:paraId="1EB1041E">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34件套</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摄像头：≥400万白光全彩筒型网络摄像机 最高分辨率可达2560 &amp;times; 1440 @25 fps 支持用户登录锁定机制，及密码复杂度提示 支持SmartIR，防止夜间红外过曝 支持背光补偿，强光抑制，3D数字降噪，数字宽动态，适应不同使用环境 支持ROI感兴趣区域增强编码 支持开放型网络视频接口，ISAPI，SDK，GB28181协议，支持平台接入 1个内置麦克风 智能补光，支持白光/红外双补光，红外光最远可达30 m，白光最远可达30 m， ≥IP66摄像头：≥400万 1/2.7" CMOS 红外阵列海螺型网络摄像机 最低照度: 彩色：0.005 Lux @（F1.2, AGC ON），0 Lux with IR 宽动态: 数字宽动态 调节角度: 水平：0&amp;deg;~360&amp;deg;，垂直：0&amp;deg;~75&amp;deg;，旋转0&amp;deg;~360&amp;deg;，红外波长范围: 850 nm 防补光过曝: 支持 补光灯类型: 红外灯 补光距离: 最远可达30 m 最大图像尺寸: 2560 &amp;times; 1440 视频压缩标准: 主码流：H.265/H.264 音频: 1个内置麦克风 网络: 1个RJ45 10 M/100 M自适应以太网口 存储温湿度: -30 ℃~60 ℃，湿度小于95%（无凝结） 启动及工作温湿度: -30 ℃~60 ℃，湿度小于95%（无凝结） 供电方式: DC：12 V &amp;plusmn; 25%，支持防反接保护；PoE：802.3af，Class 3</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录像机：可接驳符合ONVIF、RTSP标准的众多主流厂商网络摄像机；</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支持接入H.265、Smart265、H.264、Smart264视频编码码流</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解码性能强劲，最大支持24路1080P解码支持1200万像素高清网络视频的预览、存储与回放，支持HDMI与VGA同/异源输出，HDMI最大支持4K超高清显示输出，VGA支持1080P高清显示输出</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自带24个SATA接口，最大支持满配16T硬盘</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支持IP设备集中管理，包括IP设备一键添加、参数配置、批量升级、导入/导出等</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最大支持8/16/16路本地同步回放</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针对人、车及事件类型，支持快速回放与智能检索功能，大幅提升录像回放和检索效率</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支持云服务，通过APP可实现手机远程预览/回放/配置</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支持平台接入</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 xml:space="preserve"> 硬盘：≥10T</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 xml:space="preserve"> 半球支架</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枪机支架</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监视器：≥43英寸FHD 入门安防显示器</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支持≥1920 × 1080高清显示</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178°/178°广视角</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不闪屏，低蓝光设计</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三边超窄边框，纤薄机身</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HDMI、VGA等接口，丰富连接性和兼容性</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采用 3D 降噪技术，图像鲜艳明亮，呈现真实细节</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支持软件展频技术可降低 EMI 辐射</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支持VESA壁挂</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显示尺寸：≥43英寸</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屏幕可视区域：940.896 (H) mm × 529.254 (V) mm</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物理分辨率：≥1920 × 1080</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背光源类型：D-LED</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亮度：≥300 cd/㎡</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可视角：178° (H) / 178° (V)</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对比度：≥4000 : 1</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响应时间：小于等于6.5 (Typ) ms</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刷新率：Max. 75 Hz , Typ. 60 Hz</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 xml:space="preserve">连续使用时间：7 × 16 H </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音视频输入接口：VGA × 1,  HDMI 1.4 × 1，Line-in × 1</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数据传输接口：USB2.0 × 1 (支持U盘播放和程序在线升级)</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电源：178-240 V～, 50/60 Hz, 1.0 A Max</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功耗：≤ 80 W</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 xml:space="preserve">待机功耗：≤ 0.5 W </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工作温度：0 °C ~ 40 °C</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 xml:space="preserve">工作湿度：10% ~ 80% RH (无冷凝水) </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喇叭：8 Ω 10 W ×2</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 xml:space="preserve"> 监视器支架：43寸支架</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 xml:space="preserve"> 核心交换机：二层网管交换机，交换容量≥336Gbps，包转发率78Mpps，24口10/100/1000Mbps自适应电口交换机，固化4个SFP千兆光口，支持VLAN、ACL、端口镜像、端口聚合等功能，支持APP和云平台统一管理。</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 xml:space="preserve"> 接入交换机：2光18电机架式全千兆POE交换机(2F+2G+2GP6+14GP/240W)</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 xml:space="preserve"> PoE1~14口 支持af/at协议，10/100/1000M自适应</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PoE15~16口 支持bt协议，10/100/1000M自适应</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LAN1~2口 10/100/1000M上联  ◆ SFP1~2口，光纤插槽，1000M上联</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支持8芯1245+/3678- 供电可达30W或bt端口可达60W</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输入AC180~264V，整机功率240W，电源内置</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尺寸：≥440x180x44mm</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 xml:space="preserve"> 线材：网线、电源线（根据现场情况定）</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 xml:space="preserve"> 监控安装施工、辅材等</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电子围栏控制器  (双防区）：参数:</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差电压技术，每线有电击，</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相邻两线有压差；</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输出电压：5～10KV；低压7000～10000V.</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脉冲间隔时间：1－3S 可调</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 xml:space="preserve">脉冲电流：≤10A </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 xml:space="preserve">脉冲持续时间：≤0.1S </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 xml:space="preserve">每个脉冲最大电量：2.5mC </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 xml:space="preserve">每个脉冲最大能量：5.0J  </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 xml:space="preserve">报警条件：电子围栏的高压导线断路、短路 </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 xml:space="preserve">报警输出：报警继电器的一对常开和常闭接点(1A 220VAC) </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 xml:space="preserve">环境温度：-10～+55℃ </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电子围栏控制器  (单防区）参数:</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差电压技术，每线有电击，</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相邻两线有压差；</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输出电压：5～10KV；低压7000～10000V.</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脉冲间隔时间：1－3S 可调</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 xml:space="preserve">脉冲电流：≤10A </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 xml:space="preserve">脉冲持续时间：≤0.1S </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 xml:space="preserve">每个脉冲最大电量：2.5mC </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 xml:space="preserve">每个脉冲最大能量：5.0J  </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 xml:space="preserve">报警条件：电子围栏的高压导线断路、短路 </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 xml:space="preserve">报警输出：报警继电器的一对常开和常闭接点(1A 220VAC) </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 xml:space="preserve">环境温度：-10～+55℃ </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高压避雷器：双层高性能氧化锌化学防雷；防静电；易于维护；保护无线通讯信号不受脉冲高压干扰。高压110WV</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高强度铝合金终端杆：拉丝银灰8号，铝镁合金材质，主要承受合金线上的拉力，国际标准长度92CM,外径为32mm，壁厚为3.0mm，终端杆的通过对穿螺丝与灵动万向底座和终端杆管件连接，底座通过膨胀螺丝的方式与墙体固定。每50米安装1个终端杆。</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防水帽：天空蓝，牡蛎灰，工程尼龙塑料材质，厚3MM，套于终端拉线顶端，耐压110WV。</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终端杆绝缘子：天空蓝，牡蛎灰，工程塑料材质，套于终端拉线杆上，用4*8的自攻螺丝固定于终端杆。360度转向，无盲区，无死角设计，与终端杆之间配置灵活；无节点设计，线距可根据客户需求任意调节，耐压110WV,</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终端杆底座与固定件：钣金喷粉或铝镁合金材质，多角度孔位，防拆设计，结构坚固。用对穿螺丝将终端杆或者承力杆与对应管件和万向底座连接，在用膨胀螺丝将底座和墙体连接。</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中间杆：颜色为淡黄，蓝色，灰色，可选，可根据客户需求定色，2017新型碳素纤维材质，主要用于承受拉力，国际标准长度92CM,壁厚为10mm，主要用于支撑合金线。中间杆必须安装牢固，每1根杆应有4个固定点。完全绝缘380WV。</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中间杆防水帽：天空蓝，牡蛎灰，可根据客户需求定色，工程尼龙塑料材质，厚3MM，套于终端拉线顶端，耐压110WV。</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中间杆绝缘子：天空蓝，牡蛎灰，可根据客户需求定色，尼龙工程塑料材质，套于终端拉线杆上，用4*8的自攻螺丝固定于终端杆。360度转向，无盲区，无死角设计，与终端杆之间配置灵活；无节点设计，线距可根据客户需求任意调节，耐压110WV,</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中间杆固定件：工业ABS尼龙材质，颜色为蓝色，淡黄，牡蛎灰，可选，可根据客户需求定色，主要用于固定中间杆，安装灵活，省时省力，壁厚为2.5mm，耐压范围110KWF</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万向底座：钣金喷粉或铝镁合金材质，带LOGO标识，多角度孔位，防拆设计，结构坚固。用对穿螺丝将终端杆或者承力杆与对应管件和万向底座连接，在用膨胀螺丝将底座和墙体连接。</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合金丝：脉冲电子围栏专用高压导线，超高规格2.0设计，耐受30KV电压，内芯采用脉冲电子围栏专用材质合金线，不发生化学反应。</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高压线：脉冲电子围栏专业高压绝缘导线，颜色有黑色一种，外层绝缘层超规格设计，耐受30KV电压，内芯采用脉冲电子围栏专用合金线，以防止两种金属导线接触，不同的金属发生电化学反应。</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线－线连接器：铝镁合金材质，双螺丝设置，中间过线槽，抗腐蚀，耐高压110KV</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中间收紧器：工业ABS尼龙材质，颜色为蓝色，淡黄，牡蛎灰，可选，可根据客户需求定色，安装方便，带电防拆.耐压110WV</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夜光型围栏警示牌：双面为立体夜光显示，国家专利产品，室外防水防腐蚀，在前端围栏上平均每10米左右设置一块，材质：雪弗板配碳素材质，立体字体。</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总线报警主机(含键盘)：前端可接单防区模块与8路有线传输的防区扩展模块及8路有线主机控制器。主机上有4路总线输入口，主机具有完全独立4路低阻电流环总线和2路带自检的485总线输入信号输送采用低阻传输线技术，输送可靠抗干扰能力强。</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具有极强的防雷抗干扰设计</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 xml:space="preserve"> 大屏幕中文蓝屏显示，可带8个分体键盘LCD蓝屏显示，显示内容丰富，信息简单明了。</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 xml:space="preserve"> 联动接口输出，通过联动板可联动电子地图、硬盘录象机、打印机</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信号采用独创的低阻传输线技术，传输可靠抗干扰能力强</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 xml:space="preserve">信号采用单片机加密传输，速度快，信号准，不掉码 </w:t>
            </w:r>
          </w:p>
          <w:p w14:paraId="2072935F">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标配USB串口输出，可直接与电脑连接，通信稳定可靠</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全事件记忆（黑匣子）：布撤防、报警、故障等全记录不可删——能存储200条家用主机布、撤防报警及周界报警信号，并能进行查询。如果需要更多信息存储可连接电脑。</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 xml:space="preserve"> 自动布防、撤防功能</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有电脑输出接口与电脑连接，使功能更为强大。</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能对系统中各种家庭主机，编码块进行巡检，判断系统故障。</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具有打印机接口及时打印周界报警信息。</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具有串行输出口，可与电子地图方便连接。</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有静音和有声报警。</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报警时具有继电器触电输出。</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具有手动巡检功能，能判断线路和设备故障（该功能应在系统全部开通后才能发挥作用）。</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各输入口均有光电隔离，采用双电结构，抗干扰能力更强。</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信号输入输出均有发光管指示。</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根据需要可方便地与电话线或编解码器相连，组成功能强大的系统。</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可与D7559地址模块相连，组成周界联网系统。</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不用任何中继或放大器，用线RVV2*1.0一条总线5公里，4条总线可达20公里</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 xml:space="preserve">2路485标准总线输入，可以接光端机 </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总线模块：6线低阻防雷1024防区设计，红，黑，蓝，黄，绿醒目标线，美国ARM处理器，带高压保护功能。</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报警喇叭：90DB警音喇叭。</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防水箱：对主机等附属设备起到很好的防护, 307不锈材质</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400mm×500mm×170mm（不锈钢材质，厚度1.0mm）</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防雷电接地桩：低阻50mm×4mm×1000mm，材质：镀锌粉L角铁</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电源线：国标</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信号线：国标</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施工调试</w:t>
            </w:r>
          </w:p>
        </w:tc>
        <w:tc>
          <w:tcPr>
            <w:tcW w:w="0" w:type="auto"/>
            <w:noWrap w:val="0"/>
            <w:vAlign w:val="center"/>
          </w:tcPr>
          <w:p w14:paraId="23F17CFF">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34</w:t>
            </w:r>
          </w:p>
        </w:tc>
        <w:tc>
          <w:tcPr>
            <w:tcW w:w="0" w:type="auto"/>
            <w:noWrap w:val="0"/>
            <w:vAlign w:val="center"/>
          </w:tcPr>
          <w:p w14:paraId="398ED94C">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西安浐灞国际港第二十二幼儿园</w:t>
            </w:r>
          </w:p>
        </w:tc>
      </w:tr>
      <w:tr w14:paraId="3BC7F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14:paraId="5266CFDB">
            <w:pPr>
              <w:keepNext w:val="0"/>
              <w:keepLines w:val="0"/>
              <w:widowControl/>
              <w:suppressLineNumbers w:val="0"/>
              <w:jc w:val="righ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194</w:t>
            </w:r>
          </w:p>
        </w:tc>
        <w:tc>
          <w:tcPr>
            <w:tcW w:w="0" w:type="auto"/>
            <w:noWrap w:val="0"/>
            <w:vAlign w:val="center"/>
          </w:tcPr>
          <w:p w14:paraId="25DCB0A1">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LED屏</w:t>
            </w:r>
          </w:p>
        </w:tc>
        <w:tc>
          <w:tcPr>
            <w:tcW w:w="0" w:type="auto"/>
            <w:noWrap w:val="0"/>
            <w:vAlign w:val="center"/>
          </w:tcPr>
          <w:p w14:paraId="2A2B21AD">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LED屏</w:t>
            </w:r>
          </w:p>
        </w:tc>
        <w:tc>
          <w:tcPr>
            <w:tcW w:w="0" w:type="auto"/>
            <w:noWrap w:val="0"/>
            <w:vAlign w:val="center"/>
          </w:tcPr>
          <w:p w14:paraId="770BDAC0">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28.7平方米</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多功能厅室内P2.5全彩显示器：8.2米*3.5米 ，物理点间距：≤2.5mm/物理密度160000点/m2；模组尺寸：160mm*320mm m模组点数：64点*128点，发光点颜色：1R1G1B/基色：纯红+纯绿+纯蓝；最佳视距：2.5m～15m  /  最佳视角：水平140±10°，垂直130±10°；工作电压：220V；平均功耗：250 W/m2；最大功耗：750W/㎡；亮度：≥800cd/㎡；亮度均匀性：≥0.95；刷新频率：≥3840Hz；盲点率：≤0.0001，出厂时为0；防护性能：超温/过载/图像补偿/各种校正技术/过流/过压/防雷；灰度等级：红、绿、蓝各 12-16bits；屏体水平和垂直平整度：≤1mm/㎡；接收卡参数：新一代处理内核，支持常规芯片实现高刷新、高灰度、高亮度；全新灰度引擎，低灰度表现更佳；支持1级起灰，支持14bit精度逐点校正、亮度一体化逐点校正；三画面；带载≥390万、横向最大4096、纵向最大4096；输入:1xSDI、1xCVBS、1xVGA、1xDVI、2xHDMI；输出:6x网口；选配：U盘脱机播放、支持无线 投屏、1xAudio、鼠标控制；PLC配电柜≥18KW，配备相应的主电缆线、电源线、网线等，安装调试合格；</w:t>
            </w:r>
          </w:p>
        </w:tc>
        <w:tc>
          <w:tcPr>
            <w:tcW w:w="0" w:type="auto"/>
            <w:noWrap w:val="0"/>
            <w:vAlign w:val="center"/>
          </w:tcPr>
          <w:p w14:paraId="5AB32480">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28.7</w:t>
            </w:r>
          </w:p>
        </w:tc>
        <w:tc>
          <w:tcPr>
            <w:tcW w:w="0" w:type="auto"/>
            <w:noWrap w:val="0"/>
            <w:vAlign w:val="center"/>
          </w:tcPr>
          <w:p w14:paraId="21A0222F">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浐灞雁鸣家园幼儿园</w:t>
            </w:r>
          </w:p>
        </w:tc>
      </w:tr>
      <w:tr w14:paraId="6F0B4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14:paraId="553C3E99">
            <w:pPr>
              <w:keepNext w:val="0"/>
              <w:keepLines w:val="0"/>
              <w:widowControl/>
              <w:suppressLineNumbers w:val="0"/>
              <w:jc w:val="righ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195</w:t>
            </w:r>
          </w:p>
        </w:tc>
        <w:tc>
          <w:tcPr>
            <w:tcW w:w="0" w:type="auto"/>
            <w:noWrap w:val="0"/>
            <w:vAlign w:val="center"/>
          </w:tcPr>
          <w:p w14:paraId="751DDEF2">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LED屏</w:t>
            </w:r>
          </w:p>
        </w:tc>
        <w:tc>
          <w:tcPr>
            <w:tcW w:w="0" w:type="auto"/>
            <w:noWrap w:val="0"/>
            <w:vAlign w:val="center"/>
          </w:tcPr>
          <w:p w14:paraId="2045FDC1">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LED屏</w:t>
            </w:r>
          </w:p>
        </w:tc>
        <w:tc>
          <w:tcPr>
            <w:tcW w:w="0" w:type="auto"/>
            <w:noWrap w:val="0"/>
            <w:vAlign w:val="center"/>
          </w:tcPr>
          <w:p w14:paraId="143EA85A">
            <w:pPr>
              <w:keepNext w:val="0"/>
              <w:keepLines w:val="0"/>
              <w:widowControl/>
              <w:suppressLineNumbers w:val="0"/>
              <w:jc w:val="left"/>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6.3平方米</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室外LED显示屏P10单色，显示面积9米m*0.7m，成品面积9.1m*0.8m，模组尺寸：320mm*160mm，物理点间距：≤10mm物理密度10000dots/㎡，电源200w，单块电源带载8张模组，电源之间的级连线，成品60cm，控制卡1台灰度W62，wife+usb控制，配备相应的主电缆线、电源线、网线等，安装调试合格</w:t>
            </w:r>
          </w:p>
        </w:tc>
        <w:tc>
          <w:tcPr>
            <w:tcW w:w="0" w:type="auto"/>
            <w:noWrap w:val="0"/>
            <w:vAlign w:val="center"/>
          </w:tcPr>
          <w:p w14:paraId="4B09E19A">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6.3</w:t>
            </w:r>
          </w:p>
        </w:tc>
        <w:tc>
          <w:tcPr>
            <w:tcW w:w="0" w:type="auto"/>
            <w:noWrap w:val="0"/>
            <w:vAlign w:val="center"/>
          </w:tcPr>
          <w:p w14:paraId="1BA04CC2">
            <w:pPr>
              <w:keepNext w:val="0"/>
              <w:keepLines w:val="0"/>
              <w:widowControl/>
              <w:suppressLineNumbers w:val="0"/>
              <w:jc w:val="center"/>
              <w:textAlignment w:val="center"/>
              <w:rPr>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浐灞雁鸣家园幼儿园</w:t>
            </w:r>
          </w:p>
        </w:tc>
      </w:tr>
    </w:tbl>
    <w:p w14:paraId="63DFE19E">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b/>
          <w:bCs w:val="0"/>
          <w:color w:val="auto"/>
          <w:sz w:val="24"/>
          <w:szCs w:val="24"/>
          <w:highlight w:val="none"/>
          <w:lang w:val="en-US" w:eastAsia="zh-CN"/>
        </w:rPr>
      </w:pPr>
    </w:p>
    <w:p w14:paraId="1CA06535">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240" w:firstLineChars="100"/>
        <w:jc w:val="both"/>
        <w:textAlignment w:val="auto"/>
        <w:rPr>
          <w:rFonts w:hint="eastAsia" w:ascii="宋体" w:hAnsi="宋体" w:eastAsia="宋体" w:cs="Times New Roman"/>
          <w:b/>
          <w:bCs/>
          <w:sz w:val="24"/>
          <w:szCs w:val="24"/>
          <w:highlight w:val="none"/>
          <w:lang w:val="en-US" w:eastAsia="zh-CN" w:bidi="ar-SA"/>
        </w:rPr>
      </w:pPr>
      <w:r>
        <w:rPr>
          <w:rFonts w:hint="eastAsia" w:ascii="宋体" w:hAnsi="宋体" w:eastAsia="宋体" w:cs="宋体"/>
          <w:b/>
          <w:bCs w:val="0"/>
          <w:color w:val="auto"/>
          <w:sz w:val="24"/>
          <w:szCs w:val="24"/>
          <w:highlight w:val="none"/>
          <w:lang w:val="en-US" w:eastAsia="zh-CN"/>
        </w:rPr>
        <w:t>注：1.如核心产品出现同品牌，按照评审标准“说明1”执行。</w:t>
      </w:r>
    </w:p>
    <w:p w14:paraId="1A90806C">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720" w:firstLineChars="300"/>
        <w:jc w:val="both"/>
        <w:textAlignment w:val="auto"/>
        <w:rPr>
          <w:rFonts w:hint="eastAsia" w:ascii="宋体" w:hAnsi="宋体" w:eastAsia="宋体" w:cs="宋体"/>
          <w:b/>
          <w:bCs w:val="0"/>
          <w:color w:val="auto"/>
          <w:sz w:val="24"/>
          <w:szCs w:val="24"/>
          <w:highlight w:val="none"/>
          <w:lang w:val="en-US" w:eastAsia="zh-CN" w:bidi="ar-SA"/>
        </w:rPr>
      </w:pPr>
      <w:r>
        <w:rPr>
          <w:rFonts w:hint="eastAsia" w:ascii="宋体" w:hAnsi="宋体" w:eastAsia="宋体" w:cs="宋体"/>
          <w:b/>
          <w:bCs w:val="0"/>
          <w:color w:val="auto"/>
          <w:sz w:val="24"/>
          <w:szCs w:val="24"/>
          <w:highlight w:val="none"/>
          <w:lang w:val="en-US" w:eastAsia="zh-CN" w:bidi="ar-SA"/>
        </w:rPr>
        <w:t>2.以上所有尺寸均为参考尺寸，供应商供货时均以学校现场实际及要求为准；定制类产品必须以学校确认过的规格、颜色等为准。供货清单经各学校确认后供货。</w:t>
      </w:r>
    </w:p>
    <w:p w14:paraId="3F4F1083">
      <w:pPr>
        <w:spacing w:line="560" w:lineRule="exact"/>
        <w:jc w:val="both"/>
        <w:rPr>
          <w:rFonts w:hint="eastAsia" w:ascii="宋体" w:hAnsi="宋体" w:eastAsia="宋体" w:cs="宋体"/>
          <w:sz w:val="24"/>
          <w:szCs w:val="24"/>
          <w:highlight w:val="none"/>
        </w:rPr>
      </w:pPr>
      <w:r>
        <w:rPr>
          <w:rFonts w:hint="eastAsia" w:ascii="宋体" w:hAnsi="宋体" w:eastAsia="宋体" w:cs="宋体"/>
          <w:sz w:val="24"/>
          <w:szCs w:val="24"/>
          <w:highlight w:val="none"/>
        </w:rPr>
        <w:br w:type="page"/>
      </w:r>
    </w:p>
    <w:bookmarkEnd w:id="17"/>
    <w:p w14:paraId="13519441">
      <w:pPr>
        <w:pStyle w:val="3"/>
        <w:rPr>
          <w:rFonts w:hint="eastAsia" w:ascii="宋体" w:hAnsi="宋体" w:eastAsia="宋体" w:cs="宋体"/>
          <w:b/>
          <w:bCs/>
          <w:sz w:val="32"/>
          <w:szCs w:val="32"/>
          <w:highlight w:val="none"/>
        </w:rPr>
      </w:pPr>
      <w:bookmarkStart w:id="18" w:name="_Toc5471"/>
      <w:bookmarkStart w:id="19" w:name="_Toc30877"/>
      <w:bookmarkStart w:id="20" w:name="_Toc100219616"/>
      <w:bookmarkStart w:id="21" w:name="_Toc7322"/>
      <w:r>
        <w:rPr>
          <w:rFonts w:hint="eastAsia" w:ascii="宋体" w:hAnsi="宋体" w:eastAsia="宋体" w:cs="宋体"/>
          <w:b/>
          <w:bCs/>
          <w:sz w:val="32"/>
          <w:szCs w:val="32"/>
          <w:highlight w:val="none"/>
        </w:rPr>
        <w:t xml:space="preserve">第四章  </w:t>
      </w:r>
      <w:bookmarkEnd w:id="18"/>
      <w:r>
        <w:rPr>
          <w:rFonts w:hint="eastAsia" w:ascii="宋体" w:hAnsi="宋体" w:eastAsia="宋体" w:cs="宋体"/>
          <w:b/>
          <w:bCs/>
          <w:sz w:val="32"/>
          <w:szCs w:val="32"/>
          <w:highlight w:val="none"/>
        </w:rPr>
        <w:t>商务及合同文本</w:t>
      </w:r>
      <w:bookmarkEnd w:id="19"/>
    </w:p>
    <w:p w14:paraId="2EF942CB">
      <w:pPr>
        <w:keepNext w:val="0"/>
        <w:keepLines w:val="0"/>
        <w:pageBreakBefore w:val="0"/>
        <w:widowControl/>
        <w:kinsoku/>
        <w:wordWrap/>
        <w:overflowPunct/>
        <w:topLinePunct w:val="0"/>
        <w:autoSpaceDE/>
        <w:autoSpaceDN/>
        <w:bidi w:val="0"/>
        <w:adjustRightInd/>
        <w:snapToGrid/>
        <w:spacing w:after="0" w:line="360" w:lineRule="auto"/>
        <w:ind w:left="0" w:right="0" w:firstLine="560" w:firstLineChars="200"/>
        <w:jc w:val="center"/>
        <w:textAlignment w:val="auto"/>
        <w:rPr>
          <w:rFonts w:hint="eastAsia" w:ascii="宋体" w:hAnsi="宋体" w:eastAsia="宋体" w:cs="宋体"/>
          <w:b/>
          <w:bCs/>
          <w:color w:val="000000"/>
          <w:spacing w:val="0"/>
          <w:sz w:val="28"/>
          <w:szCs w:val="28"/>
          <w:highlight w:val="none"/>
          <w:lang w:eastAsia="zh-CN"/>
        </w:rPr>
      </w:pPr>
      <w:r>
        <w:rPr>
          <w:rFonts w:hint="eastAsia" w:ascii="宋体" w:hAnsi="宋体" w:eastAsia="宋体" w:cs="宋体"/>
          <w:b/>
          <w:bCs/>
          <w:color w:val="000000"/>
          <w:spacing w:val="0"/>
          <w:sz w:val="28"/>
          <w:szCs w:val="28"/>
          <w:highlight w:val="none"/>
          <w:lang w:eastAsia="zh-CN"/>
        </w:rPr>
        <w:t>一、商务要求</w:t>
      </w:r>
    </w:p>
    <w:p w14:paraId="11BA73C4">
      <w:pPr>
        <w:keepNext w:val="0"/>
        <w:keepLines w:val="0"/>
        <w:pageBreakBefore w:val="0"/>
        <w:widowControl/>
        <w:kinsoku/>
        <w:wordWrap/>
        <w:overflowPunct/>
        <w:topLinePunct w:val="0"/>
        <w:autoSpaceDE/>
        <w:autoSpaceDN/>
        <w:bidi w:val="0"/>
        <w:adjustRightInd/>
        <w:spacing w:after="0"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（一）交付期：</w:t>
      </w:r>
      <w:r>
        <w:rPr>
          <w:rFonts w:hint="eastAsia" w:ascii="宋体" w:hAnsi="宋体" w:eastAsia="宋体" w:cs="宋体"/>
          <w:i w:val="0"/>
          <w:iCs w:val="0"/>
          <w:caps w:val="0"/>
          <w:color w:val="auto"/>
          <w:spacing w:val="0"/>
          <w:kern w:val="0"/>
          <w:sz w:val="24"/>
          <w:szCs w:val="24"/>
          <w:highlight w:val="none"/>
          <w:u w:val="none"/>
          <w:lang w:val="en-US" w:eastAsia="zh-CN" w:bidi="ar-SA"/>
        </w:rPr>
        <w:t>2025年8月25日前完成供货、安装、调试。</w:t>
      </w:r>
    </w:p>
    <w:p w14:paraId="73382B87">
      <w:pPr>
        <w:keepNext w:val="0"/>
        <w:keepLines w:val="0"/>
        <w:pageBreakBefore w:val="0"/>
        <w:widowControl/>
        <w:kinsoku/>
        <w:wordWrap/>
        <w:overflowPunct/>
        <w:topLinePunct w:val="0"/>
        <w:autoSpaceDE/>
        <w:autoSpaceDN/>
        <w:bidi w:val="0"/>
        <w:adjustRightInd/>
        <w:spacing w:after="0"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（二）交付地点：采购人指定地点。</w:t>
      </w:r>
    </w:p>
    <w:p w14:paraId="5DA6F90F">
      <w:pPr>
        <w:keepNext w:val="0"/>
        <w:keepLines w:val="0"/>
        <w:pageBreakBefore w:val="0"/>
        <w:widowControl/>
        <w:kinsoku/>
        <w:wordWrap/>
        <w:overflowPunct/>
        <w:topLinePunct w:val="0"/>
        <w:autoSpaceDE/>
        <w:autoSpaceDN/>
        <w:bidi w:val="0"/>
        <w:adjustRightInd/>
        <w:spacing w:after="0"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（三）质保期：自终验合格之日起2年。</w:t>
      </w:r>
    </w:p>
    <w:p w14:paraId="38C4DEA2">
      <w:pPr>
        <w:keepNext w:val="0"/>
        <w:keepLines w:val="0"/>
        <w:pageBreakBefore w:val="0"/>
        <w:widowControl/>
        <w:kinsoku/>
        <w:wordWrap/>
        <w:overflowPunct/>
        <w:topLinePunct w:val="0"/>
        <w:autoSpaceDE/>
        <w:autoSpaceDN/>
        <w:bidi w:val="0"/>
        <w:adjustRightInd/>
        <w:spacing w:after="0"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（四）质量要求：符合国家及行业有关现行规范、标准的要求。</w:t>
      </w:r>
    </w:p>
    <w:p w14:paraId="0AD78BDF">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（五）</w:t>
      </w:r>
      <w:r>
        <w:rPr>
          <w:rFonts w:hint="eastAsia" w:ascii="宋体" w:hAnsi="宋体" w:eastAsia="宋体" w:cs="宋体"/>
          <w:bCs/>
          <w:color w:val="auto"/>
          <w:sz w:val="24"/>
          <w:szCs w:val="24"/>
          <w:highlight w:val="none"/>
          <w:lang w:bidi="ar"/>
        </w:rPr>
        <w:t>合同价款包括但不限于货物价款(含通常配备的备品备件、易损件）、软件升级费、人工费、货物（产品）设计费、包装费、仓储费、运输费、装卸费、保险费、安装费、调试费、</w:t>
      </w:r>
      <w:r>
        <w:rPr>
          <w:rFonts w:hint="eastAsia" w:ascii="宋体" w:hAnsi="宋体" w:eastAsia="宋体" w:cs="宋体"/>
          <w:bCs/>
          <w:color w:val="auto"/>
          <w:sz w:val="24"/>
          <w:szCs w:val="24"/>
          <w:highlight w:val="none"/>
          <w:lang w:val="en-US" w:eastAsia="zh-CN" w:bidi="ar"/>
        </w:rPr>
        <w:t>软件服务费、</w:t>
      </w:r>
      <w:r>
        <w:rPr>
          <w:rFonts w:hint="eastAsia" w:ascii="宋体" w:hAnsi="宋体" w:eastAsia="宋体" w:cs="宋体"/>
          <w:bCs/>
          <w:color w:val="auto"/>
          <w:sz w:val="24"/>
          <w:szCs w:val="24"/>
          <w:highlight w:val="none"/>
          <w:lang w:bidi="ar"/>
        </w:rPr>
        <w:t>培训费、线材及配件费、售后服务、验收费、招标代理服务费、利润、风险、税金等在项目实施过程中所发生的所有费用，任何错报、漏报由乙方自行负责。</w:t>
      </w:r>
    </w:p>
    <w:p w14:paraId="13C6723D">
      <w:pPr>
        <w:keepNext w:val="0"/>
        <w:keepLines w:val="0"/>
        <w:pageBreakBefore w:val="0"/>
        <w:widowControl/>
        <w:kinsoku/>
        <w:wordWrap/>
        <w:overflowPunct/>
        <w:topLinePunct w:val="0"/>
        <w:autoSpaceDE/>
        <w:autoSpaceDN/>
        <w:bidi w:val="0"/>
        <w:adjustRightInd/>
        <w:spacing w:after="0"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（六）付款方式</w:t>
      </w:r>
    </w:p>
    <w:p w14:paraId="22844B2E">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Cs/>
          <w:color w:val="000000"/>
          <w:sz w:val="24"/>
          <w:szCs w:val="24"/>
          <w:highlight w:val="none"/>
          <w:lang w:bidi="ar"/>
        </w:rPr>
      </w:pPr>
      <w:r>
        <w:rPr>
          <w:rFonts w:hint="eastAsia" w:ascii="宋体" w:hAnsi="宋体" w:eastAsia="宋体" w:cs="宋体"/>
          <w:bCs/>
          <w:color w:val="000000"/>
          <w:sz w:val="24"/>
          <w:szCs w:val="24"/>
          <w:highlight w:val="none"/>
          <w:lang w:bidi="ar"/>
        </w:rPr>
        <w:t>1</w:t>
      </w:r>
      <w:r>
        <w:rPr>
          <w:rFonts w:hint="eastAsia" w:ascii="宋体" w:hAnsi="宋体" w:eastAsia="宋体" w:cs="宋体"/>
          <w:bCs/>
          <w:color w:val="000000"/>
          <w:sz w:val="24"/>
          <w:szCs w:val="24"/>
          <w:highlight w:val="none"/>
          <w:lang w:eastAsia="zh-CN" w:bidi="ar"/>
        </w:rPr>
        <w:t>.</w:t>
      </w:r>
      <w:r>
        <w:rPr>
          <w:rFonts w:hint="eastAsia" w:ascii="宋体" w:hAnsi="宋体" w:eastAsia="宋体" w:cs="宋体"/>
          <w:bCs/>
          <w:color w:val="000000"/>
          <w:sz w:val="24"/>
          <w:szCs w:val="24"/>
          <w:highlight w:val="none"/>
          <w:lang w:bidi="ar"/>
        </w:rPr>
        <w:t>预付款支付条款：</w:t>
      </w:r>
    </w:p>
    <w:p w14:paraId="25CFC095">
      <w:pPr>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Cs/>
          <w:color w:val="000000"/>
          <w:sz w:val="24"/>
          <w:szCs w:val="24"/>
          <w:highlight w:val="none"/>
          <w:lang w:bidi="ar"/>
        </w:rPr>
      </w:pPr>
      <w:r>
        <w:rPr>
          <w:rFonts w:hint="eastAsia" w:ascii="宋体" w:hAnsi="宋体" w:eastAsia="宋体" w:cs="宋体"/>
          <w:bCs/>
          <w:color w:val="000000"/>
          <w:sz w:val="24"/>
          <w:szCs w:val="24"/>
          <w:highlight w:val="none"/>
          <w:lang w:bidi="ar"/>
        </w:rPr>
        <w:t>（1）本合同设置预付款：</w:t>
      </w:r>
    </w:p>
    <w:p w14:paraId="62CAA578">
      <w:pPr>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Cs/>
          <w:color w:val="000000"/>
          <w:sz w:val="24"/>
          <w:szCs w:val="24"/>
          <w:highlight w:val="none"/>
          <w:lang w:bidi="ar"/>
        </w:rPr>
      </w:pPr>
      <w:r>
        <w:rPr>
          <w:rFonts w:hint="eastAsia" w:ascii="宋体" w:hAnsi="宋体" w:eastAsia="宋体" w:cs="宋体"/>
          <w:bCs/>
          <w:color w:val="000000"/>
          <w:sz w:val="24"/>
          <w:szCs w:val="24"/>
          <w:highlight w:val="none"/>
          <w:lang w:bidi="ar"/>
        </w:rPr>
        <w:t>（2）预付款金额：合同总价的30%；</w:t>
      </w:r>
    </w:p>
    <w:p w14:paraId="33559755">
      <w:pPr>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Cs/>
          <w:color w:val="000000"/>
          <w:sz w:val="24"/>
          <w:szCs w:val="24"/>
          <w:highlight w:val="none"/>
          <w:lang w:bidi="ar"/>
        </w:rPr>
      </w:pPr>
      <w:r>
        <w:rPr>
          <w:rFonts w:hint="eastAsia" w:ascii="宋体" w:hAnsi="宋体" w:eastAsia="宋体" w:cs="宋体"/>
          <w:bCs/>
          <w:color w:val="000000"/>
          <w:sz w:val="24"/>
          <w:szCs w:val="24"/>
          <w:highlight w:val="none"/>
          <w:lang w:bidi="ar"/>
        </w:rPr>
        <w:t>（3）其他：本项目预付款是根据政府采购相关政策规定要求，甲方为帮助乙方解决项目前期启动资金困难，保证乙方更有条件履行合同的保障性支援性资金。乙方应保证该资金用于项目前期各项工作费用，不得挪作他用，若因此项目进展受到影响，乙方承担由此引起的所有责任。</w:t>
      </w:r>
    </w:p>
    <w:p w14:paraId="5811FA5D">
      <w:pPr>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Cs/>
          <w:color w:val="000000"/>
          <w:sz w:val="24"/>
          <w:szCs w:val="24"/>
          <w:highlight w:val="none"/>
          <w:lang w:bidi="ar"/>
        </w:rPr>
      </w:pPr>
      <w:r>
        <w:rPr>
          <w:rFonts w:hint="eastAsia" w:ascii="宋体" w:hAnsi="宋体" w:eastAsia="宋体" w:cs="宋体"/>
          <w:bCs/>
          <w:color w:val="000000"/>
          <w:sz w:val="24"/>
          <w:szCs w:val="24"/>
          <w:highlight w:val="none"/>
          <w:lang w:bidi="ar"/>
        </w:rPr>
        <w:t>2.剩余款项支付条款：</w:t>
      </w:r>
    </w:p>
    <w:p w14:paraId="461A98EF">
      <w:pPr>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Cs/>
          <w:color w:val="000000"/>
          <w:sz w:val="24"/>
          <w:szCs w:val="24"/>
          <w:highlight w:val="none"/>
          <w:lang w:bidi="ar"/>
        </w:rPr>
      </w:pPr>
      <w:r>
        <w:rPr>
          <w:rFonts w:hint="eastAsia" w:ascii="宋体" w:hAnsi="宋体" w:eastAsia="宋体" w:cs="宋体"/>
          <w:bCs/>
          <w:color w:val="000000"/>
          <w:sz w:val="24"/>
          <w:szCs w:val="24"/>
          <w:highlight w:val="none"/>
          <w:lang w:bidi="ar"/>
        </w:rPr>
        <w:t>项目最终验收合格后，支付合同总价的70%。注：乙方应向甲方出具符合国家财税规定的增值税发票，否则甲方有权延迟履行付款义务。如因乙方缘故（如开具增值税发票延误等）导致甲方无法按时付款，甲方不承担违约责任。如遇突发事件，付款日期则以实际付款日期为准。</w:t>
      </w:r>
    </w:p>
    <w:p w14:paraId="3A1A5D27">
      <w:pPr>
        <w:keepLines w:val="0"/>
        <w:pageBreakBefore w:val="0"/>
        <w:kinsoku/>
        <w:wordWrap/>
        <w:overflowPunct/>
        <w:topLinePunct w:val="0"/>
        <w:autoSpaceDE/>
        <w:autoSpaceDN/>
        <w:bidi w:val="0"/>
        <w:spacing w:line="360" w:lineRule="auto"/>
        <w:jc w:val="center"/>
        <w:textAlignment w:val="auto"/>
        <w:rPr>
          <w:rFonts w:hint="eastAsia" w:ascii="宋体" w:hAnsi="宋体" w:eastAsia="宋体" w:cs="宋体"/>
          <w:b/>
          <w:color w:val="000000"/>
          <w:sz w:val="44"/>
          <w:szCs w:val="44"/>
          <w:highlight w:val="none"/>
          <w:u w:val="none"/>
          <w:lang w:val="en-US" w:eastAsia="zh-CN"/>
        </w:rPr>
      </w:pPr>
      <w:r>
        <w:rPr>
          <w:rFonts w:hint="eastAsia" w:ascii="宋体" w:hAnsi="宋体" w:eastAsia="宋体" w:cs="宋体"/>
          <w:b/>
          <w:color w:val="000000"/>
          <w:sz w:val="44"/>
          <w:szCs w:val="44"/>
          <w:highlight w:val="none"/>
          <w:u w:val="none"/>
          <w:lang w:val="en-US" w:eastAsia="zh-CN"/>
        </w:rPr>
        <w:t>2025年全区学校教育教学设施设备采购项目第二批次(信息化及多媒体类部室)</w:t>
      </w:r>
    </w:p>
    <w:p w14:paraId="4269F3CF">
      <w:pPr>
        <w:keepLines w:val="0"/>
        <w:pageBreakBefore w:val="0"/>
        <w:kinsoku/>
        <w:wordWrap/>
        <w:overflowPunct/>
        <w:topLinePunct w:val="0"/>
        <w:autoSpaceDE/>
        <w:autoSpaceDN/>
        <w:bidi w:val="0"/>
        <w:spacing w:line="360" w:lineRule="auto"/>
        <w:jc w:val="center"/>
        <w:textAlignment w:val="auto"/>
        <w:rPr>
          <w:rFonts w:hint="eastAsia" w:ascii="宋体" w:hAnsi="宋体" w:eastAsia="宋体" w:cs="宋体"/>
          <w:b/>
          <w:color w:val="000000"/>
          <w:sz w:val="44"/>
          <w:szCs w:val="44"/>
          <w:highlight w:val="none"/>
          <w:lang w:eastAsia="zh-CN"/>
        </w:rPr>
      </w:pPr>
      <w:r>
        <w:rPr>
          <w:rFonts w:hint="eastAsia" w:ascii="宋体" w:hAnsi="宋体" w:eastAsia="宋体" w:cs="宋体"/>
          <w:b/>
          <w:color w:val="000000"/>
          <w:sz w:val="44"/>
          <w:szCs w:val="44"/>
          <w:highlight w:val="none"/>
          <w:u w:val="none"/>
          <w:lang w:val="en-US" w:eastAsia="zh-CN"/>
        </w:rPr>
        <w:t>第</w:t>
      </w:r>
      <w:r>
        <w:rPr>
          <w:rFonts w:hint="eastAsia" w:ascii="宋体" w:hAnsi="宋体" w:eastAsia="宋体" w:cs="宋体"/>
          <w:b/>
          <w:color w:val="000000"/>
          <w:sz w:val="44"/>
          <w:szCs w:val="44"/>
          <w:highlight w:val="none"/>
          <w:u w:val="single"/>
          <w:lang w:val="en-US" w:eastAsia="zh-CN"/>
        </w:rPr>
        <w:t xml:space="preserve">   </w:t>
      </w:r>
      <w:r>
        <w:rPr>
          <w:rFonts w:hint="eastAsia" w:ascii="宋体" w:hAnsi="宋体" w:eastAsia="宋体" w:cs="宋体"/>
          <w:b/>
          <w:color w:val="000000"/>
          <w:sz w:val="44"/>
          <w:szCs w:val="44"/>
          <w:highlight w:val="none"/>
          <w:lang w:eastAsia="zh-CN"/>
        </w:rPr>
        <w:t>包</w:t>
      </w:r>
    </w:p>
    <w:p w14:paraId="2A1EC583">
      <w:pPr>
        <w:keepLines w:val="0"/>
        <w:pageBreakBefore w:val="0"/>
        <w:kinsoku/>
        <w:wordWrap/>
        <w:overflowPunct/>
        <w:topLinePunct w:val="0"/>
        <w:autoSpaceDE/>
        <w:autoSpaceDN/>
        <w:bidi w:val="0"/>
        <w:spacing w:line="540" w:lineRule="exact"/>
        <w:jc w:val="center"/>
        <w:textAlignment w:val="auto"/>
        <w:rPr>
          <w:rFonts w:hint="eastAsia" w:ascii="宋体" w:hAnsi="宋体" w:eastAsia="宋体" w:cs="宋体"/>
          <w:b/>
          <w:color w:val="000000"/>
          <w:sz w:val="36"/>
          <w:szCs w:val="36"/>
          <w:highlight w:val="none"/>
        </w:rPr>
      </w:pPr>
    </w:p>
    <w:p w14:paraId="50EFA19B">
      <w:pPr>
        <w:keepLines w:val="0"/>
        <w:pageBreakBefore w:val="0"/>
        <w:kinsoku/>
        <w:wordWrap/>
        <w:overflowPunct/>
        <w:topLinePunct w:val="0"/>
        <w:autoSpaceDE/>
        <w:autoSpaceDN/>
        <w:bidi w:val="0"/>
        <w:spacing w:line="540" w:lineRule="exact"/>
        <w:jc w:val="center"/>
        <w:textAlignment w:val="auto"/>
        <w:rPr>
          <w:rFonts w:hint="eastAsia" w:ascii="宋体" w:hAnsi="宋体" w:eastAsia="宋体" w:cs="宋体"/>
          <w:b/>
          <w:color w:val="000000"/>
          <w:sz w:val="36"/>
          <w:szCs w:val="36"/>
          <w:highlight w:val="none"/>
        </w:rPr>
      </w:pPr>
    </w:p>
    <w:p w14:paraId="0C6F2592">
      <w:pPr>
        <w:keepLines w:val="0"/>
        <w:pageBreakBefore w:val="0"/>
        <w:kinsoku/>
        <w:wordWrap/>
        <w:overflowPunct/>
        <w:topLinePunct w:val="0"/>
        <w:autoSpaceDE/>
        <w:autoSpaceDN/>
        <w:bidi w:val="0"/>
        <w:spacing w:line="540" w:lineRule="exact"/>
        <w:jc w:val="center"/>
        <w:textAlignment w:val="auto"/>
        <w:rPr>
          <w:rFonts w:hint="eastAsia" w:ascii="宋体" w:hAnsi="宋体" w:eastAsia="宋体" w:cs="宋体"/>
          <w:b/>
          <w:color w:val="000000"/>
          <w:sz w:val="36"/>
          <w:szCs w:val="36"/>
          <w:highlight w:val="none"/>
        </w:rPr>
      </w:pPr>
      <w:r>
        <w:rPr>
          <w:rFonts w:hint="eastAsia" w:ascii="宋体" w:hAnsi="宋体" w:eastAsia="宋体" w:cs="宋体"/>
          <w:b/>
          <w:color w:val="000000"/>
          <w:sz w:val="36"/>
          <w:szCs w:val="36"/>
          <w:highlight w:val="none"/>
        </w:rPr>
        <w:t>合 同 条 款</w:t>
      </w:r>
    </w:p>
    <w:p w14:paraId="72C4FAA2">
      <w:pPr>
        <w:pStyle w:val="11"/>
        <w:keepLines w:val="0"/>
        <w:pageBreakBefore w:val="0"/>
        <w:kinsoku/>
        <w:wordWrap/>
        <w:overflowPunct/>
        <w:topLinePunct w:val="0"/>
        <w:autoSpaceDE/>
        <w:autoSpaceDN/>
        <w:bidi w:val="0"/>
        <w:spacing w:line="540" w:lineRule="exact"/>
        <w:jc w:val="center"/>
        <w:textAlignment w:val="auto"/>
        <w:rPr>
          <w:rFonts w:hint="eastAsia" w:ascii="宋体" w:hAnsi="宋体" w:eastAsia="宋体" w:cs="宋体"/>
          <w:color w:val="000000"/>
          <w:sz w:val="36"/>
          <w:szCs w:val="36"/>
          <w:highlight w:val="none"/>
        </w:rPr>
      </w:pPr>
      <w:r>
        <w:rPr>
          <w:rFonts w:hint="eastAsia" w:ascii="宋体" w:hAnsi="宋体" w:eastAsia="宋体" w:cs="宋体"/>
          <w:b/>
          <w:color w:val="000000"/>
          <w:kern w:val="0"/>
          <w:sz w:val="36"/>
          <w:szCs w:val="36"/>
          <w:highlight w:val="none"/>
        </w:rPr>
        <w:t>（本格式条款供双方签订合同参考，采购人可根据项目的实际情况增加条款和内容）</w:t>
      </w:r>
    </w:p>
    <w:p w14:paraId="42A62289">
      <w:pPr>
        <w:keepLines w:val="0"/>
        <w:pageBreakBefore w:val="0"/>
        <w:kinsoku/>
        <w:wordWrap/>
        <w:overflowPunct/>
        <w:topLinePunct w:val="0"/>
        <w:autoSpaceDE/>
        <w:autoSpaceDN/>
        <w:bidi w:val="0"/>
        <w:spacing w:line="540" w:lineRule="exact"/>
        <w:jc w:val="center"/>
        <w:textAlignment w:val="auto"/>
        <w:rPr>
          <w:rFonts w:hint="eastAsia" w:ascii="宋体" w:hAnsi="宋体" w:eastAsia="宋体" w:cs="宋体"/>
          <w:b/>
          <w:color w:val="000000"/>
          <w:sz w:val="36"/>
          <w:szCs w:val="36"/>
          <w:highlight w:val="none"/>
        </w:rPr>
      </w:pPr>
    </w:p>
    <w:p w14:paraId="6F30FDDE">
      <w:pPr>
        <w:keepLines w:val="0"/>
        <w:pageBreakBefore w:val="0"/>
        <w:kinsoku/>
        <w:wordWrap/>
        <w:overflowPunct/>
        <w:topLinePunct w:val="0"/>
        <w:autoSpaceDE/>
        <w:autoSpaceDN/>
        <w:bidi w:val="0"/>
        <w:spacing w:line="540" w:lineRule="exact"/>
        <w:jc w:val="center"/>
        <w:textAlignment w:val="auto"/>
        <w:rPr>
          <w:rFonts w:hint="eastAsia" w:ascii="宋体" w:hAnsi="宋体" w:eastAsia="宋体" w:cs="宋体"/>
          <w:b/>
          <w:color w:val="000000"/>
          <w:sz w:val="36"/>
          <w:szCs w:val="36"/>
          <w:highlight w:val="none"/>
        </w:rPr>
      </w:pPr>
    </w:p>
    <w:p w14:paraId="29F8A28A">
      <w:pPr>
        <w:keepLines w:val="0"/>
        <w:pageBreakBefore w:val="0"/>
        <w:kinsoku/>
        <w:wordWrap/>
        <w:overflowPunct/>
        <w:topLinePunct w:val="0"/>
        <w:autoSpaceDE/>
        <w:autoSpaceDN/>
        <w:bidi w:val="0"/>
        <w:spacing w:line="540" w:lineRule="exact"/>
        <w:jc w:val="center"/>
        <w:textAlignment w:val="auto"/>
        <w:rPr>
          <w:rFonts w:hint="eastAsia" w:ascii="宋体" w:hAnsi="宋体" w:eastAsia="宋体" w:cs="宋体"/>
          <w:b/>
          <w:bCs/>
          <w:color w:val="000000"/>
          <w:sz w:val="36"/>
          <w:szCs w:val="36"/>
          <w:highlight w:val="none"/>
        </w:rPr>
      </w:pPr>
      <w:r>
        <w:rPr>
          <w:rFonts w:hint="eastAsia" w:ascii="宋体" w:hAnsi="宋体" w:eastAsia="宋体" w:cs="宋体"/>
          <w:b/>
          <w:color w:val="000000"/>
          <w:sz w:val="36"/>
          <w:szCs w:val="36"/>
          <w:highlight w:val="none"/>
        </w:rPr>
        <w:t>合同编号：</w:t>
      </w:r>
      <w:r>
        <w:rPr>
          <w:rFonts w:hint="eastAsia" w:ascii="宋体" w:hAnsi="宋体" w:eastAsia="宋体" w:cs="宋体"/>
          <w:b/>
          <w:bCs/>
          <w:color w:val="000000"/>
          <w:sz w:val="36"/>
          <w:szCs w:val="36"/>
          <w:highlight w:val="none"/>
        </w:rPr>
        <w:t>XXXX</w:t>
      </w:r>
    </w:p>
    <w:p w14:paraId="057E6611">
      <w:pPr>
        <w:keepLines w:val="0"/>
        <w:pageBreakBefore w:val="0"/>
        <w:kinsoku/>
        <w:wordWrap/>
        <w:overflowPunct/>
        <w:topLinePunct w:val="0"/>
        <w:autoSpaceDE/>
        <w:autoSpaceDN/>
        <w:bidi w:val="0"/>
        <w:spacing w:line="540" w:lineRule="exact"/>
        <w:textAlignment w:val="auto"/>
        <w:rPr>
          <w:rFonts w:hint="eastAsia" w:ascii="宋体" w:hAnsi="宋体" w:eastAsia="宋体" w:cs="宋体"/>
          <w:b/>
          <w:color w:val="000000"/>
          <w:sz w:val="24"/>
          <w:szCs w:val="24"/>
          <w:highlight w:val="none"/>
        </w:rPr>
      </w:pPr>
    </w:p>
    <w:p w14:paraId="1FE03DBB">
      <w:pPr>
        <w:keepLines w:val="0"/>
        <w:pageBreakBefore w:val="0"/>
        <w:kinsoku/>
        <w:wordWrap/>
        <w:overflowPunct/>
        <w:topLinePunct w:val="0"/>
        <w:autoSpaceDE/>
        <w:autoSpaceDN/>
        <w:bidi w:val="0"/>
        <w:spacing w:line="540" w:lineRule="exact"/>
        <w:textAlignment w:val="auto"/>
        <w:rPr>
          <w:rFonts w:hint="eastAsia" w:ascii="宋体" w:hAnsi="宋体" w:eastAsia="宋体" w:cs="宋体"/>
          <w:b/>
          <w:color w:val="000000"/>
          <w:sz w:val="24"/>
          <w:szCs w:val="24"/>
          <w:highlight w:val="none"/>
        </w:rPr>
      </w:pPr>
    </w:p>
    <w:p w14:paraId="571B55A0">
      <w:pPr>
        <w:keepLines w:val="0"/>
        <w:pageBreakBefore w:val="0"/>
        <w:kinsoku/>
        <w:wordWrap/>
        <w:overflowPunct/>
        <w:topLinePunct w:val="0"/>
        <w:autoSpaceDE/>
        <w:autoSpaceDN/>
        <w:bidi w:val="0"/>
        <w:spacing w:line="540" w:lineRule="exact"/>
        <w:textAlignment w:val="auto"/>
        <w:rPr>
          <w:rFonts w:hint="eastAsia" w:ascii="宋体" w:hAnsi="宋体" w:eastAsia="宋体" w:cs="宋体"/>
          <w:b/>
          <w:color w:val="000000"/>
          <w:sz w:val="24"/>
          <w:szCs w:val="24"/>
          <w:highlight w:val="none"/>
        </w:rPr>
      </w:pPr>
    </w:p>
    <w:p w14:paraId="2FD93C38">
      <w:pPr>
        <w:keepLines w:val="0"/>
        <w:pageBreakBefore w:val="0"/>
        <w:widowControl w:val="0"/>
        <w:kinsoku/>
        <w:wordWrap/>
        <w:overflowPunct/>
        <w:topLinePunct w:val="0"/>
        <w:autoSpaceDE/>
        <w:autoSpaceDN/>
        <w:bidi w:val="0"/>
        <w:adjustRightInd/>
        <w:snapToGrid/>
        <w:spacing w:line="540" w:lineRule="exact"/>
        <w:textAlignment w:val="auto"/>
        <w:outlineLvl w:val="9"/>
        <w:rPr>
          <w:rFonts w:hint="eastAsia" w:ascii="宋体" w:hAnsi="宋体" w:eastAsia="宋体" w:cs="宋体"/>
          <w:b/>
          <w:color w:val="000000"/>
          <w:sz w:val="24"/>
          <w:szCs w:val="24"/>
          <w:highlight w:val="none"/>
        </w:rPr>
      </w:pPr>
    </w:p>
    <w:p w14:paraId="38AF8544">
      <w:pPr>
        <w:keepLines w:val="0"/>
        <w:pageBreakBefore w:val="0"/>
        <w:widowControl w:val="0"/>
        <w:kinsoku/>
        <w:wordWrap/>
        <w:overflowPunct/>
        <w:topLinePunct w:val="0"/>
        <w:autoSpaceDE/>
        <w:autoSpaceDN/>
        <w:bidi w:val="0"/>
        <w:adjustRightInd/>
        <w:snapToGrid/>
        <w:spacing w:line="540" w:lineRule="exact"/>
        <w:textAlignment w:val="auto"/>
        <w:outlineLvl w:val="9"/>
        <w:rPr>
          <w:rFonts w:hint="eastAsia" w:ascii="宋体" w:hAnsi="宋体" w:eastAsia="宋体" w:cs="宋体"/>
          <w:b/>
          <w:color w:val="000000"/>
          <w:sz w:val="24"/>
          <w:szCs w:val="24"/>
          <w:highlight w:val="none"/>
        </w:rPr>
      </w:pPr>
    </w:p>
    <w:p w14:paraId="386C0331">
      <w:pPr>
        <w:keepLines w:val="0"/>
        <w:pageBreakBefore w:val="0"/>
        <w:kinsoku/>
        <w:wordWrap/>
        <w:overflowPunct/>
        <w:topLinePunct w:val="0"/>
        <w:autoSpaceDE/>
        <w:autoSpaceDN/>
        <w:bidi w:val="0"/>
        <w:spacing w:line="540" w:lineRule="exact"/>
        <w:textAlignment w:val="auto"/>
        <w:rPr>
          <w:rFonts w:hint="eastAsia" w:ascii="宋体" w:hAnsi="宋体" w:eastAsia="宋体" w:cs="宋体"/>
          <w:color w:val="000000"/>
          <w:sz w:val="24"/>
          <w:szCs w:val="24"/>
          <w:highlight w:val="none"/>
        </w:rPr>
      </w:pPr>
    </w:p>
    <w:p w14:paraId="59162CE9">
      <w:pPr>
        <w:keepNext w:val="0"/>
        <w:keepLines w:val="0"/>
        <w:pageBreakBefore w:val="0"/>
        <w:widowControl/>
        <w:kinsoku/>
        <w:wordWrap/>
        <w:overflowPunct/>
        <w:topLinePunct w:val="0"/>
        <w:autoSpaceDE/>
        <w:autoSpaceDN/>
        <w:bidi w:val="0"/>
        <w:adjustRightInd/>
        <w:snapToGrid/>
        <w:spacing w:line="540" w:lineRule="exact"/>
        <w:textAlignment w:val="auto"/>
        <w:outlineLvl w:val="9"/>
        <w:rPr>
          <w:rFonts w:hint="eastAsia" w:ascii="宋体" w:hAnsi="宋体" w:eastAsia="宋体" w:cs="宋体"/>
          <w:color w:val="000000"/>
          <w:sz w:val="24"/>
          <w:szCs w:val="24"/>
          <w:highlight w:val="none"/>
        </w:rPr>
      </w:pPr>
    </w:p>
    <w:p w14:paraId="72F9B582">
      <w:pPr>
        <w:keepLines w:val="0"/>
        <w:pageBreakBefore w:val="0"/>
        <w:kinsoku/>
        <w:wordWrap/>
        <w:overflowPunct/>
        <w:topLinePunct w:val="0"/>
        <w:autoSpaceDE/>
        <w:autoSpaceDN/>
        <w:bidi w:val="0"/>
        <w:spacing w:line="540" w:lineRule="exact"/>
        <w:textAlignment w:val="auto"/>
        <w:rPr>
          <w:rFonts w:hint="eastAsia" w:ascii="宋体" w:hAnsi="宋体" w:eastAsia="宋体" w:cs="宋体"/>
          <w:sz w:val="24"/>
          <w:szCs w:val="24"/>
          <w:highlight w:val="none"/>
        </w:rPr>
      </w:pPr>
    </w:p>
    <w:p w14:paraId="2AA5DEF8">
      <w:pPr>
        <w:keepLines w:val="0"/>
        <w:pageBreakBefore w:val="0"/>
        <w:kinsoku/>
        <w:wordWrap/>
        <w:overflowPunct/>
        <w:topLinePunct w:val="0"/>
        <w:autoSpaceDE/>
        <w:autoSpaceDN/>
        <w:bidi w:val="0"/>
        <w:spacing w:line="540" w:lineRule="exact"/>
        <w:ind w:left="1469" w:hanging="1464" w:hangingChars="400"/>
        <w:jc w:val="center"/>
        <w:textAlignment w:val="auto"/>
        <w:rPr>
          <w:rFonts w:hint="eastAsia" w:ascii="宋体" w:hAnsi="宋体" w:eastAsia="宋体" w:cs="宋体"/>
          <w:b/>
          <w:color w:val="000000"/>
          <w:spacing w:val="23"/>
          <w:sz w:val="32"/>
          <w:szCs w:val="32"/>
          <w:highlight w:val="none"/>
        </w:rPr>
      </w:pPr>
      <w:r>
        <w:rPr>
          <w:rFonts w:hint="eastAsia" w:ascii="宋体" w:hAnsi="宋体" w:eastAsia="宋体" w:cs="宋体"/>
          <w:b/>
          <w:color w:val="000000"/>
          <w:spacing w:val="23"/>
          <w:sz w:val="32"/>
          <w:szCs w:val="32"/>
          <w:highlight w:val="none"/>
        </w:rPr>
        <w:t>甲方(</w:t>
      </w:r>
      <w:r>
        <w:rPr>
          <w:rFonts w:hint="eastAsia" w:ascii="宋体" w:hAnsi="宋体" w:eastAsia="宋体" w:cs="宋体"/>
          <w:b/>
          <w:color w:val="000000"/>
          <w:spacing w:val="23"/>
          <w:sz w:val="32"/>
          <w:szCs w:val="32"/>
          <w:highlight w:val="none"/>
          <w:lang w:val="en-US" w:eastAsia="zh-CN"/>
        </w:rPr>
        <w:t>**学校</w:t>
      </w:r>
      <w:r>
        <w:rPr>
          <w:rFonts w:hint="eastAsia" w:ascii="宋体" w:hAnsi="宋体" w:eastAsia="宋体" w:cs="宋体"/>
          <w:b/>
          <w:color w:val="000000"/>
          <w:spacing w:val="23"/>
          <w:sz w:val="32"/>
          <w:szCs w:val="32"/>
          <w:highlight w:val="none"/>
        </w:rPr>
        <w:t>)：</w:t>
      </w:r>
      <w:r>
        <w:rPr>
          <w:rFonts w:hint="eastAsia" w:ascii="宋体" w:hAnsi="宋体" w:eastAsia="宋体" w:cs="宋体"/>
          <w:color w:val="000000"/>
          <w:spacing w:val="23"/>
          <w:sz w:val="32"/>
          <w:szCs w:val="32"/>
          <w:highlight w:val="none"/>
          <w:u w:val="single"/>
        </w:rPr>
        <w:t></w:t>
      </w:r>
    </w:p>
    <w:p w14:paraId="00A57612">
      <w:pPr>
        <w:keepLines w:val="0"/>
        <w:pageBreakBefore w:val="0"/>
        <w:kinsoku/>
        <w:wordWrap/>
        <w:overflowPunct/>
        <w:topLinePunct w:val="0"/>
        <w:autoSpaceDE/>
        <w:autoSpaceDN/>
        <w:bidi w:val="0"/>
        <w:spacing w:line="540" w:lineRule="exact"/>
        <w:ind w:left="1285" w:hanging="1464" w:hangingChars="400"/>
        <w:jc w:val="center"/>
        <w:textAlignment w:val="auto"/>
        <w:rPr>
          <w:rFonts w:hint="eastAsia" w:ascii="宋体" w:hAnsi="宋体" w:eastAsia="宋体" w:cs="宋体"/>
          <w:color w:val="000000"/>
          <w:spacing w:val="23"/>
          <w:sz w:val="32"/>
          <w:szCs w:val="32"/>
          <w:highlight w:val="none"/>
          <w:u w:val="single"/>
        </w:rPr>
      </w:pPr>
      <w:r>
        <w:rPr>
          <w:rFonts w:hint="eastAsia" w:ascii="宋体" w:hAnsi="宋体" w:eastAsia="宋体" w:cs="宋体"/>
          <w:b/>
          <w:color w:val="000000"/>
          <w:spacing w:val="23"/>
          <w:sz w:val="32"/>
          <w:szCs w:val="32"/>
          <w:highlight w:val="none"/>
        </w:rPr>
        <w:fldChar w:fldCharType="begin"/>
      </w:r>
      <w:r>
        <w:rPr>
          <w:rFonts w:hint="eastAsia" w:ascii="宋体" w:hAnsi="宋体" w:eastAsia="宋体" w:cs="宋体"/>
          <w:b/>
          <w:color w:val="000000"/>
          <w:spacing w:val="23"/>
          <w:sz w:val="32"/>
          <w:szCs w:val="32"/>
          <w:highlight w:val="none"/>
        </w:rPr>
        <w:instrText xml:space="preserve">HYPERLINK "http://set2.mail.qq.com/cgi-bin/mail_spam?action=check_link&amp;spam=0&amp;url=http%3A%2F%2Fwww%2Ebaidu%2Ecom%2Fs%3Fwd%3D%25E4%25B9%2599%25E6%2596%25B9%26hl_tag%3Dtextlink%26tn%3DSE_hldp01350_v6v6zkg6"</w:instrText>
      </w:r>
      <w:r>
        <w:rPr>
          <w:rFonts w:hint="eastAsia" w:ascii="宋体" w:hAnsi="宋体" w:eastAsia="宋体" w:cs="宋体"/>
          <w:b/>
          <w:color w:val="000000"/>
          <w:spacing w:val="23"/>
          <w:sz w:val="32"/>
          <w:szCs w:val="32"/>
          <w:highlight w:val="none"/>
        </w:rPr>
        <w:fldChar w:fldCharType="separate"/>
      </w:r>
      <w:r>
        <w:rPr>
          <w:rFonts w:hint="eastAsia" w:ascii="宋体" w:hAnsi="宋体" w:eastAsia="宋体" w:cs="宋体"/>
          <w:b/>
          <w:color w:val="000000"/>
          <w:spacing w:val="23"/>
          <w:sz w:val="32"/>
          <w:szCs w:val="32"/>
          <w:highlight w:val="none"/>
        </w:rPr>
        <w:t>乙方</w:t>
      </w:r>
      <w:r>
        <w:rPr>
          <w:rFonts w:hint="eastAsia" w:ascii="宋体" w:hAnsi="宋体" w:eastAsia="宋体" w:cs="宋体"/>
          <w:b/>
          <w:color w:val="000000"/>
          <w:spacing w:val="23"/>
          <w:sz w:val="32"/>
          <w:szCs w:val="32"/>
          <w:highlight w:val="none"/>
        </w:rPr>
        <w:fldChar w:fldCharType="end"/>
      </w:r>
      <w:r>
        <w:rPr>
          <w:rFonts w:hint="eastAsia" w:ascii="宋体" w:hAnsi="宋体" w:eastAsia="宋体" w:cs="宋体"/>
          <w:b/>
          <w:color w:val="000000"/>
          <w:spacing w:val="23"/>
          <w:sz w:val="32"/>
          <w:szCs w:val="32"/>
          <w:highlight w:val="none"/>
        </w:rPr>
        <w:t>(供应商)：</w:t>
      </w:r>
      <w:r>
        <w:rPr>
          <w:rFonts w:hint="eastAsia" w:ascii="宋体" w:hAnsi="宋体" w:eastAsia="宋体" w:cs="宋体"/>
          <w:color w:val="000000"/>
          <w:spacing w:val="23"/>
          <w:sz w:val="32"/>
          <w:szCs w:val="32"/>
          <w:highlight w:val="none"/>
          <w:u w:val="single"/>
        </w:rPr>
        <w:t></w:t>
      </w:r>
    </w:p>
    <w:p w14:paraId="4D7D5F89">
      <w:pPr>
        <w:keepLines w:val="0"/>
        <w:pageBreakBefore w:val="0"/>
        <w:kinsoku/>
        <w:wordWrap/>
        <w:overflowPunct/>
        <w:topLinePunct w:val="0"/>
        <w:autoSpaceDE/>
        <w:autoSpaceDN/>
        <w:bidi w:val="0"/>
        <w:spacing w:line="540" w:lineRule="exact"/>
        <w:jc w:val="center"/>
        <w:textAlignment w:val="auto"/>
        <w:rPr>
          <w:rFonts w:hint="eastAsia" w:ascii="宋体" w:hAnsi="宋体" w:eastAsia="宋体" w:cs="宋体"/>
          <w:color w:val="000000"/>
          <w:sz w:val="32"/>
          <w:szCs w:val="32"/>
          <w:highlight w:val="none"/>
        </w:rPr>
      </w:pPr>
      <w:r>
        <w:rPr>
          <w:rFonts w:hint="eastAsia" w:ascii="宋体" w:hAnsi="宋体" w:eastAsia="宋体" w:cs="宋体"/>
          <w:b/>
          <w:color w:val="000000"/>
          <w:spacing w:val="23"/>
          <w:sz w:val="32"/>
          <w:szCs w:val="32"/>
          <w:highlight w:val="none"/>
        </w:rPr>
        <w:t>签订时间：</w:t>
      </w:r>
      <w:r>
        <w:rPr>
          <w:rFonts w:hint="eastAsia" w:ascii="宋体" w:hAnsi="宋体" w:eastAsia="宋体" w:cs="宋体"/>
          <w:color w:val="000000"/>
          <w:spacing w:val="23"/>
          <w:sz w:val="32"/>
          <w:szCs w:val="32"/>
          <w:highlight w:val="none"/>
          <w:u w:val="single"/>
        </w:rPr>
        <w:t></w:t>
      </w:r>
      <w:r>
        <w:rPr>
          <w:rFonts w:hint="eastAsia" w:ascii="宋体" w:hAnsi="宋体" w:eastAsia="宋体" w:cs="宋体"/>
          <w:b/>
          <w:color w:val="000000"/>
          <w:spacing w:val="23"/>
          <w:sz w:val="32"/>
          <w:szCs w:val="32"/>
          <w:highlight w:val="none"/>
        </w:rPr>
        <w:t>年</w:t>
      </w:r>
      <w:r>
        <w:rPr>
          <w:rFonts w:hint="eastAsia" w:ascii="宋体" w:hAnsi="宋体" w:eastAsia="宋体" w:cs="宋体"/>
          <w:color w:val="000000"/>
          <w:spacing w:val="23"/>
          <w:sz w:val="32"/>
          <w:szCs w:val="32"/>
          <w:highlight w:val="none"/>
          <w:u w:val="single"/>
        </w:rPr>
        <w:t></w:t>
      </w:r>
      <w:r>
        <w:rPr>
          <w:rFonts w:hint="eastAsia" w:ascii="宋体" w:hAnsi="宋体" w:eastAsia="宋体" w:cs="宋体"/>
          <w:b/>
          <w:color w:val="000000"/>
          <w:spacing w:val="23"/>
          <w:sz w:val="32"/>
          <w:szCs w:val="32"/>
          <w:highlight w:val="none"/>
        </w:rPr>
        <w:t>月</w:t>
      </w:r>
      <w:r>
        <w:rPr>
          <w:rFonts w:hint="eastAsia" w:ascii="宋体" w:hAnsi="宋体" w:eastAsia="宋体" w:cs="宋体"/>
          <w:color w:val="000000"/>
          <w:spacing w:val="23"/>
          <w:sz w:val="32"/>
          <w:szCs w:val="32"/>
          <w:highlight w:val="none"/>
          <w:u w:val="single"/>
        </w:rPr>
        <w:t></w:t>
      </w:r>
      <w:r>
        <w:rPr>
          <w:rFonts w:hint="eastAsia" w:ascii="宋体" w:hAnsi="宋体" w:eastAsia="宋体" w:cs="宋体"/>
          <w:b/>
          <w:color w:val="000000"/>
          <w:spacing w:val="23"/>
          <w:sz w:val="32"/>
          <w:szCs w:val="32"/>
          <w:highlight w:val="none"/>
        </w:rPr>
        <w:t>日</w:t>
      </w:r>
    </w:p>
    <w:p w14:paraId="4149655F">
      <w:pPr>
        <w:rPr>
          <w:rFonts w:hint="eastAsia" w:ascii="宋体" w:hAnsi="宋体" w:eastAsia="宋体" w:cs="宋体"/>
          <w:b/>
          <w:color w:val="000000"/>
          <w:sz w:val="24"/>
          <w:szCs w:val="24"/>
          <w:highlight w:val="none"/>
          <w:lang w:bidi="ar"/>
        </w:rPr>
      </w:pPr>
      <w:r>
        <w:rPr>
          <w:rFonts w:hint="eastAsia" w:ascii="宋体" w:hAnsi="宋体" w:eastAsia="宋体" w:cs="宋体"/>
          <w:b/>
          <w:color w:val="000000"/>
          <w:sz w:val="24"/>
          <w:szCs w:val="24"/>
          <w:highlight w:val="none"/>
          <w:lang w:bidi="ar"/>
        </w:rPr>
        <w:br w:type="page"/>
      </w:r>
    </w:p>
    <w:p w14:paraId="3C5CF15F">
      <w:pPr>
        <w:shd w:val="clear" w:color="auto" w:fill="auto"/>
        <w:spacing w:line="360" w:lineRule="auto"/>
        <w:jc w:val="center"/>
        <w:outlineLvl w:val="9"/>
        <w:rPr>
          <w:rFonts w:hint="eastAsia" w:ascii="宋体" w:hAnsi="宋体" w:eastAsia="宋体" w:cs="宋体"/>
          <w:b/>
          <w:bCs/>
          <w:color w:val="auto"/>
          <w:sz w:val="24"/>
          <w:szCs w:val="24"/>
          <w:highlight w:val="none"/>
          <w:lang w:val="zh-CN"/>
        </w:rPr>
      </w:pPr>
      <w:r>
        <w:rPr>
          <w:rFonts w:hint="eastAsia" w:ascii="宋体" w:hAnsi="宋体" w:eastAsia="宋体" w:cs="宋体"/>
          <w:b/>
          <w:color w:val="auto"/>
          <w:kern w:val="44"/>
          <w:sz w:val="32"/>
          <w:highlight w:val="none"/>
        </w:rPr>
        <w:t>拟签订的合同</w:t>
      </w:r>
      <w:bookmarkStart w:id="22" w:name="_Hlt487972895"/>
      <w:bookmarkEnd w:id="22"/>
      <w:bookmarkStart w:id="23" w:name="_Toc216513788"/>
      <w:bookmarkStart w:id="24" w:name="_Toc487900382"/>
      <w:r>
        <w:rPr>
          <w:rFonts w:hint="eastAsia" w:ascii="宋体" w:hAnsi="宋体" w:eastAsia="宋体" w:cs="宋体"/>
          <w:b/>
          <w:color w:val="auto"/>
          <w:kern w:val="44"/>
          <w:sz w:val="32"/>
          <w:highlight w:val="none"/>
        </w:rPr>
        <w:t>文本</w:t>
      </w:r>
      <w:bookmarkEnd w:id="23"/>
      <w:bookmarkEnd w:id="24"/>
    </w:p>
    <w:p w14:paraId="63FB071E">
      <w:pPr>
        <w:tabs>
          <w:tab w:val="left" w:pos="735"/>
        </w:tabs>
        <w:autoSpaceDE w:val="0"/>
        <w:autoSpaceDN w:val="0"/>
        <w:adjustRightInd w:val="0"/>
        <w:snapToGrid w:val="0"/>
        <w:spacing w:before="240" w:beforeLines="100" w:line="360" w:lineRule="auto"/>
        <w:ind w:firstLine="480" w:firstLineChars="200"/>
        <w:rPr>
          <w:rFonts w:hint="eastAsia" w:ascii="宋体" w:hAnsi="宋体" w:eastAsia="宋体" w:cs="宋体"/>
          <w:b/>
          <w:bCs/>
          <w:color w:val="auto"/>
          <w:sz w:val="24"/>
          <w:szCs w:val="24"/>
          <w:highlight w:val="none"/>
          <w:lang w:val="zh-CN"/>
        </w:rPr>
      </w:pPr>
      <w:r>
        <w:rPr>
          <w:rFonts w:hint="eastAsia" w:ascii="宋体" w:hAnsi="宋体" w:eastAsia="宋体" w:cs="宋体"/>
          <w:b/>
          <w:bCs/>
          <w:color w:val="auto"/>
          <w:sz w:val="24"/>
          <w:szCs w:val="24"/>
          <w:highlight w:val="none"/>
          <w:lang w:val="zh-CN"/>
        </w:rPr>
        <w:t>甲方：</w:t>
      </w:r>
      <w:r>
        <w:rPr>
          <w:rFonts w:hint="eastAsia" w:ascii="宋体" w:hAnsi="宋体" w:eastAsia="宋体" w:cs="宋体"/>
          <w:bCs/>
          <w:color w:val="auto"/>
          <w:sz w:val="24"/>
          <w:szCs w:val="24"/>
          <w:highlight w:val="none"/>
          <w:lang w:val="zh-CN"/>
        </w:rPr>
        <w:t>（前款所称采购人）     住所：</w:t>
      </w:r>
    </w:p>
    <w:p w14:paraId="6DE86362">
      <w:pPr>
        <w:tabs>
          <w:tab w:val="left" w:pos="735"/>
        </w:tabs>
        <w:autoSpaceDE w:val="0"/>
        <w:autoSpaceDN w:val="0"/>
        <w:adjustRightInd w:val="0"/>
        <w:snapToGrid w:val="0"/>
        <w:spacing w:line="360" w:lineRule="auto"/>
        <w:ind w:firstLine="480" w:firstLineChars="200"/>
        <w:rPr>
          <w:rFonts w:hint="eastAsia" w:ascii="宋体" w:hAnsi="宋体" w:eastAsia="宋体" w:cs="宋体"/>
          <w:bCs/>
          <w:color w:val="auto"/>
          <w:sz w:val="24"/>
          <w:szCs w:val="24"/>
          <w:highlight w:val="none"/>
          <w:lang w:val="zh-CN"/>
        </w:rPr>
      </w:pPr>
      <w:r>
        <w:rPr>
          <w:rFonts w:hint="eastAsia" w:ascii="宋体" w:hAnsi="宋体" w:eastAsia="宋体" w:cs="宋体"/>
          <w:b/>
          <w:bCs/>
          <w:color w:val="auto"/>
          <w:sz w:val="24"/>
          <w:szCs w:val="24"/>
          <w:highlight w:val="none"/>
          <w:lang w:val="zh-CN"/>
        </w:rPr>
        <w:t>乙方：</w:t>
      </w:r>
      <w:r>
        <w:rPr>
          <w:rFonts w:hint="eastAsia" w:ascii="宋体" w:hAnsi="宋体" w:eastAsia="宋体" w:cs="宋体"/>
          <w:bCs/>
          <w:color w:val="auto"/>
          <w:sz w:val="24"/>
          <w:szCs w:val="24"/>
          <w:highlight w:val="none"/>
          <w:lang w:val="zh-CN"/>
        </w:rPr>
        <w:t>（前款所称中标人）     住所：</w:t>
      </w:r>
    </w:p>
    <w:p w14:paraId="55F84C20">
      <w:pPr>
        <w:tabs>
          <w:tab w:val="left" w:pos="735"/>
        </w:tabs>
        <w:autoSpaceDE w:val="0"/>
        <w:autoSpaceDN w:val="0"/>
        <w:adjustRightInd w:val="0"/>
        <w:snapToGrid w:val="0"/>
        <w:spacing w:line="360" w:lineRule="auto"/>
        <w:ind w:firstLine="480" w:firstLineChars="200"/>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注：本项目由西安浐灞国际港教育局统一组织实施采购，确定中标供应商后由中标供应商与各学校分别签订采购合同</w:t>
      </w:r>
      <w:r>
        <w:rPr>
          <w:rFonts w:hint="eastAsia" w:ascii="宋体" w:hAnsi="宋体" w:eastAsia="宋体" w:cs="宋体"/>
          <w:color w:val="auto"/>
          <w:sz w:val="24"/>
          <w:szCs w:val="24"/>
          <w:highlight w:val="none"/>
          <w:lang w:eastAsia="zh-CN"/>
        </w:rPr>
        <w:t>。</w:t>
      </w:r>
    </w:p>
    <w:p w14:paraId="2A4E0612">
      <w:pPr>
        <w:adjustRightInd w:val="0"/>
        <w:snapToGrid w:val="0"/>
        <w:spacing w:line="360" w:lineRule="auto"/>
        <w:ind w:firstLine="480" w:firstLineChars="200"/>
        <w:rPr>
          <w:rFonts w:hint="eastAsia" w:ascii="宋体" w:hAnsi="宋体" w:eastAsia="宋体" w:cs="宋体"/>
          <w:color w:val="auto"/>
          <w:sz w:val="24"/>
          <w:szCs w:val="24"/>
          <w:highlight w:val="none"/>
        </w:rPr>
      </w:pPr>
      <w:bookmarkStart w:id="25" w:name="_Toc19515384"/>
      <w:r>
        <w:rPr>
          <w:rFonts w:hint="eastAsia" w:ascii="宋体" w:hAnsi="宋体" w:eastAsia="宋体" w:cs="宋体"/>
          <w:color w:val="auto"/>
          <w:sz w:val="24"/>
          <w:szCs w:val="24"/>
          <w:highlight w:val="none"/>
        </w:rPr>
        <w:t>一、合同内容（标的、数量、规格等）:</w:t>
      </w:r>
      <w:bookmarkEnd w:id="25"/>
    </w:p>
    <w:p w14:paraId="1A134EA1">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供货清单：</w:t>
      </w:r>
    </w:p>
    <w:tbl>
      <w:tblPr>
        <w:tblStyle w:val="2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2"/>
        <w:gridCol w:w="1503"/>
        <w:gridCol w:w="1550"/>
        <w:gridCol w:w="1181"/>
        <w:gridCol w:w="1048"/>
        <w:gridCol w:w="1345"/>
        <w:gridCol w:w="1037"/>
        <w:gridCol w:w="924"/>
      </w:tblGrid>
      <w:tr w14:paraId="2EA8B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485" w:type="pct"/>
            <w:noWrap w:val="0"/>
            <w:vAlign w:val="center"/>
          </w:tcPr>
          <w:p w14:paraId="6E5CF778">
            <w:pPr>
              <w:adjustRightInd w:val="0"/>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790" w:type="pct"/>
            <w:noWrap w:val="0"/>
            <w:vAlign w:val="center"/>
          </w:tcPr>
          <w:p w14:paraId="63E7FD43">
            <w:pPr>
              <w:adjustRightInd w:val="0"/>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产品</w:t>
            </w:r>
          </w:p>
          <w:p w14:paraId="730C3A33">
            <w:pPr>
              <w:adjustRightInd w:val="0"/>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名称</w:t>
            </w:r>
          </w:p>
        </w:tc>
        <w:tc>
          <w:tcPr>
            <w:tcW w:w="815" w:type="pct"/>
            <w:noWrap w:val="0"/>
            <w:vAlign w:val="center"/>
          </w:tcPr>
          <w:p w14:paraId="730678D9">
            <w:pPr>
              <w:adjustRightInd w:val="0"/>
              <w:snapToGrid w:val="0"/>
              <w:spacing w:line="360" w:lineRule="auto"/>
              <w:jc w:val="center"/>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规格</w:t>
            </w:r>
          </w:p>
          <w:p w14:paraId="65CB39DF">
            <w:pPr>
              <w:adjustRightInd w:val="0"/>
              <w:snapToGrid w:val="0"/>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参数</w:t>
            </w:r>
          </w:p>
        </w:tc>
        <w:tc>
          <w:tcPr>
            <w:tcW w:w="621" w:type="pct"/>
            <w:noWrap w:val="0"/>
            <w:vAlign w:val="center"/>
          </w:tcPr>
          <w:p w14:paraId="75A5D77B">
            <w:pPr>
              <w:adjustRightInd w:val="0"/>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制造</w:t>
            </w:r>
          </w:p>
          <w:p w14:paraId="56D068EC">
            <w:pPr>
              <w:adjustRightInd w:val="0"/>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厂家</w:t>
            </w:r>
          </w:p>
        </w:tc>
        <w:tc>
          <w:tcPr>
            <w:tcW w:w="551" w:type="pct"/>
            <w:noWrap w:val="0"/>
            <w:vAlign w:val="center"/>
          </w:tcPr>
          <w:p w14:paraId="4244C572">
            <w:pPr>
              <w:adjustRightInd w:val="0"/>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数量</w:t>
            </w:r>
          </w:p>
        </w:tc>
        <w:tc>
          <w:tcPr>
            <w:tcW w:w="707" w:type="pct"/>
            <w:noWrap w:val="0"/>
            <w:vAlign w:val="center"/>
          </w:tcPr>
          <w:p w14:paraId="1C96625C">
            <w:pPr>
              <w:adjustRightInd w:val="0"/>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单价</w:t>
            </w:r>
          </w:p>
        </w:tc>
        <w:tc>
          <w:tcPr>
            <w:tcW w:w="545" w:type="pct"/>
            <w:noWrap w:val="0"/>
            <w:vAlign w:val="center"/>
          </w:tcPr>
          <w:p w14:paraId="087B393C">
            <w:pPr>
              <w:adjustRightInd w:val="0"/>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小计</w:t>
            </w:r>
          </w:p>
        </w:tc>
        <w:tc>
          <w:tcPr>
            <w:tcW w:w="482" w:type="pct"/>
            <w:noWrap w:val="0"/>
            <w:vAlign w:val="center"/>
          </w:tcPr>
          <w:p w14:paraId="45DE1A59">
            <w:pPr>
              <w:adjustRightInd w:val="0"/>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备注</w:t>
            </w:r>
          </w:p>
        </w:tc>
      </w:tr>
      <w:tr w14:paraId="49BEE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485" w:type="pct"/>
            <w:noWrap w:val="0"/>
            <w:vAlign w:val="center"/>
          </w:tcPr>
          <w:p w14:paraId="5A43D391">
            <w:pPr>
              <w:adjustRightInd w:val="0"/>
              <w:snapToGrid w:val="0"/>
              <w:spacing w:line="360" w:lineRule="auto"/>
              <w:rPr>
                <w:rFonts w:hint="eastAsia" w:ascii="宋体" w:hAnsi="宋体" w:eastAsia="宋体" w:cs="宋体"/>
                <w:color w:val="auto"/>
                <w:sz w:val="24"/>
                <w:szCs w:val="24"/>
                <w:highlight w:val="none"/>
              </w:rPr>
            </w:pPr>
          </w:p>
        </w:tc>
        <w:tc>
          <w:tcPr>
            <w:tcW w:w="790" w:type="pct"/>
            <w:noWrap w:val="0"/>
            <w:vAlign w:val="center"/>
          </w:tcPr>
          <w:p w14:paraId="7FAC62F4">
            <w:pPr>
              <w:adjustRightInd w:val="0"/>
              <w:snapToGrid w:val="0"/>
              <w:spacing w:line="360" w:lineRule="auto"/>
              <w:rPr>
                <w:rFonts w:hint="eastAsia" w:ascii="宋体" w:hAnsi="宋体" w:eastAsia="宋体" w:cs="宋体"/>
                <w:color w:val="auto"/>
                <w:sz w:val="24"/>
                <w:szCs w:val="24"/>
                <w:highlight w:val="none"/>
              </w:rPr>
            </w:pPr>
          </w:p>
        </w:tc>
        <w:tc>
          <w:tcPr>
            <w:tcW w:w="815" w:type="pct"/>
            <w:noWrap w:val="0"/>
            <w:vAlign w:val="top"/>
          </w:tcPr>
          <w:p w14:paraId="48EB7F9D">
            <w:pPr>
              <w:adjustRightInd w:val="0"/>
              <w:snapToGrid w:val="0"/>
              <w:spacing w:line="360" w:lineRule="auto"/>
              <w:rPr>
                <w:rFonts w:hint="eastAsia" w:ascii="宋体" w:hAnsi="宋体" w:eastAsia="宋体" w:cs="宋体"/>
                <w:color w:val="auto"/>
                <w:sz w:val="24"/>
                <w:szCs w:val="24"/>
                <w:highlight w:val="none"/>
              </w:rPr>
            </w:pPr>
          </w:p>
        </w:tc>
        <w:tc>
          <w:tcPr>
            <w:tcW w:w="621" w:type="pct"/>
            <w:noWrap w:val="0"/>
            <w:vAlign w:val="top"/>
          </w:tcPr>
          <w:p w14:paraId="5487EC5C">
            <w:pPr>
              <w:adjustRightInd w:val="0"/>
              <w:snapToGrid w:val="0"/>
              <w:spacing w:line="360" w:lineRule="auto"/>
              <w:rPr>
                <w:rFonts w:hint="eastAsia" w:ascii="宋体" w:hAnsi="宋体" w:eastAsia="宋体" w:cs="宋体"/>
                <w:color w:val="auto"/>
                <w:sz w:val="24"/>
                <w:szCs w:val="24"/>
                <w:highlight w:val="none"/>
              </w:rPr>
            </w:pPr>
          </w:p>
        </w:tc>
        <w:tc>
          <w:tcPr>
            <w:tcW w:w="551" w:type="pct"/>
            <w:noWrap w:val="0"/>
            <w:vAlign w:val="center"/>
          </w:tcPr>
          <w:p w14:paraId="33674D82">
            <w:pPr>
              <w:adjustRightInd w:val="0"/>
              <w:snapToGrid w:val="0"/>
              <w:spacing w:line="360" w:lineRule="auto"/>
              <w:rPr>
                <w:rFonts w:hint="eastAsia" w:ascii="宋体" w:hAnsi="宋体" w:eastAsia="宋体" w:cs="宋体"/>
                <w:color w:val="auto"/>
                <w:sz w:val="24"/>
                <w:szCs w:val="24"/>
                <w:highlight w:val="none"/>
              </w:rPr>
            </w:pPr>
          </w:p>
        </w:tc>
        <w:tc>
          <w:tcPr>
            <w:tcW w:w="707" w:type="pct"/>
            <w:noWrap w:val="0"/>
            <w:vAlign w:val="center"/>
          </w:tcPr>
          <w:p w14:paraId="4561F8DA">
            <w:pPr>
              <w:adjustRightInd w:val="0"/>
              <w:snapToGrid w:val="0"/>
              <w:spacing w:line="360" w:lineRule="auto"/>
              <w:rPr>
                <w:rFonts w:hint="eastAsia" w:ascii="宋体" w:hAnsi="宋体" w:eastAsia="宋体" w:cs="宋体"/>
                <w:color w:val="auto"/>
                <w:sz w:val="24"/>
                <w:szCs w:val="24"/>
                <w:highlight w:val="none"/>
              </w:rPr>
            </w:pPr>
          </w:p>
        </w:tc>
        <w:tc>
          <w:tcPr>
            <w:tcW w:w="545" w:type="pct"/>
            <w:noWrap w:val="0"/>
            <w:vAlign w:val="center"/>
          </w:tcPr>
          <w:p w14:paraId="7BBFAF9E">
            <w:pPr>
              <w:adjustRightInd w:val="0"/>
              <w:snapToGrid w:val="0"/>
              <w:spacing w:line="360" w:lineRule="auto"/>
              <w:rPr>
                <w:rFonts w:hint="eastAsia" w:ascii="宋体" w:hAnsi="宋体" w:eastAsia="宋体" w:cs="宋体"/>
                <w:color w:val="auto"/>
                <w:sz w:val="24"/>
                <w:szCs w:val="24"/>
                <w:highlight w:val="none"/>
              </w:rPr>
            </w:pPr>
          </w:p>
        </w:tc>
        <w:tc>
          <w:tcPr>
            <w:tcW w:w="482" w:type="pct"/>
            <w:noWrap w:val="0"/>
            <w:vAlign w:val="center"/>
          </w:tcPr>
          <w:p w14:paraId="71DAF6B3">
            <w:pPr>
              <w:adjustRightInd w:val="0"/>
              <w:snapToGrid w:val="0"/>
              <w:spacing w:line="360" w:lineRule="auto"/>
              <w:rPr>
                <w:rFonts w:hint="eastAsia" w:ascii="宋体" w:hAnsi="宋体" w:eastAsia="宋体" w:cs="宋体"/>
                <w:color w:val="auto"/>
                <w:sz w:val="24"/>
                <w:szCs w:val="24"/>
                <w:highlight w:val="none"/>
              </w:rPr>
            </w:pPr>
          </w:p>
        </w:tc>
      </w:tr>
      <w:tr w14:paraId="1025C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485" w:type="pct"/>
            <w:noWrap w:val="0"/>
            <w:vAlign w:val="center"/>
          </w:tcPr>
          <w:p w14:paraId="4DA62971">
            <w:pPr>
              <w:adjustRightInd w:val="0"/>
              <w:snapToGrid w:val="0"/>
              <w:spacing w:line="360" w:lineRule="auto"/>
              <w:rPr>
                <w:rFonts w:hint="eastAsia" w:ascii="宋体" w:hAnsi="宋体" w:eastAsia="宋体" w:cs="宋体"/>
                <w:color w:val="auto"/>
                <w:sz w:val="24"/>
                <w:szCs w:val="24"/>
                <w:highlight w:val="none"/>
              </w:rPr>
            </w:pPr>
          </w:p>
        </w:tc>
        <w:tc>
          <w:tcPr>
            <w:tcW w:w="790" w:type="pct"/>
            <w:noWrap w:val="0"/>
            <w:vAlign w:val="center"/>
          </w:tcPr>
          <w:p w14:paraId="628CE27F">
            <w:pPr>
              <w:adjustRightInd w:val="0"/>
              <w:snapToGrid w:val="0"/>
              <w:spacing w:line="360" w:lineRule="auto"/>
              <w:rPr>
                <w:rFonts w:hint="eastAsia" w:ascii="宋体" w:hAnsi="宋体" w:eastAsia="宋体" w:cs="宋体"/>
                <w:color w:val="auto"/>
                <w:sz w:val="24"/>
                <w:szCs w:val="24"/>
                <w:highlight w:val="none"/>
              </w:rPr>
            </w:pPr>
          </w:p>
        </w:tc>
        <w:tc>
          <w:tcPr>
            <w:tcW w:w="815" w:type="pct"/>
            <w:noWrap w:val="0"/>
            <w:vAlign w:val="top"/>
          </w:tcPr>
          <w:p w14:paraId="536C0B54">
            <w:pPr>
              <w:adjustRightInd w:val="0"/>
              <w:snapToGrid w:val="0"/>
              <w:spacing w:line="360" w:lineRule="auto"/>
              <w:rPr>
                <w:rFonts w:hint="eastAsia" w:ascii="宋体" w:hAnsi="宋体" w:eastAsia="宋体" w:cs="宋体"/>
                <w:color w:val="auto"/>
                <w:sz w:val="24"/>
                <w:szCs w:val="24"/>
                <w:highlight w:val="none"/>
              </w:rPr>
            </w:pPr>
          </w:p>
        </w:tc>
        <w:tc>
          <w:tcPr>
            <w:tcW w:w="621" w:type="pct"/>
            <w:noWrap w:val="0"/>
            <w:vAlign w:val="top"/>
          </w:tcPr>
          <w:p w14:paraId="5D07EBFE">
            <w:pPr>
              <w:adjustRightInd w:val="0"/>
              <w:snapToGrid w:val="0"/>
              <w:spacing w:line="360" w:lineRule="auto"/>
              <w:rPr>
                <w:rFonts w:hint="eastAsia" w:ascii="宋体" w:hAnsi="宋体" w:eastAsia="宋体" w:cs="宋体"/>
                <w:color w:val="auto"/>
                <w:sz w:val="24"/>
                <w:szCs w:val="24"/>
                <w:highlight w:val="none"/>
              </w:rPr>
            </w:pPr>
          </w:p>
        </w:tc>
        <w:tc>
          <w:tcPr>
            <w:tcW w:w="551" w:type="pct"/>
            <w:noWrap w:val="0"/>
            <w:vAlign w:val="center"/>
          </w:tcPr>
          <w:p w14:paraId="21ABC309">
            <w:pPr>
              <w:adjustRightInd w:val="0"/>
              <w:snapToGrid w:val="0"/>
              <w:spacing w:line="360" w:lineRule="auto"/>
              <w:rPr>
                <w:rFonts w:hint="eastAsia" w:ascii="宋体" w:hAnsi="宋体" w:eastAsia="宋体" w:cs="宋体"/>
                <w:color w:val="auto"/>
                <w:sz w:val="24"/>
                <w:szCs w:val="24"/>
                <w:highlight w:val="none"/>
              </w:rPr>
            </w:pPr>
          </w:p>
        </w:tc>
        <w:tc>
          <w:tcPr>
            <w:tcW w:w="707" w:type="pct"/>
            <w:noWrap w:val="0"/>
            <w:vAlign w:val="center"/>
          </w:tcPr>
          <w:p w14:paraId="139E37E7">
            <w:pPr>
              <w:adjustRightInd w:val="0"/>
              <w:snapToGrid w:val="0"/>
              <w:spacing w:line="360" w:lineRule="auto"/>
              <w:rPr>
                <w:rFonts w:hint="eastAsia" w:ascii="宋体" w:hAnsi="宋体" w:eastAsia="宋体" w:cs="宋体"/>
                <w:color w:val="auto"/>
                <w:sz w:val="24"/>
                <w:szCs w:val="24"/>
                <w:highlight w:val="none"/>
              </w:rPr>
            </w:pPr>
          </w:p>
        </w:tc>
        <w:tc>
          <w:tcPr>
            <w:tcW w:w="545" w:type="pct"/>
            <w:noWrap w:val="0"/>
            <w:vAlign w:val="center"/>
          </w:tcPr>
          <w:p w14:paraId="6390756E">
            <w:pPr>
              <w:adjustRightInd w:val="0"/>
              <w:snapToGrid w:val="0"/>
              <w:spacing w:line="360" w:lineRule="auto"/>
              <w:rPr>
                <w:rFonts w:hint="eastAsia" w:ascii="宋体" w:hAnsi="宋体" w:eastAsia="宋体" w:cs="宋体"/>
                <w:color w:val="auto"/>
                <w:sz w:val="24"/>
                <w:szCs w:val="24"/>
                <w:highlight w:val="none"/>
              </w:rPr>
            </w:pPr>
          </w:p>
        </w:tc>
        <w:tc>
          <w:tcPr>
            <w:tcW w:w="482" w:type="pct"/>
            <w:noWrap w:val="0"/>
            <w:vAlign w:val="center"/>
          </w:tcPr>
          <w:p w14:paraId="3C09AA58">
            <w:pPr>
              <w:adjustRightInd w:val="0"/>
              <w:snapToGrid w:val="0"/>
              <w:spacing w:line="360" w:lineRule="auto"/>
              <w:rPr>
                <w:rFonts w:hint="eastAsia" w:ascii="宋体" w:hAnsi="宋体" w:eastAsia="宋体" w:cs="宋体"/>
                <w:color w:val="auto"/>
                <w:sz w:val="24"/>
                <w:szCs w:val="24"/>
                <w:highlight w:val="none"/>
              </w:rPr>
            </w:pPr>
          </w:p>
        </w:tc>
      </w:tr>
      <w:tr w14:paraId="1C13B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5000" w:type="pct"/>
            <w:gridSpan w:val="8"/>
            <w:noWrap w:val="0"/>
            <w:vAlign w:val="center"/>
          </w:tcPr>
          <w:p w14:paraId="431EFD70">
            <w:pPr>
              <w:adjustRightInd w:val="0"/>
              <w:snapToGrid w:val="0"/>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合计：</w:t>
            </w:r>
          </w:p>
        </w:tc>
      </w:tr>
    </w:tbl>
    <w:p w14:paraId="520136E0">
      <w:pPr>
        <w:pStyle w:val="106"/>
        <w:rPr>
          <w:rFonts w:hint="eastAsia" w:ascii="宋体" w:hAnsi="宋体" w:eastAsia="宋体" w:cs="宋体"/>
          <w:color w:val="auto"/>
          <w:sz w:val="24"/>
          <w:szCs w:val="24"/>
          <w:highlight w:val="none"/>
        </w:rPr>
      </w:pPr>
    </w:p>
    <w:p w14:paraId="25ECEF49">
      <w:pPr>
        <w:adjustRightInd w:val="0"/>
        <w:snapToGrid w:val="0"/>
        <w:spacing w:line="360" w:lineRule="auto"/>
        <w:ind w:firstLine="480" w:firstLineChars="200"/>
        <w:rPr>
          <w:rFonts w:hint="eastAsia" w:ascii="宋体" w:hAnsi="宋体" w:eastAsia="宋体" w:cs="宋体"/>
          <w:color w:val="auto"/>
          <w:sz w:val="24"/>
          <w:szCs w:val="24"/>
          <w:highlight w:val="none"/>
        </w:rPr>
      </w:pPr>
      <w:bookmarkStart w:id="26" w:name="_Toc19515385"/>
      <w:r>
        <w:rPr>
          <w:rFonts w:hint="eastAsia" w:ascii="宋体" w:hAnsi="宋体" w:eastAsia="宋体" w:cs="宋体"/>
          <w:color w:val="auto"/>
          <w:sz w:val="24"/>
          <w:szCs w:val="24"/>
          <w:highlight w:val="none"/>
        </w:rPr>
        <w:t>二、合同价款</w:t>
      </w:r>
      <w:bookmarkEnd w:id="26"/>
    </w:p>
    <w:p w14:paraId="09578824">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1、合同总价：</w:t>
      </w:r>
    </w:p>
    <w:p w14:paraId="121428E7">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2、合同总价包括：</w:t>
      </w:r>
    </w:p>
    <w:p w14:paraId="6311E3D7">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3、合同</w:t>
      </w:r>
      <w:r>
        <w:rPr>
          <w:rFonts w:hint="eastAsia" w:ascii="宋体" w:hAnsi="宋体" w:eastAsia="宋体" w:cs="宋体"/>
          <w:color w:val="auto"/>
          <w:sz w:val="24"/>
          <w:szCs w:val="24"/>
          <w:highlight w:val="none"/>
          <w:lang w:val="en-US" w:eastAsia="zh-CN"/>
        </w:rPr>
        <w:t>价格</w:t>
      </w:r>
      <w:r>
        <w:rPr>
          <w:rFonts w:hint="eastAsia" w:ascii="宋体" w:hAnsi="宋体" w:eastAsia="宋体" w:cs="宋体"/>
          <w:color w:val="auto"/>
          <w:sz w:val="24"/>
          <w:szCs w:val="24"/>
          <w:highlight w:val="none"/>
        </w:rPr>
        <w:t>不受市场价变化影响。</w:t>
      </w:r>
    </w:p>
    <w:p w14:paraId="16D4F88F">
      <w:pPr>
        <w:adjustRightInd w:val="0"/>
        <w:snapToGrid w:val="0"/>
        <w:spacing w:line="360" w:lineRule="auto"/>
        <w:ind w:firstLine="480" w:firstLineChars="200"/>
        <w:rPr>
          <w:rFonts w:hint="eastAsia" w:ascii="宋体" w:hAnsi="宋体" w:eastAsia="宋体" w:cs="宋体"/>
          <w:color w:val="auto"/>
          <w:sz w:val="24"/>
          <w:szCs w:val="24"/>
          <w:highlight w:val="none"/>
        </w:rPr>
      </w:pPr>
      <w:bookmarkStart w:id="27" w:name="_Toc19515386"/>
      <w:r>
        <w:rPr>
          <w:rFonts w:hint="eastAsia" w:ascii="宋体" w:hAnsi="宋体" w:eastAsia="宋体" w:cs="宋体"/>
          <w:color w:val="auto"/>
          <w:sz w:val="24"/>
          <w:szCs w:val="24"/>
          <w:highlight w:val="none"/>
        </w:rPr>
        <w:t>三、合同结算</w:t>
      </w:r>
      <w:bookmarkEnd w:id="27"/>
    </w:p>
    <w:p w14:paraId="564C5E80">
      <w:pPr>
        <w:keepNext w:val="0"/>
        <w:keepLines w:val="0"/>
        <w:pageBreakBefore w:val="0"/>
        <w:widowControl/>
        <w:kinsoku/>
        <w:wordWrap/>
        <w:overflowPunct/>
        <w:topLinePunct w:val="0"/>
        <w:autoSpaceDE/>
        <w:autoSpaceDN/>
        <w:bidi w:val="0"/>
        <w:adjustRightInd/>
        <w:snapToGrid/>
        <w:spacing w:line="288"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1、付款方式：</w:t>
      </w:r>
    </w:p>
    <w:p w14:paraId="135F0C92">
      <w:pPr>
        <w:keepNext w:val="0"/>
        <w:keepLines w:val="0"/>
        <w:pageBreakBefore w:val="0"/>
        <w:widowControl/>
        <w:kinsoku/>
        <w:wordWrap/>
        <w:overflowPunct/>
        <w:topLinePunct w:val="0"/>
        <w:autoSpaceDE/>
        <w:autoSpaceDN/>
        <w:bidi w:val="0"/>
        <w:adjustRightInd/>
        <w:snapToGrid/>
        <w:spacing w:line="288" w:lineRule="auto"/>
        <w:ind w:firstLine="480" w:firstLineChars="200"/>
        <w:jc w:val="left"/>
        <w:textAlignment w:val="auto"/>
        <w:rPr>
          <w:rFonts w:hint="eastAsia" w:ascii="宋体" w:hAnsi="宋体" w:eastAsia="宋体" w:cs="宋体"/>
          <w:bCs/>
          <w:color w:val="000000"/>
          <w:sz w:val="24"/>
          <w:szCs w:val="24"/>
          <w:highlight w:val="none"/>
          <w:lang w:bidi="ar"/>
        </w:rPr>
      </w:pPr>
      <w:r>
        <w:rPr>
          <w:rFonts w:hint="eastAsia" w:ascii="宋体" w:hAnsi="宋体" w:eastAsia="宋体" w:cs="宋体"/>
          <w:bCs/>
          <w:color w:val="000000"/>
          <w:sz w:val="24"/>
          <w:szCs w:val="24"/>
          <w:highlight w:val="none"/>
          <w:lang w:bidi="ar"/>
        </w:rPr>
        <w:t>1</w:t>
      </w:r>
      <w:r>
        <w:rPr>
          <w:rFonts w:hint="eastAsia" w:ascii="宋体" w:hAnsi="宋体" w:eastAsia="宋体" w:cs="宋体"/>
          <w:bCs/>
          <w:color w:val="000000"/>
          <w:sz w:val="24"/>
          <w:szCs w:val="24"/>
          <w:highlight w:val="none"/>
          <w:lang w:eastAsia="zh-CN" w:bidi="ar"/>
        </w:rPr>
        <w:t>.</w:t>
      </w:r>
      <w:r>
        <w:rPr>
          <w:rFonts w:hint="eastAsia" w:ascii="宋体" w:hAnsi="宋体" w:eastAsia="宋体" w:cs="宋体"/>
          <w:bCs/>
          <w:color w:val="000000"/>
          <w:sz w:val="24"/>
          <w:szCs w:val="24"/>
          <w:highlight w:val="none"/>
          <w:lang w:bidi="ar"/>
        </w:rPr>
        <w:t>预付款支付条款：</w:t>
      </w:r>
    </w:p>
    <w:p w14:paraId="6AD60D1D">
      <w:pPr>
        <w:spacing w:line="360" w:lineRule="auto"/>
        <w:rPr>
          <w:rFonts w:hint="eastAsia" w:ascii="宋体" w:hAnsi="宋体" w:eastAsia="宋体" w:cs="宋体"/>
          <w:bCs/>
          <w:color w:val="000000"/>
          <w:sz w:val="24"/>
          <w:szCs w:val="24"/>
          <w:highlight w:val="none"/>
          <w:lang w:bidi="ar"/>
        </w:rPr>
      </w:pPr>
      <w:r>
        <w:rPr>
          <w:rFonts w:hint="eastAsia" w:ascii="宋体" w:hAnsi="宋体" w:eastAsia="宋体" w:cs="宋体"/>
          <w:bCs/>
          <w:color w:val="000000"/>
          <w:sz w:val="24"/>
          <w:szCs w:val="24"/>
          <w:highlight w:val="none"/>
          <w:lang w:bidi="ar"/>
        </w:rPr>
        <w:t>（1）本合同设置预付款：</w:t>
      </w:r>
    </w:p>
    <w:p w14:paraId="7DC88F16">
      <w:pPr>
        <w:spacing w:line="360" w:lineRule="auto"/>
        <w:rPr>
          <w:rFonts w:hint="eastAsia" w:ascii="宋体" w:hAnsi="宋体" w:eastAsia="宋体" w:cs="宋体"/>
          <w:bCs/>
          <w:color w:val="000000"/>
          <w:sz w:val="24"/>
          <w:szCs w:val="24"/>
          <w:highlight w:val="none"/>
          <w:lang w:bidi="ar"/>
        </w:rPr>
      </w:pPr>
      <w:r>
        <w:rPr>
          <w:rFonts w:hint="eastAsia" w:ascii="宋体" w:hAnsi="宋体" w:eastAsia="宋体" w:cs="宋体"/>
          <w:bCs/>
          <w:color w:val="000000"/>
          <w:sz w:val="24"/>
          <w:szCs w:val="24"/>
          <w:highlight w:val="none"/>
          <w:lang w:bidi="ar"/>
        </w:rPr>
        <w:t>（2）预付款金额：合同总价的30%；</w:t>
      </w:r>
    </w:p>
    <w:p w14:paraId="460A0CA8">
      <w:pPr>
        <w:spacing w:line="360" w:lineRule="auto"/>
        <w:rPr>
          <w:rFonts w:hint="eastAsia" w:ascii="宋体" w:hAnsi="宋体" w:eastAsia="宋体" w:cs="宋体"/>
          <w:bCs/>
          <w:color w:val="000000"/>
          <w:sz w:val="24"/>
          <w:szCs w:val="24"/>
          <w:highlight w:val="none"/>
          <w:lang w:bidi="ar"/>
        </w:rPr>
      </w:pPr>
      <w:r>
        <w:rPr>
          <w:rFonts w:hint="eastAsia" w:ascii="宋体" w:hAnsi="宋体" w:eastAsia="宋体" w:cs="宋体"/>
          <w:bCs/>
          <w:color w:val="000000"/>
          <w:sz w:val="24"/>
          <w:szCs w:val="24"/>
          <w:highlight w:val="none"/>
          <w:lang w:bidi="ar"/>
        </w:rPr>
        <w:t>（3）其他：本项目预付款是根据政府采购相关政策规定要求，甲方为帮助乙方解决项目前期启动资金困难，保证乙方更有条件履行合同的保障性支援性资金。乙方应保证该资金用于项目前期各项工作费用，不得挪作他用，若因此项目进展受到影响，乙方承担由此引起的所有责任。</w:t>
      </w:r>
    </w:p>
    <w:p w14:paraId="125FE6E5">
      <w:pPr>
        <w:spacing w:line="360" w:lineRule="auto"/>
        <w:rPr>
          <w:rFonts w:hint="eastAsia" w:ascii="宋体" w:hAnsi="宋体" w:eastAsia="宋体" w:cs="宋体"/>
          <w:bCs/>
          <w:color w:val="000000"/>
          <w:sz w:val="24"/>
          <w:szCs w:val="24"/>
          <w:highlight w:val="none"/>
          <w:lang w:bidi="ar"/>
        </w:rPr>
      </w:pPr>
      <w:r>
        <w:rPr>
          <w:rFonts w:hint="eastAsia" w:ascii="宋体" w:hAnsi="宋体" w:eastAsia="宋体" w:cs="宋体"/>
          <w:bCs/>
          <w:color w:val="000000"/>
          <w:sz w:val="24"/>
          <w:szCs w:val="24"/>
          <w:highlight w:val="none"/>
          <w:lang w:bidi="ar"/>
        </w:rPr>
        <w:t>2.剩余款项支付条款：</w:t>
      </w:r>
    </w:p>
    <w:p w14:paraId="0EF94D43">
      <w:pPr>
        <w:spacing w:line="360" w:lineRule="auto"/>
        <w:rPr>
          <w:rFonts w:hint="eastAsia" w:ascii="宋体" w:hAnsi="宋体" w:eastAsia="宋体" w:cs="宋体"/>
          <w:bCs/>
          <w:color w:val="000000"/>
          <w:sz w:val="24"/>
          <w:szCs w:val="24"/>
          <w:highlight w:val="none"/>
          <w:lang w:bidi="ar"/>
        </w:rPr>
      </w:pPr>
      <w:r>
        <w:rPr>
          <w:rFonts w:hint="eastAsia" w:ascii="宋体" w:hAnsi="宋体" w:eastAsia="宋体" w:cs="宋体"/>
          <w:bCs/>
          <w:color w:val="000000"/>
          <w:sz w:val="24"/>
          <w:szCs w:val="24"/>
          <w:highlight w:val="none"/>
          <w:lang w:bidi="ar"/>
        </w:rPr>
        <w:t>项目最终验收合格后，支付合同总价的70%。注：乙方应向甲方出具符合国家财税规定的增值税发票，否则甲方有权延迟履行付款义务。如因乙方缘故（如开具增值税发票延误等）导致甲方无法按时付款，甲方不承担违约责任。如遇突发事件，付款日期则以实际付款日期为准。</w:t>
      </w:r>
    </w:p>
    <w:p w14:paraId="77C13686">
      <w:pPr>
        <w:numPr>
          <w:ilvl w:val="0"/>
          <w:numId w:val="0"/>
        </w:numPr>
        <w:spacing w:line="360" w:lineRule="auto"/>
        <w:rPr>
          <w:rFonts w:hint="eastAsia" w:ascii="宋体" w:hAnsi="宋体" w:eastAsia="宋体" w:cs="宋体"/>
          <w:bCs/>
          <w:color w:val="000000"/>
          <w:sz w:val="24"/>
          <w:szCs w:val="24"/>
          <w:highlight w:val="none"/>
          <w:lang w:bidi="ar"/>
        </w:rPr>
      </w:pPr>
      <w:r>
        <w:rPr>
          <w:rFonts w:hint="eastAsia" w:ascii="宋体" w:hAnsi="宋体" w:eastAsia="宋体" w:cs="宋体"/>
          <w:bCs/>
          <w:color w:val="000000"/>
          <w:sz w:val="24"/>
          <w:szCs w:val="24"/>
          <w:highlight w:val="none"/>
          <w:lang w:val="en-US" w:eastAsia="zh-CN" w:bidi="ar"/>
        </w:rPr>
        <w:t>3.</w:t>
      </w:r>
      <w:r>
        <w:rPr>
          <w:rFonts w:hint="eastAsia" w:ascii="宋体" w:hAnsi="宋体" w:eastAsia="宋体" w:cs="宋体"/>
          <w:bCs/>
          <w:color w:val="000000"/>
          <w:sz w:val="24"/>
          <w:szCs w:val="24"/>
          <w:highlight w:val="none"/>
          <w:lang w:bidi="ar"/>
        </w:rPr>
        <w:t>本合同中数量如有调整需求，须征得主管部门同意后方可实施，甲乙双方不得擅自调整。</w:t>
      </w:r>
    </w:p>
    <w:p w14:paraId="5223150E">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2、结算方式：银行转账。</w:t>
      </w:r>
    </w:p>
    <w:p w14:paraId="5088E8A9">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3、结算单位：由</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负责结算，乙方开具合同总价数的全额发票交采购人</w:t>
      </w:r>
      <w:r>
        <w:rPr>
          <w:rFonts w:hint="eastAsia" w:ascii="宋体" w:hAnsi="宋体" w:eastAsia="宋体" w:cs="宋体"/>
          <w:color w:val="auto"/>
          <w:sz w:val="24"/>
          <w:szCs w:val="24"/>
          <w:highlight w:val="none"/>
          <w:lang w:val="en-US" w:eastAsia="zh-CN"/>
        </w:rPr>
        <w:t>或采购人指定单位</w:t>
      </w:r>
      <w:r>
        <w:rPr>
          <w:rFonts w:hint="eastAsia" w:ascii="宋体" w:hAnsi="宋体" w:eastAsia="宋体" w:cs="宋体"/>
          <w:color w:val="auto"/>
          <w:sz w:val="24"/>
          <w:szCs w:val="24"/>
          <w:highlight w:val="none"/>
        </w:rPr>
        <w:t>。</w:t>
      </w:r>
    </w:p>
    <w:p w14:paraId="746A5393">
      <w:pPr>
        <w:adjustRightInd w:val="0"/>
        <w:snapToGrid w:val="0"/>
        <w:spacing w:line="360" w:lineRule="auto"/>
        <w:ind w:firstLine="480" w:firstLineChars="200"/>
        <w:rPr>
          <w:rFonts w:hint="eastAsia" w:ascii="宋体" w:hAnsi="宋体" w:eastAsia="宋体" w:cs="宋体"/>
          <w:color w:val="auto"/>
          <w:sz w:val="24"/>
          <w:szCs w:val="24"/>
          <w:highlight w:val="none"/>
        </w:rPr>
      </w:pPr>
      <w:bookmarkStart w:id="28" w:name="_Toc19515387"/>
      <w:r>
        <w:rPr>
          <w:rFonts w:hint="eastAsia" w:ascii="宋体" w:hAnsi="宋体" w:eastAsia="宋体" w:cs="宋体"/>
          <w:color w:val="auto"/>
          <w:sz w:val="24"/>
          <w:szCs w:val="24"/>
          <w:highlight w:val="none"/>
        </w:rPr>
        <w:t>四、</w:t>
      </w:r>
      <w:r>
        <w:rPr>
          <w:rFonts w:hint="eastAsia" w:ascii="宋体" w:hAnsi="宋体" w:eastAsia="宋体" w:cs="宋体"/>
          <w:i w:val="0"/>
          <w:iCs w:val="0"/>
          <w:caps w:val="0"/>
          <w:color w:val="auto"/>
          <w:spacing w:val="0"/>
          <w:sz w:val="24"/>
          <w:szCs w:val="24"/>
          <w:highlight w:val="none"/>
          <w:shd w:val="clear" w:fill="FFFFFF"/>
        </w:rPr>
        <w:t>合同履行期限</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交货</w:t>
      </w:r>
      <w:r>
        <w:rPr>
          <w:rFonts w:hint="eastAsia" w:ascii="宋体" w:hAnsi="宋体" w:eastAsia="宋体" w:cs="宋体"/>
          <w:color w:val="auto"/>
          <w:sz w:val="24"/>
          <w:szCs w:val="24"/>
          <w:highlight w:val="none"/>
        </w:rPr>
        <w:t>地点及方式:</w:t>
      </w:r>
      <w:bookmarkEnd w:id="28"/>
    </w:p>
    <w:p w14:paraId="7DBF5ED6">
      <w:pPr>
        <w:adjustRightInd w:val="0"/>
        <w:snapToGrid w:val="0"/>
        <w:spacing w:line="36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1、</w:t>
      </w:r>
      <w:r>
        <w:rPr>
          <w:rFonts w:hint="eastAsia" w:ascii="宋体" w:hAnsi="宋体" w:eastAsia="宋体" w:cs="宋体"/>
          <w:i w:val="0"/>
          <w:iCs w:val="0"/>
          <w:caps w:val="0"/>
          <w:color w:val="auto"/>
          <w:spacing w:val="0"/>
          <w:sz w:val="24"/>
          <w:szCs w:val="24"/>
          <w:highlight w:val="none"/>
          <w:shd w:val="clear" w:fill="FFFFFF"/>
        </w:rPr>
        <w:t>合同履行期限：</w:t>
      </w:r>
      <w:r>
        <w:rPr>
          <w:rFonts w:hint="eastAsia" w:ascii="宋体" w:hAnsi="宋体" w:eastAsia="宋体" w:cs="宋体"/>
          <w:i w:val="0"/>
          <w:iCs w:val="0"/>
          <w:caps w:val="0"/>
          <w:color w:val="auto"/>
          <w:spacing w:val="0"/>
          <w:sz w:val="24"/>
          <w:szCs w:val="24"/>
          <w:highlight w:val="none"/>
          <w:shd w:val="clear" w:fill="FFFFFF"/>
          <w:lang w:eastAsia="zh-CN"/>
        </w:rPr>
        <w:t>2025年8月25日前完成供货、安装、调试</w:t>
      </w:r>
    </w:p>
    <w:p w14:paraId="60B9CC5D">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交货</w:t>
      </w:r>
      <w:r>
        <w:rPr>
          <w:rFonts w:hint="eastAsia" w:ascii="宋体" w:hAnsi="宋体" w:eastAsia="宋体" w:cs="宋体"/>
          <w:color w:val="auto"/>
          <w:sz w:val="24"/>
          <w:szCs w:val="24"/>
          <w:highlight w:val="none"/>
        </w:rPr>
        <w:t>地点：采购人指定地点</w:t>
      </w:r>
    </w:p>
    <w:p w14:paraId="1236DE2F">
      <w:pPr>
        <w:adjustRightInd w:val="0"/>
        <w:snapToGrid w:val="0"/>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3、方式：</w:t>
      </w:r>
      <w:r>
        <w:rPr>
          <w:rFonts w:hint="eastAsia" w:ascii="宋体" w:hAnsi="宋体" w:eastAsia="宋体" w:cs="宋体"/>
          <w:color w:val="auto"/>
          <w:sz w:val="24"/>
          <w:szCs w:val="24"/>
          <w:highlight w:val="none"/>
          <w:lang w:val="en-US" w:eastAsia="zh-CN"/>
        </w:rPr>
        <w:t>于</w:t>
      </w:r>
      <w:r>
        <w:rPr>
          <w:rFonts w:hint="eastAsia" w:ascii="宋体" w:hAnsi="宋体" w:eastAsia="宋体" w:cs="宋体"/>
          <w:color w:val="auto"/>
          <w:sz w:val="24"/>
          <w:szCs w:val="24"/>
          <w:highlight w:val="none"/>
        </w:rPr>
        <w:t>采购人指定地点现场交货</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安装、调试</w:t>
      </w:r>
    </w:p>
    <w:p w14:paraId="33912556">
      <w:pPr>
        <w:adjustRightInd w:val="0"/>
        <w:snapToGrid w:val="0"/>
        <w:spacing w:line="360" w:lineRule="auto"/>
        <w:ind w:firstLine="480" w:firstLineChars="200"/>
        <w:rPr>
          <w:rFonts w:hint="eastAsia" w:ascii="宋体" w:hAnsi="宋体" w:eastAsia="宋体" w:cs="宋体"/>
          <w:color w:val="auto"/>
          <w:sz w:val="24"/>
          <w:szCs w:val="24"/>
          <w:highlight w:val="none"/>
        </w:rPr>
      </w:pPr>
      <w:bookmarkStart w:id="29" w:name="_Toc19515390"/>
      <w:r>
        <w:rPr>
          <w:rFonts w:hint="eastAsia" w:ascii="宋体" w:hAnsi="宋体" w:eastAsia="宋体" w:cs="宋体"/>
          <w:color w:val="auto"/>
          <w:sz w:val="24"/>
          <w:szCs w:val="24"/>
          <w:highlight w:val="none"/>
        </w:rPr>
        <w:t>五、技术服务</w:t>
      </w:r>
      <w:bookmarkEnd w:id="29"/>
    </w:p>
    <w:p w14:paraId="51A795CF">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1、对技术服务的要求：</w:t>
      </w:r>
    </w:p>
    <w:p w14:paraId="61551AD9">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2、技术资料：</w:t>
      </w:r>
    </w:p>
    <w:p w14:paraId="7A81292B">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3、技术培训：</w:t>
      </w:r>
    </w:p>
    <w:p w14:paraId="053624CB">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3-1、培训内容：</w:t>
      </w:r>
    </w:p>
    <w:p w14:paraId="6C1A2F7B">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3-2、培训地点：</w:t>
      </w:r>
    </w:p>
    <w:p w14:paraId="5F5D410B">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3-3、培训时间：</w:t>
      </w:r>
    </w:p>
    <w:p w14:paraId="4353E518">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3-4、培训人数：</w:t>
      </w:r>
    </w:p>
    <w:p w14:paraId="154E5070">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3-5、培训费用：受训人员的食宿费、资料费、培训场地费、耗材（包括水电费等）费等已包含在合同总价中，甲方不再另行支付。</w:t>
      </w:r>
    </w:p>
    <w:p w14:paraId="701FD599">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4、售后服务</w:t>
      </w:r>
    </w:p>
    <w:p w14:paraId="670868A5">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4-1、质保期</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自终验合格之日起2年。</w:t>
      </w:r>
    </w:p>
    <w:p w14:paraId="159CD789">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4-2、质保期内乙方在接到甲方电话通知后在</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小时内派出合格的服务人员到达现场进行服务，并由乙方承担相应费用。</w:t>
      </w:r>
    </w:p>
    <w:p w14:paraId="4B50F3A2">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4-3、如果乙方在收到通知后两天内没有弥补缺陷，甲方可采取必要的补救措施，但其风险和费用将由乙方承担，甲方根据合同规定对乙方行使的其它权力不受影响。</w:t>
      </w:r>
    </w:p>
    <w:p w14:paraId="79D31C02">
      <w:pPr>
        <w:adjustRightInd w:val="0"/>
        <w:snapToGrid w:val="0"/>
        <w:spacing w:line="360" w:lineRule="auto"/>
        <w:ind w:firstLine="480" w:firstLineChars="200"/>
        <w:rPr>
          <w:rFonts w:hint="eastAsia" w:ascii="宋体" w:hAnsi="宋体" w:eastAsia="宋体" w:cs="宋体"/>
          <w:color w:val="auto"/>
          <w:sz w:val="24"/>
          <w:szCs w:val="24"/>
          <w:highlight w:val="none"/>
        </w:rPr>
      </w:pPr>
      <w:bookmarkStart w:id="30" w:name="_Toc19515391"/>
      <w:r>
        <w:rPr>
          <w:rFonts w:hint="eastAsia" w:ascii="宋体" w:hAnsi="宋体" w:eastAsia="宋体" w:cs="宋体"/>
          <w:color w:val="auto"/>
          <w:sz w:val="24"/>
          <w:szCs w:val="24"/>
          <w:highlight w:val="none"/>
        </w:rPr>
        <w:t>六、验收</w:t>
      </w:r>
      <w:bookmarkEnd w:id="30"/>
    </w:p>
    <w:p w14:paraId="4F8055E0">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1、验收：乙方完成服务内容后，向甲方提出验收申请，甲方接到乙方验收申请后组织验收（必要时可聘请相应专家或委托相应部门验收），验收合格后，出具使用验收合格证明。</w:t>
      </w:r>
    </w:p>
    <w:p w14:paraId="2FE7B663">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2、最终验收：最终验收结果作为付款依据，乙方填写验收单，并向甲方提交实施过程中的所有资料，以便甲方日后管理和维护。</w:t>
      </w:r>
    </w:p>
    <w:p w14:paraId="78B7B22E">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3、质保期满后：由乙方出具质保期运行质量报告，若存在质量问题，应按相应规定协商处理。</w:t>
      </w:r>
    </w:p>
    <w:p w14:paraId="11B1C088">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4、验收依据：</w:t>
      </w:r>
    </w:p>
    <w:p w14:paraId="225E5063">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4-1、合同文本、合同附件、招标文件、投标文件。</w:t>
      </w:r>
    </w:p>
    <w:p w14:paraId="45DA087C">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4-2、国内相应的标准、规范。</w:t>
      </w:r>
    </w:p>
    <w:p w14:paraId="68B4CE50">
      <w:pPr>
        <w:adjustRightInd w:val="0"/>
        <w:snapToGrid w:val="0"/>
        <w:spacing w:line="360" w:lineRule="auto"/>
        <w:ind w:firstLine="480" w:firstLineChars="200"/>
        <w:rPr>
          <w:rFonts w:hint="eastAsia" w:ascii="宋体" w:hAnsi="宋体" w:eastAsia="宋体" w:cs="宋体"/>
          <w:color w:val="auto"/>
          <w:sz w:val="24"/>
          <w:szCs w:val="24"/>
          <w:highlight w:val="none"/>
        </w:rPr>
      </w:pPr>
      <w:bookmarkStart w:id="31" w:name="_Toc19515392"/>
      <w:r>
        <w:rPr>
          <w:rFonts w:hint="eastAsia" w:ascii="宋体" w:hAnsi="宋体" w:eastAsia="宋体" w:cs="宋体"/>
          <w:color w:val="auto"/>
          <w:sz w:val="24"/>
          <w:szCs w:val="24"/>
          <w:highlight w:val="none"/>
        </w:rPr>
        <w:t>七、违约责任</w:t>
      </w:r>
      <w:bookmarkEnd w:id="31"/>
    </w:p>
    <w:p w14:paraId="23DB5BEE">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1、按《中华人民共和国民法典》中的相关条款执行。</w:t>
      </w:r>
    </w:p>
    <w:p w14:paraId="51CA4B43">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2、乙方履约延误</w:t>
      </w:r>
    </w:p>
    <w:p w14:paraId="12BF2142">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2-1、如乙方事先未征得甲方同意并得到甲方的谅解而单方面延迟执行合同，将按违约终止合同。</w:t>
      </w:r>
    </w:p>
    <w:p w14:paraId="2DC5D93E">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2-2、在履行合同过程中，如果乙方遇到可能妨碍按时提供</w:t>
      </w:r>
      <w:r>
        <w:rPr>
          <w:rFonts w:hint="eastAsia" w:ascii="宋体" w:hAnsi="宋体" w:eastAsia="宋体" w:cs="宋体"/>
          <w:color w:val="auto"/>
          <w:sz w:val="24"/>
          <w:szCs w:val="24"/>
          <w:highlight w:val="none"/>
          <w:lang w:val="en-US" w:eastAsia="zh-CN"/>
        </w:rPr>
        <w:t>货物</w:t>
      </w:r>
      <w:r>
        <w:rPr>
          <w:rFonts w:hint="eastAsia" w:ascii="宋体" w:hAnsi="宋体" w:eastAsia="宋体" w:cs="宋体"/>
          <w:color w:val="auto"/>
          <w:sz w:val="24"/>
          <w:szCs w:val="24"/>
          <w:highlight w:val="none"/>
        </w:rPr>
        <w:t>的情况，应及时以书面形式将拖延的事实，可能拖延的期限和理由通知甲方。甲方在收到乙方通知后，应尽快对情况进行评价，并确定是否通过修改合同，酌情延长交货时间或对乙方加收误期赔偿金。每延误一</w:t>
      </w:r>
      <w:r>
        <w:rPr>
          <w:rFonts w:hint="eastAsia" w:ascii="宋体" w:hAnsi="宋体" w:eastAsia="宋体" w:cs="宋体"/>
          <w:color w:val="auto"/>
          <w:sz w:val="24"/>
          <w:szCs w:val="24"/>
          <w:highlight w:val="none"/>
          <w:lang w:val="en-US" w:eastAsia="zh-CN"/>
        </w:rPr>
        <w:t>天</w:t>
      </w:r>
      <w:r>
        <w:rPr>
          <w:rFonts w:hint="eastAsia" w:ascii="宋体" w:hAnsi="宋体" w:eastAsia="宋体" w:cs="宋体"/>
          <w:color w:val="auto"/>
          <w:sz w:val="24"/>
          <w:szCs w:val="24"/>
          <w:highlight w:val="none"/>
        </w:rPr>
        <w:t>的赔偿费按合同金额的百分之</w:t>
      </w:r>
      <w:r>
        <w:rPr>
          <w:rFonts w:hint="eastAsia" w:ascii="宋体" w:hAnsi="宋体" w:eastAsia="宋体" w:cs="宋体"/>
          <w:color w:val="auto"/>
          <w:sz w:val="24"/>
          <w:szCs w:val="24"/>
          <w:highlight w:val="none"/>
          <w:lang w:val="en-US" w:eastAsia="zh-CN"/>
        </w:rPr>
        <w:t>一</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%）计收，直至</w:t>
      </w:r>
      <w:r>
        <w:rPr>
          <w:rFonts w:hint="eastAsia" w:ascii="宋体" w:hAnsi="宋体" w:eastAsia="宋体" w:cs="宋体"/>
          <w:color w:val="auto"/>
          <w:sz w:val="24"/>
          <w:szCs w:val="24"/>
          <w:highlight w:val="none"/>
          <w:lang w:val="en-US" w:eastAsia="zh-CN"/>
        </w:rPr>
        <w:t>全部完成</w:t>
      </w:r>
      <w:r>
        <w:rPr>
          <w:rFonts w:hint="eastAsia" w:ascii="宋体" w:hAnsi="宋体" w:eastAsia="宋体" w:cs="宋体"/>
          <w:color w:val="auto"/>
          <w:sz w:val="24"/>
          <w:szCs w:val="24"/>
          <w:highlight w:val="none"/>
        </w:rPr>
        <w:t>为止。误期赔偿费的最高限额为合同价格的百分之</w:t>
      </w:r>
      <w:r>
        <w:rPr>
          <w:rFonts w:hint="eastAsia" w:ascii="宋体" w:hAnsi="宋体" w:eastAsia="宋体" w:cs="宋体"/>
          <w:color w:val="auto"/>
          <w:sz w:val="24"/>
          <w:szCs w:val="24"/>
          <w:highlight w:val="none"/>
          <w:lang w:val="en-US" w:eastAsia="zh-CN"/>
        </w:rPr>
        <w:t>十</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10</w:t>
      </w:r>
      <w:r>
        <w:rPr>
          <w:rFonts w:hint="eastAsia" w:ascii="宋体" w:hAnsi="宋体" w:eastAsia="宋体" w:cs="宋体"/>
          <w:color w:val="auto"/>
          <w:sz w:val="24"/>
          <w:szCs w:val="24"/>
          <w:highlight w:val="none"/>
        </w:rPr>
        <w:t>%）。一旦达到误期赔偿费的最高限额，甲方可终止合同。</w:t>
      </w:r>
    </w:p>
    <w:p w14:paraId="558D63EE">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3、违约终止合同：未按合同要求提供服务或不能满足技术要求，甲方会同监督机构有权终止合同，对乙方违约行为进行追究，同时按政府采购法的有关规定进行相应的处罚。</w:t>
      </w:r>
    </w:p>
    <w:p w14:paraId="2378D575">
      <w:pPr>
        <w:adjustRightInd w:val="0"/>
        <w:snapToGrid w:val="0"/>
        <w:spacing w:line="360" w:lineRule="auto"/>
        <w:ind w:firstLine="480" w:firstLineChars="200"/>
        <w:rPr>
          <w:rFonts w:hint="eastAsia" w:ascii="宋体" w:hAnsi="宋体" w:eastAsia="宋体" w:cs="宋体"/>
          <w:color w:val="auto"/>
          <w:sz w:val="24"/>
          <w:szCs w:val="24"/>
          <w:highlight w:val="none"/>
        </w:rPr>
      </w:pPr>
      <w:bookmarkStart w:id="32" w:name="_Toc19515393"/>
      <w:r>
        <w:rPr>
          <w:rFonts w:hint="eastAsia" w:ascii="宋体" w:hAnsi="宋体" w:eastAsia="宋体" w:cs="宋体"/>
          <w:color w:val="auto"/>
          <w:sz w:val="24"/>
          <w:szCs w:val="24"/>
          <w:highlight w:val="none"/>
        </w:rPr>
        <w:t>八、合同组成</w:t>
      </w:r>
      <w:bookmarkEnd w:id="32"/>
    </w:p>
    <w:p w14:paraId="0EAE085D">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1、中标通知书</w:t>
      </w:r>
    </w:p>
    <w:p w14:paraId="6256937E">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2、合同文件</w:t>
      </w:r>
    </w:p>
    <w:p w14:paraId="0857A1BA">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3、国家相关规范及标准</w:t>
      </w:r>
    </w:p>
    <w:p w14:paraId="5FA06201">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4、招标文件</w:t>
      </w:r>
    </w:p>
    <w:p w14:paraId="06991757">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5、投标文件</w:t>
      </w:r>
    </w:p>
    <w:p w14:paraId="0EEFEABC">
      <w:pPr>
        <w:adjustRightInd w:val="0"/>
        <w:snapToGrid w:val="0"/>
        <w:spacing w:line="360" w:lineRule="auto"/>
        <w:ind w:firstLine="480" w:firstLineChars="200"/>
        <w:rPr>
          <w:rFonts w:hint="eastAsia" w:ascii="宋体" w:hAnsi="宋体" w:eastAsia="宋体" w:cs="宋体"/>
          <w:color w:val="auto"/>
          <w:sz w:val="24"/>
          <w:szCs w:val="24"/>
          <w:highlight w:val="none"/>
        </w:rPr>
      </w:pPr>
      <w:bookmarkStart w:id="33" w:name="_Toc19515394"/>
      <w:r>
        <w:rPr>
          <w:rFonts w:hint="eastAsia" w:ascii="宋体" w:hAnsi="宋体" w:eastAsia="宋体" w:cs="宋体"/>
          <w:color w:val="auto"/>
          <w:sz w:val="24"/>
          <w:szCs w:val="24"/>
          <w:highlight w:val="none"/>
        </w:rPr>
        <w:t>九、解决争议的方法</w:t>
      </w:r>
      <w:bookmarkEnd w:id="33"/>
    </w:p>
    <w:p w14:paraId="2374DE78">
      <w:pPr>
        <w:widowControl/>
        <w:autoSpaceDE w:val="0"/>
        <w:autoSpaceDN w:val="0"/>
        <w:snapToGrid w:val="0"/>
        <w:spacing w:line="360" w:lineRule="auto"/>
        <w:ind w:right="-110" w:firstLine="480" w:firstLineChars="200"/>
        <w:textAlignment w:val="bottom"/>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凡因本合同引起的或与本合同有关的争议，双方应友好协商解决。协商不成时，双方均同意采用以下第（  ）种争议解决方式：</w:t>
      </w:r>
    </w:p>
    <w:p w14:paraId="058FF234">
      <w:pPr>
        <w:widowControl/>
        <w:autoSpaceDE w:val="0"/>
        <w:autoSpaceDN w:val="0"/>
        <w:snapToGrid w:val="0"/>
        <w:spacing w:line="360" w:lineRule="auto"/>
        <w:ind w:right="-110" w:firstLine="480" w:firstLineChars="200"/>
        <w:textAlignment w:val="bottom"/>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1、甲、乙双方均同意向（甲方所在地人民法院）提起诉讼。</w:t>
      </w:r>
    </w:p>
    <w:p w14:paraId="42B5D90C">
      <w:pPr>
        <w:widowControl/>
        <w:autoSpaceDE w:val="0"/>
        <w:autoSpaceDN w:val="0"/>
        <w:snapToGrid w:val="0"/>
        <w:spacing w:line="360" w:lineRule="auto"/>
        <w:ind w:right="-110" w:firstLine="480" w:firstLineChars="200"/>
        <w:textAlignment w:val="bottom"/>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2、甲、乙双方均同意向（</w:t>
      </w:r>
      <w:r>
        <w:rPr>
          <w:rFonts w:hint="eastAsia" w:ascii="宋体" w:hAnsi="宋体" w:eastAsia="宋体" w:cs="宋体"/>
          <w:color w:val="auto"/>
          <w:kern w:val="0"/>
          <w:sz w:val="24"/>
          <w:szCs w:val="24"/>
          <w:highlight w:val="none"/>
        </w:rPr>
        <w:fldChar w:fldCharType="begin"/>
      </w:r>
      <w:r>
        <w:rPr>
          <w:rFonts w:hint="eastAsia" w:ascii="宋体" w:hAnsi="宋体" w:eastAsia="宋体" w:cs="宋体"/>
          <w:color w:val="auto"/>
          <w:kern w:val="0"/>
          <w:sz w:val="24"/>
          <w:szCs w:val="24"/>
          <w:highlight w:val="none"/>
        </w:rPr>
        <w:instrText xml:space="preserve"> HYPERLINK "http://www.baidu.com/s?wd=%E4%BB%B2%E8%A3%81%E5%A7%94%E5%91%98%E4%BC%9A&amp;tn=SE_PcZhidaonwhc_ngpagmjz&amp;rsv_dl=gh_pc_zhidao" \t "_blank" </w:instrText>
      </w:r>
      <w:r>
        <w:rPr>
          <w:rFonts w:hint="eastAsia" w:ascii="宋体" w:hAnsi="宋体" w:eastAsia="宋体" w:cs="宋体"/>
          <w:color w:val="auto"/>
          <w:kern w:val="0"/>
          <w:sz w:val="24"/>
          <w:szCs w:val="24"/>
          <w:highlight w:val="none"/>
        </w:rPr>
        <w:fldChar w:fldCharType="separate"/>
      </w:r>
      <w:r>
        <w:rPr>
          <w:rFonts w:hint="eastAsia" w:ascii="宋体" w:hAnsi="宋体" w:eastAsia="宋体" w:cs="宋体"/>
          <w:color w:val="auto"/>
          <w:kern w:val="0"/>
          <w:sz w:val="24"/>
          <w:szCs w:val="24"/>
          <w:highlight w:val="none"/>
        </w:rPr>
        <w:t>仲裁委员会</w:t>
      </w:r>
      <w:r>
        <w:rPr>
          <w:rFonts w:hint="eastAsia" w:ascii="宋体" w:hAnsi="宋体" w:eastAsia="宋体" w:cs="宋体"/>
          <w:color w:val="auto"/>
          <w:kern w:val="0"/>
          <w:sz w:val="24"/>
          <w:szCs w:val="24"/>
          <w:highlight w:val="none"/>
        </w:rPr>
        <w:fldChar w:fldCharType="end"/>
      </w:r>
      <w:r>
        <w:rPr>
          <w:rFonts w:hint="eastAsia" w:ascii="宋体" w:hAnsi="宋体" w:eastAsia="宋体" w:cs="宋体"/>
          <w:color w:val="auto"/>
          <w:kern w:val="0"/>
          <w:sz w:val="24"/>
          <w:szCs w:val="24"/>
          <w:highlight w:val="none"/>
        </w:rPr>
        <w:t>）提起仲裁。</w:t>
      </w:r>
    </w:p>
    <w:p w14:paraId="69EA9887">
      <w:pPr>
        <w:adjustRightInd w:val="0"/>
        <w:snapToGrid w:val="0"/>
        <w:spacing w:line="360" w:lineRule="auto"/>
        <w:ind w:firstLine="480" w:firstLineChars="200"/>
        <w:rPr>
          <w:rFonts w:hint="eastAsia" w:ascii="宋体" w:hAnsi="宋体" w:eastAsia="宋体" w:cs="宋体"/>
          <w:color w:val="auto"/>
          <w:sz w:val="24"/>
          <w:szCs w:val="24"/>
          <w:highlight w:val="none"/>
          <w:lang w:val="en-US" w:eastAsia="zh-CN"/>
        </w:rPr>
      </w:pPr>
      <w:bookmarkStart w:id="34" w:name="_Toc19515395"/>
      <w:r>
        <w:rPr>
          <w:rFonts w:hint="eastAsia" w:ascii="宋体" w:hAnsi="宋体" w:eastAsia="宋体" w:cs="宋体"/>
          <w:color w:val="auto"/>
          <w:sz w:val="24"/>
          <w:szCs w:val="24"/>
          <w:highlight w:val="none"/>
        </w:rPr>
        <w:t>十、合同生效及其它</w:t>
      </w:r>
      <w:bookmarkEnd w:id="34"/>
      <w:r>
        <w:rPr>
          <w:rFonts w:hint="eastAsia" w:ascii="宋体" w:hAnsi="宋体" w:eastAsia="宋体" w:cs="宋体"/>
          <w:color w:val="auto"/>
          <w:sz w:val="24"/>
          <w:szCs w:val="24"/>
          <w:highlight w:val="none"/>
          <w:lang w:val="en-US" w:eastAsia="zh-CN"/>
        </w:rPr>
        <w:t>约定</w:t>
      </w:r>
    </w:p>
    <w:p w14:paraId="2FF21CE3">
      <w:pPr>
        <w:widowControl/>
        <w:autoSpaceDE w:val="0"/>
        <w:autoSpaceDN w:val="0"/>
        <w:snapToGrid w:val="0"/>
        <w:spacing w:line="360" w:lineRule="auto"/>
        <w:ind w:right="-110" w:firstLine="480" w:firstLineChars="200"/>
        <w:textAlignment w:val="bottom"/>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1、合同未尽事宜、由甲、乙双方协商，作为合同补充，与原合同具有同等法律效力。</w:t>
      </w:r>
    </w:p>
    <w:p w14:paraId="25FB46B9">
      <w:pPr>
        <w:widowControl/>
        <w:autoSpaceDE w:val="0"/>
        <w:autoSpaceDN w:val="0"/>
        <w:snapToGrid w:val="0"/>
        <w:spacing w:line="360" w:lineRule="auto"/>
        <w:ind w:right="-110" w:firstLine="480" w:firstLineChars="200"/>
        <w:textAlignment w:val="bottom"/>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2.政府采购合同履行中，采购人需追加与合同标的相同的货物、工程或者服务的，在不改变合同其他条款的前提下，可以与供应商协商签订补充合同，但所有补充合同的采购金额不得超过原合同采购金额的百分之十。</w:t>
      </w:r>
    </w:p>
    <w:p w14:paraId="2403E9AA">
      <w:pPr>
        <w:widowControl/>
        <w:tabs>
          <w:tab w:val="left" w:pos="8391"/>
        </w:tabs>
        <w:autoSpaceDE w:val="0"/>
        <w:autoSpaceDN w:val="0"/>
        <w:snapToGrid w:val="0"/>
        <w:spacing w:line="360" w:lineRule="auto"/>
        <w:ind w:right="-69" w:firstLine="480" w:firstLineChars="200"/>
        <w:textAlignment w:val="bottom"/>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3</w:t>
      </w:r>
      <w:r>
        <w:rPr>
          <w:rFonts w:hint="eastAsia" w:ascii="宋体" w:hAnsi="宋体" w:eastAsia="宋体" w:cs="宋体"/>
          <w:color w:val="auto"/>
          <w:kern w:val="0"/>
          <w:sz w:val="24"/>
          <w:szCs w:val="24"/>
          <w:highlight w:val="none"/>
        </w:rPr>
        <w:t>、 本合同一式</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份，甲方、乙方双方分别执</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份，</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备案</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份。</w:t>
      </w:r>
    </w:p>
    <w:p w14:paraId="24AD0892">
      <w:pPr>
        <w:widowControl/>
        <w:tabs>
          <w:tab w:val="left" w:pos="8391"/>
        </w:tabs>
        <w:autoSpaceDE w:val="0"/>
        <w:autoSpaceDN w:val="0"/>
        <w:snapToGrid w:val="0"/>
        <w:spacing w:line="360" w:lineRule="auto"/>
        <w:ind w:right="-69" w:firstLine="480" w:firstLineChars="200"/>
        <w:textAlignment w:val="bottom"/>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4</w:t>
      </w:r>
      <w:r>
        <w:rPr>
          <w:rFonts w:hint="eastAsia" w:ascii="宋体" w:hAnsi="宋体" w:eastAsia="宋体" w:cs="宋体"/>
          <w:color w:val="auto"/>
          <w:kern w:val="0"/>
          <w:sz w:val="24"/>
          <w:szCs w:val="24"/>
          <w:highlight w:val="none"/>
        </w:rPr>
        <w:t>、合同经甲乙双方盖章、签字后生效，合同签订地点为</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w:t>
      </w:r>
    </w:p>
    <w:p w14:paraId="083B5DC1">
      <w:pPr>
        <w:widowControl/>
        <w:tabs>
          <w:tab w:val="left" w:pos="8391"/>
        </w:tabs>
        <w:autoSpaceDE w:val="0"/>
        <w:autoSpaceDN w:val="0"/>
        <w:snapToGrid w:val="0"/>
        <w:spacing w:line="360" w:lineRule="auto"/>
        <w:ind w:right="-69" w:firstLine="480" w:firstLineChars="200"/>
        <w:textAlignment w:val="bottom"/>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5</w:t>
      </w:r>
      <w:r>
        <w:rPr>
          <w:rFonts w:hint="eastAsia" w:ascii="宋体" w:hAnsi="宋体" w:eastAsia="宋体" w:cs="宋体"/>
          <w:color w:val="auto"/>
          <w:kern w:val="0"/>
          <w:sz w:val="24"/>
          <w:szCs w:val="24"/>
          <w:highlight w:val="none"/>
        </w:rPr>
        <w:t>、生效时间：</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年</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月</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日</w:t>
      </w:r>
    </w:p>
    <w:p w14:paraId="1059188B">
      <w:pPr>
        <w:widowControl/>
        <w:tabs>
          <w:tab w:val="left" w:pos="8391"/>
        </w:tabs>
        <w:autoSpaceDE w:val="0"/>
        <w:autoSpaceDN w:val="0"/>
        <w:snapToGrid w:val="0"/>
        <w:spacing w:line="360" w:lineRule="auto"/>
        <w:ind w:right="-69" w:firstLine="840" w:firstLineChars="350"/>
        <w:textAlignment w:val="bottom"/>
        <w:rPr>
          <w:rFonts w:hint="eastAsia" w:ascii="宋体" w:hAnsi="宋体" w:eastAsia="宋体" w:cs="宋体"/>
          <w:color w:val="auto"/>
          <w:kern w:val="0"/>
          <w:sz w:val="24"/>
          <w:szCs w:val="24"/>
          <w:highlight w:val="none"/>
        </w:rPr>
      </w:pPr>
    </w:p>
    <w:tbl>
      <w:tblPr>
        <w:tblStyle w:val="28"/>
        <w:tblW w:w="0" w:type="auto"/>
        <w:jc w:val="center"/>
        <w:tblLayout w:type="fixed"/>
        <w:tblCellMar>
          <w:top w:w="0" w:type="dxa"/>
          <w:left w:w="108" w:type="dxa"/>
          <w:bottom w:w="0" w:type="dxa"/>
          <w:right w:w="108" w:type="dxa"/>
        </w:tblCellMar>
      </w:tblPr>
      <w:tblGrid>
        <w:gridCol w:w="4643"/>
        <w:gridCol w:w="4643"/>
      </w:tblGrid>
      <w:tr w14:paraId="7AA7279B">
        <w:tblPrEx>
          <w:tblCellMar>
            <w:top w:w="0" w:type="dxa"/>
            <w:left w:w="108" w:type="dxa"/>
            <w:bottom w:w="0" w:type="dxa"/>
            <w:right w:w="108" w:type="dxa"/>
          </w:tblCellMar>
        </w:tblPrEx>
        <w:trPr>
          <w:jc w:val="center"/>
        </w:trPr>
        <w:tc>
          <w:tcPr>
            <w:tcW w:w="4643" w:type="dxa"/>
            <w:noWrap w:val="0"/>
            <w:vAlign w:val="top"/>
          </w:tcPr>
          <w:p w14:paraId="6A7EFB1E">
            <w:pPr>
              <w:widowControl/>
              <w:autoSpaceDE w:val="0"/>
              <w:autoSpaceDN w:val="0"/>
              <w:snapToGrid w:val="0"/>
              <w:spacing w:line="360" w:lineRule="auto"/>
              <w:ind w:right="-154"/>
              <w:textAlignment w:val="bottom"/>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甲方名称</w:t>
            </w:r>
            <w:r>
              <w:rPr>
                <w:rFonts w:hint="eastAsia" w:ascii="宋体" w:hAnsi="宋体" w:eastAsia="宋体" w:cs="宋体"/>
                <w:color w:val="auto"/>
                <w:spacing w:val="-20"/>
                <w:kern w:val="0"/>
                <w:sz w:val="24"/>
                <w:szCs w:val="24"/>
                <w:highlight w:val="none"/>
              </w:rPr>
              <w:t>（盖章）</w:t>
            </w:r>
            <w:r>
              <w:rPr>
                <w:rFonts w:hint="eastAsia" w:ascii="宋体" w:hAnsi="宋体" w:eastAsia="宋体" w:cs="宋体"/>
                <w:color w:val="auto"/>
                <w:kern w:val="0"/>
                <w:sz w:val="24"/>
                <w:szCs w:val="24"/>
                <w:highlight w:val="none"/>
              </w:rPr>
              <w:t>:</w:t>
            </w:r>
          </w:p>
          <w:p w14:paraId="65B95A66">
            <w:pPr>
              <w:widowControl/>
              <w:autoSpaceDE w:val="0"/>
              <w:autoSpaceDN w:val="0"/>
              <w:snapToGrid w:val="0"/>
              <w:spacing w:line="360" w:lineRule="auto"/>
              <w:ind w:right="-154"/>
              <w:textAlignment w:val="bottom"/>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地址：</w:t>
            </w:r>
          </w:p>
          <w:p w14:paraId="56D2CDDE">
            <w:pPr>
              <w:widowControl/>
              <w:autoSpaceDE w:val="0"/>
              <w:autoSpaceDN w:val="0"/>
              <w:snapToGrid w:val="0"/>
              <w:spacing w:line="360" w:lineRule="auto"/>
              <w:ind w:right="-154"/>
              <w:textAlignment w:val="bottom"/>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代表人（签字）：</w:t>
            </w:r>
          </w:p>
          <w:p w14:paraId="1B90715A">
            <w:pPr>
              <w:widowControl/>
              <w:autoSpaceDE w:val="0"/>
              <w:autoSpaceDN w:val="0"/>
              <w:snapToGrid w:val="0"/>
              <w:spacing w:line="360" w:lineRule="auto"/>
              <w:ind w:right="-154"/>
              <w:textAlignment w:val="bottom"/>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电话：</w:t>
            </w:r>
          </w:p>
          <w:p w14:paraId="2108A2BD">
            <w:pPr>
              <w:widowControl/>
              <w:autoSpaceDE w:val="0"/>
              <w:autoSpaceDN w:val="0"/>
              <w:snapToGrid w:val="0"/>
              <w:spacing w:line="360" w:lineRule="auto"/>
              <w:ind w:right="-154"/>
              <w:textAlignment w:val="bottom"/>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开户银行：</w:t>
            </w:r>
          </w:p>
          <w:p w14:paraId="28CE306F">
            <w:pPr>
              <w:widowControl/>
              <w:autoSpaceDE w:val="0"/>
              <w:autoSpaceDN w:val="0"/>
              <w:snapToGrid w:val="0"/>
              <w:spacing w:line="360" w:lineRule="auto"/>
              <w:ind w:right="-154"/>
              <w:textAlignment w:val="bottom"/>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账号：</w:t>
            </w:r>
          </w:p>
        </w:tc>
        <w:tc>
          <w:tcPr>
            <w:tcW w:w="4643" w:type="dxa"/>
            <w:noWrap w:val="0"/>
            <w:vAlign w:val="top"/>
          </w:tcPr>
          <w:p w14:paraId="1100F1E2">
            <w:pPr>
              <w:widowControl/>
              <w:autoSpaceDE w:val="0"/>
              <w:autoSpaceDN w:val="0"/>
              <w:snapToGrid w:val="0"/>
              <w:spacing w:line="360" w:lineRule="auto"/>
              <w:ind w:right="-154"/>
              <w:textAlignment w:val="bottom"/>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乙方名称</w:t>
            </w:r>
            <w:r>
              <w:rPr>
                <w:rFonts w:hint="eastAsia" w:ascii="宋体" w:hAnsi="宋体" w:eastAsia="宋体" w:cs="宋体"/>
                <w:color w:val="auto"/>
                <w:spacing w:val="-20"/>
                <w:kern w:val="0"/>
                <w:sz w:val="24"/>
                <w:szCs w:val="24"/>
                <w:highlight w:val="none"/>
              </w:rPr>
              <w:t>（盖章）</w:t>
            </w:r>
            <w:r>
              <w:rPr>
                <w:rFonts w:hint="eastAsia" w:ascii="宋体" w:hAnsi="宋体" w:eastAsia="宋体" w:cs="宋体"/>
                <w:color w:val="auto"/>
                <w:kern w:val="0"/>
                <w:sz w:val="24"/>
                <w:szCs w:val="24"/>
                <w:highlight w:val="none"/>
              </w:rPr>
              <w:t>:</w:t>
            </w:r>
          </w:p>
          <w:p w14:paraId="3A1C684B">
            <w:pPr>
              <w:widowControl/>
              <w:autoSpaceDE w:val="0"/>
              <w:autoSpaceDN w:val="0"/>
              <w:snapToGrid w:val="0"/>
              <w:spacing w:line="360" w:lineRule="auto"/>
              <w:ind w:right="-154"/>
              <w:textAlignment w:val="bottom"/>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地址：</w:t>
            </w:r>
          </w:p>
          <w:p w14:paraId="5C149681">
            <w:pPr>
              <w:widowControl/>
              <w:autoSpaceDE w:val="0"/>
              <w:autoSpaceDN w:val="0"/>
              <w:snapToGrid w:val="0"/>
              <w:spacing w:line="360" w:lineRule="auto"/>
              <w:ind w:right="-154"/>
              <w:textAlignment w:val="bottom"/>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代表人（签字）：</w:t>
            </w:r>
          </w:p>
          <w:p w14:paraId="37626EA6">
            <w:pPr>
              <w:widowControl/>
              <w:autoSpaceDE w:val="0"/>
              <w:autoSpaceDN w:val="0"/>
              <w:snapToGrid w:val="0"/>
              <w:spacing w:line="360" w:lineRule="auto"/>
              <w:ind w:right="-154"/>
              <w:textAlignment w:val="bottom"/>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电话：</w:t>
            </w:r>
          </w:p>
          <w:p w14:paraId="025349E9">
            <w:pPr>
              <w:widowControl/>
              <w:autoSpaceDE w:val="0"/>
              <w:autoSpaceDN w:val="0"/>
              <w:snapToGrid w:val="0"/>
              <w:spacing w:line="360" w:lineRule="auto"/>
              <w:ind w:right="-154"/>
              <w:textAlignment w:val="bottom"/>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开户银行：</w:t>
            </w:r>
          </w:p>
          <w:p w14:paraId="55EEF70B">
            <w:pPr>
              <w:widowControl/>
              <w:autoSpaceDE w:val="0"/>
              <w:autoSpaceDN w:val="0"/>
              <w:snapToGrid w:val="0"/>
              <w:spacing w:line="360" w:lineRule="auto"/>
              <w:ind w:right="-154"/>
              <w:textAlignment w:val="bottom"/>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账号：</w:t>
            </w:r>
          </w:p>
        </w:tc>
      </w:tr>
    </w:tbl>
    <w:p w14:paraId="07E60ABD">
      <w:pPr>
        <w:rPr>
          <w:highlight w:val="none"/>
        </w:rPr>
      </w:pPr>
    </w:p>
    <w:p w14:paraId="481C8B7D">
      <w:pP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br w:type="page"/>
      </w:r>
    </w:p>
    <w:p w14:paraId="240C8FFD">
      <w:pPr>
        <w:keepNext/>
        <w:keepLines w:val="0"/>
        <w:pageBreakBefore w:val="0"/>
        <w:widowControl/>
        <w:numPr>
          <w:ilvl w:val="0"/>
          <w:numId w:val="0"/>
        </w:numPr>
        <w:kinsoku/>
        <w:wordWrap/>
        <w:overflowPunct/>
        <w:topLinePunct w:val="0"/>
        <w:autoSpaceDE/>
        <w:autoSpaceDN/>
        <w:bidi w:val="0"/>
        <w:adjustRightInd/>
        <w:snapToGrid/>
        <w:ind w:leftChars="0"/>
        <w:textAlignment w:val="auto"/>
        <w:outlineLvl w:val="9"/>
        <w:rPr>
          <w:rFonts w:hint="eastAsia"/>
          <w:highlight w:val="none"/>
        </w:rPr>
      </w:pPr>
    </w:p>
    <w:p w14:paraId="1FA73992">
      <w:pPr>
        <w:pStyle w:val="3"/>
        <w:rPr>
          <w:rFonts w:hint="eastAsia" w:ascii="宋体" w:hAnsi="宋体" w:eastAsia="宋体" w:cs="宋体"/>
          <w:b/>
          <w:bCs/>
          <w:sz w:val="36"/>
          <w:szCs w:val="36"/>
          <w:highlight w:val="none"/>
        </w:rPr>
      </w:pPr>
      <w:bookmarkStart w:id="35" w:name="_Toc9126"/>
      <w:r>
        <w:rPr>
          <w:rFonts w:hint="eastAsia" w:ascii="宋体" w:hAnsi="宋体" w:eastAsia="宋体" w:cs="宋体"/>
          <w:b/>
          <w:bCs/>
          <w:sz w:val="36"/>
          <w:szCs w:val="36"/>
          <w:highlight w:val="none"/>
        </w:rPr>
        <w:t>第五章  投标文件构成及格式</w:t>
      </w:r>
      <w:bookmarkEnd w:id="20"/>
      <w:bookmarkEnd w:id="21"/>
      <w:bookmarkEnd w:id="35"/>
    </w:p>
    <w:p w14:paraId="66D3B0C6">
      <w:pPr>
        <w:spacing w:line="560" w:lineRule="exact"/>
        <w:jc w:val="both"/>
        <w:rPr>
          <w:rFonts w:hint="eastAsia" w:ascii="宋体" w:hAnsi="宋体" w:eastAsia="宋体" w:cs="宋体"/>
          <w:b/>
          <w:bCs/>
          <w:sz w:val="36"/>
          <w:szCs w:val="36"/>
          <w:highlight w:val="none"/>
        </w:rPr>
      </w:pPr>
    </w:p>
    <w:p w14:paraId="493C6883">
      <w:pPr>
        <w:bidi w:val="0"/>
        <w:jc w:val="center"/>
        <w:rPr>
          <w:rFonts w:hint="eastAsia" w:ascii="宋体" w:hAnsi="宋体" w:eastAsia="宋体" w:cs="宋体"/>
          <w:b/>
          <w:bCs/>
          <w:sz w:val="36"/>
          <w:szCs w:val="36"/>
          <w:highlight w:val="none"/>
          <w:lang w:val="en-US" w:eastAsia="zh-CN"/>
        </w:rPr>
      </w:pPr>
    </w:p>
    <w:p w14:paraId="5C0C4B89">
      <w:pPr>
        <w:bidi w:val="0"/>
        <w:jc w:val="center"/>
        <w:rPr>
          <w:rFonts w:hint="eastAsia" w:ascii="宋体" w:hAnsi="宋体" w:eastAsia="宋体" w:cs="宋体"/>
          <w:b/>
          <w:bCs/>
          <w:sz w:val="36"/>
          <w:szCs w:val="36"/>
          <w:highlight w:val="none"/>
          <w:lang w:eastAsia="zh-CN"/>
        </w:rPr>
      </w:pPr>
      <w:r>
        <w:rPr>
          <w:rFonts w:hint="eastAsia" w:ascii="宋体" w:hAnsi="宋体" w:eastAsia="宋体" w:cs="宋体"/>
          <w:b/>
          <w:bCs/>
          <w:sz w:val="36"/>
          <w:szCs w:val="36"/>
          <w:highlight w:val="none"/>
          <w:lang w:eastAsia="zh-CN"/>
        </w:rPr>
        <w:t>2025年全区学校教育教学设施设备采购项目第二批次(信息化及多媒体类部室)</w:t>
      </w:r>
    </w:p>
    <w:p w14:paraId="25A30503">
      <w:pPr>
        <w:outlineLvl w:val="9"/>
        <w:rPr>
          <w:rFonts w:hint="eastAsia" w:ascii="宋体" w:hAnsi="宋体" w:eastAsia="宋体" w:cs="宋体"/>
          <w:b/>
          <w:bCs/>
          <w:sz w:val="36"/>
          <w:szCs w:val="36"/>
          <w:highlight w:val="none"/>
        </w:rPr>
      </w:pPr>
    </w:p>
    <w:p w14:paraId="663F9D08">
      <w:pPr>
        <w:jc w:val="center"/>
        <w:outlineLvl w:val="9"/>
        <w:rPr>
          <w:rFonts w:hint="eastAsia" w:ascii="宋体" w:hAnsi="宋体" w:eastAsia="宋体" w:cs="宋体"/>
          <w:sz w:val="56"/>
          <w:szCs w:val="56"/>
          <w:highlight w:val="none"/>
        </w:rPr>
      </w:pPr>
      <w:r>
        <w:rPr>
          <w:rFonts w:hint="eastAsia" w:ascii="宋体" w:hAnsi="宋体" w:eastAsia="宋体" w:cs="宋体"/>
          <w:b/>
          <w:bCs/>
          <w:sz w:val="56"/>
          <w:szCs w:val="56"/>
          <w:highlight w:val="none"/>
        </w:rPr>
        <w:t>投标文件</w:t>
      </w:r>
    </w:p>
    <w:p w14:paraId="6E77BBB6">
      <w:pPr>
        <w:jc w:val="center"/>
        <w:rPr>
          <w:rFonts w:hint="eastAsia" w:ascii="宋体" w:hAnsi="宋体" w:eastAsia="宋体" w:cs="宋体"/>
          <w:sz w:val="36"/>
          <w:szCs w:val="36"/>
          <w:highlight w:val="none"/>
          <w:lang w:eastAsia="zh-CN"/>
        </w:rPr>
      </w:pPr>
      <w:r>
        <w:rPr>
          <w:rFonts w:hint="eastAsia" w:ascii="宋体" w:hAnsi="宋体" w:eastAsia="宋体" w:cs="宋体"/>
          <w:sz w:val="36"/>
          <w:szCs w:val="36"/>
          <w:highlight w:val="none"/>
          <w:lang w:eastAsia="zh-CN"/>
        </w:rPr>
        <w:t>（</w:t>
      </w:r>
      <w:r>
        <w:rPr>
          <w:rFonts w:hint="eastAsia" w:ascii="宋体" w:hAnsi="宋体" w:eastAsia="宋体" w:cs="宋体"/>
          <w:b/>
          <w:bCs/>
          <w:sz w:val="36"/>
          <w:szCs w:val="36"/>
          <w:highlight w:val="none"/>
          <w:lang w:eastAsia="zh-CN"/>
        </w:rPr>
        <w:t>第</w:t>
      </w:r>
      <w:r>
        <w:rPr>
          <w:rFonts w:hint="eastAsia" w:ascii="宋体" w:hAnsi="宋体" w:eastAsia="宋体" w:cs="宋体"/>
          <w:b/>
          <w:bCs/>
          <w:sz w:val="36"/>
          <w:szCs w:val="36"/>
          <w:highlight w:val="none"/>
          <w:lang w:val="en-US" w:eastAsia="zh-CN"/>
        </w:rPr>
        <w:t>四</w:t>
      </w:r>
      <w:r>
        <w:rPr>
          <w:rFonts w:hint="eastAsia" w:ascii="宋体" w:hAnsi="宋体" w:eastAsia="宋体" w:cs="宋体"/>
          <w:b/>
          <w:bCs/>
          <w:sz w:val="36"/>
          <w:szCs w:val="36"/>
          <w:highlight w:val="none"/>
          <w:lang w:eastAsia="zh-CN"/>
        </w:rPr>
        <w:t>包</w:t>
      </w:r>
      <w:r>
        <w:rPr>
          <w:rFonts w:hint="eastAsia" w:ascii="宋体" w:hAnsi="宋体" w:eastAsia="宋体" w:cs="宋体"/>
          <w:sz w:val="36"/>
          <w:szCs w:val="36"/>
          <w:highlight w:val="none"/>
          <w:lang w:eastAsia="zh-CN"/>
        </w:rPr>
        <w:t>）</w:t>
      </w:r>
    </w:p>
    <w:p w14:paraId="1ED09526">
      <w:pPr>
        <w:ind w:left="0" w:leftChars="0" w:firstLine="0" w:firstLineChars="0"/>
        <w:jc w:val="center"/>
        <w:outlineLvl w:val="9"/>
        <w:rPr>
          <w:rFonts w:hint="eastAsia" w:ascii="宋体" w:hAnsi="宋体" w:eastAsia="宋体" w:cs="宋体"/>
          <w:b/>
          <w:bCs/>
          <w:sz w:val="36"/>
          <w:szCs w:val="36"/>
          <w:highlight w:val="none"/>
        </w:rPr>
      </w:pPr>
      <w:r>
        <w:rPr>
          <w:rFonts w:hint="eastAsia" w:ascii="宋体" w:hAnsi="宋体" w:eastAsia="宋体" w:cs="宋体"/>
          <w:b/>
          <w:bCs/>
          <w:sz w:val="36"/>
          <w:szCs w:val="36"/>
          <w:highlight w:val="none"/>
        </w:rPr>
        <w:t>（项目编号：</w:t>
      </w:r>
      <w:r>
        <w:rPr>
          <w:rFonts w:hint="eastAsia" w:ascii="宋体" w:hAnsi="宋体" w:eastAsia="宋体" w:cs="宋体"/>
          <w:b/>
          <w:bCs/>
          <w:sz w:val="36"/>
          <w:szCs w:val="36"/>
          <w:highlight w:val="none"/>
          <w:lang w:eastAsia="zh-CN"/>
        </w:rPr>
        <w:t>HSGJ2025-164</w:t>
      </w:r>
      <w:r>
        <w:rPr>
          <w:rFonts w:hint="eastAsia" w:ascii="宋体" w:hAnsi="宋体" w:eastAsia="宋体" w:cs="宋体"/>
          <w:b/>
          <w:bCs/>
          <w:sz w:val="36"/>
          <w:szCs w:val="36"/>
          <w:highlight w:val="none"/>
        </w:rPr>
        <w:t>）</w:t>
      </w:r>
    </w:p>
    <w:p w14:paraId="065B91C2">
      <w:pPr>
        <w:spacing w:line="560" w:lineRule="exact"/>
        <w:ind w:firstLine="480" w:firstLineChars="200"/>
        <w:jc w:val="both"/>
        <w:rPr>
          <w:rFonts w:hint="eastAsia" w:ascii="宋体" w:hAnsi="宋体" w:eastAsia="宋体" w:cs="宋体"/>
          <w:sz w:val="24"/>
          <w:szCs w:val="24"/>
          <w:highlight w:val="none"/>
        </w:rPr>
      </w:pPr>
    </w:p>
    <w:p w14:paraId="0B7A3B0E">
      <w:pPr>
        <w:spacing w:line="560" w:lineRule="exact"/>
        <w:ind w:firstLine="480" w:firstLineChars="200"/>
        <w:jc w:val="both"/>
        <w:rPr>
          <w:rFonts w:hint="eastAsia" w:ascii="宋体" w:hAnsi="宋体" w:eastAsia="宋体" w:cs="宋体"/>
          <w:sz w:val="24"/>
          <w:szCs w:val="24"/>
          <w:highlight w:val="none"/>
        </w:rPr>
      </w:pPr>
    </w:p>
    <w:p w14:paraId="28F46597">
      <w:pPr>
        <w:spacing w:line="560" w:lineRule="exact"/>
        <w:ind w:firstLine="480" w:firstLineChars="200"/>
        <w:jc w:val="both"/>
        <w:rPr>
          <w:rFonts w:hint="eastAsia" w:ascii="宋体" w:hAnsi="宋体" w:eastAsia="宋体" w:cs="宋体"/>
          <w:sz w:val="24"/>
          <w:szCs w:val="24"/>
          <w:highlight w:val="none"/>
        </w:rPr>
      </w:pPr>
    </w:p>
    <w:p w14:paraId="2E672EF3">
      <w:pPr>
        <w:spacing w:line="560" w:lineRule="exact"/>
        <w:ind w:firstLine="480" w:firstLineChars="200"/>
        <w:jc w:val="both"/>
        <w:rPr>
          <w:rFonts w:hint="eastAsia" w:ascii="宋体" w:hAnsi="宋体" w:eastAsia="宋体" w:cs="宋体"/>
          <w:sz w:val="24"/>
          <w:szCs w:val="24"/>
          <w:highlight w:val="none"/>
        </w:rPr>
      </w:pPr>
    </w:p>
    <w:p w14:paraId="59DB2C97">
      <w:pPr>
        <w:spacing w:line="560" w:lineRule="exact"/>
        <w:ind w:firstLine="480" w:firstLineChars="200"/>
        <w:jc w:val="both"/>
        <w:rPr>
          <w:rFonts w:hint="eastAsia" w:ascii="宋体" w:hAnsi="宋体" w:eastAsia="宋体" w:cs="宋体"/>
          <w:sz w:val="24"/>
          <w:szCs w:val="24"/>
          <w:highlight w:val="none"/>
        </w:rPr>
      </w:pPr>
    </w:p>
    <w:p w14:paraId="3F099C90">
      <w:pPr>
        <w:spacing w:line="560" w:lineRule="exact"/>
        <w:ind w:firstLine="480" w:firstLineChars="200"/>
        <w:jc w:val="both"/>
        <w:rPr>
          <w:rFonts w:hint="eastAsia" w:ascii="宋体" w:hAnsi="宋体" w:eastAsia="宋体" w:cs="宋体"/>
          <w:sz w:val="24"/>
          <w:szCs w:val="24"/>
          <w:highlight w:val="none"/>
        </w:rPr>
      </w:pPr>
    </w:p>
    <w:p w14:paraId="3815C574">
      <w:pPr>
        <w:pStyle w:val="15"/>
        <w:rPr>
          <w:rFonts w:hint="eastAsia" w:ascii="宋体" w:hAnsi="宋体" w:eastAsia="宋体" w:cs="宋体"/>
          <w:sz w:val="24"/>
          <w:szCs w:val="24"/>
          <w:highlight w:val="none"/>
        </w:rPr>
      </w:pPr>
    </w:p>
    <w:p w14:paraId="36BE2B13">
      <w:pPr>
        <w:spacing w:line="360" w:lineRule="auto"/>
        <w:ind w:firstLine="1920" w:firstLineChars="600"/>
        <w:rPr>
          <w:rFonts w:hint="eastAsia" w:ascii="宋体" w:hAnsi="宋体" w:eastAsia="宋体" w:cs="宋体"/>
          <w:b/>
          <w:sz w:val="32"/>
          <w:szCs w:val="32"/>
          <w:highlight w:val="none"/>
        </w:rPr>
      </w:pPr>
      <w:r>
        <w:rPr>
          <w:rFonts w:hint="eastAsia" w:ascii="宋体" w:hAnsi="宋体" w:eastAsia="宋体" w:cs="宋体"/>
          <w:b/>
          <w:sz w:val="32"/>
          <w:szCs w:val="32"/>
          <w:highlight w:val="none"/>
        </w:rPr>
        <w:t>供 应 商：</w:t>
      </w:r>
      <w:r>
        <w:rPr>
          <w:rFonts w:hint="eastAsia" w:ascii="宋体" w:hAnsi="宋体" w:eastAsia="宋体" w:cs="宋体"/>
          <w:b/>
          <w:sz w:val="32"/>
          <w:szCs w:val="32"/>
          <w:highlight w:val="none"/>
          <w:u w:val="single"/>
        </w:rPr>
        <w:t xml:space="preserve">                 （盖章）</w:t>
      </w:r>
    </w:p>
    <w:p w14:paraId="46D8CD9F">
      <w:pPr>
        <w:spacing w:line="360" w:lineRule="auto"/>
        <w:ind w:firstLine="1920" w:firstLineChars="600"/>
        <w:rPr>
          <w:rFonts w:hint="eastAsia" w:ascii="宋体" w:hAnsi="宋体" w:eastAsia="宋体" w:cs="宋体"/>
          <w:b/>
          <w:sz w:val="32"/>
          <w:szCs w:val="32"/>
          <w:highlight w:val="none"/>
        </w:rPr>
      </w:pPr>
      <w:r>
        <w:rPr>
          <w:rFonts w:hint="eastAsia" w:ascii="宋体" w:hAnsi="宋体" w:eastAsia="宋体" w:cs="宋体"/>
          <w:b/>
          <w:sz w:val="32"/>
          <w:szCs w:val="32"/>
          <w:highlight w:val="none"/>
        </w:rPr>
        <w:t>日    期：     年  月  日</w:t>
      </w:r>
    </w:p>
    <w:p w14:paraId="7A7E1304">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br w:type="page"/>
      </w:r>
    </w:p>
    <w:p w14:paraId="373CE2D2">
      <w:pPr>
        <w:spacing w:line="560" w:lineRule="exact"/>
        <w:ind w:firstLine="480" w:firstLineChars="200"/>
        <w:jc w:val="center"/>
        <w:rPr>
          <w:rFonts w:hint="eastAsia" w:ascii="宋体" w:hAnsi="宋体" w:eastAsia="宋体" w:cs="宋体"/>
          <w:sz w:val="24"/>
          <w:szCs w:val="24"/>
          <w:highlight w:val="none"/>
        </w:rPr>
      </w:pPr>
    </w:p>
    <w:p w14:paraId="378BFB9E">
      <w:pPr>
        <w:spacing w:line="560" w:lineRule="exact"/>
        <w:ind w:firstLine="640" w:firstLineChars="200"/>
        <w:jc w:val="center"/>
        <w:rPr>
          <w:rFonts w:hint="eastAsia" w:ascii="宋体" w:hAnsi="宋体" w:eastAsia="宋体" w:cs="宋体"/>
          <w:b/>
          <w:bCs/>
          <w:sz w:val="32"/>
          <w:szCs w:val="32"/>
          <w:highlight w:val="none"/>
        </w:rPr>
      </w:pPr>
      <w:r>
        <w:rPr>
          <w:rFonts w:hint="eastAsia" w:ascii="宋体" w:hAnsi="宋体" w:eastAsia="宋体" w:cs="宋体"/>
          <w:b/>
          <w:bCs/>
          <w:sz w:val="32"/>
          <w:szCs w:val="32"/>
          <w:highlight w:val="none"/>
        </w:rPr>
        <w:t>目    录</w:t>
      </w:r>
    </w:p>
    <w:p w14:paraId="17DEFFB8">
      <w:pPr>
        <w:spacing w:line="560" w:lineRule="exact"/>
        <w:ind w:firstLine="480" w:firstLineChars="200"/>
        <w:jc w:val="both"/>
        <w:rPr>
          <w:rFonts w:hint="eastAsia" w:ascii="宋体" w:hAnsi="宋体" w:eastAsia="宋体" w:cs="宋体"/>
          <w:sz w:val="24"/>
          <w:szCs w:val="24"/>
          <w:highlight w:val="none"/>
        </w:rPr>
      </w:pPr>
    </w:p>
    <w:p w14:paraId="5BFF3C59">
      <w:pPr>
        <w:spacing w:line="480" w:lineRule="auto"/>
        <w:ind w:firstLine="560" w:firstLineChars="200"/>
        <w:jc w:val="both"/>
        <w:rPr>
          <w:rFonts w:hint="eastAsia" w:ascii="宋体" w:hAnsi="宋体" w:eastAsia="宋体" w:cs="宋体"/>
          <w:sz w:val="28"/>
          <w:szCs w:val="28"/>
          <w:highlight w:val="none"/>
        </w:rPr>
      </w:pPr>
      <w:r>
        <w:rPr>
          <w:rFonts w:hint="eastAsia" w:ascii="宋体" w:hAnsi="宋体" w:eastAsia="宋体" w:cs="宋体"/>
          <w:sz w:val="28"/>
          <w:szCs w:val="28"/>
          <w:highlight w:val="none"/>
        </w:rPr>
        <w:t>第一部分  投标函</w:t>
      </w:r>
    </w:p>
    <w:p w14:paraId="33CF03D6">
      <w:pPr>
        <w:spacing w:line="480" w:lineRule="auto"/>
        <w:ind w:firstLine="560" w:firstLineChars="200"/>
        <w:jc w:val="both"/>
        <w:rPr>
          <w:rFonts w:hint="eastAsia" w:ascii="宋体" w:hAnsi="宋体" w:eastAsia="宋体" w:cs="宋体"/>
          <w:sz w:val="28"/>
          <w:szCs w:val="28"/>
          <w:highlight w:val="none"/>
        </w:rPr>
      </w:pPr>
      <w:r>
        <w:rPr>
          <w:rFonts w:hint="eastAsia" w:ascii="宋体" w:hAnsi="宋体" w:eastAsia="宋体" w:cs="宋体"/>
          <w:sz w:val="28"/>
          <w:szCs w:val="28"/>
          <w:highlight w:val="none"/>
        </w:rPr>
        <w:t>第二部分  开标一览表</w:t>
      </w:r>
    </w:p>
    <w:p w14:paraId="328CC9AF">
      <w:pPr>
        <w:spacing w:line="480" w:lineRule="auto"/>
        <w:ind w:firstLine="560" w:firstLineChars="200"/>
        <w:jc w:val="both"/>
        <w:rPr>
          <w:rFonts w:hint="eastAsia" w:ascii="宋体" w:hAnsi="宋体" w:eastAsia="宋体" w:cs="宋体"/>
          <w:sz w:val="28"/>
          <w:szCs w:val="28"/>
          <w:highlight w:val="none"/>
        </w:rPr>
      </w:pPr>
      <w:r>
        <w:rPr>
          <w:rFonts w:hint="eastAsia" w:ascii="宋体" w:hAnsi="宋体" w:eastAsia="宋体" w:cs="宋体"/>
          <w:sz w:val="28"/>
          <w:szCs w:val="28"/>
          <w:highlight w:val="none"/>
        </w:rPr>
        <w:t>第三部分  资格证明文件</w:t>
      </w:r>
    </w:p>
    <w:p w14:paraId="76A3BA60">
      <w:pPr>
        <w:spacing w:line="480" w:lineRule="auto"/>
        <w:ind w:firstLine="560" w:firstLineChars="200"/>
        <w:jc w:val="both"/>
        <w:rPr>
          <w:rFonts w:hint="eastAsia" w:ascii="宋体" w:hAnsi="宋体" w:eastAsia="宋体" w:cs="宋体"/>
          <w:sz w:val="28"/>
          <w:szCs w:val="28"/>
          <w:highlight w:val="none"/>
        </w:rPr>
      </w:pPr>
      <w:r>
        <w:rPr>
          <w:rFonts w:hint="eastAsia" w:ascii="宋体" w:hAnsi="宋体" w:eastAsia="宋体" w:cs="宋体"/>
          <w:sz w:val="28"/>
          <w:szCs w:val="28"/>
          <w:highlight w:val="none"/>
        </w:rPr>
        <w:t>第四部分  供应商概况</w:t>
      </w:r>
    </w:p>
    <w:p w14:paraId="54D316B2">
      <w:pPr>
        <w:spacing w:line="480" w:lineRule="auto"/>
        <w:ind w:firstLine="560" w:firstLineChars="200"/>
        <w:jc w:val="both"/>
        <w:rPr>
          <w:rFonts w:hint="eastAsia" w:ascii="宋体" w:hAnsi="宋体" w:eastAsia="宋体" w:cs="宋体"/>
          <w:sz w:val="28"/>
          <w:szCs w:val="28"/>
          <w:highlight w:val="none"/>
        </w:rPr>
      </w:pPr>
      <w:r>
        <w:rPr>
          <w:rFonts w:hint="eastAsia" w:ascii="宋体" w:hAnsi="宋体" w:eastAsia="宋体" w:cs="宋体"/>
          <w:sz w:val="28"/>
          <w:szCs w:val="28"/>
          <w:highlight w:val="none"/>
        </w:rPr>
        <w:t>第五部分  供应商参加政府采购活动承诺书</w:t>
      </w:r>
    </w:p>
    <w:p w14:paraId="6211A928">
      <w:pPr>
        <w:spacing w:line="480" w:lineRule="auto"/>
        <w:ind w:firstLine="560" w:firstLineChars="200"/>
        <w:jc w:val="both"/>
        <w:rPr>
          <w:rFonts w:hint="eastAsia" w:ascii="宋体" w:hAnsi="宋体" w:eastAsia="宋体" w:cs="宋体"/>
          <w:sz w:val="28"/>
          <w:szCs w:val="28"/>
          <w:highlight w:val="none"/>
        </w:rPr>
      </w:pPr>
      <w:r>
        <w:rPr>
          <w:rFonts w:hint="eastAsia" w:ascii="宋体" w:hAnsi="宋体" w:eastAsia="宋体" w:cs="宋体"/>
          <w:sz w:val="28"/>
          <w:szCs w:val="28"/>
          <w:highlight w:val="none"/>
        </w:rPr>
        <w:t>第六部分  投标方案</w:t>
      </w:r>
    </w:p>
    <w:p w14:paraId="11DA24AB">
      <w:pPr>
        <w:rPr>
          <w:rFonts w:hint="eastAsia" w:ascii="宋体" w:hAnsi="宋体" w:eastAsia="宋体" w:cs="宋体"/>
          <w:sz w:val="24"/>
          <w:szCs w:val="24"/>
          <w:highlight w:val="none"/>
        </w:rPr>
      </w:pPr>
      <w:r>
        <w:rPr>
          <w:rFonts w:hint="eastAsia" w:ascii="宋体" w:hAnsi="宋体" w:eastAsia="宋体" w:cs="宋体"/>
          <w:sz w:val="24"/>
          <w:szCs w:val="24"/>
          <w:highlight w:val="none"/>
        </w:rPr>
        <w:br w:type="page"/>
      </w:r>
    </w:p>
    <w:p w14:paraId="1D47D731">
      <w:pPr>
        <w:pStyle w:val="4"/>
        <w:jc w:val="center"/>
        <w:rPr>
          <w:rFonts w:hint="eastAsia" w:ascii="宋体" w:hAnsi="宋体" w:eastAsia="宋体" w:cs="宋体"/>
          <w:b/>
          <w:bCs/>
          <w:sz w:val="32"/>
          <w:szCs w:val="32"/>
          <w:highlight w:val="none"/>
        </w:rPr>
      </w:pPr>
      <w:r>
        <w:rPr>
          <w:rFonts w:hint="eastAsia" w:ascii="宋体" w:hAnsi="宋体" w:eastAsia="宋体" w:cs="宋体"/>
          <w:b/>
          <w:bCs/>
          <w:sz w:val="32"/>
          <w:szCs w:val="32"/>
          <w:highlight w:val="none"/>
        </w:rPr>
        <w:t>第一部分  投标函</w:t>
      </w:r>
    </w:p>
    <w:p w14:paraId="28F2DDBD">
      <w:pPr>
        <w:keepNext w:val="0"/>
        <w:keepLines w:val="0"/>
        <w:pageBreakBefore w:val="0"/>
        <w:widowControl w:val="0"/>
        <w:tabs>
          <w:tab w:val="left" w:pos="1809"/>
        </w:tabs>
        <w:kinsoku/>
        <w:wordWrap/>
        <w:overflowPunct/>
        <w:topLinePunct w:val="0"/>
        <w:autoSpaceDE/>
        <w:autoSpaceDN/>
        <w:bidi w:val="0"/>
        <w:adjustRightInd/>
        <w:snapToGrid/>
        <w:spacing w:line="348" w:lineRule="auto"/>
        <w:ind w:left="0" w:leftChars="0" w:right="0" w:firstLine="0" w:firstLineChars="0"/>
        <w:textAlignment w:val="auto"/>
        <w:rPr>
          <w:rFonts w:hint="eastAsia" w:ascii="宋体" w:hAnsi="宋体" w:eastAsia="宋体" w:cs="宋体"/>
          <w:sz w:val="24"/>
          <w:szCs w:val="24"/>
          <w:highlight w:val="none"/>
          <w:lang w:val="en-US" w:eastAsia="zh-CN" w:bidi="ar-SA"/>
        </w:rPr>
      </w:pPr>
      <w:r>
        <w:rPr>
          <w:rFonts w:hint="eastAsia" w:ascii="宋体" w:hAnsi="宋体" w:eastAsia="宋体" w:cs="宋体"/>
          <w:sz w:val="24"/>
          <w:szCs w:val="24"/>
          <w:highlight w:val="none"/>
          <w:lang w:val="en-US" w:eastAsia="zh-CN" w:bidi="ar-SA"/>
        </w:rPr>
        <w:t>致</w:t>
      </w:r>
      <w:r>
        <w:rPr>
          <w:rFonts w:hint="eastAsia" w:ascii="宋体" w:hAnsi="宋体" w:eastAsia="宋体" w:cs="宋体"/>
          <w:sz w:val="24"/>
          <w:szCs w:val="24"/>
          <w:highlight w:val="none"/>
          <w:u w:val="single" w:color="000000"/>
          <w:lang w:val="en-US" w:eastAsia="zh-CN" w:bidi="ar-SA"/>
        </w:rPr>
        <w:t xml:space="preserve">           </w:t>
      </w:r>
      <w:r>
        <w:rPr>
          <w:rFonts w:hint="eastAsia" w:ascii="宋体" w:hAnsi="宋体" w:eastAsia="宋体" w:cs="宋体"/>
          <w:sz w:val="24"/>
          <w:szCs w:val="24"/>
          <w:highlight w:val="none"/>
          <w:lang w:val="en-US" w:eastAsia="zh-CN" w:bidi="ar-SA"/>
        </w:rPr>
        <w:t>(采购人或采购代理机构)：</w:t>
      </w:r>
    </w:p>
    <w:p w14:paraId="0151FC7F">
      <w:pPr>
        <w:keepNext w:val="0"/>
        <w:keepLines w:val="0"/>
        <w:pageBreakBefore w:val="0"/>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我公司收到贵单位</w:t>
      </w:r>
      <w:r>
        <w:rPr>
          <w:rFonts w:hint="eastAsia" w:ascii="宋体" w:hAnsi="宋体" w:eastAsia="宋体" w:cs="宋体"/>
          <w:color w:val="000000" w:themeColor="text1"/>
          <w:sz w:val="24"/>
          <w:szCs w:val="24"/>
          <w:highlight w:val="none"/>
          <w:u w:val="single"/>
          <w14:textFill>
            <w14:solidFill>
              <w14:schemeClr w14:val="tx1"/>
            </w14:solidFill>
          </w14:textFill>
        </w:rPr>
        <w:t>〈项目名称〉</w:t>
      </w:r>
      <w:r>
        <w:rPr>
          <w:rFonts w:hint="eastAsia" w:ascii="宋体" w:hAnsi="宋体" w:eastAsia="宋体" w:cs="宋体"/>
          <w:color w:val="000000" w:themeColor="text1"/>
          <w:sz w:val="24"/>
          <w:szCs w:val="24"/>
          <w:highlight w:val="none"/>
          <w14:textFill>
            <w14:solidFill>
              <w14:schemeClr w14:val="tx1"/>
            </w14:solidFill>
          </w14:textFill>
        </w:rPr>
        <w:t>（项目编号：</w:t>
      </w:r>
      <w:r>
        <w:rPr>
          <w:rFonts w:hint="eastAsia" w:ascii="宋体" w:hAnsi="宋体" w:eastAsia="宋体" w:cs="宋体"/>
          <w:color w:val="000000" w:themeColor="text1"/>
          <w:sz w:val="24"/>
          <w:szCs w:val="24"/>
          <w:highlight w:val="none"/>
          <w:u w:val="single"/>
          <w14:textFill>
            <w14:solidFill>
              <w14:schemeClr w14:val="tx1"/>
            </w14:solidFill>
          </w14:textFill>
        </w:rPr>
        <w:t>〈项目编号〉</w:t>
      </w:r>
      <w:r>
        <w:rPr>
          <w:rFonts w:hint="eastAsia" w:ascii="宋体" w:hAnsi="宋体" w:eastAsia="宋体" w:cs="宋体"/>
          <w:color w:val="000000" w:themeColor="text1"/>
          <w:sz w:val="24"/>
          <w:szCs w:val="24"/>
          <w:highlight w:val="none"/>
          <w14:textFill>
            <w14:solidFill>
              <w14:schemeClr w14:val="tx1"/>
            </w14:solidFill>
          </w14:textFill>
        </w:rPr>
        <w:t>）招标文件，经详细研究，我方决定参加该项目</w:t>
      </w:r>
      <w:r>
        <w:rPr>
          <w:rFonts w:hint="eastAsia" w:ascii="宋体" w:hAnsi="宋体" w:eastAsia="宋体" w:cs="宋体"/>
          <w:sz w:val="24"/>
          <w:szCs w:val="24"/>
          <w:highlight w:val="none"/>
        </w:rPr>
        <w:t>的</w:t>
      </w:r>
      <w:r>
        <w:rPr>
          <w:rFonts w:hint="eastAsia" w:ascii="宋体" w:hAnsi="宋体" w:eastAsia="宋体" w:cs="宋体"/>
          <w:color w:val="000000"/>
          <w:sz w:val="24"/>
          <w:szCs w:val="24"/>
          <w:highlight w:val="none"/>
        </w:rPr>
        <w:t>招标活动。为此，我方郑重声明以下诸点，并负法律责任。</w:t>
      </w:r>
    </w:p>
    <w:p w14:paraId="1BD5AC16">
      <w:pPr>
        <w:keepNext w:val="0"/>
        <w:keepLines w:val="0"/>
        <w:pageBreakBefore w:val="0"/>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1．我方已详细阅读了招标文件，完全理解并同意招标文件的所有事项及内容。</w:t>
      </w:r>
    </w:p>
    <w:p w14:paraId="5BCAD804">
      <w:pPr>
        <w:keepNext w:val="0"/>
        <w:keepLines w:val="0"/>
        <w:pageBreakBefore w:val="0"/>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2．我方已悉知并及时关注了贵中心在陕西省政府采购网、全国公共资源交易平台（陕西省·西安市）上发布的关于本项目的有关变更公告（包括但不限于对招标文件做出的修改或澄清、答疑纪要，以及项目暂停、重启、延期、终止等）。</w:t>
      </w:r>
    </w:p>
    <w:p w14:paraId="593A8C9E">
      <w:pPr>
        <w:keepNext w:val="0"/>
        <w:keepLines w:val="0"/>
        <w:pageBreakBefore w:val="0"/>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3．我方同意向贵中心提供与本次招标有关的全部证明材料，并保证所提交的证明材料真实、合法、有效。</w:t>
      </w:r>
    </w:p>
    <w:p w14:paraId="7665C6E8">
      <w:pPr>
        <w:keepNext w:val="0"/>
        <w:keepLines w:val="0"/>
        <w:pageBreakBefore w:val="0"/>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4．我方理解最低价不是成交的唯一条件，并尊重评标委员会的评审结果。</w:t>
      </w:r>
    </w:p>
    <w:p w14:paraId="149AD5EC">
      <w:pPr>
        <w:keepNext w:val="0"/>
        <w:keepLines w:val="0"/>
        <w:pageBreakBefore w:val="0"/>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sz w:val="24"/>
          <w:szCs w:val="24"/>
          <w:highlight w:val="none"/>
        </w:rPr>
        <w:t>5．我方投标文件在开启之日</w:t>
      </w:r>
      <w:r>
        <w:rPr>
          <w:rFonts w:hint="eastAsia" w:ascii="宋体" w:hAnsi="宋体" w:eastAsia="宋体" w:cs="宋体"/>
          <w:color w:val="000000" w:themeColor="text1"/>
          <w:sz w:val="24"/>
          <w:szCs w:val="24"/>
          <w:highlight w:val="none"/>
          <w14:textFill>
            <w14:solidFill>
              <w14:schemeClr w14:val="tx1"/>
            </w14:solidFill>
          </w14:textFill>
        </w:rPr>
        <w:t>起</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个日历日（应不少于90个日历日）内有效。</w:t>
      </w:r>
    </w:p>
    <w:p w14:paraId="068BDD32">
      <w:pPr>
        <w:keepNext w:val="0"/>
        <w:keepLines w:val="0"/>
        <w:pageBreakBefore w:val="0"/>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6．若我方成交，我方承诺：（1）将投标文件有效期延长至合同执行完毕；（2）收到</w:t>
      </w:r>
      <w:r>
        <w:rPr>
          <w:rFonts w:hint="eastAsia" w:ascii="宋体" w:hAnsi="宋体" w:eastAsia="宋体" w:cs="宋体"/>
          <w:color w:val="000000" w:themeColor="text1"/>
          <w:sz w:val="24"/>
          <w:szCs w:val="24"/>
          <w:highlight w:val="none"/>
          <w:lang w:eastAsia="zh-CN"/>
          <w14:textFill>
            <w14:solidFill>
              <w14:schemeClr w14:val="tx1"/>
            </w14:solidFill>
          </w14:textFill>
        </w:rPr>
        <w:t>中标</w:t>
      </w:r>
      <w:r>
        <w:rPr>
          <w:rFonts w:hint="eastAsia" w:ascii="宋体" w:hAnsi="宋体" w:eastAsia="宋体" w:cs="宋体"/>
          <w:color w:val="000000" w:themeColor="text1"/>
          <w:sz w:val="24"/>
          <w:szCs w:val="24"/>
          <w:highlight w:val="none"/>
          <w14:textFill>
            <w14:solidFill>
              <w14:schemeClr w14:val="tx1"/>
            </w14:solidFill>
          </w14:textFill>
        </w:rPr>
        <w:t>通知书后提交纸质投标文件一正两副；（3）遵照招标文件中的要求，完成本项目的合同责任和义务。</w:t>
      </w:r>
    </w:p>
    <w:p w14:paraId="46D30C98">
      <w:pPr>
        <w:keepNext w:val="0"/>
        <w:keepLines w:val="0"/>
        <w:pageBreakBefore w:val="0"/>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7．所有关于此次招标活动的函电，请按下列方式联系：</w:t>
      </w:r>
    </w:p>
    <w:p w14:paraId="560B4798">
      <w:pPr>
        <w:keepNext w:val="0"/>
        <w:keepLines w:val="0"/>
        <w:pageBreakBefore w:val="0"/>
        <w:widowControl/>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pacing w:val="60"/>
          <w:kern w:val="0"/>
          <w:sz w:val="24"/>
          <w:szCs w:val="24"/>
          <w:highlight w:val="none"/>
          <w:fitText w:val="960" w:id="612109122"/>
          <w14:textFill>
            <w14:solidFill>
              <w14:schemeClr w14:val="tx1"/>
            </w14:solidFill>
          </w14:textFill>
        </w:rPr>
        <w:t>供应</w:t>
      </w:r>
      <w:r>
        <w:rPr>
          <w:rFonts w:hint="eastAsia" w:ascii="宋体" w:hAnsi="宋体" w:eastAsia="宋体" w:cs="宋体"/>
          <w:color w:val="000000" w:themeColor="text1"/>
          <w:spacing w:val="0"/>
          <w:kern w:val="0"/>
          <w:sz w:val="24"/>
          <w:szCs w:val="24"/>
          <w:highlight w:val="none"/>
          <w:fitText w:val="960" w:id="612109122"/>
          <w14:textFill>
            <w14:solidFill>
              <w14:schemeClr w14:val="tx1"/>
            </w14:solidFill>
          </w14:textFill>
        </w:rPr>
        <w:t>商</w:t>
      </w:r>
      <w:r>
        <w:rPr>
          <w:rFonts w:hint="eastAsia" w:ascii="宋体" w:hAnsi="宋体" w:eastAsia="宋体" w:cs="宋体"/>
          <w:color w:val="000000" w:themeColor="text1"/>
          <w:sz w:val="24"/>
          <w:szCs w:val="24"/>
          <w:highlight w:val="none"/>
          <w14:textFill>
            <w14:solidFill>
              <w14:schemeClr w14:val="tx1"/>
            </w14:solidFill>
          </w14:textFill>
        </w:rPr>
        <w:t>：（供应商全称并加盖公章）</w:t>
      </w:r>
    </w:p>
    <w:p w14:paraId="63DADAB9">
      <w:pPr>
        <w:keepNext w:val="0"/>
        <w:keepLines w:val="0"/>
        <w:pageBreakBefore w:val="0"/>
        <w:widowControl/>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法定代表人（主要负责人）或委托代理人：（签字或盖章）</w:t>
      </w:r>
    </w:p>
    <w:p w14:paraId="7C91BD25">
      <w:pPr>
        <w:keepNext w:val="0"/>
        <w:keepLines w:val="0"/>
        <w:pageBreakBefore w:val="0"/>
        <w:widowControl/>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联系电话：</w:t>
      </w:r>
    </w:p>
    <w:p w14:paraId="73A21508">
      <w:pPr>
        <w:keepNext w:val="0"/>
        <w:keepLines w:val="0"/>
        <w:pageBreakBefore w:val="0"/>
        <w:widowControl/>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通讯地址：</w:t>
      </w:r>
    </w:p>
    <w:p w14:paraId="2C371987">
      <w:pPr>
        <w:keepNext w:val="0"/>
        <w:keepLines w:val="0"/>
        <w:pageBreakBefore w:val="0"/>
        <w:widowControl/>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邮</w:t>
      </w:r>
      <w:r>
        <w:rPr>
          <w:rFonts w:hint="eastAsia" w:ascii="宋体" w:hAnsi="宋体" w:eastAsia="宋体" w:cs="宋体"/>
          <w:color w:val="000000"/>
          <w:sz w:val="24"/>
          <w:szCs w:val="24"/>
          <w:highlight w:val="none"/>
          <w:lang w:val="en-US" w:eastAsia="zh-CN"/>
        </w:rPr>
        <w:t xml:space="preserve">    </w:t>
      </w:r>
      <w:r>
        <w:rPr>
          <w:rFonts w:hint="eastAsia" w:ascii="宋体" w:hAnsi="宋体" w:eastAsia="宋体" w:cs="宋体"/>
          <w:color w:val="000000"/>
          <w:sz w:val="24"/>
          <w:szCs w:val="24"/>
          <w:highlight w:val="none"/>
        </w:rPr>
        <w:t>编：</w:t>
      </w:r>
    </w:p>
    <w:p w14:paraId="5D44A647">
      <w:pPr>
        <w:keepNext w:val="0"/>
        <w:keepLines w:val="0"/>
        <w:pageBreakBefore w:val="0"/>
        <w:widowControl/>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电子邮箱：</w:t>
      </w:r>
    </w:p>
    <w:p w14:paraId="3444C884">
      <w:pPr>
        <w:keepNext w:val="0"/>
        <w:keepLines w:val="0"/>
        <w:pageBreakBefore w:val="0"/>
        <w:widowControl/>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日</w:t>
      </w:r>
      <w:r>
        <w:rPr>
          <w:rFonts w:hint="eastAsia" w:ascii="宋体" w:hAnsi="宋体" w:eastAsia="宋体" w:cs="宋体"/>
          <w:sz w:val="24"/>
          <w:szCs w:val="24"/>
          <w:highlight w:val="none"/>
          <w:lang w:val="en-US" w:eastAsia="zh-CN"/>
        </w:rPr>
        <w:t xml:space="preserve">    </w:t>
      </w:r>
      <w:r>
        <w:rPr>
          <w:rFonts w:hint="eastAsia" w:ascii="宋体" w:hAnsi="宋体" w:eastAsia="宋体" w:cs="宋体"/>
          <w:sz w:val="24"/>
          <w:szCs w:val="24"/>
          <w:highlight w:val="none"/>
        </w:rPr>
        <w:t>期：</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rPr>
        <w:t>年</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rPr>
        <w:t>月</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rPr>
        <w:t>日</w:t>
      </w:r>
    </w:p>
    <w:p w14:paraId="1C612839">
      <w:pPr>
        <w:rPr>
          <w:rFonts w:hint="eastAsia"/>
          <w:highlight w:val="none"/>
          <w:lang w:val="en-US" w:eastAsia="zh-CN"/>
        </w:rPr>
      </w:pPr>
    </w:p>
    <w:p w14:paraId="7F341FFA">
      <w:pPr>
        <w:pStyle w:val="4"/>
        <w:numPr>
          <w:ilvl w:val="0"/>
          <w:numId w:val="0"/>
        </w:numPr>
        <w:ind w:firstLine="640" w:firstLineChars="200"/>
        <w:jc w:val="center"/>
        <w:rPr>
          <w:rFonts w:hint="eastAsia" w:ascii="宋体" w:hAnsi="宋体" w:eastAsia="宋体" w:cs="宋体"/>
          <w:b/>
          <w:bCs/>
          <w:sz w:val="32"/>
          <w:szCs w:val="32"/>
          <w:highlight w:val="none"/>
        </w:rPr>
      </w:pPr>
      <w:r>
        <w:rPr>
          <w:rFonts w:hint="eastAsia" w:ascii="宋体" w:hAnsi="宋体" w:eastAsia="宋体" w:cs="宋体"/>
          <w:b/>
          <w:bCs/>
          <w:sz w:val="32"/>
          <w:szCs w:val="32"/>
          <w:highlight w:val="none"/>
          <w:lang w:val="en-US" w:eastAsia="zh-CN" w:bidi="ar-SA"/>
        </w:rPr>
        <w:t>第二部分</w:t>
      </w:r>
      <w:r>
        <w:rPr>
          <w:rFonts w:hint="eastAsia" w:ascii="宋体" w:hAnsi="宋体" w:eastAsia="宋体" w:cs="宋体"/>
          <w:b/>
          <w:bCs/>
          <w:sz w:val="32"/>
          <w:szCs w:val="32"/>
          <w:highlight w:val="none"/>
        </w:rPr>
        <w:t xml:space="preserve"> </w:t>
      </w:r>
      <w:r>
        <w:rPr>
          <w:rFonts w:hint="eastAsia" w:ascii="宋体" w:hAnsi="宋体" w:eastAsia="宋体" w:cs="宋体"/>
          <w:b/>
          <w:bCs/>
          <w:sz w:val="32"/>
          <w:szCs w:val="32"/>
          <w:highlight w:val="none"/>
          <w:lang w:val="en-US" w:eastAsia="zh-CN"/>
        </w:rPr>
        <w:t xml:space="preserve"> </w:t>
      </w:r>
      <w:r>
        <w:rPr>
          <w:rFonts w:hint="eastAsia" w:ascii="宋体" w:hAnsi="宋体" w:eastAsia="宋体" w:cs="宋体"/>
          <w:b/>
          <w:bCs/>
          <w:sz w:val="32"/>
          <w:szCs w:val="32"/>
          <w:highlight w:val="none"/>
        </w:rPr>
        <w:t>开标一览表</w:t>
      </w:r>
    </w:p>
    <w:p w14:paraId="62F067EA">
      <w:pPr>
        <w:numPr>
          <w:ilvl w:val="0"/>
          <w:numId w:val="0"/>
        </w:numP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eastAsia="zh-CN"/>
        </w:rPr>
        <w:t>项目名称：</w:t>
      </w:r>
      <w:r>
        <w:rPr>
          <w:rFonts w:hint="eastAsia" w:ascii="宋体" w:hAnsi="宋体" w:eastAsia="宋体" w:cs="宋体"/>
          <w:sz w:val="24"/>
          <w:szCs w:val="24"/>
          <w:highlight w:val="none"/>
          <w:u w:val="single"/>
          <w:lang w:val="en-US" w:eastAsia="zh-CN"/>
        </w:rPr>
        <w:t xml:space="preserve">                        </w:t>
      </w:r>
    </w:p>
    <w:p w14:paraId="00FFBBE8">
      <w:pPr>
        <w:numPr>
          <w:ilvl w:val="0"/>
          <w:numId w:val="0"/>
        </w:numPr>
        <w:rPr>
          <w:rFonts w:hint="eastAsia" w:ascii="宋体" w:hAnsi="宋体" w:eastAsia="宋体" w:cs="宋体"/>
          <w:sz w:val="24"/>
          <w:szCs w:val="24"/>
          <w:highlight w:val="none"/>
          <w:u w:val="single"/>
          <w:lang w:val="en-US" w:eastAsia="zh-CN"/>
        </w:rPr>
      </w:pPr>
      <w:r>
        <w:rPr>
          <w:rFonts w:hint="eastAsia" w:ascii="宋体" w:hAnsi="宋体" w:eastAsia="宋体" w:cs="宋体"/>
          <w:sz w:val="24"/>
          <w:szCs w:val="24"/>
          <w:highlight w:val="none"/>
          <w:lang w:eastAsia="zh-CN"/>
        </w:rPr>
        <w:t>项目编号：</w:t>
      </w:r>
      <w:r>
        <w:rPr>
          <w:rFonts w:hint="eastAsia" w:ascii="宋体" w:hAnsi="宋体" w:eastAsia="宋体" w:cs="宋体"/>
          <w:sz w:val="24"/>
          <w:szCs w:val="24"/>
          <w:highlight w:val="none"/>
          <w:u w:val="single"/>
          <w:lang w:val="en-US" w:eastAsia="zh-CN"/>
        </w:rPr>
        <w:t xml:space="preserve">                        </w:t>
      </w:r>
    </w:p>
    <w:p w14:paraId="3B49FC55">
      <w:pPr>
        <w:numPr>
          <w:ilvl w:val="0"/>
          <w:numId w:val="0"/>
        </w:numP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包号：</w:t>
      </w:r>
      <w:r>
        <w:rPr>
          <w:rFonts w:hint="eastAsia" w:ascii="宋体" w:hAnsi="宋体" w:eastAsia="宋体" w:cs="宋体"/>
          <w:sz w:val="24"/>
          <w:szCs w:val="24"/>
          <w:highlight w:val="none"/>
          <w:u w:val="single"/>
          <w:lang w:val="en-US" w:eastAsia="zh-CN"/>
        </w:rPr>
        <w:t xml:space="preserve">                        </w:t>
      </w:r>
    </w:p>
    <w:tbl>
      <w:tblPr>
        <w:tblStyle w:val="28"/>
        <w:tblW w:w="4992" w:type="pct"/>
        <w:jc w:val="center"/>
        <w:tblLayout w:type="fixed"/>
        <w:tblCellMar>
          <w:top w:w="0" w:type="dxa"/>
          <w:left w:w="108" w:type="dxa"/>
          <w:bottom w:w="0" w:type="dxa"/>
          <w:right w:w="108" w:type="dxa"/>
        </w:tblCellMar>
      </w:tblPr>
      <w:tblGrid>
        <w:gridCol w:w="2111"/>
        <w:gridCol w:w="7388"/>
      </w:tblGrid>
      <w:tr w14:paraId="41C5E1BF">
        <w:tblPrEx>
          <w:tblCellMar>
            <w:top w:w="0" w:type="dxa"/>
            <w:left w:w="108" w:type="dxa"/>
            <w:bottom w:w="0" w:type="dxa"/>
            <w:right w:w="108" w:type="dxa"/>
          </w:tblCellMar>
        </w:tblPrEx>
        <w:trPr>
          <w:trHeight w:val="1020" w:hRule="atLeast"/>
          <w:jc w:val="center"/>
        </w:trPr>
        <w:tc>
          <w:tcPr>
            <w:tcW w:w="1110" w:type="pct"/>
            <w:tcBorders>
              <w:top w:val="single" w:color="000000" w:sz="4" w:space="0"/>
              <w:left w:val="single" w:color="000000" w:sz="4" w:space="0"/>
              <w:bottom w:val="single" w:color="000000" w:sz="4" w:space="0"/>
            </w:tcBorders>
            <w:vAlign w:val="center"/>
          </w:tcPr>
          <w:p w14:paraId="4819FC7B">
            <w:pPr>
              <w:pStyle w:val="16"/>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投标报价</w:t>
            </w:r>
          </w:p>
          <w:p w14:paraId="580C1217">
            <w:pPr>
              <w:pStyle w:val="16"/>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sz w:val="24"/>
                <w:szCs w:val="24"/>
                <w:highlight w:val="none"/>
                <w:lang w:eastAsia="zh-CN"/>
              </w:rPr>
              <w:t>（元）</w:t>
            </w:r>
          </w:p>
        </w:tc>
        <w:tc>
          <w:tcPr>
            <w:tcW w:w="3889" w:type="pct"/>
            <w:tcBorders>
              <w:top w:val="single" w:color="000000" w:sz="4" w:space="0"/>
              <w:left w:val="single" w:color="000000" w:sz="4" w:space="0"/>
              <w:bottom w:val="single" w:color="000000" w:sz="4" w:space="0"/>
              <w:right w:val="single" w:color="000000" w:sz="4" w:space="0"/>
            </w:tcBorders>
            <w:vAlign w:val="center"/>
          </w:tcPr>
          <w:p w14:paraId="2BD72474">
            <w:pPr>
              <w:pStyle w:val="16"/>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eastAsia" w:ascii="宋体" w:hAnsi="宋体" w:eastAsia="宋体" w:cs="宋体"/>
                <w:spacing w:val="-2"/>
                <w:sz w:val="24"/>
                <w:szCs w:val="24"/>
                <w:highlight w:val="none"/>
                <w:lang w:val="en-US" w:eastAsia="zh-CN"/>
              </w:rPr>
            </w:pPr>
            <w:r>
              <w:rPr>
                <w:rFonts w:hint="eastAsia" w:ascii="宋体" w:hAnsi="宋体" w:eastAsia="宋体" w:cs="宋体"/>
                <w:spacing w:val="-2"/>
                <w:sz w:val="24"/>
                <w:szCs w:val="24"/>
                <w:highlight w:val="none"/>
                <w:lang w:eastAsia="zh-CN"/>
              </w:rPr>
              <w:t>大写：</w:t>
            </w:r>
            <w:r>
              <w:rPr>
                <w:rFonts w:hint="eastAsia" w:ascii="宋体" w:hAnsi="宋体" w:eastAsia="宋体" w:cs="宋体"/>
                <w:spacing w:val="-2"/>
                <w:sz w:val="24"/>
                <w:szCs w:val="24"/>
                <w:highlight w:val="none"/>
                <w:u w:val="single"/>
                <w:lang w:val="en-US" w:eastAsia="zh-CN"/>
              </w:rPr>
              <w:t xml:space="preserve">                                  </w:t>
            </w:r>
          </w:p>
          <w:p w14:paraId="75625A2E">
            <w:pPr>
              <w:pStyle w:val="16"/>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spacing w:val="-2"/>
                <w:sz w:val="24"/>
                <w:szCs w:val="24"/>
                <w:highlight w:val="none"/>
                <w:lang w:eastAsia="zh-CN"/>
              </w:rPr>
            </w:pPr>
            <w:r>
              <w:rPr>
                <w:rFonts w:hint="eastAsia" w:ascii="宋体" w:hAnsi="宋体" w:eastAsia="宋体" w:cs="宋体"/>
                <w:spacing w:val="-2"/>
                <w:sz w:val="24"/>
                <w:szCs w:val="24"/>
                <w:highlight w:val="none"/>
                <w:lang w:eastAsia="zh-CN"/>
              </w:rPr>
              <w:t>小写：</w:t>
            </w:r>
            <w:r>
              <w:rPr>
                <w:rFonts w:hint="eastAsia" w:ascii="宋体" w:hAnsi="宋体" w:eastAsia="宋体" w:cs="宋体"/>
                <w:spacing w:val="-2"/>
                <w:sz w:val="24"/>
                <w:szCs w:val="24"/>
                <w:highlight w:val="none"/>
                <w:u w:val="single"/>
                <w:lang w:val="en-US" w:eastAsia="zh-CN"/>
              </w:rPr>
              <w:t xml:space="preserve">                                  </w:t>
            </w:r>
          </w:p>
        </w:tc>
      </w:tr>
      <w:tr w14:paraId="039FF5F4">
        <w:tblPrEx>
          <w:tblCellMar>
            <w:top w:w="0" w:type="dxa"/>
            <w:left w:w="108" w:type="dxa"/>
            <w:bottom w:w="0" w:type="dxa"/>
            <w:right w:w="108" w:type="dxa"/>
          </w:tblCellMar>
        </w:tblPrEx>
        <w:trPr>
          <w:trHeight w:val="964" w:hRule="atLeast"/>
          <w:jc w:val="center"/>
        </w:trPr>
        <w:tc>
          <w:tcPr>
            <w:tcW w:w="1110" w:type="pct"/>
            <w:tcBorders>
              <w:top w:val="single" w:color="000000" w:sz="4" w:space="0"/>
              <w:left w:val="single" w:color="000000" w:sz="4" w:space="0"/>
              <w:bottom w:val="single" w:color="000000" w:sz="4" w:space="0"/>
            </w:tcBorders>
            <w:vAlign w:val="center"/>
          </w:tcPr>
          <w:p w14:paraId="2E20F067">
            <w:pPr>
              <w:pStyle w:val="16"/>
              <w:keepNext w:val="0"/>
              <w:keepLines w:val="0"/>
              <w:pageBreakBefore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交付期</w:t>
            </w:r>
          </w:p>
        </w:tc>
        <w:tc>
          <w:tcPr>
            <w:tcW w:w="3889" w:type="pct"/>
            <w:tcBorders>
              <w:top w:val="single" w:color="000000" w:sz="4" w:space="0"/>
              <w:left w:val="single" w:color="000000" w:sz="4" w:space="0"/>
              <w:bottom w:val="single" w:color="000000" w:sz="4" w:space="0"/>
              <w:right w:val="single" w:color="000000" w:sz="4" w:space="0"/>
            </w:tcBorders>
            <w:vAlign w:val="center"/>
          </w:tcPr>
          <w:p w14:paraId="0BAFA09F">
            <w:pPr>
              <w:rPr>
                <w:rFonts w:hint="eastAsia" w:ascii="宋体" w:hAnsi="宋体" w:eastAsia="宋体" w:cs="宋体"/>
                <w:spacing w:val="-2"/>
                <w:sz w:val="24"/>
                <w:szCs w:val="24"/>
                <w:highlight w:val="none"/>
                <w:lang w:eastAsia="zh-CN"/>
              </w:rPr>
            </w:pPr>
          </w:p>
        </w:tc>
      </w:tr>
      <w:tr w14:paraId="40B6D226">
        <w:tblPrEx>
          <w:tblCellMar>
            <w:top w:w="0" w:type="dxa"/>
            <w:left w:w="108" w:type="dxa"/>
            <w:bottom w:w="0" w:type="dxa"/>
            <w:right w:w="108" w:type="dxa"/>
          </w:tblCellMar>
        </w:tblPrEx>
        <w:trPr>
          <w:trHeight w:val="964" w:hRule="atLeast"/>
          <w:jc w:val="center"/>
        </w:trPr>
        <w:tc>
          <w:tcPr>
            <w:tcW w:w="1110" w:type="pct"/>
            <w:tcBorders>
              <w:top w:val="single" w:color="000000" w:sz="4" w:space="0"/>
              <w:left w:val="single" w:color="000000" w:sz="4" w:space="0"/>
              <w:bottom w:val="single" w:color="000000" w:sz="4" w:space="0"/>
            </w:tcBorders>
            <w:vAlign w:val="center"/>
          </w:tcPr>
          <w:p w14:paraId="2EA79AAD">
            <w:pPr>
              <w:pStyle w:val="16"/>
              <w:keepNext w:val="0"/>
              <w:keepLines w:val="0"/>
              <w:pageBreakBefore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交付地点</w:t>
            </w:r>
          </w:p>
        </w:tc>
        <w:tc>
          <w:tcPr>
            <w:tcW w:w="3889" w:type="pct"/>
            <w:tcBorders>
              <w:top w:val="single" w:color="000000" w:sz="4" w:space="0"/>
              <w:left w:val="single" w:color="000000" w:sz="4" w:space="0"/>
              <w:bottom w:val="single" w:color="000000" w:sz="4" w:space="0"/>
              <w:right w:val="single" w:color="000000" w:sz="4" w:space="0"/>
            </w:tcBorders>
            <w:vAlign w:val="center"/>
          </w:tcPr>
          <w:p w14:paraId="1FC3AD64">
            <w:pPr>
              <w:rPr>
                <w:rFonts w:hint="eastAsia" w:ascii="宋体" w:hAnsi="宋体" w:eastAsia="宋体" w:cs="宋体"/>
                <w:spacing w:val="-2"/>
                <w:sz w:val="24"/>
                <w:szCs w:val="24"/>
                <w:highlight w:val="none"/>
                <w:lang w:eastAsia="zh-CN"/>
              </w:rPr>
            </w:pPr>
          </w:p>
        </w:tc>
      </w:tr>
      <w:tr w14:paraId="66539988">
        <w:tblPrEx>
          <w:tblCellMar>
            <w:top w:w="0" w:type="dxa"/>
            <w:left w:w="108" w:type="dxa"/>
            <w:bottom w:w="0" w:type="dxa"/>
            <w:right w:w="108" w:type="dxa"/>
          </w:tblCellMar>
        </w:tblPrEx>
        <w:trPr>
          <w:trHeight w:val="964" w:hRule="atLeast"/>
          <w:jc w:val="center"/>
        </w:trPr>
        <w:tc>
          <w:tcPr>
            <w:tcW w:w="1110" w:type="pct"/>
            <w:tcBorders>
              <w:top w:val="single" w:color="000000" w:sz="4" w:space="0"/>
              <w:left w:val="single" w:color="000000" w:sz="4" w:space="0"/>
              <w:bottom w:val="single" w:color="000000" w:sz="4" w:space="0"/>
            </w:tcBorders>
            <w:vAlign w:val="center"/>
          </w:tcPr>
          <w:p w14:paraId="55C88839">
            <w:pPr>
              <w:pStyle w:val="16"/>
              <w:keepNext w:val="0"/>
              <w:keepLines w:val="0"/>
              <w:pageBreakBefore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质保期</w:t>
            </w:r>
          </w:p>
        </w:tc>
        <w:tc>
          <w:tcPr>
            <w:tcW w:w="3889" w:type="pct"/>
            <w:tcBorders>
              <w:top w:val="single" w:color="000000" w:sz="4" w:space="0"/>
              <w:left w:val="single" w:color="000000" w:sz="4" w:space="0"/>
              <w:bottom w:val="single" w:color="000000" w:sz="4" w:space="0"/>
              <w:right w:val="single" w:color="000000" w:sz="4" w:space="0"/>
            </w:tcBorders>
            <w:vAlign w:val="center"/>
          </w:tcPr>
          <w:p w14:paraId="1FBE4B84">
            <w:pPr>
              <w:rPr>
                <w:rFonts w:hint="eastAsia" w:ascii="宋体" w:hAnsi="宋体" w:eastAsia="宋体" w:cs="宋体"/>
                <w:spacing w:val="-2"/>
                <w:sz w:val="24"/>
                <w:szCs w:val="24"/>
                <w:highlight w:val="none"/>
                <w:lang w:eastAsia="zh-CN"/>
              </w:rPr>
            </w:pPr>
          </w:p>
        </w:tc>
      </w:tr>
      <w:tr w14:paraId="30231220">
        <w:tblPrEx>
          <w:tblCellMar>
            <w:top w:w="0" w:type="dxa"/>
            <w:left w:w="108" w:type="dxa"/>
            <w:bottom w:w="0" w:type="dxa"/>
            <w:right w:w="108" w:type="dxa"/>
          </w:tblCellMar>
        </w:tblPrEx>
        <w:trPr>
          <w:trHeight w:val="964" w:hRule="atLeast"/>
          <w:jc w:val="center"/>
        </w:trPr>
        <w:tc>
          <w:tcPr>
            <w:tcW w:w="1110" w:type="pct"/>
            <w:tcBorders>
              <w:top w:val="single" w:color="000000" w:sz="4" w:space="0"/>
              <w:left w:val="single" w:color="000000" w:sz="4" w:space="0"/>
            </w:tcBorders>
            <w:vAlign w:val="center"/>
          </w:tcPr>
          <w:p w14:paraId="47E2ED73">
            <w:pPr>
              <w:spacing w:line="360" w:lineRule="auto"/>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质量要求</w:t>
            </w:r>
          </w:p>
        </w:tc>
        <w:tc>
          <w:tcPr>
            <w:tcW w:w="3889" w:type="pct"/>
            <w:tcBorders>
              <w:top w:val="single" w:color="000000" w:sz="4" w:space="0"/>
              <w:left w:val="single" w:color="000000" w:sz="4" w:space="0"/>
              <w:bottom w:val="single" w:color="000000" w:sz="4" w:space="0"/>
              <w:right w:val="single" w:color="000000" w:sz="4" w:space="0"/>
            </w:tcBorders>
            <w:vAlign w:val="center"/>
          </w:tcPr>
          <w:p w14:paraId="752660E2">
            <w:pPr>
              <w:rPr>
                <w:rFonts w:hint="eastAsia" w:ascii="宋体" w:hAnsi="宋体" w:eastAsia="宋体" w:cs="宋体"/>
                <w:spacing w:val="-2"/>
                <w:sz w:val="24"/>
                <w:szCs w:val="24"/>
                <w:highlight w:val="none"/>
                <w:lang w:eastAsia="zh-CN"/>
              </w:rPr>
            </w:pPr>
          </w:p>
        </w:tc>
      </w:tr>
      <w:tr w14:paraId="0835F977">
        <w:tblPrEx>
          <w:tblCellMar>
            <w:top w:w="0" w:type="dxa"/>
            <w:left w:w="108" w:type="dxa"/>
            <w:bottom w:w="0" w:type="dxa"/>
            <w:right w:w="108" w:type="dxa"/>
          </w:tblCellMar>
        </w:tblPrEx>
        <w:trPr>
          <w:trHeight w:val="907" w:hRule="atLeast"/>
          <w:jc w:val="center"/>
        </w:trPr>
        <w:tc>
          <w:tcPr>
            <w:tcW w:w="1110" w:type="pct"/>
            <w:tcBorders>
              <w:top w:val="single" w:color="000000" w:sz="4" w:space="0"/>
              <w:left w:val="single" w:color="000000" w:sz="4" w:space="0"/>
              <w:bottom w:val="single" w:color="000000" w:sz="4" w:space="0"/>
            </w:tcBorders>
            <w:vAlign w:val="center"/>
          </w:tcPr>
          <w:p w14:paraId="0FCB3FE9">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备注</w:t>
            </w:r>
          </w:p>
        </w:tc>
        <w:tc>
          <w:tcPr>
            <w:tcW w:w="3889" w:type="pct"/>
            <w:tcBorders>
              <w:top w:val="single" w:color="000000" w:sz="4" w:space="0"/>
              <w:left w:val="single" w:color="000000" w:sz="4" w:space="0"/>
              <w:bottom w:val="single" w:color="000000" w:sz="4" w:space="0"/>
              <w:right w:val="single" w:color="000000" w:sz="4" w:space="0"/>
            </w:tcBorders>
            <w:vAlign w:val="center"/>
          </w:tcPr>
          <w:p w14:paraId="45EFF56B">
            <w:pPr>
              <w:rPr>
                <w:rFonts w:hint="eastAsia" w:ascii="宋体" w:hAnsi="宋体" w:eastAsia="宋体" w:cs="宋体"/>
                <w:spacing w:val="-2"/>
                <w:sz w:val="24"/>
                <w:szCs w:val="24"/>
                <w:highlight w:val="none"/>
                <w:lang w:eastAsia="zh-CN"/>
              </w:rPr>
            </w:pPr>
          </w:p>
        </w:tc>
      </w:tr>
    </w:tbl>
    <w:p w14:paraId="0EEEE4DC">
      <w:pPr>
        <w:keepNext w:val="0"/>
        <w:keepLines w:val="0"/>
        <w:pageBreakBefore w:val="0"/>
        <w:widowControl w:val="0"/>
        <w:kinsoku/>
        <w:wordWrap/>
        <w:overflowPunct/>
        <w:topLinePunct w:val="0"/>
        <w:autoSpaceDE/>
        <w:autoSpaceDN/>
        <w:bidi w:val="0"/>
        <w:adjustRightInd/>
        <w:snapToGrid/>
        <w:spacing w:line="360" w:lineRule="auto"/>
        <w:ind w:firstLine="4080" w:firstLineChars="1700"/>
        <w:textAlignment w:val="auto"/>
        <w:rPr>
          <w:rFonts w:hint="eastAsia" w:ascii="宋体" w:hAnsi="宋体" w:eastAsia="宋体" w:cs="宋体"/>
          <w:sz w:val="24"/>
          <w:szCs w:val="24"/>
          <w:highlight w:val="none"/>
        </w:rPr>
      </w:pPr>
    </w:p>
    <w:p w14:paraId="25F4C38E">
      <w:pPr>
        <w:keepNext w:val="0"/>
        <w:keepLines w:val="0"/>
        <w:pageBreakBefore w:val="0"/>
        <w:widowControl w:val="0"/>
        <w:kinsoku/>
        <w:wordWrap/>
        <w:overflowPunct/>
        <w:topLinePunct w:val="0"/>
        <w:autoSpaceDE/>
        <w:autoSpaceDN/>
        <w:bidi w:val="0"/>
        <w:adjustRightInd/>
        <w:snapToGrid/>
        <w:spacing w:line="360" w:lineRule="auto"/>
        <w:ind w:firstLine="4080" w:firstLineChars="17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投标供应商名称：（公章）</w:t>
      </w:r>
    </w:p>
    <w:p w14:paraId="3F115545">
      <w:pPr>
        <w:keepNext w:val="0"/>
        <w:keepLines w:val="0"/>
        <w:pageBreakBefore w:val="0"/>
        <w:widowControl w:val="0"/>
        <w:kinsoku/>
        <w:wordWrap/>
        <w:overflowPunct/>
        <w:topLinePunct w:val="0"/>
        <w:autoSpaceDE/>
        <w:autoSpaceDN/>
        <w:bidi w:val="0"/>
        <w:adjustRightInd/>
        <w:snapToGrid/>
        <w:spacing w:line="360" w:lineRule="auto"/>
        <w:ind w:firstLine="4080" w:firstLineChars="17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法定代表人或被授权人：（签字或盖章）</w:t>
      </w:r>
    </w:p>
    <w:p w14:paraId="5501E39D">
      <w:pPr>
        <w:keepNext w:val="0"/>
        <w:keepLines w:val="0"/>
        <w:pageBreakBefore w:val="0"/>
        <w:widowControl/>
        <w:kinsoku/>
        <w:wordWrap/>
        <w:overflowPunct/>
        <w:topLinePunct w:val="0"/>
        <w:autoSpaceDE/>
        <w:autoSpaceDN/>
        <w:bidi w:val="0"/>
        <w:adjustRightInd/>
        <w:snapToGrid/>
        <w:spacing w:line="360" w:lineRule="auto"/>
        <w:ind w:firstLine="4080" w:firstLineChars="17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rPr>
        <w:t>年</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rPr>
        <w:t>月</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rPr>
        <w:t>日</w:t>
      </w:r>
    </w:p>
    <w:p w14:paraId="3E27F4D1">
      <w:pPr>
        <w:rPr>
          <w:rFonts w:hint="eastAsia" w:ascii="宋体" w:hAnsi="宋体" w:eastAsia="宋体" w:cs="宋体"/>
          <w:sz w:val="24"/>
          <w:szCs w:val="24"/>
          <w:highlight w:val="none"/>
        </w:rPr>
      </w:pPr>
      <w:r>
        <w:rPr>
          <w:rFonts w:hint="eastAsia" w:ascii="宋体" w:hAnsi="宋体" w:eastAsia="宋体" w:cs="宋体"/>
          <w:sz w:val="24"/>
          <w:szCs w:val="24"/>
          <w:highlight w:val="none"/>
        </w:rPr>
        <w:br w:type="page"/>
      </w:r>
    </w:p>
    <w:p w14:paraId="6D835466">
      <w:pPr>
        <w:keepNext w:val="0"/>
        <w:keepLines w:val="0"/>
        <w:pageBreakBefore w:val="0"/>
        <w:widowControl/>
        <w:kinsoku/>
        <w:wordWrap/>
        <w:overflowPunct/>
        <w:topLinePunct w:val="0"/>
        <w:autoSpaceDE/>
        <w:autoSpaceDN/>
        <w:bidi w:val="0"/>
        <w:adjustRightInd/>
        <w:snapToGrid/>
        <w:jc w:val="center"/>
        <w:textAlignment w:val="auto"/>
        <w:outlineLvl w:val="9"/>
        <w:rPr>
          <w:rFonts w:hint="eastAsia" w:ascii="宋体" w:hAnsi="宋体" w:eastAsia="宋体" w:cs="宋体"/>
          <w:b/>
          <w:bCs/>
          <w:sz w:val="32"/>
          <w:szCs w:val="32"/>
          <w:highlight w:val="none"/>
          <w:lang w:eastAsia="zh-CN"/>
        </w:rPr>
      </w:pPr>
      <w:r>
        <w:rPr>
          <w:rFonts w:hint="eastAsia" w:ascii="宋体" w:hAnsi="宋体" w:eastAsia="宋体" w:cs="宋体"/>
          <w:b/>
          <w:bCs/>
          <w:sz w:val="32"/>
          <w:szCs w:val="32"/>
          <w:highlight w:val="none"/>
          <w:lang w:eastAsia="zh-CN"/>
        </w:rPr>
        <w:t>分项报价表</w:t>
      </w:r>
    </w:p>
    <w:p w14:paraId="1E12033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项目名称：                                               </w:t>
      </w:r>
    </w:p>
    <w:p w14:paraId="2930EBD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项目编号：     </w:t>
      </w:r>
    </w:p>
    <w:tbl>
      <w:tblPr>
        <w:tblStyle w:val="29"/>
        <w:tblpPr w:leftFromText="180" w:rightFromText="180" w:vertAnchor="text" w:horzAnchor="page" w:tblpX="1291" w:tblpY="692"/>
        <w:tblOverlap w:val="never"/>
        <w:tblW w:w="950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0"/>
        <w:gridCol w:w="1184"/>
        <w:gridCol w:w="1267"/>
        <w:gridCol w:w="1528"/>
        <w:gridCol w:w="738"/>
        <w:gridCol w:w="912"/>
        <w:gridCol w:w="839"/>
        <w:gridCol w:w="850"/>
        <w:gridCol w:w="833"/>
        <w:gridCol w:w="700"/>
      </w:tblGrid>
      <w:tr w14:paraId="5B52B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vAlign w:val="center"/>
          </w:tcPr>
          <w:p w14:paraId="2C3A74F0">
            <w:pPr>
              <w:keepNext w:val="0"/>
              <w:keepLines w:val="0"/>
              <w:widowControl/>
              <w:suppressLineNumbers w:val="0"/>
              <w:jc w:val="center"/>
              <w:textAlignment w:val="center"/>
              <w:rPr>
                <w:rFonts w:hint="eastAsia" w:ascii="宋体" w:hAnsi="宋体" w:eastAsia="宋体" w:cs="宋体"/>
                <w:sz w:val="24"/>
                <w:szCs w:val="24"/>
                <w:highlight w:val="none"/>
                <w:vertAlign w:val="baseline"/>
              </w:rPr>
            </w:pPr>
            <w:r>
              <w:rPr>
                <w:rFonts w:hint="eastAsia" w:ascii="宋体" w:hAnsi="宋体" w:eastAsia="宋体" w:cs="宋体"/>
                <w:b/>
                <w:bCs/>
                <w:i w:val="0"/>
                <w:iCs w:val="0"/>
                <w:color w:val="000000"/>
                <w:kern w:val="0"/>
                <w:sz w:val="24"/>
                <w:szCs w:val="24"/>
                <w:highlight w:val="none"/>
                <w:u w:val="none"/>
                <w:lang w:val="en-US" w:eastAsia="zh-CN" w:bidi="ar"/>
              </w:rPr>
              <w:t>序号</w:t>
            </w:r>
          </w:p>
        </w:tc>
        <w:tc>
          <w:tcPr>
            <w:tcW w:w="1184" w:type="dxa"/>
            <w:vAlign w:val="center"/>
          </w:tcPr>
          <w:p w14:paraId="08FB9298">
            <w:pPr>
              <w:keepNext w:val="0"/>
              <w:keepLines w:val="0"/>
              <w:widowControl/>
              <w:suppressLineNumbers w:val="0"/>
              <w:jc w:val="center"/>
              <w:textAlignment w:val="center"/>
              <w:rPr>
                <w:rFonts w:hint="eastAsia" w:ascii="宋体" w:hAnsi="宋体" w:eastAsia="宋体" w:cs="宋体"/>
                <w:sz w:val="24"/>
                <w:szCs w:val="24"/>
                <w:highlight w:val="none"/>
                <w:vertAlign w:val="baseline"/>
              </w:rPr>
            </w:pPr>
            <w:r>
              <w:rPr>
                <w:rFonts w:hint="eastAsia" w:ascii="宋体" w:hAnsi="宋体" w:eastAsia="宋体" w:cs="宋体"/>
                <w:b/>
                <w:bCs/>
                <w:i w:val="0"/>
                <w:iCs w:val="0"/>
                <w:color w:val="000000"/>
                <w:kern w:val="0"/>
                <w:sz w:val="24"/>
                <w:szCs w:val="24"/>
                <w:highlight w:val="none"/>
                <w:u w:val="none"/>
                <w:lang w:val="en-US" w:eastAsia="zh-CN" w:bidi="ar"/>
              </w:rPr>
              <w:t>部室名称/项目名称</w:t>
            </w:r>
          </w:p>
        </w:tc>
        <w:tc>
          <w:tcPr>
            <w:tcW w:w="1267" w:type="dxa"/>
            <w:vAlign w:val="center"/>
          </w:tcPr>
          <w:p w14:paraId="151AADE7">
            <w:pPr>
              <w:keepNext w:val="0"/>
              <w:keepLines w:val="0"/>
              <w:widowControl/>
              <w:suppressLineNumbers w:val="0"/>
              <w:jc w:val="center"/>
              <w:textAlignment w:val="center"/>
              <w:rPr>
                <w:rFonts w:hint="eastAsia" w:ascii="宋体" w:hAnsi="宋体" w:eastAsia="宋体" w:cs="宋体"/>
                <w:sz w:val="24"/>
                <w:szCs w:val="24"/>
                <w:highlight w:val="none"/>
                <w:vertAlign w:val="baseline"/>
              </w:rPr>
            </w:pPr>
            <w:r>
              <w:rPr>
                <w:rFonts w:hint="eastAsia" w:ascii="宋体" w:hAnsi="宋体" w:eastAsia="宋体" w:cs="宋体"/>
                <w:b/>
                <w:bCs/>
                <w:i w:val="0"/>
                <w:iCs w:val="0"/>
                <w:color w:val="000000"/>
                <w:kern w:val="0"/>
                <w:sz w:val="24"/>
                <w:szCs w:val="24"/>
                <w:highlight w:val="none"/>
                <w:u w:val="none"/>
                <w:lang w:val="en-US" w:eastAsia="zh-CN" w:bidi="ar"/>
              </w:rPr>
              <w:t>设备名称</w:t>
            </w:r>
          </w:p>
        </w:tc>
        <w:tc>
          <w:tcPr>
            <w:tcW w:w="1528" w:type="dxa"/>
            <w:vAlign w:val="center"/>
          </w:tcPr>
          <w:p w14:paraId="433A64C0">
            <w:pPr>
              <w:keepNext w:val="0"/>
              <w:keepLines w:val="0"/>
              <w:widowControl/>
              <w:suppressLineNumbers w:val="0"/>
              <w:jc w:val="center"/>
              <w:textAlignment w:val="center"/>
              <w:rPr>
                <w:rFonts w:hint="eastAsia" w:ascii="宋体" w:hAnsi="宋体" w:eastAsia="宋体" w:cs="宋体"/>
                <w:sz w:val="24"/>
                <w:szCs w:val="24"/>
                <w:highlight w:val="none"/>
                <w:vertAlign w:val="baseline"/>
              </w:rPr>
            </w:pPr>
            <w:r>
              <w:rPr>
                <w:rFonts w:hint="eastAsia" w:ascii="宋体" w:hAnsi="宋体" w:eastAsia="宋体" w:cs="宋体"/>
                <w:b/>
                <w:bCs/>
                <w:i w:val="0"/>
                <w:iCs w:val="0"/>
                <w:color w:val="000000"/>
                <w:kern w:val="0"/>
                <w:sz w:val="24"/>
                <w:szCs w:val="24"/>
                <w:highlight w:val="none"/>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57150"/>
                  <wp:effectExtent l="0" t="0" r="8890" b="0"/>
                  <wp:wrapNone/>
                  <wp:docPr id="13" name="图片_1"/>
                  <wp:cNvGraphicFramePr/>
                  <a:graphic xmlns:a="http://schemas.openxmlformats.org/drawingml/2006/main">
                    <a:graphicData uri="http://schemas.openxmlformats.org/drawingml/2006/picture">
                      <pic:pic xmlns:pic="http://schemas.openxmlformats.org/drawingml/2006/picture">
                        <pic:nvPicPr>
                          <pic:cNvPr id="13" name="图片_1"/>
                          <pic:cNvPicPr/>
                        </pic:nvPicPr>
                        <pic:blipFill>
                          <a:blip r:embed="rId18"/>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highlight w:val="none"/>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17" name="图片_80"/>
                  <wp:cNvGraphicFramePr/>
                  <a:graphic xmlns:a="http://schemas.openxmlformats.org/drawingml/2006/main">
                    <a:graphicData uri="http://schemas.openxmlformats.org/drawingml/2006/picture">
                      <pic:pic xmlns:pic="http://schemas.openxmlformats.org/drawingml/2006/picture">
                        <pic:nvPicPr>
                          <pic:cNvPr id="17" name="图片_80"/>
                          <pic:cNvPicPr/>
                        </pic:nvPicPr>
                        <pic:blipFill>
                          <a:blip r:embed="rId19"/>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highlight w:val="none"/>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18" name="图片_2"/>
                  <wp:cNvGraphicFramePr/>
                  <a:graphic xmlns:a="http://schemas.openxmlformats.org/drawingml/2006/main">
                    <a:graphicData uri="http://schemas.openxmlformats.org/drawingml/2006/picture">
                      <pic:pic xmlns:pic="http://schemas.openxmlformats.org/drawingml/2006/picture">
                        <pic:nvPicPr>
                          <pic:cNvPr id="18" name="图片_2"/>
                          <pic:cNvPicPr/>
                        </pic:nvPicPr>
                        <pic:blipFill>
                          <a:blip r:embed="rId20"/>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highlight w:val="none"/>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19" name="图片_12780"/>
                  <wp:cNvGraphicFramePr/>
                  <a:graphic xmlns:a="http://schemas.openxmlformats.org/drawingml/2006/main">
                    <a:graphicData uri="http://schemas.openxmlformats.org/drawingml/2006/picture">
                      <pic:pic xmlns:pic="http://schemas.openxmlformats.org/drawingml/2006/picture">
                        <pic:nvPicPr>
                          <pic:cNvPr id="19" name="图片_12780"/>
                          <pic:cNvPicPr/>
                        </pic:nvPicPr>
                        <pic:blipFill>
                          <a:blip r:embed="rId21"/>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highlight w:val="none"/>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20" name="图片_82"/>
                  <wp:cNvGraphicFramePr/>
                  <a:graphic xmlns:a="http://schemas.openxmlformats.org/drawingml/2006/main">
                    <a:graphicData uri="http://schemas.openxmlformats.org/drawingml/2006/picture">
                      <pic:pic xmlns:pic="http://schemas.openxmlformats.org/drawingml/2006/picture">
                        <pic:nvPicPr>
                          <pic:cNvPr id="20" name="图片_82"/>
                          <pic:cNvPicPr/>
                        </pic:nvPicPr>
                        <pic:blipFill>
                          <a:blip r:embed="rId22"/>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highlight w:val="none"/>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57150"/>
                  <wp:effectExtent l="0" t="0" r="10160" b="0"/>
                  <wp:wrapNone/>
                  <wp:docPr id="21" name="图片_80_SpCnt_1"/>
                  <wp:cNvGraphicFramePr/>
                  <a:graphic xmlns:a="http://schemas.openxmlformats.org/drawingml/2006/main">
                    <a:graphicData uri="http://schemas.openxmlformats.org/drawingml/2006/picture">
                      <pic:pic xmlns:pic="http://schemas.openxmlformats.org/drawingml/2006/picture">
                        <pic:nvPicPr>
                          <pic:cNvPr id="21" name="图片_80_SpCnt_1"/>
                          <pic:cNvPicPr/>
                        </pic:nvPicPr>
                        <pic:blipFill>
                          <a:blip r:embed="rId19"/>
                          <a:stretch>
                            <a:fillRect/>
                          </a:stretch>
                        </pic:blipFill>
                        <pic:spPr>
                          <a:xfrm>
                            <a:off x="0" y="0"/>
                            <a:ext cx="27940" cy="57150"/>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highlight w:val="none"/>
                <w:u w:val="none"/>
                <w:lang w:val="en-US" w:eastAsia="zh-CN" w:bidi="ar"/>
              </w:rPr>
              <w:t>规格参数</w:t>
            </w:r>
          </w:p>
        </w:tc>
        <w:tc>
          <w:tcPr>
            <w:tcW w:w="738" w:type="dxa"/>
            <w:vAlign w:val="center"/>
          </w:tcPr>
          <w:p w14:paraId="239076B0">
            <w:pPr>
              <w:keepNext w:val="0"/>
              <w:keepLines w:val="0"/>
              <w:widowControl/>
              <w:suppressLineNumbers w:val="0"/>
              <w:jc w:val="center"/>
              <w:textAlignment w:val="center"/>
              <w:rPr>
                <w:rFonts w:hint="eastAsia" w:ascii="宋体" w:hAnsi="宋体" w:eastAsia="宋体" w:cs="宋体"/>
                <w:sz w:val="24"/>
                <w:szCs w:val="24"/>
                <w:highlight w:val="none"/>
                <w:vertAlign w:val="baseline"/>
              </w:rPr>
            </w:pPr>
            <w:r>
              <w:rPr>
                <w:rFonts w:hint="eastAsia" w:ascii="宋体" w:hAnsi="宋体" w:eastAsia="宋体" w:cs="宋体"/>
                <w:b/>
                <w:bCs/>
                <w:i w:val="0"/>
                <w:iCs w:val="0"/>
                <w:color w:val="000000"/>
                <w:kern w:val="0"/>
                <w:sz w:val="24"/>
                <w:szCs w:val="24"/>
                <w:highlight w:val="none"/>
                <w:u w:val="none"/>
                <w:lang w:val="en-US" w:eastAsia="zh-CN" w:bidi="ar"/>
              </w:rPr>
              <w:t>品牌</w:t>
            </w:r>
          </w:p>
        </w:tc>
        <w:tc>
          <w:tcPr>
            <w:tcW w:w="912" w:type="dxa"/>
            <w:vAlign w:val="center"/>
          </w:tcPr>
          <w:p w14:paraId="77C9F01C">
            <w:pPr>
              <w:keepNext w:val="0"/>
              <w:keepLines w:val="0"/>
              <w:widowControl/>
              <w:suppressLineNumbers w:val="0"/>
              <w:jc w:val="center"/>
              <w:textAlignment w:val="center"/>
              <w:rPr>
                <w:rFonts w:hint="eastAsia" w:ascii="宋体" w:hAnsi="宋体" w:eastAsia="宋体" w:cs="宋体"/>
                <w:sz w:val="24"/>
                <w:szCs w:val="24"/>
                <w:highlight w:val="none"/>
                <w:vertAlign w:val="baseline"/>
              </w:rPr>
            </w:pPr>
            <w:r>
              <w:rPr>
                <w:rFonts w:hint="eastAsia" w:ascii="宋体" w:hAnsi="宋体" w:eastAsia="宋体" w:cs="宋体"/>
                <w:b/>
                <w:bCs/>
                <w:i w:val="0"/>
                <w:iCs w:val="0"/>
                <w:color w:val="000000"/>
                <w:kern w:val="0"/>
                <w:sz w:val="24"/>
                <w:szCs w:val="24"/>
                <w:highlight w:val="none"/>
                <w:u w:val="none"/>
                <w:lang w:val="en-US" w:eastAsia="zh-CN" w:bidi="ar"/>
              </w:rPr>
              <w:t>制造厂商</w:t>
            </w:r>
          </w:p>
        </w:tc>
        <w:tc>
          <w:tcPr>
            <w:tcW w:w="839" w:type="dxa"/>
            <w:vAlign w:val="center"/>
          </w:tcPr>
          <w:p w14:paraId="51AC2B2A">
            <w:pPr>
              <w:keepNext w:val="0"/>
              <w:keepLines w:val="0"/>
              <w:widowControl/>
              <w:suppressLineNumbers w:val="0"/>
              <w:jc w:val="center"/>
              <w:textAlignment w:val="center"/>
              <w:rPr>
                <w:rFonts w:hint="eastAsia" w:ascii="宋体" w:hAnsi="宋体" w:eastAsia="宋体" w:cs="宋体"/>
                <w:sz w:val="24"/>
                <w:szCs w:val="24"/>
                <w:highlight w:val="none"/>
                <w:vertAlign w:val="baseline"/>
              </w:rPr>
            </w:pPr>
            <w:r>
              <w:rPr>
                <w:rFonts w:hint="eastAsia" w:ascii="宋体" w:hAnsi="宋体" w:eastAsia="宋体" w:cs="宋体"/>
                <w:b/>
                <w:bCs/>
                <w:i w:val="0"/>
                <w:iCs w:val="0"/>
                <w:color w:val="000000"/>
                <w:kern w:val="0"/>
                <w:sz w:val="24"/>
                <w:szCs w:val="24"/>
                <w:highlight w:val="none"/>
                <w:u w:val="none"/>
                <w:lang w:val="en-US" w:eastAsia="zh-CN" w:bidi="ar"/>
              </w:rPr>
              <w:t>数量</w:t>
            </w:r>
          </w:p>
        </w:tc>
        <w:tc>
          <w:tcPr>
            <w:tcW w:w="850" w:type="dxa"/>
            <w:vAlign w:val="center"/>
          </w:tcPr>
          <w:p w14:paraId="6314C100">
            <w:pPr>
              <w:keepNext w:val="0"/>
              <w:keepLines w:val="0"/>
              <w:widowControl/>
              <w:suppressLineNumbers w:val="0"/>
              <w:jc w:val="center"/>
              <w:textAlignment w:val="center"/>
              <w:rPr>
                <w:rFonts w:hint="eastAsia" w:ascii="宋体" w:hAnsi="宋体" w:eastAsia="宋体" w:cs="宋体"/>
                <w:sz w:val="24"/>
                <w:szCs w:val="24"/>
                <w:highlight w:val="none"/>
                <w:vertAlign w:val="baseline"/>
              </w:rPr>
            </w:pPr>
            <w:r>
              <w:rPr>
                <w:rFonts w:hint="eastAsia" w:ascii="宋体" w:hAnsi="宋体" w:eastAsia="宋体" w:cs="宋体"/>
                <w:b/>
                <w:bCs/>
                <w:i w:val="0"/>
                <w:iCs w:val="0"/>
                <w:color w:val="000000"/>
                <w:kern w:val="0"/>
                <w:sz w:val="24"/>
                <w:szCs w:val="24"/>
                <w:highlight w:val="none"/>
                <w:u w:val="none"/>
                <w:lang w:val="en-US" w:eastAsia="zh-CN" w:bidi="ar"/>
              </w:rPr>
              <w:t>单价（元）</w:t>
            </w:r>
          </w:p>
        </w:tc>
        <w:tc>
          <w:tcPr>
            <w:tcW w:w="833" w:type="dxa"/>
            <w:vAlign w:val="center"/>
          </w:tcPr>
          <w:p w14:paraId="36F01B78">
            <w:pPr>
              <w:keepNext w:val="0"/>
              <w:keepLines w:val="0"/>
              <w:widowControl/>
              <w:suppressLineNumbers w:val="0"/>
              <w:jc w:val="center"/>
              <w:textAlignment w:val="center"/>
              <w:rPr>
                <w:rFonts w:hint="eastAsia" w:ascii="宋体" w:hAnsi="宋体" w:eastAsia="宋体" w:cs="宋体"/>
                <w:sz w:val="24"/>
                <w:szCs w:val="24"/>
                <w:highlight w:val="none"/>
                <w:vertAlign w:val="baseline"/>
              </w:rPr>
            </w:pPr>
            <w:r>
              <w:rPr>
                <w:rFonts w:hint="eastAsia" w:ascii="宋体" w:hAnsi="宋体" w:eastAsia="宋体" w:cs="宋体"/>
                <w:b/>
                <w:bCs/>
                <w:i w:val="0"/>
                <w:iCs w:val="0"/>
                <w:color w:val="000000"/>
                <w:kern w:val="0"/>
                <w:sz w:val="24"/>
                <w:szCs w:val="24"/>
                <w:highlight w:val="none"/>
                <w:u w:val="none"/>
                <w:lang w:val="en-US" w:eastAsia="zh-CN" w:bidi="ar"/>
              </w:rPr>
              <w:t>合价（元）</w:t>
            </w:r>
          </w:p>
        </w:tc>
        <w:tc>
          <w:tcPr>
            <w:tcW w:w="700" w:type="dxa"/>
            <w:vAlign w:val="center"/>
          </w:tcPr>
          <w:p w14:paraId="030797DD">
            <w:pPr>
              <w:keepNext w:val="0"/>
              <w:keepLines w:val="0"/>
              <w:widowControl/>
              <w:suppressLineNumbers w:val="0"/>
              <w:jc w:val="center"/>
              <w:textAlignment w:val="center"/>
              <w:rPr>
                <w:rFonts w:hint="eastAsia" w:ascii="宋体" w:hAnsi="宋体" w:eastAsia="宋体" w:cs="宋体"/>
                <w:sz w:val="24"/>
                <w:szCs w:val="24"/>
                <w:highlight w:val="none"/>
                <w:vertAlign w:val="baseline"/>
              </w:rPr>
            </w:pPr>
            <w:r>
              <w:rPr>
                <w:rFonts w:hint="eastAsia" w:ascii="宋体" w:hAnsi="宋体" w:eastAsia="宋体" w:cs="宋体"/>
                <w:b/>
                <w:bCs/>
                <w:i w:val="0"/>
                <w:iCs w:val="0"/>
                <w:color w:val="000000"/>
                <w:kern w:val="0"/>
                <w:sz w:val="24"/>
                <w:szCs w:val="24"/>
                <w:highlight w:val="none"/>
                <w:u w:val="none"/>
                <w:lang w:val="en-US" w:eastAsia="zh-CN" w:bidi="ar"/>
              </w:rPr>
              <w:t>备注</w:t>
            </w:r>
          </w:p>
        </w:tc>
      </w:tr>
      <w:tr w14:paraId="1BDDB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vAlign w:val="top"/>
          </w:tcPr>
          <w:p w14:paraId="666462F4">
            <w:pPr>
              <w:rPr>
                <w:rFonts w:hint="eastAsia" w:ascii="宋体" w:hAnsi="宋体" w:eastAsia="宋体" w:cs="宋体"/>
                <w:sz w:val="24"/>
                <w:szCs w:val="24"/>
                <w:highlight w:val="none"/>
                <w:vertAlign w:val="baseline"/>
              </w:rPr>
            </w:pPr>
            <w:r>
              <w:rPr>
                <w:rFonts w:hint="eastAsia" w:ascii="宋体" w:hAnsi="宋体" w:eastAsia="宋体" w:cs="宋体"/>
                <w:sz w:val="24"/>
                <w:szCs w:val="24"/>
                <w:highlight w:val="none"/>
                <w:vertAlign w:val="baseline"/>
                <w:lang w:val="en-US" w:eastAsia="zh-CN"/>
              </w:rPr>
              <w:t>1</w:t>
            </w:r>
          </w:p>
        </w:tc>
        <w:tc>
          <w:tcPr>
            <w:tcW w:w="1184" w:type="dxa"/>
            <w:vAlign w:val="center"/>
          </w:tcPr>
          <w:p w14:paraId="6B0E9ECF">
            <w:pPr>
              <w:keepNext w:val="0"/>
              <w:keepLines w:val="0"/>
              <w:widowControl/>
              <w:suppressLineNumbers w:val="0"/>
              <w:jc w:val="left"/>
              <w:textAlignment w:val="center"/>
              <w:rPr>
                <w:rFonts w:hint="eastAsia" w:ascii="宋体" w:hAnsi="宋体" w:eastAsia="宋体" w:cs="宋体"/>
                <w:sz w:val="24"/>
                <w:szCs w:val="24"/>
                <w:highlight w:val="none"/>
                <w:vertAlign w:val="baseline"/>
              </w:rPr>
            </w:pPr>
          </w:p>
        </w:tc>
        <w:tc>
          <w:tcPr>
            <w:tcW w:w="1267" w:type="dxa"/>
            <w:vAlign w:val="center"/>
          </w:tcPr>
          <w:p w14:paraId="0D65078C">
            <w:pPr>
              <w:keepNext w:val="0"/>
              <w:keepLines w:val="0"/>
              <w:widowControl/>
              <w:suppressLineNumbers w:val="0"/>
              <w:jc w:val="left"/>
              <w:textAlignment w:val="center"/>
              <w:rPr>
                <w:rFonts w:hint="eastAsia" w:ascii="宋体" w:hAnsi="宋体" w:eastAsia="宋体" w:cs="宋体"/>
                <w:sz w:val="24"/>
                <w:szCs w:val="24"/>
                <w:highlight w:val="none"/>
                <w:vertAlign w:val="baseline"/>
              </w:rPr>
            </w:pPr>
            <w:r>
              <w:rPr>
                <w:rFonts w:hint="eastAsia" w:ascii="宋体" w:hAnsi="宋体" w:eastAsia="宋体" w:cs="宋体"/>
                <w:i w:val="0"/>
                <w:iCs w:val="0"/>
                <w:color w:val="000000"/>
                <w:kern w:val="0"/>
                <w:sz w:val="24"/>
                <w:szCs w:val="24"/>
                <w:highlight w:val="none"/>
                <w:u w:val="none"/>
                <w:lang w:val="en-US" w:eastAsia="zh-CN" w:bidi="ar"/>
              </w:rPr>
              <w:br w:type="textWrapping"/>
            </w:r>
          </w:p>
        </w:tc>
        <w:tc>
          <w:tcPr>
            <w:tcW w:w="1528" w:type="dxa"/>
          </w:tcPr>
          <w:p w14:paraId="47CAF34C">
            <w:pPr>
              <w:rPr>
                <w:rFonts w:hint="eastAsia" w:ascii="宋体" w:hAnsi="宋体" w:eastAsia="宋体" w:cs="宋体"/>
                <w:sz w:val="24"/>
                <w:szCs w:val="24"/>
                <w:highlight w:val="none"/>
                <w:vertAlign w:val="baseline"/>
              </w:rPr>
            </w:pPr>
          </w:p>
        </w:tc>
        <w:tc>
          <w:tcPr>
            <w:tcW w:w="738" w:type="dxa"/>
          </w:tcPr>
          <w:p w14:paraId="219746AC">
            <w:pPr>
              <w:rPr>
                <w:rFonts w:hint="eastAsia" w:ascii="宋体" w:hAnsi="宋体" w:eastAsia="宋体" w:cs="宋体"/>
                <w:sz w:val="24"/>
                <w:szCs w:val="24"/>
                <w:highlight w:val="none"/>
                <w:vertAlign w:val="baseline"/>
              </w:rPr>
            </w:pPr>
          </w:p>
        </w:tc>
        <w:tc>
          <w:tcPr>
            <w:tcW w:w="912" w:type="dxa"/>
          </w:tcPr>
          <w:p w14:paraId="55723A35">
            <w:pPr>
              <w:rPr>
                <w:rFonts w:hint="eastAsia" w:ascii="宋体" w:hAnsi="宋体" w:eastAsia="宋体" w:cs="宋体"/>
                <w:sz w:val="24"/>
                <w:szCs w:val="24"/>
                <w:highlight w:val="none"/>
                <w:vertAlign w:val="baseline"/>
              </w:rPr>
            </w:pPr>
          </w:p>
        </w:tc>
        <w:tc>
          <w:tcPr>
            <w:tcW w:w="839" w:type="dxa"/>
            <w:vAlign w:val="center"/>
          </w:tcPr>
          <w:p w14:paraId="7A01880C">
            <w:pPr>
              <w:keepNext w:val="0"/>
              <w:keepLines w:val="0"/>
              <w:widowControl/>
              <w:suppressLineNumbers w:val="0"/>
              <w:jc w:val="center"/>
              <w:textAlignment w:val="center"/>
              <w:rPr>
                <w:rFonts w:hint="eastAsia" w:ascii="宋体" w:hAnsi="宋体" w:eastAsia="宋体" w:cs="宋体"/>
                <w:sz w:val="24"/>
                <w:szCs w:val="24"/>
                <w:highlight w:val="none"/>
                <w:vertAlign w:val="baseline"/>
              </w:rPr>
            </w:pPr>
          </w:p>
        </w:tc>
        <w:tc>
          <w:tcPr>
            <w:tcW w:w="850" w:type="dxa"/>
          </w:tcPr>
          <w:p w14:paraId="12727537">
            <w:pPr>
              <w:rPr>
                <w:rFonts w:hint="eastAsia" w:ascii="宋体" w:hAnsi="宋体" w:eastAsia="宋体" w:cs="宋体"/>
                <w:sz w:val="24"/>
                <w:szCs w:val="24"/>
                <w:highlight w:val="none"/>
                <w:vertAlign w:val="baseline"/>
              </w:rPr>
            </w:pPr>
          </w:p>
        </w:tc>
        <w:tc>
          <w:tcPr>
            <w:tcW w:w="833" w:type="dxa"/>
          </w:tcPr>
          <w:p w14:paraId="62DAF3B3">
            <w:pPr>
              <w:rPr>
                <w:rFonts w:hint="eastAsia" w:ascii="宋体" w:hAnsi="宋体" w:eastAsia="宋体" w:cs="宋体"/>
                <w:sz w:val="24"/>
                <w:szCs w:val="24"/>
                <w:highlight w:val="none"/>
                <w:vertAlign w:val="baseline"/>
              </w:rPr>
            </w:pPr>
          </w:p>
        </w:tc>
        <w:tc>
          <w:tcPr>
            <w:tcW w:w="700" w:type="dxa"/>
          </w:tcPr>
          <w:p w14:paraId="4E10D934">
            <w:pPr>
              <w:rPr>
                <w:rFonts w:hint="eastAsia" w:ascii="宋体" w:hAnsi="宋体" w:eastAsia="宋体" w:cs="宋体"/>
                <w:sz w:val="24"/>
                <w:szCs w:val="24"/>
                <w:highlight w:val="none"/>
                <w:vertAlign w:val="baseline"/>
              </w:rPr>
            </w:pPr>
          </w:p>
        </w:tc>
      </w:tr>
      <w:tr w14:paraId="15AD2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7" w:hRule="atLeast"/>
        </w:trPr>
        <w:tc>
          <w:tcPr>
            <w:tcW w:w="650" w:type="dxa"/>
            <w:vAlign w:val="top"/>
          </w:tcPr>
          <w:p w14:paraId="5C698F61">
            <w:pPr>
              <w:rPr>
                <w:rFonts w:hint="default" w:ascii="宋体" w:hAnsi="宋体" w:eastAsia="宋体" w:cs="宋体"/>
                <w:sz w:val="24"/>
                <w:szCs w:val="24"/>
                <w:highlight w:val="none"/>
                <w:vertAlign w:val="baseline"/>
                <w:lang w:val="en-US" w:eastAsia="zh-CN"/>
              </w:rPr>
            </w:pPr>
            <w:r>
              <w:rPr>
                <w:rFonts w:hint="eastAsia" w:ascii="宋体" w:hAnsi="宋体" w:eastAsia="宋体" w:cs="宋体"/>
                <w:sz w:val="24"/>
                <w:szCs w:val="24"/>
                <w:highlight w:val="none"/>
                <w:vertAlign w:val="baseline"/>
                <w:lang w:val="en-US" w:eastAsia="zh-CN"/>
              </w:rPr>
              <w:t>2</w:t>
            </w:r>
          </w:p>
        </w:tc>
        <w:tc>
          <w:tcPr>
            <w:tcW w:w="1184" w:type="dxa"/>
            <w:vAlign w:val="center"/>
          </w:tcPr>
          <w:p w14:paraId="0B3D920D">
            <w:pPr>
              <w:keepNext w:val="0"/>
              <w:keepLines w:val="0"/>
              <w:widowControl/>
              <w:suppressLineNumbers w:val="0"/>
              <w:jc w:val="left"/>
              <w:textAlignment w:val="center"/>
              <w:rPr>
                <w:rFonts w:hint="eastAsia" w:ascii="宋体" w:hAnsi="宋体" w:eastAsia="宋体" w:cs="宋体"/>
                <w:sz w:val="24"/>
                <w:szCs w:val="24"/>
                <w:highlight w:val="none"/>
                <w:vertAlign w:val="baseline"/>
              </w:rPr>
            </w:pPr>
          </w:p>
        </w:tc>
        <w:tc>
          <w:tcPr>
            <w:tcW w:w="1267" w:type="dxa"/>
            <w:vAlign w:val="center"/>
          </w:tcPr>
          <w:p w14:paraId="5BCBC87C">
            <w:pPr>
              <w:keepNext w:val="0"/>
              <w:keepLines w:val="0"/>
              <w:widowControl/>
              <w:suppressLineNumbers w:val="0"/>
              <w:jc w:val="left"/>
              <w:textAlignment w:val="center"/>
              <w:rPr>
                <w:rFonts w:hint="eastAsia" w:ascii="宋体" w:hAnsi="宋体" w:eastAsia="宋体" w:cs="宋体"/>
                <w:i w:val="0"/>
                <w:iCs w:val="0"/>
                <w:color w:val="000000"/>
                <w:kern w:val="0"/>
                <w:sz w:val="24"/>
                <w:szCs w:val="24"/>
                <w:highlight w:val="none"/>
                <w:u w:val="none"/>
                <w:lang w:val="en-US" w:eastAsia="zh-CN" w:bidi="ar"/>
              </w:rPr>
            </w:pPr>
          </w:p>
        </w:tc>
        <w:tc>
          <w:tcPr>
            <w:tcW w:w="1528" w:type="dxa"/>
          </w:tcPr>
          <w:p w14:paraId="17FBDC24">
            <w:pPr>
              <w:rPr>
                <w:rFonts w:hint="eastAsia" w:ascii="宋体" w:hAnsi="宋体" w:eastAsia="宋体" w:cs="宋体"/>
                <w:sz w:val="24"/>
                <w:szCs w:val="24"/>
                <w:highlight w:val="none"/>
                <w:vertAlign w:val="baseline"/>
              </w:rPr>
            </w:pPr>
          </w:p>
        </w:tc>
        <w:tc>
          <w:tcPr>
            <w:tcW w:w="738" w:type="dxa"/>
          </w:tcPr>
          <w:p w14:paraId="1663EE62">
            <w:pPr>
              <w:rPr>
                <w:rFonts w:hint="eastAsia" w:ascii="宋体" w:hAnsi="宋体" w:eastAsia="宋体" w:cs="宋体"/>
                <w:sz w:val="24"/>
                <w:szCs w:val="24"/>
                <w:highlight w:val="none"/>
                <w:vertAlign w:val="baseline"/>
              </w:rPr>
            </w:pPr>
          </w:p>
        </w:tc>
        <w:tc>
          <w:tcPr>
            <w:tcW w:w="912" w:type="dxa"/>
          </w:tcPr>
          <w:p w14:paraId="7BF9F635">
            <w:pPr>
              <w:rPr>
                <w:rFonts w:hint="eastAsia" w:ascii="宋体" w:hAnsi="宋体" w:eastAsia="宋体" w:cs="宋体"/>
                <w:sz w:val="24"/>
                <w:szCs w:val="24"/>
                <w:highlight w:val="none"/>
                <w:vertAlign w:val="baseline"/>
              </w:rPr>
            </w:pPr>
          </w:p>
        </w:tc>
        <w:tc>
          <w:tcPr>
            <w:tcW w:w="839" w:type="dxa"/>
            <w:vAlign w:val="center"/>
          </w:tcPr>
          <w:p w14:paraId="0F651B63">
            <w:pPr>
              <w:keepNext w:val="0"/>
              <w:keepLines w:val="0"/>
              <w:widowControl/>
              <w:suppressLineNumbers w:val="0"/>
              <w:jc w:val="center"/>
              <w:textAlignment w:val="center"/>
              <w:rPr>
                <w:rFonts w:hint="eastAsia" w:ascii="宋体" w:hAnsi="宋体" w:eastAsia="宋体" w:cs="宋体"/>
                <w:sz w:val="24"/>
                <w:szCs w:val="24"/>
                <w:highlight w:val="none"/>
                <w:vertAlign w:val="baseline"/>
              </w:rPr>
            </w:pPr>
          </w:p>
        </w:tc>
        <w:tc>
          <w:tcPr>
            <w:tcW w:w="850" w:type="dxa"/>
          </w:tcPr>
          <w:p w14:paraId="60025052">
            <w:pPr>
              <w:rPr>
                <w:rFonts w:hint="eastAsia" w:ascii="宋体" w:hAnsi="宋体" w:eastAsia="宋体" w:cs="宋体"/>
                <w:sz w:val="24"/>
                <w:szCs w:val="24"/>
                <w:highlight w:val="none"/>
                <w:vertAlign w:val="baseline"/>
              </w:rPr>
            </w:pPr>
          </w:p>
        </w:tc>
        <w:tc>
          <w:tcPr>
            <w:tcW w:w="833" w:type="dxa"/>
          </w:tcPr>
          <w:p w14:paraId="5F9136D8">
            <w:pPr>
              <w:rPr>
                <w:rFonts w:hint="eastAsia" w:ascii="宋体" w:hAnsi="宋体" w:eastAsia="宋体" w:cs="宋体"/>
                <w:sz w:val="24"/>
                <w:szCs w:val="24"/>
                <w:highlight w:val="none"/>
                <w:vertAlign w:val="baseline"/>
              </w:rPr>
            </w:pPr>
          </w:p>
        </w:tc>
        <w:tc>
          <w:tcPr>
            <w:tcW w:w="700" w:type="dxa"/>
          </w:tcPr>
          <w:p w14:paraId="43676CB7">
            <w:pPr>
              <w:rPr>
                <w:rFonts w:hint="eastAsia" w:ascii="宋体" w:hAnsi="宋体" w:eastAsia="宋体" w:cs="宋体"/>
                <w:sz w:val="24"/>
                <w:szCs w:val="24"/>
                <w:highlight w:val="none"/>
                <w:vertAlign w:val="baseline"/>
              </w:rPr>
            </w:pPr>
          </w:p>
        </w:tc>
      </w:tr>
      <w:tr w14:paraId="7C575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trPr>
        <w:tc>
          <w:tcPr>
            <w:tcW w:w="650" w:type="dxa"/>
            <w:vAlign w:val="top"/>
          </w:tcPr>
          <w:p w14:paraId="50BD1F24">
            <w:pPr>
              <w:rPr>
                <w:rFonts w:hint="default" w:ascii="宋体" w:hAnsi="宋体" w:eastAsia="宋体" w:cs="宋体"/>
                <w:sz w:val="24"/>
                <w:szCs w:val="24"/>
                <w:highlight w:val="none"/>
                <w:vertAlign w:val="baseline"/>
                <w:lang w:val="en-US" w:eastAsia="zh-CN"/>
              </w:rPr>
            </w:pPr>
            <w:r>
              <w:rPr>
                <w:rFonts w:hint="eastAsia" w:ascii="宋体" w:hAnsi="宋体" w:eastAsia="宋体" w:cs="宋体"/>
                <w:sz w:val="24"/>
                <w:szCs w:val="24"/>
                <w:highlight w:val="none"/>
                <w:vertAlign w:val="baseline"/>
                <w:lang w:val="en-US" w:eastAsia="zh-CN"/>
              </w:rPr>
              <w:t>3</w:t>
            </w:r>
          </w:p>
        </w:tc>
        <w:tc>
          <w:tcPr>
            <w:tcW w:w="1184" w:type="dxa"/>
            <w:vAlign w:val="center"/>
          </w:tcPr>
          <w:p w14:paraId="31979F0C">
            <w:pPr>
              <w:keepNext w:val="0"/>
              <w:keepLines w:val="0"/>
              <w:widowControl/>
              <w:suppressLineNumbers w:val="0"/>
              <w:jc w:val="left"/>
              <w:textAlignment w:val="center"/>
              <w:rPr>
                <w:rFonts w:hint="eastAsia" w:ascii="宋体" w:hAnsi="宋体" w:eastAsia="宋体" w:cs="宋体"/>
                <w:sz w:val="24"/>
                <w:szCs w:val="24"/>
                <w:highlight w:val="none"/>
                <w:vertAlign w:val="baseline"/>
              </w:rPr>
            </w:pPr>
          </w:p>
        </w:tc>
        <w:tc>
          <w:tcPr>
            <w:tcW w:w="1267" w:type="dxa"/>
            <w:vAlign w:val="center"/>
          </w:tcPr>
          <w:p w14:paraId="73B706C6">
            <w:pPr>
              <w:keepNext w:val="0"/>
              <w:keepLines w:val="0"/>
              <w:widowControl/>
              <w:suppressLineNumbers w:val="0"/>
              <w:jc w:val="left"/>
              <w:textAlignment w:val="center"/>
              <w:rPr>
                <w:rFonts w:hint="eastAsia" w:ascii="宋体" w:hAnsi="宋体" w:eastAsia="宋体" w:cs="宋体"/>
                <w:i w:val="0"/>
                <w:iCs w:val="0"/>
                <w:color w:val="000000"/>
                <w:kern w:val="0"/>
                <w:sz w:val="24"/>
                <w:szCs w:val="24"/>
                <w:highlight w:val="none"/>
                <w:u w:val="none"/>
                <w:lang w:val="en-US" w:eastAsia="zh-CN" w:bidi="ar"/>
              </w:rPr>
            </w:pPr>
          </w:p>
        </w:tc>
        <w:tc>
          <w:tcPr>
            <w:tcW w:w="1528" w:type="dxa"/>
          </w:tcPr>
          <w:p w14:paraId="08DA81E5">
            <w:pPr>
              <w:rPr>
                <w:rFonts w:hint="eastAsia" w:ascii="宋体" w:hAnsi="宋体" w:eastAsia="宋体" w:cs="宋体"/>
                <w:sz w:val="24"/>
                <w:szCs w:val="24"/>
                <w:highlight w:val="none"/>
                <w:vertAlign w:val="baseline"/>
              </w:rPr>
            </w:pPr>
          </w:p>
        </w:tc>
        <w:tc>
          <w:tcPr>
            <w:tcW w:w="738" w:type="dxa"/>
          </w:tcPr>
          <w:p w14:paraId="3A8A37F8">
            <w:pPr>
              <w:rPr>
                <w:rFonts w:hint="eastAsia" w:ascii="宋体" w:hAnsi="宋体" w:eastAsia="宋体" w:cs="宋体"/>
                <w:sz w:val="24"/>
                <w:szCs w:val="24"/>
                <w:highlight w:val="none"/>
                <w:vertAlign w:val="baseline"/>
              </w:rPr>
            </w:pPr>
          </w:p>
        </w:tc>
        <w:tc>
          <w:tcPr>
            <w:tcW w:w="912" w:type="dxa"/>
          </w:tcPr>
          <w:p w14:paraId="45FA5A67">
            <w:pPr>
              <w:rPr>
                <w:rFonts w:hint="eastAsia" w:ascii="宋体" w:hAnsi="宋体" w:eastAsia="宋体" w:cs="宋体"/>
                <w:sz w:val="24"/>
                <w:szCs w:val="24"/>
                <w:highlight w:val="none"/>
                <w:vertAlign w:val="baseline"/>
              </w:rPr>
            </w:pPr>
          </w:p>
        </w:tc>
        <w:tc>
          <w:tcPr>
            <w:tcW w:w="839" w:type="dxa"/>
            <w:vAlign w:val="center"/>
          </w:tcPr>
          <w:p w14:paraId="4D493A6A">
            <w:pPr>
              <w:keepNext w:val="0"/>
              <w:keepLines w:val="0"/>
              <w:widowControl/>
              <w:suppressLineNumbers w:val="0"/>
              <w:jc w:val="center"/>
              <w:textAlignment w:val="center"/>
              <w:rPr>
                <w:rFonts w:hint="eastAsia" w:ascii="宋体" w:hAnsi="宋体" w:eastAsia="宋体" w:cs="宋体"/>
                <w:sz w:val="24"/>
                <w:szCs w:val="24"/>
                <w:highlight w:val="none"/>
                <w:vertAlign w:val="baseline"/>
              </w:rPr>
            </w:pPr>
          </w:p>
        </w:tc>
        <w:tc>
          <w:tcPr>
            <w:tcW w:w="850" w:type="dxa"/>
          </w:tcPr>
          <w:p w14:paraId="7555A28D">
            <w:pPr>
              <w:rPr>
                <w:rFonts w:hint="eastAsia" w:ascii="宋体" w:hAnsi="宋体" w:eastAsia="宋体" w:cs="宋体"/>
                <w:sz w:val="24"/>
                <w:szCs w:val="24"/>
                <w:highlight w:val="none"/>
                <w:vertAlign w:val="baseline"/>
              </w:rPr>
            </w:pPr>
          </w:p>
        </w:tc>
        <w:tc>
          <w:tcPr>
            <w:tcW w:w="833" w:type="dxa"/>
          </w:tcPr>
          <w:p w14:paraId="2BF8141C">
            <w:pPr>
              <w:rPr>
                <w:rFonts w:hint="eastAsia" w:ascii="宋体" w:hAnsi="宋体" w:eastAsia="宋体" w:cs="宋体"/>
                <w:sz w:val="24"/>
                <w:szCs w:val="24"/>
                <w:highlight w:val="none"/>
                <w:vertAlign w:val="baseline"/>
              </w:rPr>
            </w:pPr>
          </w:p>
        </w:tc>
        <w:tc>
          <w:tcPr>
            <w:tcW w:w="700" w:type="dxa"/>
          </w:tcPr>
          <w:p w14:paraId="09F1C2EE">
            <w:pPr>
              <w:rPr>
                <w:rFonts w:hint="eastAsia" w:ascii="宋体" w:hAnsi="宋体" w:eastAsia="宋体" w:cs="宋体"/>
                <w:sz w:val="24"/>
                <w:szCs w:val="24"/>
                <w:highlight w:val="none"/>
                <w:vertAlign w:val="baseline"/>
              </w:rPr>
            </w:pPr>
          </w:p>
        </w:tc>
      </w:tr>
      <w:tr w14:paraId="2CF4B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trPr>
        <w:tc>
          <w:tcPr>
            <w:tcW w:w="650" w:type="dxa"/>
            <w:vAlign w:val="top"/>
          </w:tcPr>
          <w:p w14:paraId="5DCF20C0">
            <w:pPr>
              <w:rPr>
                <w:rFonts w:hint="default" w:ascii="宋体" w:hAnsi="宋体" w:eastAsia="宋体" w:cs="宋体"/>
                <w:sz w:val="24"/>
                <w:szCs w:val="24"/>
                <w:highlight w:val="none"/>
                <w:vertAlign w:val="baseline"/>
                <w:lang w:val="en-US" w:eastAsia="zh-CN"/>
              </w:rPr>
            </w:pPr>
            <w:r>
              <w:rPr>
                <w:rFonts w:hint="eastAsia" w:ascii="宋体" w:hAnsi="宋体" w:eastAsia="宋体" w:cs="宋体"/>
                <w:sz w:val="24"/>
                <w:szCs w:val="24"/>
                <w:highlight w:val="none"/>
                <w:vertAlign w:val="baseline"/>
                <w:lang w:val="en-US" w:eastAsia="zh-CN"/>
              </w:rPr>
              <w:t>4</w:t>
            </w:r>
          </w:p>
        </w:tc>
        <w:tc>
          <w:tcPr>
            <w:tcW w:w="1184" w:type="dxa"/>
            <w:vAlign w:val="center"/>
          </w:tcPr>
          <w:p w14:paraId="68473429">
            <w:pPr>
              <w:keepNext w:val="0"/>
              <w:keepLines w:val="0"/>
              <w:widowControl/>
              <w:suppressLineNumbers w:val="0"/>
              <w:jc w:val="left"/>
              <w:textAlignment w:val="center"/>
              <w:rPr>
                <w:rFonts w:hint="eastAsia" w:ascii="宋体" w:hAnsi="宋体" w:eastAsia="宋体" w:cs="宋体"/>
                <w:sz w:val="24"/>
                <w:szCs w:val="24"/>
                <w:highlight w:val="none"/>
                <w:vertAlign w:val="baseline"/>
              </w:rPr>
            </w:pPr>
          </w:p>
        </w:tc>
        <w:tc>
          <w:tcPr>
            <w:tcW w:w="1267" w:type="dxa"/>
            <w:vAlign w:val="center"/>
          </w:tcPr>
          <w:p w14:paraId="3B5693F9">
            <w:pPr>
              <w:keepNext w:val="0"/>
              <w:keepLines w:val="0"/>
              <w:widowControl/>
              <w:suppressLineNumbers w:val="0"/>
              <w:jc w:val="left"/>
              <w:textAlignment w:val="center"/>
              <w:rPr>
                <w:rFonts w:hint="eastAsia" w:ascii="宋体" w:hAnsi="宋体" w:eastAsia="宋体" w:cs="宋体"/>
                <w:i w:val="0"/>
                <w:iCs w:val="0"/>
                <w:color w:val="000000"/>
                <w:kern w:val="0"/>
                <w:sz w:val="24"/>
                <w:szCs w:val="24"/>
                <w:highlight w:val="none"/>
                <w:u w:val="none"/>
                <w:lang w:val="en-US" w:eastAsia="zh-CN" w:bidi="ar"/>
              </w:rPr>
            </w:pPr>
          </w:p>
        </w:tc>
        <w:tc>
          <w:tcPr>
            <w:tcW w:w="1528" w:type="dxa"/>
          </w:tcPr>
          <w:p w14:paraId="6F95F1FD">
            <w:pPr>
              <w:rPr>
                <w:rFonts w:hint="eastAsia" w:ascii="宋体" w:hAnsi="宋体" w:eastAsia="宋体" w:cs="宋体"/>
                <w:sz w:val="24"/>
                <w:szCs w:val="24"/>
                <w:highlight w:val="none"/>
                <w:vertAlign w:val="baseline"/>
              </w:rPr>
            </w:pPr>
          </w:p>
        </w:tc>
        <w:tc>
          <w:tcPr>
            <w:tcW w:w="738" w:type="dxa"/>
          </w:tcPr>
          <w:p w14:paraId="3729E4CE">
            <w:pPr>
              <w:rPr>
                <w:rFonts w:hint="eastAsia" w:ascii="宋体" w:hAnsi="宋体" w:eastAsia="宋体" w:cs="宋体"/>
                <w:sz w:val="24"/>
                <w:szCs w:val="24"/>
                <w:highlight w:val="none"/>
                <w:vertAlign w:val="baseline"/>
              </w:rPr>
            </w:pPr>
          </w:p>
        </w:tc>
        <w:tc>
          <w:tcPr>
            <w:tcW w:w="912" w:type="dxa"/>
          </w:tcPr>
          <w:p w14:paraId="37C923F5">
            <w:pPr>
              <w:rPr>
                <w:rFonts w:hint="eastAsia" w:ascii="宋体" w:hAnsi="宋体" w:eastAsia="宋体" w:cs="宋体"/>
                <w:sz w:val="24"/>
                <w:szCs w:val="24"/>
                <w:highlight w:val="none"/>
                <w:vertAlign w:val="baseline"/>
              </w:rPr>
            </w:pPr>
          </w:p>
        </w:tc>
        <w:tc>
          <w:tcPr>
            <w:tcW w:w="839" w:type="dxa"/>
            <w:vAlign w:val="center"/>
          </w:tcPr>
          <w:p w14:paraId="3F3D73A2">
            <w:pPr>
              <w:keepNext w:val="0"/>
              <w:keepLines w:val="0"/>
              <w:widowControl/>
              <w:suppressLineNumbers w:val="0"/>
              <w:jc w:val="center"/>
              <w:textAlignment w:val="center"/>
              <w:rPr>
                <w:rFonts w:hint="eastAsia" w:ascii="宋体" w:hAnsi="宋体" w:eastAsia="宋体" w:cs="宋体"/>
                <w:sz w:val="24"/>
                <w:szCs w:val="24"/>
                <w:highlight w:val="none"/>
                <w:vertAlign w:val="baseline"/>
              </w:rPr>
            </w:pPr>
          </w:p>
        </w:tc>
        <w:tc>
          <w:tcPr>
            <w:tcW w:w="850" w:type="dxa"/>
          </w:tcPr>
          <w:p w14:paraId="656EAEAC">
            <w:pPr>
              <w:rPr>
                <w:rFonts w:hint="eastAsia" w:ascii="宋体" w:hAnsi="宋体" w:eastAsia="宋体" w:cs="宋体"/>
                <w:sz w:val="24"/>
                <w:szCs w:val="24"/>
                <w:highlight w:val="none"/>
                <w:vertAlign w:val="baseline"/>
              </w:rPr>
            </w:pPr>
          </w:p>
        </w:tc>
        <w:tc>
          <w:tcPr>
            <w:tcW w:w="833" w:type="dxa"/>
          </w:tcPr>
          <w:p w14:paraId="58197E9E">
            <w:pPr>
              <w:rPr>
                <w:rFonts w:hint="eastAsia" w:ascii="宋体" w:hAnsi="宋体" w:eastAsia="宋体" w:cs="宋体"/>
                <w:sz w:val="24"/>
                <w:szCs w:val="24"/>
                <w:highlight w:val="none"/>
                <w:vertAlign w:val="baseline"/>
              </w:rPr>
            </w:pPr>
          </w:p>
        </w:tc>
        <w:tc>
          <w:tcPr>
            <w:tcW w:w="700" w:type="dxa"/>
          </w:tcPr>
          <w:p w14:paraId="289F4A25">
            <w:pPr>
              <w:rPr>
                <w:rFonts w:hint="eastAsia" w:ascii="宋体" w:hAnsi="宋体" w:eastAsia="宋体" w:cs="宋体"/>
                <w:sz w:val="24"/>
                <w:szCs w:val="24"/>
                <w:highlight w:val="none"/>
                <w:vertAlign w:val="baseline"/>
              </w:rPr>
            </w:pPr>
          </w:p>
        </w:tc>
      </w:tr>
      <w:tr w14:paraId="5C257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trPr>
        <w:tc>
          <w:tcPr>
            <w:tcW w:w="650" w:type="dxa"/>
            <w:vAlign w:val="top"/>
          </w:tcPr>
          <w:p w14:paraId="1417FF5F">
            <w:pPr>
              <w:rPr>
                <w:rFonts w:hint="default" w:ascii="宋体" w:hAnsi="宋体" w:eastAsia="宋体" w:cs="宋体"/>
                <w:sz w:val="24"/>
                <w:szCs w:val="24"/>
                <w:highlight w:val="none"/>
                <w:vertAlign w:val="baseline"/>
                <w:lang w:val="en-US" w:eastAsia="zh-CN"/>
              </w:rPr>
            </w:pPr>
            <w:r>
              <w:rPr>
                <w:rFonts w:hint="eastAsia" w:ascii="宋体" w:hAnsi="宋体" w:eastAsia="宋体" w:cs="宋体"/>
                <w:sz w:val="24"/>
                <w:szCs w:val="24"/>
                <w:highlight w:val="none"/>
                <w:vertAlign w:val="baseline"/>
                <w:lang w:val="en-US" w:eastAsia="zh-CN"/>
              </w:rPr>
              <w:t>...</w:t>
            </w:r>
          </w:p>
        </w:tc>
        <w:tc>
          <w:tcPr>
            <w:tcW w:w="1184" w:type="dxa"/>
            <w:vAlign w:val="center"/>
          </w:tcPr>
          <w:p w14:paraId="49F8B033">
            <w:pPr>
              <w:keepNext w:val="0"/>
              <w:keepLines w:val="0"/>
              <w:widowControl/>
              <w:suppressLineNumbers w:val="0"/>
              <w:jc w:val="left"/>
              <w:textAlignment w:val="center"/>
              <w:rPr>
                <w:rFonts w:hint="eastAsia" w:ascii="宋体" w:hAnsi="宋体" w:eastAsia="宋体" w:cs="宋体"/>
                <w:sz w:val="24"/>
                <w:szCs w:val="24"/>
                <w:highlight w:val="none"/>
                <w:vertAlign w:val="baseline"/>
              </w:rPr>
            </w:pPr>
          </w:p>
        </w:tc>
        <w:tc>
          <w:tcPr>
            <w:tcW w:w="1267" w:type="dxa"/>
            <w:vAlign w:val="center"/>
          </w:tcPr>
          <w:p w14:paraId="55F74C80">
            <w:pPr>
              <w:keepNext w:val="0"/>
              <w:keepLines w:val="0"/>
              <w:widowControl/>
              <w:suppressLineNumbers w:val="0"/>
              <w:jc w:val="left"/>
              <w:textAlignment w:val="center"/>
              <w:rPr>
                <w:rFonts w:hint="eastAsia" w:ascii="宋体" w:hAnsi="宋体" w:eastAsia="宋体" w:cs="宋体"/>
                <w:i w:val="0"/>
                <w:iCs w:val="0"/>
                <w:color w:val="000000"/>
                <w:kern w:val="0"/>
                <w:sz w:val="24"/>
                <w:szCs w:val="24"/>
                <w:highlight w:val="none"/>
                <w:u w:val="none"/>
                <w:lang w:val="en-US" w:eastAsia="zh-CN" w:bidi="ar"/>
              </w:rPr>
            </w:pPr>
          </w:p>
        </w:tc>
        <w:tc>
          <w:tcPr>
            <w:tcW w:w="1528" w:type="dxa"/>
          </w:tcPr>
          <w:p w14:paraId="2D26A429">
            <w:pPr>
              <w:rPr>
                <w:rFonts w:hint="eastAsia" w:ascii="宋体" w:hAnsi="宋体" w:eastAsia="宋体" w:cs="宋体"/>
                <w:sz w:val="24"/>
                <w:szCs w:val="24"/>
                <w:highlight w:val="none"/>
                <w:vertAlign w:val="baseline"/>
              </w:rPr>
            </w:pPr>
          </w:p>
        </w:tc>
        <w:tc>
          <w:tcPr>
            <w:tcW w:w="738" w:type="dxa"/>
          </w:tcPr>
          <w:p w14:paraId="47EFB73F">
            <w:pPr>
              <w:rPr>
                <w:rFonts w:hint="eastAsia" w:ascii="宋体" w:hAnsi="宋体" w:eastAsia="宋体" w:cs="宋体"/>
                <w:sz w:val="24"/>
                <w:szCs w:val="24"/>
                <w:highlight w:val="none"/>
                <w:vertAlign w:val="baseline"/>
              </w:rPr>
            </w:pPr>
          </w:p>
        </w:tc>
        <w:tc>
          <w:tcPr>
            <w:tcW w:w="912" w:type="dxa"/>
          </w:tcPr>
          <w:p w14:paraId="27C9834A">
            <w:pPr>
              <w:rPr>
                <w:rFonts w:hint="eastAsia" w:ascii="宋体" w:hAnsi="宋体" w:eastAsia="宋体" w:cs="宋体"/>
                <w:sz w:val="24"/>
                <w:szCs w:val="24"/>
                <w:highlight w:val="none"/>
                <w:vertAlign w:val="baseline"/>
              </w:rPr>
            </w:pPr>
          </w:p>
        </w:tc>
        <w:tc>
          <w:tcPr>
            <w:tcW w:w="839" w:type="dxa"/>
            <w:vAlign w:val="center"/>
          </w:tcPr>
          <w:p w14:paraId="3D99D38B">
            <w:pPr>
              <w:keepNext w:val="0"/>
              <w:keepLines w:val="0"/>
              <w:widowControl/>
              <w:suppressLineNumbers w:val="0"/>
              <w:jc w:val="center"/>
              <w:textAlignment w:val="center"/>
              <w:rPr>
                <w:rFonts w:hint="eastAsia" w:ascii="宋体" w:hAnsi="宋体" w:eastAsia="宋体" w:cs="宋体"/>
                <w:sz w:val="24"/>
                <w:szCs w:val="24"/>
                <w:highlight w:val="none"/>
                <w:vertAlign w:val="baseline"/>
              </w:rPr>
            </w:pPr>
          </w:p>
        </w:tc>
        <w:tc>
          <w:tcPr>
            <w:tcW w:w="850" w:type="dxa"/>
          </w:tcPr>
          <w:p w14:paraId="23C016F2">
            <w:pPr>
              <w:rPr>
                <w:rFonts w:hint="eastAsia" w:ascii="宋体" w:hAnsi="宋体" w:eastAsia="宋体" w:cs="宋体"/>
                <w:sz w:val="24"/>
                <w:szCs w:val="24"/>
                <w:highlight w:val="none"/>
                <w:vertAlign w:val="baseline"/>
              </w:rPr>
            </w:pPr>
          </w:p>
        </w:tc>
        <w:tc>
          <w:tcPr>
            <w:tcW w:w="833" w:type="dxa"/>
          </w:tcPr>
          <w:p w14:paraId="052C6141">
            <w:pPr>
              <w:rPr>
                <w:rFonts w:hint="eastAsia" w:ascii="宋体" w:hAnsi="宋体" w:eastAsia="宋体" w:cs="宋体"/>
                <w:sz w:val="24"/>
                <w:szCs w:val="24"/>
                <w:highlight w:val="none"/>
                <w:vertAlign w:val="baseline"/>
              </w:rPr>
            </w:pPr>
          </w:p>
        </w:tc>
        <w:tc>
          <w:tcPr>
            <w:tcW w:w="700" w:type="dxa"/>
          </w:tcPr>
          <w:p w14:paraId="713EE21E">
            <w:pPr>
              <w:rPr>
                <w:rFonts w:hint="eastAsia" w:ascii="宋体" w:hAnsi="宋体" w:eastAsia="宋体" w:cs="宋体"/>
                <w:sz w:val="24"/>
                <w:szCs w:val="24"/>
                <w:highlight w:val="none"/>
                <w:vertAlign w:val="baseline"/>
              </w:rPr>
            </w:pPr>
          </w:p>
        </w:tc>
      </w:tr>
    </w:tbl>
    <w:p w14:paraId="0BAF66E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包号：</w:t>
      </w:r>
      <w:r>
        <w:rPr>
          <w:rFonts w:hint="eastAsia" w:ascii="宋体" w:hAnsi="宋体" w:eastAsia="宋体" w:cs="宋体"/>
          <w:color w:val="auto"/>
          <w:sz w:val="24"/>
          <w:szCs w:val="24"/>
          <w:highlight w:val="none"/>
        </w:rPr>
        <w:t xml:space="preserve">                                     </w:t>
      </w:r>
    </w:p>
    <w:p w14:paraId="26E5ED39">
      <w:pPr>
        <w:spacing w:line="5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注：本表中的“</w:t>
      </w:r>
      <w:r>
        <w:rPr>
          <w:rFonts w:hint="eastAsia" w:ascii="宋体" w:hAnsi="宋体" w:eastAsia="宋体" w:cs="宋体"/>
          <w:color w:val="auto"/>
          <w:spacing w:val="-6"/>
          <w:sz w:val="24"/>
          <w:szCs w:val="24"/>
          <w:highlight w:val="none"/>
          <w:lang w:eastAsia="zh-CN"/>
        </w:rPr>
        <w:t>投标</w:t>
      </w:r>
      <w:r>
        <w:rPr>
          <w:rFonts w:hint="eastAsia" w:ascii="宋体" w:hAnsi="宋体" w:eastAsia="宋体" w:cs="宋体"/>
          <w:color w:val="auto"/>
          <w:spacing w:val="-6"/>
          <w:sz w:val="24"/>
          <w:szCs w:val="24"/>
          <w:highlight w:val="none"/>
        </w:rPr>
        <w:t>报价</w:t>
      </w:r>
      <w:r>
        <w:rPr>
          <w:rFonts w:hint="eastAsia" w:ascii="宋体" w:hAnsi="宋体" w:eastAsia="宋体" w:cs="宋体"/>
          <w:color w:val="auto"/>
          <w:sz w:val="24"/>
          <w:szCs w:val="24"/>
          <w:highlight w:val="none"/>
        </w:rPr>
        <w:t>”与“</w:t>
      </w:r>
      <w:r>
        <w:rPr>
          <w:rFonts w:hint="eastAsia" w:ascii="宋体" w:hAnsi="宋体" w:eastAsia="宋体" w:cs="宋体"/>
          <w:color w:val="auto"/>
          <w:sz w:val="24"/>
          <w:szCs w:val="24"/>
          <w:highlight w:val="none"/>
          <w:lang w:eastAsia="zh-CN"/>
        </w:rPr>
        <w:t>开标一览</w:t>
      </w:r>
      <w:r>
        <w:rPr>
          <w:rFonts w:hint="eastAsia" w:ascii="宋体" w:hAnsi="宋体" w:eastAsia="宋体" w:cs="宋体"/>
          <w:color w:val="auto"/>
          <w:sz w:val="24"/>
          <w:szCs w:val="24"/>
          <w:highlight w:val="none"/>
        </w:rPr>
        <w:t>表”中的“</w:t>
      </w:r>
      <w:r>
        <w:rPr>
          <w:rFonts w:hint="eastAsia" w:ascii="宋体" w:hAnsi="宋体" w:eastAsia="宋体" w:cs="宋体"/>
          <w:color w:val="auto"/>
          <w:spacing w:val="-6"/>
          <w:sz w:val="24"/>
          <w:szCs w:val="24"/>
          <w:highlight w:val="none"/>
          <w:lang w:eastAsia="zh-CN"/>
        </w:rPr>
        <w:t>投标</w:t>
      </w:r>
      <w:r>
        <w:rPr>
          <w:rFonts w:hint="eastAsia" w:ascii="宋体" w:hAnsi="宋体" w:eastAsia="宋体" w:cs="宋体"/>
          <w:color w:val="auto"/>
          <w:spacing w:val="-6"/>
          <w:sz w:val="24"/>
          <w:szCs w:val="24"/>
          <w:highlight w:val="none"/>
        </w:rPr>
        <w:t>报价</w:t>
      </w:r>
      <w:r>
        <w:rPr>
          <w:rFonts w:hint="eastAsia" w:ascii="宋体" w:hAnsi="宋体" w:eastAsia="宋体" w:cs="宋体"/>
          <w:color w:val="auto"/>
          <w:sz w:val="24"/>
          <w:szCs w:val="24"/>
          <w:highlight w:val="none"/>
        </w:rPr>
        <w:t>”一致。各子项分别报价。</w:t>
      </w:r>
    </w:p>
    <w:p w14:paraId="158797D7">
      <w:pPr>
        <w:spacing w:line="480" w:lineRule="auto"/>
        <w:ind w:firstLine="3840" w:firstLineChars="1600"/>
        <w:rPr>
          <w:rFonts w:hint="eastAsia" w:ascii="宋体" w:hAnsi="宋体" w:eastAsia="宋体" w:cs="宋体"/>
          <w:color w:val="auto"/>
          <w:sz w:val="24"/>
          <w:szCs w:val="24"/>
          <w:highlight w:val="none"/>
          <w:u w:val="single"/>
          <w:lang w:eastAsia="zh-CN"/>
        </w:rPr>
      </w:pPr>
      <w:r>
        <w:rPr>
          <w:rFonts w:hint="eastAsia" w:ascii="宋体" w:hAnsi="宋体" w:eastAsia="宋体" w:cs="宋体"/>
          <w:color w:val="auto"/>
          <w:sz w:val="24"/>
          <w:szCs w:val="24"/>
          <w:highlight w:val="none"/>
          <w:lang w:eastAsia="zh-CN"/>
        </w:rPr>
        <w:t>投标人名称（盖章）：</w:t>
      </w:r>
      <w:r>
        <w:rPr>
          <w:rFonts w:hint="eastAsia" w:ascii="宋体" w:hAnsi="宋体" w:eastAsia="宋体" w:cs="宋体"/>
          <w:color w:val="auto"/>
          <w:sz w:val="24"/>
          <w:szCs w:val="24"/>
          <w:highlight w:val="none"/>
          <w:u w:val="single"/>
          <w:lang w:eastAsia="zh-CN"/>
        </w:rPr>
        <w:t xml:space="preserve">                              </w:t>
      </w:r>
    </w:p>
    <w:p w14:paraId="500A6F52">
      <w:pPr>
        <w:spacing w:line="480" w:lineRule="auto"/>
        <w:ind w:firstLine="3840" w:firstLineChars="1600"/>
        <w:rPr>
          <w:rFonts w:hint="eastAsia" w:ascii="宋体" w:hAnsi="宋体" w:eastAsia="宋体" w:cs="宋体"/>
          <w:color w:val="auto"/>
          <w:sz w:val="24"/>
          <w:szCs w:val="24"/>
          <w:highlight w:val="none"/>
          <w:u w:val="single"/>
          <w:lang w:eastAsia="zh-CN"/>
        </w:rPr>
      </w:pPr>
      <w:r>
        <w:rPr>
          <w:rFonts w:hint="eastAsia" w:ascii="宋体" w:hAnsi="宋体" w:eastAsia="宋体" w:cs="宋体"/>
          <w:color w:val="auto"/>
          <w:sz w:val="24"/>
          <w:szCs w:val="24"/>
          <w:highlight w:val="none"/>
          <w:lang w:eastAsia="zh-CN"/>
        </w:rPr>
        <w:t>法定代表人或被授权人（签字或盖章）：</w:t>
      </w:r>
      <w:r>
        <w:rPr>
          <w:rFonts w:hint="eastAsia" w:ascii="宋体" w:hAnsi="宋体" w:eastAsia="宋体" w:cs="宋体"/>
          <w:color w:val="auto"/>
          <w:sz w:val="24"/>
          <w:szCs w:val="24"/>
          <w:highlight w:val="none"/>
          <w:u w:val="single"/>
          <w:lang w:eastAsia="zh-CN"/>
        </w:rPr>
        <w:t xml:space="preserve">             </w:t>
      </w:r>
    </w:p>
    <w:p w14:paraId="6CBE5383">
      <w:pPr>
        <w:spacing w:line="480" w:lineRule="auto"/>
        <w:ind w:firstLine="3840" w:firstLineChars="1600"/>
        <w:rPr>
          <w:rFonts w:hint="eastAsia" w:ascii="宋体" w:hAnsi="宋体" w:eastAsia="宋体" w:cs="宋体"/>
          <w:color w:val="auto"/>
          <w:sz w:val="24"/>
          <w:szCs w:val="24"/>
          <w:highlight w:val="none"/>
          <w:u w:val="single"/>
          <w:lang w:eastAsia="zh-CN"/>
        </w:rPr>
      </w:pPr>
      <w:r>
        <w:rPr>
          <w:rFonts w:hint="eastAsia" w:ascii="宋体" w:hAnsi="宋体" w:eastAsia="宋体" w:cs="宋体"/>
          <w:color w:val="auto"/>
          <w:sz w:val="24"/>
          <w:szCs w:val="24"/>
          <w:highlight w:val="none"/>
          <w:lang w:eastAsia="zh-CN"/>
        </w:rPr>
        <w:t>日              期：</w:t>
      </w:r>
      <w:r>
        <w:rPr>
          <w:rFonts w:hint="eastAsia" w:ascii="宋体" w:hAnsi="宋体" w:eastAsia="宋体" w:cs="宋体"/>
          <w:color w:val="auto"/>
          <w:sz w:val="24"/>
          <w:szCs w:val="24"/>
          <w:highlight w:val="none"/>
          <w:u w:val="single"/>
          <w:lang w:eastAsia="zh-CN"/>
        </w:rPr>
        <w:t xml:space="preserve">                        </w:t>
      </w:r>
    </w:p>
    <w:p w14:paraId="20A36C97">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br w:type="page"/>
      </w:r>
    </w:p>
    <w:p w14:paraId="53219714">
      <w:pPr>
        <w:pStyle w:val="4"/>
        <w:ind w:left="0" w:leftChars="0" w:firstLine="0" w:firstLineChars="0"/>
        <w:jc w:val="center"/>
        <w:rPr>
          <w:rFonts w:hint="eastAsia" w:ascii="宋体" w:hAnsi="宋体" w:eastAsia="宋体" w:cs="宋体"/>
          <w:b/>
          <w:bCs/>
          <w:sz w:val="28"/>
          <w:szCs w:val="28"/>
          <w:highlight w:val="none"/>
        </w:rPr>
      </w:pPr>
      <w:r>
        <w:rPr>
          <w:rFonts w:hint="eastAsia" w:ascii="宋体" w:hAnsi="宋体" w:eastAsia="宋体" w:cs="宋体"/>
          <w:b/>
          <w:bCs/>
          <w:sz w:val="28"/>
          <w:szCs w:val="28"/>
          <w:highlight w:val="none"/>
        </w:rPr>
        <w:t>第三部分  资格证明文件</w:t>
      </w:r>
    </w:p>
    <w:p w14:paraId="5391543D">
      <w:pPr>
        <w:numPr>
          <w:ilvl w:val="0"/>
          <w:numId w:val="0"/>
        </w:numPr>
        <w:jc w:val="both"/>
        <w:rPr>
          <w:rFonts w:hint="eastAsia" w:ascii="宋体" w:hAnsi="宋体" w:cs="宋体"/>
          <w:b/>
          <w:bCs/>
          <w:i w:val="0"/>
          <w:iCs w:val="0"/>
          <w:caps w:val="0"/>
          <w:color w:val="auto"/>
          <w:spacing w:val="0"/>
          <w:kern w:val="0"/>
          <w:sz w:val="24"/>
          <w:szCs w:val="24"/>
          <w:highlight w:val="none"/>
          <w:u w:val="none"/>
          <w:lang w:val="en-US" w:eastAsia="zh-CN" w:bidi="ar-SA"/>
        </w:rPr>
      </w:pPr>
      <w:r>
        <w:rPr>
          <w:rFonts w:hint="eastAsia" w:ascii="宋体" w:hAnsi="宋体" w:cs="宋体"/>
          <w:b/>
          <w:bCs/>
          <w:i w:val="0"/>
          <w:iCs w:val="0"/>
          <w:caps w:val="0"/>
          <w:color w:val="auto"/>
          <w:spacing w:val="0"/>
          <w:kern w:val="0"/>
          <w:sz w:val="24"/>
          <w:szCs w:val="24"/>
          <w:highlight w:val="none"/>
          <w:u w:val="none"/>
          <w:lang w:val="en-US" w:eastAsia="zh-CN" w:bidi="ar-SA"/>
        </w:rPr>
        <w:t>1.提供合格有效的法人或者其他组织的营业执照等证明文件或自然人的身份证明；</w:t>
      </w:r>
    </w:p>
    <w:p w14:paraId="4D1AEDEC">
      <w:pPr>
        <w:numPr>
          <w:ilvl w:val="0"/>
          <w:numId w:val="0"/>
        </w:numPr>
        <w:jc w:val="both"/>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cs="宋体"/>
          <w:b/>
          <w:bCs/>
          <w:i w:val="0"/>
          <w:iCs w:val="0"/>
          <w:caps w:val="0"/>
          <w:color w:val="auto"/>
          <w:spacing w:val="0"/>
          <w:kern w:val="0"/>
          <w:sz w:val="24"/>
          <w:szCs w:val="24"/>
          <w:highlight w:val="none"/>
          <w:u w:val="none"/>
          <w:lang w:val="en-US" w:eastAsia="zh-CN" w:bidi="ar-SA"/>
        </w:rPr>
        <w:br w:type="page"/>
      </w:r>
      <w:r>
        <w:rPr>
          <w:rFonts w:hint="eastAsia" w:ascii="宋体" w:hAnsi="宋体" w:cs="宋体"/>
          <w:b/>
          <w:bCs/>
          <w:i w:val="0"/>
          <w:iCs w:val="0"/>
          <w:caps w:val="0"/>
          <w:color w:val="auto"/>
          <w:spacing w:val="0"/>
          <w:kern w:val="0"/>
          <w:sz w:val="24"/>
          <w:szCs w:val="24"/>
          <w:highlight w:val="none"/>
          <w:u w:val="none"/>
          <w:lang w:val="en-US" w:eastAsia="zh-CN" w:bidi="ar-SA"/>
        </w:rPr>
        <w:t>2.基本资格条件：</w:t>
      </w:r>
      <w:r>
        <w:rPr>
          <w:rFonts w:hint="eastAsia" w:ascii="宋体" w:hAnsi="宋体" w:eastAsia="宋体" w:cs="宋体"/>
          <w:b/>
          <w:bCs/>
          <w:i w:val="0"/>
          <w:iCs w:val="0"/>
          <w:caps w:val="0"/>
          <w:color w:val="auto"/>
          <w:spacing w:val="0"/>
          <w:kern w:val="0"/>
          <w:sz w:val="24"/>
          <w:szCs w:val="24"/>
          <w:highlight w:val="none"/>
          <w:u w:val="none"/>
          <w:lang w:val="en-US" w:eastAsia="zh-CN" w:bidi="ar-SA"/>
        </w:rPr>
        <w:t>符合《中华人民共和国政府采购法》第二十二条的规定；</w:t>
      </w:r>
    </w:p>
    <w:p w14:paraId="62DA74CC">
      <w:pPr>
        <w:numPr>
          <w:ilvl w:val="0"/>
          <w:numId w:val="0"/>
        </w:numPr>
        <w:jc w:val="center"/>
        <w:rPr>
          <w:rFonts w:hint="eastAsia" w:ascii="宋体" w:hAnsi="宋体" w:eastAsia="宋体" w:cs="宋体"/>
          <w:b/>
          <w:sz w:val="24"/>
          <w:szCs w:val="24"/>
          <w:highlight w:val="none"/>
          <w:lang w:eastAsia="zh-CN"/>
        </w:rPr>
      </w:pPr>
      <w:r>
        <w:rPr>
          <w:rFonts w:hint="eastAsia" w:ascii="宋体" w:hAnsi="宋体" w:eastAsia="宋体" w:cs="宋体"/>
          <w:b/>
          <w:sz w:val="24"/>
          <w:szCs w:val="24"/>
          <w:highlight w:val="none"/>
          <w:lang w:eastAsia="zh-CN"/>
        </w:rPr>
        <w:t>基本资格条件承诺函</w:t>
      </w:r>
    </w:p>
    <w:p w14:paraId="11061EE7">
      <w:pPr>
        <w:keepNext w:val="0"/>
        <w:keepLines w:val="0"/>
        <w:pageBreakBefore w:val="0"/>
        <w:widowControl w:val="0"/>
        <w:kinsoku/>
        <w:wordWrap/>
        <w:overflowPunct/>
        <w:topLinePunct w:val="0"/>
        <w:autoSpaceDE/>
        <w:autoSpaceDN/>
        <w:bidi w:val="0"/>
        <w:adjustRightInd/>
        <w:snapToGrid/>
        <w:spacing w:line="360" w:lineRule="auto"/>
        <w:ind w:left="892" w:leftChars="172" w:hanging="480" w:hangingChars="200"/>
        <w:textAlignment w:val="auto"/>
        <w:rPr>
          <w:rFonts w:hint="eastAsia" w:ascii="宋体" w:hAnsi="宋体" w:eastAsia="宋体" w:cs="宋体"/>
          <w:color w:val="000000"/>
          <w:sz w:val="24"/>
          <w:highlight w:val="none"/>
          <w:lang w:eastAsia="zh-CN"/>
        </w:rPr>
      </w:pPr>
      <w:r>
        <w:rPr>
          <w:rFonts w:hint="eastAsia" w:ascii="宋体" w:hAnsi="宋体" w:eastAsia="宋体" w:cs="宋体"/>
          <w:color w:val="000000"/>
          <w:sz w:val="24"/>
          <w:highlight w:val="none"/>
          <w:lang w:eastAsia="zh-CN"/>
        </w:rPr>
        <w:t>致</w:t>
      </w:r>
      <w:r>
        <w:rPr>
          <w:rFonts w:hint="eastAsia" w:ascii="宋体" w:hAnsi="宋体" w:eastAsia="宋体" w:cs="宋体"/>
          <w:color w:val="000000"/>
          <w:sz w:val="24"/>
          <w:highlight w:val="none"/>
          <w:u w:val="single"/>
          <w:lang w:val="en-US" w:eastAsia="zh-CN"/>
        </w:rPr>
        <w:t xml:space="preserve">              </w:t>
      </w:r>
      <w:r>
        <w:rPr>
          <w:rFonts w:hint="eastAsia" w:ascii="宋体" w:hAnsi="宋体" w:eastAsia="宋体" w:cs="宋体"/>
          <w:color w:val="000000"/>
          <w:sz w:val="24"/>
          <w:highlight w:val="none"/>
          <w:lang w:eastAsia="zh-CN"/>
        </w:rPr>
        <w:t>(采购代理机构名称):</w:t>
      </w:r>
    </w:p>
    <w:p w14:paraId="56265052">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ascii="宋体" w:hAnsi="宋体" w:eastAsia="宋体" w:cs="宋体"/>
          <w:color w:val="000000"/>
          <w:sz w:val="24"/>
          <w:highlight w:val="none"/>
          <w:lang w:eastAsia="zh-CN"/>
        </w:rPr>
      </w:pPr>
      <w:r>
        <w:rPr>
          <w:rFonts w:hint="eastAsia" w:ascii="宋体" w:hAnsi="宋体" w:eastAsia="宋体" w:cs="宋体"/>
          <w:color w:val="000000"/>
          <w:sz w:val="24"/>
          <w:highlight w:val="none"/>
          <w:u w:val="single"/>
          <w:lang w:val="en-US" w:eastAsia="zh-CN"/>
        </w:rPr>
        <w:t xml:space="preserve">                 </w:t>
      </w:r>
      <w:r>
        <w:rPr>
          <w:rFonts w:hint="eastAsia" w:ascii="宋体" w:hAnsi="宋体" w:eastAsia="宋体" w:cs="宋体"/>
          <w:color w:val="000000"/>
          <w:sz w:val="24"/>
          <w:highlight w:val="none"/>
          <w:lang w:eastAsia="zh-CN"/>
        </w:rPr>
        <w:t>(供应商名称)郑重承诺:</w:t>
      </w:r>
    </w:p>
    <w:p w14:paraId="521EE141">
      <w:pPr>
        <w:keepNext w:val="0"/>
        <w:keepLines w:val="0"/>
        <w:pageBreakBefore w:val="0"/>
        <w:widowControl w:val="0"/>
        <w:kinsoku/>
        <w:wordWrap/>
        <w:overflowPunct/>
        <w:topLinePunct w:val="0"/>
        <w:autoSpaceDE/>
        <w:autoSpaceDN/>
        <w:bidi w:val="0"/>
        <w:adjustRightInd/>
        <w:snapToGrid/>
        <w:spacing w:line="360" w:lineRule="auto"/>
        <w:ind w:left="547" w:leftChars="228" w:firstLine="240" w:firstLineChars="100"/>
        <w:textAlignment w:val="auto"/>
        <w:rPr>
          <w:rFonts w:hint="eastAsia" w:ascii="宋体" w:hAnsi="宋体" w:eastAsia="宋体" w:cs="宋体"/>
          <w:color w:val="000000"/>
          <w:sz w:val="24"/>
          <w:highlight w:val="none"/>
          <w:lang w:eastAsia="zh-CN"/>
        </w:rPr>
      </w:pPr>
      <w:r>
        <w:rPr>
          <w:rFonts w:hint="eastAsia" w:ascii="宋体" w:hAnsi="宋体" w:eastAsia="宋体" w:cs="宋体"/>
          <w:color w:val="000000"/>
          <w:sz w:val="24"/>
          <w:highlight w:val="none"/>
          <w:lang w:eastAsia="zh-CN"/>
        </w:rPr>
        <w:t>1.我方具有良好的商业信誉和健全的财务会计制度，具有履行合同所必需的设备和专业技术能力，具有依法缴纳税收和社会保障金的良好记录，参加本项目采购活动前三年内无重大违法活动记录。</w:t>
      </w:r>
    </w:p>
    <w:p w14:paraId="3F921395">
      <w:pPr>
        <w:keepNext w:val="0"/>
        <w:keepLines w:val="0"/>
        <w:pageBreakBefore w:val="0"/>
        <w:widowControl w:val="0"/>
        <w:kinsoku/>
        <w:wordWrap/>
        <w:overflowPunct/>
        <w:topLinePunct w:val="0"/>
        <w:autoSpaceDE/>
        <w:autoSpaceDN/>
        <w:bidi w:val="0"/>
        <w:adjustRightInd/>
        <w:snapToGrid/>
        <w:spacing w:line="360" w:lineRule="auto"/>
        <w:ind w:left="547" w:leftChars="228" w:firstLine="240" w:firstLineChars="100"/>
        <w:textAlignment w:val="auto"/>
        <w:rPr>
          <w:rFonts w:hint="eastAsia" w:ascii="宋体" w:hAnsi="宋体" w:eastAsia="宋体" w:cs="宋体"/>
          <w:color w:val="000000"/>
          <w:sz w:val="24"/>
          <w:highlight w:val="none"/>
          <w:lang w:eastAsia="zh-CN"/>
        </w:rPr>
      </w:pPr>
      <w:r>
        <w:rPr>
          <w:rFonts w:hint="eastAsia" w:ascii="宋体" w:hAnsi="宋体" w:eastAsia="宋体" w:cs="宋体"/>
          <w:color w:val="000000"/>
          <w:sz w:val="24"/>
          <w:highlight w:val="none"/>
          <w:lang w:eastAsia="zh-CN"/>
        </w:rPr>
        <w:t>2.我方未列入在信用中国网站(www.creditchina.gov.cn)“失信被执行人”、“重大税收违法案件当事人名单”中，也未列入中国政府采购网(www.ccgp.gov.cn)“政府采购严重违法失信行为记录名单”中。</w:t>
      </w:r>
    </w:p>
    <w:p w14:paraId="2EB6B6DB">
      <w:pPr>
        <w:keepNext w:val="0"/>
        <w:keepLines w:val="0"/>
        <w:pageBreakBefore w:val="0"/>
        <w:widowControl w:val="0"/>
        <w:kinsoku/>
        <w:wordWrap/>
        <w:overflowPunct/>
        <w:topLinePunct w:val="0"/>
        <w:autoSpaceDE/>
        <w:autoSpaceDN/>
        <w:bidi w:val="0"/>
        <w:adjustRightInd/>
        <w:snapToGrid/>
        <w:spacing w:line="360" w:lineRule="auto"/>
        <w:ind w:left="547" w:leftChars="228" w:firstLine="240" w:firstLineChars="100"/>
        <w:textAlignment w:val="auto"/>
        <w:rPr>
          <w:rFonts w:hint="eastAsia" w:ascii="宋体" w:hAnsi="宋体" w:eastAsia="宋体" w:cs="宋体"/>
          <w:color w:val="000000"/>
          <w:sz w:val="24"/>
          <w:highlight w:val="none"/>
          <w:lang w:eastAsia="zh-CN"/>
        </w:rPr>
      </w:pPr>
      <w:r>
        <w:rPr>
          <w:rFonts w:hint="eastAsia" w:ascii="宋体" w:hAnsi="宋体" w:eastAsia="宋体" w:cs="宋体"/>
          <w:color w:val="000000"/>
          <w:sz w:val="24"/>
          <w:highlight w:val="none"/>
          <w:lang w:eastAsia="zh-CN"/>
        </w:rPr>
        <w:t>3.我方在采购项目评审(评标)环节结束后，随时接受采购人、采购代理机构的检查验证，配合提供相关证明材料，证明符合《中华人民共和国政府采购法》规定的投标人基本资格条件。</w:t>
      </w:r>
    </w:p>
    <w:p w14:paraId="53B46E1B">
      <w:pPr>
        <w:keepNext w:val="0"/>
        <w:keepLines w:val="0"/>
        <w:pageBreakBefore w:val="0"/>
        <w:widowControl w:val="0"/>
        <w:kinsoku/>
        <w:wordWrap/>
        <w:overflowPunct/>
        <w:topLinePunct w:val="0"/>
        <w:autoSpaceDE/>
        <w:autoSpaceDN/>
        <w:bidi w:val="0"/>
        <w:adjustRightInd/>
        <w:snapToGrid/>
        <w:spacing w:line="360" w:lineRule="auto"/>
        <w:ind w:left="547" w:leftChars="228" w:firstLine="240" w:firstLineChars="100"/>
        <w:textAlignment w:val="auto"/>
        <w:rPr>
          <w:rFonts w:hint="eastAsia" w:ascii="宋体" w:hAnsi="宋体" w:eastAsia="宋体" w:cs="宋体"/>
          <w:color w:val="000000"/>
          <w:sz w:val="24"/>
          <w:highlight w:val="none"/>
          <w:lang w:eastAsia="zh-CN"/>
        </w:rPr>
      </w:pPr>
      <w:r>
        <w:rPr>
          <w:rFonts w:hint="eastAsia" w:ascii="宋体" w:hAnsi="宋体" w:eastAsia="宋体" w:cs="宋体"/>
          <w:color w:val="000000"/>
          <w:sz w:val="24"/>
          <w:highlight w:val="none"/>
          <w:lang w:eastAsia="zh-CN"/>
        </w:rPr>
        <w:t>我方对以上承诺负全部法律责任。</w:t>
      </w:r>
    </w:p>
    <w:p w14:paraId="07551AA9">
      <w:pPr>
        <w:keepNext w:val="0"/>
        <w:keepLines w:val="0"/>
        <w:pageBreakBefore w:val="0"/>
        <w:widowControl w:val="0"/>
        <w:kinsoku/>
        <w:wordWrap/>
        <w:overflowPunct/>
        <w:topLinePunct w:val="0"/>
        <w:autoSpaceDE/>
        <w:autoSpaceDN/>
        <w:bidi w:val="0"/>
        <w:adjustRightInd/>
        <w:snapToGrid/>
        <w:spacing w:line="360" w:lineRule="auto"/>
        <w:ind w:left="547" w:leftChars="228" w:firstLine="240" w:firstLineChars="100"/>
        <w:textAlignment w:val="auto"/>
        <w:rPr>
          <w:rFonts w:hint="eastAsia" w:ascii="宋体" w:hAnsi="宋体" w:eastAsia="宋体" w:cs="宋体"/>
          <w:color w:val="000000"/>
          <w:sz w:val="24"/>
          <w:highlight w:val="none"/>
          <w:lang w:eastAsia="zh-CN"/>
        </w:rPr>
      </w:pPr>
      <w:r>
        <w:rPr>
          <w:rFonts w:hint="eastAsia" w:ascii="宋体" w:hAnsi="宋体" w:eastAsia="宋体" w:cs="宋体"/>
          <w:color w:val="000000"/>
          <w:sz w:val="24"/>
          <w:highlight w:val="none"/>
          <w:lang w:eastAsia="zh-CN"/>
        </w:rPr>
        <w:t>特此承诺。</w:t>
      </w:r>
    </w:p>
    <w:p w14:paraId="184929A2">
      <w:pPr>
        <w:spacing w:line="480" w:lineRule="auto"/>
        <w:ind w:firstLine="3840" w:firstLineChars="1600"/>
        <w:rPr>
          <w:rFonts w:hint="eastAsia" w:ascii="宋体" w:hAnsi="宋体" w:eastAsia="宋体" w:cs="宋体"/>
          <w:color w:val="auto"/>
          <w:sz w:val="24"/>
          <w:szCs w:val="24"/>
          <w:highlight w:val="none"/>
          <w:u w:val="single"/>
          <w:lang w:eastAsia="zh-CN"/>
        </w:rPr>
      </w:pPr>
      <w:r>
        <w:rPr>
          <w:rFonts w:hint="eastAsia" w:ascii="宋体" w:hAnsi="宋体" w:eastAsia="宋体" w:cs="宋体"/>
          <w:color w:val="auto"/>
          <w:sz w:val="24"/>
          <w:szCs w:val="24"/>
          <w:highlight w:val="none"/>
          <w:lang w:eastAsia="zh-CN"/>
        </w:rPr>
        <w:t>投标人名称（盖章）：</w:t>
      </w:r>
      <w:r>
        <w:rPr>
          <w:rFonts w:hint="eastAsia" w:ascii="宋体" w:hAnsi="宋体" w:eastAsia="宋体" w:cs="宋体"/>
          <w:color w:val="auto"/>
          <w:sz w:val="24"/>
          <w:szCs w:val="24"/>
          <w:highlight w:val="none"/>
          <w:u w:val="single"/>
          <w:lang w:eastAsia="zh-CN"/>
        </w:rPr>
        <w:t xml:space="preserve">                              </w:t>
      </w:r>
    </w:p>
    <w:p w14:paraId="74E40E2E">
      <w:pPr>
        <w:spacing w:line="480" w:lineRule="auto"/>
        <w:ind w:firstLine="3840" w:firstLineChars="1600"/>
        <w:rPr>
          <w:rFonts w:hint="eastAsia" w:ascii="宋体" w:hAnsi="宋体" w:eastAsia="宋体" w:cs="宋体"/>
          <w:color w:val="auto"/>
          <w:sz w:val="24"/>
          <w:szCs w:val="24"/>
          <w:highlight w:val="none"/>
          <w:u w:val="single"/>
          <w:lang w:eastAsia="zh-CN"/>
        </w:rPr>
      </w:pPr>
      <w:r>
        <w:rPr>
          <w:rFonts w:hint="eastAsia" w:ascii="宋体" w:hAnsi="宋体" w:eastAsia="宋体" w:cs="宋体"/>
          <w:color w:val="auto"/>
          <w:sz w:val="24"/>
          <w:szCs w:val="24"/>
          <w:highlight w:val="none"/>
          <w:lang w:eastAsia="zh-CN"/>
        </w:rPr>
        <w:t>法定代表人或被授权人（签字或盖章）：</w:t>
      </w:r>
      <w:r>
        <w:rPr>
          <w:rFonts w:hint="eastAsia" w:ascii="宋体" w:hAnsi="宋体" w:eastAsia="宋体" w:cs="宋体"/>
          <w:color w:val="auto"/>
          <w:sz w:val="24"/>
          <w:szCs w:val="24"/>
          <w:highlight w:val="none"/>
          <w:u w:val="single"/>
          <w:lang w:eastAsia="zh-CN"/>
        </w:rPr>
        <w:t xml:space="preserve">             </w:t>
      </w:r>
    </w:p>
    <w:p w14:paraId="35D93322">
      <w:pPr>
        <w:spacing w:line="480" w:lineRule="auto"/>
        <w:ind w:firstLine="3840" w:firstLineChars="1600"/>
        <w:rPr>
          <w:rFonts w:hint="eastAsia" w:ascii="宋体" w:hAnsi="宋体" w:eastAsia="宋体" w:cs="宋体"/>
          <w:color w:val="auto"/>
          <w:sz w:val="24"/>
          <w:szCs w:val="24"/>
          <w:highlight w:val="none"/>
          <w:u w:val="single"/>
          <w:lang w:eastAsia="zh-CN"/>
        </w:rPr>
      </w:pPr>
      <w:r>
        <w:rPr>
          <w:rFonts w:hint="eastAsia" w:ascii="宋体" w:hAnsi="宋体" w:eastAsia="宋体" w:cs="宋体"/>
          <w:color w:val="auto"/>
          <w:sz w:val="24"/>
          <w:szCs w:val="24"/>
          <w:highlight w:val="none"/>
          <w:lang w:eastAsia="zh-CN"/>
        </w:rPr>
        <w:t>日              期：</w:t>
      </w:r>
      <w:r>
        <w:rPr>
          <w:rFonts w:hint="eastAsia" w:ascii="宋体" w:hAnsi="宋体" w:eastAsia="宋体" w:cs="宋体"/>
          <w:color w:val="auto"/>
          <w:sz w:val="24"/>
          <w:szCs w:val="24"/>
          <w:highlight w:val="none"/>
          <w:u w:val="single"/>
          <w:lang w:eastAsia="zh-CN"/>
        </w:rPr>
        <w:t xml:space="preserve">                        </w:t>
      </w:r>
    </w:p>
    <w:p w14:paraId="38E01CDB">
      <w:pPr>
        <w:rPr>
          <w:rFonts w:hint="eastAsia" w:ascii="宋体" w:hAnsi="宋体" w:cs="宋体"/>
          <w:color w:val="000000"/>
          <w:sz w:val="24"/>
          <w:highlight w:val="none"/>
          <w:lang w:val="en-US" w:eastAsia="zh-CN"/>
        </w:rPr>
      </w:pPr>
    </w:p>
    <w:p w14:paraId="74DA2517">
      <w:pPr>
        <w:rPr>
          <w:rFonts w:hint="eastAsia" w:ascii="宋体" w:hAnsi="宋体" w:eastAsia="宋体" w:cs="宋体"/>
          <w:color w:val="auto"/>
          <w:sz w:val="24"/>
          <w:highlight w:val="none"/>
        </w:rPr>
      </w:pPr>
      <w:r>
        <w:rPr>
          <w:rFonts w:hint="eastAsia" w:ascii="宋体" w:hAnsi="宋体" w:cs="宋体"/>
          <w:color w:val="000000"/>
          <w:sz w:val="24"/>
          <w:highlight w:val="none"/>
          <w:lang w:val="en-US" w:eastAsia="zh-CN"/>
        </w:rPr>
        <w:br w:type="page"/>
      </w:r>
      <w:r>
        <w:rPr>
          <w:rFonts w:hint="eastAsia" w:ascii="宋体" w:hAnsi="宋体" w:eastAsia="宋体" w:cs="宋体"/>
          <w:b/>
          <w:bCs/>
          <w:color w:val="auto"/>
          <w:sz w:val="24"/>
          <w:highlight w:val="none"/>
          <w:lang w:val="en-US" w:eastAsia="zh-CN"/>
        </w:rPr>
        <w:t>3.供应商应授权合法的人员参加投标全过程，其中法定代表人直接参加投标的，须出具法定代表人身份证，并与营业执照上信息一致。法定代表人授权代表参加投标的，须出具法定代表人授权书及授权代表身份证，授权代表须提供近六个月中任一个月缴纳社保证明复印件并加盖单位公章；</w:t>
      </w:r>
    </w:p>
    <w:p w14:paraId="113624D7">
      <w:pPr>
        <w:jc w:val="center"/>
        <w:rPr>
          <w:rFonts w:hint="eastAsia" w:ascii="宋体" w:hAnsi="宋体" w:eastAsia="宋体" w:cs="宋体"/>
          <w:b/>
          <w:bCs/>
          <w:color w:val="auto"/>
          <w:sz w:val="24"/>
          <w:szCs w:val="32"/>
          <w:highlight w:val="none"/>
        </w:rPr>
      </w:pPr>
      <w:r>
        <w:rPr>
          <w:rFonts w:hint="eastAsia" w:ascii="宋体" w:hAnsi="宋体" w:eastAsia="宋体" w:cs="宋体"/>
          <w:b/>
          <w:bCs/>
          <w:color w:val="auto"/>
          <w:sz w:val="24"/>
          <w:szCs w:val="32"/>
          <w:highlight w:val="none"/>
        </w:rPr>
        <w:t>表一  法定代表人身份证明书</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5"/>
        <w:gridCol w:w="2047"/>
        <w:gridCol w:w="2044"/>
        <w:gridCol w:w="173"/>
        <w:gridCol w:w="2044"/>
        <w:gridCol w:w="2171"/>
      </w:tblGrid>
      <w:tr w14:paraId="3F757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jc w:val="center"/>
        </w:trPr>
        <w:tc>
          <w:tcPr>
            <w:tcW w:w="5000" w:type="pct"/>
            <w:gridSpan w:val="6"/>
            <w:noWrap w:val="0"/>
            <w:vAlign w:val="center"/>
          </w:tcPr>
          <w:p w14:paraId="36D90ED7">
            <w:pPr>
              <w:tabs>
                <w:tab w:val="left" w:pos="210"/>
              </w:tabs>
              <w:spacing w:line="320" w:lineRule="exac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致：华晟国际项目管理有限公司</w:t>
            </w:r>
          </w:p>
        </w:tc>
      </w:tr>
      <w:tr w14:paraId="6F5DE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544" w:type="pct"/>
            <w:vMerge w:val="restart"/>
            <w:noWrap w:val="0"/>
            <w:vAlign w:val="center"/>
          </w:tcPr>
          <w:p w14:paraId="74E1888F">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企</w:t>
            </w:r>
          </w:p>
          <w:p w14:paraId="147A690D">
            <w:pPr>
              <w:tabs>
                <w:tab w:val="left" w:pos="210"/>
              </w:tabs>
              <w:spacing w:line="320" w:lineRule="exact"/>
              <w:jc w:val="center"/>
              <w:rPr>
                <w:rFonts w:hint="eastAsia" w:ascii="宋体" w:hAnsi="宋体" w:eastAsia="宋体" w:cs="宋体"/>
                <w:color w:val="auto"/>
                <w:kern w:val="0"/>
                <w:sz w:val="24"/>
                <w:highlight w:val="none"/>
              </w:rPr>
            </w:pPr>
          </w:p>
          <w:p w14:paraId="257C4B23">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业</w:t>
            </w:r>
          </w:p>
          <w:p w14:paraId="0D4C55B4">
            <w:pPr>
              <w:tabs>
                <w:tab w:val="left" w:pos="210"/>
              </w:tabs>
              <w:spacing w:line="320" w:lineRule="exact"/>
              <w:jc w:val="center"/>
              <w:rPr>
                <w:rFonts w:hint="eastAsia" w:ascii="宋体" w:hAnsi="宋体" w:eastAsia="宋体" w:cs="宋体"/>
                <w:color w:val="auto"/>
                <w:kern w:val="0"/>
                <w:sz w:val="24"/>
                <w:highlight w:val="none"/>
              </w:rPr>
            </w:pPr>
          </w:p>
          <w:p w14:paraId="01EB0ADF">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法</w:t>
            </w:r>
          </w:p>
          <w:p w14:paraId="634ECC2A">
            <w:pPr>
              <w:tabs>
                <w:tab w:val="left" w:pos="210"/>
              </w:tabs>
              <w:spacing w:line="320" w:lineRule="exact"/>
              <w:jc w:val="center"/>
              <w:rPr>
                <w:rFonts w:hint="eastAsia" w:ascii="宋体" w:hAnsi="宋体" w:eastAsia="宋体" w:cs="宋体"/>
                <w:color w:val="auto"/>
                <w:kern w:val="0"/>
                <w:sz w:val="24"/>
                <w:highlight w:val="none"/>
              </w:rPr>
            </w:pPr>
          </w:p>
          <w:p w14:paraId="1B63DF04">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人</w:t>
            </w:r>
          </w:p>
        </w:tc>
        <w:tc>
          <w:tcPr>
            <w:tcW w:w="1076" w:type="pct"/>
            <w:noWrap w:val="0"/>
            <w:vAlign w:val="center"/>
          </w:tcPr>
          <w:p w14:paraId="70CFD4F3">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企业名称</w:t>
            </w:r>
          </w:p>
        </w:tc>
        <w:tc>
          <w:tcPr>
            <w:tcW w:w="3378" w:type="pct"/>
            <w:gridSpan w:val="4"/>
            <w:noWrap w:val="0"/>
            <w:vAlign w:val="center"/>
          </w:tcPr>
          <w:p w14:paraId="7C9CA515">
            <w:pPr>
              <w:tabs>
                <w:tab w:val="left" w:pos="210"/>
              </w:tabs>
              <w:spacing w:line="320" w:lineRule="exact"/>
              <w:jc w:val="center"/>
              <w:rPr>
                <w:rFonts w:hint="eastAsia" w:ascii="宋体" w:hAnsi="宋体" w:eastAsia="宋体" w:cs="宋体"/>
                <w:color w:val="auto"/>
                <w:kern w:val="0"/>
                <w:sz w:val="24"/>
                <w:highlight w:val="none"/>
              </w:rPr>
            </w:pPr>
          </w:p>
        </w:tc>
      </w:tr>
      <w:tr w14:paraId="6B7CE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544" w:type="pct"/>
            <w:vMerge w:val="continue"/>
            <w:noWrap w:val="0"/>
            <w:vAlign w:val="center"/>
          </w:tcPr>
          <w:p w14:paraId="07AFE714">
            <w:pPr>
              <w:tabs>
                <w:tab w:val="left" w:pos="210"/>
              </w:tabs>
              <w:spacing w:line="320" w:lineRule="exact"/>
              <w:jc w:val="center"/>
              <w:rPr>
                <w:rFonts w:hint="eastAsia" w:ascii="宋体" w:hAnsi="宋体" w:eastAsia="宋体" w:cs="宋体"/>
                <w:color w:val="auto"/>
                <w:kern w:val="0"/>
                <w:sz w:val="24"/>
                <w:highlight w:val="none"/>
              </w:rPr>
            </w:pPr>
          </w:p>
        </w:tc>
        <w:tc>
          <w:tcPr>
            <w:tcW w:w="1076" w:type="pct"/>
            <w:noWrap w:val="0"/>
            <w:vAlign w:val="center"/>
          </w:tcPr>
          <w:p w14:paraId="0CCA1170">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法定地址</w:t>
            </w:r>
          </w:p>
        </w:tc>
        <w:tc>
          <w:tcPr>
            <w:tcW w:w="3378" w:type="pct"/>
            <w:gridSpan w:val="4"/>
            <w:noWrap w:val="0"/>
            <w:vAlign w:val="center"/>
          </w:tcPr>
          <w:p w14:paraId="2B9DEB88">
            <w:pPr>
              <w:tabs>
                <w:tab w:val="left" w:pos="210"/>
              </w:tabs>
              <w:spacing w:line="320" w:lineRule="exact"/>
              <w:jc w:val="center"/>
              <w:rPr>
                <w:rFonts w:hint="eastAsia" w:ascii="宋体" w:hAnsi="宋体" w:eastAsia="宋体" w:cs="宋体"/>
                <w:color w:val="auto"/>
                <w:kern w:val="0"/>
                <w:sz w:val="24"/>
                <w:highlight w:val="none"/>
              </w:rPr>
            </w:pPr>
          </w:p>
        </w:tc>
      </w:tr>
      <w:tr w14:paraId="39716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544" w:type="pct"/>
            <w:vMerge w:val="continue"/>
            <w:noWrap w:val="0"/>
            <w:vAlign w:val="center"/>
          </w:tcPr>
          <w:p w14:paraId="4FD41465">
            <w:pPr>
              <w:tabs>
                <w:tab w:val="left" w:pos="210"/>
              </w:tabs>
              <w:spacing w:line="320" w:lineRule="exact"/>
              <w:jc w:val="center"/>
              <w:rPr>
                <w:rFonts w:hint="eastAsia" w:ascii="宋体" w:hAnsi="宋体" w:eastAsia="宋体" w:cs="宋体"/>
                <w:color w:val="auto"/>
                <w:kern w:val="0"/>
                <w:sz w:val="24"/>
                <w:highlight w:val="none"/>
              </w:rPr>
            </w:pPr>
          </w:p>
        </w:tc>
        <w:tc>
          <w:tcPr>
            <w:tcW w:w="1076" w:type="pct"/>
            <w:noWrap w:val="0"/>
            <w:vAlign w:val="center"/>
          </w:tcPr>
          <w:p w14:paraId="181AD104">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邮政编码</w:t>
            </w:r>
          </w:p>
        </w:tc>
        <w:tc>
          <w:tcPr>
            <w:tcW w:w="3378" w:type="pct"/>
            <w:gridSpan w:val="4"/>
            <w:noWrap w:val="0"/>
            <w:vAlign w:val="center"/>
          </w:tcPr>
          <w:p w14:paraId="67A3B87A">
            <w:pPr>
              <w:tabs>
                <w:tab w:val="left" w:pos="210"/>
              </w:tabs>
              <w:spacing w:line="320" w:lineRule="exact"/>
              <w:jc w:val="center"/>
              <w:rPr>
                <w:rFonts w:hint="eastAsia" w:ascii="宋体" w:hAnsi="宋体" w:eastAsia="宋体" w:cs="宋体"/>
                <w:color w:val="auto"/>
                <w:kern w:val="0"/>
                <w:sz w:val="24"/>
                <w:highlight w:val="none"/>
              </w:rPr>
            </w:pPr>
          </w:p>
        </w:tc>
      </w:tr>
      <w:tr w14:paraId="73D5D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544" w:type="pct"/>
            <w:vMerge w:val="continue"/>
            <w:noWrap w:val="0"/>
            <w:vAlign w:val="center"/>
          </w:tcPr>
          <w:p w14:paraId="7F3B4CB8">
            <w:pPr>
              <w:tabs>
                <w:tab w:val="left" w:pos="210"/>
              </w:tabs>
              <w:spacing w:line="320" w:lineRule="exact"/>
              <w:jc w:val="center"/>
              <w:rPr>
                <w:rFonts w:hint="eastAsia" w:ascii="宋体" w:hAnsi="宋体" w:eastAsia="宋体" w:cs="宋体"/>
                <w:color w:val="auto"/>
                <w:kern w:val="0"/>
                <w:sz w:val="24"/>
                <w:highlight w:val="none"/>
              </w:rPr>
            </w:pPr>
          </w:p>
        </w:tc>
        <w:tc>
          <w:tcPr>
            <w:tcW w:w="1076" w:type="pct"/>
            <w:noWrap w:val="0"/>
            <w:vAlign w:val="center"/>
          </w:tcPr>
          <w:p w14:paraId="5592783B">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工商登记机关</w:t>
            </w:r>
          </w:p>
        </w:tc>
        <w:tc>
          <w:tcPr>
            <w:tcW w:w="3378" w:type="pct"/>
            <w:gridSpan w:val="4"/>
            <w:noWrap w:val="0"/>
            <w:vAlign w:val="center"/>
          </w:tcPr>
          <w:p w14:paraId="2ABCD8E4">
            <w:pPr>
              <w:tabs>
                <w:tab w:val="left" w:pos="210"/>
              </w:tabs>
              <w:spacing w:line="320" w:lineRule="exact"/>
              <w:jc w:val="center"/>
              <w:rPr>
                <w:rFonts w:hint="eastAsia" w:ascii="宋体" w:hAnsi="宋体" w:eastAsia="宋体" w:cs="宋体"/>
                <w:color w:val="auto"/>
                <w:kern w:val="0"/>
                <w:sz w:val="24"/>
                <w:highlight w:val="none"/>
              </w:rPr>
            </w:pPr>
          </w:p>
        </w:tc>
      </w:tr>
      <w:tr w14:paraId="3D4A4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jc w:val="center"/>
        </w:trPr>
        <w:tc>
          <w:tcPr>
            <w:tcW w:w="544" w:type="pct"/>
            <w:vMerge w:val="continue"/>
            <w:noWrap w:val="0"/>
            <w:vAlign w:val="center"/>
          </w:tcPr>
          <w:p w14:paraId="764A75AD">
            <w:pPr>
              <w:tabs>
                <w:tab w:val="left" w:pos="210"/>
              </w:tabs>
              <w:spacing w:line="320" w:lineRule="exact"/>
              <w:jc w:val="center"/>
              <w:rPr>
                <w:rFonts w:hint="eastAsia" w:ascii="宋体" w:hAnsi="宋体" w:eastAsia="宋体" w:cs="宋体"/>
                <w:color w:val="auto"/>
                <w:kern w:val="0"/>
                <w:sz w:val="24"/>
                <w:highlight w:val="none"/>
              </w:rPr>
            </w:pPr>
          </w:p>
        </w:tc>
        <w:tc>
          <w:tcPr>
            <w:tcW w:w="1076" w:type="pct"/>
            <w:noWrap w:val="0"/>
            <w:vAlign w:val="center"/>
          </w:tcPr>
          <w:p w14:paraId="78BD331E">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税务登记机关</w:t>
            </w:r>
          </w:p>
        </w:tc>
        <w:tc>
          <w:tcPr>
            <w:tcW w:w="3378" w:type="pct"/>
            <w:gridSpan w:val="4"/>
            <w:noWrap w:val="0"/>
            <w:vAlign w:val="center"/>
          </w:tcPr>
          <w:p w14:paraId="127DF643">
            <w:pPr>
              <w:tabs>
                <w:tab w:val="left" w:pos="210"/>
              </w:tabs>
              <w:spacing w:line="320" w:lineRule="exact"/>
              <w:rPr>
                <w:rFonts w:hint="eastAsia" w:ascii="宋体" w:hAnsi="宋体" w:eastAsia="宋体" w:cs="宋体"/>
                <w:color w:val="auto"/>
                <w:kern w:val="0"/>
                <w:sz w:val="24"/>
                <w:highlight w:val="none"/>
              </w:rPr>
            </w:pPr>
          </w:p>
        </w:tc>
      </w:tr>
      <w:tr w14:paraId="2C1A7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544" w:type="pct"/>
            <w:vMerge w:val="continue"/>
            <w:noWrap w:val="0"/>
            <w:vAlign w:val="center"/>
          </w:tcPr>
          <w:p w14:paraId="1D252F61">
            <w:pPr>
              <w:tabs>
                <w:tab w:val="left" w:pos="210"/>
              </w:tabs>
              <w:spacing w:line="320" w:lineRule="exact"/>
              <w:jc w:val="center"/>
              <w:rPr>
                <w:rFonts w:hint="eastAsia" w:ascii="宋体" w:hAnsi="宋体" w:eastAsia="宋体" w:cs="宋体"/>
                <w:color w:val="auto"/>
                <w:kern w:val="0"/>
                <w:sz w:val="24"/>
                <w:highlight w:val="none"/>
              </w:rPr>
            </w:pPr>
          </w:p>
        </w:tc>
        <w:tc>
          <w:tcPr>
            <w:tcW w:w="1076" w:type="pct"/>
            <w:noWrap w:val="0"/>
            <w:vAlign w:val="center"/>
          </w:tcPr>
          <w:p w14:paraId="6DF4299D">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机构代码证号</w:t>
            </w:r>
          </w:p>
        </w:tc>
        <w:tc>
          <w:tcPr>
            <w:tcW w:w="3378" w:type="pct"/>
            <w:gridSpan w:val="4"/>
            <w:noWrap w:val="0"/>
            <w:vAlign w:val="center"/>
          </w:tcPr>
          <w:p w14:paraId="4EBBD6E7">
            <w:pPr>
              <w:tabs>
                <w:tab w:val="left" w:pos="210"/>
              </w:tabs>
              <w:spacing w:line="320" w:lineRule="exact"/>
              <w:jc w:val="center"/>
              <w:rPr>
                <w:rFonts w:hint="eastAsia" w:ascii="宋体" w:hAnsi="宋体" w:eastAsia="宋体" w:cs="宋体"/>
                <w:color w:val="auto"/>
                <w:kern w:val="0"/>
                <w:sz w:val="24"/>
                <w:highlight w:val="none"/>
              </w:rPr>
            </w:pPr>
          </w:p>
        </w:tc>
      </w:tr>
      <w:tr w14:paraId="25D43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544" w:type="pct"/>
            <w:vMerge w:val="restart"/>
            <w:noWrap w:val="0"/>
            <w:vAlign w:val="center"/>
          </w:tcPr>
          <w:p w14:paraId="00E7AFE5">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法定代表人</w:t>
            </w:r>
          </w:p>
        </w:tc>
        <w:tc>
          <w:tcPr>
            <w:tcW w:w="1076" w:type="pct"/>
            <w:noWrap w:val="0"/>
            <w:vAlign w:val="center"/>
          </w:tcPr>
          <w:p w14:paraId="7055B8ED">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姓名</w:t>
            </w:r>
          </w:p>
        </w:tc>
        <w:tc>
          <w:tcPr>
            <w:tcW w:w="1165" w:type="pct"/>
            <w:gridSpan w:val="2"/>
            <w:noWrap w:val="0"/>
            <w:vAlign w:val="center"/>
          </w:tcPr>
          <w:p w14:paraId="2EC15F6B">
            <w:pPr>
              <w:tabs>
                <w:tab w:val="left" w:pos="210"/>
              </w:tabs>
              <w:spacing w:line="320" w:lineRule="exact"/>
              <w:jc w:val="center"/>
              <w:rPr>
                <w:rFonts w:hint="eastAsia" w:ascii="宋体" w:hAnsi="宋体" w:eastAsia="宋体" w:cs="宋体"/>
                <w:color w:val="auto"/>
                <w:kern w:val="0"/>
                <w:sz w:val="24"/>
                <w:highlight w:val="none"/>
              </w:rPr>
            </w:pPr>
          </w:p>
        </w:tc>
        <w:tc>
          <w:tcPr>
            <w:tcW w:w="1074" w:type="pct"/>
            <w:noWrap w:val="0"/>
            <w:vAlign w:val="center"/>
          </w:tcPr>
          <w:p w14:paraId="622D04C4">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性别</w:t>
            </w:r>
          </w:p>
        </w:tc>
        <w:tc>
          <w:tcPr>
            <w:tcW w:w="1138" w:type="pct"/>
            <w:noWrap w:val="0"/>
            <w:vAlign w:val="center"/>
          </w:tcPr>
          <w:p w14:paraId="5709844B">
            <w:pPr>
              <w:tabs>
                <w:tab w:val="left" w:pos="210"/>
              </w:tabs>
              <w:spacing w:line="320" w:lineRule="exact"/>
              <w:jc w:val="center"/>
              <w:rPr>
                <w:rFonts w:hint="eastAsia" w:ascii="宋体" w:hAnsi="宋体" w:eastAsia="宋体" w:cs="宋体"/>
                <w:color w:val="auto"/>
                <w:kern w:val="0"/>
                <w:sz w:val="24"/>
                <w:highlight w:val="none"/>
              </w:rPr>
            </w:pPr>
          </w:p>
        </w:tc>
      </w:tr>
      <w:tr w14:paraId="51873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544" w:type="pct"/>
            <w:vMerge w:val="continue"/>
            <w:noWrap w:val="0"/>
            <w:vAlign w:val="center"/>
          </w:tcPr>
          <w:p w14:paraId="355E2463">
            <w:pPr>
              <w:tabs>
                <w:tab w:val="left" w:pos="210"/>
              </w:tabs>
              <w:spacing w:line="320" w:lineRule="exact"/>
              <w:jc w:val="center"/>
              <w:rPr>
                <w:rFonts w:hint="eastAsia" w:ascii="宋体" w:hAnsi="宋体" w:eastAsia="宋体" w:cs="宋体"/>
                <w:color w:val="auto"/>
                <w:kern w:val="0"/>
                <w:sz w:val="24"/>
                <w:highlight w:val="none"/>
              </w:rPr>
            </w:pPr>
          </w:p>
        </w:tc>
        <w:tc>
          <w:tcPr>
            <w:tcW w:w="1076" w:type="pct"/>
            <w:noWrap w:val="0"/>
            <w:vAlign w:val="center"/>
          </w:tcPr>
          <w:p w14:paraId="569A6CF8">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职务</w:t>
            </w:r>
          </w:p>
        </w:tc>
        <w:tc>
          <w:tcPr>
            <w:tcW w:w="1165" w:type="pct"/>
            <w:gridSpan w:val="2"/>
            <w:noWrap w:val="0"/>
            <w:vAlign w:val="center"/>
          </w:tcPr>
          <w:p w14:paraId="5CC3DD79">
            <w:pPr>
              <w:tabs>
                <w:tab w:val="left" w:pos="210"/>
              </w:tabs>
              <w:spacing w:line="320" w:lineRule="exact"/>
              <w:jc w:val="center"/>
              <w:rPr>
                <w:rFonts w:hint="eastAsia" w:ascii="宋体" w:hAnsi="宋体" w:eastAsia="宋体" w:cs="宋体"/>
                <w:color w:val="auto"/>
                <w:kern w:val="0"/>
                <w:sz w:val="24"/>
                <w:highlight w:val="none"/>
              </w:rPr>
            </w:pPr>
          </w:p>
        </w:tc>
        <w:tc>
          <w:tcPr>
            <w:tcW w:w="1074" w:type="pct"/>
            <w:noWrap w:val="0"/>
            <w:vAlign w:val="center"/>
          </w:tcPr>
          <w:p w14:paraId="214D33B1">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联系电话</w:t>
            </w:r>
          </w:p>
        </w:tc>
        <w:tc>
          <w:tcPr>
            <w:tcW w:w="1138" w:type="pct"/>
            <w:noWrap w:val="0"/>
            <w:vAlign w:val="center"/>
          </w:tcPr>
          <w:p w14:paraId="106C2D3E">
            <w:pPr>
              <w:tabs>
                <w:tab w:val="left" w:pos="210"/>
              </w:tabs>
              <w:spacing w:line="320" w:lineRule="exact"/>
              <w:jc w:val="center"/>
              <w:rPr>
                <w:rFonts w:hint="eastAsia" w:ascii="宋体" w:hAnsi="宋体" w:eastAsia="宋体" w:cs="宋体"/>
                <w:color w:val="auto"/>
                <w:kern w:val="0"/>
                <w:sz w:val="24"/>
                <w:highlight w:val="none"/>
              </w:rPr>
            </w:pPr>
          </w:p>
        </w:tc>
      </w:tr>
      <w:tr w14:paraId="686E6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544" w:type="pct"/>
            <w:vMerge w:val="continue"/>
            <w:noWrap w:val="0"/>
            <w:vAlign w:val="center"/>
          </w:tcPr>
          <w:p w14:paraId="32E50454">
            <w:pPr>
              <w:tabs>
                <w:tab w:val="left" w:pos="210"/>
              </w:tabs>
              <w:spacing w:line="320" w:lineRule="exact"/>
              <w:jc w:val="center"/>
              <w:rPr>
                <w:rFonts w:hint="eastAsia" w:ascii="宋体" w:hAnsi="宋体" w:eastAsia="宋体" w:cs="宋体"/>
                <w:color w:val="auto"/>
                <w:kern w:val="0"/>
                <w:sz w:val="24"/>
                <w:highlight w:val="none"/>
              </w:rPr>
            </w:pPr>
          </w:p>
        </w:tc>
        <w:tc>
          <w:tcPr>
            <w:tcW w:w="1076" w:type="pct"/>
            <w:noWrap w:val="0"/>
            <w:vAlign w:val="center"/>
          </w:tcPr>
          <w:p w14:paraId="623EA2FD">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传真</w:t>
            </w:r>
          </w:p>
        </w:tc>
        <w:tc>
          <w:tcPr>
            <w:tcW w:w="3378" w:type="pct"/>
            <w:gridSpan w:val="4"/>
            <w:noWrap w:val="0"/>
            <w:vAlign w:val="center"/>
          </w:tcPr>
          <w:p w14:paraId="7926B873">
            <w:pPr>
              <w:tabs>
                <w:tab w:val="left" w:pos="210"/>
              </w:tabs>
              <w:spacing w:line="320" w:lineRule="exact"/>
              <w:jc w:val="center"/>
              <w:rPr>
                <w:rFonts w:hint="eastAsia" w:ascii="宋体" w:hAnsi="宋体" w:eastAsia="宋体" w:cs="宋体"/>
                <w:color w:val="auto"/>
                <w:kern w:val="0"/>
                <w:sz w:val="24"/>
                <w:highlight w:val="none"/>
              </w:rPr>
            </w:pPr>
          </w:p>
        </w:tc>
      </w:tr>
      <w:tr w14:paraId="4B0C1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9" w:hRule="atLeast"/>
          <w:jc w:val="center"/>
        </w:trPr>
        <w:tc>
          <w:tcPr>
            <w:tcW w:w="544" w:type="pct"/>
            <w:vMerge w:val="restart"/>
            <w:noWrap w:val="0"/>
            <w:vAlign w:val="center"/>
          </w:tcPr>
          <w:p w14:paraId="69C4D00F">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法定代表人身份证复印件</w:t>
            </w:r>
          </w:p>
        </w:tc>
        <w:tc>
          <w:tcPr>
            <w:tcW w:w="2150" w:type="pct"/>
            <w:gridSpan w:val="2"/>
            <w:vMerge w:val="restart"/>
            <w:noWrap w:val="0"/>
            <w:vAlign w:val="center"/>
          </w:tcPr>
          <w:p w14:paraId="7AD91242">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（粘贴处）</w:t>
            </w:r>
          </w:p>
        </w:tc>
        <w:tc>
          <w:tcPr>
            <w:tcW w:w="2304" w:type="pct"/>
            <w:gridSpan w:val="3"/>
            <w:noWrap w:val="0"/>
            <w:vAlign w:val="center"/>
          </w:tcPr>
          <w:p w14:paraId="61F0D5A1">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法定代表人（签字或盖章）</w:t>
            </w:r>
          </w:p>
        </w:tc>
      </w:tr>
      <w:tr w14:paraId="6F0FC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3" w:hRule="atLeast"/>
          <w:jc w:val="center"/>
        </w:trPr>
        <w:tc>
          <w:tcPr>
            <w:tcW w:w="544" w:type="pct"/>
            <w:vMerge w:val="continue"/>
            <w:noWrap w:val="0"/>
            <w:vAlign w:val="center"/>
          </w:tcPr>
          <w:p w14:paraId="1B14FB8E">
            <w:pPr>
              <w:tabs>
                <w:tab w:val="left" w:pos="210"/>
              </w:tabs>
              <w:spacing w:line="320" w:lineRule="exact"/>
              <w:jc w:val="center"/>
              <w:rPr>
                <w:rFonts w:hint="eastAsia" w:ascii="宋体" w:hAnsi="宋体" w:eastAsia="宋体" w:cs="宋体"/>
                <w:color w:val="auto"/>
                <w:kern w:val="0"/>
                <w:sz w:val="24"/>
                <w:highlight w:val="none"/>
              </w:rPr>
            </w:pPr>
          </w:p>
        </w:tc>
        <w:tc>
          <w:tcPr>
            <w:tcW w:w="2150" w:type="pct"/>
            <w:gridSpan w:val="2"/>
            <w:vMerge w:val="continue"/>
            <w:noWrap w:val="0"/>
            <w:vAlign w:val="center"/>
          </w:tcPr>
          <w:p w14:paraId="2CAF329E">
            <w:pPr>
              <w:tabs>
                <w:tab w:val="left" w:pos="210"/>
              </w:tabs>
              <w:spacing w:line="320" w:lineRule="exact"/>
              <w:jc w:val="center"/>
              <w:rPr>
                <w:rFonts w:hint="eastAsia" w:ascii="宋体" w:hAnsi="宋体" w:eastAsia="宋体" w:cs="宋体"/>
                <w:color w:val="auto"/>
                <w:kern w:val="0"/>
                <w:sz w:val="24"/>
                <w:highlight w:val="none"/>
              </w:rPr>
            </w:pPr>
          </w:p>
        </w:tc>
        <w:tc>
          <w:tcPr>
            <w:tcW w:w="2304" w:type="pct"/>
            <w:gridSpan w:val="3"/>
            <w:noWrap w:val="0"/>
            <w:vAlign w:val="bottom"/>
          </w:tcPr>
          <w:p w14:paraId="668E59BA">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（公章）</w:t>
            </w:r>
          </w:p>
          <w:p w14:paraId="127DE289">
            <w:pPr>
              <w:tabs>
                <w:tab w:val="left" w:pos="210"/>
              </w:tabs>
              <w:spacing w:line="320" w:lineRule="exact"/>
              <w:jc w:val="center"/>
              <w:rPr>
                <w:rFonts w:hint="eastAsia" w:ascii="宋体" w:hAnsi="宋体" w:eastAsia="宋体" w:cs="宋体"/>
                <w:color w:val="auto"/>
                <w:kern w:val="0"/>
                <w:sz w:val="24"/>
                <w:highlight w:val="none"/>
              </w:rPr>
            </w:pPr>
          </w:p>
          <w:p w14:paraId="3DE247A5">
            <w:pPr>
              <w:tabs>
                <w:tab w:val="left" w:pos="210"/>
              </w:tabs>
              <w:spacing w:line="320" w:lineRule="exact"/>
              <w:jc w:val="center"/>
              <w:rPr>
                <w:rFonts w:hint="eastAsia" w:ascii="宋体" w:hAnsi="宋体" w:eastAsia="宋体" w:cs="宋体"/>
                <w:color w:val="auto"/>
                <w:kern w:val="0"/>
                <w:sz w:val="24"/>
                <w:highlight w:val="none"/>
              </w:rPr>
            </w:pPr>
          </w:p>
          <w:p w14:paraId="5506F16B">
            <w:pPr>
              <w:tabs>
                <w:tab w:val="left" w:pos="210"/>
              </w:tabs>
              <w:spacing w:line="320" w:lineRule="exact"/>
              <w:jc w:val="center"/>
              <w:rPr>
                <w:rFonts w:hint="eastAsia" w:ascii="宋体" w:hAnsi="宋体" w:eastAsia="宋体" w:cs="宋体"/>
                <w:color w:val="auto"/>
                <w:kern w:val="0"/>
                <w:sz w:val="24"/>
                <w:highlight w:val="none"/>
              </w:rPr>
            </w:pPr>
          </w:p>
          <w:p w14:paraId="143C36C0">
            <w:pPr>
              <w:tabs>
                <w:tab w:val="left" w:pos="210"/>
              </w:tabs>
              <w:spacing w:line="320" w:lineRule="exact"/>
              <w:jc w:val="righ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 xml:space="preserve">年  月  日 </w:t>
            </w:r>
          </w:p>
        </w:tc>
      </w:tr>
    </w:tbl>
    <w:p w14:paraId="5AA56B6F">
      <w:pPr>
        <w:pStyle w:val="16"/>
        <w:spacing w:line="360" w:lineRule="auto"/>
        <w:jc w:val="center"/>
        <w:rPr>
          <w:rFonts w:hint="eastAsia" w:ascii="宋体" w:hAnsi="宋体" w:eastAsia="宋体" w:cs="宋体"/>
          <w:b/>
          <w:bCs/>
          <w:color w:val="auto"/>
          <w:sz w:val="24"/>
          <w:highlight w:val="none"/>
        </w:rPr>
      </w:pPr>
      <w:r>
        <w:rPr>
          <w:rFonts w:hint="eastAsia" w:ascii="宋体" w:hAnsi="宋体" w:eastAsia="宋体" w:cs="宋体"/>
          <w:b/>
          <w:color w:val="auto"/>
          <w:sz w:val="24"/>
          <w:highlight w:val="none"/>
        </w:rPr>
        <w:br w:type="page"/>
      </w:r>
      <w:r>
        <w:rPr>
          <w:rFonts w:hint="eastAsia" w:ascii="宋体" w:hAnsi="宋体" w:eastAsia="宋体" w:cs="宋体"/>
          <w:b/>
          <w:color w:val="auto"/>
          <w:sz w:val="24"/>
          <w:highlight w:val="none"/>
        </w:rPr>
        <w:t>表二  法定代表人授权书</w:t>
      </w:r>
    </w:p>
    <w:p w14:paraId="67D5A70C">
      <w:pPr>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致：华晟国际项目管理有限公司：</w:t>
      </w:r>
    </w:p>
    <w:p w14:paraId="1D172325">
      <w:pPr>
        <w:pStyle w:val="16"/>
        <w:spacing w:line="500" w:lineRule="exact"/>
        <w:ind w:firstLine="480" w:firstLineChars="200"/>
        <w:jc w:val="left"/>
        <w:rPr>
          <w:rFonts w:hint="eastAsia" w:ascii="宋体" w:hAnsi="宋体" w:eastAsia="宋体" w:cs="宋体"/>
          <w:color w:val="auto"/>
          <w:sz w:val="10"/>
          <w:szCs w:val="24"/>
          <w:highlight w:val="none"/>
        </w:rPr>
      </w:pPr>
      <w:r>
        <w:rPr>
          <w:rFonts w:hint="eastAsia" w:ascii="宋体" w:hAnsi="宋体" w:eastAsia="宋体" w:cs="宋体"/>
          <w:color w:val="auto"/>
          <w:sz w:val="24"/>
          <w:szCs w:val="24"/>
          <w:highlight w:val="none"/>
        </w:rPr>
        <w:t>本授权书声明：注册于（</w:t>
      </w:r>
      <w:r>
        <w:rPr>
          <w:rFonts w:hint="eastAsia" w:ascii="宋体" w:hAnsi="宋体" w:eastAsia="宋体" w:cs="宋体"/>
          <w:color w:val="auto"/>
          <w:sz w:val="24"/>
          <w:szCs w:val="24"/>
          <w:highlight w:val="none"/>
          <w:u w:val="single"/>
        </w:rPr>
        <w:t>工商行政管理局名称）之（委托单位全称）</w:t>
      </w:r>
      <w:r>
        <w:rPr>
          <w:rFonts w:hint="eastAsia" w:ascii="宋体" w:hAnsi="宋体" w:eastAsia="宋体" w:cs="宋体"/>
          <w:color w:val="auto"/>
          <w:sz w:val="24"/>
          <w:szCs w:val="24"/>
          <w:highlight w:val="none"/>
        </w:rPr>
        <w:t>的法定代表人</w:t>
      </w:r>
      <w:r>
        <w:rPr>
          <w:rFonts w:hint="eastAsia" w:ascii="宋体" w:hAnsi="宋体" w:eastAsia="宋体" w:cs="宋体"/>
          <w:color w:val="auto"/>
          <w:sz w:val="24"/>
          <w:szCs w:val="24"/>
          <w:highlight w:val="none"/>
          <w:u w:val="single"/>
        </w:rPr>
        <w:t>（姓名、性别）</w:t>
      </w:r>
      <w:r>
        <w:rPr>
          <w:rFonts w:hint="eastAsia" w:ascii="宋体" w:hAnsi="宋体" w:eastAsia="宋体" w:cs="宋体"/>
          <w:color w:val="auto"/>
          <w:sz w:val="24"/>
          <w:szCs w:val="24"/>
          <w:highlight w:val="none"/>
        </w:rPr>
        <w:t>授权</w:t>
      </w:r>
      <w:r>
        <w:rPr>
          <w:rFonts w:hint="eastAsia" w:ascii="宋体" w:hAnsi="宋体" w:eastAsia="宋体" w:cs="宋体"/>
          <w:color w:val="auto"/>
          <w:sz w:val="24"/>
          <w:szCs w:val="24"/>
          <w:highlight w:val="none"/>
          <w:u w:val="single"/>
        </w:rPr>
        <w:t>（被授权人姓名、性别、职务）</w:t>
      </w:r>
      <w:r>
        <w:rPr>
          <w:rFonts w:hint="eastAsia" w:ascii="宋体" w:hAnsi="宋体" w:eastAsia="宋体" w:cs="宋体"/>
          <w:color w:val="auto"/>
          <w:sz w:val="24"/>
          <w:szCs w:val="24"/>
          <w:highlight w:val="none"/>
        </w:rPr>
        <w:t xml:space="preserve">为本公司合法代理人，就贵方组织的有关 </w:t>
      </w:r>
      <w:r>
        <w:rPr>
          <w:rFonts w:hint="eastAsia" w:ascii="宋体" w:hAnsi="宋体" w:eastAsia="宋体" w:cs="宋体"/>
          <w:color w:val="auto"/>
          <w:sz w:val="24"/>
          <w:szCs w:val="24"/>
          <w:highlight w:val="none"/>
          <w:u w:val="single"/>
        </w:rPr>
        <w:t xml:space="preserve">（项目名称） </w:t>
      </w:r>
      <w:r>
        <w:rPr>
          <w:rFonts w:hint="eastAsia" w:ascii="宋体" w:hAnsi="宋体" w:eastAsia="宋体" w:cs="宋体"/>
          <w:color w:val="auto"/>
          <w:sz w:val="24"/>
          <w:szCs w:val="24"/>
          <w:highlight w:val="none"/>
        </w:rPr>
        <w:t>（项目编号：</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）的开标、洽谈、执行等具体事务，签署全部有关文件、文书、协议、合同，本公司对被授权人在本项目中的签名承担全部法律责任。本授权书自</w:t>
      </w:r>
      <w:r>
        <w:rPr>
          <w:rFonts w:hint="eastAsia" w:hAnsi="宋体" w:eastAsia="宋体" w:cs="宋体"/>
          <w:color w:val="auto"/>
          <w:sz w:val="24"/>
          <w:szCs w:val="24"/>
          <w:highlight w:val="none"/>
          <w:lang w:eastAsia="zh-CN"/>
        </w:rPr>
        <w:t>响应</w:t>
      </w:r>
      <w:r>
        <w:rPr>
          <w:rFonts w:hint="eastAsia" w:ascii="宋体" w:hAnsi="宋体" w:eastAsia="宋体" w:cs="宋体"/>
          <w:color w:val="auto"/>
          <w:sz w:val="24"/>
          <w:szCs w:val="24"/>
          <w:highlight w:val="none"/>
        </w:rPr>
        <w:t>文件递交截止之日起计算有效期为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日历日。</w:t>
      </w:r>
    </w:p>
    <w:p w14:paraId="642F74A1">
      <w:pPr>
        <w:pStyle w:val="16"/>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投标人</w:t>
      </w:r>
      <w:r>
        <w:rPr>
          <w:rFonts w:hint="eastAsia" w:ascii="宋体" w:hAnsi="宋体" w:eastAsia="宋体" w:cs="宋体"/>
          <w:color w:val="auto"/>
          <w:sz w:val="24"/>
          <w:szCs w:val="24"/>
          <w:highlight w:val="none"/>
        </w:rPr>
        <w:t>名称：</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（公章）</w:t>
      </w:r>
    </w:p>
    <w:p w14:paraId="0AC8047B">
      <w:pPr>
        <w:pStyle w:val="16"/>
        <w:spacing w:line="500" w:lineRule="exact"/>
        <w:ind w:firstLine="480" w:firstLineChars="200"/>
        <w:jc w:val="left"/>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法定代表人：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8"/>
          <w:szCs w:val="28"/>
          <w:highlight w:val="none"/>
        </w:rPr>
        <w:t>（</w:t>
      </w:r>
      <w:r>
        <w:rPr>
          <w:rFonts w:hint="eastAsia" w:ascii="宋体" w:hAnsi="宋体" w:eastAsia="宋体" w:cs="宋体"/>
          <w:b/>
          <w:bCs/>
          <w:color w:val="auto"/>
          <w:sz w:val="28"/>
          <w:szCs w:val="28"/>
          <w:highlight w:val="none"/>
        </w:rPr>
        <w:t>签字或盖章</w:t>
      </w:r>
      <w:r>
        <w:rPr>
          <w:rFonts w:hint="eastAsia" w:ascii="宋体" w:hAnsi="宋体" w:eastAsia="宋体" w:cs="宋体"/>
          <w:color w:val="auto"/>
          <w:sz w:val="28"/>
          <w:szCs w:val="28"/>
          <w:highlight w:val="none"/>
        </w:rPr>
        <w:t>）</w:t>
      </w:r>
    </w:p>
    <w:p w14:paraId="1586208C">
      <w:pPr>
        <w:pStyle w:val="16"/>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授权日期：</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日</w:t>
      </w:r>
    </w:p>
    <w:p w14:paraId="228174FC">
      <w:pPr>
        <w:pStyle w:val="16"/>
        <w:spacing w:line="500" w:lineRule="exact"/>
        <w:ind w:firstLine="480" w:firstLineChars="200"/>
        <w:jc w:val="left"/>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附：被授权人姓名：</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性别：</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职务：</w:t>
      </w:r>
      <w:r>
        <w:rPr>
          <w:rFonts w:hint="eastAsia" w:ascii="宋体" w:hAnsi="宋体" w:eastAsia="宋体" w:cs="宋体"/>
          <w:color w:val="auto"/>
          <w:sz w:val="24"/>
          <w:szCs w:val="24"/>
          <w:highlight w:val="none"/>
          <w:u w:val="single"/>
        </w:rPr>
        <w:t xml:space="preserve">           </w:t>
      </w:r>
    </w:p>
    <w:p w14:paraId="5D79BF8A">
      <w:pPr>
        <w:pStyle w:val="16"/>
        <w:spacing w:line="500" w:lineRule="exact"/>
        <w:ind w:firstLine="480" w:firstLineChars="200"/>
        <w:jc w:val="left"/>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联系地址：</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w:t>
      </w:r>
    </w:p>
    <w:p w14:paraId="26FAD674">
      <w:pPr>
        <w:pStyle w:val="16"/>
        <w:spacing w:line="500" w:lineRule="exact"/>
        <w:ind w:firstLine="480" w:firstLineChars="200"/>
        <w:jc w:val="left"/>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联系电话：</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传真：</w:t>
      </w:r>
      <w:r>
        <w:rPr>
          <w:rFonts w:hint="eastAsia" w:ascii="宋体" w:hAnsi="宋体" w:eastAsia="宋体" w:cs="宋体"/>
          <w:color w:val="auto"/>
          <w:sz w:val="24"/>
          <w:szCs w:val="24"/>
          <w:highlight w:val="none"/>
          <w:u w:val="single"/>
        </w:rPr>
        <w:t xml:space="preserve">                      </w:t>
      </w:r>
    </w:p>
    <w:p w14:paraId="028864E9">
      <w:pPr>
        <w:pStyle w:val="16"/>
        <w:spacing w:line="50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附法定代表人、被授权人身份证复印件，若位置不够自行调整。</w:t>
      </w: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72"/>
        <w:gridCol w:w="4190"/>
      </w:tblGrid>
      <w:tr w14:paraId="22BF3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42" w:hRule="atLeast"/>
          <w:jc w:val="center"/>
        </w:trPr>
        <w:tc>
          <w:tcPr>
            <w:tcW w:w="4672" w:type="dxa"/>
            <w:tcBorders>
              <w:top w:val="single" w:color="auto" w:sz="4" w:space="0"/>
              <w:left w:val="single" w:color="auto" w:sz="4" w:space="0"/>
              <w:right w:val="single" w:color="auto" w:sz="4" w:space="0"/>
            </w:tcBorders>
            <w:shd w:val="clear" w:color="auto" w:fill="D9D9D9"/>
            <w:noWrap w:val="0"/>
            <w:vAlign w:val="center"/>
          </w:tcPr>
          <w:p w14:paraId="41D37341">
            <w:pPr>
              <w:pStyle w:val="16"/>
              <w:spacing w:line="500" w:lineRule="exact"/>
              <w:jc w:val="center"/>
              <w:rPr>
                <w:rFonts w:hint="eastAsia" w:ascii="宋体" w:hAnsi="宋体" w:eastAsia="宋体" w:cs="宋体"/>
                <w:color w:val="auto"/>
                <w:sz w:val="24"/>
                <w:szCs w:val="24"/>
                <w:highlight w:val="none"/>
                <w:shd w:val="clear" w:color="FFFFFF" w:fill="D9D9D9"/>
              </w:rPr>
            </w:pPr>
            <w:r>
              <w:rPr>
                <w:rFonts w:hint="eastAsia" w:ascii="宋体" w:hAnsi="宋体" w:eastAsia="宋体" w:cs="宋体"/>
                <w:color w:val="auto"/>
                <w:sz w:val="24"/>
                <w:szCs w:val="24"/>
                <w:highlight w:val="none"/>
                <w:shd w:val="clear" w:color="FFFFFF" w:fill="D9D9D9"/>
              </w:rPr>
              <w:t>法定代表人身份证复印件（正、反面）</w:t>
            </w:r>
          </w:p>
        </w:tc>
        <w:tc>
          <w:tcPr>
            <w:tcW w:w="4190" w:type="dxa"/>
            <w:tcBorders>
              <w:top w:val="single" w:color="auto" w:sz="4" w:space="0"/>
              <w:left w:val="single" w:color="auto" w:sz="4" w:space="0"/>
              <w:bottom w:val="single" w:color="auto" w:sz="4" w:space="0"/>
              <w:right w:val="single" w:color="auto" w:sz="4" w:space="0"/>
            </w:tcBorders>
            <w:shd w:val="clear" w:color="auto" w:fill="D9D9D9"/>
            <w:noWrap w:val="0"/>
            <w:vAlign w:val="center"/>
          </w:tcPr>
          <w:p w14:paraId="50FF6B4F">
            <w:pPr>
              <w:pStyle w:val="16"/>
              <w:spacing w:line="500" w:lineRule="exact"/>
              <w:jc w:val="center"/>
              <w:rPr>
                <w:rFonts w:hint="eastAsia" w:ascii="宋体" w:hAnsi="宋体" w:eastAsia="宋体" w:cs="宋体"/>
                <w:color w:val="auto"/>
                <w:sz w:val="24"/>
                <w:szCs w:val="24"/>
                <w:highlight w:val="none"/>
                <w:shd w:val="clear" w:color="FFFFFF" w:fill="D9D9D9"/>
              </w:rPr>
            </w:pPr>
            <w:r>
              <w:rPr>
                <w:rFonts w:hint="eastAsia" w:ascii="宋体" w:hAnsi="宋体" w:eastAsia="宋体" w:cs="宋体"/>
                <w:color w:val="auto"/>
                <w:sz w:val="24"/>
                <w:szCs w:val="24"/>
                <w:highlight w:val="none"/>
                <w:shd w:val="clear" w:color="FFFFFF" w:fill="D9D9D9"/>
              </w:rPr>
              <w:t>被授权人身份证复印件（正、反面）</w:t>
            </w:r>
          </w:p>
        </w:tc>
      </w:tr>
    </w:tbl>
    <w:p w14:paraId="1B83B44A">
      <w:pPr>
        <w:pStyle w:val="16"/>
        <w:spacing w:line="500" w:lineRule="exact"/>
        <w:jc w:val="lef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备注</w:t>
      </w:r>
      <w:r>
        <w:rPr>
          <w:rFonts w:hint="eastAsia" w:ascii="宋体" w:hAnsi="宋体" w:eastAsia="宋体" w:cs="宋体"/>
          <w:color w:val="auto"/>
          <w:sz w:val="24"/>
          <w:szCs w:val="24"/>
          <w:highlight w:val="none"/>
        </w:rPr>
        <w:t>：</w:t>
      </w:r>
      <w:r>
        <w:rPr>
          <w:rFonts w:hint="eastAsia" w:hAnsi="宋体" w:eastAsia="宋体" w:cs="宋体"/>
          <w:b/>
          <w:bCs/>
          <w:color w:val="auto"/>
          <w:sz w:val="24"/>
          <w:szCs w:val="24"/>
          <w:highlight w:val="none"/>
          <w:lang w:val="en-US" w:eastAsia="zh-CN"/>
        </w:rPr>
        <w:t>1</w:t>
      </w:r>
      <w:r>
        <w:rPr>
          <w:rFonts w:hint="eastAsia" w:ascii="宋体" w:hAnsi="宋体" w:eastAsia="宋体" w:cs="宋体"/>
          <w:b/>
          <w:bCs/>
          <w:color w:val="auto"/>
          <w:sz w:val="24"/>
          <w:szCs w:val="24"/>
          <w:highlight w:val="none"/>
        </w:rPr>
        <w:t>、本授权书有效期自</w:t>
      </w:r>
      <w:r>
        <w:rPr>
          <w:rFonts w:hint="eastAsia" w:hAnsi="宋体" w:eastAsia="宋体" w:cs="宋体"/>
          <w:b/>
          <w:bCs/>
          <w:color w:val="auto"/>
          <w:sz w:val="24"/>
          <w:szCs w:val="24"/>
          <w:highlight w:val="none"/>
          <w:lang w:eastAsia="zh-CN"/>
        </w:rPr>
        <w:t>响应</w:t>
      </w:r>
      <w:r>
        <w:rPr>
          <w:rFonts w:hint="eastAsia" w:ascii="宋体" w:hAnsi="宋体" w:eastAsia="宋体" w:cs="宋体"/>
          <w:b/>
          <w:bCs/>
          <w:color w:val="auto"/>
          <w:sz w:val="24"/>
          <w:szCs w:val="24"/>
          <w:highlight w:val="none"/>
        </w:rPr>
        <w:t>文件递交截止之日起计算不得少于90日历日。</w:t>
      </w:r>
    </w:p>
    <w:p w14:paraId="3F025FA8">
      <w:pPr>
        <w:pStyle w:val="16"/>
        <w:spacing w:line="500" w:lineRule="exact"/>
        <w:ind w:firstLine="720" w:firstLineChars="300"/>
        <w:jc w:val="left"/>
        <w:rPr>
          <w:rFonts w:hint="eastAsia" w:ascii="宋体" w:hAnsi="宋体" w:eastAsia="宋体" w:cs="宋体"/>
          <w:b/>
          <w:bCs/>
          <w:color w:val="auto"/>
          <w:sz w:val="24"/>
          <w:szCs w:val="24"/>
          <w:highlight w:val="none"/>
        </w:rPr>
      </w:pPr>
      <w:r>
        <w:rPr>
          <w:rFonts w:hint="eastAsia" w:hAnsi="宋体" w:eastAsia="宋体" w:cs="宋体"/>
          <w:b/>
          <w:bCs/>
          <w:color w:val="auto"/>
          <w:sz w:val="24"/>
          <w:szCs w:val="24"/>
          <w:highlight w:val="none"/>
          <w:lang w:val="en-US" w:eastAsia="zh-CN"/>
        </w:rPr>
        <w:t>2</w:t>
      </w:r>
      <w:r>
        <w:rPr>
          <w:rFonts w:hint="eastAsia" w:ascii="宋体" w:hAnsi="宋体" w:eastAsia="宋体" w:cs="宋体"/>
          <w:b/>
          <w:bCs/>
          <w:color w:val="auto"/>
          <w:sz w:val="24"/>
          <w:szCs w:val="24"/>
          <w:highlight w:val="none"/>
        </w:rPr>
        <w:t>、授权书内容填写要明确，文字要工整清楚，涂改无效。</w:t>
      </w:r>
    </w:p>
    <w:p w14:paraId="5F585A79">
      <w:pPr>
        <w:pStyle w:val="16"/>
        <w:spacing w:line="500" w:lineRule="exact"/>
        <w:ind w:firstLine="720" w:firstLineChars="300"/>
        <w:jc w:val="left"/>
        <w:rPr>
          <w:rFonts w:hint="eastAsia" w:ascii="宋体" w:hAnsi="宋体" w:cs="宋体"/>
          <w:b/>
          <w:bCs/>
          <w:sz w:val="24"/>
          <w:szCs w:val="24"/>
          <w:highlight w:val="none"/>
          <w:lang w:val="en-US" w:eastAsia="zh-CN"/>
        </w:rPr>
      </w:pPr>
      <w:r>
        <w:rPr>
          <w:rFonts w:hint="eastAsia" w:hAnsi="宋体" w:eastAsia="宋体" w:cs="宋体"/>
          <w:b/>
          <w:bCs/>
          <w:color w:val="auto"/>
          <w:sz w:val="24"/>
          <w:szCs w:val="24"/>
          <w:highlight w:val="none"/>
          <w:lang w:val="en-US" w:eastAsia="zh-CN"/>
        </w:rPr>
        <w:t>3、授权代表须提供近六个月中任一个月缴纳社保证明复印件并加盖单位公章。</w:t>
      </w:r>
    </w:p>
    <w:p w14:paraId="3A507276">
      <w:pPr>
        <w:rPr>
          <w:rFonts w:hint="eastAsia" w:ascii="宋体" w:hAnsi="宋体" w:eastAsia="宋体" w:cs="宋体"/>
          <w:color w:val="auto"/>
          <w:highlight w:val="none"/>
        </w:rPr>
      </w:pPr>
    </w:p>
    <w:p w14:paraId="5A81BD69">
      <w:pPr>
        <w:spacing w:line="430" w:lineRule="atLeast"/>
        <w:rPr>
          <w:rFonts w:hint="eastAsia" w:ascii="宋体" w:hAnsi="宋体" w:eastAsia="宋体" w:cs="宋体"/>
          <w:b/>
          <w:bCs/>
          <w:color w:val="auto"/>
          <w:sz w:val="24"/>
          <w:highlight w:val="none"/>
          <w:lang w:val="en-US" w:eastAsia="zh-CN"/>
        </w:rPr>
      </w:pPr>
      <w:r>
        <w:rPr>
          <w:rFonts w:hint="eastAsia" w:ascii="宋体" w:hAnsi="宋体" w:eastAsia="宋体" w:cs="宋体"/>
          <w:b/>
          <w:bCs/>
          <w:color w:val="auto"/>
          <w:sz w:val="32"/>
          <w:szCs w:val="32"/>
          <w:highlight w:val="none"/>
        </w:rPr>
        <w:br w:type="page"/>
      </w:r>
      <w:bookmarkStart w:id="36" w:name="_Toc494096894"/>
      <w:r>
        <w:rPr>
          <w:rFonts w:hint="eastAsia" w:ascii="宋体" w:hAnsi="宋体" w:eastAsia="宋体" w:cs="宋体"/>
          <w:b/>
          <w:bCs/>
          <w:color w:val="auto"/>
          <w:sz w:val="24"/>
          <w:highlight w:val="none"/>
          <w:lang w:val="en-US" w:eastAsia="zh-CN"/>
        </w:rPr>
        <w:t>4.单位负责人为同一人或者存在直接控股、管理关系的不同供应商，不得参加同一合同项下的政府采购活动。</w:t>
      </w:r>
    </w:p>
    <w:p w14:paraId="7513118A">
      <w:pPr>
        <w:bidi w:val="0"/>
        <w:ind w:left="0" w:leftChars="0" w:right="0" w:rightChars="0" w:firstLine="0" w:firstLineChars="0"/>
        <w:jc w:val="center"/>
        <w:rPr>
          <w:rFonts w:hint="eastAsia" w:ascii="宋体" w:hAnsi="宋体" w:eastAsia="宋体" w:cs="宋体"/>
          <w:b/>
          <w:bCs/>
          <w:color w:val="auto"/>
          <w:sz w:val="24"/>
          <w:szCs w:val="32"/>
          <w:highlight w:val="none"/>
        </w:rPr>
      </w:pPr>
      <w:r>
        <w:rPr>
          <w:rFonts w:hint="eastAsia" w:ascii="宋体" w:hAnsi="宋体" w:eastAsia="宋体" w:cs="宋体"/>
          <w:b/>
          <w:bCs/>
          <w:color w:val="auto"/>
          <w:sz w:val="24"/>
          <w:szCs w:val="32"/>
          <w:highlight w:val="none"/>
          <w:lang w:val="en-US" w:eastAsia="zh-CN"/>
        </w:rPr>
        <w:t>供应商</w:t>
      </w:r>
      <w:r>
        <w:rPr>
          <w:rFonts w:hint="eastAsia" w:ascii="宋体" w:hAnsi="宋体" w:eastAsia="宋体" w:cs="宋体"/>
          <w:b/>
          <w:bCs/>
          <w:color w:val="auto"/>
          <w:sz w:val="24"/>
          <w:szCs w:val="32"/>
          <w:highlight w:val="none"/>
        </w:rPr>
        <w:t>关联关系</w:t>
      </w:r>
    </w:p>
    <w:p w14:paraId="095CFF0C">
      <w:pPr>
        <w:spacing w:line="500" w:lineRule="exact"/>
        <w:ind w:firstLine="480" w:firstLineChars="20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w:t>
      </w:r>
      <w:r>
        <w:rPr>
          <w:rFonts w:hint="eastAsia" w:ascii="宋体" w:hAnsi="宋体" w:eastAsia="宋体" w:cs="宋体"/>
          <w:b w:val="0"/>
          <w:bCs/>
          <w:color w:val="auto"/>
          <w:sz w:val="24"/>
          <w:szCs w:val="24"/>
          <w:highlight w:val="none"/>
          <w:lang w:val="en-US" w:eastAsia="zh-CN"/>
        </w:rPr>
        <w:t>供应商</w:t>
      </w:r>
      <w:r>
        <w:rPr>
          <w:rFonts w:hint="eastAsia" w:ascii="宋体" w:hAnsi="宋体" w:eastAsia="宋体" w:cs="宋体"/>
          <w:color w:val="auto"/>
          <w:sz w:val="24"/>
          <w:szCs w:val="24"/>
          <w:highlight w:val="none"/>
        </w:rPr>
        <w:t>单位负责人在其他单位任职情况</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u w:val="single"/>
          <w:lang w:val="en-US" w:eastAsia="zh-CN"/>
        </w:rPr>
        <w:t xml:space="preserve">                             </w:t>
      </w:r>
    </w:p>
    <w:p w14:paraId="33840120">
      <w:pPr>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.供应商</w:t>
      </w:r>
      <w:r>
        <w:rPr>
          <w:rFonts w:hint="eastAsia" w:ascii="宋体" w:hAnsi="宋体" w:eastAsia="宋体" w:cs="宋体"/>
          <w:color w:val="auto"/>
          <w:sz w:val="24"/>
          <w:szCs w:val="24"/>
          <w:highlight w:val="none"/>
        </w:rPr>
        <w:t>控股关系说明</w:t>
      </w:r>
    </w:p>
    <w:p w14:paraId="68BFBC35">
      <w:pPr>
        <w:spacing w:line="500" w:lineRule="exact"/>
        <w:ind w:firstLine="480" w:firstLineChars="20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供应商</w:t>
      </w:r>
      <w:r>
        <w:rPr>
          <w:rFonts w:hint="eastAsia" w:ascii="宋体" w:hAnsi="宋体" w:eastAsia="宋体" w:cs="宋体"/>
          <w:color w:val="auto"/>
          <w:sz w:val="24"/>
          <w:szCs w:val="24"/>
          <w:highlight w:val="none"/>
        </w:rPr>
        <w:t>下属控股单位：</w:t>
      </w:r>
      <w:r>
        <w:rPr>
          <w:rFonts w:hint="eastAsia" w:ascii="宋体" w:hAnsi="宋体" w:eastAsia="宋体" w:cs="宋体"/>
          <w:color w:val="auto"/>
          <w:sz w:val="24"/>
          <w:szCs w:val="24"/>
          <w:highlight w:val="none"/>
          <w:u w:val="single"/>
          <w:lang w:val="en-US" w:eastAsia="zh-CN"/>
        </w:rPr>
        <w:t xml:space="preserve">                    </w:t>
      </w:r>
    </w:p>
    <w:p w14:paraId="76B0F5A6">
      <w:pPr>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供应商</w:t>
      </w:r>
      <w:r>
        <w:rPr>
          <w:rFonts w:hint="eastAsia" w:ascii="宋体" w:hAnsi="宋体" w:eastAsia="宋体" w:cs="宋体"/>
          <w:color w:val="auto"/>
          <w:sz w:val="24"/>
          <w:szCs w:val="24"/>
          <w:highlight w:val="none"/>
        </w:rPr>
        <w:t>上属被控股单位：</w:t>
      </w:r>
      <w:r>
        <w:rPr>
          <w:rFonts w:hint="eastAsia" w:ascii="宋体" w:hAnsi="宋体" w:eastAsia="宋体" w:cs="宋体"/>
          <w:color w:val="auto"/>
          <w:sz w:val="24"/>
          <w:szCs w:val="24"/>
          <w:highlight w:val="none"/>
          <w:u w:val="single"/>
          <w:lang w:val="en-US" w:eastAsia="zh-CN"/>
        </w:rPr>
        <w:t xml:space="preserve">                  </w:t>
      </w:r>
    </w:p>
    <w:p w14:paraId="1EFE6049">
      <w:pPr>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en-US" w:eastAsia="zh-CN"/>
        </w:rPr>
        <w:t>.</w:t>
      </w:r>
      <w:r>
        <w:rPr>
          <w:rFonts w:hint="eastAsia" w:ascii="宋体" w:hAnsi="宋体" w:eastAsia="宋体" w:cs="宋体"/>
          <w:b w:val="0"/>
          <w:bCs/>
          <w:color w:val="auto"/>
          <w:sz w:val="24"/>
          <w:szCs w:val="24"/>
          <w:highlight w:val="none"/>
          <w:lang w:val="en-US" w:eastAsia="zh-CN"/>
        </w:rPr>
        <w:t>供应商</w:t>
      </w:r>
      <w:r>
        <w:rPr>
          <w:rFonts w:hint="eastAsia" w:ascii="宋体" w:hAnsi="宋体" w:eastAsia="宋体" w:cs="宋体"/>
          <w:color w:val="auto"/>
          <w:sz w:val="24"/>
          <w:szCs w:val="24"/>
          <w:highlight w:val="none"/>
        </w:rPr>
        <w:t>管理关系说明</w:t>
      </w:r>
    </w:p>
    <w:p w14:paraId="157E44E7">
      <w:pPr>
        <w:spacing w:line="500" w:lineRule="exact"/>
        <w:ind w:firstLine="480" w:firstLineChars="20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（1）</w:t>
      </w:r>
      <w:r>
        <w:rPr>
          <w:rFonts w:hint="eastAsia" w:ascii="宋体" w:hAnsi="宋体" w:eastAsia="宋体" w:cs="宋体"/>
          <w:b w:val="0"/>
          <w:bCs/>
          <w:color w:val="auto"/>
          <w:sz w:val="24"/>
          <w:szCs w:val="24"/>
          <w:highlight w:val="none"/>
          <w:lang w:val="en-US" w:eastAsia="zh-CN"/>
        </w:rPr>
        <w:t>供应商</w:t>
      </w:r>
      <w:r>
        <w:rPr>
          <w:rFonts w:hint="eastAsia" w:ascii="宋体" w:hAnsi="宋体" w:eastAsia="宋体" w:cs="宋体"/>
          <w:color w:val="auto"/>
          <w:sz w:val="24"/>
          <w:szCs w:val="24"/>
          <w:highlight w:val="none"/>
        </w:rPr>
        <w:t>下属管理单位：</w:t>
      </w:r>
      <w:r>
        <w:rPr>
          <w:rFonts w:hint="eastAsia" w:ascii="宋体" w:hAnsi="宋体" w:eastAsia="宋体" w:cs="宋体"/>
          <w:color w:val="auto"/>
          <w:sz w:val="24"/>
          <w:szCs w:val="24"/>
          <w:highlight w:val="none"/>
          <w:u w:val="single"/>
          <w:lang w:val="en-US" w:eastAsia="zh-CN"/>
        </w:rPr>
        <w:t xml:space="preserve">                    </w:t>
      </w:r>
    </w:p>
    <w:p w14:paraId="0E5E4CEC">
      <w:pPr>
        <w:spacing w:line="500" w:lineRule="exact"/>
        <w:ind w:firstLine="1080" w:firstLineChars="45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管理职责（行政、人事等）：</w:t>
      </w:r>
      <w:r>
        <w:rPr>
          <w:rFonts w:hint="eastAsia" w:ascii="宋体" w:hAnsi="宋体" w:eastAsia="宋体" w:cs="宋体"/>
          <w:color w:val="auto"/>
          <w:sz w:val="24"/>
          <w:szCs w:val="24"/>
          <w:highlight w:val="none"/>
          <w:u w:val="single"/>
          <w:lang w:val="en-US" w:eastAsia="zh-CN"/>
        </w:rPr>
        <w:t xml:space="preserve">              </w:t>
      </w:r>
    </w:p>
    <w:p w14:paraId="3BD80C46">
      <w:pPr>
        <w:spacing w:line="500" w:lineRule="exact"/>
        <w:ind w:firstLine="480" w:firstLineChars="20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（2）</w:t>
      </w:r>
      <w:r>
        <w:rPr>
          <w:rFonts w:hint="eastAsia" w:ascii="宋体" w:hAnsi="宋体" w:eastAsia="宋体" w:cs="宋体"/>
          <w:b w:val="0"/>
          <w:bCs/>
          <w:color w:val="auto"/>
          <w:sz w:val="24"/>
          <w:szCs w:val="24"/>
          <w:highlight w:val="none"/>
          <w:lang w:val="en-US" w:eastAsia="zh-CN"/>
        </w:rPr>
        <w:t>供应商</w:t>
      </w:r>
      <w:r>
        <w:rPr>
          <w:rFonts w:hint="eastAsia" w:ascii="宋体" w:hAnsi="宋体" w:eastAsia="宋体" w:cs="宋体"/>
          <w:color w:val="auto"/>
          <w:sz w:val="24"/>
          <w:szCs w:val="24"/>
          <w:highlight w:val="none"/>
        </w:rPr>
        <w:t>上属被管理</w:t>
      </w:r>
      <w:r>
        <w:rPr>
          <w:rFonts w:hint="eastAsia" w:ascii="宋体" w:hAnsi="宋体" w:eastAsia="宋体" w:cs="宋体"/>
          <w:color w:val="auto"/>
          <w:sz w:val="24"/>
          <w:szCs w:val="24"/>
          <w:highlight w:val="none"/>
          <w:lang w:val="en-US" w:eastAsia="zh-CN"/>
        </w:rPr>
        <w:t>单位</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u w:val="single"/>
          <w:lang w:val="en-US" w:eastAsia="zh-CN"/>
        </w:rPr>
        <w:t xml:space="preserve">                  </w:t>
      </w:r>
    </w:p>
    <w:p w14:paraId="6B556648">
      <w:pPr>
        <w:spacing w:line="500" w:lineRule="exact"/>
        <w:ind w:firstLine="1080" w:firstLineChars="45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管理职责（行政、人事等）：</w:t>
      </w:r>
      <w:r>
        <w:rPr>
          <w:rFonts w:hint="eastAsia" w:ascii="宋体" w:hAnsi="宋体" w:eastAsia="宋体" w:cs="宋体"/>
          <w:color w:val="auto"/>
          <w:sz w:val="24"/>
          <w:szCs w:val="24"/>
          <w:highlight w:val="none"/>
          <w:u w:val="single"/>
          <w:lang w:val="en-US" w:eastAsia="zh-CN"/>
        </w:rPr>
        <w:t xml:space="preserve">              </w:t>
      </w:r>
    </w:p>
    <w:p w14:paraId="1F22E1F4">
      <w:pPr>
        <w:pStyle w:val="19"/>
        <w:keepNext w:val="0"/>
        <w:keepLines w:val="0"/>
        <w:pageBreakBefore w:val="0"/>
        <w:widowControl w:val="0"/>
        <w:kinsoku/>
        <w:wordWrap/>
        <w:overflowPunct/>
        <w:topLinePunct w:val="0"/>
        <w:autoSpaceDE/>
        <w:autoSpaceDN/>
        <w:bidi w:val="0"/>
        <w:adjustRightInd/>
        <w:snapToGrid w:val="0"/>
        <w:ind w:firstLine="480" w:firstLineChars="200"/>
        <w:textAlignment w:val="auto"/>
        <w:rPr>
          <w:rFonts w:hint="eastAsia" w:ascii="宋体" w:hAnsi="宋体" w:eastAsia="宋体" w:cs="宋体"/>
          <w:color w:val="auto"/>
          <w:sz w:val="24"/>
          <w:szCs w:val="24"/>
          <w:highlight w:val="none"/>
        </w:rPr>
      </w:pPr>
    </w:p>
    <w:p w14:paraId="54228CCC">
      <w:pPr>
        <w:pStyle w:val="19"/>
        <w:keepNext w:val="0"/>
        <w:keepLines w:val="0"/>
        <w:pageBreakBefore w:val="0"/>
        <w:widowControl w:val="0"/>
        <w:kinsoku/>
        <w:wordWrap/>
        <w:overflowPunct/>
        <w:topLinePunct w:val="0"/>
        <w:autoSpaceDE/>
        <w:autoSpaceDN/>
        <w:bidi w:val="0"/>
        <w:adjustRightInd/>
        <w:snapToGrid w:val="0"/>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我单位承诺以上说明真实有效，无虛假内容或隐瞒。</w:t>
      </w:r>
    </w:p>
    <w:p w14:paraId="61D66059">
      <w:pPr>
        <w:pStyle w:val="19"/>
        <w:rPr>
          <w:rFonts w:hint="eastAsia" w:ascii="宋体" w:hAnsi="宋体" w:eastAsia="宋体" w:cs="宋体"/>
          <w:color w:val="auto"/>
          <w:highlight w:val="none"/>
        </w:rPr>
      </w:pPr>
    </w:p>
    <w:p w14:paraId="09377030">
      <w:pPr>
        <w:pStyle w:val="19"/>
        <w:rPr>
          <w:rFonts w:hint="eastAsia" w:ascii="宋体" w:hAnsi="宋体" w:eastAsia="宋体" w:cs="宋体"/>
          <w:color w:val="auto"/>
          <w:highlight w:val="none"/>
        </w:rPr>
      </w:pPr>
    </w:p>
    <w:p w14:paraId="01F15682">
      <w:pPr>
        <w:spacing w:line="480" w:lineRule="auto"/>
        <w:ind w:firstLine="3840" w:firstLineChars="1600"/>
        <w:rPr>
          <w:rFonts w:hint="eastAsia" w:ascii="宋体" w:hAnsi="宋体" w:eastAsia="宋体" w:cs="宋体"/>
          <w:color w:val="auto"/>
          <w:sz w:val="24"/>
          <w:szCs w:val="24"/>
          <w:highlight w:val="none"/>
          <w:u w:val="single"/>
          <w:lang w:eastAsia="zh-CN"/>
        </w:rPr>
      </w:pPr>
      <w:r>
        <w:rPr>
          <w:rFonts w:hint="eastAsia" w:ascii="宋体" w:hAnsi="宋体" w:eastAsia="宋体" w:cs="宋体"/>
          <w:color w:val="auto"/>
          <w:sz w:val="24"/>
          <w:szCs w:val="24"/>
          <w:highlight w:val="none"/>
          <w:lang w:eastAsia="zh-CN"/>
        </w:rPr>
        <w:t>投标人名称（盖章）：</w:t>
      </w:r>
      <w:r>
        <w:rPr>
          <w:rFonts w:hint="eastAsia" w:ascii="宋体" w:hAnsi="宋体" w:eastAsia="宋体" w:cs="宋体"/>
          <w:color w:val="auto"/>
          <w:sz w:val="24"/>
          <w:szCs w:val="24"/>
          <w:highlight w:val="none"/>
          <w:u w:val="single"/>
          <w:lang w:eastAsia="zh-CN"/>
        </w:rPr>
        <w:t xml:space="preserve">                              </w:t>
      </w:r>
    </w:p>
    <w:p w14:paraId="5036F4AE">
      <w:pPr>
        <w:spacing w:line="480" w:lineRule="auto"/>
        <w:ind w:firstLine="3840" w:firstLineChars="1600"/>
        <w:rPr>
          <w:rFonts w:hint="eastAsia" w:ascii="宋体" w:hAnsi="宋体" w:eastAsia="宋体" w:cs="宋体"/>
          <w:color w:val="auto"/>
          <w:sz w:val="24"/>
          <w:szCs w:val="24"/>
          <w:highlight w:val="none"/>
          <w:u w:val="single"/>
          <w:lang w:eastAsia="zh-CN"/>
        </w:rPr>
      </w:pPr>
      <w:r>
        <w:rPr>
          <w:rFonts w:hint="eastAsia" w:ascii="宋体" w:hAnsi="宋体" w:eastAsia="宋体" w:cs="宋体"/>
          <w:color w:val="auto"/>
          <w:sz w:val="24"/>
          <w:szCs w:val="24"/>
          <w:highlight w:val="none"/>
          <w:lang w:eastAsia="zh-CN"/>
        </w:rPr>
        <w:t>法定代表人或被授权人（签字或盖章）：</w:t>
      </w:r>
      <w:r>
        <w:rPr>
          <w:rFonts w:hint="eastAsia" w:ascii="宋体" w:hAnsi="宋体" w:eastAsia="宋体" w:cs="宋体"/>
          <w:color w:val="auto"/>
          <w:sz w:val="24"/>
          <w:szCs w:val="24"/>
          <w:highlight w:val="none"/>
          <w:u w:val="single"/>
          <w:lang w:eastAsia="zh-CN"/>
        </w:rPr>
        <w:t xml:space="preserve">             </w:t>
      </w:r>
    </w:p>
    <w:p w14:paraId="02C37F41">
      <w:pPr>
        <w:spacing w:line="480" w:lineRule="auto"/>
        <w:ind w:firstLine="3840" w:firstLineChars="1600"/>
        <w:rPr>
          <w:rFonts w:hint="eastAsia" w:ascii="宋体" w:hAnsi="宋体" w:eastAsia="宋体" w:cs="宋体"/>
          <w:color w:val="auto"/>
          <w:sz w:val="24"/>
          <w:szCs w:val="24"/>
          <w:highlight w:val="none"/>
          <w:u w:val="single"/>
          <w:lang w:eastAsia="zh-CN"/>
        </w:rPr>
      </w:pPr>
      <w:r>
        <w:rPr>
          <w:rFonts w:hint="eastAsia" w:ascii="宋体" w:hAnsi="宋体" w:eastAsia="宋体" w:cs="宋体"/>
          <w:color w:val="auto"/>
          <w:sz w:val="24"/>
          <w:szCs w:val="24"/>
          <w:highlight w:val="none"/>
          <w:lang w:eastAsia="zh-CN"/>
        </w:rPr>
        <w:t>日              期：</w:t>
      </w:r>
      <w:r>
        <w:rPr>
          <w:rFonts w:hint="eastAsia" w:ascii="宋体" w:hAnsi="宋体" w:eastAsia="宋体" w:cs="宋体"/>
          <w:color w:val="auto"/>
          <w:sz w:val="24"/>
          <w:szCs w:val="24"/>
          <w:highlight w:val="none"/>
          <w:u w:val="single"/>
          <w:lang w:eastAsia="zh-CN"/>
        </w:rPr>
        <w:t xml:space="preserve">                        </w:t>
      </w:r>
    </w:p>
    <w:p w14:paraId="42C04DFE">
      <w:pPr>
        <w:bidi w:val="0"/>
        <w:rPr>
          <w:rFonts w:hint="eastAsia" w:ascii="宋体" w:hAnsi="宋体" w:eastAsia="宋体" w:cs="宋体"/>
          <w:color w:val="auto"/>
          <w:highlight w:val="none"/>
          <w:lang w:eastAsia="zh-CN"/>
        </w:rPr>
      </w:pPr>
    </w:p>
    <w:p w14:paraId="679B5A06">
      <w:pPr>
        <w:ind w:left="0" w:leftChars="0" w:firstLine="0" w:firstLineChars="0"/>
        <w:jc w:val="center"/>
        <w:outlineLvl w:val="9"/>
        <w:rPr>
          <w:rFonts w:hint="eastAsia" w:ascii="宋体" w:hAnsi="宋体" w:eastAsia="宋体" w:cs="宋体"/>
          <w:b/>
          <w:bCs/>
          <w:sz w:val="24"/>
          <w:szCs w:val="24"/>
          <w:highlight w:val="none"/>
        </w:rPr>
      </w:pPr>
      <w:r>
        <w:rPr>
          <w:rFonts w:hint="eastAsia" w:ascii="宋体" w:hAnsi="宋体" w:eastAsia="宋体" w:cs="宋体"/>
          <w:b/>
          <w:bCs/>
          <w:color w:val="auto"/>
          <w:sz w:val="24"/>
          <w:szCs w:val="24"/>
          <w:highlight w:val="none"/>
          <w:lang w:eastAsia="zh-CN"/>
        </w:rPr>
        <w:t>注：请如实填写，若未如实填写则视为虚假材料应标，造成的后果由</w:t>
      </w:r>
      <w:r>
        <w:rPr>
          <w:rFonts w:hint="eastAsia" w:ascii="宋体" w:hAnsi="宋体" w:eastAsia="宋体" w:cs="宋体"/>
          <w:b/>
          <w:bCs/>
          <w:color w:val="auto"/>
          <w:sz w:val="24"/>
          <w:szCs w:val="24"/>
          <w:highlight w:val="none"/>
          <w:lang w:val="en-US" w:eastAsia="zh-CN"/>
        </w:rPr>
        <w:t>供应商</w:t>
      </w:r>
      <w:r>
        <w:rPr>
          <w:rFonts w:hint="eastAsia" w:ascii="宋体" w:hAnsi="宋体" w:eastAsia="宋体" w:cs="宋体"/>
          <w:b/>
          <w:bCs/>
          <w:color w:val="auto"/>
          <w:sz w:val="24"/>
          <w:szCs w:val="24"/>
          <w:highlight w:val="none"/>
          <w:lang w:eastAsia="zh-CN"/>
        </w:rPr>
        <w:t>自行承担。</w:t>
      </w:r>
      <w:bookmarkEnd w:id="36"/>
      <w:r>
        <w:rPr>
          <w:rFonts w:hint="eastAsia" w:ascii="宋体" w:hAnsi="宋体" w:eastAsia="宋体" w:cs="宋体"/>
          <w:b/>
          <w:bCs/>
          <w:sz w:val="24"/>
          <w:szCs w:val="24"/>
          <w:highlight w:val="none"/>
          <w:lang w:val="en-US" w:eastAsia="zh-CN"/>
        </w:rPr>
        <w:br w:type="page"/>
      </w:r>
    </w:p>
    <w:p w14:paraId="5D4E12BA">
      <w:pPr>
        <w:pStyle w:val="4"/>
        <w:ind w:left="0" w:leftChars="0" w:firstLine="0" w:firstLineChars="0"/>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第四部分  供应商概况</w:t>
      </w:r>
    </w:p>
    <w:p w14:paraId="39C12B0D">
      <w:pPr>
        <w:pStyle w:val="96"/>
        <w:spacing w:before="210" w:after="210"/>
        <w:ind w:left="0" w:leftChars="0" w:firstLine="0" w:firstLineChars="0"/>
        <w:jc w:val="left"/>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（一）供应商基本信息</w:t>
      </w:r>
    </w:p>
    <w:tbl>
      <w:tblPr>
        <w:tblStyle w:val="8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64"/>
        <w:gridCol w:w="1062"/>
        <w:gridCol w:w="1528"/>
        <w:gridCol w:w="1513"/>
        <w:gridCol w:w="1570"/>
        <w:gridCol w:w="1577"/>
      </w:tblGrid>
      <w:tr w14:paraId="05AA6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00" w:type="pct"/>
            <w:gridSpan w:val="6"/>
          </w:tcPr>
          <w:p w14:paraId="62258701">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单位基本情况</w:t>
            </w:r>
          </w:p>
        </w:tc>
      </w:tr>
      <w:tr w14:paraId="3F1BD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tcPr>
          <w:p w14:paraId="1AF94154">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供应商全称</w:t>
            </w:r>
          </w:p>
        </w:tc>
        <w:tc>
          <w:tcPr>
            <w:tcW w:w="3809" w:type="pct"/>
            <w:gridSpan w:val="5"/>
          </w:tcPr>
          <w:p w14:paraId="1DBE1DB2">
            <w:pPr>
              <w:ind w:firstLine="0"/>
              <w:jc w:val="both"/>
              <w:rPr>
                <w:rFonts w:hint="eastAsia" w:ascii="宋体" w:hAnsi="宋体" w:eastAsia="宋体" w:cs="宋体"/>
                <w:kern w:val="2"/>
                <w:sz w:val="24"/>
                <w:szCs w:val="24"/>
                <w:highlight w:val="none"/>
              </w:rPr>
            </w:pPr>
          </w:p>
        </w:tc>
      </w:tr>
      <w:tr w14:paraId="5DFB9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tcPr>
          <w:p w14:paraId="3B743576">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注册地址</w:t>
            </w:r>
          </w:p>
        </w:tc>
        <w:tc>
          <w:tcPr>
            <w:tcW w:w="1361" w:type="pct"/>
            <w:gridSpan w:val="2"/>
          </w:tcPr>
          <w:p w14:paraId="6EA4613A">
            <w:pPr>
              <w:ind w:firstLine="0"/>
              <w:jc w:val="both"/>
              <w:rPr>
                <w:rFonts w:hint="eastAsia" w:ascii="宋体" w:hAnsi="宋体" w:eastAsia="宋体" w:cs="宋体"/>
                <w:kern w:val="2"/>
                <w:sz w:val="24"/>
                <w:szCs w:val="24"/>
                <w:highlight w:val="none"/>
              </w:rPr>
            </w:pPr>
          </w:p>
        </w:tc>
        <w:tc>
          <w:tcPr>
            <w:tcW w:w="795" w:type="pct"/>
          </w:tcPr>
          <w:p w14:paraId="5FC52ECF">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成立时间</w:t>
            </w:r>
          </w:p>
        </w:tc>
        <w:tc>
          <w:tcPr>
            <w:tcW w:w="1651" w:type="pct"/>
            <w:gridSpan w:val="2"/>
          </w:tcPr>
          <w:p w14:paraId="6B034648">
            <w:pPr>
              <w:ind w:firstLine="0"/>
              <w:jc w:val="both"/>
              <w:rPr>
                <w:rFonts w:hint="eastAsia" w:ascii="宋体" w:hAnsi="宋体" w:eastAsia="宋体" w:cs="宋体"/>
                <w:kern w:val="2"/>
                <w:sz w:val="24"/>
                <w:szCs w:val="24"/>
                <w:highlight w:val="none"/>
              </w:rPr>
            </w:pPr>
          </w:p>
        </w:tc>
      </w:tr>
      <w:tr w14:paraId="7AFC8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tcPr>
          <w:p w14:paraId="23D8E20C">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统一社会信用代码</w:t>
            </w:r>
          </w:p>
        </w:tc>
        <w:tc>
          <w:tcPr>
            <w:tcW w:w="1361" w:type="pct"/>
            <w:gridSpan w:val="2"/>
          </w:tcPr>
          <w:p w14:paraId="405E9EBB">
            <w:pPr>
              <w:ind w:firstLine="0"/>
              <w:jc w:val="both"/>
              <w:rPr>
                <w:rFonts w:hint="eastAsia" w:ascii="宋体" w:hAnsi="宋体" w:eastAsia="宋体" w:cs="宋体"/>
                <w:kern w:val="2"/>
                <w:sz w:val="24"/>
                <w:szCs w:val="24"/>
                <w:highlight w:val="none"/>
              </w:rPr>
            </w:pPr>
          </w:p>
        </w:tc>
        <w:tc>
          <w:tcPr>
            <w:tcW w:w="795" w:type="pct"/>
          </w:tcPr>
          <w:p w14:paraId="56F33784">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单位性质</w:t>
            </w:r>
          </w:p>
        </w:tc>
        <w:tc>
          <w:tcPr>
            <w:tcW w:w="1651" w:type="pct"/>
            <w:gridSpan w:val="2"/>
          </w:tcPr>
          <w:p w14:paraId="71C9D1DB">
            <w:pPr>
              <w:ind w:firstLine="0"/>
              <w:jc w:val="both"/>
              <w:rPr>
                <w:rFonts w:hint="eastAsia" w:ascii="宋体" w:hAnsi="宋体" w:eastAsia="宋体" w:cs="宋体"/>
                <w:kern w:val="2"/>
                <w:sz w:val="24"/>
                <w:szCs w:val="24"/>
                <w:highlight w:val="none"/>
              </w:rPr>
            </w:pPr>
          </w:p>
        </w:tc>
      </w:tr>
      <w:tr w14:paraId="5992E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tcPr>
          <w:p w14:paraId="7CBC510E">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法定代表人（主要负责人）</w:t>
            </w:r>
          </w:p>
        </w:tc>
        <w:tc>
          <w:tcPr>
            <w:tcW w:w="1361" w:type="pct"/>
            <w:gridSpan w:val="2"/>
          </w:tcPr>
          <w:p w14:paraId="5637FA28">
            <w:pPr>
              <w:ind w:firstLine="0"/>
              <w:jc w:val="both"/>
              <w:rPr>
                <w:rFonts w:hint="eastAsia" w:ascii="宋体" w:hAnsi="宋体" w:eastAsia="宋体" w:cs="宋体"/>
                <w:kern w:val="2"/>
                <w:sz w:val="24"/>
                <w:szCs w:val="24"/>
                <w:highlight w:val="none"/>
              </w:rPr>
            </w:pPr>
          </w:p>
        </w:tc>
        <w:tc>
          <w:tcPr>
            <w:tcW w:w="795" w:type="pct"/>
          </w:tcPr>
          <w:p w14:paraId="784B4477">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所属行业</w:t>
            </w:r>
          </w:p>
        </w:tc>
        <w:tc>
          <w:tcPr>
            <w:tcW w:w="1651" w:type="pct"/>
            <w:gridSpan w:val="2"/>
          </w:tcPr>
          <w:p w14:paraId="0B1F33F6">
            <w:pPr>
              <w:ind w:firstLine="0"/>
              <w:jc w:val="both"/>
              <w:rPr>
                <w:rFonts w:hint="eastAsia" w:ascii="宋体" w:hAnsi="宋体" w:eastAsia="宋体" w:cs="宋体"/>
                <w:kern w:val="2"/>
                <w:sz w:val="24"/>
                <w:szCs w:val="24"/>
                <w:highlight w:val="none"/>
              </w:rPr>
            </w:pPr>
          </w:p>
        </w:tc>
      </w:tr>
      <w:tr w14:paraId="0177F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tcPr>
          <w:p w14:paraId="45AFE2CB">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基本存款账户开户银行</w:t>
            </w:r>
          </w:p>
        </w:tc>
        <w:tc>
          <w:tcPr>
            <w:tcW w:w="1361" w:type="pct"/>
            <w:gridSpan w:val="2"/>
          </w:tcPr>
          <w:p w14:paraId="70FF44E7">
            <w:pPr>
              <w:ind w:firstLine="0"/>
              <w:jc w:val="both"/>
              <w:rPr>
                <w:rFonts w:hint="eastAsia" w:ascii="宋体" w:hAnsi="宋体" w:eastAsia="宋体" w:cs="宋体"/>
                <w:kern w:val="2"/>
                <w:sz w:val="24"/>
                <w:szCs w:val="24"/>
                <w:highlight w:val="none"/>
              </w:rPr>
            </w:pPr>
          </w:p>
        </w:tc>
        <w:tc>
          <w:tcPr>
            <w:tcW w:w="795" w:type="pct"/>
          </w:tcPr>
          <w:p w14:paraId="48E79F1D">
            <w:pPr>
              <w:ind w:firstLine="0"/>
              <w:jc w:val="both"/>
              <w:rPr>
                <w:rFonts w:hint="eastAsia" w:ascii="宋体" w:hAnsi="宋体" w:eastAsia="宋体" w:cs="宋体"/>
                <w:kern w:val="2"/>
                <w:sz w:val="24"/>
                <w:szCs w:val="24"/>
                <w:highlight w:val="none"/>
                <w:lang w:eastAsia="zh-CN"/>
              </w:rPr>
            </w:pPr>
            <w:r>
              <w:rPr>
                <w:rFonts w:hint="eastAsia" w:ascii="宋体" w:hAnsi="宋体" w:eastAsia="宋体" w:cs="宋体"/>
                <w:kern w:val="2"/>
                <w:sz w:val="24"/>
                <w:szCs w:val="24"/>
                <w:highlight w:val="none"/>
              </w:rPr>
              <w:t>基本存款</w:t>
            </w:r>
          </w:p>
          <w:p w14:paraId="05E115F4">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账户账号</w:t>
            </w:r>
          </w:p>
        </w:tc>
        <w:tc>
          <w:tcPr>
            <w:tcW w:w="1651" w:type="pct"/>
            <w:gridSpan w:val="2"/>
          </w:tcPr>
          <w:p w14:paraId="0297DFB5">
            <w:pPr>
              <w:ind w:firstLine="0"/>
              <w:jc w:val="both"/>
              <w:rPr>
                <w:rFonts w:hint="eastAsia" w:ascii="宋体" w:hAnsi="宋体" w:eastAsia="宋体" w:cs="宋体"/>
                <w:kern w:val="2"/>
                <w:sz w:val="24"/>
                <w:szCs w:val="24"/>
                <w:highlight w:val="none"/>
              </w:rPr>
            </w:pPr>
          </w:p>
        </w:tc>
      </w:tr>
      <w:tr w14:paraId="6CE92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tcPr>
          <w:p w14:paraId="2677BF9C">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上年度营业收入*</w:t>
            </w:r>
          </w:p>
        </w:tc>
        <w:tc>
          <w:tcPr>
            <w:tcW w:w="1361" w:type="pct"/>
            <w:gridSpan w:val="2"/>
          </w:tcPr>
          <w:p w14:paraId="567A73B8">
            <w:pPr>
              <w:ind w:firstLine="0"/>
              <w:jc w:val="both"/>
              <w:rPr>
                <w:rFonts w:hint="eastAsia" w:ascii="宋体" w:hAnsi="宋体" w:eastAsia="宋体" w:cs="宋体"/>
                <w:kern w:val="2"/>
                <w:sz w:val="24"/>
                <w:szCs w:val="24"/>
                <w:highlight w:val="none"/>
              </w:rPr>
            </w:pPr>
          </w:p>
        </w:tc>
        <w:tc>
          <w:tcPr>
            <w:tcW w:w="795" w:type="pct"/>
          </w:tcPr>
          <w:p w14:paraId="245920E1">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资产总额</w:t>
            </w:r>
          </w:p>
        </w:tc>
        <w:tc>
          <w:tcPr>
            <w:tcW w:w="1651" w:type="pct"/>
            <w:gridSpan w:val="2"/>
          </w:tcPr>
          <w:p w14:paraId="0378CBBD">
            <w:pPr>
              <w:ind w:firstLine="0"/>
              <w:jc w:val="both"/>
              <w:rPr>
                <w:rFonts w:hint="eastAsia" w:ascii="宋体" w:hAnsi="宋体" w:eastAsia="宋体" w:cs="宋体"/>
                <w:kern w:val="2"/>
                <w:sz w:val="24"/>
                <w:szCs w:val="24"/>
                <w:highlight w:val="none"/>
              </w:rPr>
            </w:pPr>
          </w:p>
        </w:tc>
      </w:tr>
      <w:tr w14:paraId="362A4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tcPr>
          <w:p w14:paraId="1CCF020D">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经营范围</w:t>
            </w:r>
          </w:p>
        </w:tc>
        <w:tc>
          <w:tcPr>
            <w:tcW w:w="3809" w:type="pct"/>
            <w:gridSpan w:val="5"/>
          </w:tcPr>
          <w:p w14:paraId="37A34A52">
            <w:pPr>
              <w:ind w:firstLine="0"/>
              <w:jc w:val="both"/>
              <w:rPr>
                <w:rFonts w:hint="eastAsia" w:ascii="宋体" w:hAnsi="宋体" w:eastAsia="宋体" w:cs="宋体"/>
                <w:kern w:val="2"/>
                <w:sz w:val="24"/>
                <w:szCs w:val="24"/>
                <w:highlight w:val="none"/>
              </w:rPr>
            </w:pPr>
          </w:p>
        </w:tc>
      </w:tr>
      <w:tr w14:paraId="465C0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tcPr>
          <w:p w14:paraId="18688BC0">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资质证书名称</w:t>
            </w:r>
          </w:p>
        </w:tc>
        <w:tc>
          <w:tcPr>
            <w:tcW w:w="1361" w:type="pct"/>
            <w:gridSpan w:val="2"/>
          </w:tcPr>
          <w:p w14:paraId="58D38F03">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证书号</w:t>
            </w:r>
          </w:p>
        </w:tc>
        <w:tc>
          <w:tcPr>
            <w:tcW w:w="795" w:type="pct"/>
          </w:tcPr>
          <w:p w14:paraId="395418DA">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等级</w:t>
            </w:r>
          </w:p>
        </w:tc>
        <w:tc>
          <w:tcPr>
            <w:tcW w:w="1651" w:type="pct"/>
            <w:gridSpan w:val="2"/>
          </w:tcPr>
          <w:p w14:paraId="64D86C1E">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类型</w:t>
            </w:r>
          </w:p>
        </w:tc>
      </w:tr>
      <w:tr w14:paraId="715E3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tcPr>
          <w:p w14:paraId="145279A4">
            <w:pPr>
              <w:ind w:firstLine="0"/>
              <w:jc w:val="both"/>
              <w:rPr>
                <w:rFonts w:hint="eastAsia" w:ascii="宋体" w:hAnsi="宋体" w:eastAsia="宋体" w:cs="宋体"/>
                <w:kern w:val="2"/>
                <w:sz w:val="24"/>
                <w:szCs w:val="24"/>
                <w:highlight w:val="none"/>
              </w:rPr>
            </w:pPr>
          </w:p>
        </w:tc>
        <w:tc>
          <w:tcPr>
            <w:tcW w:w="1361" w:type="pct"/>
            <w:gridSpan w:val="2"/>
          </w:tcPr>
          <w:p w14:paraId="35C4F0C2">
            <w:pPr>
              <w:ind w:firstLine="0"/>
              <w:jc w:val="both"/>
              <w:rPr>
                <w:rFonts w:hint="eastAsia" w:ascii="宋体" w:hAnsi="宋体" w:eastAsia="宋体" w:cs="宋体"/>
                <w:kern w:val="2"/>
                <w:sz w:val="24"/>
                <w:szCs w:val="24"/>
                <w:highlight w:val="none"/>
              </w:rPr>
            </w:pPr>
          </w:p>
        </w:tc>
        <w:tc>
          <w:tcPr>
            <w:tcW w:w="795" w:type="pct"/>
          </w:tcPr>
          <w:p w14:paraId="7B287CE7">
            <w:pPr>
              <w:ind w:firstLine="0"/>
              <w:jc w:val="both"/>
              <w:rPr>
                <w:rFonts w:hint="eastAsia" w:ascii="宋体" w:hAnsi="宋体" w:eastAsia="宋体" w:cs="宋体"/>
                <w:kern w:val="2"/>
                <w:sz w:val="24"/>
                <w:szCs w:val="24"/>
                <w:highlight w:val="none"/>
              </w:rPr>
            </w:pPr>
          </w:p>
        </w:tc>
        <w:tc>
          <w:tcPr>
            <w:tcW w:w="1651" w:type="pct"/>
            <w:gridSpan w:val="2"/>
          </w:tcPr>
          <w:p w14:paraId="2DB2301C">
            <w:pPr>
              <w:ind w:firstLine="0"/>
              <w:jc w:val="both"/>
              <w:rPr>
                <w:rFonts w:hint="eastAsia" w:ascii="宋体" w:hAnsi="宋体" w:eastAsia="宋体" w:cs="宋体"/>
                <w:kern w:val="2"/>
                <w:sz w:val="24"/>
                <w:szCs w:val="24"/>
                <w:highlight w:val="none"/>
              </w:rPr>
            </w:pPr>
          </w:p>
        </w:tc>
      </w:tr>
      <w:tr w14:paraId="43524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tcPr>
          <w:p w14:paraId="4848B20A">
            <w:pPr>
              <w:ind w:firstLine="0"/>
              <w:jc w:val="both"/>
              <w:rPr>
                <w:rFonts w:hint="eastAsia" w:ascii="宋体" w:hAnsi="宋体" w:eastAsia="宋体" w:cs="宋体"/>
                <w:kern w:val="2"/>
                <w:sz w:val="24"/>
                <w:szCs w:val="24"/>
                <w:highlight w:val="none"/>
              </w:rPr>
            </w:pPr>
          </w:p>
        </w:tc>
        <w:tc>
          <w:tcPr>
            <w:tcW w:w="1361" w:type="pct"/>
            <w:gridSpan w:val="2"/>
          </w:tcPr>
          <w:p w14:paraId="7BC3B487">
            <w:pPr>
              <w:ind w:firstLine="0"/>
              <w:jc w:val="both"/>
              <w:rPr>
                <w:rFonts w:hint="eastAsia" w:ascii="宋体" w:hAnsi="宋体" w:eastAsia="宋体" w:cs="宋体"/>
                <w:kern w:val="2"/>
                <w:sz w:val="24"/>
                <w:szCs w:val="24"/>
                <w:highlight w:val="none"/>
              </w:rPr>
            </w:pPr>
          </w:p>
        </w:tc>
        <w:tc>
          <w:tcPr>
            <w:tcW w:w="795" w:type="pct"/>
          </w:tcPr>
          <w:p w14:paraId="51A25767">
            <w:pPr>
              <w:ind w:firstLine="0"/>
              <w:jc w:val="both"/>
              <w:rPr>
                <w:rFonts w:hint="eastAsia" w:ascii="宋体" w:hAnsi="宋体" w:eastAsia="宋体" w:cs="宋体"/>
                <w:kern w:val="2"/>
                <w:sz w:val="24"/>
                <w:szCs w:val="24"/>
                <w:highlight w:val="none"/>
              </w:rPr>
            </w:pPr>
          </w:p>
        </w:tc>
        <w:tc>
          <w:tcPr>
            <w:tcW w:w="1651" w:type="pct"/>
            <w:gridSpan w:val="2"/>
          </w:tcPr>
          <w:p w14:paraId="75FFED21">
            <w:pPr>
              <w:ind w:firstLine="0"/>
              <w:jc w:val="both"/>
              <w:rPr>
                <w:rFonts w:hint="eastAsia" w:ascii="宋体" w:hAnsi="宋体" w:eastAsia="宋体" w:cs="宋体"/>
                <w:kern w:val="2"/>
                <w:sz w:val="24"/>
                <w:szCs w:val="24"/>
                <w:highlight w:val="none"/>
              </w:rPr>
            </w:pPr>
          </w:p>
        </w:tc>
      </w:tr>
      <w:tr w14:paraId="08EF7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00" w:type="pct"/>
            <w:gridSpan w:val="6"/>
          </w:tcPr>
          <w:p w14:paraId="6154FADF">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从业人员情况</w:t>
            </w:r>
          </w:p>
        </w:tc>
      </w:tr>
      <w:tr w14:paraId="02862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vMerge w:val="restart"/>
          </w:tcPr>
          <w:p w14:paraId="4766E7A7">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从业人员总数</w:t>
            </w:r>
          </w:p>
        </w:tc>
        <w:tc>
          <w:tcPr>
            <w:tcW w:w="558" w:type="pct"/>
            <w:vMerge w:val="restart"/>
          </w:tcPr>
          <w:p w14:paraId="64D70B52">
            <w:pPr>
              <w:ind w:firstLine="0"/>
              <w:jc w:val="both"/>
              <w:rPr>
                <w:rFonts w:hint="eastAsia" w:ascii="宋体" w:hAnsi="宋体" w:eastAsia="宋体" w:cs="宋体"/>
                <w:kern w:val="2"/>
                <w:sz w:val="24"/>
                <w:szCs w:val="24"/>
                <w:highlight w:val="none"/>
              </w:rPr>
            </w:pPr>
          </w:p>
        </w:tc>
        <w:tc>
          <w:tcPr>
            <w:tcW w:w="803" w:type="pct"/>
          </w:tcPr>
          <w:p w14:paraId="346B430A">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管理人员数量</w:t>
            </w:r>
          </w:p>
        </w:tc>
        <w:tc>
          <w:tcPr>
            <w:tcW w:w="795" w:type="pct"/>
          </w:tcPr>
          <w:p w14:paraId="3A9B0CAF">
            <w:pPr>
              <w:ind w:firstLine="0"/>
              <w:jc w:val="both"/>
              <w:rPr>
                <w:rFonts w:hint="eastAsia" w:ascii="宋体" w:hAnsi="宋体" w:eastAsia="宋体" w:cs="宋体"/>
                <w:kern w:val="2"/>
                <w:sz w:val="24"/>
                <w:szCs w:val="24"/>
                <w:highlight w:val="none"/>
              </w:rPr>
            </w:pPr>
          </w:p>
        </w:tc>
        <w:tc>
          <w:tcPr>
            <w:tcW w:w="825" w:type="pct"/>
          </w:tcPr>
          <w:p w14:paraId="7EEBDF6C">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专业技术人员数量</w:t>
            </w:r>
          </w:p>
        </w:tc>
        <w:tc>
          <w:tcPr>
            <w:tcW w:w="826" w:type="pct"/>
          </w:tcPr>
          <w:p w14:paraId="26672731">
            <w:pPr>
              <w:ind w:firstLine="0"/>
              <w:jc w:val="both"/>
              <w:rPr>
                <w:rFonts w:hint="eastAsia" w:ascii="宋体" w:hAnsi="宋体" w:eastAsia="宋体" w:cs="宋体"/>
                <w:kern w:val="2"/>
                <w:sz w:val="24"/>
                <w:szCs w:val="24"/>
                <w:highlight w:val="none"/>
              </w:rPr>
            </w:pPr>
          </w:p>
        </w:tc>
      </w:tr>
      <w:tr w14:paraId="09797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vMerge w:val="continue"/>
          </w:tcPr>
          <w:p w14:paraId="4B6030B8">
            <w:pPr>
              <w:ind w:firstLine="0"/>
              <w:jc w:val="both"/>
              <w:rPr>
                <w:rFonts w:hint="eastAsia" w:ascii="宋体" w:hAnsi="宋体" w:eastAsia="宋体" w:cs="宋体"/>
                <w:kern w:val="2"/>
                <w:sz w:val="24"/>
                <w:szCs w:val="24"/>
                <w:highlight w:val="none"/>
              </w:rPr>
            </w:pPr>
          </w:p>
        </w:tc>
        <w:tc>
          <w:tcPr>
            <w:tcW w:w="558" w:type="pct"/>
            <w:vMerge w:val="continue"/>
          </w:tcPr>
          <w:p w14:paraId="47129564">
            <w:pPr>
              <w:ind w:firstLine="0"/>
              <w:jc w:val="both"/>
              <w:rPr>
                <w:rFonts w:hint="eastAsia" w:ascii="宋体" w:hAnsi="宋体" w:eastAsia="宋体" w:cs="宋体"/>
                <w:kern w:val="2"/>
                <w:sz w:val="24"/>
                <w:szCs w:val="24"/>
                <w:highlight w:val="none"/>
              </w:rPr>
            </w:pPr>
          </w:p>
        </w:tc>
        <w:tc>
          <w:tcPr>
            <w:tcW w:w="803" w:type="pct"/>
          </w:tcPr>
          <w:p w14:paraId="4DF64B1D">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残疾人数量</w:t>
            </w:r>
          </w:p>
        </w:tc>
        <w:tc>
          <w:tcPr>
            <w:tcW w:w="795" w:type="pct"/>
          </w:tcPr>
          <w:p w14:paraId="26E6E65E">
            <w:pPr>
              <w:ind w:firstLine="0"/>
              <w:jc w:val="both"/>
              <w:rPr>
                <w:rFonts w:hint="eastAsia" w:ascii="宋体" w:hAnsi="宋体" w:eastAsia="宋体" w:cs="宋体"/>
                <w:kern w:val="2"/>
                <w:sz w:val="24"/>
                <w:szCs w:val="24"/>
                <w:highlight w:val="none"/>
              </w:rPr>
            </w:pPr>
          </w:p>
        </w:tc>
        <w:tc>
          <w:tcPr>
            <w:tcW w:w="825" w:type="pct"/>
          </w:tcPr>
          <w:p w14:paraId="397A5B0C">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少数民族数量</w:t>
            </w:r>
          </w:p>
        </w:tc>
        <w:tc>
          <w:tcPr>
            <w:tcW w:w="826" w:type="pct"/>
          </w:tcPr>
          <w:p w14:paraId="231F66B1">
            <w:pPr>
              <w:ind w:firstLine="0"/>
              <w:jc w:val="both"/>
              <w:rPr>
                <w:rFonts w:hint="eastAsia" w:ascii="宋体" w:hAnsi="宋体" w:eastAsia="宋体" w:cs="宋体"/>
                <w:kern w:val="2"/>
                <w:sz w:val="24"/>
                <w:szCs w:val="24"/>
                <w:highlight w:val="none"/>
              </w:rPr>
            </w:pPr>
          </w:p>
        </w:tc>
      </w:tr>
      <w:tr w14:paraId="627B7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00" w:type="pct"/>
            <w:gridSpan w:val="6"/>
          </w:tcPr>
          <w:p w14:paraId="16C6094C">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存在直接控股、管理关系的相关供应商</w:t>
            </w:r>
          </w:p>
        </w:tc>
      </w:tr>
      <w:tr w14:paraId="4EC22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tcPr>
          <w:p w14:paraId="7CF1327B">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关系</w:t>
            </w:r>
          </w:p>
        </w:tc>
        <w:tc>
          <w:tcPr>
            <w:tcW w:w="3809" w:type="pct"/>
            <w:gridSpan w:val="5"/>
          </w:tcPr>
          <w:p w14:paraId="676D43E3">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供应商名称</w:t>
            </w:r>
          </w:p>
        </w:tc>
      </w:tr>
      <w:tr w14:paraId="17FF3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tcPr>
          <w:p w14:paraId="77A7568F">
            <w:pPr>
              <w:ind w:firstLine="0"/>
              <w:jc w:val="both"/>
              <w:rPr>
                <w:rFonts w:hint="eastAsia" w:ascii="宋体" w:hAnsi="宋体" w:eastAsia="宋体" w:cs="宋体"/>
                <w:kern w:val="2"/>
                <w:sz w:val="24"/>
                <w:szCs w:val="24"/>
                <w:highlight w:val="none"/>
              </w:rPr>
            </w:pPr>
          </w:p>
        </w:tc>
        <w:tc>
          <w:tcPr>
            <w:tcW w:w="3809" w:type="pct"/>
            <w:gridSpan w:val="5"/>
          </w:tcPr>
          <w:p w14:paraId="2CF61228">
            <w:pPr>
              <w:ind w:firstLine="0"/>
              <w:jc w:val="both"/>
              <w:rPr>
                <w:rFonts w:hint="eastAsia" w:ascii="宋体" w:hAnsi="宋体" w:eastAsia="宋体" w:cs="宋体"/>
                <w:kern w:val="2"/>
                <w:sz w:val="24"/>
                <w:szCs w:val="24"/>
                <w:highlight w:val="none"/>
              </w:rPr>
            </w:pPr>
          </w:p>
        </w:tc>
      </w:tr>
      <w:tr w14:paraId="47975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tcPr>
          <w:p w14:paraId="1CB4237C">
            <w:pPr>
              <w:ind w:firstLine="0"/>
              <w:jc w:val="both"/>
              <w:rPr>
                <w:rFonts w:hint="eastAsia" w:ascii="宋体" w:hAnsi="宋体" w:eastAsia="宋体" w:cs="宋体"/>
                <w:kern w:val="2"/>
                <w:sz w:val="24"/>
                <w:szCs w:val="24"/>
                <w:highlight w:val="none"/>
              </w:rPr>
            </w:pPr>
          </w:p>
        </w:tc>
        <w:tc>
          <w:tcPr>
            <w:tcW w:w="3809" w:type="pct"/>
            <w:gridSpan w:val="5"/>
          </w:tcPr>
          <w:p w14:paraId="470D3509">
            <w:pPr>
              <w:ind w:firstLine="0"/>
              <w:jc w:val="both"/>
              <w:rPr>
                <w:rFonts w:hint="eastAsia" w:ascii="宋体" w:hAnsi="宋体" w:eastAsia="宋体" w:cs="宋体"/>
                <w:kern w:val="2"/>
                <w:sz w:val="24"/>
                <w:szCs w:val="24"/>
                <w:highlight w:val="none"/>
              </w:rPr>
            </w:pPr>
          </w:p>
        </w:tc>
      </w:tr>
      <w:tr w14:paraId="6E00D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tcPr>
          <w:p w14:paraId="30BFD9ED">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说明</w:t>
            </w:r>
          </w:p>
        </w:tc>
        <w:tc>
          <w:tcPr>
            <w:tcW w:w="3809" w:type="pct"/>
            <w:gridSpan w:val="5"/>
          </w:tcPr>
          <w:p w14:paraId="45629F5F">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1.成立时间至提交投标文件截止时间不足一年的可不填写“上年度营业收入”；</w:t>
            </w:r>
          </w:p>
          <w:p w14:paraId="3300EBB3">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2.招标文件接受联合体的，联合体各方均应提供；</w:t>
            </w:r>
          </w:p>
          <w:p w14:paraId="461984CE">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3.表格空间不足时，请自行扩展。</w:t>
            </w:r>
          </w:p>
        </w:tc>
      </w:tr>
    </w:tbl>
    <w:p w14:paraId="1B71C2E6">
      <w:pPr>
        <w:rPr>
          <w:rFonts w:hint="eastAsia" w:ascii="宋体" w:hAnsi="宋体" w:eastAsia="宋体" w:cs="宋体"/>
          <w:sz w:val="24"/>
          <w:szCs w:val="24"/>
          <w:highlight w:val="none"/>
        </w:rPr>
      </w:pPr>
      <w:r>
        <w:rPr>
          <w:rFonts w:hint="eastAsia" w:ascii="宋体" w:hAnsi="宋体" w:eastAsia="宋体" w:cs="宋体"/>
          <w:sz w:val="24"/>
          <w:szCs w:val="24"/>
          <w:highlight w:val="none"/>
        </w:rPr>
        <w:br w:type="page"/>
      </w:r>
    </w:p>
    <w:p w14:paraId="44013F4F">
      <w:pPr>
        <w:pStyle w:val="24"/>
        <w:spacing w:before="0" w:beforeAutospacing="0" w:after="0" w:afterAutospacing="0" w:line="360" w:lineRule="auto"/>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（二）中小企业声明函、监狱企业证明文件、残疾人福利性单位声明函</w:t>
      </w:r>
    </w:p>
    <w:p w14:paraId="57E8FC6F">
      <w:pPr>
        <w:pStyle w:val="16"/>
        <w:spacing w:line="360" w:lineRule="auto"/>
        <w:jc w:val="center"/>
        <w:rPr>
          <w:rFonts w:hint="eastAsia" w:ascii="宋体" w:hAnsi="宋体" w:eastAsia="宋体" w:cs="宋体"/>
          <w:b w:val="0"/>
          <w:kern w:val="2"/>
          <w:sz w:val="24"/>
          <w:szCs w:val="24"/>
          <w:highlight w:val="none"/>
          <w:lang w:val="en-US" w:eastAsia="zh-CN" w:bidi="ar-SA"/>
        </w:rPr>
      </w:pPr>
      <w:bookmarkStart w:id="37" w:name="_Toc5155"/>
      <w:bookmarkStart w:id="38" w:name="_Toc607"/>
      <w:bookmarkStart w:id="39" w:name="_Toc499739990"/>
      <w:bookmarkStart w:id="40" w:name="_Toc255"/>
      <w:bookmarkStart w:id="41" w:name="_Toc18592"/>
      <w:bookmarkStart w:id="42" w:name="_Toc10913"/>
      <w:bookmarkStart w:id="43" w:name="_Toc1541"/>
      <w:bookmarkStart w:id="44" w:name="_Toc21356"/>
      <w:bookmarkStart w:id="45" w:name="_Toc24443"/>
      <w:r>
        <w:rPr>
          <w:rFonts w:hint="eastAsia" w:ascii="宋体" w:hAnsi="宋体" w:eastAsia="宋体" w:cs="宋体"/>
          <w:b/>
          <w:bCs/>
          <w:sz w:val="24"/>
          <w:szCs w:val="24"/>
          <w:highlight w:val="none"/>
          <w:lang w:val="en-US" w:eastAsia="zh-CN"/>
        </w:rPr>
        <w:t>中小企业声明函（格式）</w:t>
      </w:r>
    </w:p>
    <w:p w14:paraId="5F5BCE16">
      <w:pPr>
        <w:keepNext w:val="0"/>
        <w:keepLines w:val="0"/>
        <w:pageBreakBefore w:val="0"/>
        <w:widowControl/>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本公司（联合体）郑重声明，根据《政府采购促进中小企业发展管理办法》（财库﹝2020﹞46 号）的规定，本公司（联合体）参加</w:t>
      </w:r>
      <w:r>
        <w:rPr>
          <w:rFonts w:hint="eastAsia" w:ascii="宋体" w:hAnsi="宋体" w:eastAsia="宋体" w:cs="宋体"/>
          <w:sz w:val="24"/>
          <w:szCs w:val="24"/>
          <w:highlight w:val="none"/>
          <w:u w:val="single"/>
          <w:lang w:val="en-US" w:eastAsia="zh-CN"/>
        </w:rPr>
        <w:t>（单位名称）的（项目名称）</w:t>
      </w:r>
      <w:r>
        <w:rPr>
          <w:rFonts w:hint="eastAsia" w:ascii="宋体" w:hAnsi="宋体" w:eastAsia="宋体" w:cs="宋体"/>
          <w:sz w:val="24"/>
          <w:szCs w:val="24"/>
          <w:highlight w:val="none"/>
          <w:lang w:val="en-US" w:eastAsia="zh-CN"/>
        </w:rPr>
        <w:t>采购活动，</w:t>
      </w:r>
      <w:r>
        <w:rPr>
          <w:rFonts w:hint="eastAsia" w:ascii="宋体" w:hAnsi="宋体" w:eastAsia="宋体" w:cs="宋体"/>
          <w:sz w:val="24"/>
          <w:szCs w:val="24"/>
          <w:highlight w:val="none"/>
        </w:rPr>
        <w:t>提供的货物全部由符合政策要求的中小企业制造。相关企业（含联合体中的中小企业、签订分包意向协议的中小企业）的具体情况如下：</w:t>
      </w:r>
    </w:p>
    <w:p w14:paraId="25B0CCC0">
      <w:pPr>
        <w:keepNext w:val="0"/>
        <w:keepLines w:val="0"/>
        <w:pageBreakBefore w:val="0"/>
        <w:widowControl/>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u w:val="single"/>
          <w:lang w:val="en-US" w:eastAsia="zh-CN"/>
        </w:rPr>
        <w:t xml:space="preserve"> （标的名称） </w:t>
      </w:r>
      <w:r>
        <w:rPr>
          <w:rFonts w:hint="eastAsia" w:ascii="宋体" w:hAnsi="宋体" w:eastAsia="宋体" w:cs="宋体"/>
          <w:sz w:val="24"/>
          <w:szCs w:val="24"/>
          <w:highlight w:val="none"/>
          <w:lang w:val="en-US" w:eastAsia="zh-CN"/>
        </w:rPr>
        <w:t>，属于</w:t>
      </w:r>
      <w:r>
        <w:rPr>
          <w:rFonts w:hint="eastAsia" w:ascii="宋体" w:hAnsi="宋体" w:eastAsia="宋体" w:cs="宋体"/>
          <w:sz w:val="24"/>
          <w:szCs w:val="24"/>
          <w:highlight w:val="none"/>
          <w:u w:val="single"/>
          <w:lang w:val="en-US" w:eastAsia="zh-CN"/>
        </w:rPr>
        <w:t>（工业）行业</w:t>
      </w:r>
      <w:r>
        <w:rPr>
          <w:rFonts w:hint="eastAsia" w:ascii="宋体" w:hAnsi="宋体" w:eastAsia="宋体" w:cs="宋体"/>
          <w:sz w:val="24"/>
          <w:szCs w:val="24"/>
          <w:highlight w:val="none"/>
          <w:lang w:val="en-US" w:eastAsia="zh-CN"/>
        </w:rPr>
        <w:t>；制造商为</w:t>
      </w:r>
      <w:r>
        <w:rPr>
          <w:rFonts w:hint="eastAsia" w:ascii="宋体" w:hAnsi="宋体" w:eastAsia="宋体" w:cs="宋体"/>
          <w:sz w:val="24"/>
          <w:szCs w:val="24"/>
          <w:highlight w:val="none"/>
          <w:u w:val="single"/>
          <w:lang w:val="en-US" w:eastAsia="zh-CN"/>
        </w:rPr>
        <w:t>（企业名称）</w:t>
      </w:r>
      <w:r>
        <w:rPr>
          <w:rFonts w:hint="eastAsia" w:ascii="宋体" w:hAnsi="宋体" w:eastAsia="宋体" w:cs="宋体"/>
          <w:sz w:val="24"/>
          <w:szCs w:val="24"/>
          <w:highlight w:val="none"/>
          <w:lang w:val="en-US" w:eastAsia="zh-CN"/>
        </w:rPr>
        <w:t>，从业人员</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lang w:val="en-US" w:eastAsia="zh-CN"/>
        </w:rPr>
        <w:t>人，营业收入为</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lang w:val="en-US" w:eastAsia="zh-CN"/>
        </w:rPr>
        <w:t>万元，资产总额为</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lang w:val="en-US" w:eastAsia="zh-CN"/>
        </w:rPr>
        <w:t>万元¹，属于</w:t>
      </w:r>
      <w:r>
        <w:rPr>
          <w:rFonts w:hint="eastAsia" w:ascii="宋体" w:hAnsi="宋体" w:eastAsia="宋体" w:cs="宋体"/>
          <w:sz w:val="24"/>
          <w:szCs w:val="24"/>
          <w:highlight w:val="none"/>
          <w:u w:val="single"/>
          <w:lang w:val="en-US" w:eastAsia="zh-CN"/>
        </w:rPr>
        <w:t>（中型企业、小型企业、微型企业）</w:t>
      </w:r>
      <w:r>
        <w:rPr>
          <w:rFonts w:hint="eastAsia" w:ascii="宋体" w:hAnsi="宋体" w:eastAsia="宋体" w:cs="宋体"/>
          <w:sz w:val="24"/>
          <w:szCs w:val="24"/>
          <w:highlight w:val="none"/>
          <w:lang w:val="en-US" w:eastAsia="zh-CN"/>
        </w:rPr>
        <w:t xml:space="preserve">； </w:t>
      </w:r>
    </w:p>
    <w:p w14:paraId="67C313F7">
      <w:pPr>
        <w:keepNext w:val="0"/>
        <w:keepLines w:val="0"/>
        <w:pageBreakBefore w:val="0"/>
        <w:widowControl/>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u w:val="single"/>
          <w:lang w:val="en-US" w:eastAsia="zh-CN"/>
        </w:rPr>
        <w:t xml:space="preserve"> （标的名称） </w:t>
      </w:r>
      <w:r>
        <w:rPr>
          <w:rFonts w:hint="eastAsia" w:ascii="宋体" w:hAnsi="宋体" w:eastAsia="宋体" w:cs="宋体"/>
          <w:sz w:val="24"/>
          <w:szCs w:val="24"/>
          <w:highlight w:val="none"/>
          <w:lang w:val="en-US" w:eastAsia="zh-CN"/>
        </w:rPr>
        <w:t>，属于（</w:t>
      </w:r>
      <w:r>
        <w:rPr>
          <w:rFonts w:hint="eastAsia" w:ascii="宋体" w:hAnsi="宋体" w:eastAsia="宋体" w:cs="宋体"/>
          <w:sz w:val="24"/>
          <w:szCs w:val="24"/>
          <w:highlight w:val="none"/>
          <w:u w:val="single"/>
          <w:lang w:val="en-US" w:eastAsia="zh-CN"/>
        </w:rPr>
        <w:t>工业）行业</w:t>
      </w:r>
      <w:r>
        <w:rPr>
          <w:rFonts w:hint="eastAsia" w:ascii="宋体" w:hAnsi="宋体" w:eastAsia="宋体" w:cs="宋体"/>
          <w:sz w:val="24"/>
          <w:szCs w:val="24"/>
          <w:highlight w:val="none"/>
          <w:lang w:val="en-US" w:eastAsia="zh-CN"/>
        </w:rPr>
        <w:t>；制造商为</w:t>
      </w:r>
      <w:r>
        <w:rPr>
          <w:rFonts w:hint="eastAsia" w:ascii="宋体" w:hAnsi="宋体" w:eastAsia="宋体" w:cs="宋体"/>
          <w:sz w:val="24"/>
          <w:szCs w:val="24"/>
          <w:highlight w:val="none"/>
          <w:u w:val="single"/>
          <w:lang w:val="en-US" w:eastAsia="zh-CN"/>
        </w:rPr>
        <w:t>（企业名称）</w:t>
      </w:r>
      <w:r>
        <w:rPr>
          <w:rFonts w:hint="eastAsia" w:ascii="宋体" w:hAnsi="宋体" w:eastAsia="宋体" w:cs="宋体"/>
          <w:sz w:val="24"/>
          <w:szCs w:val="24"/>
          <w:highlight w:val="none"/>
          <w:lang w:val="en-US" w:eastAsia="zh-CN"/>
        </w:rPr>
        <w:t>，从业人员</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lang w:val="en-US" w:eastAsia="zh-CN"/>
        </w:rPr>
        <w:t>人，营业收入为</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lang w:val="en-US" w:eastAsia="zh-CN"/>
        </w:rPr>
        <w:t>万元，资产总额为</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lang w:val="en-US" w:eastAsia="zh-CN"/>
        </w:rPr>
        <w:t>万元，属于</w:t>
      </w:r>
      <w:r>
        <w:rPr>
          <w:rFonts w:hint="eastAsia" w:ascii="宋体" w:hAnsi="宋体" w:eastAsia="宋体" w:cs="宋体"/>
          <w:sz w:val="24"/>
          <w:szCs w:val="24"/>
          <w:highlight w:val="none"/>
          <w:u w:val="single"/>
          <w:lang w:val="en-US" w:eastAsia="zh-CN"/>
        </w:rPr>
        <w:t>（中型企业、小型企业、微型企业）</w:t>
      </w:r>
      <w:r>
        <w:rPr>
          <w:rFonts w:hint="eastAsia" w:ascii="宋体" w:hAnsi="宋体" w:eastAsia="宋体" w:cs="宋体"/>
          <w:sz w:val="24"/>
          <w:szCs w:val="24"/>
          <w:highlight w:val="none"/>
          <w:lang w:val="en-US" w:eastAsia="zh-CN"/>
        </w:rPr>
        <w:t>；</w:t>
      </w:r>
    </w:p>
    <w:p w14:paraId="211872F9">
      <w:pPr>
        <w:keepNext w:val="0"/>
        <w:keepLines w:val="0"/>
        <w:pageBreakBefore w:val="0"/>
        <w:widowControl/>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w:t>
      </w:r>
    </w:p>
    <w:p w14:paraId="65EC934E">
      <w:pPr>
        <w:keepNext w:val="0"/>
        <w:keepLines w:val="0"/>
        <w:pageBreakBefore w:val="0"/>
        <w:widowControl/>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以上企业，不属于大企业的分支机构，不存在控股股东为大企业的情形，也不存在与大企业的负责人为同一人的情形。</w:t>
      </w:r>
    </w:p>
    <w:p w14:paraId="11A7D20E">
      <w:pPr>
        <w:keepNext w:val="0"/>
        <w:keepLines w:val="0"/>
        <w:pageBreakBefore w:val="0"/>
        <w:widowControl/>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本企业对上述声明内容的真实性负责。如有虚假，将依法承担相应责任。</w:t>
      </w:r>
    </w:p>
    <w:p w14:paraId="438CEE73">
      <w:pPr>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宋体" w:hAnsi="宋体" w:eastAsia="宋体" w:cs="宋体"/>
          <w:sz w:val="24"/>
          <w:szCs w:val="24"/>
          <w:highlight w:val="none"/>
          <w:lang w:val="en-US" w:eastAsia="zh-CN"/>
        </w:rPr>
      </w:pPr>
      <w:r>
        <w:rPr>
          <w:rFonts w:hint="eastAsia" w:ascii="宋体" w:hAnsi="宋体" w:eastAsia="宋体" w:cs="宋体"/>
          <w:b/>
          <w:bCs/>
          <w:sz w:val="24"/>
          <w:szCs w:val="24"/>
          <w:highlight w:val="none"/>
          <w:lang w:val="en-US" w:eastAsia="zh-CN"/>
        </w:rPr>
        <w:t>备注：</w:t>
      </w:r>
      <w:r>
        <w:rPr>
          <w:rFonts w:hint="eastAsia" w:ascii="宋体" w:hAnsi="宋体" w:eastAsia="宋体" w:cs="宋体"/>
          <w:sz w:val="24"/>
          <w:szCs w:val="24"/>
          <w:highlight w:val="none"/>
          <w:lang w:val="en-US" w:eastAsia="zh-CN"/>
        </w:rPr>
        <w:t>1.填写前请认真阅读《工业和信息化部 国家统计局 国家发展和改革委员会 财政部关于印发中小企业划型标准规定的通知》(工信部联企业〔2011〕300 号)和《财政部、工业和信息化部关于印发〈政府采购促进中小企业发展管理办法〉的通知》(财库〔2020〕46 号)相关规定。</w:t>
      </w:r>
    </w:p>
    <w:p w14:paraId="6EC91448">
      <w:pPr>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2.从业人员、营业收入、资产总额填报上一年度数据；无上一年度数据的新成立企业可不填报相关数据，参照国务院批准的中小企业划分标准，根据企业自身情况如实判断。</w:t>
      </w:r>
    </w:p>
    <w:p w14:paraId="1C1138DF">
      <w:pPr>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3.《中小企业声明函》随成交结果同时公开。</w:t>
      </w:r>
    </w:p>
    <w:p w14:paraId="7F0E930A">
      <w:pPr>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4.非中小企业可不用提供中小企业声明函。</w:t>
      </w:r>
    </w:p>
    <w:p w14:paraId="7003574E">
      <w:pPr>
        <w:pStyle w:val="16"/>
        <w:spacing w:line="360" w:lineRule="auto"/>
        <w:ind w:firstLine="480" w:firstLineChars="200"/>
        <w:jc w:val="right"/>
        <w:rPr>
          <w:rFonts w:hint="eastAsia" w:ascii="宋体" w:hAnsi="宋体" w:eastAsia="宋体" w:cs="宋体"/>
          <w:b w:val="0"/>
          <w:kern w:val="2"/>
          <w:sz w:val="24"/>
          <w:szCs w:val="24"/>
          <w:highlight w:val="none"/>
          <w:lang w:val="en-US" w:eastAsia="zh-CN" w:bidi="ar-SA"/>
        </w:rPr>
      </w:pPr>
    </w:p>
    <w:p w14:paraId="50984FB1">
      <w:pPr>
        <w:keepNext w:val="0"/>
        <w:keepLines w:val="0"/>
        <w:pageBreakBefore w:val="0"/>
        <w:widowControl w:val="0"/>
        <w:kinsoku/>
        <w:wordWrap/>
        <w:overflowPunct/>
        <w:topLinePunct w:val="0"/>
        <w:autoSpaceDE/>
        <w:autoSpaceDN/>
        <w:bidi w:val="0"/>
        <w:adjustRightInd/>
        <w:snapToGrid w:val="0"/>
        <w:spacing w:line="480" w:lineRule="auto"/>
        <w:ind w:firstLine="4560" w:firstLineChars="1900"/>
        <w:textAlignment w:val="auto"/>
        <w:rPr>
          <w:rFonts w:hint="eastAsia" w:ascii="宋体" w:hAnsi="宋体" w:eastAsia="宋体" w:cs="宋体"/>
          <w:b w:val="0"/>
          <w:kern w:val="2"/>
          <w:sz w:val="24"/>
          <w:szCs w:val="24"/>
          <w:highlight w:val="none"/>
          <w:lang w:val="en-US" w:eastAsia="zh-CN" w:bidi="ar-SA"/>
        </w:rPr>
      </w:pPr>
      <w:r>
        <w:rPr>
          <w:rFonts w:hint="eastAsia" w:ascii="宋体" w:hAnsi="宋体" w:eastAsia="宋体" w:cs="宋体"/>
          <w:b w:val="0"/>
          <w:kern w:val="2"/>
          <w:sz w:val="24"/>
          <w:szCs w:val="24"/>
          <w:highlight w:val="none"/>
          <w:lang w:val="en-US" w:eastAsia="zh-CN" w:bidi="ar-SA"/>
        </w:rPr>
        <w:t>企业名称（盖章）：</w:t>
      </w:r>
    </w:p>
    <w:p w14:paraId="6281C20C">
      <w:pPr>
        <w:keepNext w:val="0"/>
        <w:keepLines w:val="0"/>
        <w:pageBreakBefore w:val="0"/>
        <w:widowControl w:val="0"/>
        <w:kinsoku/>
        <w:wordWrap/>
        <w:overflowPunct/>
        <w:topLinePunct w:val="0"/>
        <w:autoSpaceDE/>
        <w:autoSpaceDN/>
        <w:bidi w:val="0"/>
        <w:adjustRightInd/>
        <w:snapToGrid w:val="0"/>
        <w:spacing w:line="480" w:lineRule="auto"/>
        <w:ind w:firstLine="4560" w:firstLineChars="1900"/>
        <w:textAlignment w:val="auto"/>
        <w:rPr>
          <w:rFonts w:hint="eastAsia" w:ascii="宋体" w:hAnsi="宋体" w:eastAsia="宋体" w:cs="宋体"/>
          <w:b w:val="0"/>
          <w:kern w:val="2"/>
          <w:sz w:val="24"/>
          <w:szCs w:val="24"/>
          <w:highlight w:val="none"/>
          <w:lang w:val="en-US" w:eastAsia="zh-CN" w:bidi="ar-SA"/>
        </w:rPr>
      </w:pPr>
      <w:r>
        <w:rPr>
          <w:rFonts w:hint="eastAsia" w:ascii="宋体" w:hAnsi="宋体" w:eastAsia="宋体" w:cs="宋体"/>
          <w:b w:val="0"/>
          <w:kern w:val="2"/>
          <w:sz w:val="24"/>
          <w:szCs w:val="24"/>
          <w:highlight w:val="none"/>
          <w:lang w:val="en-US" w:eastAsia="zh-CN" w:bidi="ar-SA"/>
        </w:rPr>
        <w:t>日期：</w:t>
      </w:r>
    </w:p>
    <w:p w14:paraId="2E600413">
      <w:pPr>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宋体" w:hAnsi="宋体" w:eastAsia="宋体" w:cs="宋体"/>
          <w:b/>
          <w:bCs/>
          <w:sz w:val="24"/>
          <w:szCs w:val="24"/>
          <w:highlight w:val="none"/>
        </w:rPr>
      </w:pPr>
    </w:p>
    <w:p w14:paraId="6C43E198">
      <w:pPr>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附件</w:t>
      </w:r>
      <w:bookmarkEnd w:id="37"/>
      <w:bookmarkEnd w:id="38"/>
      <w:bookmarkEnd w:id="39"/>
      <w:bookmarkEnd w:id="40"/>
      <w:bookmarkEnd w:id="41"/>
      <w:bookmarkEnd w:id="42"/>
      <w:bookmarkEnd w:id="43"/>
      <w:bookmarkEnd w:id="44"/>
      <w:bookmarkEnd w:id="45"/>
      <w:r>
        <w:rPr>
          <w:rFonts w:hint="eastAsia" w:ascii="宋体" w:hAnsi="宋体" w:eastAsia="宋体" w:cs="宋体"/>
          <w:b/>
          <w:bCs/>
          <w:sz w:val="24"/>
          <w:szCs w:val="24"/>
          <w:highlight w:val="none"/>
        </w:rPr>
        <w:t>2</w:t>
      </w:r>
    </w:p>
    <w:p w14:paraId="771E762E">
      <w:pPr>
        <w:widowControl/>
        <w:spacing w:after="240" w:line="360" w:lineRule="auto"/>
        <w:jc w:val="center"/>
        <w:rPr>
          <w:rFonts w:hint="eastAsia" w:ascii="宋体" w:hAnsi="宋体" w:eastAsia="宋体" w:cs="宋体"/>
          <w:b/>
          <w:kern w:val="0"/>
          <w:sz w:val="24"/>
          <w:szCs w:val="24"/>
          <w:highlight w:val="none"/>
        </w:rPr>
      </w:pPr>
      <w:r>
        <w:rPr>
          <w:rFonts w:hint="eastAsia" w:ascii="宋体" w:hAnsi="宋体" w:eastAsia="宋体" w:cs="宋体"/>
          <w:b/>
          <w:kern w:val="0"/>
          <w:sz w:val="24"/>
          <w:szCs w:val="24"/>
          <w:highlight w:val="none"/>
        </w:rPr>
        <w:t>监狱企业证明文件</w:t>
      </w:r>
    </w:p>
    <w:p w14:paraId="61797284">
      <w:pPr>
        <w:widowControl/>
        <w:spacing w:before="100" w:beforeAutospacing="1" w:after="100" w:afterAutospacing="1" w:line="360" w:lineRule="auto"/>
        <w:ind w:firstLine="480" w:firstLineChars="200"/>
        <w:jc w:val="left"/>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说明根据《关于政府采购支持监狱企业发展有关问题的通知》(财库[2014]68号)规定，监狱企业参加政府采购活动时，应当提供由省级以上监狱管理局、戒毒管理局(含新疆生产建设兵团)出具的属于监狱企业的证明文件。</w:t>
      </w:r>
    </w:p>
    <w:p w14:paraId="6AD98DBF">
      <w:pPr>
        <w:pStyle w:val="24"/>
        <w:spacing w:line="360" w:lineRule="auto"/>
        <w:ind w:firstLine="480" w:firstLineChars="200"/>
        <w:rPr>
          <w:rFonts w:hint="eastAsia" w:ascii="宋体" w:hAnsi="宋体" w:eastAsia="宋体" w:cs="宋体"/>
          <w:b/>
          <w:sz w:val="24"/>
          <w:szCs w:val="24"/>
          <w:highlight w:val="none"/>
          <w:lang w:eastAsia="zh-CN"/>
        </w:rPr>
      </w:pPr>
      <w:bookmarkStart w:id="46" w:name="_Toc499739991"/>
      <w:r>
        <w:rPr>
          <w:rFonts w:hint="eastAsia" w:ascii="宋体" w:hAnsi="宋体" w:eastAsia="宋体" w:cs="宋体"/>
          <w:b/>
          <w:sz w:val="24"/>
          <w:szCs w:val="24"/>
          <w:highlight w:val="none"/>
          <w:lang w:eastAsia="zh-CN"/>
        </w:rPr>
        <w:t>注：非监狱企业不提供此证明文件</w:t>
      </w:r>
    </w:p>
    <w:p w14:paraId="438EF32F">
      <w:pPr>
        <w:rPr>
          <w:rFonts w:hint="eastAsia" w:ascii="宋体" w:hAnsi="宋体" w:eastAsia="宋体" w:cs="宋体"/>
          <w:sz w:val="24"/>
          <w:szCs w:val="24"/>
          <w:highlight w:val="none"/>
        </w:rPr>
      </w:pPr>
    </w:p>
    <w:p w14:paraId="02AF535C">
      <w:pPr>
        <w:rPr>
          <w:rFonts w:hint="eastAsia" w:ascii="宋体" w:hAnsi="宋体" w:eastAsia="宋体" w:cs="宋体"/>
          <w:sz w:val="24"/>
          <w:szCs w:val="24"/>
          <w:highlight w:val="none"/>
        </w:rPr>
      </w:pPr>
      <w:bookmarkStart w:id="47" w:name="_Toc2290"/>
      <w:bookmarkStart w:id="48" w:name="_Toc11296"/>
      <w:bookmarkStart w:id="49" w:name="_Toc16824"/>
      <w:bookmarkStart w:id="50" w:name="_Toc30838"/>
      <w:bookmarkStart w:id="51" w:name="_Toc16753"/>
      <w:bookmarkStart w:id="52" w:name="_Toc30090"/>
    </w:p>
    <w:p w14:paraId="6BCDEDA8">
      <w:pPr>
        <w:rPr>
          <w:rFonts w:hint="eastAsia" w:ascii="宋体" w:hAnsi="宋体" w:eastAsia="宋体" w:cs="宋体"/>
          <w:sz w:val="24"/>
          <w:szCs w:val="24"/>
          <w:highlight w:val="none"/>
        </w:rPr>
      </w:pPr>
    </w:p>
    <w:p w14:paraId="77CDAA11">
      <w:pPr>
        <w:rPr>
          <w:rFonts w:hint="eastAsia" w:ascii="宋体" w:hAnsi="宋体" w:eastAsia="宋体" w:cs="宋体"/>
          <w:b/>
          <w:bCs/>
          <w:sz w:val="24"/>
          <w:szCs w:val="24"/>
          <w:highlight w:val="none"/>
        </w:rPr>
      </w:pPr>
      <w:bookmarkStart w:id="53" w:name="_Toc28279"/>
      <w:bookmarkStart w:id="54" w:name="_Toc3073"/>
      <w:r>
        <w:rPr>
          <w:rFonts w:hint="eastAsia" w:ascii="宋体" w:hAnsi="宋体" w:eastAsia="宋体" w:cs="宋体"/>
          <w:b/>
          <w:bCs/>
          <w:sz w:val="24"/>
          <w:szCs w:val="24"/>
          <w:highlight w:val="none"/>
        </w:rPr>
        <w:t>附件</w:t>
      </w:r>
      <w:bookmarkEnd w:id="46"/>
      <w:bookmarkEnd w:id="47"/>
      <w:bookmarkEnd w:id="48"/>
      <w:bookmarkEnd w:id="49"/>
      <w:bookmarkEnd w:id="50"/>
      <w:bookmarkEnd w:id="51"/>
      <w:bookmarkEnd w:id="52"/>
      <w:bookmarkEnd w:id="53"/>
      <w:bookmarkEnd w:id="54"/>
      <w:r>
        <w:rPr>
          <w:rFonts w:hint="eastAsia" w:ascii="宋体" w:hAnsi="宋体" w:eastAsia="宋体" w:cs="宋体"/>
          <w:b/>
          <w:bCs/>
          <w:sz w:val="24"/>
          <w:szCs w:val="24"/>
          <w:highlight w:val="none"/>
        </w:rPr>
        <w:t>3</w:t>
      </w:r>
    </w:p>
    <w:p w14:paraId="019F8FAD">
      <w:pPr>
        <w:widowControl/>
        <w:spacing w:after="240" w:line="360" w:lineRule="auto"/>
        <w:jc w:val="center"/>
        <w:rPr>
          <w:rFonts w:hint="eastAsia" w:ascii="宋体" w:hAnsi="宋体" w:eastAsia="宋体" w:cs="宋体"/>
          <w:b/>
          <w:kern w:val="0"/>
          <w:sz w:val="24"/>
          <w:szCs w:val="24"/>
          <w:highlight w:val="none"/>
        </w:rPr>
      </w:pPr>
      <w:r>
        <w:rPr>
          <w:rFonts w:hint="eastAsia" w:ascii="宋体" w:hAnsi="宋体" w:eastAsia="宋体" w:cs="宋体"/>
          <w:b/>
          <w:kern w:val="0"/>
          <w:sz w:val="24"/>
          <w:szCs w:val="24"/>
          <w:highlight w:val="none"/>
        </w:rPr>
        <w:t>残疾人福利性单位声明函</w:t>
      </w:r>
    </w:p>
    <w:p w14:paraId="73AD88BD">
      <w:pPr>
        <w:widowControl/>
        <w:spacing w:before="100" w:beforeAutospacing="1" w:after="100" w:afterAutospacing="1" w:line="360" w:lineRule="auto"/>
        <w:ind w:firstLine="480" w:firstLineChars="200"/>
        <w:jc w:val="left"/>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本单位郑重声明，根据《财政部 民政部 中国残疾人联合会关于促进残疾人就业政府采购政策的通知》（财库〔2017〕141号）的规定，本单位为符合条件的残疾人福利性单位，应当提供规定中满足条件的相关证明文件及《残疾人福利性单位声明函》。</w:t>
      </w:r>
    </w:p>
    <w:p w14:paraId="1308B0B7">
      <w:pPr>
        <w:pStyle w:val="24"/>
        <w:spacing w:line="360" w:lineRule="auto"/>
        <w:ind w:firstLine="480" w:firstLineChars="200"/>
        <w:rPr>
          <w:rFonts w:hint="eastAsia" w:ascii="宋体" w:hAnsi="宋体" w:eastAsia="宋体" w:cs="宋体"/>
          <w:b/>
          <w:sz w:val="24"/>
          <w:szCs w:val="24"/>
          <w:highlight w:val="none"/>
        </w:rPr>
      </w:pPr>
      <w:r>
        <w:rPr>
          <w:rFonts w:hint="eastAsia" w:ascii="宋体" w:hAnsi="宋体" w:eastAsia="宋体" w:cs="宋体"/>
          <w:b/>
          <w:sz w:val="24"/>
          <w:szCs w:val="24"/>
          <w:highlight w:val="none"/>
        </w:rPr>
        <w:t>注：非残疾人福利性单位不填写此声明函。</w:t>
      </w:r>
    </w:p>
    <w:p w14:paraId="7D7FAB8E">
      <w:pPr>
        <w:spacing w:line="560" w:lineRule="exact"/>
        <w:ind w:firstLine="480" w:firstLineChars="200"/>
        <w:jc w:val="both"/>
        <w:rPr>
          <w:rFonts w:hint="eastAsia" w:ascii="宋体" w:hAnsi="宋体" w:eastAsia="宋体" w:cs="宋体"/>
          <w:sz w:val="24"/>
          <w:szCs w:val="24"/>
          <w:highlight w:val="none"/>
        </w:rPr>
      </w:pPr>
    </w:p>
    <w:p w14:paraId="35820FF6">
      <w:pPr>
        <w:spacing w:line="560" w:lineRule="exact"/>
        <w:ind w:firstLine="480" w:firstLineChars="200"/>
        <w:jc w:val="both"/>
        <w:rPr>
          <w:rFonts w:hint="eastAsia" w:ascii="宋体" w:hAnsi="宋体" w:eastAsia="宋体" w:cs="宋体"/>
          <w:sz w:val="24"/>
          <w:szCs w:val="24"/>
          <w:highlight w:val="none"/>
        </w:rPr>
      </w:pPr>
    </w:p>
    <w:p w14:paraId="4BC074AE">
      <w:pPr>
        <w:spacing w:line="560" w:lineRule="exact"/>
        <w:ind w:firstLine="480" w:firstLineChars="200"/>
        <w:jc w:val="both"/>
        <w:rPr>
          <w:rFonts w:hint="eastAsia" w:ascii="宋体" w:hAnsi="宋体" w:eastAsia="宋体" w:cs="宋体"/>
          <w:sz w:val="24"/>
          <w:szCs w:val="24"/>
          <w:highlight w:val="none"/>
        </w:rPr>
      </w:pPr>
    </w:p>
    <w:p w14:paraId="063C7519">
      <w:pPr>
        <w:rPr>
          <w:rFonts w:hint="eastAsia" w:ascii="宋体" w:hAnsi="宋体" w:eastAsia="宋体" w:cs="宋体"/>
          <w:sz w:val="24"/>
          <w:szCs w:val="24"/>
          <w:highlight w:val="none"/>
        </w:rPr>
      </w:pPr>
      <w:r>
        <w:rPr>
          <w:rFonts w:hint="eastAsia" w:ascii="宋体" w:hAnsi="宋体" w:eastAsia="宋体" w:cs="宋体"/>
          <w:sz w:val="24"/>
          <w:szCs w:val="24"/>
          <w:highlight w:val="none"/>
        </w:rPr>
        <w:br w:type="page"/>
      </w:r>
    </w:p>
    <w:p w14:paraId="16917CFA">
      <w:pPr>
        <w:pStyle w:val="4"/>
        <w:ind w:left="0" w:leftChars="0" w:firstLine="0" w:firstLineChars="0"/>
        <w:jc w:val="center"/>
        <w:rPr>
          <w:rFonts w:hint="eastAsia" w:ascii="宋体" w:hAnsi="宋体" w:eastAsia="宋体" w:cs="宋体"/>
          <w:b/>
          <w:bCs/>
          <w:sz w:val="28"/>
          <w:szCs w:val="28"/>
          <w:highlight w:val="none"/>
        </w:rPr>
      </w:pPr>
      <w:r>
        <w:rPr>
          <w:rFonts w:hint="eastAsia" w:ascii="宋体" w:hAnsi="宋体" w:eastAsia="宋体" w:cs="宋体"/>
          <w:b/>
          <w:bCs/>
          <w:sz w:val="28"/>
          <w:szCs w:val="28"/>
          <w:highlight w:val="none"/>
        </w:rPr>
        <w:t>第五部分  供应商参加政府采购活动承诺书</w:t>
      </w:r>
    </w:p>
    <w:p w14:paraId="7278C99C">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未签署下列承诺书的，将被视为无效投标，其责任由供应商自行承担。</w:t>
      </w:r>
    </w:p>
    <w:p w14:paraId="6B7CFD79">
      <w:pPr>
        <w:ind w:left="0" w:leftChars="0" w:right="0" w:rightChars="0" w:firstLine="0" w:firstLineChars="0"/>
        <w:jc w:val="center"/>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（一）质量安全责任承诺书</w:t>
      </w:r>
    </w:p>
    <w:p w14:paraId="0F72F2D4">
      <w:pPr>
        <w:spacing w:line="560" w:lineRule="exact"/>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为保证本采购项目顺利进行，作为投标供应商，现郑重承诺：</w:t>
      </w:r>
    </w:p>
    <w:p w14:paraId="5C7FF67F">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1．我方所投产品的生产（包括设计、制造、安装、改造、维修等）、投入使用的材料等均完全符合国家现行质量、安全、环保标准和要求。</w:t>
      </w:r>
    </w:p>
    <w:p w14:paraId="1388AC89">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2．我方将严格按照国家现行相关储存、运输、安装调试技术标准及规范、服务标准及规范、施工标准及规范，在规定的时限内，保质、保量完成项目全部内容，并向采购人交付合格产品。</w:t>
      </w:r>
    </w:p>
    <w:p w14:paraId="28C7622F">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3．对于因产品生产质量以及储存、运输、安装调试、服务、施工等过程中产生的任何安全事故，我方承担全部责任。</w:t>
      </w:r>
    </w:p>
    <w:p w14:paraId="47623E96">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4．我方提供的货物、工程、服务等符合现行的国家、行业、地区、企业标准及要求，标准不一致的，以更为严格的为准，我方对提供的货物、工程、服务等的质量、安全、环保等承担全部责任。</w:t>
      </w:r>
    </w:p>
    <w:p w14:paraId="06783798">
      <w:pPr>
        <w:spacing w:line="560" w:lineRule="exact"/>
        <w:ind w:firstLine="480" w:firstLineChars="200"/>
        <w:jc w:val="both"/>
        <w:rPr>
          <w:rFonts w:hint="eastAsia" w:ascii="宋体" w:hAnsi="宋体" w:eastAsia="宋体" w:cs="宋体"/>
          <w:sz w:val="24"/>
          <w:szCs w:val="24"/>
          <w:highlight w:val="none"/>
        </w:rPr>
      </w:pPr>
    </w:p>
    <w:p w14:paraId="463786C9">
      <w:pPr>
        <w:spacing w:line="560" w:lineRule="exact"/>
        <w:ind w:firstLine="2656" w:firstLineChars="1107"/>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供应商：（供应商全称并加盖公章）</w:t>
      </w:r>
    </w:p>
    <w:p w14:paraId="4F6D489A">
      <w:pPr>
        <w:spacing w:line="560" w:lineRule="exact"/>
        <w:ind w:firstLine="2656" w:firstLineChars="1107"/>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日  期：    年  月  日</w:t>
      </w:r>
    </w:p>
    <w:p w14:paraId="6C075C4B">
      <w:pPr>
        <w:spacing w:line="560" w:lineRule="exact"/>
        <w:ind w:firstLine="480" w:firstLineChars="200"/>
        <w:jc w:val="both"/>
        <w:rPr>
          <w:rFonts w:hint="eastAsia" w:ascii="宋体" w:hAnsi="宋体" w:eastAsia="宋体" w:cs="宋体"/>
          <w:sz w:val="24"/>
          <w:szCs w:val="24"/>
          <w:highlight w:val="none"/>
        </w:rPr>
      </w:pPr>
    </w:p>
    <w:p w14:paraId="2DF4AB6B">
      <w:pPr>
        <w:rPr>
          <w:rFonts w:hint="eastAsia" w:ascii="宋体" w:hAnsi="宋体" w:eastAsia="宋体" w:cs="宋体"/>
          <w:sz w:val="24"/>
          <w:szCs w:val="24"/>
          <w:highlight w:val="none"/>
        </w:rPr>
      </w:pPr>
      <w:r>
        <w:rPr>
          <w:rFonts w:hint="eastAsia" w:ascii="宋体" w:hAnsi="宋体" w:eastAsia="宋体" w:cs="宋体"/>
          <w:sz w:val="24"/>
          <w:szCs w:val="24"/>
          <w:highlight w:val="none"/>
        </w:rPr>
        <w:br w:type="page"/>
      </w:r>
    </w:p>
    <w:p w14:paraId="32C9581F">
      <w:pPr>
        <w:jc w:val="center"/>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（二）参加政府采购活动行为自律承诺书</w:t>
      </w:r>
    </w:p>
    <w:p w14:paraId="4E39A9CD">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作为参加本次政府采购项目的供应商，我方郑重承诺在参与政府采购活动中遵纪守法、公平竞争、诚实守信，如有违反愿承担一切责任及后果：</w:t>
      </w:r>
    </w:p>
    <w:p w14:paraId="652BCC2D">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1．不与采购人、采购代理机构、政府采购评审专家恶意串通，不向其行贿或提供其他不正当利益；</w:t>
      </w:r>
    </w:p>
    <w:p w14:paraId="767AB418">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2．不与其他供应商恶意串通，采取“围标、串标、陪标”等商业欺诈手段谋取中标、成交；</w:t>
      </w:r>
    </w:p>
    <w:p w14:paraId="718A4351">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3．不提供虚假或无效证明文件（包括但不限于资格证明文件、合同及验收文件、检验检测报告、从业人员资格证书、机构或所投产品的各类认证证书等）或虚假材料谋取中标、成交；</w:t>
      </w:r>
    </w:p>
    <w:p w14:paraId="773C3600">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4．不采取不正当手段诋毁、排挤其他供应商；</w:t>
      </w:r>
    </w:p>
    <w:p w14:paraId="128AB22D">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5．不以不正当理由拒不与采购人签订政府采购合同，或逾期签订政府采购合同，或不按照采购文件确定的事项签订政府采购合同；</w:t>
      </w:r>
    </w:p>
    <w:p w14:paraId="3F49AF79">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6．不以不正当理由拒绝履行合同义务，不会擅自变更、中止或者终止政府采购合同或将政府采购合同转包；</w:t>
      </w:r>
    </w:p>
    <w:p w14:paraId="4C152EE8">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7．不在提供商品、服务或工程施工过程中提供假冒伪劣产品，损害采购人的合法权益或公共利益；</w:t>
      </w:r>
    </w:p>
    <w:p w14:paraId="47EA56AD">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8．不采取捏造事实、提供虚假材料或者以非法手段取得证明材料进行质疑和投诉；</w:t>
      </w:r>
    </w:p>
    <w:p w14:paraId="24CBE1BC">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9．不发生其他有悖于政府采购公开、公平、公正和诚信原则的行为。</w:t>
      </w:r>
    </w:p>
    <w:p w14:paraId="4430FB28">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10．尊重和接受政府采购监督管理部门的监督和采购人、采购代理机构的政府采购工作要求，愿意承担因违约行为给采购人造成的损失。</w:t>
      </w:r>
    </w:p>
    <w:p w14:paraId="45C68C96">
      <w:pPr>
        <w:spacing w:line="560" w:lineRule="exact"/>
        <w:ind w:firstLine="480" w:firstLineChars="200"/>
        <w:jc w:val="both"/>
        <w:rPr>
          <w:rFonts w:hint="eastAsia" w:ascii="宋体" w:hAnsi="宋体" w:eastAsia="宋体" w:cs="宋体"/>
          <w:sz w:val="24"/>
          <w:szCs w:val="24"/>
          <w:highlight w:val="none"/>
        </w:rPr>
      </w:pPr>
    </w:p>
    <w:p w14:paraId="16341446">
      <w:pPr>
        <w:spacing w:line="560" w:lineRule="exact"/>
        <w:ind w:firstLine="2656" w:firstLineChars="1107"/>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供应商：（供应商全称并加盖公章）</w:t>
      </w:r>
    </w:p>
    <w:p w14:paraId="4007C1C4">
      <w:pPr>
        <w:spacing w:line="560" w:lineRule="exact"/>
        <w:ind w:firstLine="2656" w:firstLineChars="1107"/>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日  期：    年  月  日</w:t>
      </w:r>
    </w:p>
    <w:p w14:paraId="62DAA22E">
      <w:pPr>
        <w:rPr>
          <w:rFonts w:hint="eastAsia" w:ascii="宋体" w:hAnsi="宋体" w:eastAsia="宋体" w:cs="宋体"/>
          <w:sz w:val="24"/>
          <w:szCs w:val="24"/>
          <w:highlight w:val="none"/>
        </w:rPr>
      </w:pPr>
      <w:r>
        <w:rPr>
          <w:rFonts w:hint="eastAsia" w:ascii="宋体" w:hAnsi="宋体" w:eastAsia="宋体" w:cs="宋体"/>
          <w:sz w:val="24"/>
          <w:szCs w:val="24"/>
          <w:highlight w:val="none"/>
        </w:rPr>
        <w:br w:type="page"/>
      </w:r>
    </w:p>
    <w:p w14:paraId="60C4F243">
      <w:pPr>
        <w:pStyle w:val="4"/>
        <w:keepNext w:val="0"/>
        <w:keepLines w:val="0"/>
        <w:pageBreakBefore w:val="0"/>
        <w:widowControl/>
        <w:kinsoku/>
        <w:wordWrap/>
        <w:overflowPunct/>
        <w:topLinePunct w:val="0"/>
        <w:autoSpaceDE/>
        <w:autoSpaceDN/>
        <w:bidi w:val="0"/>
        <w:adjustRightInd/>
        <w:snapToGrid/>
        <w:ind w:left="0" w:leftChars="0" w:firstLine="0" w:firstLineChars="0"/>
        <w:jc w:val="center"/>
        <w:textAlignment w:val="auto"/>
        <w:rPr>
          <w:rFonts w:hint="eastAsia" w:ascii="宋体" w:hAnsi="宋体" w:eastAsia="宋体" w:cs="宋体"/>
          <w:b/>
          <w:bCs/>
          <w:sz w:val="28"/>
          <w:szCs w:val="28"/>
          <w:highlight w:val="none"/>
        </w:rPr>
      </w:pPr>
      <w:r>
        <w:rPr>
          <w:rFonts w:hint="eastAsia" w:ascii="宋体" w:hAnsi="宋体" w:eastAsia="宋体" w:cs="宋体"/>
          <w:b/>
          <w:bCs/>
          <w:sz w:val="28"/>
          <w:szCs w:val="28"/>
          <w:highlight w:val="none"/>
        </w:rPr>
        <w:t>第六部分  投标方案</w:t>
      </w:r>
    </w:p>
    <w:p w14:paraId="7988B5A5">
      <w:pPr>
        <w:pStyle w:val="96"/>
        <w:spacing w:before="210" w:after="210"/>
        <w:ind w:left="0" w:leftChars="0" w:firstLine="0" w:firstLineChars="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（一）技术（服务）要求</w:t>
      </w:r>
      <w:r>
        <w:rPr>
          <w:rFonts w:hint="eastAsia" w:ascii="宋体" w:hAnsi="宋体" w:eastAsia="宋体" w:cs="宋体"/>
          <w:sz w:val="24"/>
          <w:szCs w:val="24"/>
          <w:highlight w:val="none"/>
          <w:lang w:eastAsia="zh-CN"/>
        </w:rPr>
        <w:t>偏离表</w:t>
      </w:r>
    </w:p>
    <w:tbl>
      <w:tblPr>
        <w:tblStyle w:val="28"/>
        <w:tblW w:w="4996"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673"/>
        <w:gridCol w:w="1717"/>
        <w:gridCol w:w="2520"/>
        <w:gridCol w:w="2394"/>
        <w:gridCol w:w="1257"/>
        <w:gridCol w:w="945"/>
      </w:tblGrid>
      <w:tr w14:paraId="1A3F0DB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4" w:type="pct"/>
            <w:tcBorders>
              <w:top w:val="single" w:color="auto" w:sz="12" w:space="0"/>
              <w:bottom w:val="single" w:color="auto" w:sz="2" w:space="0"/>
            </w:tcBorders>
            <w:shd w:val="clear" w:color="auto" w:fill="F1F1F1" w:themeFill="background1" w:themeFillShade="F2"/>
            <w:vAlign w:val="center"/>
          </w:tcPr>
          <w:p w14:paraId="7B262F27">
            <w:pPr>
              <w:spacing w:line="560" w:lineRule="exact"/>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序号</w:t>
            </w:r>
          </w:p>
        </w:tc>
        <w:tc>
          <w:tcPr>
            <w:tcW w:w="903" w:type="pct"/>
            <w:tcBorders>
              <w:top w:val="single" w:color="auto" w:sz="12" w:space="0"/>
              <w:bottom w:val="single" w:color="auto" w:sz="2" w:space="0"/>
            </w:tcBorders>
            <w:shd w:val="clear" w:color="auto" w:fill="F1F1F1" w:themeFill="background1" w:themeFillShade="F2"/>
            <w:vAlign w:val="center"/>
          </w:tcPr>
          <w:p w14:paraId="3101532F">
            <w:pPr>
              <w:spacing w:line="560" w:lineRule="exact"/>
              <w:jc w:val="center"/>
              <w:rPr>
                <w:rFonts w:hint="eastAsia" w:ascii="宋体" w:hAnsi="宋体" w:eastAsia="宋体" w:cs="宋体"/>
                <w:b/>
                <w:bCs/>
                <w:sz w:val="24"/>
                <w:szCs w:val="24"/>
                <w:highlight w:val="none"/>
                <w:lang w:eastAsia="zh-CN"/>
              </w:rPr>
            </w:pPr>
            <w:r>
              <w:rPr>
                <w:rFonts w:hint="eastAsia" w:ascii="宋体" w:hAnsi="宋体" w:eastAsia="宋体" w:cs="宋体"/>
                <w:b/>
                <w:bCs/>
                <w:sz w:val="24"/>
                <w:szCs w:val="24"/>
                <w:highlight w:val="none"/>
                <w:lang w:eastAsia="zh-CN"/>
              </w:rPr>
              <w:t>技术条款</w:t>
            </w:r>
          </w:p>
        </w:tc>
        <w:tc>
          <w:tcPr>
            <w:tcW w:w="1325" w:type="pct"/>
            <w:tcBorders>
              <w:top w:val="single" w:color="auto" w:sz="12" w:space="0"/>
              <w:bottom w:val="single" w:color="auto" w:sz="2" w:space="0"/>
            </w:tcBorders>
            <w:shd w:val="clear" w:color="auto" w:fill="F1F1F1" w:themeFill="background1" w:themeFillShade="F2"/>
            <w:vAlign w:val="center"/>
          </w:tcPr>
          <w:p w14:paraId="65403000">
            <w:pPr>
              <w:spacing w:line="560" w:lineRule="exact"/>
              <w:jc w:val="center"/>
              <w:rPr>
                <w:rFonts w:hint="eastAsia" w:ascii="宋体" w:hAnsi="宋体" w:eastAsia="宋体" w:cs="宋体"/>
                <w:b/>
                <w:bCs/>
                <w:sz w:val="24"/>
                <w:szCs w:val="24"/>
                <w:highlight w:val="none"/>
                <w:lang w:eastAsia="zh-CN"/>
              </w:rPr>
            </w:pPr>
            <w:r>
              <w:rPr>
                <w:rFonts w:hint="eastAsia" w:ascii="宋体" w:hAnsi="宋体" w:eastAsia="宋体" w:cs="宋体"/>
                <w:b/>
                <w:bCs/>
                <w:sz w:val="24"/>
                <w:szCs w:val="24"/>
                <w:highlight w:val="none"/>
                <w:lang w:eastAsia="zh-CN"/>
              </w:rPr>
              <w:t>招标文件技术要求</w:t>
            </w:r>
          </w:p>
        </w:tc>
        <w:tc>
          <w:tcPr>
            <w:tcW w:w="1259" w:type="pct"/>
            <w:tcBorders>
              <w:top w:val="single" w:color="auto" w:sz="12" w:space="0"/>
              <w:bottom w:val="single" w:color="auto" w:sz="2" w:space="0"/>
            </w:tcBorders>
            <w:shd w:val="clear" w:color="auto" w:fill="F1F1F1" w:themeFill="background1" w:themeFillShade="F2"/>
            <w:vAlign w:val="center"/>
          </w:tcPr>
          <w:p w14:paraId="5D735DA0">
            <w:pPr>
              <w:spacing w:line="560" w:lineRule="exact"/>
              <w:jc w:val="center"/>
              <w:rPr>
                <w:rFonts w:hint="eastAsia" w:ascii="宋体" w:hAnsi="宋体" w:eastAsia="宋体" w:cs="宋体"/>
                <w:b/>
                <w:bCs/>
                <w:sz w:val="24"/>
                <w:szCs w:val="24"/>
                <w:highlight w:val="none"/>
                <w:lang w:eastAsia="zh-CN"/>
              </w:rPr>
            </w:pPr>
            <w:r>
              <w:rPr>
                <w:rFonts w:hint="eastAsia" w:ascii="宋体" w:hAnsi="宋体" w:eastAsia="宋体" w:cs="宋体"/>
                <w:b/>
                <w:bCs/>
                <w:sz w:val="24"/>
                <w:szCs w:val="24"/>
                <w:highlight w:val="none"/>
                <w:lang w:eastAsia="zh-CN"/>
              </w:rPr>
              <w:t>投标文件技术响应</w:t>
            </w:r>
          </w:p>
        </w:tc>
        <w:tc>
          <w:tcPr>
            <w:tcW w:w="661" w:type="pct"/>
            <w:tcBorders>
              <w:top w:val="single" w:color="auto" w:sz="12" w:space="0"/>
              <w:bottom w:val="single" w:color="auto" w:sz="2" w:space="0"/>
            </w:tcBorders>
            <w:shd w:val="clear" w:color="auto" w:fill="F1F1F1" w:themeFill="background1" w:themeFillShade="F2"/>
            <w:vAlign w:val="center"/>
          </w:tcPr>
          <w:p w14:paraId="6506BC9F">
            <w:pPr>
              <w:spacing w:line="560" w:lineRule="exact"/>
              <w:jc w:val="center"/>
              <w:rPr>
                <w:rFonts w:hint="eastAsia" w:ascii="宋体" w:hAnsi="宋体" w:eastAsia="宋体" w:cs="宋体"/>
                <w:b/>
                <w:bCs/>
                <w:sz w:val="24"/>
                <w:szCs w:val="24"/>
                <w:highlight w:val="none"/>
                <w:lang w:eastAsia="zh-CN"/>
              </w:rPr>
            </w:pPr>
            <w:r>
              <w:rPr>
                <w:rFonts w:hint="eastAsia" w:ascii="宋体" w:hAnsi="宋体" w:eastAsia="宋体" w:cs="宋体"/>
                <w:b/>
                <w:bCs/>
                <w:sz w:val="24"/>
                <w:szCs w:val="24"/>
                <w:highlight w:val="none"/>
                <w:lang w:eastAsia="zh-CN"/>
              </w:rPr>
              <w:t>响应说明</w:t>
            </w:r>
          </w:p>
        </w:tc>
        <w:tc>
          <w:tcPr>
            <w:tcW w:w="495" w:type="pct"/>
            <w:tcBorders>
              <w:top w:val="single" w:color="auto" w:sz="12" w:space="0"/>
              <w:bottom w:val="single" w:color="auto" w:sz="2" w:space="0"/>
            </w:tcBorders>
            <w:shd w:val="clear" w:color="auto" w:fill="F1F1F1" w:themeFill="background1" w:themeFillShade="F2"/>
            <w:vAlign w:val="center"/>
          </w:tcPr>
          <w:p w14:paraId="38DBC1E3">
            <w:pPr>
              <w:spacing w:line="560" w:lineRule="exact"/>
              <w:jc w:val="center"/>
              <w:rPr>
                <w:rFonts w:hint="eastAsia" w:ascii="宋体" w:hAnsi="宋体" w:eastAsia="宋体" w:cs="宋体"/>
                <w:b/>
                <w:bCs/>
                <w:sz w:val="24"/>
                <w:szCs w:val="24"/>
                <w:highlight w:val="none"/>
                <w:lang w:eastAsia="zh-CN"/>
              </w:rPr>
            </w:pPr>
            <w:r>
              <w:rPr>
                <w:rFonts w:hint="eastAsia" w:ascii="宋体" w:hAnsi="宋体" w:eastAsia="宋体" w:cs="宋体"/>
                <w:b/>
                <w:bCs/>
                <w:sz w:val="24"/>
                <w:szCs w:val="24"/>
                <w:highlight w:val="none"/>
                <w:lang w:eastAsia="zh-CN"/>
              </w:rPr>
              <w:t>偏离</w:t>
            </w:r>
          </w:p>
        </w:tc>
      </w:tr>
      <w:tr w14:paraId="237BA56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4" w:type="pct"/>
            <w:tcBorders>
              <w:top w:val="single" w:color="auto" w:sz="2" w:space="0"/>
            </w:tcBorders>
            <w:vAlign w:val="center"/>
          </w:tcPr>
          <w:p w14:paraId="489CB149">
            <w:pPr>
              <w:spacing w:line="560" w:lineRule="exact"/>
              <w:jc w:val="center"/>
              <w:rPr>
                <w:rFonts w:hint="eastAsia" w:ascii="宋体" w:hAnsi="宋体" w:eastAsia="宋体" w:cs="宋体"/>
                <w:sz w:val="24"/>
                <w:szCs w:val="24"/>
                <w:highlight w:val="none"/>
              </w:rPr>
            </w:pPr>
          </w:p>
        </w:tc>
        <w:tc>
          <w:tcPr>
            <w:tcW w:w="903" w:type="pct"/>
            <w:tcBorders>
              <w:top w:val="single" w:color="auto" w:sz="2" w:space="0"/>
            </w:tcBorders>
            <w:vAlign w:val="center"/>
          </w:tcPr>
          <w:p w14:paraId="5CFEB039">
            <w:pPr>
              <w:spacing w:line="560" w:lineRule="exact"/>
              <w:jc w:val="center"/>
              <w:rPr>
                <w:rFonts w:hint="eastAsia" w:ascii="宋体" w:hAnsi="宋体" w:eastAsia="宋体" w:cs="宋体"/>
                <w:sz w:val="24"/>
                <w:szCs w:val="24"/>
                <w:highlight w:val="none"/>
              </w:rPr>
            </w:pPr>
          </w:p>
        </w:tc>
        <w:tc>
          <w:tcPr>
            <w:tcW w:w="1325" w:type="pct"/>
            <w:tcBorders>
              <w:top w:val="single" w:color="auto" w:sz="2" w:space="0"/>
            </w:tcBorders>
            <w:vAlign w:val="center"/>
          </w:tcPr>
          <w:p w14:paraId="52BCF304">
            <w:pPr>
              <w:spacing w:line="560" w:lineRule="exact"/>
              <w:jc w:val="center"/>
              <w:rPr>
                <w:rFonts w:hint="eastAsia" w:ascii="宋体" w:hAnsi="宋体" w:eastAsia="宋体" w:cs="宋体"/>
                <w:sz w:val="24"/>
                <w:szCs w:val="24"/>
                <w:highlight w:val="none"/>
              </w:rPr>
            </w:pPr>
          </w:p>
        </w:tc>
        <w:tc>
          <w:tcPr>
            <w:tcW w:w="1259" w:type="pct"/>
            <w:tcBorders>
              <w:top w:val="single" w:color="auto" w:sz="2" w:space="0"/>
            </w:tcBorders>
            <w:vAlign w:val="center"/>
          </w:tcPr>
          <w:p w14:paraId="746D6B0F">
            <w:pPr>
              <w:spacing w:line="560" w:lineRule="exact"/>
              <w:jc w:val="center"/>
              <w:rPr>
                <w:rFonts w:hint="eastAsia" w:ascii="宋体" w:hAnsi="宋体" w:eastAsia="宋体" w:cs="宋体"/>
                <w:sz w:val="24"/>
                <w:szCs w:val="24"/>
                <w:highlight w:val="none"/>
              </w:rPr>
            </w:pPr>
          </w:p>
        </w:tc>
        <w:tc>
          <w:tcPr>
            <w:tcW w:w="661" w:type="pct"/>
            <w:tcBorders>
              <w:top w:val="single" w:color="auto" w:sz="2" w:space="0"/>
            </w:tcBorders>
            <w:vAlign w:val="center"/>
          </w:tcPr>
          <w:p w14:paraId="4AFCAEC6">
            <w:pPr>
              <w:spacing w:line="560" w:lineRule="exact"/>
              <w:jc w:val="center"/>
              <w:rPr>
                <w:rFonts w:hint="eastAsia" w:ascii="宋体" w:hAnsi="宋体" w:eastAsia="宋体" w:cs="宋体"/>
                <w:sz w:val="24"/>
                <w:szCs w:val="24"/>
                <w:highlight w:val="none"/>
              </w:rPr>
            </w:pPr>
          </w:p>
        </w:tc>
        <w:tc>
          <w:tcPr>
            <w:tcW w:w="495" w:type="pct"/>
            <w:tcBorders>
              <w:top w:val="single" w:color="auto" w:sz="2" w:space="0"/>
            </w:tcBorders>
            <w:vAlign w:val="center"/>
          </w:tcPr>
          <w:p w14:paraId="0B4EB495">
            <w:pPr>
              <w:spacing w:line="560" w:lineRule="exact"/>
              <w:jc w:val="center"/>
              <w:rPr>
                <w:rFonts w:hint="eastAsia" w:ascii="宋体" w:hAnsi="宋体" w:eastAsia="宋体" w:cs="宋体"/>
                <w:sz w:val="24"/>
                <w:szCs w:val="24"/>
                <w:highlight w:val="none"/>
              </w:rPr>
            </w:pPr>
          </w:p>
        </w:tc>
      </w:tr>
      <w:tr w14:paraId="677AF99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4" w:type="pct"/>
            <w:vAlign w:val="center"/>
          </w:tcPr>
          <w:p w14:paraId="49074F8D">
            <w:pPr>
              <w:spacing w:line="560" w:lineRule="exact"/>
              <w:jc w:val="center"/>
              <w:rPr>
                <w:rFonts w:hint="eastAsia" w:ascii="宋体" w:hAnsi="宋体" w:eastAsia="宋体" w:cs="宋体"/>
                <w:sz w:val="24"/>
                <w:szCs w:val="24"/>
                <w:highlight w:val="none"/>
              </w:rPr>
            </w:pPr>
          </w:p>
        </w:tc>
        <w:tc>
          <w:tcPr>
            <w:tcW w:w="903" w:type="pct"/>
            <w:vAlign w:val="center"/>
          </w:tcPr>
          <w:p w14:paraId="7C81D377">
            <w:pPr>
              <w:spacing w:line="560" w:lineRule="exact"/>
              <w:jc w:val="center"/>
              <w:rPr>
                <w:rFonts w:hint="eastAsia" w:ascii="宋体" w:hAnsi="宋体" w:eastAsia="宋体" w:cs="宋体"/>
                <w:sz w:val="24"/>
                <w:szCs w:val="24"/>
                <w:highlight w:val="none"/>
              </w:rPr>
            </w:pPr>
          </w:p>
        </w:tc>
        <w:tc>
          <w:tcPr>
            <w:tcW w:w="1325" w:type="pct"/>
            <w:vAlign w:val="center"/>
          </w:tcPr>
          <w:p w14:paraId="4A3664F8">
            <w:pPr>
              <w:spacing w:line="560" w:lineRule="exact"/>
              <w:jc w:val="center"/>
              <w:rPr>
                <w:rFonts w:hint="eastAsia" w:ascii="宋体" w:hAnsi="宋体" w:eastAsia="宋体" w:cs="宋体"/>
                <w:sz w:val="24"/>
                <w:szCs w:val="24"/>
                <w:highlight w:val="none"/>
              </w:rPr>
            </w:pPr>
          </w:p>
        </w:tc>
        <w:tc>
          <w:tcPr>
            <w:tcW w:w="1259" w:type="pct"/>
            <w:vAlign w:val="center"/>
          </w:tcPr>
          <w:p w14:paraId="01463B67">
            <w:pPr>
              <w:spacing w:line="560" w:lineRule="exact"/>
              <w:jc w:val="center"/>
              <w:rPr>
                <w:rFonts w:hint="eastAsia" w:ascii="宋体" w:hAnsi="宋体" w:eastAsia="宋体" w:cs="宋体"/>
                <w:sz w:val="24"/>
                <w:szCs w:val="24"/>
                <w:highlight w:val="none"/>
              </w:rPr>
            </w:pPr>
          </w:p>
        </w:tc>
        <w:tc>
          <w:tcPr>
            <w:tcW w:w="661" w:type="pct"/>
            <w:vAlign w:val="center"/>
          </w:tcPr>
          <w:p w14:paraId="1AE8B617">
            <w:pPr>
              <w:spacing w:line="560" w:lineRule="exact"/>
              <w:jc w:val="center"/>
              <w:rPr>
                <w:rFonts w:hint="eastAsia" w:ascii="宋体" w:hAnsi="宋体" w:eastAsia="宋体" w:cs="宋体"/>
                <w:sz w:val="24"/>
                <w:szCs w:val="24"/>
                <w:highlight w:val="none"/>
              </w:rPr>
            </w:pPr>
          </w:p>
        </w:tc>
        <w:tc>
          <w:tcPr>
            <w:tcW w:w="495" w:type="pct"/>
            <w:vAlign w:val="center"/>
          </w:tcPr>
          <w:p w14:paraId="088B489F">
            <w:pPr>
              <w:spacing w:line="560" w:lineRule="exact"/>
              <w:jc w:val="center"/>
              <w:rPr>
                <w:rFonts w:hint="eastAsia" w:ascii="宋体" w:hAnsi="宋体" w:eastAsia="宋体" w:cs="宋体"/>
                <w:sz w:val="24"/>
                <w:szCs w:val="24"/>
                <w:highlight w:val="none"/>
              </w:rPr>
            </w:pPr>
          </w:p>
        </w:tc>
      </w:tr>
      <w:tr w14:paraId="0A2054E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4" w:type="pct"/>
            <w:vAlign w:val="center"/>
          </w:tcPr>
          <w:p w14:paraId="3CD43D44">
            <w:pPr>
              <w:spacing w:line="560" w:lineRule="exact"/>
              <w:jc w:val="center"/>
              <w:rPr>
                <w:rFonts w:hint="eastAsia" w:ascii="宋体" w:hAnsi="宋体" w:eastAsia="宋体" w:cs="宋体"/>
                <w:sz w:val="24"/>
                <w:szCs w:val="24"/>
                <w:highlight w:val="none"/>
              </w:rPr>
            </w:pPr>
          </w:p>
        </w:tc>
        <w:tc>
          <w:tcPr>
            <w:tcW w:w="903" w:type="pct"/>
            <w:vAlign w:val="center"/>
          </w:tcPr>
          <w:p w14:paraId="3C9A894C">
            <w:pPr>
              <w:spacing w:line="560" w:lineRule="exact"/>
              <w:jc w:val="center"/>
              <w:rPr>
                <w:rFonts w:hint="eastAsia" w:ascii="宋体" w:hAnsi="宋体" w:eastAsia="宋体" w:cs="宋体"/>
                <w:sz w:val="24"/>
                <w:szCs w:val="24"/>
                <w:highlight w:val="none"/>
              </w:rPr>
            </w:pPr>
          </w:p>
        </w:tc>
        <w:tc>
          <w:tcPr>
            <w:tcW w:w="1325" w:type="pct"/>
            <w:vAlign w:val="center"/>
          </w:tcPr>
          <w:p w14:paraId="1F2B6A71">
            <w:pPr>
              <w:spacing w:line="560" w:lineRule="exact"/>
              <w:jc w:val="center"/>
              <w:rPr>
                <w:rFonts w:hint="eastAsia" w:ascii="宋体" w:hAnsi="宋体" w:eastAsia="宋体" w:cs="宋体"/>
                <w:sz w:val="24"/>
                <w:szCs w:val="24"/>
                <w:highlight w:val="none"/>
              </w:rPr>
            </w:pPr>
          </w:p>
        </w:tc>
        <w:tc>
          <w:tcPr>
            <w:tcW w:w="1259" w:type="pct"/>
            <w:vAlign w:val="center"/>
          </w:tcPr>
          <w:p w14:paraId="216F5B85">
            <w:pPr>
              <w:spacing w:line="560" w:lineRule="exact"/>
              <w:jc w:val="center"/>
              <w:rPr>
                <w:rFonts w:hint="eastAsia" w:ascii="宋体" w:hAnsi="宋体" w:eastAsia="宋体" w:cs="宋体"/>
                <w:sz w:val="24"/>
                <w:szCs w:val="24"/>
                <w:highlight w:val="none"/>
              </w:rPr>
            </w:pPr>
          </w:p>
        </w:tc>
        <w:tc>
          <w:tcPr>
            <w:tcW w:w="661" w:type="pct"/>
            <w:vAlign w:val="center"/>
          </w:tcPr>
          <w:p w14:paraId="05567623">
            <w:pPr>
              <w:spacing w:line="560" w:lineRule="exact"/>
              <w:jc w:val="center"/>
              <w:rPr>
                <w:rFonts w:hint="eastAsia" w:ascii="宋体" w:hAnsi="宋体" w:eastAsia="宋体" w:cs="宋体"/>
                <w:sz w:val="24"/>
                <w:szCs w:val="24"/>
                <w:highlight w:val="none"/>
              </w:rPr>
            </w:pPr>
          </w:p>
        </w:tc>
        <w:tc>
          <w:tcPr>
            <w:tcW w:w="495" w:type="pct"/>
            <w:vAlign w:val="center"/>
          </w:tcPr>
          <w:p w14:paraId="0D3E0F0F">
            <w:pPr>
              <w:spacing w:line="560" w:lineRule="exact"/>
              <w:jc w:val="center"/>
              <w:rPr>
                <w:rFonts w:hint="eastAsia" w:ascii="宋体" w:hAnsi="宋体" w:eastAsia="宋体" w:cs="宋体"/>
                <w:sz w:val="24"/>
                <w:szCs w:val="24"/>
                <w:highlight w:val="none"/>
              </w:rPr>
            </w:pPr>
          </w:p>
        </w:tc>
      </w:tr>
      <w:tr w14:paraId="357B9DF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4" w:type="pct"/>
            <w:vAlign w:val="center"/>
          </w:tcPr>
          <w:p w14:paraId="1552491C">
            <w:pPr>
              <w:spacing w:line="560" w:lineRule="exact"/>
              <w:jc w:val="center"/>
              <w:rPr>
                <w:rFonts w:hint="eastAsia" w:ascii="宋体" w:hAnsi="宋体" w:eastAsia="宋体" w:cs="宋体"/>
                <w:sz w:val="24"/>
                <w:szCs w:val="24"/>
                <w:highlight w:val="none"/>
              </w:rPr>
            </w:pPr>
          </w:p>
        </w:tc>
        <w:tc>
          <w:tcPr>
            <w:tcW w:w="903" w:type="pct"/>
            <w:vAlign w:val="center"/>
          </w:tcPr>
          <w:p w14:paraId="130E31D2">
            <w:pPr>
              <w:spacing w:line="560" w:lineRule="exact"/>
              <w:jc w:val="center"/>
              <w:rPr>
                <w:rFonts w:hint="eastAsia" w:ascii="宋体" w:hAnsi="宋体" w:eastAsia="宋体" w:cs="宋体"/>
                <w:sz w:val="24"/>
                <w:szCs w:val="24"/>
                <w:highlight w:val="none"/>
              </w:rPr>
            </w:pPr>
          </w:p>
        </w:tc>
        <w:tc>
          <w:tcPr>
            <w:tcW w:w="1325" w:type="pct"/>
            <w:vAlign w:val="center"/>
          </w:tcPr>
          <w:p w14:paraId="7B13B88B">
            <w:pPr>
              <w:spacing w:line="560" w:lineRule="exact"/>
              <w:jc w:val="center"/>
              <w:rPr>
                <w:rFonts w:hint="eastAsia" w:ascii="宋体" w:hAnsi="宋体" w:eastAsia="宋体" w:cs="宋体"/>
                <w:sz w:val="24"/>
                <w:szCs w:val="24"/>
                <w:highlight w:val="none"/>
              </w:rPr>
            </w:pPr>
          </w:p>
        </w:tc>
        <w:tc>
          <w:tcPr>
            <w:tcW w:w="1259" w:type="pct"/>
            <w:vAlign w:val="center"/>
          </w:tcPr>
          <w:p w14:paraId="451A0883">
            <w:pPr>
              <w:spacing w:line="560" w:lineRule="exact"/>
              <w:jc w:val="center"/>
              <w:rPr>
                <w:rFonts w:hint="eastAsia" w:ascii="宋体" w:hAnsi="宋体" w:eastAsia="宋体" w:cs="宋体"/>
                <w:sz w:val="24"/>
                <w:szCs w:val="24"/>
                <w:highlight w:val="none"/>
              </w:rPr>
            </w:pPr>
          </w:p>
        </w:tc>
        <w:tc>
          <w:tcPr>
            <w:tcW w:w="661" w:type="pct"/>
            <w:vAlign w:val="center"/>
          </w:tcPr>
          <w:p w14:paraId="097F3794">
            <w:pPr>
              <w:spacing w:line="560" w:lineRule="exact"/>
              <w:jc w:val="center"/>
              <w:rPr>
                <w:rFonts w:hint="eastAsia" w:ascii="宋体" w:hAnsi="宋体" w:eastAsia="宋体" w:cs="宋体"/>
                <w:sz w:val="24"/>
                <w:szCs w:val="24"/>
                <w:highlight w:val="none"/>
              </w:rPr>
            </w:pPr>
          </w:p>
        </w:tc>
        <w:tc>
          <w:tcPr>
            <w:tcW w:w="495" w:type="pct"/>
            <w:vAlign w:val="center"/>
          </w:tcPr>
          <w:p w14:paraId="41245A8D">
            <w:pPr>
              <w:spacing w:line="560" w:lineRule="exact"/>
              <w:jc w:val="center"/>
              <w:rPr>
                <w:rFonts w:hint="eastAsia" w:ascii="宋体" w:hAnsi="宋体" w:eastAsia="宋体" w:cs="宋体"/>
                <w:sz w:val="24"/>
                <w:szCs w:val="24"/>
                <w:highlight w:val="none"/>
              </w:rPr>
            </w:pPr>
          </w:p>
        </w:tc>
      </w:tr>
      <w:tr w14:paraId="0600805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4" w:type="pct"/>
            <w:vAlign w:val="center"/>
          </w:tcPr>
          <w:p w14:paraId="351E0587">
            <w:pPr>
              <w:spacing w:line="560" w:lineRule="exact"/>
              <w:jc w:val="center"/>
              <w:rPr>
                <w:rFonts w:hint="eastAsia" w:ascii="宋体" w:hAnsi="宋体" w:eastAsia="宋体" w:cs="宋体"/>
                <w:sz w:val="24"/>
                <w:szCs w:val="24"/>
                <w:highlight w:val="none"/>
              </w:rPr>
            </w:pPr>
          </w:p>
        </w:tc>
        <w:tc>
          <w:tcPr>
            <w:tcW w:w="903" w:type="pct"/>
            <w:vAlign w:val="center"/>
          </w:tcPr>
          <w:p w14:paraId="07822F28">
            <w:pPr>
              <w:spacing w:line="560" w:lineRule="exact"/>
              <w:jc w:val="center"/>
              <w:rPr>
                <w:rFonts w:hint="eastAsia" w:ascii="宋体" w:hAnsi="宋体" w:eastAsia="宋体" w:cs="宋体"/>
                <w:sz w:val="24"/>
                <w:szCs w:val="24"/>
                <w:highlight w:val="none"/>
              </w:rPr>
            </w:pPr>
          </w:p>
        </w:tc>
        <w:tc>
          <w:tcPr>
            <w:tcW w:w="1325" w:type="pct"/>
            <w:vAlign w:val="center"/>
          </w:tcPr>
          <w:p w14:paraId="1D49BB7C">
            <w:pPr>
              <w:spacing w:line="560" w:lineRule="exact"/>
              <w:jc w:val="center"/>
              <w:rPr>
                <w:rFonts w:hint="eastAsia" w:ascii="宋体" w:hAnsi="宋体" w:eastAsia="宋体" w:cs="宋体"/>
                <w:sz w:val="24"/>
                <w:szCs w:val="24"/>
                <w:highlight w:val="none"/>
              </w:rPr>
            </w:pPr>
          </w:p>
        </w:tc>
        <w:tc>
          <w:tcPr>
            <w:tcW w:w="1259" w:type="pct"/>
            <w:vAlign w:val="center"/>
          </w:tcPr>
          <w:p w14:paraId="158679E9">
            <w:pPr>
              <w:spacing w:line="560" w:lineRule="exact"/>
              <w:jc w:val="center"/>
              <w:rPr>
                <w:rFonts w:hint="eastAsia" w:ascii="宋体" w:hAnsi="宋体" w:eastAsia="宋体" w:cs="宋体"/>
                <w:sz w:val="24"/>
                <w:szCs w:val="24"/>
                <w:highlight w:val="none"/>
              </w:rPr>
            </w:pPr>
          </w:p>
        </w:tc>
        <w:tc>
          <w:tcPr>
            <w:tcW w:w="661" w:type="pct"/>
            <w:vAlign w:val="center"/>
          </w:tcPr>
          <w:p w14:paraId="6A0318E4">
            <w:pPr>
              <w:spacing w:line="560" w:lineRule="exact"/>
              <w:jc w:val="center"/>
              <w:rPr>
                <w:rFonts w:hint="eastAsia" w:ascii="宋体" w:hAnsi="宋体" w:eastAsia="宋体" w:cs="宋体"/>
                <w:sz w:val="24"/>
                <w:szCs w:val="24"/>
                <w:highlight w:val="none"/>
              </w:rPr>
            </w:pPr>
          </w:p>
        </w:tc>
        <w:tc>
          <w:tcPr>
            <w:tcW w:w="495" w:type="pct"/>
            <w:vAlign w:val="center"/>
          </w:tcPr>
          <w:p w14:paraId="03306B47">
            <w:pPr>
              <w:spacing w:line="560" w:lineRule="exact"/>
              <w:jc w:val="center"/>
              <w:rPr>
                <w:rFonts w:hint="eastAsia" w:ascii="宋体" w:hAnsi="宋体" w:eastAsia="宋体" w:cs="宋体"/>
                <w:sz w:val="24"/>
                <w:szCs w:val="24"/>
                <w:highlight w:val="none"/>
              </w:rPr>
            </w:pPr>
          </w:p>
        </w:tc>
      </w:tr>
      <w:tr w14:paraId="50D11AB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4" w:type="pct"/>
            <w:vAlign w:val="center"/>
          </w:tcPr>
          <w:p w14:paraId="4B771993">
            <w:pPr>
              <w:spacing w:line="560" w:lineRule="exact"/>
              <w:jc w:val="center"/>
              <w:rPr>
                <w:rFonts w:hint="eastAsia" w:ascii="宋体" w:hAnsi="宋体" w:eastAsia="宋体" w:cs="宋体"/>
                <w:sz w:val="24"/>
                <w:szCs w:val="24"/>
                <w:highlight w:val="none"/>
              </w:rPr>
            </w:pPr>
          </w:p>
        </w:tc>
        <w:tc>
          <w:tcPr>
            <w:tcW w:w="903" w:type="pct"/>
            <w:vAlign w:val="center"/>
          </w:tcPr>
          <w:p w14:paraId="363B5ADF">
            <w:pPr>
              <w:spacing w:line="560" w:lineRule="exact"/>
              <w:jc w:val="center"/>
              <w:rPr>
                <w:rFonts w:hint="eastAsia" w:ascii="宋体" w:hAnsi="宋体" w:eastAsia="宋体" w:cs="宋体"/>
                <w:sz w:val="24"/>
                <w:szCs w:val="24"/>
                <w:highlight w:val="none"/>
              </w:rPr>
            </w:pPr>
          </w:p>
        </w:tc>
        <w:tc>
          <w:tcPr>
            <w:tcW w:w="1325" w:type="pct"/>
            <w:vAlign w:val="center"/>
          </w:tcPr>
          <w:p w14:paraId="13915E28">
            <w:pPr>
              <w:spacing w:line="560" w:lineRule="exact"/>
              <w:jc w:val="center"/>
              <w:rPr>
                <w:rFonts w:hint="eastAsia" w:ascii="宋体" w:hAnsi="宋体" w:eastAsia="宋体" w:cs="宋体"/>
                <w:sz w:val="24"/>
                <w:szCs w:val="24"/>
                <w:highlight w:val="none"/>
              </w:rPr>
            </w:pPr>
          </w:p>
        </w:tc>
        <w:tc>
          <w:tcPr>
            <w:tcW w:w="1259" w:type="pct"/>
            <w:vAlign w:val="center"/>
          </w:tcPr>
          <w:p w14:paraId="3E7D0E16">
            <w:pPr>
              <w:spacing w:line="560" w:lineRule="exact"/>
              <w:jc w:val="center"/>
              <w:rPr>
                <w:rFonts w:hint="eastAsia" w:ascii="宋体" w:hAnsi="宋体" w:eastAsia="宋体" w:cs="宋体"/>
                <w:sz w:val="24"/>
                <w:szCs w:val="24"/>
                <w:highlight w:val="none"/>
              </w:rPr>
            </w:pPr>
          </w:p>
        </w:tc>
        <w:tc>
          <w:tcPr>
            <w:tcW w:w="661" w:type="pct"/>
            <w:vAlign w:val="center"/>
          </w:tcPr>
          <w:p w14:paraId="5E437BF2">
            <w:pPr>
              <w:spacing w:line="560" w:lineRule="exact"/>
              <w:jc w:val="center"/>
              <w:rPr>
                <w:rFonts w:hint="eastAsia" w:ascii="宋体" w:hAnsi="宋体" w:eastAsia="宋体" w:cs="宋体"/>
                <w:sz w:val="24"/>
                <w:szCs w:val="24"/>
                <w:highlight w:val="none"/>
              </w:rPr>
            </w:pPr>
          </w:p>
        </w:tc>
        <w:tc>
          <w:tcPr>
            <w:tcW w:w="495" w:type="pct"/>
            <w:vAlign w:val="center"/>
          </w:tcPr>
          <w:p w14:paraId="413F4149">
            <w:pPr>
              <w:spacing w:line="560" w:lineRule="exact"/>
              <w:jc w:val="center"/>
              <w:rPr>
                <w:rFonts w:hint="eastAsia" w:ascii="宋体" w:hAnsi="宋体" w:eastAsia="宋体" w:cs="宋体"/>
                <w:sz w:val="24"/>
                <w:szCs w:val="24"/>
                <w:highlight w:val="none"/>
              </w:rPr>
            </w:pPr>
          </w:p>
        </w:tc>
      </w:tr>
      <w:tr w14:paraId="4991A92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4" w:type="pct"/>
            <w:vAlign w:val="center"/>
          </w:tcPr>
          <w:p w14:paraId="7E184DCE">
            <w:pPr>
              <w:spacing w:line="56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备注</w:t>
            </w:r>
          </w:p>
        </w:tc>
        <w:tc>
          <w:tcPr>
            <w:tcW w:w="4645" w:type="pct"/>
            <w:gridSpan w:val="5"/>
            <w:vAlign w:val="center"/>
          </w:tcPr>
          <w:p w14:paraId="100AFEC5">
            <w:pPr>
              <w:spacing w:line="560" w:lineRule="exact"/>
              <w:jc w:val="both"/>
              <w:rPr>
                <w:rFonts w:hint="eastAsia" w:ascii="宋体" w:hAnsi="宋体" w:eastAsia="宋体" w:cs="宋体"/>
                <w:color w:val="FF0000"/>
                <w:sz w:val="24"/>
                <w:szCs w:val="24"/>
                <w:highlight w:val="none"/>
              </w:rPr>
            </w:pPr>
            <w:r>
              <w:rPr>
                <w:rFonts w:hint="eastAsia" w:ascii="宋体" w:hAnsi="宋体" w:eastAsia="宋体" w:cs="宋体"/>
                <w:sz w:val="24"/>
                <w:szCs w:val="24"/>
                <w:highlight w:val="none"/>
              </w:rPr>
              <w:t>1．</w:t>
            </w:r>
            <w:r>
              <w:rPr>
                <w:rFonts w:hint="eastAsia" w:ascii="宋体" w:hAnsi="宋体" w:eastAsia="宋体" w:cs="宋体"/>
                <w:color w:val="auto"/>
                <w:sz w:val="24"/>
                <w:szCs w:val="24"/>
                <w:highlight w:val="none"/>
              </w:rPr>
              <w:t>对第三章</w:t>
            </w:r>
            <w:r>
              <w:rPr>
                <w:rFonts w:hint="eastAsia" w:ascii="宋体" w:hAnsi="宋体" w:eastAsia="宋体" w:cs="宋体"/>
                <w:color w:val="auto"/>
                <w:sz w:val="24"/>
                <w:szCs w:val="24"/>
                <w:highlight w:val="none"/>
                <w:lang w:eastAsia="zh-CN"/>
              </w:rPr>
              <w:t>招标内容及</w:t>
            </w:r>
            <w:r>
              <w:rPr>
                <w:rFonts w:hint="eastAsia" w:ascii="宋体" w:hAnsi="宋体" w:eastAsia="宋体" w:cs="宋体"/>
                <w:color w:val="auto"/>
                <w:sz w:val="24"/>
                <w:szCs w:val="24"/>
                <w:highlight w:val="none"/>
              </w:rPr>
              <w:t>要求做出响应。</w:t>
            </w:r>
          </w:p>
          <w:p w14:paraId="5F416802">
            <w:pPr>
              <w:spacing w:line="560" w:lineRule="exact"/>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2．响应说明按实际响应情况填写“优于”、“响应”、“不响应”。</w:t>
            </w:r>
          </w:p>
        </w:tc>
      </w:tr>
    </w:tbl>
    <w:p w14:paraId="374E3FC8">
      <w:pPr>
        <w:spacing w:line="560" w:lineRule="exact"/>
        <w:ind w:firstLine="480" w:firstLineChars="200"/>
        <w:jc w:val="both"/>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注：</w:t>
      </w:r>
      <w:r>
        <w:rPr>
          <w:rFonts w:hint="eastAsia" w:ascii="宋体" w:hAnsi="宋体" w:eastAsia="宋体" w:cs="宋体"/>
          <w:color w:val="000000" w:themeColor="text1"/>
          <w:sz w:val="24"/>
          <w:szCs w:val="24"/>
          <w:highlight w:val="none"/>
          <w:lang w:val="en-US" w:eastAsia="zh-CN"/>
          <w14:textFill>
            <w14:solidFill>
              <w14:schemeClr w14:val="tx1"/>
            </w14:solidFill>
          </w14:textFill>
        </w:rPr>
        <w:t>投标人可根据项目情况自行增加内容项完善表格，表格不够用，可按此表复制。技术要求偏离表应逐条响应，如有漏项、完全复制招标文件所要求的性能指标等将视为没有实质性响应招标文件。</w:t>
      </w:r>
    </w:p>
    <w:p w14:paraId="48BE2D29">
      <w:pPr>
        <w:spacing w:line="560" w:lineRule="exact"/>
        <w:ind w:firstLine="2656" w:firstLineChars="1107"/>
        <w:jc w:val="right"/>
        <w:rPr>
          <w:rFonts w:hint="eastAsia" w:ascii="宋体" w:hAnsi="宋体" w:eastAsia="宋体" w:cs="宋体"/>
          <w:sz w:val="24"/>
          <w:szCs w:val="24"/>
          <w:highlight w:val="none"/>
        </w:rPr>
      </w:pPr>
      <w:r>
        <w:rPr>
          <w:rFonts w:hint="eastAsia" w:ascii="宋体" w:hAnsi="宋体" w:eastAsia="宋体" w:cs="宋体"/>
          <w:sz w:val="24"/>
          <w:szCs w:val="24"/>
          <w:highlight w:val="none"/>
        </w:rPr>
        <w:t>供应商：（供应商全称并加盖公章）</w:t>
      </w:r>
    </w:p>
    <w:p w14:paraId="6A960307">
      <w:pPr>
        <w:spacing w:line="560" w:lineRule="exact"/>
        <w:ind w:firstLine="2656" w:firstLineChars="1107"/>
        <w:jc w:val="right"/>
        <w:rPr>
          <w:rFonts w:hint="eastAsia" w:ascii="宋体" w:hAnsi="宋体" w:eastAsia="宋体" w:cs="宋体"/>
          <w:sz w:val="24"/>
          <w:szCs w:val="24"/>
          <w:highlight w:val="none"/>
        </w:rPr>
      </w:pPr>
      <w:r>
        <w:rPr>
          <w:rFonts w:hint="eastAsia" w:ascii="宋体" w:hAnsi="宋体" w:eastAsia="宋体" w:cs="宋体"/>
          <w:sz w:val="24"/>
          <w:szCs w:val="24"/>
          <w:highlight w:val="none"/>
        </w:rPr>
        <w:t>日  期：    年  月  日</w:t>
      </w:r>
    </w:p>
    <w:p w14:paraId="3987B507">
      <w:pPr>
        <w:spacing w:line="560" w:lineRule="exact"/>
        <w:ind w:firstLine="480" w:firstLineChars="200"/>
        <w:jc w:val="both"/>
        <w:rPr>
          <w:rFonts w:hint="eastAsia" w:ascii="宋体" w:hAnsi="宋体" w:eastAsia="宋体" w:cs="宋体"/>
          <w:b/>
          <w:bCs/>
          <w:color w:val="auto"/>
          <w:sz w:val="24"/>
          <w:szCs w:val="24"/>
          <w:highlight w:val="none"/>
        </w:rPr>
      </w:pPr>
      <w:r>
        <w:rPr>
          <w:rFonts w:hint="eastAsia" w:ascii="宋体" w:hAnsi="宋体" w:eastAsia="宋体" w:cs="宋体"/>
          <w:b/>
          <w:bCs/>
          <w:sz w:val="24"/>
          <w:szCs w:val="24"/>
          <w:highlight w:val="none"/>
        </w:rPr>
        <w:t>附</w:t>
      </w:r>
      <w:r>
        <w:rPr>
          <w:rFonts w:hint="eastAsia" w:ascii="宋体" w:hAnsi="宋体" w:eastAsia="宋体" w:cs="宋体"/>
          <w:b/>
          <w:bCs/>
          <w:color w:val="auto"/>
          <w:sz w:val="24"/>
          <w:szCs w:val="24"/>
          <w:highlight w:val="none"/>
        </w:rPr>
        <w:t>：技术（服务）响应方案</w:t>
      </w:r>
    </w:p>
    <w:p w14:paraId="057054DB">
      <w:pPr>
        <w:spacing w:line="560" w:lineRule="exact"/>
        <w:ind w:firstLine="480" w:firstLineChars="200"/>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eastAsia="zh-CN"/>
        </w:rPr>
        <w:t>根据本项目“第二章</w:t>
      </w:r>
      <w:r>
        <w:rPr>
          <w:rFonts w:hint="eastAsia" w:ascii="宋体" w:hAnsi="宋体" w:eastAsia="宋体" w:cs="宋体"/>
          <w:color w:val="auto"/>
          <w:sz w:val="24"/>
          <w:szCs w:val="24"/>
          <w:highlight w:val="none"/>
          <w:lang w:val="en-US" w:eastAsia="zh-CN"/>
        </w:rPr>
        <w:t xml:space="preserve"> 供应商须知”中的〖评审要素及分值一览表〗提供。</w:t>
      </w:r>
    </w:p>
    <w:p w14:paraId="12403F80">
      <w:pPr>
        <w:spacing w:line="560" w:lineRule="exact"/>
        <w:ind w:firstLine="480" w:firstLineChars="200"/>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1.技术响应</w:t>
      </w:r>
    </w:p>
    <w:p w14:paraId="4E9E7596">
      <w:pPr>
        <w:spacing w:line="560" w:lineRule="exact"/>
        <w:ind w:firstLine="480" w:firstLineChars="200"/>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2.售后服务</w:t>
      </w:r>
    </w:p>
    <w:p w14:paraId="184ABCD2">
      <w:pPr>
        <w:spacing w:line="560" w:lineRule="exact"/>
        <w:ind w:firstLine="480" w:firstLineChars="200"/>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3.节能环保产品</w:t>
      </w:r>
    </w:p>
    <w:p w14:paraId="71621800">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br w:type="page"/>
      </w:r>
    </w:p>
    <w:p w14:paraId="6073F734">
      <w:pPr>
        <w:pStyle w:val="96"/>
        <w:spacing w:before="210" w:after="210"/>
        <w:ind w:left="0" w:leftChars="0" w:firstLine="0" w:firstLineChars="0"/>
        <w:outlineLvl w:val="9"/>
        <w:rPr>
          <w:rFonts w:hint="eastAsia" w:ascii="宋体" w:hAnsi="宋体" w:eastAsia="宋体" w:cs="宋体"/>
          <w:sz w:val="24"/>
          <w:szCs w:val="24"/>
          <w:highlight w:val="none"/>
          <w:lang w:val="zh-CN" w:eastAsia="zh-CN"/>
        </w:rPr>
      </w:pPr>
      <w:r>
        <w:rPr>
          <w:rFonts w:hint="eastAsia" w:ascii="宋体" w:hAnsi="宋体" w:eastAsia="宋体" w:cs="宋体"/>
          <w:sz w:val="24"/>
          <w:szCs w:val="24"/>
          <w:highlight w:val="none"/>
          <w:lang w:eastAsia="zh-CN"/>
        </w:rPr>
        <w:t>（二）商务要求偏离表</w:t>
      </w:r>
    </w:p>
    <w:tbl>
      <w:tblPr>
        <w:tblStyle w:val="28"/>
        <w:tblW w:w="4998"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677"/>
        <w:gridCol w:w="1718"/>
        <w:gridCol w:w="2521"/>
        <w:gridCol w:w="2395"/>
        <w:gridCol w:w="1018"/>
        <w:gridCol w:w="1181"/>
      </w:tblGrid>
      <w:tr w14:paraId="3AEDEA8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tcBorders>
              <w:top w:val="single" w:color="auto" w:sz="12" w:space="0"/>
              <w:bottom w:val="single" w:color="auto" w:sz="2" w:space="0"/>
            </w:tcBorders>
            <w:shd w:val="clear" w:color="auto" w:fill="F1F1F1" w:themeFill="background1" w:themeFillShade="F2"/>
            <w:vAlign w:val="center"/>
          </w:tcPr>
          <w:p w14:paraId="421565D1">
            <w:pPr>
              <w:spacing w:line="560" w:lineRule="exact"/>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序号</w:t>
            </w:r>
          </w:p>
        </w:tc>
        <w:tc>
          <w:tcPr>
            <w:tcW w:w="903" w:type="pct"/>
            <w:tcBorders>
              <w:top w:val="single" w:color="auto" w:sz="12" w:space="0"/>
              <w:bottom w:val="single" w:color="auto" w:sz="2" w:space="0"/>
            </w:tcBorders>
            <w:shd w:val="clear" w:color="auto" w:fill="F1F1F1" w:themeFill="background1" w:themeFillShade="F2"/>
            <w:vAlign w:val="center"/>
          </w:tcPr>
          <w:p w14:paraId="71C09FEE">
            <w:pPr>
              <w:spacing w:line="560" w:lineRule="exact"/>
              <w:jc w:val="center"/>
              <w:rPr>
                <w:rFonts w:hint="eastAsia" w:ascii="宋体" w:hAnsi="宋体" w:eastAsia="宋体" w:cs="宋体"/>
                <w:b/>
                <w:bCs/>
                <w:sz w:val="24"/>
                <w:szCs w:val="24"/>
                <w:highlight w:val="none"/>
                <w:lang w:eastAsia="zh-CN"/>
              </w:rPr>
            </w:pPr>
            <w:r>
              <w:rPr>
                <w:rFonts w:hint="eastAsia" w:ascii="宋体" w:hAnsi="宋体" w:eastAsia="宋体" w:cs="宋体"/>
                <w:b/>
                <w:bCs/>
                <w:sz w:val="24"/>
                <w:szCs w:val="24"/>
                <w:highlight w:val="none"/>
                <w:lang w:eastAsia="zh-CN"/>
              </w:rPr>
              <w:t>商务条款</w:t>
            </w:r>
          </w:p>
        </w:tc>
        <w:tc>
          <w:tcPr>
            <w:tcW w:w="1325" w:type="pct"/>
            <w:tcBorders>
              <w:top w:val="single" w:color="auto" w:sz="12" w:space="0"/>
              <w:bottom w:val="single" w:color="auto" w:sz="2" w:space="0"/>
            </w:tcBorders>
            <w:shd w:val="clear" w:color="auto" w:fill="F1F1F1" w:themeFill="background1" w:themeFillShade="F2"/>
            <w:vAlign w:val="center"/>
          </w:tcPr>
          <w:p w14:paraId="2822AFB5">
            <w:pPr>
              <w:spacing w:line="560" w:lineRule="exact"/>
              <w:jc w:val="center"/>
              <w:rPr>
                <w:rFonts w:hint="eastAsia" w:ascii="宋体" w:hAnsi="宋体" w:eastAsia="宋体" w:cs="宋体"/>
                <w:b/>
                <w:bCs/>
                <w:sz w:val="24"/>
                <w:szCs w:val="24"/>
                <w:highlight w:val="none"/>
                <w:lang w:eastAsia="zh-CN"/>
              </w:rPr>
            </w:pPr>
            <w:r>
              <w:rPr>
                <w:rFonts w:hint="eastAsia" w:ascii="宋体" w:hAnsi="宋体" w:eastAsia="宋体" w:cs="宋体"/>
                <w:b/>
                <w:bCs/>
                <w:sz w:val="24"/>
                <w:szCs w:val="24"/>
                <w:highlight w:val="none"/>
                <w:lang w:eastAsia="zh-CN"/>
              </w:rPr>
              <w:t>招标文件商务要求</w:t>
            </w:r>
          </w:p>
        </w:tc>
        <w:tc>
          <w:tcPr>
            <w:tcW w:w="1259" w:type="pct"/>
            <w:tcBorders>
              <w:top w:val="single" w:color="auto" w:sz="12" w:space="0"/>
              <w:bottom w:val="single" w:color="auto" w:sz="2" w:space="0"/>
            </w:tcBorders>
            <w:shd w:val="clear" w:color="auto" w:fill="F1F1F1" w:themeFill="background1" w:themeFillShade="F2"/>
            <w:vAlign w:val="center"/>
          </w:tcPr>
          <w:p w14:paraId="6EEC3D60">
            <w:pPr>
              <w:spacing w:line="560" w:lineRule="exact"/>
              <w:jc w:val="center"/>
              <w:rPr>
                <w:rFonts w:hint="eastAsia" w:ascii="宋体" w:hAnsi="宋体" w:eastAsia="宋体" w:cs="宋体"/>
                <w:b/>
                <w:bCs/>
                <w:sz w:val="24"/>
                <w:szCs w:val="24"/>
                <w:highlight w:val="none"/>
                <w:lang w:eastAsia="zh-CN"/>
              </w:rPr>
            </w:pPr>
            <w:r>
              <w:rPr>
                <w:rFonts w:hint="eastAsia" w:ascii="宋体" w:hAnsi="宋体" w:eastAsia="宋体" w:cs="宋体"/>
                <w:b/>
                <w:bCs/>
                <w:sz w:val="24"/>
                <w:szCs w:val="24"/>
                <w:highlight w:val="none"/>
                <w:lang w:eastAsia="zh-CN"/>
              </w:rPr>
              <w:t>投标文件商务响应</w:t>
            </w:r>
          </w:p>
        </w:tc>
        <w:tc>
          <w:tcPr>
            <w:tcW w:w="535" w:type="pct"/>
            <w:tcBorders>
              <w:top w:val="single" w:color="auto" w:sz="12" w:space="0"/>
              <w:bottom w:val="single" w:color="auto" w:sz="2" w:space="0"/>
            </w:tcBorders>
            <w:shd w:val="clear" w:color="auto" w:fill="F1F1F1" w:themeFill="background1" w:themeFillShade="F2"/>
            <w:vAlign w:val="center"/>
          </w:tcPr>
          <w:p w14:paraId="3E9B9779">
            <w:pPr>
              <w:spacing w:line="560" w:lineRule="exact"/>
              <w:jc w:val="center"/>
              <w:rPr>
                <w:rFonts w:hint="eastAsia" w:ascii="宋体" w:hAnsi="宋体" w:eastAsia="宋体" w:cs="宋体"/>
                <w:b/>
                <w:bCs/>
                <w:sz w:val="24"/>
                <w:szCs w:val="24"/>
                <w:highlight w:val="none"/>
                <w:lang w:eastAsia="zh-CN"/>
              </w:rPr>
            </w:pPr>
            <w:r>
              <w:rPr>
                <w:rFonts w:hint="eastAsia" w:ascii="宋体" w:hAnsi="宋体" w:eastAsia="宋体" w:cs="宋体"/>
                <w:b/>
                <w:bCs/>
                <w:sz w:val="24"/>
                <w:szCs w:val="24"/>
                <w:highlight w:val="none"/>
                <w:lang w:eastAsia="zh-CN"/>
              </w:rPr>
              <w:t>响应说明</w:t>
            </w:r>
          </w:p>
        </w:tc>
        <w:tc>
          <w:tcPr>
            <w:tcW w:w="620" w:type="pct"/>
            <w:tcBorders>
              <w:top w:val="single" w:color="auto" w:sz="12" w:space="0"/>
              <w:bottom w:val="single" w:color="auto" w:sz="2" w:space="0"/>
            </w:tcBorders>
            <w:shd w:val="clear" w:color="auto" w:fill="F1F1F1" w:themeFill="background1" w:themeFillShade="F2"/>
            <w:vAlign w:val="center"/>
          </w:tcPr>
          <w:p w14:paraId="4E27D7A7">
            <w:pPr>
              <w:spacing w:line="560" w:lineRule="exact"/>
              <w:jc w:val="center"/>
              <w:rPr>
                <w:rFonts w:hint="eastAsia" w:ascii="宋体" w:hAnsi="宋体" w:eastAsia="宋体" w:cs="宋体"/>
                <w:b/>
                <w:bCs/>
                <w:sz w:val="24"/>
                <w:szCs w:val="24"/>
                <w:highlight w:val="none"/>
                <w:lang w:eastAsia="zh-CN"/>
              </w:rPr>
            </w:pPr>
            <w:r>
              <w:rPr>
                <w:rFonts w:hint="eastAsia" w:ascii="宋体" w:hAnsi="宋体" w:eastAsia="宋体" w:cs="宋体"/>
                <w:b/>
                <w:bCs/>
                <w:sz w:val="24"/>
                <w:szCs w:val="24"/>
                <w:highlight w:val="none"/>
                <w:lang w:eastAsia="zh-CN"/>
              </w:rPr>
              <w:t>偏离</w:t>
            </w:r>
          </w:p>
        </w:tc>
      </w:tr>
      <w:tr w14:paraId="37BF530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tcBorders>
              <w:top w:val="single" w:color="auto" w:sz="2" w:space="0"/>
            </w:tcBorders>
            <w:vAlign w:val="center"/>
          </w:tcPr>
          <w:p w14:paraId="5067CE0F">
            <w:pPr>
              <w:spacing w:line="560" w:lineRule="exact"/>
              <w:jc w:val="center"/>
              <w:rPr>
                <w:rFonts w:hint="eastAsia" w:ascii="宋体" w:hAnsi="宋体" w:eastAsia="宋体" w:cs="宋体"/>
                <w:sz w:val="24"/>
                <w:szCs w:val="24"/>
                <w:highlight w:val="none"/>
              </w:rPr>
            </w:pPr>
          </w:p>
        </w:tc>
        <w:tc>
          <w:tcPr>
            <w:tcW w:w="903" w:type="pct"/>
            <w:tcBorders>
              <w:top w:val="single" w:color="auto" w:sz="2" w:space="0"/>
            </w:tcBorders>
            <w:vAlign w:val="center"/>
          </w:tcPr>
          <w:p w14:paraId="4BCD2AB7">
            <w:pPr>
              <w:spacing w:line="560" w:lineRule="exact"/>
              <w:jc w:val="center"/>
              <w:rPr>
                <w:rFonts w:hint="eastAsia" w:ascii="宋体" w:hAnsi="宋体" w:eastAsia="宋体" w:cs="宋体"/>
                <w:sz w:val="24"/>
                <w:szCs w:val="24"/>
                <w:highlight w:val="none"/>
              </w:rPr>
            </w:pPr>
          </w:p>
        </w:tc>
        <w:tc>
          <w:tcPr>
            <w:tcW w:w="1325" w:type="pct"/>
            <w:tcBorders>
              <w:top w:val="single" w:color="auto" w:sz="2" w:space="0"/>
            </w:tcBorders>
            <w:vAlign w:val="center"/>
          </w:tcPr>
          <w:p w14:paraId="38C1A9F1">
            <w:pPr>
              <w:spacing w:line="560" w:lineRule="exact"/>
              <w:jc w:val="center"/>
              <w:rPr>
                <w:rFonts w:hint="eastAsia" w:ascii="宋体" w:hAnsi="宋体" w:eastAsia="宋体" w:cs="宋体"/>
                <w:sz w:val="24"/>
                <w:szCs w:val="24"/>
                <w:highlight w:val="none"/>
              </w:rPr>
            </w:pPr>
          </w:p>
        </w:tc>
        <w:tc>
          <w:tcPr>
            <w:tcW w:w="1259" w:type="pct"/>
            <w:tcBorders>
              <w:top w:val="single" w:color="auto" w:sz="2" w:space="0"/>
            </w:tcBorders>
            <w:vAlign w:val="center"/>
          </w:tcPr>
          <w:p w14:paraId="37C2D24A">
            <w:pPr>
              <w:spacing w:line="560" w:lineRule="exact"/>
              <w:jc w:val="center"/>
              <w:rPr>
                <w:rFonts w:hint="eastAsia" w:ascii="宋体" w:hAnsi="宋体" w:eastAsia="宋体" w:cs="宋体"/>
                <w:sz w:val="24"/>
                <w:szCs w:val="24"/>
                <w:highlight w:val="none"/>
              </w:rPr>
            </w:pPr>
          </w:p>
        </w:tc>
        <w:tc>
          <w:tcPr>
            <w:tcW w:w="535" w:type="pct"/>
            <w:tcBorders>
              <w:top w:val="single" w:color="auto" w:sz="2" w:space="0"/>
            </w:tcBorders>
            <w:vAlign w:val="center"/>
          </w:tcPr>
          <w:p w14:paraId="3F7AB103">
            <w:pPr>
              <w:spacing w:line="560" w:lineRule="exact"/>
              <w:jc w:val="center"/>
              <w:rPr>
                <w:rFonts w:hint="eastAsia" w:ascii="宋体" w:hAnsi="宋体" w:eastAsia="宋体" w:cs="宋体"/>
                <w:sz w:val="24"/>
                <w:szCs w:val="24"/>
                <w:highlight w:val="none"/>
              </w:rPr>
            </w:pPr>
          </w:p>
        </w:tc>
        <w:tc>
          <w:tcPr>
            <w:tcW w:w="620" w:type="pct"/>
            <w:tcBorders>
              <w:top w:val="single" w:color="auto" w:sz="2" w:space="0"/>
            </w:tcBorders>
            <w:vAlign w:val="center"/>
          </w:tcPr>
          <w:p w14:paraId="4DC35CB7">
            <w:pPr>
              <w:spacing w:line="560" w:lineRule="exact"/>
              <w:jc w:val="center"/>
              <w:rPr>
                <w:rFonts w:hint="eastAsia" w:ascii="宋体" w:hAnsi="宋体" w:eastAsia="宋体" w:cs="宋体"/>
                <w:sz w:val="24"/>
                <w:szCs w:val="24"/>
                <w:highlight w:val="none"/>
              </w:rPr>
            </w:pPr>
          </w:p>
        </w:tc>
      </w:tr>
      <w:tr w14:paraId="47329E2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vAlign w:val="center"/>
          </w:tcPr>
          <w:p w14:paraId="4B215586">
            <w:pPr>
              <w:spacing w:line="560" w:lineRule="exact"/>
              <w:jc w:val="center"/>
              <w:rPr>
                <w:rFonts w:hint="eastAsia" w:ascii="宋体" w:hAnsi="宋体" w:eastAsia="宋体" w:cs="宋体"/>
                <w:sz w:val="24"/>
                <w:szCs w:val="24"/>
                <w:highlight w:val="none"/>
              </w:rPr>
            </w:pPr>
          </w:p>
        </w:tc>
        <w:tc>
          <w:tcPr>
            <w:tcW w:w="903" w:type="pct"/>
            <w:vAlign w:val="center"/>
          </w:tcPr>
          <w:p w14:paraId="3B0B261B">
            <w:pPr>
              <w:spacing w:line="560" w:lineRule="exact"/>
              <w:jc w:val="center"/>
              <w:rPr>
                <w:rFonts w:hint="eastAsia" w:ascii="宋体" w:hAnsi="宋体" w:eastAsia="宋体" w:cs="宋体"/>
                <w:sz w:val="24"/>
                <w:szCs w:val="24"/>
                <w:highlight w:val="none"/>
              </w:rPr>
            </w:pPr>
          </w:p>
        </w:tc>
        <w:tc>
          <w:tcPr>
            <w:tcW w:w="1325" w:type="pct"/>
            <w:vAlign w:val="center"/>
          </w:tcPr>
          <w:p w14:paraId="2AB6D2D1">
            <w:pPr>
              <w:spacing w:line="560" w:lineRule="exact"/>
              <w:jc w:val="center"/>
              <w:rPr>
                <w:rFonts w:hint="eastAsia" w:ascii="宋体" w:hAnsi="宋体" w:eastAsia="宋体" w:cs="宋体"/>
                <w:sz w:val="24"/>
                <w:szCs w:val="24"/>
                <w:highlight w:val="none"/>
              </w:rPr>
            </w:pPr>
          </w:p>
        </w:tc>
        <w:tc>
          <w:tcPr>
            <w:tcW w:w="1259" w:type="pct"/>
            <w:vAlign w:val="center"/>
          </w:tcPr>
          <w:p w14:paraId="2BB7DBD3">
            <w:pPr>
              <w:spacing w:line="560" w:lineRule="exact"/>
              <w:jc w:val="center"/>
              <w:rPr>
                <w:rFonts w:hint="eastAsia" w:ascii="宋体" w:hAnsi="宋体" w:eastAsia="宋体" w:cs="宋体"/>
                <w:sz w:val="24"/>
                <w:szCs w:val="24"/>
                <w:highlight w:val="none"/>
              </w:rPr>
            </w:pPr>
          </w:p>
        </w:tc>
        <w:tc>
          <w:tcPr>
            <w:tcW w:w="535" w:type="pct"/>
            <w:vAlign w:val="center"/>
          </w:tcPr>
          <w:p w14:paraId="6B2DB4F7">
            <w:pPr>
              <w:spacing w:line="560" w:lineRule="exact"/>
              <w:jc w:val="center"/>
              <w:rPr>
                <w:rFonts w:hint="eastAsia" w:ascii="宋体" w:hAnsi="宋体" w:eastAsia="宋体" w:cs="宋体"/>
                <w:sz w:val="24"/>
                <w:szCs w:val="24"/>
                <w:highlight w:val="none"/>
              </w:rPr>
            </w:pPr>
          </w:p>
        </w:tc>
        <w:tc>
          <w:tcPr>
            <w:tcW w:w="620" w:type="pct"/>
            <w:vAlign w:val="center"/>
          </w:tcPr>
          <w:p w14:paraId="7D5FBB35">
            <w:pPr>
              <w:spacing w:line="560" w:lineRule="exact"/>
              <w:jc w:val="center"/>
              <w:rPr>
                <w:rFonts w:hint="eastAsia" w:ascii="宋体" w:hAnsi="宋体" w:eastAsia="宋体" w:cs="宋体"/>
                <w:sz w:val="24"/>
                <w:szCs w:val="24"/>
                <w:highlight w:val="none"/>
              </w:rPr>
            </w:pPr>
          </w:p>
        </w:tc>
      </w:tr>
      <w:tr w14:paraId="2070475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vAlign w:val="center"/>
          </w:tcPr>
          <w:p w14:paraId="015F44F6">
            <w:pPr>
              <w:spacing w:line="560" w:lineRule="exact"/>
              <w:jc w:val="center"/>
              <w:rPr>
                <w:rFonts w:hint="eastAsia" w:ascii="宋体" w:hAnsi="宋体" w:eastAsia="宋体" w:cs="宋体"/>
                <w:sz w:val="24"/>
                <w:szCs w:val="24"/>
                <w:highlight w:val="none"/>
              </w:rPr>
            </w:pPr>
          </w:p>
        </w:tc>
        <w:tc>
          <w:tcPr>
            <w:tcW w:w="903" w:type="pct"/>
            <w:vAlign w:val="center"/>
          </w:tcPr>
          <w:p w14:paraId="7380857B">
            <w:pPr>
              <w:spacing w:line="560" w:lineRule="exact"/>
              <w:jc w:val="center"/>
              <w:rPr>
                <w:rFonts w:hint="eastAsia" w:ascii="宋体" w:hAnsi="宋体" w:eastAsia="宋体" w:cs="宋体"/>
                <w:sz w:val="24"/>
                <w:szCs w:val="24"/>
                <w:highlight w:val="none"/>
              </w:rPr>
            </w:pPr>
          </w:p>
        </w:tc>
        <w:tc>
          <w:tcPr>
            <w:tcW w:w="1325" w:type="pct"/>
            <w:vAlign w:val="center"/>
          </w:tcPr>
          <w:p w14:paraId="488286AC">
            <w:pPr>
              <w:spacing w:line="560" w:lineRule="exact"/>
              <w:jc w:val="center"/>
              <w:rPr>
                <w:rFonts w:hint="eastAsia" w:ascii="宋体" w:hAnsi="宋体" w:eastAsia="宋体" w:cs="宋体"/>
                <w:sz w:val="24"/>
                <w:szCs w:val="24"/>
                <w:highlight w:val="none"/>
              </w:rPr>
            </w:pPr>
          </w:p>
        </w:tc>
        <w:tc>
          <w:tcPr>
            <w:tcW w:w="1259" w:type="pct"/>
            <w:vAlign w:val="center"/>
          </w:tcPr>
          <w:p w14:paraId="0CB15403">
            <w:pPr>
              <w:spacing w:line="560" w:lineRule="exact"/>
              <w:jc w:val="center"/>
              <w:rPr>
                <w:rFonts w:hint="eastAsia" w:ascii="宋体" w:hAnsi="宋体" w:eastAsia="宋体" w:cs="宋体"/>
                <w:sz w:val="24"/>
                <w:szCs w:val="24"/>
                <w:highlight w:val="none"/>
              </w:rPr>
            </w:pPr>
          </w:p>
        </w:tc>
        <w:tc>
          <w:tcPr>
            <w:tcW w:w="535" w:type="pct"/>
            <w:vAlign w:val="center"/>
          </w:tcPr>
          <w:p w14:paraId="67575738">
            <w:pPr>
              <w:spacing w:line="560" w:lineRule="exact"/>
              <w:jc w:val="center"/>
              <w:rPr>
                <w:rFonts w:hint="eastAsia" w:ascii="宋体" w:hAnsi="宋体" w:eastAsia="宋体" w:cs="宋体"/>
                <w:sz w:val="24"/>
                <w:szCs w:val="24"/>
                <w:highlight w:val="none"/>
              </w:rPr>
            </w:pPr>
          </w:p>
        </w:tc>
        <w:tc>
          <w:tcPr>
            <w:tcW w:w="620" w:type="pct"/>
            <w:vAlign w:val="center"/>
          </w:tcPr>
          <w:p w14:paraId="31B092D1">
            <w:pPr>
              <w:spacing w:line="560" w:lineRule="exact"/>
              <w:jc w:val="center"/>
              <w:rPr>
                <w:rFonts w:hint="eastAsia" w:ascii="宋体" w:hAnsi="宋体" w:eastAsia="宋体" w:cs="宋体"/>
                <w:sz w:val="24"/>
                <w:szCs w:val="24"/>
                <w:highlight w:val="none"/>
              </w:rPr>
            </w:pPr>
          </w:p>
        </w:tc>
      </w:tr>
      <w:tr w14:paraId="1158583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vAlign w:val="center"/>
          </w:tcPr>
          <w:p w14:paraId="254076B0">
            <w:pPr>
              <w:spacing w:line="560" w:lineRule="exact"/>
              <w:jc w:val="center"/>
              <w:rPr>
                <w:rFonts w:hint="eastAsia" w:ascii="宋体" w:hAnsi="宋体" w:eastAsia="宋体" w:cs="宋体"/>
                <w:sz w:val="24"/>
                <w:szCs w:val="24"/>
                <w:highlight w:val="none"/>
              </w:rPr>
            </w:pPr>
          </w:p>
        </w:tc>
        <w:tc>
          <w:tcPr>
            <w:tcW w:w="903" w:type="pct"/>
            <w:vAlign w:val="center"/>
          </w:tcPr>
          <w:p w14:paraId="6836D18D">
            <w:pPr>
              <w:spacing w:line="560" w:lineRule="exact"/>
              <w:jc w:val="center"/>
              <w:rPr>
                <w:rFonts w:hint="eastAsia" w:ascii="宋体" w:hAnsi="宋体" w:eastAsia="宋体" w:cs="宋体"/>
                <w:sz w:val="24"/>
                <w:szCs w:val="24"/>
                <w:highlight w:val="none"/>
              </w:rPr>
            </w:pPr>
          </w:p>
        </w:tc>
        <w:tc>
          <w:tcPr>
            <w:tcW w:w="1325" w:type="pct"/>
            <w:vAlign w:val="center"/>
          </w:tcPr>
          <w:p w14:paraId="3135C5A7">
            <w:pPr>
              <w:spacing w:line="560" w:lineRule="exact"/>
              <w:jc w:val="center"/>
              <w:rPr>
                <w:rFonts w:hint="eastAsia" w:ascii="宋体" w:hAnsi="宋体" w:eastAsia="宋体" w:cs="宋体"/>
                <w:sz w:val="24"/>
                <w:szCs w:val="24"/>
                <w:highlight w:val="none"/>
              </w:rPr>
            </w:pPr>
          </w:p>
        </w:tc>
        <w:tc>
          <w:tcPr>
            <w:tcW w:w="1259" w:type="pct"/>
            <w:vAlign w:val="center"/>
          </w:tcPr>
          <w:p w14:paraId="19CF5295">
            <w:pPr>
              <w:spacing w:line="560" w:lineRule="exact"/>
              <w:jc w:val="center"/>
              <w:rPr>
                <w:rFonts w:hint="eastAsia" w:ascii="宋体" w:hAnsi="宋体" w:eastAsia="宋体" w:cs="宋体"/>
                <w:sz w:val="24"/>
                <w:szCs w:val="24"/>
                <w:highlight w:val="none"/>
              </w:rPr>
            </w:pPr>
          </w:p>
        </w:tc>
        <w:tc>
          <w:tcPr>
            <w:tcW w:w="535" w:type="pct"/>
            <w:vAlign w:val="center"/>
          </w:tcPr>
          <w:p w14:paraId="608B35A9">
            <w:pPr>
              <w:spacing w:line="560" w:lineRule="exact"/>
              <w:jc w:val="center"/>
              <w:rPr>
                <w:rFonts w:hint="eastAsia" w:ascii="宋体" w:hAnsi="宋体" w:eastAsia="宋体" w:cs="宋体"/>
                <w:sz w:val="24"/>
                <w:szCs w:val="24"/>
                <w:highlight w:val="none"/>
              </w:rPr>
            </w:pPr>
          </w:p>
        </w:tc>
        <w:tc>
          <w:tcPr>
            <w:tcW w:w="620" w:type="pct"/>
            <w:vAlign w:val="center"/>
          </w:tcPr>
          <w:p w14:paraId="2688177D">
            <w:pPr>
              <w:spacing w:line="560" w:lineRule="exact"/>
              <w:jc w:val="center"/>
              <w:rPr>
                <w:rFonts w:hint="eastAsia" w:ascii="宋体" w:hAnsi="宋体" w:eastAsia="宋体" w:cs="宋体"/>
                <w:sz w:val="24"/>
                <w:szCs w:val="24"/>
                <w:highlight w:val="none"/>
              </w:rPr>
            </w:pPr>
          </w:p>
        </w:tc>
      </w:tr>
      <w:tr w14:paraId="508AA57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vAlign w:val="center"/>
          </w:tcPr>
          <w:p w14:paraId="371D5783">
            <w:pPr>
              <w:spacing w:line="560" w:lineRule="exact"/>
              <w:jc w:val="center"/>
              <w:rPr>
                <w:rFonts w:hint="eastAsia" w:ascii="宋体" w:hAnsi="宋体" w:eastAsia="宋体" w:cs="宋体"/>
                <w:sz w:val="24"/>
                <w:szCs w:val="24"/>
                <w:highlight w:val="none"/>
              </w:rPr>
            </w:pPr>
          </w:p>
        </w:tc>
        <w:tc>
          <w:tcPr>
            <w:tcW w:w="903" w:type="pct"/>
            <w:vAlign w:val="center"/>
          </w:tcPr>
          <w:p w14:paraId="7FC61FC1">
            <w:pPr>
              <w:spacing w:line="560" w:lineRule="exact"/>
              <w:jc w:val="center"/>
              <w:rPr>
                <w:rFonts w:hint="eastAsia" w:ascii="宋体" w:hAnsi="宋体" w:eastAsia="宋体" w:cs="宋体"/>
                <w:sz w:val="24"/>
                <w:szCs w:val="24"/>
                <w:highlight w:val="none"/>
              </w:rPr>
            </w:pPr>
          </w:p>
        </w:tc>
        <w:tc>
          <w:tcPr>
            <w:tcW w:w="1325" w:type="pct"/>
            <w:vAlign w:val="center"/>
          </w:tcPr>
          <w:p w14:paraId="19B8E949">
            <w:pPr>
              <w:spacing w:line="560" w:lineRule="exact"/>
              <w:jc w:val="center"/>
              <w:rPr>
                <w:rFonts w:hint="eastAsia" w:ascii="宋体" w:hAnsi="宋体" w:eastAsia="宋体" w:cs="宋体"/>
                <w:sz w:val="24"/>
                <w:szCs w:val="24"/>
                <w:highlight w:val="none"/>
              </w:rPr>
            </w:pPr>
          </w:p>
        </w:tc>
        <w:tc>
          <w:tcPr>
            <w:tcW w:w="1259" w:type="pct"/>
            <w:vAlign w:val="center"/>
          </w:tcPr>
          <w:p w14:paraId="4301739C">
            <w:pPr>
              <w:spacing w:line="560" w:lineRule="exact"/>
              <w:jc w:val="center"/>
              <w:rPr>
                <w:rFonts w:hint="eastAsia" w:ascii="宋体" w:hAnsi="宋体" w:eastAsia="宋体" w:cs="宋体"/>
                <w:sz w:val="24"/>
                <w:szCs w:val="24"/>
                <w:highlight w:val="none"/>
              </w:rPr>
            </w:pPr>
          </w:p>
        </w:tc>
        <w:tc>
          <w:tcPr>
            <w:tcW w:w="535" w:type="pct"/>
            <w:vAlign w:val="center"/>
          </w:tcPr>
          <w:p w14:paraId="76F1B0C6">
            <w:pPr>
              <w:spacing w:line="560" w:lineRule="exact"/>
              <w:jc w:val="center"/>
              <w:rPr>
                <w:rFonts w:hint="eastAsia" w:ascii="宋体" w:hAnsi="宋体" w:eastAsia="宋体" w:cs="宋体"/>
                <w:sz w:val="24"/>
                <w:szCs w:val="24"/>
                <w:highlight w:val="none"/>
              </w:rPr>
            </w:pPr>
          </w:p>
        </w:tc>
        <w:tc>
          <w:tcPr>
            <w:tcW w:w="620" w:type="pct"/>
            <w:vAlign w:val="center"/>
          </w:tcPr>
          <w:p w14:paraId="6BEFF90C">
            <w:pPr>
              <w:spacing w:line="560" w:lineRule="exact"/>
              <w:jc w:val="center"/>
              <w:rPr>
                <w:rFonts w:hint="eastAsia" w:ascii="宋体" w:hAnsi="宋体" w:eastAsia="宋体" w:cs="宋体"/>
                <w:sz w:val="24"/>
                <w:szCs w:val="24"/>
                <w:highlight w:val="none"/>
              </w:rPr>
            </w:pPr>
          </w:p>
        </w:tc>
      </w:tr>
      <w:tr w14:paraId="4ADEF22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vAlign w:val="center"/>
          </w:tcPr>
          <w:p w14:paraId="2C3569BA">
            <w:pPr>
              <w:spacing w:line="560" w:lineRule="exact"/>
              <w:jc w:val="center"/>
              <w:rPr>
                <w:rFonts w:hint="eastAsia" w:ascii="宋体" w:hAnsi="宋体" w:eastAsia="宋体" w:cs="宋体"/>
                <w:sz w:val="24"/>
                <w:szCs w:val="24"/>
                <w:highlight w:val="none"/>
              </w:rPr>
            </w:pPr>
          </w:p>
        </w:tc>
        <w:tc>
          <w:tcPr>
            <w:tcW w:w="903" w:type="pct"/>
            <w:vAlign w:val="center"/>
          </w:tcPr>
          <w:p w14:paraId="07149AD6">
            <w:pPr>
              <w:spacing w:line="560" w:lineRule="exact"/>
              <w:jc w:val="center"/>
              <w:rPr>
                <w:rFonts w:hint="eastAsia" w:ascii="宋体" w:hAnsi="宋体" w:eastAsia="宋体" w:cs="宋体"/>
                <w:sz w:val="24"/>
                <w:szCs w:val="24"/>
                <w:highlight w:val="none"/>
              </w:rPr>
            </w:pPr>
          </w:p>
        </w:tc>
        <w:tc>
          <w:tcPr>
            <w:tcW w:w="1325" w:type="pct"/>
            <w:vAlign w:val="center"/>
          </w:tcPr>
          <w:p w14:paraId="033E5667">
            <w:pPr>
              <w:spacing w:line="560" w:lineRule="exact"/>
              <w:jc w:val="center"/>
              <w:rPr>
                <w:rFonts w:hint="eastAsia" w:ascii="宋体" w:hAnsi="宋体" w:eastAsia="宋体" w:cs="宋体"/>
                <w:sz w:val="24"/>
                <w:szCs w:val="24"/>
                <w:highlight w:val="none"/>
              </w:rPr>
            </w:pPr>
          </w:p>
        </w:tc>
        <w:tc>
          <w:tcPr>
            <w:tcW w:w="1259" w:type="pct"/>
            <w:vAlign w:val="center"/>
          </w:tcPr>
          <w:p w14:paraId="0FD7F8C2">
            <w:pPr>
              <w:spacing w:line="560" w:lineRule="exact"/>
              <w:jc w:val="center"/>
              <w:rPr>
                <w:rFonts w:hint="eastAsia" w:ascii="宋体" w:hAnsi="宋体" w:eastAsia="宋体" w:cs="宋体"/>
                <w:sz w:val="24"/>
                <w:szCs w:val="24"/>
                <w:highlight w:val="none"/>
              </w:rPr>
            </w:pPr>
          </w:p>
        </w:tc>
        <w:tc>
          <w:tcPr>
            <w:tcW w:w="535" w:type="pct"/>
            <w:vAlign w:val="center"/>
          </w:tcPr>
          <w:p w14:paraId="3C56FC1B">
            <w:pPr>
              <w:spacing w:line="560" w:lineRule="exact"/>
              <w:jc w:val="center"/>
              <w:rPr>
                <w:rFonts w:hint="eastAsia" w:ascii="宋体" w:hAnsi="宋体" w:eastAsia="宋体" w:cs="宋体"/>
                <w:sz w:val="24"/>
                <w:szCs w:val="24"/>
                <w:highlight w:val="none"/>
              </w:rPr>
            </w:pPr>
          </w:p>
        </w:tc>
        <w:tc>
          <w:tcPr>
            <w:tcW w:w="620" w:type="pct"/>
            <w:vAlign w:val="center"/>
          </w:tcPr>
          <w:p w14:paraId="47140C98">
            <w:pPr>
              <w:spacing w:line="560" w:lineRule="exact"/>
              <w:jc w:val="center"/>
              <w:rPr>
                <w:rFonts w:hint="eastAsia" w:ascii="宋体" w:hAnsi="宋体" w:eastAsia="宋体" w:cs="宋体"/>
                <w:sz w:val="24"/>
                <w:szCs w:val="24"/>
                <w:highlight w:val="none"/>
              </w:rPr>
            </w:pPr>
          </w:p>
        </w:tc>
      </w:tr>
      <w:tr w14:paraId="28345AE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vAlign w:val="center"/>
          </w:tcPr>
          <w:p w14:paraId="748F8F58">
            <w:pPr>
              <w:spacing w:line="56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备注</w:t>
            </w:r>
          </w:p>
        </w:tc>
        <w:tc>
          <w:tcPr>
            <w:tcW w:w="4643" w:type="pct"/>
            <w:gridSpan w:val="5"/>
            <w:vAlign w:val="center"/>
          </w:tcPr>
          <w:p w14:paraId="08438281">
            <w:pPr>
              <w:spacing w:line="560" w:lineRule="exact"/>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1．对</w:t>
            </w:r>
            <w:r>
              <w:rPr>
                <w:rFonts w:hint="eastAsia" w:ascii="宋体" w:hAnsi="宋体" w:eastAsia="宋体" w:cs="宋体"/>
                <w:color w:val="auto"/>
                <w:sz w:val="24"/>
                <w:szCs w:val="24"/>
                <w:highlight w:val="none"/>
                <w:lang w:eastAsia="zh-CN"/>
              </w:rPr>
              <w:t>第四章</w:t>
            </w:r>
            <w:r>
              <w:rPr>
                <w:rFonts w:hint="eastAsia" w:ascii="宋体" w:hAnsi="宋体" w:eastAsia="宋体" w:cs="宋体"/>
                <w:color w:val="auto"/>
                <w:sz w:val="24"/>
                <w:szCs w:val="24"/>
                <w:highlight w:val="none"/>
              </w:rPr>
              <w:t>的商务要求</w:t>
            </w:r>
            <w:r>
              <w:rPr>
                <w:rFonts w:hint="eastAsia" w:ascii="宋体" w:hAnsi="宋体" w:eastAsia="宋体" w:cs="宋体"/>
                <w:sz w:val="24"/>
                <w:szCs w:val="24"/>
                <w:highlight w:val="none"/>
              </w:rPr>
              <w:t>做出响应。</w:t>
            </w:r>
          </w:p>
          <w:p w14:paraId="39597489">
            <w:pPr>
              <w:spacing w:line="560" w:lineRule="exact"/>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2．响应说明按实际响应情况填写“优于”、“响应”、“不响应”。</w:t>
            </w:r>
          </w:p>
        </w:tc>
      </w:tr>
    </w:tbl>
    <w:p w14:paraId="77F6784D">
      <w:pPr>
        <w:spacing w:line="560" w:lineRule="exact"/>
        <w:ind w:firstLine="480" w:firstLineChars="200"/>
        <w:jc w:val="both"/>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注：1.供应商须完整填写响应表，如果未完整填写本表的各项内容则视作供应商已经对招标文件相关要求和内容完全理解并同意，其报价为在此基础上的完全价格。</w:t>
      </w:r>
    </w:p>
    <w:p w14:paraId="375B95C6">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2.在采购人与中标供应商签订合同时，如中标供应商未在响应文件“商务要求偏离表”中列出偏离说明，无论已发生或即将发生任何情形，均视为完全符合招标文件要求，并写入合同。若中标供应商在合同签订前，以上述事项为借口而不履行合同签订手续及执行合同，则视作拒绝与采购人签订合同。</w:t>
      </w:r>
    </w:p>
    <w:p w14:paraId="6C1D4DE5">
      <w:pPr>
        <w:spacing w:line="560" w:lineRule="exact"/>
        <w:ind w:firstLine="2656" w:firstLineChars="1107"/>
        <w:jc w:val="right"/>
        <w:rPr>
          <w:rFonts w:hint="eastAsia" w:ascii="宋体" w:hAnsi="宋体" w:eastAsia="宋体" w:cs="宋体"/>
          <w:sz w:val="24"/>
          <w:szCs w:val="24"/>
          <w:highlight w:val="none"/>
        </w:rPr>
      </w:pPr>
      <w:r>
        <w:rPr>
          <w:rFonts w:hint="eastAsia" w:ascii="宋体" w:hAnsi="宋体" w:eastAsia="宋体" w:cs="宋体"/>
          <w:sz w:val="24"/>
          <w:szCs w:val="24"/>
          <w:highlight w:val="none"/>
        </w:rPr>
        <w:t>供应商：（供应商全称并加盖公章）</w:t>
      </w:r>
    </w:p>
    <w:p w14:paraId="7BC9691D">
      <w:pPr>
        <w:spacing w:line="560" w:lineRule="exact"/>
        <w:ind w:firstLine="2656" w:firstLineChars="1107"/>
        <w:jc w:val="right"/>
        <w:rPr>
          <w:rFonts w:hint="eastAsia" w:ascii="宋体" w:hAnsi="宋体" w:eastAsia="宋体" w:cs="宋体"/>
          <w:sz w:val="24"/>
          <w:szCs w:val="24"/>
          <w:highlight w:val="none"/>
        </w:rPr>
      </w:pPr>
      <w:r>
        <w:rPr>
          <w:rFonts w:hint="eastAsia" w:ascii="宋体" w:hAnsi="宋体" w:eastAsia="宋体" w:cs="宋体"/>
          <w:sz w:val="24"/>
          <w:szCs w:val="24"/>
          <w:highlight w:val="none"/>
        </w:rPr>
        <w:t>日  期：    年  月  日</w:t>
      </w:r>
    </w:p>
    <w:p w14:paraId="4F7A8477">
      <w:pPr>
        <w:spacing w:line="560" w:lineRule="exact"/>
        <w:ind w:firstLine="480" w:firstLineChars="200"/>
        <w:jc w:val="both"/>
        <w:rPr>
          <w:rFonts w:hint="eastAsia" w:ascii="宋体" w:hAnsi="宋体" w:eastAsia="宋体" w:cs="宋体"/>
          <w:sz w:val="24"/>
          <w:szCs w:val="24"/>
          <w:highlight w:val="none"/>
        </w:rPr>
      </w:pPr>
    </w:p>
    <w:p w14:paraId="129A83D6">
      <w:pPr>
        <w:spacing w:line="560" w:lineRule="exact"/>
        <w:ind w:firstLine="480" w:firstLineChars="200"/>
        <w:jc w:val="both"/>
        <w:rPr>
          <w:rFonts w:hint="eastAsia" w:ascii="宋体" w:hAnsi="宋体" w:eastAsia="宋体" w:cs="宋体"/>
          <w:sz w:val="24"/>
          <w:szCs w:val="24"/>
          <w:highlight w:val="none"/>
        </w:rPr>
      </w:pPr>
    </w:p>
    <w:p w14:paraId="503C0A67">
      <w:pPr>
        <w:spacing w:line="560" w:lineRule="exact"/>
        <w:ind w:firstLine="480" w:firstLineChars="200"/>
        <w:jc w:val="both"/>
        <w:rPr>
          <w:rFonts w:hint="eastAsia" w:ascii="宋体" w:hAnsi="宋体" w:eastAsia="宋体" w:cs="宋体"/>
          <w:sz w:val="24"/>
          <w:szCs w:val="24"/>
          <w:highlight w:val="none"/>
        </w:rPr>
      </w:pPr>
    </w:p>
    <w:p w14:paraId="0144911C">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br w:type="page"/>
      </w:r>
    </w:p>
    <w:p w14:paraId="7CC783FB">
      <w:pPr>
        <w:pStyle w:val="96"/>
        <w:spacing w:before="210" w:after="210"/>
        <w:ind w:left="0" w:leftChars="0" w:firstLine="0" w:firstLineChars="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（三）合同条款响应</w:t>
      </w:r>
    </w:p>
    <w:tbl>
      <w:tblPr>
        <w:tblStyle w:val="28"/>
        <w:tblW w:w="4998"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1059"/>
        <w:gridCol w:w="1661"/>
        <w:gridCol w:w="2700"/>
        <w:gridCol w:w="2715"/>
        <w:gridCol w:w="1375"/>
      </w:tblGrid>
      <w:tr w14:paraId="085DB42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557" w:type="pct"/>
            <w:tcBorders>
              <w:top w:val="single" w:color="auto" w:sz="12" w:space="0"/>
              <w:bottom w:val="single" w:color="auto" w:sz="2" w:space="0"/>
            </w:tcBorders>
            <w:shd w:val="clear" w:color="auto" w:fill="F1F1F1" w:themeFill="background1" w:themeFillShade="F2"/>
            <w:vAlign w:val="center"/>
          </w:tcPr>
          <w:p w14:paraId="2BD75828">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序号</w:t>
            </w:r>
          </w:p>
        </w:tc>
        <w:tc>
          <w:tcPr>
            <w:tcW w:w="873" w:type="pct"/>
            <w:tcBorders>
              <w:top w:val="single" w:color="auto" w:sz="12" w:space="0"/>
              <w:bottom w:val="single" w:color="auto" w:sz="2" w:space="0"/>
            </w:tcBorders>
            <w:shd w:val="clear" w:color="auto" w:fill="F1F1F1" w:themeFill="background1" w:themeFillShade="F2"/>
            <w:vAlign w:val="center"/>
          </w:tcPr>
          <w:p w14:paraId="53502999">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条款名称</w:t>
            </w:r>
          </w:p>
        </w:tc>
        <w:tc>
          <w:tcPr>
            <w:tcW w:w="1419" w:type="pct"/>
            <w:tcBorders>
              <w:top w:val="single" w:color="auto" w:sz="12" w:space="0"/>
              <w:bottom w:val="single" w:color="auto" w:sz="2" w:space="0"/>
            </w:tcBorders>
            <w:shd w:val="clear" w:color="auto" w:fill="F1F1F1" w:themeFill="background1" w:themeFillShade="F2"/>
            <w:vAlign w:val="center"/>
          </w:tcPr>
          <w:p w14:paraId="530C315A">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招标文件合同条款明细</w:t>
            </w:r>
          </w:p>
        </w:tc>
        <w:tc>
          <w:tcPr>
            <w:tcW w:w="1427" w:type="pct"/>
            <w:tcBorders>
              <w:top w:val="single" w:color="auto" w:sz="12" w:space="0"/>
              <w:bottom w:val="single" w:color="auto" w:sz="2" w:space="0"/>
            </w:tcBorders>
            <w:shd w:val="clear" w:color="auto" w:fill="F1F1F1" w:themeFill="background1" w:themeFillShade="F2"/>
            <w:vAlign w:val="center"/>
          </w:tcPr>
          <w:p w14:paraId="46ACEC95">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投标文件合同条款响应</w:t>
            </w:r>
          </w:p>
        </w:tc>
        <w:tc>
          <w:tcPr>
            <w:tcW w:w="722" w:type="pct"/>
            <w:tcBorders>
              <w:top w:val="single" w:color="auto" w:sz="12" w:space="0"/>
              <w:bottom w:val="single" w:color="auto" w:sz="2" w:space="0"/>
            </w:tcBorders>
            <w:shd w:val="clear" w:color="auto" w:fill="F1F1F1" w:themeFill="background1" w:themeFillShade="F2"/>
            <w:vAlign w:val="center"/>
          </w:tcPr>
          <w:p w14:paraId="0E5DB590">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响应说明</w:t>
            </w:r>
          </w:p>
        </w:tc>
      </w:tr>
      <w:tr w14:paraId="0B760AE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557" w:type="pct"/>
            <w:tcBorders>
              <w:top w:val="single" w:color="auto" w:sz="2" w:space="0"/>
            </w:tcBorders>
            <w:vAlign w:val="center"/>
          </w:tcPr>
          <w:p w14:paraId="16E609A0">
            <w:pPr>
              <w:jc w:val="center"/>
              <w:rPr>
                <w:rFonts w:hint="eastAsia" w:ascii="宋体" w:hAnsi="宋体" w:eastAsia="宋体" w:cs="宋体"/>
                <w:sz w:val="24"/>
                <w:szCs w:val="24"/>
                <w:highlight w:val="none"/>
              </w:rPr>
            </w:pPr>
          </w:p>
        </w:tc>
        <w:tc>
          <w:tcPr>
            <w:tcW w:w="873" w:type="pct"/>
            <w:tcBorders>
              <w:top w:val="single" w:color="auto" w:sz="2" w:space="0"/>
            </w:tcBorders>
            <w:vAlign w:val="center"/>
          </w:tcPr>
          <w:p w14:paraId="0DA8AA4C">
            <w:pPr>
              <w:jc w:val="center"/>
              <w:rPr>
                <w:rFonts w:hint="eastAsia" w:ascii="宋体" w:hAnsi="宋体" w:eastAsia="宋体" w:cs="宋体"/>
                <w:sz w:val="24"/>
                <w:szCs w:val="24"/>
                <w:highlight w:val="none"/>
              </w:rPr>
            </w:pPr>
          </w:p>
        </w:tc>
        <w:tc>
          <w:tcPr>
            <w:tcW w:w="1419" w:type="pct"/>
            <w:tcBorders>
              <w:top w:val="single" w:color="auto" w:sz="2" w:space="0"/>
            </w:tcBorders>
            <w:vAlign w:val="center"/>
          </w:tcPr>
          <w:p w14:paraId="58AF126F">
            <w:pPr>
              <w:jc w:val="center"/>
              <w:rPr>
                <w:rFonts w:hint="eastAsia" w:ascii="宋体" w:hAnsi="宋体" w:eastAsia="宋体" w:cs="宋体"/>
                <w:sz w:val="24"/>
                <w:szCs w:val="24"/>
                <w:highlight w:val="none"/>
              </w:rPr>
            </w:pPr>
          </w:p>
        </w:tc>
        <w:tc>
          <w:tcPr>
            <w:tcW w:w="1427" w:type="pct"/>
            <w:tcBorders>
              <w:top w:val="single" w:color="auto" w:sz="2" w:space="0"/>
            </w:tcBorders>
            <w:vAlign w:val="center"/>
          </w:tcPr>
          <w:p w14:paraId="394FFF99">
            <w:pPr>
              <w:jc w:val="center"/>
              <w:rPr>
                <w:rFonts w:hint="eastAsia" w:ascii="宋体" w:hAnsi="宋体" w:eastAsia="宋体" w:cs="宋体"/>
                <w:sz w:val="24"/>
                <w:szCs w:val="24"/>
                <w:highlight w:val="none"/>
              </w:rPr>
            </w:pPr>
          </w:p>
        </w:tc>
        <w:tc>
          <w:tcPr>
            <w:tcW w:w="722" w:type="pct"/>
            <w:tcBorders>
              <w:top w:val="single" w:color="auto" w:sz="2" w:space="0"/>
            </w:tcBorders>
            <w:vAlign w:val="center"/>
          </w:tcPr>
          <w:p w14:paraId="6CD9B568">
            <w:pPr>
              <w:jc w:val="center"/>
              <w:rPr>
                <w:rFonts w:hint="eastAsia" w:ascii="宋体" w:hAnsi="宋体" w:eastAsia="宋体" w:cs="宋体"/>
                <w:sz w:val="24"/>
                <w:szCs w:val="24"/>
                <w:highlight w:val="none"/>
              </w:rPr>
            </w:pPr>
          </w:p>
        </w:tc>
      </w:tr>
      <w:tr w14:paraId="293B86F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557" w:type="pct"/>
            <w:vAlign w:val="center"/>
          </w:tcPr>
          <w:p w14:paraId="09FD63A5">
            <w:pPr>
              <w:jc w:val="center"/>
              <w:rPr>
                <w:rFonts w:hint="eastAsia" w:ascii="宋体" w:hAnsi="宋体" w:eastAsia="宋体" w:cs="宋体"/>
                <w:sz w:val="24"/>
                <w:szCs w:val="24"/>
                <w:highlight w:val="none"/>
              </w:rPr>
            </w:pPr>
          </w:p>
        </w:tc>
        <w:tc>
          <w:tcPr>
            <w:tcW w:w="873" w:type="pct"/>
            <w:vAlign w:val="center"/>
          </w:tcPr>
          <w:p w14:paraId="52D13121">
            <w:pPr>
              <w:jc w:val="center"/>
              <w:rPr>
                <w:rFonts w:hint="eastAsia" w:ascii="宋体" w:hAnsi="宋体" w:eastAsia="宋体" w:cs="宋体"/>
                <w:sz w:val="24"/>
                <w:szCs w:val="24"/>
                <w:highlight w:val="none"/>
              </w:rPr>
            </w:pPr>
          </w:p>
        </w:tc>
        <w:tc>
          <w:tcPr>
            <w:tcW w:w="1419" w:type="pct"/>
            <w:vAlign w:val="center"/>
          </w:tcPr>
          <w:p w14:paraId="045C5E27">
            <w:pPr>
              <w:jc w:val="center"/>
              <w:rPr>
                <w:rFonts w:hint="eastAsia" w:ascii="宋体" w:hAnsi="宋体" w:eastAsia="宋体" w:cs="宋体"/>
                <w:sz w:val="24"/>
                <w:szCs w:val="24"/>
                <w:highlight w:val="none"/>
              </w:rPr>
            </w:pPr>
          </w:p>
        </w:tc>
        <w:tc>
          <w:tcPr>
            <w:tcW w:w="1427" w:type="pct"/>
            <w:vAlign w:val="center"/>
          </w:tcPr>
          <w:p w14:paraId="414109CE">
            <w:pPr>
              <w:jc w:val="center"/>
              <w:rPr>
                <w:rFonts w:hint="eastAsia" w:ascii="宋体" w:hAnsi="宋体" w:eastAsia="宋体" w:cs="宋体"/>
                <w:sz w:val="24"/>
                <w:szCs w:val="24"/>
                <w:highlight w:val="none"/>
              </w:rPr>
            </w:pPr>
          </w:p>
        </w:tc>
        <w:tc>
          <w:tcPr>
            <w:tcW w:w="722" w:type="pct"/>
            <w:vAlign w:val="center"/>
          </w:tcPr>
          <w:p w14:paraId="29BA5F90">
            <w:pPr>
              <w:jc w:val="center"/>
              <w:rPr>
                <w:rFonts w:hint="eastAsia" w:ascii="宋体" w:hAnsi="宋体" w:eastAsia="宋体" w:cs="宋体"/>
                <w:sz w:val="24"/>
                <w:szCs w:val="24"/>
                <w:highlight w:val="none"/>
              </w:rPr>
            </w:pPr>
          </w:p>
        </w:tc>
      </w:tr>
      <w:tr w14:paraId="1BF04D9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557" w:type="pct"/>
            <w:vAlign w:val="center"/>
          </w:tcPr>
          <w:p w14:paraId="4A3D0F02">
            <w:pPr>
              <w:jc w:val="center"/>
              <w:rPr>
                <w:rFonts w:hint="eastAsia" w:ascii="宋体" w:hAnsi="宋体" w:eastAsia="宋体" w:cs="宋体"/>
                <w:sz w:val="24"/>
                <w:szCs w:val="24"/>
                <w:highlight w:val="none"/>
              </w:rPr>
            </w:pPr>
          </w:p>
        </w:tc>
        <w:tc>
          <w:tcPr>
            <w:tcW w:w="873" w:type="pct"/>
            <w:vAlign w:val="center"/>
          </w:tcPr>
          <w:p w14:paraId="6CD09BA2">
            <w:pPr>
              <w:jc w:val="center"/>
              <w:rPr>
                <w:rFonts w:hint="eastAsia" w:ascii="宋体" w:hAnsi="宋体" w:eastAsia="宋体" w:cs="宋体"/>
                <w:sz w:val="24"/>
                <w:szCs w:val="24"/>
                <w:highlight w:val="none"/>
              </w:rPr>
            </w:pPr>
          </w:p>
        </w:tc>
        <w:tc>
          <w:tcPr>
            <w:tcW w:w="1419" w:type="pct"/>
            <w:vAlign w:val="center"/>
          </w:tcPr>
          <w:p w14:paraId="634F5B65">
            <w:pPr>
              <w:jc w:val="center"/>
              <w:rPr>
                <w:rFonts w:hint="eastAsia" w:ascii="宋体" w:hAnsi="宋体" w:eastAsia="宋体" w:cs="宋体"/>
                <w:sz w:val="24"/>
                <w:szCs w:val="24"/>
                <w:highlight w:val="none"/>
              </w:rPr>
            </w:pPr>
          </w:p>
        </w:tc>
        <w:tc>
          <w:tcPr>
            <w:tcW w:w="1427" w:type="pct"/>
            <w:vAlign w:val="center"/>
          </w:tcPr>
          <w:p w14:paraId="560459D7">
            <w:pPr>
              <w:jc w:val="center"/>
              <w:rPr>
                <w:rFonts w:hint="eastAsia" w:ascii="宋体" w:hAnsi="宋体" w:eastAsia="宋体" w:cs="宋体"/>
                <w:sz w:val="24"/>
                <w:szCs w:val="24"/>
                <w:highlight w:val="none"/>
              </w:rPr>
            </w:pPr>
          </w:p>
        </w:tc>
        <w:tc>
          <w:tcPr>
            <w:tcW w:w="722" w:type="pct"/>
            <w:vAlign w:val="center"/>
          </w:tcPr>
          <w:p w14:paraId="74EF1B9C">
            <w:pPr>
              <w:jc w:val="center"/>
              <w:rPr>
                <w:rFonts w:hint="eastAsia" w:ascii="宋体" w:hAnsi="宋体" w:eastAsia="宋体" w:cs="宋体"/>
                <w:sz w:val="24"/>
                <w:szCs w:val="24"/>
                <w:highlight w:val="none"/>
              </w:rPr>
            </w:pPr>
          </w:p>
        </w:tc>
      </w:tr>
      <w:tr w14:paraId="1E6FB56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557" w:type="pct"/>
            <w:vAlign w:val="center"/>
          </w:tcPr>
          <w:p w14:paraId="27EDF054">
            <w:pPr>
              <w:jc w:val="center"/>
              <w:rPr>
                <w:rFonts w:hint="eastAsia" w:ascii="宋体" w:hAnsi="宋体" w:eastAsia="宋体" w:cs="宋体"/>
                <w:sz w:val="24"/>
                <w:szCs w:val="24"/>
                <w:highlight w:val="none"/>
              </w:rPr>
            </w:pPr>
          </w:p>
        </w:tc>
        <w:tc>
          <w:tcPr>
            <w:tcW w:w="873" w:type="pct"/>
            <w:vAlign w:val="center"/>
          </w:tcPr>
          <w:p w14:paraId="159B015D">
            <w:pPr>
              <w:jc w:val="center"/>
              <w:rPr>
                <w:rFonts w:hint="eastAsia" w:ascii="宋体" w:hAnsi="宋体" w:eastAsia="宋体" w:cs="宋体"/>
                <w:sz w:val="24"/>
                <w:szCs w:val="24"/>
                <w:highlight w:val="none"/>
              </w:rPr>
            </w:pPr>
          </w:p>
        </w:tc>
        <w:tc>
          <w:tcPr>
            <w:tcW w:w="1419" w:type="pct"/>
            <w:vAlign w:val="center"/>
          </w:tcPr>
          <w:p w14:paraId="756772BF">
            <w:pPr>
              <w:jc w:val="center"/>
              <w:rPr>
                <w:rFonts w:hint="eastAsia" w:ascii="宋体" w:hAnsi="宋体" w:eastAsia="宋体" w:cs="宋体"/>
                <w:sz w:val="24"/>
                <w:szCs w:val="24"/>
                <w:highlight w:val="none"/>
              </w:rPr>
            </w:pPr>
          </w:p>
        </w:tc>
        <w:tc>
          <w:tcPr>
            <w:tcW w:w="1427" w:type="pct"/>
            <w:vAlign w:val="center"/>
          </w:tcPr>
          <w:p w14:paraId="0FC10498">
            <w:pPr>
              <w:jc w:val="center"/>
              <w:rPr>
                <w:rFonts w:hint="eastAsia" w:ascii="宋体" w:hAnsi="宋体" w:eastAsia="宋体" w:cs="宋体"/>
                <w:sz w:val="24"/>
                <w:szCs w:val="24"/>
                <w:highlight w:val="none"/>
              </w:rPr>
            </w:pPr>
          </w:p>
        </w:tc>
        <w:tc>
          <w:tcPr>
            <w:tcW w:w="722" w:type="pct"/>
            <w:vAlign w:val="center"/>
          </w:tcPr>
          <w:p w14:paraId="487A6286">
            <w:pPr>
              <w:jc w:val="center"/>
              <w:rPr>
                <w:rFonts w:hint="eastAsia" w:ascii="宋体" w:hAnsi="宋体" w:eastAsia="宋体" w:cs="宋体"/>
                <w:sz w:val="24"/>
                <w:szCs w:val="24"/>
                <w:highlight w:val="none"/>
              </w:rPr>
            </w:pPr>
          </w:p>
        </w:tc>
      </w:tr>
      <w:tr w14:paraId="59F760A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557" w:type="pct"/>
            <w:vAlign w:val="center"/>
          </w:tcPr>
          <w:p w14:paraId="63759D21">
            <w:pPr>
              <w:jc w:val="center"/>
              <w:rPr>
                <w:rFonts w:hint="eastAsia" w:ascii="宋体" w:hAnsi="宋体" w:eastAsia="宋体" w:cs="宋体"/>
                <w:sz w:val="24"/>
                <w:szCs w:val="24"/>
                <w:highlight w:val="none"/>
              </w:rPr>
            </w:pPr>
          </w:p>
        </w:tc>
        <w:tc>
          <w:tcPr>
            <w:tcW w:w="873" w:type="pct"/>
            <w:vAlign w:val="center"/>
          </w:tcPr>
          <w:p w14:paraId="1F238995">
            <w:pPr>
              <w:jc w:val="center"/>
              <w:rPr>
                <w:rFonts w:hint="eastAsia" w:ascii="宋体" w:hAnsi="宋体" w:eastAsia="宋体" w:cs="宋体"/>
                <w:sz w:val="24"/>
                <w:szCs w:val="24"/>
                <w:highlight w:val="none"/>
              </w:rPr>
            </w:pPr>
          </w:p>
        </w:tc>
        <w:tc>
          <w:tcPr>
            <w:tcW w:w="1419" w:type="pct"/>
            <w:vAlign w:val="center"/>
          </w:tcPr>
          <w:p w14:paraId="5A8881BB">
            <w:pPr>
              <w:jc w:val="center"/>
              <w:rPr>
                <w:rFonts w:hint="eastAsia" w:ascii="宋体" w:hAnsi="宋体" w:eastAsia="宋体" w:cs="宋体"/>
                <w:sz w:val="24"/>
                <w:szCs w:val="24"/>
                <w:highlight w:val="none"/>
              </w:rPr>
            </w:pPr>
          </w:p>
        </w:tc>
        <w:tc>
          <w:tcPr>
            <w:tcW w:w="1427" w:type="pct"/>
            <w:vAlign w:val="center"/>
          </w:tcPr>
          <w:p w14:paraId="7B3F2895">
            <w:pPr>
              <w:jc w:val="center"/>
              <w:rPr>
                <w:rFonts w:hint="eastAsia" w:ascii="宋体" w:hAnsi="宋体" w:eastAsia="宋体" w:cs="宋体"/>
                <w:sz w:val="24"/>
                <w:szCs w:val="24"/>
                <w:highlight w:val="none"/>
              </w:rPr>
            </w:pPr>
          </w:p>
        </w:tc>
        <w:tc>
          <w:tcPr>
            <w:tcW w:w="722" w:type="pct"/>
            <w:vAlign w:val="center"/>
          </w:tcPr>
          <w:p w14:paraId="2E2CD174">
            <w:pPr>
              <w:jc w:val="center"/>
              <w:rPr>
                <w:rFonts w:hint="eastAsia" w:ascii="宋体" w:hAnsi="宋体" w:eastAsia="宋体" w:cs="宋体"/>
                <w:sz w:val="24"/>
                <w:szCs w:val="24"/>
                <w:highlight w:val="none"/>
              </w:rPr>
            </w:pPr>
          </w:p>
        </w:tc>
      </w:tr>
      <w:tr w14:paraId="3DBDDFD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557" w:type="pct"/>
            <w:vAlign w:val="center"/>
          </w:tcPr>
          <w:p w14:paraId="2FFFB162">
            <w:pPr>
              <w:jc w:val="center"/>
              <w:rPr>
                <w:rFonts w:hint="eastAsia" w:ascii="宋体" w:hAnsi="宋体" w:eastAsia="宋体" w:cs="宋体"/>
                <w:sz w:val="24"/>
                <w:szCs w:val="24"/>
                <w:highlight w:val="none"/>
              </w:rPr>
            </w:pPr>
          </w:p>
        </w:tc>
        <w:tc>
          <w:tcPr>
            <w:tcW w:w="873" w:type="pct"/>
            <w:vAlign w:val="center"/>
          </w:tcPr>
          <w:p w14:paraId="15143164">
            <w:pPr>
              <w:jc w:val="center"/>
              <w:rPr>
                <w:rFonts w:hint="eastAsia" w:ascii="宋体" w:hAnsi="宋体" w:eastAsia="宋体" w:cs="宋体"/>
                <w:sz w:val="24"/>
                <w:szCs w:val="24"/>
                <w:highlight w:val="none"/>
              </w:rPr>
            </w:pPr>
          </w:p>
        </w:tc>
        <w:tc>
          <w:tcPr>
            <w:tcW w:w="1419" w:type="pct"/>
            <w:vAlign w:val="center"/>
          </w:tcPr>
          <w:p w14:paraId="46990C3D">
            <w:pPr>
              <w:jc w:val="center"/>
              <w:rPr>
                <w:rFonts w:hint="eastAsia" w:ascii="宋体" w:hAnsi="宋体" w:eastAsia="宋体" w:cs="宋体"/>
                <w:sz w:val="24"/>
                <w:szCs w:val="24"/>
                <w:highlight w:val="none"/>
              </w:rPr>
            </w:pPr>
          </w:p>
        </w:tc>
        <w:tc>
          <w:tcPr>
            <w:tcW w:w="1427" w:type="pct"/>
            <w:vAlign w:val="center"/>
          </w:tcPr>
          <w:p w14:paraId="05C9C231">
            <w:pPr>
              <w:jc w:val="center"/>
              <w:rPr>
                <w:rFonts w:hint="eastAsia" w:ascii="宋体" w:hAnsi="宋体" w:eastAsia="宋体" w:cs="宋体"/>
                <w:sz w:val="24"/>
                <w:szCs w:val="24"/>
                <w:highlight w:val="none"/>
              </w:rPr>
            </w:pPr>
          </w:p>
        </w:tc>
        <w:tc>
          <w:tcPr>
            <w:tcW w:w="722" w:type="pct"/>
            <w:vAlign w:val="center"/>
          </w:tcPr>
          <w:p w14:paraId="4CA2ACBD">
            <w:pPr>
              <w:jc w:val="center"/>
              <w:rPr>
                <w:rFonts w:hint="eastAsia" w:ascii="宋体" w:hAnsi="宋体" w:eastAsia="宋体" w:cs="宋体"/>
                <w:sz w:val="24"/>
                <w:szCs w:val="24"/>
                <w:highlight w:val="none"/>
              </w:rPr>
            </w:pPr>
          </w:p>
        </w:tc>
      </w:tr>
      <w:tr w14:paraId="4808285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557" w:type="pct"/>
            <w:vAlign w:val="center"/>
          </w:tcPr>
          <w:p w14:paraId="6AC3DB6E">
            <w:pPr>
              <w:jc w:val="center"/>
              <w:rPr>
                <w:rFonts w:hint="eastAsia" w:ascii="宋体" w:hAnsi="宋体" w:eastAsia="宋体" w:cs="宋体"/>
                <w:sz w:val="24"/>
                <w:szCs w:val="24"/>
                <w:highlight w:val="none"/>
              </w:rPr>
            </w:pPr>
          </w:p>
        </w:tc>
        <w:tc>
          <w:tcPr>
            <w:tcW w:w="873" w:type="pct"/>
            <w:vAlign w:val="center"/>
          </w:tcPr>
          <w:p w14:paraId="3E1FDB4F">
            <w:pPr>
              <w:jc w:val="center"/>
              <w:rPr>
                <w:rFonts w:hint="eastAsia" w:ascii="宋体" w:hAnsi="宋体" w:eastAsia="宋体" w:cs="宋体"/>
                <w:sz w:val="24"/>
                <w:szCs w:val="24"/>
                <w:highlight w:val="none"/>
              </w:rPr>
            </w:pPr>
          </w:p>
        </w:tc>
        <w:tc>
          <w:tcPr>
            <w:tcW w:w="1419" w:type="pct"/>
            <w:vAlign w:val="center"/>
          </w:tcPr>
          <w:p w14:paraId="30B529B6">
            <w:pPr>
              <w:jc w:val="center"/>
              <w:rPr>
                <w:rFonts w:hint="eastAsia" w:ascii="宋体" w:hAnsi="宋体" w:eastAsia="宋体" w:cs="宋体"/>
                <w:sz w:val="24"/>
                <w:szCs w:val="24"/>
                <w:highlight w:val="none"/>
              </w:rPr>
            </w:pPr>
          </w:p>
        </w:tc>
        <w:tc>
          <w:tcPr>
            <w:tcW w:w="1427" w:type="pct"/>
            <w:vAlign w:val="center"/>
          </w:tcPr>
          <w:p w14:paraId="29CEF51F">
            <w:pPr>
              <w:jc w:val="center"/>
              <w:rPr>
                <w:rFonts w:hint="eastAsia" w:ascii="宋体" w:hAnsi="宋体" w:eastAsia="宋体" w:cs="宋体"/>
                <w:sz w:val="24"/>
                <w:szCs w:val="24"/>
                <w:highlight w:val="none"/>
              </w:rPr>
            </w:pPr>
          </w:p>
        </w:tc>
        <w:tc>
          <w:tcPr>
            <w:tcW w:w="722" w:type="pct"/>
            <w:vAlign w:val="center"/>
          </w:tcPr>
          <w:p w14:paraId="5B71D87D">
            <w:pPr>
              <w:jc w:val="center"/>
              <w:rPr>
                <w:rFonts w:hint="eastAsia" w:ascii="宋体" w:hAnsi="宋体" w:eastAsia="宋体" w:cs="宋体"/>
                <w:sz w:val="24"/>
                <w:szCs w:val="24"/>
                <w:highlight w:val="none"/>
              </w:rPr>
            </w:pPr>
          </w:p>
        </w:tc>
      </w:tr>
      <w:tr w14:paraId="2488CD2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557" w:type="pct"/>
            <w:vAlign w:val="center"/>
          </w:tcPr>
          <w:p w14:paraId="7E230B7D">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备注</w:t>
            </w:r>
          </w:p>
        </w:tc>
        <w:tc>
          <w:tcPr>
            <w:tcW w:w="4442" w:type="pct"/>
            <w:gridSpan w:val="4"/>
            <w:vAlign w:val="center"/>
          </w:tcPr>
          <w:p w14:paraId="377F179F">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1．“完全接受”的条款无需在本表中列出，按表下方所做“声明”执行；对于需要供应商填报的内容，以及“不能接受”或“有条件接受”的条款，则应写明该条款名称及条款明细、以及供应商所能接受的条件。</w:t>
            </w:r>
          </w:p>
          <w:p w14:paraId="375F941C">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2．因表格空间因有限，不足以容纳响应内容时，允许在表后进行响应，但须在表中注明引用位置，如“见本表下方3.1.1”。</w:t>
            </w:r>
          </w:p>
        </w:tc>
      </w:tr>
    </w:tbl>
    <w:p w14:paraId="7D635A61">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声明：除上表所列的合同条款外，招标文件中的其他合同条款我方均完全接受。</w:t>
      </w:r>
    </w:p>
    <w:p w14:paraId="3946D14F">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b/>
          <w:bCs/>
          <w:sz w:val="24"/>
          <w:szCs w:val="24"/>
          <w:highlight w:val="none"/>
        </w:rPr>
        <w:t>注：如无偏差，供应商不需要填表，但应声明：“本投标文件完全响应</w:t>
      </w:r>
      <w:r>
        <w:rPr>
          <w:rFonts w:hint="eastAsia" w:ascii="宋体" w:hAnsi="宋体" w:eastAsia="宋体" w:cs="宋体"/>
          <w:b/>
          <w:bCs/>
          <w:sz w:val="24"/>
          <w:szCs w:val="24"/>
          <w:highlight w:val="none"/>
          <w:lang w:eastAsia="zh-CN"/>
        </w:rPr>
        <w:t>招</w:t>
      </w:r>
      <w:r>
        <w:rPr>
          <w:rFonts w:hint="eastAsia" w:ascii="宋体" w:hAnsi="宋体" w:eastAsia="宋体" w:cs="宋体"/>
          <w:b/>
          <w:bCs/>
          <w:sz w:val="24"/>
          <w:szCs w:val="24"/>
          <w:highlight w:val="none"/>
        </w:rPr>
        <w:t>标文件所有条款的要求，无偏离。</w:t>
      </w:r>
      <w:r>
        <w:rPr>
          <w:rFonts w:hint="eastAsia" w:ascii="宋体" w:hAnsi="宋体" w:eastAsia="宋体" w:cs="宋体"/>
          <w:sz w:val="24"/>
          <w:szCs w:val="24"/>
          <w:highlight w:val="none"/>
        </w:rPr>
        <w:t>”</w:t>
      </w:r>
    </w:p>
    <w:p w14:paraId="2B11D0C3">
      <w:pPr>
        <w:spacing w:line="560" w:lineRule="exact"/>
        <w:ind w:firstLine="2656" w:firstLineChars="1107"/>
        <w:jc w:val="right"/>
        <w:rPr>
          <w:rFonts w:hint="eastAsia" w:ascii="宋体" w:hAnsi="宋体" w:eastAsia="宋体" w:cs="宋体"/>
          <w:sz w:val="24"/>
          <w:szCs w:val="24"/>
          <w:highlight w:val="none"/>
        </w:rPr>
      </w:pPr>
      <w:r>
        <w:rPr>
          <w:rFonts w:hint="eastAsia" w:ascii="宋体" w:hAnsi="宋体" w:eastAsia="宋体" w:cs="宋体"/>
          <w:sz w:val="24"/>
          <w:szCs w:val="24"/>
          <w:highlight w:val="none"/>
        </w:rPr>
        <w:t>供应商：（供应商全称并加盖公章）</w:t>
      </w:r>
    </w:p>
    <w:p w14:paraId="481309AD">
      <w:pPr>
        <w:spacing w:line="560" w:lineRule="exact"/>
        <w:ind w:firstLine="2656" w:firstLineChars="1107"/>
        <w:jc w:val="right"/>
        <w:rPr>
          <w:rFonts w:hint="eastAsia" w:ascii="宋体" w:hAnsi="宋体" w:eastAsia="宋体" w:cs="宋体"/>
          <w:sz w:val="24"/>
          <w:szCs w:val="24"/>
          <w:highlight w:val="none"/>
        </w:rPr>
      </w:pPr>
      <w:r>
        <w:rPr>
          <w:rFonts w:hint="eastAsia" w:ascii="宋体" w:hAnsi="宋体" w:eastAsia="宋体" w:cs="宋体"/>
          <w:sz w:val="24"/>
          <w:szCs w:val="24"/>
          <w:highlight w:val="none"/>
        </w:rPr>
        <w:t>日  期：    年  月  日</w:t>
      </w:r>
    </w:p>
    <w:p w14:paraId="3648F388">
      <w:pPr>
        <w:spacing w:line="560" w:lineRule="exact"/>
        <w:jc w:val="both"/>
        <w:rPr>
          <w:rFonts w:hint="eastAsia" w:ascii="宋体" w:hAnsi="宋体" w:eastAsia="宋体" w:cs="宋体"/>
          <w:sz w:val="24"/>
          <w:szCs w:val="24"/>
          <w:highlight w:val="none"/>
        </w:rPr>
      </w:pPr>
      <w:r>
        <w:rPr>
          <w:rFonts w:hint="eastAsia" w:ascii="宋体" w:hAnsi="宋体" w:eastAsia="宋体" w:cs="宋体"/>
          <w:sz w:val="24"/>
          <w:szCs w:val="24"/>
          <w:highlight w:val="none"/>
        </w:rPr>
        <w:br w:type="page"/>
      </w:r>
    </w:p>
    <w:p w14:paraId="2FC668BE">
      <w:pPr>
        <w:pStyle w:val="96"/>
        <w:spacing w:before="210" w:after="210" w:line="240" w:lineRule="auto"/>
        <w:ind w:left="0" w:leftChars="0" w:firstLine="0" w:firstLineChars="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（四）其他需要供应商提供的材料</w:t>
      </w:r>
    </w:p>
    <w:p w14:paraId="351C67E6">
      <w:pPr>
        <w:spacing w:line="240" w:lineRule="auto"/>
        <w:ind w:firstLine="480" w:firstLineChars="200"/>
        <w:jc w:val="both"/>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1．项目实施人员情况表</w:t>
      </w:r>
    </w:p>
    <w:tbl>
      <w:tblPr>
        <w:tblStyle w:val="28"/>
        <w:tblW w:w="503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78"/>
        <w:gridCol w:w="1002"/>
        <w:gridCol w:w="1310"/>
        <w:gridCol w:w="25"/>
        <w:gridCol w:w="1411"/>
        <w:gridCol w:w="17"/>
        <w:gridCol w:w="8"/>
        <w:gridCol w:w="1633"/>
        <w:gridCol w:w="1806"/>
        <w:gridCol w:w="1185"/>
      </w:tblGrid>
      <w:tr w14:paraId="643F3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5000" w:type="pct"/>
            <w:gridSpan w:val="10"/>
            <w:tcBorders>
              <w:top w:val="single" w:color="auto" w:sz="12" w:space="0"/>
              <w:left w:val="single" w:color="auto" w:sz="12" w:space="0"/>
              <w:bottom w:val="single" w:color="auto" w:sz="6" w:space="0"/>
              <w:right w:val="single" w:color="auto" w:sz="12" w:space="0"/>
            </w:tcBorders>
            <w:shd w:val="clear" w:color="auto" w:fill="F1F1F1" w:themeFill="background1" w:themeFillShade="F2"/>
            <w:vAlign w:val="center"/>
          </w:tcPr>
          <w:p w14:paraId="51B8E543">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项目负责人</w:t>
            </w:r>
          </w:p>
        </w:tc>
      </w:tr>
      <w:tr w14:paraId="5A66E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jc w:val="center"/>
        </w:trPr>
        <w:tc>
          <w:tcPr>
            <w:tcW w:w="615" w:type="pct"/>
            <w:tcBorders>
              <w:top w:val="single" w:color="auto" w:sz="6" w:space="0"/>
              <w:left w:val="single" w:color="auto" w:sz="12" w:space="0"/>
              <w:bottom w:val="single" w:color="auto" w:sz="6" w:space="0"/>
              <w:right w:val="single" w:color="auto" w:sz="6" w:space="0"/>
            </w:tcBorders>
            <w:vAlign w:val="center"/>
          </w:tcPr>
          <w:p w14:paraId="4CE82747">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姓名</w:t>
            </w:r>
          </w:p>
        </w:tc>
        <w:tc>
          <w:tcPr>
            <w:tcW w:w="523" w:type="pct"/>
            <w:tcBorders>
              <w:left w:val="single" w:color="auto" w:sz="6" w:space="0"/>
            </w:tcBorders>
            <w:vAlign w:val="center"/>
          </w:tcPr>
          <w:p w14:paraId="42F4901A">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年龄</w:t>
            </w:r>
          </w:p>
        </w:tc>
        <w:tc>
          <w:tcPr>
            <w:tcW w:w="684" w:type="pct"/>
            <w:vAlign w:val="center"/>
          </w:tcPr>
          <w:p w14:paraId="6E843B80">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资格</w:t>
            </w:r>
          </w:p>
        </w:tc>
        <w:tc>
          <w:tcPr>
            <w:tcW w:w="750" w:type="pct"/>
            <w:gridSpan w:val="2"/>
            <w:vAlign w:val="center"/>
          </w:tcPr>
          <w:p w14:paraId="441B8CD9">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职称</w:t>
            </w:r>
          </w:p>
        </w:tc>
        <w:tc>
          <w:tcPr>
            <w:tcW w:w="866" w:type="pct"/>
            <w:gridSpan w:val="3"/>
            <w:vAlign w:val="center"/>
          </w:tcPr>
          <w:p w14:paraId="25A2916B">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在本行业从业工作年限</w:t>
            </w:r>
          </w:p>
        </w:tc>
        <w:tc>
          <w:tcPr>
            <w:tcW w:w="943" w:type="pct"/>
            <w:tcBorders>
              <w:right w:val="single" w:color="auto" w:sz="2" w:space="0"/>
            </w:tcBorders>
            <w:vAlign w:val="center"/>
          </w:tcPr>
          <w:p w14:paraId="304752AE">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主要工作业绩和经历</w:t>
            </w:r>
          </w:p>
        </w:tc>
        <w:tc>
          <w:tcPr>
            <w:tcW w:w="614" w:type="pct"/>
            <w:tcBorders>
              <w:left w:val="single" w:color="auto" w:sz="2" w:space="0"/>
              <w:right w:val="single" w:color="auto" w:sz="12" w:space="0"/>
            </w:tcBorders>
            <w:vAlign w:val="center"/>
          </w:tcPr>
          <w:p w14:paraId="4E382A91">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拟派分工</w:t>
            </w:r>
          </w:p>
        </w:tc>
      </w:tr>
      <w:tr w14:paraId="49BFE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615" w:type="pct"/>
            <w:tcBorders>
              <w:top w:val="single" w:color="auto" w:sz="6" w:space="0"/>
              <w:left w:val="single" w:color="auto" w:sz="12" w:space="0"/>
              <w:bottom w:val="single" w:color="auto" w:sz="6" w:space="0"/>
              <w:right w:val="single" w:color="auto" w:sz="6" w:space="0"/>
            </w:tcBorders>
            <w:vAlign w:val="center"/>
          </w:tcPr>
          <w:p w14:paraId="0F40525D">
            <w:pPr>
              <w:jc w:val="both"/>
              <w:rPr>
                <w:rFonts w:hint="eastAsia" w:ascii="宋体" w:hAnsi="宋体" w:eastAsia="宋体" w:cs="宋体"/>
                <w:sz w:val="24"/>
                <w:szCs w:val="24"/>
                <w:highlight w:val="none"/>
              </w:rPr>
            </w:pPr>
          </w:p>
        </w:tc>
        <w:tc>
          <w:tcPr>
            <w:tcW w:w="523" w:type="pct"/>
            <w:tcBorders>
              <w:left w:val="single" w:color="auto" w:sz="6" w:space="0"/>
            </w:tcBorders>
            <w:vAlign w:val="center"/>
          </w:tcPr>
          <w:p w14:paraId="0E4B3AB6">
            <w:pPr>
              <w:jc w:val="both"/>
              <w:rPr>
                <w:rFonts w:hint="eastAsia" w:ascii="宋体" w:hAnsi="宋体" w:eastAsia="宋体" w:cs="宋体"/>
                <w:sz w:val="24"/>
                <w:szCs w:val="24"/>
                <w:highlight w:val="none"/>
              </w:rPr>
            </w:pPr>
          </w:p>
        </w:tc>
        <w:tc>
          <w:tcPr>
            <w:tcW w:w="684" w:type="pct"/>
            <w:vAlign w:val="center"/>
          </w:tcPr>
          <w:p w14:paraId="77CDDD10">
            <w:pPr>
              <w:jc w:val="both"/>
              <w:rPr>
                <w:rFonts w:hint="eastAsia" w:ascii="宋体" w:hAnsi="宋体" w:eastAsia="宋体" w:cs="宋体"/>
                <w:sz w:val="24"/>
                <w:szCs w:val="24"/>
                <w:highlight w:val="none"/>
              </w:rPr>
            </w:pPr>
          </w:p>
        </w:tc>
        <w:tc>
          <w:tcPr>
            <w:tcW w:w="750" w:type="pct"/>
            <w:gridSpan w:val="2"/>
            <w:vAlign w:val="center"/>
          </w:tcPr>
          <w:p w14:paraId="2ED42B08">
            <w:pPr>
              <w:jc w:val="both"/>
              <w:rPr>
                <w:rFonts w:hint="eastAsia" w:ascii="宋体" w:hAnsi="宋体" w:eastAsia="宋体" w:cs="宋体"/>
                <w:sz w:val="24"/>
                <w:szCs w:val="24"/>
                <w:highlight w:val="none"/>
              </w:rPr>
            </w:pPr>
          </w:p>
        </w:tc>
        <w:tc>
          <w:tcPr>
            <w:tcW w:w="866" w:type="pct"/>
            <w:gridSpan w:val="3"/>
            <w:vAlign w:val="center"/>
          </w:tcPr>
          <w:p w14:paraId="67024D99">
            <w:pPr>
              <w:jc w:val="both"/>
              <w:rPr>
                <w:rFonts w:hint="eastAsia" w:ascii="宋体" w:hAnsi="宋体" w:eastAsia="宋体" w:cs="宋体"/>
                <w:sz w:val="24"/>
                <w:szCs w:val="24"/>
                <w:highlight w:val="none"/>
              </w:rPr>
            </w:pPr>
          </w:p>
        </w:tc>
        <w:tc>
          <w:tcPr>
            <w:tcW w:w="943" w:type="pct"/>
            <w:tcBorders>
              <w:right w:val="single" w:color="auto" w:sz="2" w:space="0"/>
            </w:tcBorders>
            <w:vAlign w:val="center"/>
          </w:tcPr>
          <w:p w14:paraId="1D21B17D">
            <w:pPr>
              <w:jc w:val="both"/>
              <w:rPr>
                <w:rFonts w:hint="eastAsia" w:ascii="宋体" w:hAnsi="宋体" w:eastAsia="宋体" w:cs="宋体"/>
                <w:sz w:val="24"/>
                <w:szCs w:val="24"/>
                <w:highlight w:val="none"/>
              </w:rPr>
            </w:pPr>
          </w:p>
        </w:tc>
        <w:tc>
          <w:tcPr>
            <w:tcW w:w="614" w:type="pct"/>
            <w:tcBorders>
              <w:left w:val="single" w:color="auto" w:sz="2" w:space="0"/>
              <w:right w:val="single" w:color="auto" w:sz="12" w:space="0"/>
            </w:tcBorders>
            <w:vAlign w:val="center"/>
          </w:tcPr>
          <w:p w14:paraId="3AE082AF">
            <w:pPr>
              <w:jc w:val="both"/>
              <w:rPr>
                <w:rFonts w:hint="eastAsia" w:ascii="宋体" w:hAnsi="宋体" w:eastAsia="宋体" w:cs="宋体"/>
                <w:sz w:val="24"/>
                <w:szCs w:val="24"/>
                <w:highlight w:val="none"/>
              </w:rPr>
            </w:pPr>
          </w:p>
        </w:tc>
      </w:tr>
      <w:tr w14:paraId="3F0F8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615" w:type="pct"/>
            <w:tcBorders>
              <w:top w:val="single" w:color="auto" w:sz="6" w:space="0"/>
              <w:left w:val="single" w:color="auto" w:sz="12" w:space="0"/>
              <w:bottom w:val="single" w:color="auto" w:sz="6" w:space="0"/>
              <w:right w:val="single" w:color="auto" w:sz="6" w:space="0"/>
            </w:tcBorders>
            <w:vAlign w:val="center"/>
          </w:tcPr>
          <w:p w14:paraId="1A9350DE">
            <w:pPr>
              <w:jc w:val="both"/>
              <w:rPr>
                <w:rFonts w:hint="eastAsia" w:ascii="宋体" w:hAnsi="宋体" w:eastAsia="宋体" w:cs="宋体"/>
                <w:sz w:val="24"/>
                <w:szCs w:val="24"/>
                <w:highlight w:val="none"/>
              </w:rPr>
            </w:pPr>
          </w:p>
        </w:tc>
        <w:tc>
          <w:tcPr>
            <w:tcW w:w="523" w:type="pct"/>
            <w:tcBorders>
              <w:left w:val="single" w:color="auto" w:sz="6" w:space="0"/>
            </w:tcBorders>
            <w:vAlign w:val="center"/>
          </w:tcPr>
          <w:p w14:paraId="060EB2FC">
            <w:pPr>
              <w:jc w:val="both"/>
              <w:rPr>
                <w:rFonts w:hint="eastAsia" w:ascii="宋体" w:hAnsi="宋体" w:eastAsia="宋体" w:cs="宋体"/>
                <w:sz w:val="24"/>
                <w:szCs w:val="24"/>
                <w:highlight w:val="none"/>
              </w:rPr>
            </w:pPr>
          </w:p>
        </w:tc>
        <w:tc>
          <w:tcPr>
            <w:tcW w:w="684" w:type="pct"/>
            <w:vAlign w:val="center"/>
          </w:tcPr>
          <w:p w14:paraId="6683A14F">
            <w:pPr>
              <w:jc w:val="both"/>
              <w:rPr>
                <w:rFonts w:hint="eastAsia" w:ascii="宋体" w:hAnsi="宋体" w:eastAsia="宋体" w:cs="宋体"/>
                <w:sz w:val="24"/>
                <w:szCs w:val="24"/>
                <w:highlight w:val="none"/>
              </w:rPr>
            </w:pPr>
          </w:p>
        </w:tc>
        <w:tc>
          <w:tcPr>
            <w:tcW w:w="750" w:type="pct"/>
            <w:gridSpan w:val="2"/>
            <w:vAlign w:val="center"/>
          </w:tcPr>
          <w:p w14:paraId="303C19D6">
            <w:pPr>
              <w:jc w:val="both"/>
              <w:rPr>
                <w:rFonts w:hint="eastAsia" w:ascii="宋体" w:hAnsi="宋体" w:eastAsia="宋体" w:cs="宋体"/>
                <w:sz w:val="24"/>
                <w:szCs w:val="24"/>
                <w:highlight w:val="none"/>
              </w:rPr>
            </w:pPr>
          </w:p>
        </w:tc>
        <w:tc>
          <w:tcPr>
            <w:tcW w:w="866" w:type="pct"/>
            <w:gridSpan w:val="3"/>
            <w:vAlign w:val="center"/>
          </w:tcPr>
          <w:p w14:paraId="3851E798">
            <w:pPr>
              <w:jc w:val="both"/>
              <w:rPr>
                <w:rFonts w:hint="eastAsia" w:ascii="宋体" w:hAnsi="宋体" w:eastAsia="宋体" w:cs="宋体"/>
                <w:sz w:val="24"/>
                <w:szCs w:val="24"/>
                <w:highlight w:val="none"/>
              </w:rPr>
            </w:pPr>
          </w:p>
        </w:tc>
        <w:tc>
          <w:tcPr>
            <w:tcW w:w="943" w:type="pct"/>
            <w:tcBorders>
              <w:right w:val="single" w:color="auto" w:sz="2" w:space="0"/>
            </w:tcBorders>
            <w:vAlign w:val="center"/>
          </w:tcPr>
          <w:p w14:paraId="2A1A7646">
            <w:pPr>
              <w:jc w:val="both"/>
              <w:rPr>
                <w:rFonts w:hint="eastAsia" w:ascii="宋体" w:hAnsi="宋体" w:eastAsia="宋体" w:cs="宋体"/>
                <w:sz w:val="24"/>
                <w:szCs w:val="24"/>
                <w:highlight w:val="none"/>
              </w:rPr>
            </w:pPr>
          </w:p>
        </w:tc>
        <w:tc>
          <w:tcPr>
            <w:tcW w:w="614" w:type="pct"/>
            <w:tcBorders>
              <w:left w:val="single" w:color="auto" w:sz="2" w:space="0"/>
              <w:right w:val="single" w:color="auto" w:sz="12" w:space="0"/>
            </w:tcBorders>
            <w:vAlign w:val="center"/>
          </w:tcPr>
          <w:p w14:paraId="43F8EDE0">
            <w:pPr>
              <w:jc w:val="both"/>
              <w:rPr>
                <w:rFonts w:hint="eastAsia" w:ascii="宋体" w:hAnsi="宋体" w:eastAsia="宋体" w:cs="宋体"/>
                <w:sz w:val="24"/>
                <w:szCs w:val="24"/>
                <w:highlight w:val="none"/>
              </w:rPr>
            </w:pPr>
          </w:p>
        </w:tc>
      </w:tr>
      <w:tr w14:paraId="4758C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5000" w:type="pct"/>
            <w:gridSpan w:val="10"/>
            <w:tcBorders>
              <w:top w:val="single" w:color="auto" w:sz="6" w:space="0"/>
              <w:left w:val="single" w:color="auto" w:sz="12" w:space="0"/>
              <w:bottom w:val="single" w:color="auto" w:sz="6" w:space="0"/>
              <w:right w:val="single" w:color="auto" w:sz="12" w:space="0"/>
            </w:tcBorders>
            <w:shd w:val="clear" w:color="auto" w:fill="F1F1F1" w:themeFill="background1" w:themeFillShade="F2"/>
            <w:vAlign w:val="center"/>
          </w:tcPr>
          <w:p w14:paraId="238F3AB9">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管理人员</w:t>
            </w:r>
          </w:p>
        </w:tc>
      </w:tr>
      <w:tr w14:paraId="734E2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jc w:val="center"/>
        </w:trPr>
        <w:tc>
          <w:tcPr>
            <w:tcW w:w="615" w:type="pct"/>
            <w:tcBorders>
              <w:top w:val="single" w:color="auto" w:sz="6" w:space="0"/>
              <w:left w:val="single" w:color="auto" w:sz="12" w:space="0"/>
              <w:bottom w:val="single" w:color="auto" w:sz="6" w:space="0"/>
              <w:right w:val="single" w:color="auto" w:sz="6" w:space="0"/>
            </w:tcBorders>
            <w:vAlign w:val="center"/>
          </w:tcPr>
          <w:p w14:paraId="6992E537">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姓名</w:t>
            </w:r>
          </w:p>
        </w:tc>
        <w:tc>
          <w:tcPr>
            <w:tcW w:w="523" w:type="pct"/>
            <w:tcBorders>
              <w:left w:val="single" w:color="auto" w:sz="6" w:space="0"/>
            </w:tcBorders>
            <w:vAlign w:val="center"/>
          </w:tcPr>
          <w:p w14:paraId="5F1154B3">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年龄</w:t>
            </w:r>
          </w:p>
        </w:tc>
        <w:tc>
          <w:tcPr>
            <w:tcW w:w="684" w:type="pct"/>
            <w:vAlign w:val="center"/>
          </w:tcPr>
          <w:p w14:paraId="4F5645F3">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资格</w:t>
            </w:r>
          </w:p>
        </w:tc>
        <w:tc>
          <w:tcPr>
            <w:tcW w:w="759" w:type="pct"/>
            <w:gridSpan w:val="3"/>
            <w:vAlign w:val="center"/>
          </w:tcPr>
          <w:p w14:paraId="50B5BDE8">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职称</w:t>
            </w:r>
          </w:p>
        </w:tc>
        <w:tc>
          <w:tcPr>
            <w:tcW w:w="857" w:type="pct"/>
            <w:gridSpan w:val="2"/>
            <w:vAlign w:val="center"/>
          </w:tcPr>
          <w:p w14:paraId="7B885059">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在本行业从业工作年限</w:t>
            </w:r>
          </w:p>
        </w:tc>
        <w:tc>
          <w:tcPr>
            <w:tcW w:w="943" w:type="pct"/>
            <w:vAlign w:val="center"/>
          </w:tcPr>
          <w:p w14:paraId="1B3224C4">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主要工作业绩和经历</w:t>
            </w:r>
          </w:p>
        </w:tc>
        <w:tc>
          <w:tcPr>
            <w:tcW w:w="614" w:type="pct"/>
            <w:tcBorders>
              <w:right w:val="single" w:color="auto" w:sz="12" w:space="0"/>
            </w:tcBorders>
            <w:vAlign w:val="center"/>
          </w:tcPr>
          <w:p w14:paraId="1DDD7E4C">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拟派分工</w:t>
            </w:r>
          </w:p>
        </w:tc>
      </w:tr>
      <w:tr w14:paraId="66AEB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615" w:type="pct"/>
            <w:tcBorders>
              <w:top w:val="single" w:color="auto" w:sz="6" w:space="0"/>
              <w:left w:val="single" w:color="auto" w:sz="12" w:space="0"/>
              <w:bottom w:val="single" w:color="auto" w:sz="6" w:space="0"/>
              <w:right w:val="single" w:color="auto" w:sz="6" w:space="0"/>
            </w:tcBorders>
            <w:vAlign w:val="center"/>
          </w:tcPr>
          <w:p w14:paraId="6E787EA1">
            <w:pPr>
              <w:jc w:val="both"/>
              <w:rPr>
                <w:rFonts w:hint="eastAsia" w:ascii="宋体" w:hAnsi="宋体" w:eastAsia="宋体" w:cs="宋体"/>
                <w:sz w:val="24"/>
                <w:szCs w:val="24"/>
                <w:highlight w:val="none"/>
              </w:rPr>
            </w:pPr>
          </w:p>
        </w:tc>
        <w:tc>
          <w:tcPr>
            <w:tcW w:w="523" w:type="pct"/>
            <w:tcBorders>
              <w:left w:val="single" w:color="auto" w:sz="6" w:space="0"/>
            </w:tcBorders>
            <w:vAlign w:val="center"/>
          </w:tcPr>
          <w:p w14:paraId="58CDACFF">
            <w:pPr>
              <w:jc w:val="both"/>
              <w:rPr>
                <w:rFonts w:hint="eastAsia" w:ascii="宋体" w:hAnsi="宋体" w:eastAsia="宋体" w:cs="宋体"/>
                <w:sz w:val="24"/>
                <w:szCs w:val="24"/>
                <w:highlight w:val="none"/>
              </w:rPr>
            </w:pPr>
          </w:p>
        </w:tc>
        <w:tc>
          <w:tcPr>
            <w:tcW w:w="684" w:type="pct"/>
            <w:vAlign w:val="center"/>
          </w:tcPr>
          <w:p w14:paraId="39F078A1">
            <w:pPr>
              <w:jc w:val="both"/>
              <w:rPr>
                <w:rFonts w:hint="eastAsia" w:ascii="宋体" w:hAnsi="宋体" w:eastAsia="宋体" w:cs="宋体"/>
                <w:sz w:val="24"/>
                <w:szCs w:val="24"/>
                <w:highlight w:val="none"/>
              </w:rPr>
            </w:pPr>
          </w:p>
        </w:tc>
        <w:tc>
          <w:tcPr>
            <w:tcW w:w="759" w:type="pct"/>
            <w:gridSpan w:val="3"/>
            <w:vAlign w:val="center"/>
          </w:tcPr>
          <w:p w14:paraId="581F56F5">
            <w:pPr>
              <w:jc w:val="both"/>
              <w:rPr>
                <w:rFonts w:hint="eastAsia" w:ascii="宋体" w:hAnsi="宋体" w:eastAsia="宋体" w:cs="宋体"/>
                <w:sz w:val="24"/>
                <w:szCs w:val="24"/>
                <w:highlight w:val="none"/>
              </w:rPr>
            </w:pPr>
          </w:p>
        </w:tc>
        <w:tc>
          <w:tcPr>
            <w:tcW w:w="857" w:type="pct"/>
            <w:gridSpan w:val="2"/>
            <w:vAlign w:val="center"/>
          </w:tcPr>
          <w:p w14:paraId="2476AC15">
            <w:pPr>
              <w:jc w:val="both"/>
              <w:rPr>
                <w:rFonts w:hint="eastAsia" w:ascii="宋体" w:hAnsi="宋体" w:eastAsia="宋体" w:cs="宋体"/>
                <w:sz w:val="24"/>
                <w:szCs w:val="24"/>
                <w:highlight w:val="none"/>
              </w:rPr>
            </w:pPr>
          </w:p>
        </w:tc>
        <w:tc>
          <w:tcPr>
            <w:tcW w:w="943" w:type="pct"/>
            <w:vAlign w:val="center"/>
          </w:tcPr>
          <w:p w14:paraId="16DDCA6E">
            <w:pPr>
              <w:jc w:val="both"/>
              <w:rPr>
                <w:rFonts w:hint="eastAsia" w:ascii="宋体" w:hAnsi="宋体" w:eastAsia="宋体" w:cs="宋体"/>
                <w:sz w:val="24"/>
                <w:szCs w:val="24"/>
                <w:highlight w:val="none"/>
              </w:rPr>
            </w:pPr>
          </w:p>
        </w:tc>
        <w:tc>
          <w:tcPr>
            <w:tcW w:w="614" w:type="pct"/>
            <w:tcBorders>
              <w:right w:val="single" w:color="auto" w:sz="12" w:space="0"/>
            </w:tcBorders>
            <w:vAlign w:val="center"/>
          </w:tcPr>
          <w:p w14:paraId="61A8CE07">
            <w:pPr>
              <w:jc w:val="both"/>
              <w:rPr>
                <w:rFonts w:hint="eastAsia" w:ascii="宋体" w:hAnsi="宋体" w:eastAsia="宋体" w:cs="宋体"/>
                <w:sz w:val="24"/>
                <w:szCs w:val="24"/>
                <w:highlight w:val="none"/>
              </w:rPr>
            </w:pPr>
          </w:p>
        </w:tc>
      </w:tr>
      <w:tr w14:paraId="377B9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615" w:type="pct"/>
            <w:tcBorders>
              <w:top w:val="single" w:color="auto" w:sz="6" w:space="0"/>
              <w:left w:val="single" w:color="auto" w:sz="12" w:space="0"/>
              <w:bottom w:val="single" w:color="auto" w:sz="6" w:space="0"/>
              <w:right w:val="single" w:color="auto" w:sz="6" w:space="0"/>
            </w:tcBorders>
            <w:vAlign w:val="center"/>
          </w:tcPr>
          <w:p w14:paraId="0D371EA1">
            <w:pPr>
              <w:jc w:val="both"/>
              <w:rPr>
                <w:rFonts w:hint="eastAsia" w:ascii="宋体" w:hAnsi="宋体" w:eastAsia="宋体" w:cs="宋体"/>
                <w:sz w:val="24"/>
                <w:szCs w:val="24"/>
                <w:highlight w:val="none"/>
              </w:rPr>
            </w:pPr>
          </w:p>
        </w:tc>
        <w:tc>
          <w:tcPr>
            <w:tcW w:w="523" w:type="pct"/>
            <w:tcBorders>
              <w:left w:val="single" w:color="auto" w:sz="6" w:space="0"/>
            </w:tcBorders>
            <w:vAlign w:val="center"/>
          </w:tcPr>
          <w:p w14:paraId="68798A5F">
            <w:pPr>
              <w:jc w:val="both"/>
              <w:rPr>
                <w:rFonts w:hint="eastAsia" w:ascii="宋体" w:hAnsi="宋体" w:eastAsia="宋体" w:cs="宋体"/>
                <w:sz w:val="24"/>
                <w:szCs w:val="24"/>
                <w:highlight w:val="none"/>
              </w:rPr>
            </w:pPr>
          </w:p>
        </w:tc>
        <w:tc>
          <w:tcPr>
            <w:tcW w:w="684" w:type="pct"/>
            <w:vAlign w:val="center"/>
          </w:tcPr>
          <w:p w14:paraId="25787FD5">
            <w:pPr>
              <w:jc w:val="both"/>
              <w:rPr>
                <w:rFonts w:hint="eastAsia" w:ascii="宋体" w:hAnsi="宋体" w:eastAsia="宋体" w:cs="宋体"/>
                <w:sz w:val="24"/>
                <w:szCs w:val="24"/>
                <w:highlight w:val="none"/>
              </w:rPr>
            </w:pPr>
          </w:p>
        </w:tc>
        <w:tc>
          <w:tcPr>
            <w:tcW w:w="759" w:type="pct"/>
            <w:gridSpan w:val="3"/>
            <w:vAlign w:val="center"/>
          </w:tcPr>
          <w:p w14:paraId="27CEB4A4">
            <w:pPr>
              <w:jc w:val="both"/>
              <w:rPr>
                <w:rFonts w:hint="eastAsia" w:ascii="宋体" w:hAnsi="宋体" w:eastAsia="宋体" w:cs="宋体"/>
                <w:sz w:val="24"/>
                <w:szCs w:val="24"/>
                <w:highlight w:val="none"/>
              </w:rPr>
            </w:pPr>
          </w:p>
        </w:tc>
        <w:tc>
          <w:tcPr>
            <w:tcW w:w="857" w:type="pct"/>
            <w:gridSpan w:val="2"/>
            <w:vAlign w:val="center"/>
          </w:tcPr>
          <w:p w14:paraId="64F3EC7E">
            <w:pPr>
              <w:jc w:val="both"/>
              <w:rPr>
                <w:rFonts w:hint="eastAsia" w:ascii="宋体" w:hAnsi="宋体" w:eastAsia="宋体" w:cs="宋体"/>
                <w:sz w:val="24"/>
                <w:szCs w:val="24"/>
                <w:highlight w:val="none"/>
              </w:rPr>
            </w:pPr>
          </w:p>
        </w:tc>
        <w:tc>
          <w:tcPr>
            <w:tcW w:w="943" w:type="pct"/>
            <w:vAlign w:val="center"/>
          </w:tcPr>
          <w:p w14:paraId="73E37DB9">
            <w:pPr>
              <w:jc w:val="both"/>
              <w:rPr>
                <w:rFonts w:hint="eastAsia" w:ascii="宋体" w:hAnsi="宋体" w:eastAsia="宋体" w:cs="宋体"/>
                <w:sz w:val="24"/>
                <w:szCs w:val="24"/>
                <w:highlight w:val="none"/>
              </w:rPr>
            </w:pPr>
          </w:p>
        </w:tc>
        <w:tc>
          <w:tcPr>
            <w:tcW w:w="614" w:type="pct"/>
            <w:tcBorders>
              <w:right w:val="single" w:color="auto" w:sz="12" w:space="0"/>
            </w:tcBorders>
            <w:vAlign w:val="center"/>
          </w:tcPr>
          <w:p w14:paraId="18F3DA0B">
            <w:pPr>
              <w:jc w:val="both"/>
              <w:rPr>
                <w:rFonts w:hint="eastAsia" w:ascii="宋体" w:hAnsi="宋体" w:eastAsia="宋体" w:cs="宋体"/>
                <w:sz w:val="24"/>
                <w:szCs w:val="24"/>
                <w:highlight w:val="none"/>
              </w:rPr>
            </w:pPr>
          </w:p>
        </w:tc>
      </w:tr>
      <w:tr w14:paraId="6965F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5000" w:type="pct"/>
            <w:gridSpan w:val="10"/>
            <w:tcBorders>
              <w:top w:val="single" w:color="auto" w:sz="6" w:space="0"/>
              <w:left w:val="single" w:color="auto" w:sz="12" w:space="0"/>
              <w:bottom w:val="single" w:color="auto" w:sz="6" w:space="0"/>
              <w:right w:val="single" w:color="auto" w:sz="12" w:space="0"/>
            </w:tcBorders>
            <w:shd w:val="clear" w:color="auto" w:fill="F1F1F1" w:themeFill="background1" w:themeFillShade="F2"/>
            <w:vAlign w:val="center"/>
          </w:tcPr>
          <w:p w14:paraId="5FD61093">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技术人员/服务人员</w:t>
            </w:r>
          </w:p>
        </w:tc>
      </w:tr>
      <w:tr w14:paraId="35FDE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jc w:val="center"/>
        </w:trPr>
        <w:tc>
          <w:tcPr>
            <w:tcW w:w="615" w:type="pct"/>
            <w:tcBorders>
              <w:top w:val="single" w:color="auto" w:sz="6" w:space="0"/>
              <w:left w:val="single" w:color="auto" w:sz="12" w:space="0"/>
              <w:bottom w:val="single" w:color="auto" w:sz="6" w:space="0"/>
              <w:right w:val="single" w:color="auto" w:sz="6" w:space="0"/>
            </w:tcBorders>
            <w:vAlign w:val="center"/>
          </w:tcPr>
          <w:p w14:paraId="4D26E8FC">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姓名</w:t>
            </w:r>
          </w:p>
        </w:tc>
        <w:tc>
          <w:tcPr>
            <w:tcW w:w="523" w:type="pct"/>
            <w:tcBorders>
              <w:left w:val="single" w:color="auto" w:sz="6" w:space="0"/>
            </w:tcBorders>
            <w:vAlign w:val="center"/>
          </w:tcPr>
          <w:p w14:paraId="38FE1DA2">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年龄</w:t>
            </w:r>
          </w:p>
        </w:tc>
        <w:tc>
          <w:tcPr>
            <w:tcW w:w="697" w:type="pct"/>
            <w:gridSpan w:val="2"/>
            <w:tcBorders>
              <w:right w:val="single" w:color="auto" w:sz="2" w:space="0"/>
            </w:tcBorders>
            <w:vAlign w:val="center"/>
          </w:tcPr>
          <w:p w14:paraId="188997A9">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学历</w:t>
            </w:r>
          </w:p>
        </w:tc>
        <w:tc>
          <w:tcPr>
            <w:tcW w:w="750" w:type="pct"/>
            <w:gridSpan w:val="3"/>
            <w:tcBorders>
              <w:left w:val="single" w:color="auto" w:sz="2" w:space="0"/>
            </w:tcBorders>
            <w:vAlign w:val="center"/>
          </w:tcPr>
          <w:p w14:paraId="548284FB">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职称</w:t>
            </w:r>
          </w:p>
        </w:tc>
        <w:tc>
          <w:tcPr>
            <w:tcW w:w="853" w:type="pct"/>
            <w:vAlign w:val="center"/>
          </w:tcPr>
          <w:p w14:paraId="098E5B1D">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从事类似项目工作年限</w:t>
            </w:r>
          </w:p>
        </w:tc>
        <w:tc>
          <w:tcPr>
            <w:tcW w:w="943" w:type="pct"/>
            <w:vAlign w:val="center"/>
          </w:tcPr>
          <w:p w14:paraId="5EABB699">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主要工作业绩和经历</w:t>
            </w:r>
          </w:p>
        </w:tc>
        <w:tc>
          <w:tcPr>
            <w:tcW w:w="614" w:type="pct"/>
            <w:tcBorders>
              <w:right w:val="single" w:color="auto" w:sz="12" w:space="0"/>
            </w:tcBorders>
            <w:vAlign w:val="center"/>
          </w:tcPr>
          <w:p w14:paraId="2863B3AF">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拟派分工</w:t>
            </w:r>
          </w:p>
        </w:tc>
      </w:tr>
      <w:tr w14:paraId="47D91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615" w:type="pct"/>
            <w:tcBorders>
              <w:top w:val="single" w:color="auto" w:sz="6" w:space="0"/>
              <w:left w:val="single" w:color="auto" w:sz="12" w:space="0"/>
              <w:bottom w:val="single" w:color="auto" w:sz="6" w:space="0"/>
              <w:right w:val="single" w:color="auto" w:sz="6" w:space="0"/>
            </w:tcBorders>
            <w:vAlign w:val="center"/>
          </w:tcPr>
          <w:p w14:paraId="02ADA6DE">
            <w:pPr>
              <w:jc w:val="both"/>
              <w:rPr>
                <w:rFonts w:hint="eastAsia" w:ascii="宋体" w:hAnsi="宋体" w:eastAsia="宋体" w:cs="宋体"/>
                <w:sz w:val="24"/>
                <w:szCs w:val="24"/>
                <w:highlight w:val="none"/>
              </w:rPr>
            </w:pPr>
          </w:p>
        </w:tc>
        <w:tc>
          <w:tcPr>
            <w:tcW w:w="523" w:type="pct"/>
            <w:tcBorders>
              <w:left w:val="single" w:color="auto" w:sz="6" w:space="0"/>
            </w:tcBorders>
            <w:vAlign w:val="center"/>
          </w:tcPr>
          <w:p w14:paraId="7468DC48">
            <w:pPr>
              <w:jc w:val="both"/>
              <w:rPr>
                <w:rFonts w:hint="eastAsia" w:ascii="宋体" w:hAnsi="宋体" w:eastAsia="宋体" w:cs="宋体"/>
                <w:sz w:val="24"/>
                <w:szCs w:val="24"/>
                <w:highlight w:val="none"/>
              </w:rPr>
            </w:pPr>
          </w:p>
        </w:tc>
        <w:tc>
          <w:tcPr>
            <w:tcW w:w="697" w:type="pct"/>
            <w:gridSpan w:val="2"/>
            <w:tcBorders>
              <w:right w:val="single" w:color="auto" w:sz="2" w:space="0"/>
            </w:tcBorders>
            <w:vAlign w:val="center"/>
          </w:tcPr>
          <w:p w14:paraId="15CDBC44">
            <w:pPr>
              <w:jc w:val="both"/>
              <w:rPr>
                <w:rFonts w:hint="eastAsia" w:ascii="宋体" w:hAnsi="宋体" w:eastAsia="宋体" w:cs="宋体"/>
                <w:sz w:val="24"/>
                <w:szCs w:val="24"/>
                <w:highlight w:val="none"/>
              </w:rPr>
            </w:pPr>
          </w:p>
        </w:tc>
        <w:tc>
          <w:tcPr>
            <w:tcW w:w="750" w:type="pct"/>
            <w:gridSpan w:val="3"/>
            <w:tcBorders>
              <w:left w:val="single" w:color="auto" w:sz="2" w:space="0"/>
            </w:tcBorders>
            <w:vAlign w:val="center"/>
          </w:tcPr>
          <w:p w14:paraId="310ECD9D">
            <w:pPr>
              <w:jc w:val="both"/>
              <w:rPr>
                <w:rFonts w:hint="eastAsia" w:ascii="宋体" w:hAnsi="宋体" w:eastAsia="宋体" w:cs="宋体"/>
                <w:sz w:val="24"/>
                <w:szCs w:val="24"/>
                <w:highlight w:val="none"/>
              </w:rPr>
            </w:pPr>
          </w:p>
        </w:tc>
        <w:tc>
          <w:tcPr>
            <w:tcW w:w="853" w:type="pct"/>
            <w:vAlign w:val="center"/>
          </w:tcPr>
          <w:p w14:paraId="6ED89B90">
            <w:pPr>
              <w:jc w:val="both"/>
              <w:rPr>
                <w:rFonts w:hint="eastAsia" w:ascii="宋体" w:hAnsi="宋体" w:eastAsia="宋体" w:cs="宋体"/>
                <w:sz w:val="24"/>
                <w:szCs w:val="24"/>
                <w:highlight w:val="none"/>
              </w:rPr>
            </w:pPr>
          </w:p>
        </w:tc>
        <w:tc>
          <w:tcPr>
            <w:tcW w:w="943" w:type="pct"/>
            <w:vAlign w:val="center"/>
          </w:tcPr>
          <w:p w14:paraId="72382046">
            <w:pPr>
              <w:jc w:val="both"/>
              <w:rPr>
                <w:rFonts w:hint="eastAsia" w:ascii="宋体" w:hAnsi="宋体" w:eastAsia="宋体" w:cs="宋体"/>
                <w:sz w:val="24"/>
                <w:szCs w:val="24"/>
                <w:highlight w:val="none"/>
              </w:rPr>
            </w:pPr>
          </w:p>
        </w:tc>
        <w:tc>
          <w:tcPr>
            <w:tcW w:w="614" w:type="pct"/>
            <w:tcBorders>
              <w:right w:val="single" w:color="auto" w:sz="12" w:space="0"/>
            </w:tcBorders>
            <w:vAlign w:val="center"/>
          </w:tcPr>
          <w:p w14:paraId="22AA1B65">
            <w:pPr>
              <w:jc w:val="both"/>
              <w:rPr>
                <w:rFonts w:hint="eastAsia" w:ascii="宋体" w:hAnsi="宋体" w:eastAsia="宋体" w:cs="宋体"/>
                <w:sz w:val="24"/>
                <w:szCs w:val="24"/>
                <w:highlight w:val="none"/>
              </w:rPr>
            </w:pPr>
          </w:p>
        </w:tc>
      </w:tr>
      <w:tr w14:paraId="601B3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615" w:type="pct"/>
            <w:tcBorders>
              <w:top w:val="single" w:color="auto" w:sz="6" w:space="0"/>
              <w:left w:val="single" w:color="auto" w:sz="12" w:space="0"/>
              <w:bottom w:val="single" w:color="auto" w:sz="6" w:space="0"/>
              <w:right w:val="single" w:color="auto" w:sz="6" w:space="0"/>
            </w:tcBorders>
            <w:vAlign w:val="center"/>
          </w:tcPr>
          <w:p w14:paraId="6776C1E6">
            <w:pPr>
              <w:jc w:val="both"/>
              <w:rPr>
                <w:rFonts w:hint="eastAsia" w:ascii="宋体" w:hAnsi="宋体" w:eastAsia="宋体" w:cs="宋体"/>
                <w:sz w:val="24"/>
                <w:szCs w:val="24"/>
                <w:highlight w:val="none"/>
              </w:rPr>
            </w:pPr>
          </w:p>
        </w:tc>
        <w:tc>
          <w:tcPr>
            <w:tcW w:w="523" w:type="pct"/>
            <w:tcBorders>
              <w:left w:val="single" w:color="auto" w:sz="6" w:space="0"/>
            </w:tcBorders>
            <w:vAlign w:val="center"/>
          </w:tcPr>
          <w:p w14:paraId="1AB235F7">
            <w:pPr>
              <w:jc w:val="both"/>
              <w:rPr>
                <w:rFonts w:hint="eastAsia" w:ascii="宋体" w:hAnsi="宋体" w:eastAsia="宋体" w:cs="宋体"/>
                <w:sz w:val="24"/>
                <w:szCs w:val="24"/>
                <w:highlight w:val="none"/>
              </w:rPr>
            </w:pPr>
          </w:p>
        </w:tc>
        <w:tc>
          <w:tcPr>
            <w:tcW w:w="697" w:type="pct"/>
            <w:gridSpan w:val="2"/>
            <w:tcBorders>
              <w:right w:val="single" w:color="auto" w:sz="2" w:space="0"/>
            </w:tcBorders>
            <w:vAlign w:val="center"/>
          </w:tcPr>
          <w:p w14:paraId="34605BA5">
            <w:pPr>
              <w:jc w:val="both"/>
              <w:rPr>
                <w:rFonts w:hint="eastAsia" w:ascii="宋体" w:hAnsi="宋体" w:eastAsia="宋体" w:cs="宋体"/>
                <w:sz w:val="24"/>
                <w:szCs w:val="24"/>
                <w:highlight w:val="none"/>
              </w:rPr>
            </w:pPr>
          </w:p>
        </w:tc>
        <w:tc>
          <w:tcPr>
            <w:tcW w:w="750" w:type="pct"/>
            <w:gridSpan w:val="3"/>
            <w:tcBorders>
              <w:left w:val="single" w:color="auto" w:sz="2" w:space="0"/>
            </w:tcBorders>
            <w:vAlign w:val="center"/>
          </w:tcPr>
          <w:p w14:paraId="1BC9D0A8">
            <w:pPr>
              <w:jc w:val="both"/>
              <w:rPr>
                <w:rFonts w:hint="eastAsia" w:ascii="宋体" w:hAnsi="宋体" w:eastAsia="宋体" w:cs="宋体"/>
                <w:sz w:val="24"/>
                <w:szCs w:val="24"/>
                <w:highlight w:val="none"/>
              </w:rPr>
            </w:pPr>
          </w:p>
        </w:tc>
        <w:tc>
          <w:tcPr>
            <w:tcW w:w="853" w:type="pct"/>
            <w:vAlign w:val="center"/>
          </w:tcPr>
          <w:p w14:paraId="5A69CC30">
            <w:pPr>
              <w:jc w:val="both"/>
              <w:rPr>
                <w:rFonts w:hint="eastAsia" w:ascii="宋体" w:hAnsi="宋体" w:eastAsia="宋体" w:cs="宋体"/>
                <w:sz w:val="24"/>
                <w:szCs w:val="24"/>
                <w:highlight w:val="none"/>
              </w:rPr>
            </w:pPr>
          </w:p>
        </w:tc>
        <w:tc>
          <w:tcPr>
            <w:tcW w:w="943" w:type="pct"/>
            <w:vAlign w:val="center"/>
          </w:tcPr>
          <w:p w14:paraId="41E83D3F">
            <w:pPr>
              <w:jc w:val="both"/>
              <w:rPr>
                <w:rFonts w:hint="eastAsia" w:ascii="宋体" w:hAnsi="宋体" w:eastAsia="宋体" w:cs="宋体"/>
                <w:sz w:val="24"/>
                <w:szCs w:val="24"/>
                <w:highlight w:val="none"/>
              </w:rPr>
            </w:pPr>
          </w:p>
        </w:tc>
        <w:tc>
          <w:tcPr>
            <w:tcW w:w="614" w:type="pct"/>
            <w:tcBorders>
              <w:right w:val="single" w:color="auto" w:sz="12" w:space="0"/>
            </w:tcBorders>
            <w:vAlign w:val="center"/>
          </w:tcPr>
          <w:p w14:paraId="2F39D718">
            <w:pPr>
              <w:jc w:val="both"/>
              <w:rPr>
                <w:rFonts w:hint="eastAsia" w:ascii="宋体" w:hAnsi="宋体" w:eastAsia="宋体" w:cs="宋体"/>
                <w:sz w:val="24"/>
                <w:szCs w:val="24"/>
                <w:highlight w:val="none"/>
              </w:rPr>
            </w:pPr>
          </w:p>
        </w:tc>
      </w:tr>
      <w:tr w14:paraId="2AF4B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0" w:hRule="atLeast"/>
          <w:jc w:val="center"/>
        </w:trPr>
        <w:tc>
          <w:tcPr>
            <w:tcW w:w="5000" w:type="pct"/>
            <w:gridSpan w:val="10"/>
            <w:tcBorders>
              <w:top w:val="single" w:color="auto" w:sz="6" w:space="0"/>
              <w:left w:val="single" w:color="auto" w:sz="12" w:space="0"/>
              <w:bottom w:val="single" w:color="auto" w:sz="6" w:space="0"/>
              <w:right w:val="single" w:color="auto" w:sz="12" w:space="0"/>
            </w:tcBorders>
            <w:shd w:val="clear" w:color="auto" w:fill="F1F1F1" w:themeFill="background1" w:themeFillShade="F2"/>
            <w:vAlign w:val="center"/>
          </w:tcPr>
          <w:p w14:paraId="006EF169">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辅助人员</w:t>
            </w:r>
          </w:p>
        </w:tc>
      </w:tr>
      <w:tr w14:paraId="3419B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jc w:val="center"/>
        </w:trPr>
        <w:tc>
          <w:tcPr>
            <w:tcW w:w="615" w:type="pct"/>
            <w:tcBorders>
              <w:top w:val="single" w:color="auto" w:sz="6" w:space="0"/>
              <w:left w:val="single" w:color="auto" w:sz="12" w:space="0"/>
              <w:bottom w:val="single" w:color="auto" w:sz="6" w:space="0"/>
              <w:right w:val="single" w:color="auto" w:sz="6" w:space="0"/>
            </w:tcBorders>
            <w:vAlign w:val="center"/>
          </w:tcPr>
          <w:p w14:paraId="199CD407">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姓名</w:t>
            </w:r>
          </w:p>
        </w:tc>
        <w:tc>
          <w:tcPr>
            <w:tcW w:w="523" w:type="pct"/>
            <w:tcBorders>
              <w:left w:val="single" w:color="auto" w:sz="6" w:space="0"/>
            </w:tcBorders>
            <w:vAlign w:val="center"/>
          </w:tcPr>
          <w:p w14:paraId="4CE1ADF5">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年龄</w:t>
            </w:r>
          </w:p>
        </w:tc>
        <w:tc>
          <w:tcPr>
            <w:tcW w:w="697" w:type="pct"/>
            <w:gridSpan w:val="2"/>
            <w:tcBorders>
              <w:right w:val="single" w:color="auto" w:sz="2" w:space="0"/>
            </w:tcBorders>
            <w:vAlign w:val="center"/>
          </w:tcPr>
          <w:p w14:paraId="206506BB">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学历</w:t>
            </w:r>
          </w:p>
        </w:tc>
        <w:tc>
          <w:tcPr>
            <w:tcW w:w="750" w:type="pct"/>
            <w:gridSpan w:val="3"/>
            <w:tcBorders>
              <w:left w:val="single" w:color="auto" w:sz="2" w:space="0"/>
            </w:tcBorders>
            <w:vAlign w:val="center"/>
          </w:tcPr>
          <w:p w14:paraId="03E500C0">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职称</w:t>
            </w:r>
          </w:p>
        </w:tc>
        <w:tc>
          <w:tcPr>
            <w:tcW w:w="853" w:type="pct"/>
            <w:vAlign w:val="center"/>
          </w:tcPr>
          <w:p w14:paraId="1BFCC7C0">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从事类似项目工作年限</w:t>
            </w:r>
          </w:p>
        </w:tc>
        <w:tc>
          <w:tcPr>
            <w:tcW w:w="943" w:type="pct"/>
            <w:vAlign w:val="center"/>
          </w:tcPr>
          <w:p w14:paraId="30A5A651">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主要工作业绩和经历</w:t>
            </w:r>
          </w:p>
        </w:tc>
        <w:tc>
          <w:tcPr>
            <w:tcW w:w="614" w:type="pct"/>
            <w:tcBorders>
              <w:right w:val="single" w:color="auto" w:sz="12" w:space="0"/>
            </w:tcBorders>
            <w:vAlign w:val="center"/>
          </w:tcPr>
          <w:p w14:paraId="32726168">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拟派分工</w:t>
            </w:r>
          </w:p>
        </w:tc>
      </w:tr>
      <w:tr w14:paraId="03370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615" w:type="pct"/>
            <w:tcBorders>
              <w:top w:val="single" w:color="auto" w:sz="6" w:space="0"/>
              <w:left w:val="single" w:color="auto" w:sz="12" w:space="0"/>
              <w:bottom w:val="single" w:color="auto" w:sz="6" w:space="0"/>
              <w:right w:val="single" w:color="auto" w:sz="6" w:space="0"/>
            </w:tcBorders>
            <w:vAlign w:val="center"/>
          </w:tcPr>
          <w:p w14:paraId="523BC159">
            <w:pPr>
              <w:jc w:val="both"/>
              <w:rPr>
                <w:rFonts w:hint="eastAsia" w:ascii="宋体" w:hAnsi="宋体" w:eastAsia="宋体" w:cs="宋体"/>
                <w:sz w:val="24"/>
                <w:szCs w:val="24"/>
                <w:highlight w:val="none"/>
              </w:rPr>
            </w:pPr>
          </w:p>
        </w:tc>
        <w:tc>
          <w:tcPr>
            <w:tcW w:w="523" w:type="pct"/>
            <w:tcBorders>
              <w:left w:val="single" w:color="auto" w:sz="6" w:space="0"/>
            </w:tcBorders>
            <w:vAlign w:val="center"/>
          </w:tcPr>
          <w:p w14:paraId="2CBC6434">
            <w:pPr>
              <w:jc w:val="both"/>
              <w:rPr>
                <w:rFonts w:hint="eastAsia" w:ascii="宋体" w:hAnsi="宋体" w:eastAsia="宋体" w:cs="宋体"/>
                <w:sz w:val="24"/>
                <w:szCs w:val="24"/>
                <w:highlight w:val="none"/>
              </w:rPr>
            </w:pPr>
          </w:p>
        </w:tc>
        <w:tc>
          <w:tcPr>
            <w:tcW w:w="697" w:type="pct"/>
            <w:gridSpan w:val="2"/>
            <w:tcBorders>
              <w:right w:val="single" w:color="auto" w:sz="2" w:space="0"/>
            </w:tcBorders>
            <w:vAlign w:val="center"/>
          </w:tcPr>
          <w:p w14:paraId="07CA5B1D">
            <w:pPr>
              <w:jc w:val="both"/>
              <w:rPr>
                <w:rFonts w:hint="eastAsia" w:ascii="宋体" w:hAnsi="宋体" w:eastAsia="宋体" w:cs="宋体"/>
                <w:sz w:val="24"/>
                <w:szCs w:val="24"/>
                <w:highlight w:val="none"/>
              </w:rPr>
            </w:pPr>
          </w:p>
        </w:tc>
        <w:tc>
          <w:tcPr>
            <w:tcW w:w="750" w:type="pct"/>
            <w:gridSpan w:val="3"/>
            <w:tcBorders>
              <w:left w:val="single" w:color="auto" w:sz="2" w:space="0"/>
            </w:tcBorders>
            <w:vAlign w:val="center"/>
          </w:tcPr>
          <w:p w14:paraId="66BEF1B8">
            <w:pPr>
              <w:jc w:val="both"/>
              <w:rPr>
                <w:rFonts w:hint="eastAsia" w:ascii="宋体" w:hAnsi="宋体" w:eastAsia="宋体" w:cs="宋体"/>
                <w:sz w:val="24"/>
                <w:szCs w:val="24"/>
                <w:highlight w:val="none"/>
              </w:rPr>
            </w:pPr>
          </w:p>
        </w:tc>
        <w:tc>
          <w:tcPr>
            <w:tcW w:w="853" w:type="pct"/>
            <w:vAlign w:val="center"/>
          </w:tcPr>
          <w:p w14:paraId="3F1EEE84">
            <w:pPr>
              <w:jc w:val="both"/>
              <w:rPr>
                <w:rFonts w:hint="eastAsia" w:ascii="宋体" w:hAnsi="宋体" w:eastAsia="宋体" w:cs="宋体"/>
                <w:sz w:val="24"/>
                <w:szCs w:val="24"/>
                <w:highlight w:val="none"/>
              </w:rPr>
            </w:pPr>
          </w:p>
        </w:tc>
        <w:tc>
          <w:tcPr>
            <w:tcW w:w="943" w:type="pct"/>
            <w:vAlign w:val="center"/>
          </w:tcPr>
          <w:p w14:paraId="1F057D29">
            <w:pPr>
              <w:jc w:val="both"/>
              <w:rPr>
                <w:rFonts w:hint="eastAsia" w:ascii="宋体" w:hAnsi="宋体" w:eastAsia="宋体" w:cs="宋体"/>
                <w:sz w:val="24"/>
                <w:szCs w:val="24"/>
                <w:highlight w:val="none"/>
              </w:rPr>
            </w:pPr>
          </w:p>
        </w:tc>
        <w:tc>
          <w:tcPr>
            <w:tcW w:w="614" w:type="pct"/>
            <w:tcBorders>
              <w:right w:val="single" w:color="auto" w:sz="12" w:space="0"/>
            </w:tcBorders>
            <w:vAlign w:val="center"/>
          </w:tcPr>
          <w:p w14:paraId="059FAC5D">
            <w:pPr>
              <w:jc w:val="both"/>
              <w:rPr>
                <w:rFonts w:hint="eastAsia" w:ascii="宋体" w:hAnsi="宋体" w:eastAsia="宋体" w:cs="宋体"/>
                <w:sz w:val="24"/>
                <w:szCs w:val="24"/>
                <w:highlight w:val="none"/>
              </w:rPr>
            </w:pPr>
          </w:p>
        </w:tc>
      </w:tr>
      <w:tr w14:paraId="69460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615" w:type="pct"/>
            <w:tcBorders>
              <w:top w:val="single" w:color="auto" w:sz="6" w:space="0"/>
              <w:left w:val="single" w:color="auto" w:sz="12" w:space="0"/>
              <w:bottom w:val="single" w:color="auto" w:sz="6" w:space="0"/>
              <w:right w:val="single" w:color="auto" w:sz="6" w:space="0"/>
            </w:tcBorders>
            <w:vAlign w:val="center"/>
          </w:tcPr>
          <w:p w14:paraId="45DBC708">
            <w:pPr>
              <w:jc w:val="both"/>
              <w:rPr>
                <w:rFonts w:hint="eastAsia" w:ascii="宋体" w:hAnsi="宋体" w:eastAsia="宋体" w:cs="宋体"/>
                <w:sz w:val="24"/>
                <w:szCs w:val="24"/>
                <w:highlight w:val="none"/>
              </w:rPr>
            </w:pPr>
          </w:p>
        </w:tc>
        <w:tc>
          <w:tcPr>
            <w:tcW w:w="523" w:type="pct"/>
            <w:tcBorders>
              <w:left w:val="single" w:color="auto" w:sz="6" w:space="0"/>
            </w:tcBorders>
            <w:vAlign w:val="center"/>
          </w:tcPr>
          <w:p w14:paraId="04DC9E54">
            <w:pPr>
              <w:jc w:val="both"/>
              <w:rPr>
                <w:rFonts w:hint="eastAsia" w:ascii="宋体" w:hAnsi="宋体" w:eastAsia="宋体" w:cs="宋体"/>
                <w:sz w:val="24"/>
                <w:szCs w:val="24"/>
                <w:highlight w:val="none"/>
              </w:rPr>
            </w:pPr>
          </w:p>
        </w:tc>
        <w:tc>
          <w:tcPr>
            <w:tcW w:w="697" w:type="pct"/>
            <w:gridSpan w:val="2"/>
            <w:tcBorders>
              <w:right w:val="single" w:color="auto" w:sz="2" w:space="0"/>
            </w:tcBorders>
            <w:vAlign w:val="center"/>
          </w:tcPr>
          <w:p w14:paraId="1CF05D68">
            <w:pPr>
              <w:jc w:val="both"/>
              <w:rPr>
                <w:rFonts w:hint="eastAsia" w:ascii="宋体" w:hAnsi="宋体" w:eastAsia="宋体" w:cs="宋体"/>
                <w:sz w:val="24"/>
                <w:szCs w:val="24"/>
                <w:highlight w:val="none"/>
              </w:rPr>
            </w:pPr>
          </w:p>
        </w:tc>
        <w:tc>
          <w:tcPr>
            <w:tcW w:w="750" w:type="pct"/>
            <w:gridSpan w:val="3"/>
            <w:tcBorders>
              <w:left w:val="single" w:color="auto" w:sz="2" w:space="0"/>
            </w:tcBorders>
            <w:vAlign w:val="center"/>
          </w:tcPr>
          <w:p w14:paraId="3EE9AE08">
            <w:pPr>
              <w:jc w:val="both"/>
              <w:rPr>
                <w:rFonts w:hint="eastAsia" w:ascii="宋体" w:hAnsi="宋体" w:eastAsia="宋体" w:cs="宋体"/>
                <w:sz w:val="24"/>
                <w:szCs w:val="24"/>
                <w:highlight w:val="none"/>
              </w:rPr>
            </w:pPr>
          </w:p>
        </w:tc>
        <w:tc>
          <w:tcPr>
            <w:tcW w:w="853" w:type="pct"/>
            <w:vAlign w:val="center"/>
          </w:tcPr>
          <w:p w14:paraId="7E054286">
            <w:pPr>
              <w:jc w:val="both"/>
              <w:rPr>
                <w:rFonts w:hint="eastAsia" w:ascii="宋体" w:hAnsi="宋体" w:eastAsia="宋体" w:cs="宋体"/>
                <w:sz w:val="24"/>
                <w:szCs w:val="24"/>
                <w:highlight w:val="none"/>
              </w:rPr>
            </w:pPr>
          </w:p>
        </w:tc>
        <w:tc>
          <w:tcPr>
            <w:tcW w:w="943" w:type="pct"/>
            <w:vAlign w:val="center"/>
          </w:tcPr>
          <w:p w14:paraId="248115C1">
            <w:pPr>
              <w:jc w:val="both"/>
              <w:rPr>
                <w:rFonts w:hint="eastAsia" w:ascii="宋体" w:hAnsi="宋体" w:eastAsia="宋体" w:cs="宋体"/>
                <w:sz w:val="24"/>
                <w:szCs w:val="24"/>
                <w:highlight w:val="none"/>
              </w:rPr>
            </w:pPr>
          </w:p>
        </w:tc>
        <w:tc>
          <w:tcPr>
            <w:tcW w:w="614" w:type="pct"/>
            <w:tcBorders>
              <w:right w:val="single" w:color="auto" w:sz="12" w:space="0"/>
            </w:tcBorders>
            <w:vAlign w:val="center"/>
          </w:tcPr>
          <w:p w14:paraId="666BDB42">
            <w:pPr>
              <w:jc w:val="both"/>
              <w:rPr>
                <w:rFonts w:hint="eastAsia" w:ascii="宋体" w:hAnsi="宋体" w:eastAsia="宋体" w:cs="宋体"/>
                <w:sz w:val="24"/>
                <w:szCs w:val="24"/>
                <w:highlight w:val="none"/>
              </w:rPr>
            </w:pPr>
          </w:p>
        </w:tc>
      </w:tr>
      <w:tr w14:paraId="4A1DE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5" w:hRule="atLeast"/>
          <w:jc w:val="center"/>
        </w:trPr>
        <w:tc>
          <w:tcPr>
            <w:tcW w:w="615" w:type="pct"/>
            <w:tcBorders>
              <w:top w:val="single" w:color="auto" w:sz="6" w:space="0"/>
              <w:left w:val="single" w:color="auto" w:sz="12" w:space="0"/>
              <w:bottom w:val="single" w:color="auto" w:sz="12" w:space="0"/>
              <w:right w:val="single" w:color="auto" w:sz="6" w:space="0"/>
            </w:tcBorders>
            <w:vAlign w:val="center"/>
          </w:tcPr>
          <w:p w14:paraId="50184E51">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备注</w:t>
            </w:r>
          </w:p>
        </w:tc>
        <w:tc>
          <w:tcPr>
            <w:tcW w:w="4384" w:type="pct"/>
            <w:gridSpan w:val="9"/>
            <w:tcBorders>
              <w:left w:val="single" w:color="auto" w:sz="6" w:space="0"/>
              <w:bottom w:val="single" w:color="auto" w:sz="12" w:space="0"/>
              <w:right w:val="single" w:color="auto" w:sz="12" w:space="0"/>
            </w:tcBorders>
            <w:vAlign w:val="center"/>
          </w:tcPr>
          <w:p w14:paraId="6E00C2F1">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1．表格行数不足时请自行扩展。</w:t>
            </w:r>
          </w:p>
          <w:p w14:paraId="7EF1B920">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2．表中所列“项目负责人、管理人员、技术人员/服务人员、辅助人员”仅为示例，供应商可根据招标文件要求自行安排人员类别。</w:t>
            </w:r>
          </w:p>
          <w:p w14:paraId="3B6E0B24">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3．招标文件对人员“资格\学历\职称”提出要求的，应在本表下方附相应的“资格证\学历证\职称证”等证明文件。</w:t>
            </w:r>
          </w:p>
        </w:tc>
      </w:tr>
    </w:tbl>
    <w:p w14:paraId="5785826F">
      <w:pPr>
        <w:spacing w:line="560" w:lineRule="exact"/>
        <w:ind w:firstLine="2656" w:firstLineChars="1107"/>
        <w:jc w:val="right"/>
        <w:rPr>
          <w:rFonts w:hint="eastAsia" w:ascii="宋体" w:hAnsi="宋体" w:eastAsia="宋体" w:cs="宋体"/>
          <w:sz w:val="24"/>
          <w:szCs w:val="24"/>
          <w:highlight w:val="none"/>
        </w:rPr>
      </w:pPr>
      <w:r>
        <w:rPr>
          <w:rFonts w:hint="eastAsia" w:ascii="宋体" w:hAnsi="宋体" w:eastAsia="宋体" w:cs="宋体"/>
          <w:sz w:val="24"/>
          <w:szCs w:val="24"/>
          <w:highlight w:val="none"/>
        </w:rPr>
        <w:t>供应商：（供应商全称并加盖公章）</w:t>
      </w:r>
    </w:p>
    <w:p w14:paraId="592E563B">
      <w:pPr>
        <w:spacing w:line="560" w:lineRule="exact"/>
        <w:ind w:firstLine="2656" w:firstLineChars="1107"/>
        <w:jc w:val="right"/>
        <w:rPr>
          <w:rFonts w:hint="eastAsia" w:ascii="宋体" w:hAnsi="宋体" w:eastAsia="宋体" w:cs="宋体"/>
          <w:sz w:val="24"/>
          <w:szCs w:val="24"/>
          <w:highlight w:val="none"/>
        </w:rPr>
      </w:pPr>
      <w:r>
        <w:rPr>
          <w:rFonts w:hint="eastAsia" w:ascii="宋体" w:hAnsi="宋体" w:eastAsia="宋体" w:cs="宋体"/>
          <w:sz w:val="24"/>
          <w:szCs w:val="24"/>
          <w:highlight w:val="none"/>
        </w:rPr>
        <w:t>日  期：    年  月  日</w:t>
      </w:r>
    </w:p>
    <w:p w14:paraId="30692156">
      <w:pPr>
        <w:spacing w:line="560" w:lineRule="exact"/>
        <w:ind w:firstLine="480" w:firstLineChars="200"/>
        <w:jc w:val="both"/>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2．业绩</w:t>
      </w:r>
    </w:p>
    <w:p w14:paraId="16AB064C">
      <w:pPr>
        <w:spacing w:line="560" w:lineRule="exact"/>
        <w:ind w:firstLine="480" w:firstLineChars="200"/>
        <w:jc w:val="both"/>
        <w:rPr>
          <w:rFonts w:hint="eastAsia" w:ascii="宋体" w:hAnsi="宋体" w:eastAsia="宋体" w:cs="宋体"/>
          <w:sz w:val="24"/>
          <w:szCs w:val="24"/>
          <w:highlight w:val="none"/>
        </w:rPr>
      </w:pPr>
    </w:p>
    <w:p w14:paraId="2BE0111E">
      <w:pPr>
        <w:spacing w:line="560" w:lineRule="exact"/>
        <w:ind w:firstLine="480" w:firstLineChars="200"/>
        <w:jc w:val="both"/>
        <w:rPr>
          <w:rFonts w:hint="eastAsia" w:ascii="宋体" w:hAnsi="宋体" w:eastAsia="宋体" w:cs="宋体"/>
          <w:sz w:val="24"/>
          <w:szCs w:val="24"/>
          <w:highlight w:val="none"/>
        </w:rPr>
      </w:pPr>
    </w:p>
    <w:p w14:paraId="085974AC">
      <w:pPr>
        <w:spacing w:line="560" w:lineRule="exact"/>
        <w:ind w:firstLine="480" w:firstLineChars="200"/>
        <w:jc w:val="both"/>
        <w:rPr>
          <w:rFonts w:hint="eastAsia" w:ascii="宋体" w:hAnsi="宋体" w:eastAsia="宋体" w:cs="宋体"/>
          <w:sz w:val="24"/>
          <w:szCs w:val="24"/>
          <w:highlight w:val="none"/>
        </w:rPr>
      </w:pPr>
    </w:p>
    <w:p w14:paraId="127A139C">
      <w:pPr>
        <w:spacing w:line="560" w:lineRule="exact"/>
        <w:ind w:firstLine="480" w:firstLineChars="200"/>
        <w:jc w:val="both"/>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3</w:t>
      </w:r>
      <w:r>
        <w:rPr>
          <w:rFonts w:hint="eastAsia" w:ascii="宋体" w:hAnsi="宋体" w:eastAsia="宋体" w:cs="宋体"/>
          <w:b/>
          <w:bCs/>
          <w:sz w:val="24"/>
          <w:szCs w:val="24"/>
          <w:highlight w:val="none"/>
        </w:rPr>
        <w:t>.其他（根据招标文件要求自行补充）</w:t>
      </w:r>
    </w:p>
    <w:p w14:paraId="633E8999">
      <w:pPr>
        <w:rPr>
          <w:rFonts w:hint="eastAsia" w:ascii="宋体" w:hAnsi="宋体" w:eastAsia="宋体" w:cs="宋体"/>
          <w:sz w:val="24"/>
          <w:szCs w:val="24"/>
          <w:highlight w:val="none"/>
        </w:rPr>
      </w:pPr>
    </w:p>
    <w:bookmarkEnd w:id="55"/>
    <w:sectPr>
      <w:headerReference r:id="rId7" w:type="default"/>
      <w:footerReference r:id="rId8" w:type="default"/>
      <w:footerReference r:id="rId9" w:type="even"/>
      <w:pgSz w:w="11906" w:h="16838"/>
      <w:pgMar w:top="1304" w:right="1304" w:bottom="1304" w:left="1304" w:header="851" w:footer="992" w:gutter="0"/>
      <w:pgNumType w:fmt="decimal" w:start="1"/>
      <w:cols w:space="425" w:num="1"/>
      <w:docGrid w:type="linesAndChars" w:linePitch="42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方正小标宋_GBK">
    <w:altName w:val="微软雅黑"/>
    <w:panose1 w:val="00000000000000000000"/>
    <w:charset w:val="86"/>
    <w:family w:val="script"/>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Calibri Light">
    <w:panose1 w:val="020F0302020204030204"/>
    <w:charset w:val="00"/>
    <w:family w:val="swiss"/>
    <w:pitch w:val="default"/>
    <w:sig w:usb0="E4002EFF" w:usb1="C200247B" w:usb2="00000009" w:usb3="00000000" w:csb0="200001FF" w:csb1="00000000"/>
  </w:font>
  <w:font w:name="楷体_GB2312">
    <w:altName w:val="楷体"/>
    <w:panose1 w:val="02010609030101010101"/>
    <w:charset w:val="86"/>
    <w:family w:val="modern"/>
    <w:pitch w:val="default"/>
    <w:sig w:usb0="00000000" w:usb1="00000000" w:usb2="00000000" w:usb3="00000000" w:csb0="00040000" w:csb1="00000000"/>
  </w:font>
  <w:font w:name="华文仿宋">
    <w:altName w:val="仿宋"/>
    <w:panose1 w:val="02010600040101010101"/>
    <w:charset w:val="86"/>
    <w:family w:val="auto"/>
    <w:pitch w:val="default"/>
    <w:sig w:usb0="00000000" w:usb1="00000000" w:usb2="00000000" w:usb3="00000000" w:csb0="0004009F" w:csb1="DFD70000"/>
  </w:font>
  <w:font w:name="华文中宋">
    <w:altName w:val="宋体"/>
    <w:panose1 w:val="02010600040101010101"/>
    <w:charset w:val="86"/>
    <w:family w:val="auto"/>
    <w:pitch w:val="default"/>
    <w:sig w:usb0="00000000" w:usb1="00000000" w:usb2="00000000" w:usb3="00000000" w:csb0="0004009F" w:csb1="DFD70000"/>
  </w:font>
  <w:font w:name="仿宋_GB2312">
    <w:altName w:val="仿宋"/>
    <w:panose1 w:val="02010609030101010101"/>
    <w:charset w:val="86"/>
    <w:family w:val="modern"/>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0ABFFA">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7354DF">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DBF7F5">
    <w:pPr>
      <w:pStyle w:val="19"/>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8A4931">
                          <w:pPr>
                            <w:pStyle w:val="19"/>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182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138A4931">
                    <w:pPr>
                      <w:pStyle w:val="19"/>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182</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7C083B">
    <w:pPr>
      <w:pStyle w:val="19"/>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DA76555">
                          <w:pPr>
                            <w:pStyle w:val="19"/>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182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3DA76555">
                    <w:pPr>
                      <w:pStyle w:val="19"/>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182</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DBBECA">
    <w:pPr>
      <w:pStyle w:val="20"/>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0AAB09">
    <w:pPr>
      <w:pStyle w:val="20"/>
      <w:pBdr>
        <w:bottom w:val="none" w:color="auto" w:sz="0" w:space="1"/>
      </w:pBdr>
      <w:rPr>
        <w:rFonts w:hint="default"/>
        <w:lang w:val="en-U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5B7370">
    <w:pPr>
      <w:pStyle w:val="20"/>
      <w:pBdr>
        <w:bottom w:val="none" w:color="auto" w:sz="0" w:space="1"/>
      </w:pBdr>
      <w:rPr>
        <w:rFonts w:hint="default"/>
        <w:lang w:val="en-US"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D823885"/>
    <w:multiLevelType w:val="singleLevel"/>
    <w:tmpl w:val="9D823885"/>
    <w:lvl w:ilvl="0" w:tentative="0">
      <w:start w:val="4"/>
      <w:numFmt w:val="decimal"/>
      <w:suff w:val="nothing"/>
      <w:lvlText w:val="%1、"/>
      <w:lvlJc w:val="left"/>
    </w:lvl>
  </w:abstractNum>
  <w:abstractNum w:abstractNumId="1">
    <w:nsid w:val="BAC05BA8"/>
    <w:multiLevelType w:val="singleLevel"/>
    <w:tmpl w:val="BAC05BA8"/>
    <w:lvl w:ilvl="0" w:tentative="0">
      <w:start w:val="1"/>
      <w:numFmt w:val="decimal"/>
      <w:suff w:val="nothing"/>
      <w:lvlText w:val="%1、"/>
      <w:lvlJc w:val="left"/>
    </w:lvl>
  </w:abstractNum>
  <w:abstractNum w:abstractNumId="2">
    <w:nsid w:val="BDB16218"/>
    <w:multiLevelType w:val="singleLevel"/>
    <w:tmpl w:val="BDB16218"/>
    <w:lvl w:ilvl="0" w:tentative="0">
      <w:start w:val="1"/>
      <w:numFmt w:val="decimal"/>
      <w:suff w:val="space"/>
      <w:lvlText w:val="%1."/>
      <w:lvlJc w:val="left"/>
    </w:lvl>
  </w:abstractNum>
  <w:abstractNum w:abstractNumId="3">
    <w:nsid w:val="E20C5545"/>
    <w:multiLevelType w:val="singleLevel"/>
    <w:tmpl w:val="E20C5545"/>
    <w:lvl w:ilvl="0" w:tentative="0">
      <w:start w:val="6"/>
      <w:numFmt w:val="decimal"/>
      <w:suff w:val="nothing"/>
      <w:lvlText w:val="%1、"/>
      <w:lvlJc w:val="left"/>
    </w:lvl>
  </w:abstractNum>
  <w:abstractNum w:abstractNumId="4">
    <w:nsid w:val="E3B88C10"/>
    <w:multiLevelType w:val="singleLevel"/>
    <w:tmpl w:val="E3B88C10"/>
    <w:lvl w:ilvl="0" w:tentative="0">
      <w:start w:val="1"/>
      <w:numFmt w:val="decimal"/>
      <w:suff w:val="nothing"/>
      <w:lvlText w:val="%1、"/>
      <w:lvlJc w:val="left"/>
    </w:lvl>
  </w:abstractNum>
  <w:abstractNum w:abstractNumId="5">
    <w:nsid w:val="55377AAD"/>
    <w:multiLevelType w:val="singleLevel"/>
    <w:tmpl w:val="55377AAD"/>
    <w:lvl w:ilvl="0" w:tentative="0">
      <w:start w:val="2"/>
      <w:numFmt w:val="chineseCounting"/>
      <w:suff w:val="nothing"/>
      <w:lvlText w:val="%1、"/>
      <w:lvlJc w:val="left"/>
      <w:rPr>
        <w:rFonts w:hint="eastAsia"/>
      </w:rPr>
    </w:lvl>
  </w:abstractNum>
  <w:abstractNum w:abstractNumId="6">
    <w:nsid w:val="5D75D3AF"/>
    <w:multiLevelType w:val="singleLevel"/>
    <w:tmpl w:val="5D75D3AF"/>
    <w:lvl w:ilvl="0" w:tentative="0">
      <w:start w:val="1"/>
      <w:numFmt w:val="chineseCounting"/>
      <w:suff w:val="nothing"/>
      <w:lvlText w:val="%1、"/>
      <w:lvlJc w:val="left"/>
      <w:rPr>
        <w:rFonts w:hint="eastAsia"/>
      </w:rPr>
    </w:lvl>
  </w:abstractNum>
  <w:abstractNum w:abstractNumId="7">
    <w:nsid w:val="6D4132C2"/>
    <w:multiLevelType w:val="multilevel"/>
    <w:tmpl w:val="6D4132C2"/>
    <w:lvl w:ilvl="0" w:tentative="0">
      <w:start w:val="1"/>
      <w:numFmt w:val="none"/>
      <w:suff w:val="nothing"/>
      <w:lvlText w:val=""/>
      <w:lvlJc w:val="center"/>
      <w:pPr>
        <w:ind w:left="0" w:firstLine="0"/>
      </w:pPr>
      <w:rPr>
        <w:rFonts w:hint="default" w:ascii="Calibri" w:hAnsi="Calibri" w:eastAsia="黑体"/>
        <w:b w:val="0"/>
        <w:i w:val="0"/>
        <w:caps w:val="0"/>
        <w:strike w:val="0"/>
        <w:dstrike w:val="0"/>
        <w:snapToGrid/>
        <w:vanish w:val="0"/>
        <w:spacing w:val="0"/>
        <w:w w:val="100"/>
        <w:kern w:val="44"/>
        <w:position w:val="0"/>
        <w:sz w:val="32"/>
        <w:vertAlign w:val="baseline"/>
        <w14:cntxtalts w14:val="0"/>
      </w:rPr>
    </w:lvl>
    <w:lvl w:ilvl="1" w:tentative="0">
      <w:start w:val="1"/>
      <w:numFmt w:val="none"/>
      <w:suff w:val="nothing"/>
      <w:lvlText w:val=""/>
      <w:lvlJc w:val="left"/>
      <w:pPr>
        <w:ind w:left="0" w:firstLine="0"/>
      </w:pPr>
      <w:rPr>
        <w:rFonts w:hint="default" w:ascii="Calibri" w:hAnsi="Calibri" w:eastAsia="黑体"/>
        <w:b w:val="0"/>
        <w:i w:val="0"/>
        <w:caps w:val="0"/>
        <w:strike w:val="0"/>
        <w:dstrike w:val="0"/>
        <w:snapToGrid/>
        <w:vanish w:val="0"/>
        <w:spacing w:val="0"/>
        <w:w w:val="100"/>
        <w:kern w:val="32"/>
        <w:position w:val="0"/>
        <w:sz w:val="32"/>
        <w:vertAlign w:val="baseline"/>
        <w14:cntxtalts w14:val="0"/>
      </w:rPr>
    </w:lvl>
    <w:lvl w:ilvl="2" w:tentative="0">
      <w:start w:val="1"/>
      <w:numFmt w:val="none"/>
      <w:suff w:val="nothing"/>
      <w:lvlText w:val=""/>
      <w:lvlJc w:val="left"/>
      <w:pPr>
        <w:ind w:left="0" w:firstLine="289"/>
      </w:pPr>
      <w:rPr>
        <w:rFonts w:hint="default" w:ascii="Calibri Light" w:hAnsi="Calibri Light" w:eastAsia="宋体"/>
        <w:b/>
        <w:i w:val="0"/>
        <w:caps w:val="0"/>
        <w:strike w:val="0"/>
        <w:dstrike w:val="0"/>
        <w:snapToGrid/>
        <w:vanish w:val="0"/>
        <w:spacing w:val="0"/>
        <w:w w:val="100"/>
        <w:kern w:val="30"/>
        <w:position w:val="0"/>
        <w:sz w:val="30"/>
        <w:vertAlign w:val="baseline"/>
        <w14:cntxtalts w14:val="0"/>
      </w:rPr>
    </w:lvl>
    <w:lvl w:ilvl="3" w:tentative="0">
      <w:start w:val="1"/>
      <w:numFmt w:val="decimal"/>
      <w:pStyle w:val="2"/>
      <w:lvlText w:val="%1.%2.%3.%4"/>
      <w:lvlJc w:val="left"/>
      <w:pPr>
        <w:ind w:left="864" w:hanging="864"/>
      </w:pPr>
      <w:rPr>
        <w:rFonts w:hint="eastAsia"/>
      </w:rPr>
    </w:lvl>
    <w:lvl w:ilvl="4" w:tentative="0">
      <w:start w:val="1"/>
      <w:numFmt w:val="decimal"/>
      <w:pStyle w:val="6"/>
      <w:lvlText w:val="%1.%2.%3.%4.%5"/>
      <w:lvlJc w:val="left"/>
      <w:pPr>
        <w:ind w:left="1008" w:hanging="1008"/>
      </w:pPr>
      <w:rPr>
        <w:rFonts w:hint="eastAsia"/>
      </w:rPr>
    </w:lvl>
    <w:lvl w:ilvl="5" w:tentative="0">
      <w:start w:val="1"/>
      <w:numFmt w:val="decimal"/>
      <w:pStyle w:val="7"/>
      <w:lvlText w:val="%1.%2.%3.%4.%5.%6"/>
      <w:lvlJc w:val="left"/>
      <w:pPr>
        <w:ind w:left="1152" w:hanging="1152"/>
      </w:pPr>
      <w:rPr>
        <w:rFonts w:hint="eastAsia"/>
      </w:rPr>
    </w:lvl>
    <w:lvl w:ilvl="6" w:tentative="0">
      <w:start w:val="1"/>
      <w:numFmt w:val="decimal"/>
      <w:pStyle w:val="8"/>
      <w:lvlText w:val="%1.%2.%3.%4.%5.%6.%7"/>
      <w:lvlJc w:val="left"/>
      <w:pPr>
        <w:ind w:left="1296" w:hanging="1296"/>
      </w:pPr>
      <w:rPr>
        <w:rFonts w:hint="eastAsia"/>
      </w:rPr>
    </w:lvl>
    <w:lvl w:ilvl="7" w:tentative="0">
      <w:start w:val="1"/>
      <w:numFmt w:val="decimal"/>
      <w:pStyle w:val="9"/>
      <w:lvlText w:val="%1.%2.%3.%4.%5.%6.%7.%8"/>
      <w:lvlJc w:val="left"/>
      <w:pPr>
        <w:ind w:left="1440" w:hanging="1440"/>
      </w:pPr>
      <w:rPr>
        <w:rFonts w:hint="eastAsia"/>
      </w:rPr>
    </w:lvl>
    <w:lvl w:ilvl="8" w:tentative="0">
      <w:start w:val="1"/>
      <w:numFmt w:val="decimal"/>
      <w:pStyle w:val="10"/>
      <w:lvlText w:val="%1.%2.%3.%4.%5.%6.%7.%8.%9"/>
      <w:lvlJc w:val="left"/>
      <w:pPr>
        <w:ind w:left="1584" w:hanging="1584"/>
      </w:pPr>
      <w:rPr>
        <w:rFonts w:hint="eastAsia"/>
      </w:rPr>
    </w:lvl>
  </w:abstractNum>
  <w:abstractNum w:abstractNumId="8">
    <w:nsid w:val="78671338"/>
    <w:multiLevelType w:val="singleLevel"/>
    <w:tmpl w:val="78671338"/>
    <w:lvl w:ilvl="0" w:tentative="0">
      <w:start w:val="1"/>
      <w:numFmt w:val="decimal"/>
      <w:lvlText w:val="%1."/>
      <w:lvlJc w:val="left"/>
      <w:pPr>
        <w:tabs>
          <w:tab w:val="left" w:pos="312"/>
        </w:tabs>
      </w:pPr>
    </w:lvl>
  </w:abstractNum>
  <w:abstractNum w:abstractNumId="9">
    <w:nsid w:val="7E0E1845"/>
    <w:multiLevelType w:val="singleLevel"/>
    <w:tmpl w:val="7E0E1845"/>
    <w:lvl w:ilvl="0" w:tentative="0">
      <w:start w:val="3"/>
      <w:numFmt w:val="chineseCounting"/>
      <w:suff w:val="space"/>
      <w:lvlText w:val="第%1章"/>
      <w:lvlJc w:val="left"/>
      <w:rPr>
        <w:rFonts w:hint="eastAsia"/>
      </w:rPr>
    </w:lvl>
  </w:abstractNum>
  <w:num w:numId="1">
    <w:abstractNumId w:val="7"/>
  </w:num>
  <w:num w:numId="2">
    <w:abstractNumId w:val="4"/>
  </w:num>
  <w:num w:numId="3">
    <w:abstractNumId w:val="0"/>
  </w:num>
  <w:num w:numId="4">
    <w:abstractNumId w:val="3"/>
  </w:num>
  <w:num w:numId="5">
    <w:abstractNumId w:val="9"/>
  </w:num>
  <w:num w:numId="6">
    <w:abstractNumId w:val="5"/>
  </w:num>
  <w:num w:numId="7">
    <w:abstractNumId w:val="6"/>
  </w:num>
  <w:num w:numId="8">
    <w:abstractNumId w:val="8"/>
  </w:num>
  <w:num w:numId="9">
    <w:abstractNumId w:val="1"/>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evenAndOddHeaders w:val="1"/>
  <w:drawingGridHorizontalSpacing w:val="120"/>
  <w:drawingGridVerticalSpacing w:val="210"/>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VjZmExMGY2OGRkYWU0ZDg1MGQzY2JiZTAxMTQwNzIifQ=="/>
  </w:docVars>
  <w:rsids>
    <w:rsidRoot w:val="006A6B87"/>
    <w:rsid w:val="0000159C"/>
    <w:rsid w:val="000019FA"/>
    <w:rsid w:val="00002BB3"/>
    <w:rsid w:val="00003F53"/>
    <w:rsid w:val="00004F9A"/>
    <w:rsid w:val="00006A52"/>
    <w:rsid w:val="00012137"/>
    <w:rsid w:val="00012844"/>
    <w:rsid w:val="00012F9B"/>
    <w:rsid w:val="000131C6"/>
    <w:rsid w:val="00013929"/>
    <w:rsid w:val="00014DAF"/>
    <w:rsid w:val="00015802"/>
    <w:rsid w:val="00016042"/>
    <w:rsid w:val="000162A2"/>
    <w:rsid w:val="00021AF9"/>
    <w:rsid w:val="00022A4E"/>
    <w:rsid w:val="00022F41"/>
    <w:rsid w:val="00023261"/>
    <w:rsid w:val="000234CF"/>
    <w:rsid w:val="000235C8"/>
    <w:rsid w:val="000251DF"/>
    <w:rsid w:val="00027E6B"/>
    <w:rsid w:val="0003251F"/>
    <w:rsid w:val="00032BB4"/>
    <w:rsid w:val="00033377"/>
    <w:rsid w:val="00033B5A"/>
    <w:rsid w:val="000353DD"/>
    <w:rsid w:val="00037F2F"/>
    <w:rsid w:val="00037FD3"/>
    <w:rsid w:val="000403A2"/>
    <w:rsid w:val="00040799"/>
    <w:rsid w:val="00040973"/>
    <w:rsid w:val="00043830"/>
    <w:rsid w:val="000440AF"/>
    <w:rsid w:val="00044F32"/>
    <w:rsid w:val="00051EF3"/>
    <w:rsid w:val="000543B4"/>
    <w:rsid w:val="00054879"/>
    <w:rsid w:val="000556F1"/>
    <w:rsid w:val="0005692F"/>
    <w:rsid w:val="00061A13"/>
    <w:rsid w:val="00062D84"/>
    <w:rsid w:val="00063EEF"/>
    <w:rsid w:val="00064071"/>
    <w:rsid w:val="00064386"/>
    <w:rsid w:val="00067A39"/>
    <w:rsid w:val="00067D44"/>
    <w:rsid w:val="0007053B"/>
    <w:rsid w:val="00070AA6"/>
    <w:rsid w:val="0007534F"/>
    <w:rsid w:val="000770B7"/>
    <w:rsid w:val="00077B80"/>
    <w:rsid w:val="000857F2"/>
    <w:rsid w:val="00090002"/>
    <w:rsid w:val="000906B5"/>
    <w:rsid w:val="000911CC"/>
    <w:rsid w:val="00092417"/>
    <w:rsid w:val="00093AD5"/>
    <w:rsid w:val="000951C6"/>
    <w:rsid w:val="000952F2"/>
    <w:rsid w:val="00095A8D"/>
    <w:rsid w:val="00096428"/>
    <w:rsid w:val="00097CDB"/>
    <w:rsid w:val="000A0237"/>
    <w:rsid w:val="000A0EFD"/>
    <w:rsid w:val="000A250B"/>
    <w:rsid w:val="000A2583"/>
    <w:rsid w:val="000A2B11"/>
    <w:rsid w:val="000A7A6A"/>
    <w:rsid w:val="000B5741"/>
    <w:rsid w:val="000B5ACF"/>
    <w:rsid w:val="000B6858"/>
    <w:rsid w:val="000C048C"/>
    <w:rsid w:val="000C078B"/>
    <w:rsid w:val="000C21A4"/>
    <w:rsid w:val="000C4C29"/>
    <w:rsid w:val="000C538D"/>
    <w:rsid w:val="000C59A5"/>
    <w:rsid w:val="000D0AF3"/>
    <w:rsid w:val="000D0DE1"/>
    <w:rsid w:val="000D1277"/>
    <w:rsid w:val="000D12BE"/>
    <w:rsid w:val="000D4097"/>
    <w:rsid w:val="000E3FB5"/>
    <w:rsid w:val="000E5C68"/>
    <w:rsid w:val="000E5DED"/>
    <w:rsid w:val="000E6AE7"/>
    <w:rsid w:val="000F0C8A"/>
    <w:rsid w:val="000F1A9A"/>
    <w:rsid w:val="000F27AD"/>
    <w:rsid w:val="000F2BEC"/>
    <w:rsid w:val="000F35AB"/>
    <w:rsid w:val="000F3645"/>
    <w:rsid w:val="000F4ECB"/>
    <w:rsid w:val="000F66FE"/>
    <w:rsid w:val="000F6831"/>
    <w:rsid w:val="000F6A10"/>
    <w:rsid w:val="000F735B"/>
    <w:rsid w:val="000F7DA6"/>
    <w:rsid w:val="00100C1B"/>
    <w:rsid w:val="00103379"/>
    <w:rsid w:val="00103D6B"/>
    <w:rsid w:val="00104D98"/>
    <w:rsid w:val="001059A0"/>
    <w:rsid w:val="00106530"/>
    <w:rsid w:val="001067F9"/>
    <w:rsid w:val="00107B8A"/>
    <w:rsid w:val="001101BD"/>
    <w:rsid w:val="0011093D"/>
    <w:rsid w:val="00111F0F"/>
    <w:rsid w:val="001131D6"/>
    <w:rsid w:val="00113B9B"/>
    <w:rsid w:val="00121FC0"/>
    <w:rsid w:val="00122D76"/>
    <w:rsid w:val="001232E1"/>
    <w:rsid w:val="001240BB"/>
    <w:rsid w:val="001257D4"/>
    <w:rsid w:val="0013005B"/>
    <w:rsid w:val="0013015E"/>
    <w:rsid w:val="00131904"/>
    <w:rsid w:val="0013342E"/>
    <w:rsid w:val="001338D9"/>
    <w:rsid w:val="00133ADB"/>
    <w:rsid w:val="00134EE2"/>
    <w:rsid w:val="001351E3"/>
    <w:rsid w:val="00135AA2"/>
    <w:rsid w:val="00136D4A"/>
    <w:rsid w:val="00137E7B"/>
    <w:rsid w:val="00142244"/>
    <w:rsid w:val="001454AD"/>
    <w:rsid w:val="001455F6"/>
    <w:rsid w:val="001456C7"/>
    <w:rsid w:val="00152476"/>
    <w:rsid w:val="0015361E"/>
    <w:rsid w:val="00156ED5"/>
    <w:rsid w:val="001630D0"/>
    <w:rsid w:val="00164101"/>
    <w:rsid w:val="00164EE1"/>
    <w:rsid w:val="001664B2"/>
    <w:rsid w:val="00166804"/>
    <w:rsid w:val="00166FD9"/>
    <w:rsid w:val="00167ECE"/>
    <w:rsid w:val="0017054A"/>
    <w:rsid w:val="00171A61"/>
    <w:rsid w:val="00173749"/>
    <w:rsid w:val="00173A35"/>
    <w:rsid w:val="0017410F"/>
    <w:rsid w:val="00174285"/>
    <w:rsid w:val="00175756"/>
    <w:rsid w:val="00176F0E"/>
    <w:rsid w:val="0018316D"/>
    <w:rsid w:val="00184DE0"/>
    <w:rsid w:val="00184F72"/>
    <w:rsid w:val="00187846"/>
    <w:rsid w:val="00191693"/>
    <w:rsid w:val="00191834"/>
    <w:rsid w:val="00191A7E"/>
    <w:rsid w:val="00193B5F"/>
    <w:rsid w:val="001947E8"/>
    <w:rsid w:val="00194890"/>
    <w:rsid w:val="00196A1C"/>
    <w:rsid w:val="001A0C97"/>
    <w:rsid w:val="001A2103"/>
    <w:rsid w:val="001A5309"/>
    <w:rsid w:val="001A5764"/>
    <w:rsid w:val="001B0699"/>
    <w:rsid w:val="001B0C7B"/>
    <w:rsid w:val="001B2019"/>
    <w:rsid w:val="001B49FD"/>
    <w:rsid w:val="001B5302"/>
    <w:rsid w:val="001C0BA3"/>
    <w:rsid w:val="001C0BBD"/>
    <w:rsid w:val="001C1815"/>
    <w:rsid w:val="001C25ED"/>
    <w:rsid w:val="001C5BE5"/>
    <w:rsid w:val="001D1BCB"/>
    <w:rsid w:val="001D22C0"/>
    <w:rsid w:val="001D2CE5"/>
    <w:rsid w:val="001D4171"/>
    <w:rsid w:val="001D576E"/>
    <w:rsid w:val="001D70BC"/>
    <w:rsid w:val="001E0376"/>
    <w:rsid w:val="001E1DFE"/>
    <w:rsid w:val="001E2BB9"/>
    <w:rsid w:val="001E6A70"/>
    <w:rsid w:val="001E7761"/>
    <w:rsid w:val="001E790E"/>
    <w:rsid w:val="001F2059"/>
    <w:rsid w:val="001F23C9"/>
    <w:rsid w:val="001F49A1"/>
    <w:rsid w:val="001F4ACC"/>
    <w:rsid w:val="001F7532"/>
    <w:rsid w:val="001F7B5A"/>
    <w:rsid w:val="00201795"/>
    <w:rsid w:val="0020498C"/>
    <w:rsid w:val="002051A7"/>
    <w:rsid w:val="00207790"/>
    <w:rsid w:val="00210CFC"/>
    <w:rsid w:val="00210FBE"/>
    <w:rsid w:val="00212328"/>
    <w:rsid w:val="002125C8"/>
    <w:rsid w:val="00213205"/>
    <w:rsid w:val="002137AF"/>
    <w:rsid w:val="002174B0"/>
    <w:rsid w:val="00220787"/>
    <w:rsid w:val="002209DE"/>
    <w:rsid w:val="00221727"/>
    <w:rsid w:val="00223EFE"/>
    <w:rsid w:val="00224257"/>
    <w:rsid w:val="0023070C"/>
    <w:rsid w:val="00230C6A"/>
    <w:rsid w:val="00233D53"/>
    <w:rsid w:val="002345B9"/>
    <w:rsid w:val="002378CD"/>
    <w:rsid w:val="00237A3F"/>
    <w:rsid w:val="00237C8C"/>
    <w:rsid w:val="0024210D"/>
    <w:rsid w:val="002434A7"/>
    <w:rsid w:val="00244C29"/>
    <w:rsid w:val="00247B11"/>
    <w:rsid w:val="00250468"/>
    <w:rsid w:val="00250A0D"/>
    <w:rsid w:val="00250B6E"/>
    <w:rsid w:val="002519B6"/>
    <w:rsid w:val="00252050"/>
    <w:rsid w:val="00253B74"/>
    <w:rsid w:val="00254492"/>
    <w:rsid w:val="002547E0"/>
    <w:rsid w:val="00255DBC"/>
    <w:rsid w:val="00256AC1"/>
    <w:rsid w:val="0025777A"/>
    <w:rsid w:val="00257B25"/>
    <w:rsid w:val="00260306"/>
    <w:rsid w:val="00261898"/>
    <w:rsid w:val="00264014"/>
    <w:rsid w:val="0026501F"/>
    <w:rsid w:val="00266611"/>
    <w:rsid w:val="00267AE5"/>
    <w:rsid w:val="00267C8A"/>
    <w:rsid w:val="00267F98"/>
    <w:rsid w:val="00271136"/>
    <w:rsid w:val="00272337"/>
    <w:rsid w:val="00272E7E"/>
    <w:rsid w:val="00273219"/>
    <w:rsid w:val="00273A93"/>
    <w:rsid w:val="002742EA"/>
    <w:rsid w:val="0027449B"/>
    <w:rsid w:val="00275C8F"/>
    <w:rsid w:val="00276641"/>
    <w:rsid w:val="00276C8A"/>
    <w:rsid w:val="002771C6"/>
    <w:rsid w:val="00277949"/>
    <w:rsid w:val="0028033D"/>
    <w:rsid w:val="002827CD"/>
    <w:rsid w:val="00282837"/>
    <w:rsid w:val="00282CF7"/>
    <w:rsid w:val="002848E9"/>
    <w:rsid w:val="00291777"/>
    <w:rsid w:val="0029384E"/>
    <w:rsid w:val="00294428"/>
    <w:rsid w:val="002961E2"/>
    <w:rsid w:val="00296372"/>
    <w:rsid w:val="00297703"/>
    <w:rsid w:val="00297866"/>
    <w:rsid w:val="002A3B25"/>
    <w:rsid w:val="002A62BF"/>
    <w:rsid w:val="002A6815"/>
    <w:rsid w:val="002A703D"/>
    <w:rsid w:val="002A7FF7"/>
    <w:rsid w:val="002B35C4"/>
    <w:rsid w:val="002B36C2"/>
    <w:rsid w:val="002B59BE"/>
    <w:rsid w:val="002B65AB"/>
    <w:rsid w:val="002B696D"/>
    <w:rsid w:val="002B69BA"/>
    <w:rsid w:val="002C05A3"/>
    <w:rsid w:val="002C4511"/>
    <w:rsid w:val="002D2B5F"/>
    <w:rsid w:val="002D327B"/>
    <w:rsid w:val="002D41DD"/>
    <w:rsid w:val="002D65D4"/>
    <w:rsid w:val="002D7418"/>
    <w:rsid w:val="002E1283"/>
    <w:rsid w:val="002E1660"/>
    <w:rsid w:val="002E379C"/>
    <w:rsid w:val="002E43F6"/>
    <w:rsid w:val="002E4813"/>
    <w:rsid w:val="002E7C3E"/>
    <w:rsid w:val="002E7F36"/>
    <w:rsid w:val="002F074B"/>
    <w:rsid w:val="002F1C19"/>
    <w:rsid w:val="002F1C7D"/>
    <w:rsid w:val="002F1EC9"/>
    <w:rsid w:val="002F25EC"/>
    <w:rsid w:val="002F2A10"/>
    <w:rsid w:val="002F2AAA"/>
    <w:rsid w:val="002F2EAB"/>
    <w:rsid w:val="002F30DD"/>
    <w:rsid w:val="002F3224"/>
    <w:rsid w:val="002F3350"/>
    <w:rsid w:val="002F7D7D"/>
    <w:rsid w:val="00300067"/>
    <w:rsid w:val="00300513"/>
    <w:rsid w:val="00300B27"/>
    <w:rsid w:val="0030123B"/>
    <w:rsid w:val="00301E0D"/>
    <w:rsid w:val="00301FAE"/>
    <w:rsid w:val="003024CF"/>
    <w:rsid w:val="00306470"/>
    <w:rsid w:val="00311862"/>
    <w:rsid w:val="00316D60"/>
    <w:rsid w:val="003172BB"/>
    <w:rsid w:val="00322208"/>
    <w:rsid w:val="003245F8"/>
    <w:rsid w:val="00325D47"/>
    <w:rsid w:val="00325EF1"/>
    <w:rsid w:val="00326169"/>
    <w:rsid w:val="00327A6B"/>
    <w:rsid w:val="00330EA4"/>
    <w:rsid w:val="00332A7C"/>
    <w:rsid w:val="00335C58"/>
    <w:rsid w:val="00337CFC"/>
    <w:rsid w:val="0034052E"/>
    <w:rsid w:val="003406B1"/>
    <w:rsid w:val="00343305"/>
    <w:rsid w:val="003443D3"/>
    <w:rsid w:val="003450CD"/>
    <w:rsid w:val="00345F35"/>
    <w:rsid w:val="00346A88"/>
    <w:rsid w:val="003509CA"/>
    <w:rsid w:val="00351734"/>
    <w:rsid w:val="00354FCF"/>
    <w:rsid w:val="003551E0"/>
    <w:rsid w:val="0035572B"/>
    <w:rsid w:val="00357EC3"/>
    <w:rsid w:val="00360830"/>
    <w:rsid w:val="00364896"/>
    <w:rsid w:val="00366A2C"/>
    <w:rsid w:val="003704E3"/>
    <w:rsid w:val="00371456"/>
    <w:rsid w:val="00373AE9"/>
    <w:rsid w:val="00374506"/>
    <w:rsid w:val="0037495D"/>
    <w:rsid w:val="0037531B"/>
    <w:rsid w:val="00375819"/>
    <w:rsid w:val="00375C89"/>
    <w:rsid w:val="00376DAF"/>
    <w:rsid w:val="00377482"/>
    <w:rsid w:val="003833FB"/>
    <w:rsid w:val="00383F8F"/>
    <w:rsid w:val="003872CB"/>
    <w:rsid w:val="00387AFC"/>
    <w:rsid w:val="00390290"/>
    <w:rsid w:val="0039216D"/>
    <w:rsid w:val="00392EBD"/>
    <w:rsid w:val="00393459"/>
    <w:rsid w:val="003943D1"/>
    <w:rsid w:val="0039449C"/>
    <w:rsid w:val="00395695"/>
    <w:rsid w:val="003A0002"/>
    <w:rsid w:val="003A0295"/>
    <w:rsid w:val="003A0D83"/>
    <w:rsid w:val="003A192D"/>
    <w:rsid w:val="003A2A14"/>
    <w:rsid w:val="003B086A"/>
    <w:rsid w:val="003B0D75"/>
    <w:rsid w:val="003B2AF6"/>
    <w:rsid w:val="003B3207"/>
    <w:rsid w:val="003C3325"/>
    <w:rsid w:val="003C61F3"/>
    <w:rsid w:val="003C6AB2"/>
    <w:rsid w:val="003C7C29"/>
    <w:rsid w:val="003D2606"/>
    <w:rsid w:val="003D39C7"/>
    <w:rsid w:val="003D3A50"/>
    <w:rsid w:val="003D45F5"/>
    <w:rsid w:val="003D6B60"/>
    <w:rsid w:val="003E010E"/>
    <w:rsid w:val="003E1D81"/>
    <w:rsid w:val="003E2F34"/>
    <w:rsid w:val="003E5CDB"/>
    <w:rsid w:val="003E7874"/>
    <w:rsid w:val="003F3882"/>
    <w:rsid w:val="003F60A3"/>
    <w:rsid w:val="003F7C8E"/>
    <w:rsid w:val="004001BE"/>
    <w:rsid w:val="00400ECF"/>
    <w:rsid w:val="0040124D"/>
    <w:rsid w:val="004017C8"/>
    <w:rsid w:val="0040181A"/>
    <w:rsid w:val="004024C2"/>
    <w:rsid w:val="00405285"/>
    <w:rsid w:val="004068A7"/>
    <w:rsid w:val="00406C11"/>
    <w:rsid w:val="00407BBB"/>
    <w:rsid w:val="004106B2"/>
    <w:rsid w:val="00412CBC"/>
    <w:rsid w:val="00414D38"/>
    <w:rsid w:val="004155E3"/>
    <w:rsid w:val="00415649"/>
    <w:rsid w:val="004156E2"/>
    <w:rsid w:val="00415AB5"/>
    <w:rsid w:val="00416478"/>
    <w:rsid w:val="00420875"/>
    <w:rsid w:val="0042388D"/>
    <w:rsid w:val="00425038"/>
    <w:rsid w:val="0042688F"/>
    <w:rsid w:val="00427ABD"/>
    <w:rsid w:val="004317AB"/>
    <w:rsid w:val="00431DBF"/>
    <w:rsid w:val="00432C4E"/>
    <w:rsid w:val="00433512"/>
    <w:rsid w:val="0043432D"/>
    <w:rsid w:val="00441423"/>
    <w:rsid w:val="00441D7B"/>
    <w:rsid w:val="00444250"/>
    <w:rsid w:val="00444298"/>
    <w:rsid w:val="004456C5"/>
    <w:rsid w:val="00454666"/>
    <w:rsid w:val="004547F6"/>
    <w:rsid w:val="004574A4"/>
    <w:rsid w:val="00461F1D"/>
    <w:rsid w:val="00463236"/>
    <w:rsid w:val="004657D3"/>
    <w:rsid w:val="0046690A"/>
    <w:rsid w:val="0046782F"/>
    <w:rsid w:val="00471E1E"/>
    <w:rsid w:val="0047278F"/>
    <w:rsid w:val="00473CE1"/>
    <w:rsid w:val="0047590B"/>
    <w:rsid w:val="004846F1"/>
    <w:rsid w:val="00490F98"/>
    <w:rsid w:val="00491349"/>
    <w:rsid w:val="00493684"/>
    <w:rsid w:val="00493E48"/>
    <w:rsid w:val="00496ACE"/>
    <w:rsid w:val="00497530"/>
    <w:rsid w:val="004A00FD"/>
    <w:rsid w:val="004A570C"/>
    <w:rsid w:val="004A5CFF"/>
    <w:rsid w:val="004A61D7"/>
    <w:rsid w:val="004A6B5A"/>
    <w:rsid w:val="004B1026"/>
    <w:rsid w:val="004B13F6"/>
    <w:rsid w:val="004B5992"/>
    <w:rsid w:val="004C093C"/>
    <w:rsid w:val="004C0B7A"/>
    <w:rsid w:val="004C0CA0"/>
    <w:rsid w:val="004C591A"/>
    <w:rsid w:val="004C5B48"/>
    <w:rsid w:val="004C6493"/>
    <w:rsid w:val="004C7371"/>
    <w:rsid w:val="004D2147"/>
    <w:rsid w:val="004D2D8E"/>
    <w:rsid w:val="004D2F54"/>
    <w:rsid w:val="004D4879"/>
    <w:rsid w:val="004D7112"/>
    <w:rsid w:val="004D7C23"/>
    <w:rsid w:val="004D7F2C"/>
    <w:rsid w:val="004E07B6"/>
    <w:rsid w:val="004E0B6D"/>
    <w:rsid w:val="004E63AF"/>
    <w:rsid w:val="004F01A5"/>
    <w:rsid w:val="004F04DD"/>
    <w:rsid w:val="004F2CC5"/>
    <w:rsid w:val="004F3159"/>
    <w:rsid w:val="004F411F"/>
    <w:rsid w:val="004F60D3"/>
    <w:rsid w:val="004F7234"/>
    <w:rsid w:val="004F7D8F"/>
    <w:rsid w:val="0050182A"/>
    <w:rsid w:val="00501CED"/>
    <w:rsid w:val="0050264E"/>
    <w:rsid w:val="00502DB5"/>
    <w:rsid w:val="0050431E"/>
    <w:rsid w:val="005053C1"/>
    <w:rsid w:val="00506ECC"/>
    <w:rsid w:val="00510D3F"/>
    <w:rsid w:val="00511E18"/>
    <w:rsid w:val="00512B77"/>
    <w:rsid w:val="00515ADE"/>
    <w:rsid w:val="00515E63"/>
    <w:rsid w:val="005176F4"/>
    <w:rsid w:val="005203BA"/>
    <w:rsid w:val="00522091"/>
    <w:rsid w:val="005220F8"/>
    <w:rsid w:val="00522932"/>
    <w:rsid w:val="0052539A"/>
    <w:rsid w:val="005309DD"/>
    <w:rsid w:val="005330CB"/>
    <w:rsid w:val="0053320F"/>
    <w:rsid w:val="005340C0"/>
    <w:rsid w:val="00534E48"/>
    <w:rsid w:val="0053507D"/>
    <w:rsid w:val="00535F18"/>
    <w:rsid w:val="00537136"/>
    <w:rsid w:val="005406CD"/>
    <w:rsid w:val="00544037"/>
    <w:rsid w:val="00544FDF"/>
    <w:rsid w:val="0054537C"/>
    <w:rsid w:val="00547AD0"/>
    <w:rsid w:val="005509F0"/>
    <w:rsid w:val="00551012"/>
    <w:rsid w:val="00553778"/>
    <w:rsid w:val="00553AC5"/>
    <w:rsid w:val="00554646"/>
    <w:rsid w:val="00554791"/>
    <w:rsid w:val="00555365"/>
    <w:rsid w:val="005555A0"/>
    <w:rsid w:val="0056050F"/>
    <w:rsid w:val="00560BBE"/>
    <w:rsid w:val="005612F2"/>
    <w:rsid w:val="0056216F"/>
    <w:rsid w:val="005627E9"/>
    <w:rsid w:val="005642D3"/>
    <w:rsid w:val="005676F6"/>
    <w:rsid w:val="00572506"/>
    <w:rsid w:val="00573AC9"/>
    <w:rsid w:val="00575980"/>
    <w:rsid w:val="005801CF"/>
    <w:rsid w:val="00581DBA"/>
    <w:rsid w:val="00581F60"/>
    <w:rsid w:val="005829C2"/>
    <w:rsid w:val="00582A46"/>
    <w:rsid w:val="0058322B"/>
    <w:rsid w:val="00583A5C"/>
    <w:rsid w:val="0058471F"/>
    <w:rsid w:val="0058487A"/>
    <w:rsid w:val="00585E3F"/>
    <w:rsid w:val="00592CFD"/>
    <w:rsid w:val="00593C8A"/>
    <w:rsid w:val="00594467"/>
    <w:rsid w:val="00594F66"/>
    <w:rsid w:val="005960B9"/>
    <w:rsid w:val="005A1806"/>
    <w:rsid w:val="005A20E0"/>
    <w:rsid w:val="005A32F2"/>
    <w:rsid w:val="005A3DFC"/>
    <w:rsid w:val="005A43AB"/>
    <w:rsid w:val="005A4B53"/>
    <w:rsid w:val="005A5A7B"/>
    <w:rsid w:val="005A5B0F"/>
    <w:rsid w:val="005A69F8"/>
    <w:rsid w:val="005A6B45"/>
    <w:rsid w:val="005A7B9D"/>
    <w:rsid w:val="005B0579"/>
    <w:rsid w:val="005B1C32"/>
    <w:rsid w:val="005B2863"/>
    <w:rsid w:val="005B314D"/>
    <w:rsid w:val="005B353B"/>
    <w:rsid w:val="005B3CE3"/>
    <w:rsid w:val="005B51A3"/>
    <w:rsid w:val="005B547C"/>
    <w:rsid w:val="005B65A5"/>
    <w:rsid w:val="005B67BE"/>
    <w:rsid w:val="005B7116"/>
    <w:rsid w:val="005C50A4"/>
    <w:rsid w:val="005C6C4F"/>
    <w:rsid w:val="005D000E"/>
    <w:rsid w:val="005D035F"/>
    <w:rsid w:val="005D62E5"/>
    <w:rsid w:val="005D7216"/>
    <w:rsid w:val="005E12F7"/>
    <w:rsid w:val="005E37E1"/>
    <w:rsid w:val="005E548A"/>
    <w:rsid w:val="005E5BCC"/>
    <w:rsid w:val="005E5CCE"/>
    <w:rsid w:val="005E6CCC"/>
    <w:rsid w:val="005F1247"/>
    <w:rsid w:val="005F19BB"/>
    <w:rsid w:val="005F3B5B"/>
    <w:rsid w:val="005F6909"/>
    <w:rsid w:val="005F6C88"/>
    <w:rsid w:val="0060005D"/>
    <w:rsid w:val="006022C0"/>
    <w:rsid w:val="00602E42"/>
    <w:rsid w:val="00603657"/>
    <w:rsid w:val="00603BB4"/>
    <w:rsid w:val="0060479B"/>
    <w:rsid w:val="00606A55"/>
    <w:rsid w:val="00611AC2"/>
    <w:rsid w:val="00611FFE"/>
    <w:rsid w:val="00613BB6"/>
    <w:rsid w:val="0061777B"/>
    <w:rsid w:val="00624066"/>
    <w:rsid w:val="0062454A"/>
    <w:rsid w:val="00624620"/>
    <w:rsid w:val="00624946"/>
    <w:rsid w:val="00625173"/>
    <w:rsid w:val="00630CCB"/>
    <w:rsid w:val="00631E71"/>
    <w:rsid w:val="0063350A"/>
    <w:rsid w:val="006340A0"/>
    <w:rsid w:val="0063581A"/>
    <w:rsid w:val="00635858"/>
    <w:rsid w:val="00636BF4"/>
    <w:rsid w:val="00637FE9"/>
    <w:rsid w:val="00642CB1"/>
    <w:rsid w:val="006431A9"/>
    <w:rsid w:val="006460E3"/>
    <w:rsid w:val="006466DF"/>
    <w:rsid w:val="00646A42"/>
    <w:rsid w:val="006518D0"/>
    <w:rsid w:val="00652393"/>
    <w:rsid w:val="00656003"/>
    <w:rsid w:val="00657150"/>
    <w:rsid w:val="006571DD"/>
    <w:rsid w:val="0065774D"/>
    <w:rsid w:val="0065792C"/>
    <w:rsid w:val="00662E32"/>
    <w:rsid w:val="0066668A"/>
    <w:rsid w:val="00667CAB"/>
    <w:rsid w:val="00675065"/>
    <w:rsid w:val="00675481"/>
    <w:rsid w:val="00675563"/>
    <w:rsid w:val="00675DAD"/>
    <w:rsid w:val="00682389"/>
    <w:rsid w:val="00685346"/>
    <w:rsid w:val="00685390"/>
    <w:rsid w:val="00685B24"/>
    <w:rsid w:val="006870E8"/>
    <w:rsid w:val="00690BC5"/>
    <w:rsid w:val="00690C8E"/>
    <w:rsid w:val="00691341"/>
    <w:rsid w:val="006933DD"/>
    <w:rsid w:val="0069471D"/>
    <w:rsid w:val="00695670"/>
    <w:rsid w:val="00695E20"/>
    <w:rsid w:val="006A2D90"/>
    <w:rsid w:val="006A3BA0"/>
    <w:rsid w:val="006A4EC6"/>
    <w:rsid w:val="006A63FC"/>
    <w:rsid w:val="006A6B87"/>
    <w:rsid w:val="006A6DF3"/>
    <w:rsid w:val="006A7769"/>
    <w:rsid w:val="006B20D5"/>
    <w:rsid w:val="006B34F6"/>
    <w:rsid w:val="006B4952"/>
    <w:rsid w:val="006B5EA1"/>
    <w:rsid w:val="006B62C2"/>
    <w:rsid w:val="006B6316"/>
    <w:rsid w:val="006B6C2F"/>
    <w:rsid w:val="006B7A21"/>
    <w:rsid w:val="006B7F10"/>
    <w:rsid w:val="006C042B"/>
    <w:rsid w:val="006C2543"/>
    <w:rsid w:val="006C2A45"/>
    <w:rsid w:val="006C4042"/>
    <w:rsid w:val="006C6C85"/>
    <w:rsid w:val="006C6F0B"/>
    <w:rsid w:val="006C700A"/>
    <w:rsid w:val="006C7C59"/>
    <w:rsid w:val="006D0312"/>
    <w:rsid w:val="006D06D5"/>
    <w:rsid w:val="006D214E"/>
    <w:rsid w:val="006D2DEA"/>
    <w:rsid w:val="006D2E9C"/>
    <w:rsid w:val="006D30BC"/>
    <w:rsid w:val="006E1A0E"/>
    <w:rsid w:val="006E6E8B"/>
    <w:rsid w:val="006E7C76"/>
    <w:rsid w:val="006F04CD"/>
    <w:rsid w:val="006F07C9"/>
    <w:rsid w:val="006F0A6B"/>
    <w:rsid w:val="006F0F75"/>
    <w:rsid w:val="006F3496"/>
    <w:rsid w:val="006F4633"/>
    <w:rsid w:val="006F5AC8"/>
    <w:rsid w:val="006F5F50"/>
    <w:rsid w:val="006F721C"/>
    <w:rsid w:val="006F7A75"/>
    <w:rsid w:val="00703F7A"/>
    <w:rsid w:val="00704218"/>
    <w:rsid w:val="00706102"/>
    <w:rsid w:val="00711356"/>
    <w:rsid w:val="00713D33"/>
    <w:rsid w:val="00716375"/>
    <w:rsid w:val="00717B21"/>
    <w:rsid w:val="00721BAC"/>
    <w:rsid w:val="007240F9"/>
    <w:rsid w:val="00724763"/>
    <w:rsid w:val="007303C2"/>
    <w:rsid w:val="0073139F"/>
    <w:rsid w:val="007326D4"/>
    <w:rsid w:val="00733D26"/>
    <w:rsid w:val="00733E96"/>
    <w:rsid w:val="00733F1D"/>
    <w:rsid w:val="00734BE2"/>
    <w:rsid w:val="00734DBA"/>
    <w:rsid w:val="007405AB"/>
    <w:rsid w:val="00740862"/>
    <w:rsid w:val="00740ED2"/>
    <w:rsid w:val="0074169B"/>
    <w:rsid w:val="00742326"/>
    <w:rsid w:val="00743F8B"/>
    <w:rsid w:val="007552A7"/>
    <w:rsid w:val="00757FC1"/>
    <w:rsid w:val="00760265"/>
    <w:rsid w:val="00763522"/>
    <w:rsid w:val="00763B46"/>
    <w:rsid w:val="00767121"/>
    <w:rsid w:val="00770A23"/>
    <w:rsid w:val="00770D89"/>
    <w:rsid w:val="00771FBD"/>
    <w:rsid w:val="00772751"/>
    <w:rsid w:val="00772BFA"/>
    <w:rsid w:val="007732E5"/>
    <w:rsid w:val="00773A1F"/>
    <w:rsid w:val="007750D4"/>
    <w:rsid w:val="00775725"/>
    <w:rsid w:val="00775864"/>
    <w:rsid w:val="00780950"/>
    <w:rsid w:val="00781A2A"/>
    <w:rsid w:val="0079003B"/>
    <w:rsid w:val="00797959"/>
    <w:rsid w:val="007A0298"/>
    <w:rsid w:val="007A0EED"/>
    <w:rsid w:val="007A1F61"/>
    <w:rsid w:val="007A2D00"/>
    <w:rsid w:val="007A3433"/>
    <w:rsid w:val="007A5B38"/>
    <w:rsid w:val="007A7AC5"/>
    <w:rsid w:val="007B1707"/>
    <w:rsid w:val="007B1F48"/>
    <w:rsid w:val="007B4190"/>
    <w:rsid w:val="007B5A22"/>
    <w:rsid w:val="007B7795"/>
    <w:rsid w:val="007C1E2E"/>
    <w:rsid w:val="007C32E6"/>
    <w:rsid w:val="007C551E"/>
    <w:rsid w:val="007C6103"/>
    <w:rsid w:val="007C7079"/>
    <w:rsid w:val="007C745E"/>
    <w:rsid w:val="007C7E4A"/>
    <w:rsid w:val="007D20D8"/>
    <w:rsid w:val="007D249E"/>
    <w:rsid w:val="007D2EE8"/>
    <w:rsid w:val="007D4745"/>
    <w:rsid w:val="007D5763"/>
    <w:rsid w:val="007D596E"/>
    <w:rsid w:val="007D6288"/>
    <w:rsid w:val="007D6A53"/>
    <w:rsid w:val="007D7193"/>
    <w:rsid w:val="007D7958"/>
    <w:rsid w:val="007D7D00"/>
    <w:rsid w:val="007E051D"/>
    <w:rsid w:val="007E1576"/>
    <w:rsid w:val="007E2BD2"/>
    <w:rsid w:val="007E5F41"/>
    <w:rsid w:val="007E6CF2"/>
    <w:rsid w:val="007F0B94"/>
    <w:rsid w:val="007F0BE0"/>
    <w:rsid w:val="007F1EB4"/>
    <w:rsid w:val="007F5493"/>
    <w:rsid w:val="007F5B53"/>
    <w:rsid w:val="007F60D5"/>
    <w:rsid w:val="007F6DC7"/>
    <w:rsid w:val="0080075E"/>
    <w:rsid w:val="00802948"/>
    <w:rsid w:val="00802AAC"/>
    <w:rsid w:val="00806FED"/>
    <w:rsid w:val="00811115"/>
    <w:rsid w:val="008122DE"/>
    <w:rsid w:val="008134C7"/>
    <w:rsid w:val="008139EB"/>
    <w:rsid w:val="00813D5F"/>
    <w:rsid w:val="008150A6"/>
    <w:rsid w:val="008151E2"/>
    <w:rsid w:val="00816091"/>
    <w:rsid w:val="00816182"/>
    <w:rsid w:val="00821BA2"/>
    <w:rsid w:val="00822824"/>
    <w:rsid w:val="008228B9"/>
    <w:rsid w:val="00824639"/>
    <w:rsid w:val="00826C95"/>
    <w:rsid w:val="00830FB7"/>
    <w:rsid w:val="00832985"/>
    <w:rsid w:val="008332CE"/>
    <w:rsid w:val="008345B9"/>
    <w:rsid w:val="008354ED"/>
    <w:rsid w:val="00835DAD"/>
    <w:rsid w:val="00836FBF"/>
    <w:rsid w:val="008376EF"/>
    <w:rsid w:val="00837760"/>
    <w:rsid w:val="00837F02"/>
    <w:rsid w:val="00840EF2"/>
    <w:rsid w:val="00842D6E"/>
    <w:rsid w:val="00843A87"/>
    <w:rsid w:val="00843C41"/>
    <w:rsid w:val="0084500E"/>
    <w:rsid w:val="00845138"/>
    <w:rsid w:val="008455FB"/>
    <w:rsid w:val="0084584F"/>
    <w:rsid w:val="00847DB4"/>
    <w:rsid w:val="00850BC8"/>
    <w:rsid w:val="00850E33"/>
    <w:rsid w:val="0085172A"/>
    <w:rsid w:val="00856715"/>
    <w:rsid w:val="00856DC0"/>
    <w:rsid w:val="008607CA"/>
    <w:rsid w:val="00861CE7"/>
    <w:rsid w:val="00862E46"/>
    <w:rsid w:val="00864D01"/>
    <w:rsid w:val="00865BFC"/>
    <w:rsid w:val="00870585"/>
    <w:rsid w:val="0087394A"/>
    <w:rsid w:val="00873EAC"/>
    <w:rsid w:val="00874D32"/>
    <w:rsid w:val="00880D1C"/>
    <w:rsid w:val="00880EB6"/>
    <w:rsid w:val="00881B84"/>
    <w:rsid w:val="00885CC3"/>
    <w:rsid w:val="00886362"/>
    <w:rsid w:val="008876A3"/>
    <w:rsid w:val="00887DFB"/>
    <w:rsid w:val="0089283A"/>
    <w:rsid w:val="00892ADC"/>
    <w:rsid w:val="00893813"/>
    <w:rsid w:val="0089658C"/>
    <w:rsid w:val="00897000"/>
    <w:rsid w:val="008A0739"/>
    <w:rsid w:val="008A2458"/>
    <w:rsid w:val="008A66B8"/>
    <w:rsid w:val="008A7EED"/>
    <w:rsid w:val="008B25E6"/>
    <w:rsid w:val="008B2B1D"/>
    <w:rsid w:val="008B5009"/>
    <w:rsid w:val="008B7E45"/>
    <w:rsid w:val="008C1237"/>
    <w:rsid w:val="008C64FB"/>
    <w:rsid w:val="008C6F63"/>
    <w:rsid w:val="008C771B"/>
    <w:rsid w:val="008C77A4"/>
    <w:rsid w:val="008D0DB7"/>
    <w:rsid w:val="008D2DAF"/>
    <w:rsid w:val="008D4EEC"/>
    <w:rsid w:val="008D5BFC"/>
    <w:rsid w:val="008E1C91"/>
    <w:rsid w:val="008E2EFF"/>
    <w:rsid w:val="008E3B9E"/>
    <w:rsid w:val="008E4E0F"/>
    <w:rsid w:val="008E5935"/>
    <w:rsid w:val="008E738E"/>
    <w:rsid w:val="008F0A84"/>
    <w:rsid w:val="008F0CC3"/>
    <w:rsid w:val="008F44C7"/>
    <w:rsid w:val="008F5035"/>
    <w:rsid w:val="008F5056"/>
    <w:rsid w:val="00900C2F"/>
    <w:rsid w:val="0090408F"/>
    <w:rsid w:val="00906F8A"/>
    <w:rsid w:val="009104E4"/>
    <w:rsid w:val="00910A37"/>
    <w:rsid w:val="00915570"/>
    <w:rsid w:val="0091611D"/>
    <w:rsid w:val="00916267"/>
    <w:rsid w:val="009173A3"/>
    <w:rsid w:val="0092016A"/>
    <w:rsid w:val="00920CEB"/>
    <w:rsid w:val="00921082"/>
    <w:rsid w:val="00922A3C"/>
    <w:rsid w:val="00922DE7"/>
    <w:rsid w:val="00922EFB"/>
    <w:rsid w:val="00923A6C"/>
    <w:rsid w:val="009249C8"/>
    <w:rsid w:val="0093115A"/>
    <w:rsid w:val="00931671"/>
    <w:rsid w:val="00932C0E"/>
    <w:rsid w:val="00933F00"/>
    <w:rsid w:val="00935401"/>
    <w:rsid w:val="0094003A"/>
    <w:rsid w:val="0094004A"/>
    <w:rsid w:val="0094638E"/>
    <w:rsid w:val="00946A82"/>
    <w:rsid w:val="00951071"/>
    <w:rsid w:val="0095333C"/>
    <w:rsid w:val="009544D9"/>
    <w:rsid w:val="00955186"/>
    <w:rsid w:val="00955282"/>
    <w:rsid w:val="00956990"/>
    <w:rsid w:val="00956EE8"/>
    <w:rsid w:val="009570F6"/>
    <w:rsid w:val="00965C09"/>
    <w:rsid w:val="00966B6A"/>
    <w:rsid w:val="0097057C"/>
    <w:rsid w:val="009715C5"/>
    <w:rsid w:val="00971AF2"/>
    <w:rsid w:val="009723B8"/>
    <w:rsid w:val="00976197"/>
    <w:rsid w:val="009817A0"/>
    <w:rsid w:val="0098281C"/>
    <w:rsid w:val="009833A0"/>
    <w:rsid w:val="0098423D"/>
    <w:rsid w:val="009850E9"/>
    <w:rsid w:val="00985DFA"/>
    <w:rsid w:val="00986315"/>
    <w:rsid w:val="00986617"/>
    <w:rsid w:val="009911E3"/>
    <w:rsid w:val="00994B4C"/>
    <w:rsid w:val="00994E42"/>
    <w:rsid w:val="00995178"/>
    <w:rsid w:val="009960E6"/>
    <w:rsid w:val="009A1C33"/>
    <w:rsid w:val="009A2439"/>
    <w:rsid w:val="009A2BFF"/>
    <w:rsid w:val="009A6D30"/>
    <w:rsid w:val="009B206F"/>
    <w:rsid w:val="009B5F6F"/>
    <w:rsid w:val="009B7A7F"/>
    <w:rsid w:val="009B7A90"/>
    <w:rsid w:val="009B7BA4"/>
    <w:rsid w:val="009C1007"/>
    <w:rsid w:val="009C1F6E"/>
    <w:rsid w:val="009C2514"/>
    <w:rsid w:val="009C3C03"/>
    <w:rsid w:val="009C3C6C"/>
    <w:rsid w:val="009C3EBA"/>
    <w:rsid w:val="009C4C61"/>
    <w:rsid w:val="009C5377"/>
    <w:rsid w:val="009C58A2"/>
    <w:rsid w:val="009C7BA0"/>
    <w:rsid w:val="009D1B51"/>
    <w:rsid w:val="009D426B"/>
    <w:rsid w:val="009D43A5"/>
    <w:rsid w:val="009D52BF"/>
    <w:rsid w:val="009D6255"/>
    <w:rsid w:val="009D6DD3"/>
    <w:rsid w:val="009E3F57"/>
    <w:rsid w:val="009E4F8A"/>
    <w:rsid w:val="009E6471"/>
    <w:rsid w:val="009E6771"/>
    <w:rsid w:val="009E67E4"/>
    <w:rsid w:val="009E754B"/>
    <w:rsid w:val="009F0511"/>
    <w:rsid w:val="009F092A"/>
    <w:rsid w:val="009F1DBD"/>
    <w:rsid w:val="009F22FE"/>
    <w:rsid w:val="009F750B"/>
    <w:rsid w:val="00A00435"/>
    <w:rsid w:val="00A01FCD"/>
    <w:rsid w:val="00A025E8"/>
    <w:rsid w:val="00A03071"/>
    <w:rsid w:val="00A044F0"/>
    <w:rsid w:val="00A0582B"/>
    <w:rsid w:val="00A05B11"/>
    <w:rsid w:val="00A06B7F"/>
    <w:rsid w:val="00A06FBD"/>
    <w:rsid w:val="00A07D9C"/>
    <w:rsid w:val="00A109CC"/>
    <w:rsid w:val="00A13EDB"/>
    <w:rsid w:val="00A14C4D"/>
    <w:rsid w:val="00A15845"/>
    <w:rsid w:val="00A17B52"/>
    <w:rsid w:val="00A2141C"/>
    <w:rsid w:val="00A21B16"/>
    <w:rsid w:val="00A22D76"/>
    <w:rsid w:val="00A2438C"/>
    <w:rsid w:val="00A24D47"/>
    <w:rsid w:val="00A30370"/>
    <w:rsid w:val="00A32017"/>
    <w:rsid w:val="00A3527C"/>
    <w:rsid w:val="00A36E1D"/>
    <w:rsid w:val="00A37E7E"/>
    <w:rsid w:val="00A4098F"/>
    <w:rsid w:val="00A4193A"/>
    <w:rsid w:val="00A42D4A"/>
    <w:rsid w:val="00A45C6F"/>
    <w:rsid w:val="00A46DCC"/>
    <w:rsid w:val="00A5014E"/>
    <w:rsid w:val="00A55DD6"/>
    <w:rsid w:val="00A562E3"/>
    <w:rsid w:val="00A569D3"/>
    <w:rsid w:val="00A6062B"/>
    <w:rsid w:val="00A62089"/>
    <w:rsid w:val="00A63264"/>
    <w:rsid w:val="00A64C2B"/>
    <w:rsid w:val="00A654EF"/>
    <w:rsid w:val="00A658F2"/>
    <w:rsid w:val="00A65AFD"/>
    <w:rsid w:val="00A66B78"/>
    <w:rsid w:val="00A6769B"/>
    <w:rsid w:val="00A677C6"/>
    <w:rsid w:val="00A67E25"/>
    <w:rsid w:val="00A72C38"/>
    <w:rsid w:val="00A72FD2"/>
    <w:rsid w:val="00A7420A"/>
    <w:rsid w:val="00A74D3C"/>
    <w:rsid w:val="00A75DB1"/>
    <w:rsid w:val="00A760CB"/>
    <w:rsid w:val="00A761C2"/>
    <w:rsid w:val="00A76BBD"/>
    <w:rsid w:val="00A76D29"/>
    <w:rsid w:val="00A81335"/>
    <w:rsid w:val="00A816E2"/>
    <w:rsid w:val="00A81ADF"/>
    <w:rsid w:val="00A86383"/>
    <w:rsid w:val="00A86960"/>
    <w:rsid w:val="00A86B01"/>
    <w:rsid w:val="00A91A54"/>
    <w:rsid w:val="00A91B7E"/>
    <w:rsid w:val="00A96F13"/>
    <w:rsid w:val="00AA1080"/>
    <w:rsid w:val="00AA16D3"/>
    <w:rsid w:val="00AA18CA"/>
    <w:rsid w:val="00AA1D98"/>
    <w:rsid w:val="00AA3063"/>
    <w:rsid w:val="00AA3BFA"/>
    <w:rsid w:val="00AA4BCE"/>
    <w:rsid w:val="00AA5A0A"/>
    <w:rsid w:val="00AA5E84"/>
    <w:rsid w:val="00AA725C"/>
    <w:rsid w:val="00AB3274"/>
    <w:rsid w:val="00AB3E05"/>
    <w:rsid w:val="00AB7A0E"/>
    <w:rsid w:val="00AC0409"/>
    <w:rsid w:val="00AC0C60"/>
    <w:rsid w:val="00AC178D"/>
    <w:rsid w:val="00AC1897"/>
    <w:rsid w:val="00AC2E63"/>
    <w:rsid w:val="00AC2EA5"/>
    <w:rsid w:val="00AC3A70"/>
    <w:rsid w:val="00AC63F8"/>
    <w:rsid w:val="00AC7144"/>
    <w:rsid w:val="00AC75AF"/>
    <w:rsid w:val="00AD0634"/>
    <w:rsid w:val="00AD340C"/>
    <w:rsid w:val="00AD3849"/>
    <w:rsid w:val="00AD3D18"/>
    <w:rsid w:val="00AD4D41"/>
    <w:rsid w:val="00AD4DD2"/>
    <w:rsid w:val="00AD6114"/>
    <w:rsid w:val="00AD74EC"/>
    <w:rsid w:val="00AE01B3"/>
    <w:rsid w:val="00AE0CFD"/>
    <w:rsid w:val="00AE1DA8"/>
    <w:rsid w:val="00AE4D94"/>
    <w:rsid w:val="00AE5612"/>
    <w:rsid w:val="00AE6664"/>
    <w:rsid w:val="00AE6EED"/>
    <w:rsid w:val="00AE74AC"/>
    <w:rsid w:val="00B01853"/>
    <w:rsid w:val="00B02758"/>
    <w:rsid w:val="00B02B5A"/>
    <w:rsid w:val="00B0302F"/>
    <w:rsid w:val="00B036CF"/>
    <w:rsid w:val="00B03790"/>
    <w:rsid w:val="00B03CDC"/>
    <w:rsid w:val="00B04B8A"/>
    <w:rsid w:val="00B04BFB"/>
    <w:rsid w:val="00B104AA"/>
    <w:rsid w:val="00B11872"/>
    <w:rsid w:val="00B13758"/>
    <w:rsid w:val="00B13979"/>
    <w:rsid w:val="00B15E4F"/>
    <w:rsid w:val="00B17E7D"/>
    <w:rsid w:val="00B2012B"/>
    <w:rsid w:val="00B20B29"/>
    <w:rsid w:val="00B20CB9"/>
    <w:rsid w:val="00B20D52"/>
    <w:rsid w:val="00B2167C"/>
    <w:rsid w:val="00B22598"/>
    <w:rsid w:val="00B246D3"/>
    <w:rsid w:val="00B262C9"/>
    <w:rsid w:val="00B26A2C"/>
    <w:rsid w:val="00B26BDA"/>
    <w:rsid w:val="00B30526"/>
    <w:rsid w:val="00B3125B"/>
    <w:rsid w:val="00B32F9A"/>
    <w:rsid w:val="00B32FCD"/>
    <w:rsid w:val="00B34577"/>
    <w:rsid w:val="00B34E07"/>
    <w:rsid w:val="00B43464"/>
    <w:rsid w:val="00B45223"/>
    <w:rsid w:val="00B45C7D"/>
    <w:rsid w:val="00B461F3"/>
    <w:rsid w:val="00B46548"/>
    <w:rsid w:val="00B47EFD"/>
    <w:rsid w:val="00B50604"/>
    <w:rsid w:val="00B50C36"/>
    <w:rsid w:val="00B51C5E"/>
    <w:rsid w:val="00B52083"/>
    <w:rsid w:val="00B52525"/>
    <w:rsid w:val="00B52A88"/>
    <w:rsid w:val="00B52B44"/>
    <w:rsid w:val="00B52D72"/>
    <w:rsid w:val="00B56BAC"/>
    <w:rsid w:val="00B56E5B"/>
    <w:rsid w:val="00B571F4"/>
    <w:rsid w:val="00B61F86"/>
    <w:rsid w:val="00B6381E"/>
    <w:rsid w:val="00B64780"/>
    <w:rsid w:val="00B6494B"/>
    <w:rsid w:val="00B64BD5"/>
    <w:rsid w:val="00B64D7D"/>
    <w:rsid w:val="00B658BB"/>
    <w:rsid w:val="00B65E8E"/>
    <w:rsid w:val="00B6622F"/>
    <w:rsid w:val="00B67926"/>
    <w:rsid w:val="00B679FA"/>
    <w:rsid w:val="00B72B4C"/>
    <w:rsid w:val="00B75DE1"/>
    <w:rsid w:val="00B76EAC"/>
    <w:rsid w:val="00B81ECA"/>
    <w:rsid w:val="00B838D7"/>
    <w:rsid w:val="00B83DCC"/>
    <w:rsid w:val="00B86A3E"/>
    <w:rsid w:val="00B903B2"/>
    <w:rsid w:val="00B9113C"/>
    <w:rsid w:val="00B91DE8"/>
    <w:rsid w:val="00B93ECE"/>
    <w:rsid w:val="00B96111"/>
    <w:rsid w:val="00B975ED"/>
    <w:rsid w:val="00B979E2"/>
    <w:rsid w:val="00B97D1F"/>
    <w:rsid w:val="00B97E9D"/>
    <w:rsid w:val="00BA25DB"/>
    <w:rsid w:val="00BA38E0"/>
    <w:rsid w:val="00BA4649"/>
    <w:rsid w:val="00BA51C2"/>
    <w:rsid w:val="00BA619F"/>
    <w:rsid w:val="00BA7D43"/>
    <w:rsid w:val="00BB02EB"/>
    <w:rsid w:val="00BB08FA"/>
    <w:rsid w:val="00BB0940"/>
    <w:rsid w:val="00BB0A6C"/>
    <w:rsid w:val="00BB17F3"/>
    <w:rsid w:val="00BB2DBC"/>
    <w:rsid w:val="00BB4AC7"/>
    <w:rsid w:val="00BB4CD0"/>
    <w:rsid w:val="00BB4F92"/>
    <w:rsid w:val="00BB61C1"/>
    <w:rsid w:val="00BB6B4A"/>
    <w:rsid w:val="00BB7E90"/>
    <w:rsid w:val="00BB7F6A"/>
    <w:rsid w:val="00BC03CC"/>
    <w:rsid w:val="00BC11D7"/>
    <w:rsid w:val="00BC1B9C"/>
    <w:rsid w:val="00BC2C14"/>
    <w:rsid w:val="00BC31EE"/>
    <w:rsid w:val="00BC3C19"/>
    <w:rsid w:val="00BC4B27"/>
    <w:rsid w:val="00BC5C23"/>
    <w:rsid w:val="00BD15BE"/>
    <w:rsid w:val="00BD2E19"/>
    <w:rsid w:val="00BD3BF3"/>
    <w:rsid w:val="00BD5316"/>
    <w:rsid w:val="00BD6613"/>
    <w:rsid w:val="00BE41BE"/>
    <w:rsid w:val="00BE4EBB"/>
    <w:rsid w:val="00BE6F8C"/>
    <w:rsid w:val="00BE735F"/>
    <w:rsid w:val="00BF0B0F"/>
    <w:rsid w:val="00BF150A"/>
    <w:rsid w:val="00BF30A5"/>
    <w:rsid w:val="00BF3210"/>
    <w:rsid w:val="00BF3B09"/>
    <w:rsid w:val="00BF4A06"/>
    <w:rsid w:val="00C00340"/>
    <w:rsid w:val="00C03270"/>
    <w:rsid w:val="00C03937"/>
    <w:rsid w:val="00C048FB"/>
    <w:rsid w:val="00C04CFA"/>
    <w:rsid w:val="00C074A8"/>
    <w:rsid w:val="00C076EF"/>
    <w:rsid w:val="00C15E59"/>
    <w:rsid w:val="00C15E84"/>
    <w:rsid w:val="00C16C84"/>
    <w:rsid w:val="00C21DB4"/>
    <w:rsid w:val="00C224CD"/>
    <w:rsid w:val="00C25539"/>
    <w:rsid w:val="00C25C2B"/>
    <w:rsid w:val="00C2744F"/>
    <w:rsid w:val="00C33D5F"/>
    <w:rsid w:val="00C34648"/>
    <w:rsid w:val="00C34D95"/>
    <w:rsid w:val="00C357EB"/>
    <w:rsid w:val="00C37015"/>
    <w:rsid w:val="00C40072"/>
    <w:rsid w:val="00C408BD"/>
    <w:rsid w:val="00C4213E"/>
    <w:rsid w:val="00C438D5"/>
    <w:rsid w:val="00C45741"/>
    <w:rsid w:val="00C4699F"/>
    <w:rsid w:val="00C472A3"/>
    <w:rsid w:val="00C50C4A"/>
    <w:rsid w:val="00C524B1"/>
    <w:rsid w:val="00C53D6E"/>
    <w:rsid w:val="00C56B9D"/>
    <w:rsid w:val="00C60706"/>
    <w:rsid w:val="00C61A1B"/>
    <w:rsid w:val="00C6464D"/>
    <w:rsid w:val="00C64FE6"/>
    <w:rsid w:val="00C65838"/>
    <w:rsid w:val="00C72DBC"/>
    <w:rsid w:val="00C74041"/>
    <w:rsid w:val="00C76B39"/>
    <w:rsid w:val="00C77891"/>
    <w:rsid w:val="00C80803"/>
    <w:rsid w:val="00C8081E"/>
    <w:rsid w:val="00C8194B"/>
    <w:rsid w:val="00C8510F"/>
    <w:rsid w:val="00C856C4"/>
    <w:rsid w:val="00C8634C"/>
    <w:rsid w:val="00C86F92"/>
    <w:rsid w:val="00C90072"/>
    <w:rsid w:val="00C9533B"/>
    <w:rsid w:val="00CA14A2"/>
    <w:rsid w:val="00CA408B"/>
    <w:rsid w:val="00CA597B"/>
    <w:rsid w:val="00CB0748"/>
    <w:rsid w:val="00CB18BD"/>
    <w:rsid w:val="00CB1B09"/>
    <w:rsid w:val="00CB232C"/>
    <w:rsid w:val="00CB2D79"/>
    <w:rsid w:val="00CB2E90"/>
    <w:rsid w:val="00CB31D0"/>
    <w:rsid w:val="00CB4405"/>
    <w:rsid w:val="00CB4EF4"/>
    <w:rsid w:val="00CB5BD0"/>
    <w:rsid w:val="00CB63F6"/>
    <w:rsid w:val="00CC042F"/>
    <w:rsid w:val="00CC11D6"/>
    <w:rsid w:val="00CC237A"/>
    <w:rsid w:val="00CC2A69"/>
    <w:rsid w:val="00CD2668"/>
    <w:rsid w:val="00CD2B6F"/>
    <w:rsid w:val="00CD2FAC"/>
    <w:rsid w:val="00CD3879"/>
    <w:rsid w:val="00CD495B"/>
    <w:rsid w:val="00CD5C64"/>
    <w:rsid w:val="00CD69A5"/>
    <w:rsid w:val="00CD7C0B"/>
    <w:rsid w:val="00CD7C6C"/>
    <w:rsid w:val="00CE3BDB"/>
    <w:rsid w:val="00CE4305"/>
    <w:rsid w:val="00CE44AB"/>
    <w:rsid w:val="00CE4BC6"/>
    <w:rsid w:val="00CE52BF"/>
    <w:rsid w:val="00CE70DB"/>
    <w:rsid w:val="00CF001E"/>
    <w:rsid w:val="00CF363A"/>
    <w:rsid w:val="00CF50D5"/>
    <w:rsid w:val="00CF5C9B"/>
    <w:rsid w:val="00CF6662"/>
    <w:rsid w:val="00D01058"/>
    <w:rsid w:val="00D01136"/>
    <w:rsid w:val="00D03474"/>
    <w:rsid w:val="00D03476"/>
    <w:rsid w:val="00D03C0F"/>
    <w:rsid w:val="00D06998"/>
    <w:rsid w:val="00D06B71"/>
    <w:rsid w:val="00D06DC1"/>
    <w:rsid w:val="00D105D9"/>
    <w:rsid w:val="00D11FB0"/>
    <w:rsid w:val="00D129B0"/>
    <w:rsid w:val="00D1422B"/>
    <w:rsid w:val="00D1756F"/>
    <w:rsid w:val="00D21893"/>
    <w:rsid w:val="00D21E87"/>
    <w:rsid w:val="00D23DB6"/>
    <w:rsid w:val="00D242FC"/>
    <w:rsid w:val="00D24CEB"/>
    <w:rsid w:val="00D24F90"/>
    <w:rsid w:val="00D26400"/>
    <w:rsid w:val="00D264F9"/>
    <w:rsid w:val="00D31768"/>
    <w:rsid w:val="00D33471"/>
    <w:rsid w:val="00D35E6A"/>
    <w:rsid w:val="00D361F7"/>
    <w:rsid w:val="00D37A4D"/>
    <w:rsid w:val="00D37BDA"/>
    <w:rsid w:val="00D41D8D"/>
    <w:rsid w:val="00D475DD"/>
    <w:rsid w:val="00D50781"/>
    <w:rsid w:val="00D51C08"/>
    <w:rsid w:val="00D51F3E"/>
    <w:rsid w:val="00D55D74"/>
    <w:rsid w:val="00D568D6"/>
    <w:rsid w:val="00D613B2"/>
    <w:rsid w:val="00D61D4F"/>
    <w:rsid w:val="00D62526"/>
    <w:rsid w:val="00D65B3B"/>
    <w:rsid w:val="00D6655A"/>
    <w:rsid w:val="00D73BEF"/>
    <w:rsid w:val="00D75DD7"/>
    <w:rsid w:val="00D8461E"/>
    <w:rsid w:val="00D848AF"/>
    <w:rsid w:val="00D84D41"/>
    <w:rsid w:val="00D85867"/>
    <w:rsid w:val="00D90438"/>
    <w:rsid w:val="00D90F7C"/>
    <w:rsid w:val="00D91BBB"/>
    <w:rsid w:val="00D93BBB"/>
    <w:rsid w:val="00D9483F"/>
    <w:rsid w:val="00D957E5"/>
    <w:rsid w:val="00D9612C"/>
    <w:rsid w:val="00D96B41"/>
    <w:rsid w:val="00DA02CE"/>
    <w:rsid w:val="00DA0DFD"/>
    <w:rsid w:val="00DA26D1"/>
    <w:rsid w:val="00DA7EC9"/>
    <w:rsid w:val="00DB18FC"/>
    <w:rsid w:val="00DB2769"/>
    <w:rsid w:val="00DB4762"/>
    <w:rsid w:val="00DB630A"/>
    <w:rsid w:val="00DB6473"/>
    <w:rsid w:val="00DC3ED2"/>
    <w:rsid w:val="00DC4AE1"/>
    <w:rsid w:val="00DC6B38"/>
    <w:rsid w:val="00DC767D"/>
    <w:rsid w:val="00DC7A15"/>
    <w:rsid w:val="00DD0CDD"/>
    <w:rsid w:val="00DD26EA"/>
    <w:rsid w:val="00DD35BB"/>
    <w:rsid w:val="00DD5EDD"/>
    <w:rsid w:val="00DD6B34"/>
    <w:rsid w:val="00DD7198"/>
    <w:rsid w:val="00DE3B48"/>
    <w:rsid w:val="00DF0FF1"/>
    <w:rsid w:val="00DF1557"/>
    <w:rsid w:val="00DF49C5"/>
    <w:rsid w:val="00DF610C"/>
    <w:rsid w:val="00DF6B72"/>
    <w:rsid w:val="00DF7223"/>
    <w:rsid w:val="00DF749E"/>
    <w:rsid w:val="00DF7988"/>
    <w:rsid w:val="00E0112E"/>
    <w:rsid w:val="00E02056"/>
    <w:rsid w:val="00E037D5"/>
    <w:rsid w:val="00E07564"/>
    <w:rsid w:val="00E07EB9"/>
    <w:rsid w:val="00E10A87"/>
    <w:rsid w:val="00E114BC"/>
    <w:rsid w:val="00E11D50"/>
    <w:rsid w:val="00E13609"/>
    <w:rsid w:val="00E14B3C"/>
    <w:rsid w:val="00E16067"/>
    <w:rsid w:val="00E212E3"/>
    <w:rsid w:val="00E22505"/>
    <w:rsid w:val="00E226B6"/>
    <w:rsid w:val="00E227F4"/>
    <w:rsid w:val="00E23903"/>
    <w:rsid w:val="00E2465F"/>
    <w:rsid w:val="00E2575E"/>
    <w:rsid w:val="00E25E0D"/>
    <w:rsid w:val="00E27DAA"/>
    <w:rsid w:val="00E27FDC"/>
    <w:rsid w:val="00E303C9"/>
    <w:rsid w:val="00E30E7D"/>
    <w:rsid w:val="00E31BA9"/>
    <w:rsid w:val="00E332F8"/>
    <w:rsid w:val="00E33659"/>
    <w:rsid w:val="00E33734"/>
    <w:rsid w:val="00E4021E"/>
    <w:rsid w:val="00E40872"/>
    <w:rsid w:val="00E41594"/>
    <w:rsid w:val="00E4296F"/>
    <w:rsid w:val="00E46A08"/>
    <w:rsid w:val="00E47BE1"/>
    <w:rsid w:val="00E518FB"/>
    <w:rsid w:val="00E56FE8"/>
    <w:rsid w:val="00E57945"/>
    <w:rsid w:val="00E57C5E"/>
    <w:rsid w:val="00E6057C"/>
    <w:rsid w:val="00E607A7"/>
    <w:rsid w:val="00E60C5E"/>
    <w:rsid w:val="00E63BD1"/>
    <w:rsid w:val="00E6467D"/>
    <w:rsid w:val="00E66BCF"/>
    <w:rsid w:val="00E71342"/>
    <w:rsid w:val="00E728E4"/>
    <w:rsid w:val="00E77471"/>
    <w:rsid w:val="00E777FC"/>
    <w:rsid w:val="00E83DB2"/>
    <w:rsid w:val="00E840FB"/>
    <w:rsid w:val="00E8555A"/>
    <w:rsid w:val="00E85DAF"/>
    <w:rsid w:val="00E86A39"/>
    <w:rsid w:val="00E8703F"/>
    <w:rsid w:val="00E87864"/>
    <w:rsid w:val="00E9170D"/>
    <w:rsid w:val="00E9198A"/>
    <w:rsid w:val="00E92C29"/>
    <w:rsid w:val="00E931C1"/>
    <w:rsid w:val="00E93D73"/>
    <w:rsid w:val="00E94BE1"/>
    <w:rsid w:val="00E94BFD"/>
    <w:rsid w:val="00E94E0E"/>
    <w:rsid w:val="00E97186"/>
    <w:rsid w:val="00E97F6C"/>
    <w:rsid w:val="00EA04D2"/>
    <w:rsid w:val="00EA6401"/>
    <w:rsid w:val="00EA68DB"/>
    <w:rsid w:val="00EB0764"/>
    <w:rsid w:val="00EB1322"/>
    <w:rsid w:val="00EB1A62"/>
    <w:rsid w:val="00EB4FC8"/>
    <w:rsid w:val="00EB6E57"/>
    <w:rsid w:val="00EB7A4C"/>
    <w:rsid w:val="00EC0DD8"/>
    <w:rsid w:val="00EC2A66"/>
    <w:rsid w:val="00EC3672"/>
    <w:rsid w:val="00EC44FF"/>
    <w:rsid w:val="00ED0960"/>
    <w:rsid w:val="00ED3782"/>
    <w:rsid w:val="00ED56C1"/>
    <w:rsid w:val="00ED7D80"/>
    <w:rsid w:val="00EE1F49"/>
    <w:rsid w:val="00EE1F87"/>
    <w:rsid w:val="00EE3720"/>
    <w:rsid w:val="00EE3F92"/>
    <w:rsid w:val="00EE7634"/>
    <w:rsid w:val="00EF271D"/>
    <w:rsid w:val="00EF4228"/>
    <w:rsid w:val="00EF473E"/>
    <w:rsid w:val="00EF4DC8"/>
    <w:rsid w:val="00EF659E"/>
    <w:rsid w:val="00EF6A13"/>
    <w:rsid w:val="00EF6F24"/>
    <w:rsid w:val="00EF7950"/>
    <w:rsid w:val="00F00971"/>
    <w:rsid w:val="00F01751"/>
    <w:rsid w:val="00F02CF2"/>
    <w:rsid w:val="00F0385A"/>
    <w:rsid w:val="00F053D3"/>
    <w:rsid w:val="00F1070F"/>
    <w:rsid w:val="00F10CEC"/>
    <w:rsid w:val="00F13BB5"/>
    <w:rsid w:val="00F14992"/>
    <w:rsid w:val="00F16A50"/>
    <w:rsid w:val="00F21D20"/>
    <w:rsid w:val="00F22674"/>
    <w:rsid w:val="00F22B78"/>
    <w:rsid w:val="00F244F9"/>
    <w:rsid w:val="00F25220"/>
    <w:rsid w:val="00F25309"/>
    <w:rsid w:val="00F25320"/>
    <w:rsid w:val="00F26FA6"/>
    <w:rsid w:val="00F306D7"/>
    <w:rsid w:val="00F308B7"/>
    <w:rsid w:val="00F31501"/>
    <w:rsid w:val="00F3188A"/>
    <w:rsid w:val="00F31BE1"/>
    <w:rsid w:val="00F31CAB"/>
    <w:rsid w:val="00F32A46"/>
    <w:rsid w:val="00F34AD2"/>
    <w:rsid w:val="00F37170"/>
    <w:rsid w:val="00F43040"/>
    <w:rsid w:val="00F440E7"/>
    <w:rsid w:val="00F44520"/>
    <w:rsid w:val="00F44E00"/>
    <w:rsid w:val="00F44EC3"/>
    <w:rsid w:val="00F459DC"/>
    <w:rsid w:val="00F46AFA"/>
    <w:rsid w:val="00F46B72"/>
    <w:rsid w:val="00F474AB"/>
    <w:rsid w:val="00F476F6"/>
    <w:rsid w:val="00F47A28"/>
    <w:rsid w:val="00F5050C"/>
    <w:rsid w:val="00F5134E"/>
    <w:rsid w:val="00F528DD"/>
    <w:rsid w:val="00F52A18"/>
    <w:rsid w:val="00F52C68"/>
    <w:rsid w:val="00F53CC6"/>
    <w:rsid w:val="00F564CD"/>
    <w:rsid w:val="00F61702"/>
    <w:rsid w:val="00F62E71"/>
    <w:rsid w:val="00F6306C"/>
    <w:rsid w:val="00F630C8"/>
    <w:rsid w:val="00F64C12"/>
    <w:rsid w:val="00F6552D"/>
    <w:rsid w:val="00F667F5"/>
    <w:rsid w:val="00F67278"/>
    <w:rsid w:val="00F710E9"/>
    <w:rsid w:val="00F733F0"/>
    <w:rsid w:val="00F76A72"/>
    <w:rsid w:val="00F77340"/>
    <w:rsid w:val="00F8042D"/>
    <w:rsid w:val="00F8355F"/>
    <w:rsid w:val="00F85256"/>
    <w:rsid w:val="00F87572"/>
    <w:rsid w:val="00F87CA2"/>
    <w:rsid w:val="00F91976"/>
    <w:rsid w:val="00F92C8D"/>
    <w:rsid w:val="00F931AD"/>
    <w:rsid w:val="00F95FE5"/>
    <w:rsid w:val="00F9741A"/>
    <w:rsid w:val="00FA18B4"/>
    <w:rsid w:val="00FA1F53"/>
    <w:rsid w:val="00FA2095"/>
    <w:rsid w:val="00FA244D"/>
    <w:rsid w:val="00FA7224"/>
    <w:rsid w:val="00FB01BB"/>
    <w:rsid w:val="00FB1215"/>
    <w:rsid w:val="00FB3D8E"/>
    <w:rsid w:val="00FB4CB0"/>
    <w:rsid w:val="00FB608E"/>
    <w:rsid w:val="00FB6392"/>
    <w:rsid w:val="00FC39BA"/>
    <w:rsid w:val="00FC3DAC"/>
    <w:rsid w:val="00FD1428"/>
    <w:rsid w:val="00FD20C5"/>
    <w:rsid w:val="00FD221D"/>
    <w:rsid w:val="00FD2761"/>
    <w:rsid w:val="00FD309E"/>
    <w:rsid w:val="00FD37B5"/>
    <w:rsid w:val="00FD4568"/>
    <w:rsid w:val="00FD5B5E"/>
    <w:rsid w:val="00FD613E"/>
    <w:rsid w:val="00FD6F4D"/>
    <w:rsid w:val="00FE0559"/>
    <w:rsid w:val="00FE05A0"/>
    <w:rsid w:val="00FE3884"/>
    <w:rsid w:val="00FE3FCF"/>
    <w:rsid w:val="00FF2E19"/>
    <w:rsid w:val="00FF756F"/>
    <w:rsid w:val="01057174"/>
    <w:rsid w:val="018345E4"/>
    <w:rsid w:val="01A06D45"/>
    <w:rsid w:val="01A808A2"/>
    <w:rsid w:val="01BC0965"/>
    <w:rsid w:val="01DB1C83"/>
    <w:rsid w:val="01F42D45"/>
    <w:rsid w:val="01FD3B42"/>
    <w:rsid w:val="020862C3"/>
    <w:rsid w:val="021D08C9"/>
    <w:rsid w:val="02263A0C"/>
    <w:rsid w:val="02380249"/>
    <w:rsid w:val="0240152C"/>
    <w:rsid w:val="024912E2"/>
    <w:rsid w:val="025A670A"/>
    <w:rsid w:val="02A15559"/>
    <w:rsid w:val="02B67BB0"/>
    <w:rsid w:val="02B756B9"/>
    <w:rsid w:val="0306511F"/>
    <w:rsid w:val="03211304"/>
    <w:rsid w:val="03A1159F"/>
    <w:rsid w:val="04161DF0"/>
    <w:rsid w:val="04247911"/>
    <w:rsid w:val="042B4769"/>
    <w:rsid w:val="04AB57AE"/>
    <w:rsid w:val="05104339"/>
    <w:rsid w:val="051908A9"/>
    <w:rsid w:val="052662E8"/>
    <w:rsid w:val="05441904"/>
    <w:rsid w:val="05481BC6"/>
    <w:rsid w:val="054A67F1"/>
    <w:rsid w:val="05AD1B88"/>
    <w:rsid w:val="05EA1433"/>
    <w:rsid w:val="05F4071B"/>
    <w:rsid w:val="06006E2B"/>
    <w:rsid w:val="062F73CE"/>
    <w:rsid w:val="066873D1"/>
    <w:rsid w:val="06B42EA7"/>
    <w:rsid w:val="06DA4BFF"/>
    <w:rsid w:val="06EE7C33"/>
    <w:rsid w:val="06F22B07"/>
    <w:rsid w:val="070E664D"/>
    <w:rsid w:val="076A3DAC"/>
    <w:rsid w:val="077961C6"/>
    <w:rsid w:val="07C46CC8"/>
    <w:rsid w:val="07E8782A"/>
    <w:rsid w:val="07EA1DFF"/>
    <w:rsid w:val="07F46244"/>
    <w:rsid w:val="08290A63"/>
    <w:rsid w:val="082C3238"/>
    <w:rsid w:val="08594641"/>
    <w:rsid w:val="08862D93"/>
    <w:rsid w:val="08994C82"/>
    <w:rsid w:val="08E048A3"/>
    <w:rsid w:val="08E6699A"/>
    <w:rsid w:val="08F16230"/>
    <w:rsid w:val="09173BE2"/>
    <w:rsid w:val="097924AD"/>
    <w:rsid w:val="098132AC"/>
    <w:rsid w:val="09C54786"/>
    <w:rsid w:val="09CB306A"/>
    <w:rsid w:val="09FB5160"/>
    <w:rsid w:val="0A0D1961"/>
    <w:rsid w:val="0A931248"/>
    <w:rsid w:val="0AB52E4B"/>
    <w:rsid w:val="0AC413A1"/>
    <w:rsid w:val="0ACC7409"/>
    <w:rsid w:val="0B05596C"/>
    <w:rsid w:val="0B147F71"/>
    <w:rsid w:val="0B1549D5"/>
    <w:rsid w:val="0B4340AA"/>
    <w:rsid w:val="0B5F4097"/>
    <w:rsid w:val="0B651BC6"/>
    <w:rsid w:val="0B6E5AC7"/>
    <w:rsid w:val="0B72128C"/>
    <w:rsid w:val="0BFF061B"/>
    <w:rsid w:val="0C185825"/>
    <w:rsid w:val="0C50725B"/>
    <w:rsid w:val="0C5161DC"/>
    <w:rsid w:val="0C77413A"/>
    <w:rsid w:val="0CC928DF"/>
    <w:rsid w:val="0CED3C2C"/>
    <w:rsid w:val="0D034EE3"/>
    <w:rsid w:val="0D1A2DAF"/>
    <w:rsid w:val="0D272C82"/>
    <w:rsid w:val="0D353530"/>
    <w:rsid w:val="0D4D0739"/>
    <w:rsid w:val="0D6F7F53"/>
    <w:rsid w:val="0DC72E34"/>
    <w:rsid w:val="0DE85C35"/>
    <w:rsid w:val="0E18687C"/>
    <w:rsid w:val="0E4B4EB3"/>
    <w:rsid w:val="0E63368C"/>
    <w:rsid w:val="0E7262FB"/>
    <w:rsid w:val="0E91466C"/>
    <w:rsid w:val="0EC3241C"/>
    <w:rsid w:val="0ED14613"/>
    <w:rsid w:val="0F2410E0"/>
    <w:rsid w:val="0F693ECA"/>
    <w:rsid w:val="0F91589E"/>
    <w:rsid w:val="0F9359BF"/>
    <w:rsid w:val="0FAE003A"/>
    <w:rsid w:val="0FB32534"/>
    <w:rsid w:val="10037741"/>
    <w:rsid w:val="10152312"/>
    <w:rsid w:val="102C5265"/>
    <w:rsid w:val="103D7164"/>
    <w:rsid w:val="104E518D"/>
    <w:rsid w:val="104F742D"/>
    <w:rsid w:val="10654F5A"/>
    <w:rsid w:val="10EA5DD8"/>
    <w:rsid w:val="10F0623A"/>
    <w:rsid w:val="11755C50"/>
    <w:rsid w:val="11965BC6"/>
    <w:rsid w:val="11E04EEF"/>
    <w:rsid w:val="120C1F49"/>
    <w:rsid w:val="12387F40"/>
    <w:rsid w:val="12775458"/>
    <w:rsid w:val="127B5307"/>
    <w:rsid w:val="12BB3B36"/>
    <w:rsid w:val="12BB485E"/>
    <w:rsid w:val="12EA2F3A"/>
    <w:rsid w:val="12F6276B"/>
    <w:rsid w:val="12FB3F33"/>
    <w:rsid w:val="1304734C"/>
    <w:rsid w:val="13257202"/>
    <w:rsid w:val="13734DAF"/>
    <w:rsid w:val="146E1D29"/>
    <w:rsid w:val="147E55D3"/>
    <w:rsid w:val="14BC0C59"/>
    <w:rsid w:val="14BF17D8"/>
    <w:rsid w:val="14EB5483"/>
    <w:rsid w:val="15126972"/>
    <w:rsid w:val="151A7746"/>
    <w:rsid w:val="15235E47"/>
    <w:rsid w:val="15731CC9"/>
    <w:rsid w:val="15802E15"/>
    <w:rsid w:val="15CC7E09"/>
    <w:rsid w:val="15E52C78"/>
    <w:rsid w:val="15ED7DB6"/>
    <w:rsid w:val="16624D7B"/>
    <w:rsid w:val="16705666"/>
    <w:rsid w:val="16804BD0"/>
    <w:rsid w:val="16A237B3"/>
    <w:rsid w:val="16B72867"/>
    <w:rsid w:val="16C50FB2"/>
    <w:rsid w:val="17207642"/>
    <w:rsid w:val="172B0DE8"/>
    <w:rsid w:val="174B6345"/>
    <w:rsid w:val="179B0190"/>
    <w:rsid w:val="17EB6AAC"/>
    <w:rsid w:val="180D3552"/>
    <w:rsid w:val="182855F1"/>
    <w:rsid w:val="18595E69"/>
    <w:rsid w:val="187E4427"/>
    <w:rsid w:val="18F35D67"/>
    <w:rsid w:val="19183BAB"/>
    <w:rsid w:val="19364268"/>
    <w:rsid w:val="195475F8"/>
    <w:rsid w:val="195A7AFF"/>
    <w:rsid w:val="19FA344A"/>
    <w:rsid w:val="1A145528"/>
    <w:rsid w:val="1A980A99"/>
    <w:rsid w:val="1A9C249F"/>
    <w:rsid w:val="1A9E5B80"/>
    <w:rsid w:val="1AC251EA"/>
    <w:rsid w:val="1ACB4B33"/>
    <w:rsid w:val="1AE24E9D"/>
    <w:rsid w:val="1B1F47F5"/>
    <w:rsid w:val="1B8C131D"/>
    <w:rsid w:val="1BB37B8D"/>
    <w:rsid w:val="1BD46B71"/>
    <w:rsid w:val="1BF14E41"/>
    <w:rsid w:val="1BF71E0B"/>
    <w:rsid w:val="1C707611"/>
    <w:rsid w:val="1D213DA7"/>
    <w:rsid w:val="1D43465E"/>
    <w:rsid w:val="1D640CB3"/>
    <w:rsid w:val="1D647D73"/>
    <w:rsid w:val="1DBC4825"/>
    <w:rsid w:val="1DD2622D"/>
    <w:rsid w:val="1E083917"/>
    <w:rsid w:val="1E687389"/>
    <w:rsid w:val="1EE0497A"/>
    <w:rsid w:val="1EEF7FE2"/>
    <w:rsid w:val="1F21693D"/>
    <w:rsid w:val="1F403551"/>
    <w:rsid w:val="1F55375D"/>
    <w:rsid w:val="1F694562"/>
    <w:rsid w:val="1F7724CD"/>
    <w:rsid w:val="1F7A0C65"/>
    <w:rsid w:val="1FB679C3"/>
    <w:rsid w:val="1FD47C40"/>
    <w:rsid w:val="201631A1"/>
    <w:rsid w:val="203A5E3A"/>
    <w:rsid w:val="20490CC8"/>
    <w:rsid w:val="205611AE"/>
    <w:rsid w:val="205848BD"/>
    <w:rsid w:val="205A5997"/>
    <w:rsid w:val="20C8006E"/>
    <w:rsid w:val="20E406FC"/>
    <w:rsid w:val="21052421"/>
    <w:rsid w:val="21170CE2"/>
    <w:rsid w:val="21232A10"/>
    <w:rsid w:val="216E1D66"/>
    <w:rsid w:val="21887344"/>
    <w:rsid w:val="22316C03"/>
    <w:rsid w:val="229C744B"/>
    <w:rsid w:val="22E0799A"/>
    <w:rsid w:val="239318C9"/>
    <w:rsid w:val="23C019F6"/>
    <w:rsid w:val="242C2014"/>
    <w:rsid w:val="24462058"/>
    <w:rsid w:val="24795803"/>
    <w:rsid w:val="24C50E97"/>
    <w:rsid w:val="24C87CBD"/>
    <w:rsid w:val="24D21AAA"/>
    <w:rsid w:val="24F45ECC"/>
    <w:rsid w:val="24F641FA"/>
    <w:rsid w:val="25021151"/>
    <w:rsid w:val="25164BFC"/>
    <w:rsid w:val="254259F1"/>
    <w:rsid w:val="258E2E79"/>
    <w:rsid w:val="25A07695"/>
    <w:rsid w:val="25A54C35"/>
    <w:rsid w:val="25B10E34"/>
    <w:rsid w:val="25B86A75"/>
    <w:rsid w:val="25BF7042"/>
    <w:rsid w:val="25C1582D"/>
    <w:rsid w:val="25C17832"/>
    <w:rsid w:val="25D03E3D"/>
    <w:rsid w:val="25E1520A"/>
    <w:rsid w:val="25E66CC5"/>
    <w:rsid w:val="26013792"/>
    <w:rsid w:val="261A4BC0"/>
    <w:rsid w:val="263E4218"/>
    <w:rsid w:val="26521C05"/>
    <w:rsid w:val="26572D4C"/>
    <w:rsid w:val="265D41FA"/>
    <w:rsid w:val="26E0627B"/>
    <w:rsid w:val="26E47A85"/>
    <w:rsid w:val="271B0BF0"/>
    <w:rsid w:val="27326734"/>
    <w:rsid w:val="27384086"/>
    <w:rsid w:val="273A72C8"/>
    <w:rsid w:val="27452D6D"/>
    <w:rsid w:val="279A64B7"/>
    <w:rsid w:val="27AB5802"/>
    <w:rsid w:val="27E56B08"/>
    <w:rsid w:val="27FE2415"/>
    <w:rsid w:val="280445C1"/>
    <w:rsid w:val="281F6A3D"/>
    <w:rsid w:val="28285372"/>
    <w:rsid w:val="282E01D5"/>
    <w:rsid w:val="282E547B"/>
    <w:rsid w:val="2874680A"/>
    <w:rsid w:val="287D26C6"/>
    <w:rsid w:val="28925CDD"/>
    <w:rsid w:val="28B90F3D"/>
    <w:rsid w:val="28BD138E"/>
    <w:rsid w:val="28D62AF2"/>
    <w:rsid w:val="290556B4"/>
    <w:rsid w:val="29A547A1"/>
    <w:rsid w:val="29B05AF6"/>
    <w:rsid w:val="29B4676A"/>
    <w:rsid w:val="29BA4765"/>
    <w:rsid w:val="29C430AC"/>
    <w:rsid w:val="29C50F13"/>
    <w:rsid w:val="29C64887"/>
    <w:rsid w:val="29CC0CAB"/>
    <w:rsid w:val="29CC115B"/>
    <w:rsid w:val="29EF4215"/>
    <w:rsid w:val="2A6050A0"/>
    <w:rsid w:val="2A714D67"/>
    <w:rsid w:val="2A817CEF"/>
    <w:rsid w:val="2A8F645A"/>
    <w:rsid w:val="2AAE4D9D"/>
    <w:rsid w:val="2ACF55A8"/>
    <w:rsid w:val="2AE00B69"/>
    <w:rsid w:val="2AFA45DC"/>
    <w:rsid w:val="2B476EFC"/>
    <w:rsid w:val="2BB533C1"/>
    <w:rsid w:val="2BBA1C2C"/>
    <w:rsid w:val="2BC03D34"/>
    <w:rsid w:val="2BC34EC4"/>
    <w:rsid w:val="2C260F85"/>
    <w:rsid w:val="2C703772"/>
    <w:rsid w:val="2CA248AA"/>
    <w:rsid w:val="2CCC3583"/>
    <w:rsid w:val="2D10668C"/>
    <w:rsid w:val="2D363880"/>
    <w:rsid w:val="2D3826E3"/>
    <w:rsid w:val="2D5644CB"/>
    <w:rsid w:val="2D6B29EA"/>
    <w:rsid w:val="2D6C3DB8"/>
    <w:rsid w:val="2DB350A6"/>
    <w:rsid w:val="2DB4490F"/>
    <w:rsid w:val="2DB9670D"/>
    <w:rsid w:val="2E1B251B"/>
    <w:rsid w:val="2E23750C"/>
    <w:rsid w:val="2EB40F63"/>
    <w:rsid w:val="2EBA0CEE"/>
    <w:rsid w:val="2EC76F67"/>
    <w:rsid w:val="2EC92CDF"/>
    <w:rsid w:val="2EF97E15"/>
    <w:rsid w:val="2EFF278B"/>
    <w:rsid w:val="2F2038D9"/>
    <w:rsid w:val="2F2443BA"/>
    <w:rsid w:val="2F3E4480"/>
    <w:rsid w:val="2F3F4D1B"/>
    <w:rsid w:val="2F68739C"/>
    <w:rsid w:val="2F9622AC"/>
    <w:rsid w:val="2FAA0D63"/>
    <w:rsid w:val="2FBF2095"/>
    <w:rsid w:val="2FDB1217"/>
    <w:rsid w:val="2FE244AB"/>
    <w:rsid w:val="2FF355C0"/>
    <w:rsid w:val="30040642"/>
    <w:rsid w:val="3056529F"/>
    <w:rsid w:val="30801AC4"/>
    <w:rsid w:val="3082143F"/>
    <w:rsid w:val="308B2942"/>
    <w:rsid w:val="30CC19E5"/>
    <w:rsid w:val="30D20571"/>
    <w:rsid w:val="30D30BED"/>
    <w:rsid w:val="30E72BFB"/>
    <w:rsid w:val="30EE414A"/>
    <w:rsid w:val="31275097"/>
    <w:rsid w:val="314619D4"/>
    <w:rsid w:val="31474D8B"/>
    <w:rsid w:val="317739A7"/>
    <w:rsid w:val="3195004A"/>
    <w:rsid w:val="319E0B3E"/>
    <w:rsid w:val="31CE7EC4"/>
    <w:rsid w:val="31EF254C"/>
    <w:rsid w:val="32134D79"/>
    <w:rsid w:val="323B3D6E"/>
    <w:rsid w:val="32A9546D"/>
    <w:rsid w:val="32BC5BFF"/>
    <w:rsid w:val="32C10A18"/>
    <w:rsid w:val="32D92BBC"/>
    <w:rsid w:val="335039CF"/>
    <w:rsid w:val="33585F3A"/>
    <w:rsid w:val="33AD7074"/>
    <w:rsid w:val="33D53E1A"/>
    <w:rsid w:val="34034483"/>
    <w:rsid w:val="34044EAB"/>
    <w:rsid w:val="34237336"/>
    <w:rsid w:val="343C3F54"/>
    <w:rsid w:val="345319C9"/>
    <w:rsid w:val="3457735C"/>
    <w:rsid w:val="34645984"/>
    <w:rsid w:val="347552F0"/>
    <w:rsid w:val="34AC1F61"/>
    <w:rsid w:val="34AC650B"/>
    <w:rsid w:val="34BD10D8"/>
    <w:rsid w:val="34C401D1"/>
    <w:rsid w:val="352C780C"/>
    <w:rsid w:val="353D21BE"/>
    <w:rsid w:val="354E4E4E"/>
    <w:rsid w:val="355A4B75"/>
    <w:rsid w:val="359E7435"/>
    <w:rsid w:val="35B437C5"/>
    <w:rsid w:val="35ED6E95"/>
    <w:rsid w:val="35FC7E3E"/>
    <w:rsid w:val="360A60B7"/>
    <w:rsid w:val="361E26BC"/>
    <w:rsid w:val="362D624A"/>
    <w:rsid w:val="36323189"/>
    <w:rsid w:val="36DB5CA6"/>
    <w:rsid w:val="373A7FEA"/>
    <w:rsid w:val="377A66D7"/>
    <w:rsid w:val="378A5B0A"/>
    <w:rsid w:val="37945C59"/>
    <w:rsid w:val="37E70466"/>
    <w:rsid w:val="381B7B07"/>
    <w:rsid w:val="38303DCF"/>
    <w:rsid w:val="38D62BC9"/>
    <w:rsid w:val="38E86458"/>
    <w:rsid w:val="38F37552"/>
    <w:rsid w:val="3920750D"/>
    <w:rsid w:val="39237EB6"/>
    <w:rsid w:val="393C05D6"/>
    <w:rsid w:val="3945087F"/>
    <w:rsid w:val="394C69E7"/>
    <w:rsid w:val="398F3C7C"/>
    <w:rsid w:val="399432C0"/>
    <w:rsid w:val="399F1EF8"/>
    <w:rsid w:val="39A3649C"/>
    <w:rsid w:val="39CD186A"/>
    <w:rsid w:val="39D3395B"/>
    <w:rsid w:val="39D709A6"/>
    <w:rsid w:val="39DA2903"/>
    <w:rsid w:val="39DE1D35"/>
    <w:rsid w:val="3A156AFE"/>
    <w:rsid w:val="3A461688"/>
    <w:rsid w:val="3A6F435C"/>
    <w:rsid w:val="3A9064FF"/>
    <w:rsid w:val="3A96323D"/>
    <w:rsid w:val="3AD9074E"/>
    <w:rsid w:val="3B0804BA"/>
    <w:rsid w:val="3B660234"/>
    <w:rsid w:val="3B984974"/>
    <w:rsid w:val="3C795D45"/>
    <w:rsid w:val="3C7E30BA"/>
    <w:rsid w:val="3CD25361"/>
    <w:rsid w:val="3D347473"/>
    <w:rsid w:val="3D400FA1"/>
    <w:rsid w:val="3D4A1818"/>
    <w:rsid w:val="3D5D48FB"/>
    <w:rsid w:val="3D9559C0"/>
    <w:rsid w:val="3DA57E9B"/>
    <w:rsid w:val="3DF106A8"/>
    <w:rsid w:val="3E4800C5"/>
    <w:rsid w:val="3E7919AB"/>
    <w:rsid w:val="3E88226F"/>
    <w:rsid w:val="3E9C5D1B"/>
    <w:rsid w:val="3EA51073"/>
    <w:rsid w:val="3EF67D02"/>
    <w:rsid w:val="3F010FE7"/>
    <w:rsid w:val="3F0833B0"/>
    <w:rsid w:val="3F5F4CCF"/>
    <w:rsid w:val="3F6525B0"/>
    <w:rsid w:val="3F6F42A9"/>
    <w:rsid w:val="3F7A2219"/>
    <w:rsid w:val="3FF86DBE"/>
    <w:rsid w:val="40141BC7"/>
    <w:rsid w:val="40214D11"/>
    <w:rsid w:val="40236A3A"/>
    <w:rsid w:val="40450345"/>
    <w:rsid w:val="40563C0B"/>
    <w:rsid w:val="40B01F51"/>
    <w:rsid w:val="40BC08F6"/>
    <w:rsid w:val="40F36398"/>
    <w:rsid w:val="412E25C9"/>
    <w:rsid w:val="41484E09"/>
    <w:rsid w:val="41607EC4"/>
    <w:rsid w:val="416367FB"/>
    <w:rsid w:val="4166503C"/>
    <w:rsid w:val="41836F1D"/>
    <w:rsid w:val="41954CFD"/>
    <w:rsid w:val="41BC5B41"/>
    <w:rsid w:val="41C53136"/>
    <w:rsid w:val="41C87C39"/>
    <w:rsid w:val="41C96B43"/>
    <w:rsid w:val="41F8595E"/>
    <w:rsid w:val="42347CF9"/>
    <w:rsid w:val="4242307D"/>
    <w:rsid w:val="424F5203"/>
    <w:rsid w:val="427664C2"/>
    <w:rsid w:val="42AE7D3A"/>
    <w:rsid w:val="42B1469C"/>
    <w:rsid w:val="42DE4B54"/>
    <w:rsid w:val="42E94F7C"/>
    <w:rsid w:val="435D6808"/>
    <w:rsid w:val="43A558A9"/>
    <w:rsid w:val="43B77122"/>
    <w:rsid w:val="43BA292A"/>
    <w:rsid w:val="43BC6413"/>
    <w:rsid w:val="43E45AF4"/>
    <w:rsid w:val="43F82ECA"/>
    <w:rsid w:val="443679F5"/>
    <w:rsid w:val="443C30D3"/>
    <w:rsid w:val="44623DBC"/>
    <w:rsid w:val="4484172B"/>
    <w:rsid w:val="44AB201A"/>
    <w:rsid w:val="44D107B7"/>
    <w:rsid w:val="451330CC"/>
    <w:rsid w:val="4518783B"/>
    <w:rsid w:val="453C5F9E"/>
    <w:rsid w:val="45681522"/>
    <w:rsid w:val="456E2EF8"/>
    <w:rsid w:val="45817B4F"/>
    <w:rsid w:val="459736E0"/>
    <w:rsid w:val="45CC24C4"/>
    <w:rsid w:val="45ED78ED"/>
    <w:rsid w:val="4642004E"/>
    <w:rsid w:val="4660675D"/>
    <w:rsid w:val="46674E60"/>
    <w:rsid w:val="46683089"/>
    <w:rsid w:val="46B36752"/>
    <w:rsid w:val="46C155FF"/>
    <w:rsid w:val="46F45FAF"/>
    <w:rsid w:val="473E5925"/>
    <w:rsid w:val="476741EB"/>
    <w:rsid w:val="47B96B4B"/>
    <w:rsid w:val="47CB2B77"/>
    <w:rsid w:val="47F70466"/>
    <w:rsid w:val="48065DB2"/>
    <w:rsid w:val="48185BA2"/>
    <w:rsid w:val="481F6669"/>
    <w:rsid w:val="48345CE6"/>
    <w:rsid w:val="48621A93"/>
    <w:rsid w:val="487E0FE7"/>
    <w:rsid w:val="48885A92"/>
    <w:rsid w:val="48AF6C91"/>
    <w:rsid w:val="48C5709F"/>
    <w:rsid w:val="49514E3C"/>
    <w:rsid w:val="4972319F"/>
    <w:rsid w:val="49F90908"/>
    <w:rsid w:val="49F91A85"/>
    <w:rsid w:val="4A4E5109"/>
    <w:rsid w:val="4A8E048D"/>
    <w:rsid w:val="4AAD09F1"/>
    <w:rsid w:val="4AB1135A"/>
    <w:rsid w:val="4ACC65DF"/>
    <w:rsid w:val="4B207C5E"/>
    <w:rsid w:val="4B6422B6"/>
    <w:rsid w:val="4B8025FD"/>
    <w:rsid w:val="4B9D1FFC"/>
    <w:rsid w:val="4BA14F5C"/>
    <w:rsid w:val="4BB26B7D"/>
    <w:rsid w:val="4BD0684C"/>
    <w:rsid w:val="4BE83DFC"/>
    <w:rsid w:val="4C1A0B36"/>
    <w:rsid w:val="4C342173"/>
    <w:rsid w:val="4C4D484F"/>
    <w:rsid w:val="4C55796F"/>
    <w:rsid w:val="4C625235"/>
    <w:rsid w:val="4CA02E7A"/>
    <w:rsid w:val="4CB614C5"/>
    <w:rsid w:val="4CEE03B5"/>
    <w:rsid w:val="4CF227BF"/>
    <w:rsid w:val="4CF626D0"/>
    <w:rsid w:val="4CFA4C80"/>
    <w:rsid w:val="4D2424A4"/>
    <w:rsid w:val="4D2D0FDC"/>
    <w:rsid w:val="4D8E1BF9"/>
    <w:rsid w:val="4D9E4CE9"/>
    <w:rsid w:val="4DBB52DD"/>
    <w:rsid w:val="4DF20539"/>
    <w:rsid w:val="4DFC4A28"/>
    <w:rsid w:val="4E0256F8"/>
    <w:rsid w:val="4E4F30C8"/>
    <w:rsid w:val="4E4F73B4"/>
    <w:rsid w:val="4E50267E"/>
    <w:rsid w:val="4E5D3049"/>
    <w:rsid w:val="4E6F7581"/>
    <w:rsid w:val="4E8B0864"/>
    <w:rsid w:val="4E8F31A6"/>
    <w:rsid w:val="4ED85325"/>
    <w:rsid w:val="4EDA771B"/>
    <w:rsid w:val="4EEA4880"/>
    <w:rsid w:val="4F7A317B"/>
    <w:rsid w:val="501B265E"/>
    <w:rsid w:val="509A7756"/>
    <w:rsid w:val="50FB388D"/>
    <w:rsid w:val="5106188B"/>
    <w:rsid w:val="512429D2"/>
    <w:rsid w:val="516D03A2"/>
    <w:rsid w:val="516D2907"/>
    <w:rsid w:val="51755DE7"/>
    <w:rsid w:val="518B7CBD"/>
    <w:rsid w:val="51D32AE5"/>
    <w:rsid w:val="52045C59"/>
    <w:rsid w:val="520A4D17"/>
    <w:rsid w:val="520F4F62"/>
    <w:rsid w:val="5217598C"/>
    <w:rsid w:val="522A3F92"/>
    <w:rsid w:val="52357A04"/>
    <w:rsid w:val="52373E8F"/>
    <w:rsid w:val="525536BD"/>
    <w:rsid w:val="52A44405"/>
    <w:rsid w:val="52A445CA"/>
    <w:rsid w:val="52E52FC3"/>
    <w:rsid w:val="52F14A71"/>
    <w:rsid w:val="53440388"/>
    <w:rsid w:val="53873AAE"/>
    <w:rsid w:val="53887714"/>
    <w:rsid w:val="53BC772E"/>
    <w:rsid w:val="53C438F2"/>
    <w:rsid w:val="53FB2F47"/>
    <w:rsid w:val="54017EEF"/>
    <w:rsid w:val="54283B07"/>
    <w:rsid w:val="543D1653"/>
    <w:rsid w:val="54506385"/>
    <w:rsid w:val="54B46D2D"/>
    <w:rsid w:val="54BF7B31"/>
    <w:rsid w:val="54EA346C"/>
    <w:rsid w:val="54F40207"/>
    <w:rsid w:val="5621502B"/>
    <w:rsid w:val="562C39D0"/>
    <w:rsid w:val="563B6719"/>
    <w:rsid w:val="5653730A"/>
    <w:rsid w:val="569F0011"/>
    <w:rsid w:val="570D3D70"/>
    <w:rsid w:val="57435B33"/>
    <w:rsid w:val="575625C6"/>
    <w:rsid w:val="57AA1051"/>
    <w:rsid w:val="57D72F77"/>
    <w:rsid w:val="57E271BB"/>
    <w:rsid w:val="58350A83"/>
    <w:rsid w:val="5847010F"/>
    <w:rsid w:val="593212FE"/>
    <w:rsid w:val="59481573"/>
    <w:rsid w:val="59487733"/>
    <w:rsid w:val="598915A6"/>
    <w:rsid w:val="59A95430"/>
    <w:rsid w:val="59D66702"/>
    <w:rsid w:val="5A1337D7"/>
    <w:rsid w:val="5A235F34"/>
    <w:rsid w:val="5A2F6381"/>
    <w:rsid w:val="5A556960"/>
    <w:rsid w:val="5A957D82"/>
    <w:rsid w:val="5AA62968"/>
    <w:rsid w:val="5B0B1E06"/>
    <w:rsid w:val="5B1D0CCB"/>
    <w:rsid w:val="5B206E0A"/>
    <w:rsid w:val="5B3D70C5"/>
    <w:rsid w:val="5B413A7A"/>
    <w:rsid w:val="5B4D68C3"/>
    <w:rsid w:val="5B4F313F"/>
    <w:rsid w:val="5B7D45EA"/>
    <w:rsid w:val="5BD20B76"/>
    <w:rsid w:val="5BD3011B"/>
    <w:rsid w:val="5BE11A56"/>
    <w:rsid w:val="5BF7509C"/>
    <w:rsid w:val="5C2917C9"/>
    <w:rsid w:val="5C855D12"/>
    <w:rsid w:val="5CE9261B"/>
    <w:rsid w:val="5D5D29FB"/>
    <w:rsid w:val="5D702B8B"/>
    <w:rsid w:val="5D75587B"/>
    <w:rsid w:val="5D7A6168"/>
    <w:rsid w:val="5D860856"/>
    <w:rsid w:val="5D871691"/>
    <w:rsid w:val="5DA46C2D"/>
    <w:rsid w:val="5DF43A30"/>
    <w:rsid w:val="5E1D67A5"/>
    <w:rsid w:val="5E6E536B"/>
    <w:rsid w:val="5EEB4428"/>
    <w:rsid w:val="5F2A261D"/>
    <w:rsid w:val="5F3C1128"/>
    <w:rsid w:val="5F433A8A"/>
    <w:rsid w:val="5F5B3C9A"/>
    <w:rsid w:val="5F5E1B86"/>
    <w:rsid w:val="5F816B3B"/>
    <w:rsid w:val="5F91367F"/>
    <w:rsid w:val="5F9B5C14"/>
    <w:rsid w:val="602D06A5"/>
    <w:rsid w:val="60316BD2"/>
    <w:rsid w:val="60680F20"/>
    <w:rsid w:val="608F2EE2"/>
    <w:rsid w:val="60C95589"/>
    <w:rsid w:val="61070925"/>
    <w:rsid w:val="612D4D53"/>
    <w:rsid w:val="615F317C"/>
    <w:rsid w:val="617050B9"/>
    <w:rsid w:val="61821BE5"/>
    <w:rsid w:val="61926DDD"/>
    <w:rsid w:val="61D53811"/>
    <w:rsid w:val="61DB29EC"/>
    <w:rsid w:val="62175534"/>
    <w:rsid w:val="621C6604"/>
    <w:rsid w:val="62297B44"/>
    <w:rsid w:val="623507B5"/>
    <w:rsid w:val="623B29A7"/>
    <w:rsid w:val="623B46F0"/>
    <w:rsid w:val="62540044"/>
    <w:rsid w:val="625B223E"/>
    <w:rsid w:val="625C7814"/>
    <w:rsid w:val="62615DE9"/>
    <w:rsid w:val="62683FE2"/>
    <w:rsid w:val="62C620F9"/>
    <w:rsid w:val="62C76F5B"/>
    <w:rsid w:val="62CB5959"/>
    <w:rsid w:val="636968FC"/>
    <w:rsid w:val="637C61F2"/>
    <w:rsid w:val="63CD1056"/>
    <w:rsid w:val="63FA79B0"/>
    <w:rsid w:val="64047999"/>
    <w:rsid w:val="642E1C76"/>
    <w:rsid w:val="64542A70"/>
    <w:rsid w:val="64923598"/>
    <w:rsid w:val="64970BAF"/>
    <w:rsid w:val="64A52D4B"/>
    <w:rsid w:val="64BE79CE"/>
    <w:rsid w:val="64DA4B01"/>
    <w:rsid w:val="64F27480"/>
    <w:rsid w:val="64F3678D"/>
    <w:rsid w:val="6535002F"/>
    <w:rsid w:val="657349E7"/>
    <w:rsid w:val="659C46CE"/>
    <w:rsid w:val="66257D34"/>
    <w:rsid w:val="66677466"/>
    <w:rsid w:val="666A0329"/>
    <w:rsid w:val="66BB1AFB"/>
    <w:rsid w:val="66E31E89"/>
    <w:rsid w:val="67053791"/>
    <w:rsid w:val="670B3B0B"/>
    <w:rsid w:val="6715560B"/>
    <w:rsid w:val="67252F07"/>
    <w:rsid w:val="67567318"/>
    <w:rsid w:val="67582877"/>
    <w:rsid w:val="67797A29"/>
    <w:rsid w:val="6792167D"/>
    <w:rsid w:val="67A91D7C"/>
    <w:rsid w:val="67BD350F"/>
    <w:rsid w:val="680846A1"/>
    <w:rsid w:val="683C5CF5"/>
    <w:rsid w:val="68534DEC"/>
    <w:rsid w:val="68F3424F"/>
    <w:rsid w:val="690B0DF4"/>
    <w:rsid w:val="6951757E"/>
    <w:rsid w:val="6967075D"/>
    <w:rsid w:val="69947EF0"/>
    <w:rsid w:val="69B522E8"/>
    <w:rsid w:val="69C51688"/>
    <w:rsid w:val="69C550B4"/>
    <w:rsid w:val="6A004C60"/>
    <w:rsid w:val="6A2829D5"/>
    <w:rsid w:val="6A2B09DC"/>
    <w:rsid w:val="6A6376B8"/>
    <w:rsid w:val="6A661836"/>
    <w:rsid w:val="6A7755A9"/>
    <w:rsid w:val="6A907DCE"/>
    <w:rsid w:val="6AA95198"/>
    <w:rsid w:val="6AD743F6"/>
    <w:rsid w:val="6AEC20B7"/>
    <w:rsid w:val="6B1D5CE2"/>
    <w:rsid w:val="6B357712"/>
    <w:rsid w:val="6B5269B3"/>
    <w:rsid w:val="6B8C3A28"/>
    <w:rsid w:val="6BB463E5"/>
    <w:rsid w:val="6BC2512C"/>
    <w:rsid w:val="6BED6C60"/>
    <w:rsid w:val="6BEE7306"/>
    <w:rsid w:val="6BFB42D8"/>
    <w:rsid w:val="6C0C555F"/>
    <w:rsid w:val="6C1D7BEB"/>
    <w:rsid w:val="6C4611A4"/>
    <w:rsid w:val="6C4B6506"/>
    <w:rsid w:val="6C561B1F"/>
    <w:rsid w:val="6C582321"/>
    <w:rsid w:val="6C6C2705"/>
    <w:rsid w:val="6C965D24"/>
    <w:rsid w:val="6CDF2429"/>
    <w:rsid w:val="6CF43042"/>
    <w:rsid w:val="6CFC73C8"/>
    <w:rsid w:val="6D1E4BE6"/>
    <w:rsid w:val="6D555865"/>
    <w:rsid w:val="6D70286F"/>
    <w:rsid w:val="6D9F6377"/>
    <w:rsid w:val="6DB93944"/>
    <w:rsid w:val="6DBC675B"/>
    <w:rsid w:val="6DC33A0D"/>
    <w:rsid w:val="6DD61BC7"/>
    <w:rsid w:val="6DDC0427"/>
    <w:rsid w:val="6E137010"/>
    <w:rsid w:val="6E283E10"/>
    <w:rsid w:val="6E3F4BB9"/>
    <w:rsid w:val="6E3F7887"/>
    <w:rsid w:val="6E40404E"/>
    <w:rsid w:val="6E424E4A"/>
    <w:rsid w:val="6E625D89"/>
    <w:rsid w:val="6E753F51"/>
    <w:rsid w:val="6E9F3C9F"/>
    <w:rsid w:val="6EA53DC8"/>
    <w:rsid w:val="6EE64C0C"/>
    <w:rsid w:val="6EF92FE2"/>
    <w:rsid w:val="6F101C89"/>
    <w:rsid w:val="6F20011E"/>
    <w:rsid w:val="6F2B6AD3"/>
    <w:rsid w:val="6F685621"/>
    <w:rsid w:val="6F8F49A6"/>
    <w:rsid w:val="6F9C2B61"/>
    <w:rsid w:val="6FDD555A"/>
    <w:rsid w:val="6FE211DA"/>
    <w:rsid w:val="6FEF22B2"/>
    <w:rsid w:val="700510C2"/>
    <w:rsid w:val="700649E3"/>
    <w:rsid w:val="700D7F77"/>
    <w:rsid w:val="702B672C"/>
    <w:rsid w:val="70905D38"/>
    <w:rsid w:val="709A71C8"/>
    <w:rsid w:val="70DC7D22"/>
    <w:rsid w:val="710E3FA6"/>
    <w:rsid w:val="71294435"/>
    <w:rsid w:val="712B5188"/>
    <w:rsid w:val="713779A1"/>
    <w:rsid w:val="71417B50"/>
    <w:rsid w:val="7153255C"/>
    <w:rsid w:val="716D47B4"/>
    <w:rsid w:val="71A010A2"/>
    <w:rsid w:val="71B9330F"/>
    <w:rsid w:val="71CF1988"/>
    <w:rsid w:val="726D5F3C"/>
    <w:rsid w:val="72777FE9"/>
    <w:rsid w:val="72E560B4"/>
    <w:rsid w:val="731D6723"/>
    <w:rsid w:val="73351248"/>
    <w:rsid w:val="733E0A28"/>
    <w:rsid w:val="735A0271"/>
    <w:rsid w:val="7386758A"/>
    <w:rsid w:val="73877CAB"/>
    <w:rsid w:val="73DD70BA"/>
    <w:rsid w:val="74233D30"/>
    <w:rsid w:val="74516218"/>
    <w:rsid w:val="745579AC"/>
    <w:rsid w:val="747D5A76"/>
    <w:rsid w:val="74957C20"/>
    <w:rsid w:val="74C36260"/>
    <w:rsid w:val="74EC67AF"/>
    <w:rsid w:val="750000AA"/>
    <w:rsid w:val="75743F4F"/>
    <w:rsid w:val="75834F63"/>
    <w:rsid w:val="759C7DD3"/>
    <w:rsid w:val="75B03D22"/>
    <w:rsid w:val="75D40186"/>
    <w:rsid w:val="75DF0C59"/>
    <w:rsid w:val="763D7A3F"/>
    <w:rsid w:val="765A0D7E"/>
    <w:rsid w:val="769A6A08"/>
    <w:rsid w:val="770E208A"/>
    <w:rsid w:val="770F7566"/>
    <w:rsid w:val="775B7CD8"/>
    <w:rsid w:val="77791ACE"/>
    <w:rsid w:val="778168EE"/>
    <w:rsid w:val="77B04456"/>
    <w:rsid w:val="77F65547"/>
    <w:rsid w:val="780D4FB8"/>
    <w:rsid w:val="78455FE5"/>
    <w:rsid w:val="785018A3"/>
    <w:rsid w:val="78516F03"/>
    <w:rsid w:val="7855420A"/>
    <w:rsid w:val="786E0A50"/>
    <w:rsid w:val="78C97718"/>
    <w:rsid w:val="793D609E"/>
    <w:rsid w:val="7941662A"/>
    <w:rsid w:val="796432FD"/>
    <w:rsid w:val="79786FBD"/>
    <w:rsid w:val="79816CAE"/>
    <w:rsid w:val="7987101F"/>
    <w:rsid w:val="79D008FA"/>
    <w:rsid w:val="7A101AB7"/>
    <w:rsid w:val="7A23582D"/>
    <w:rsid w:val="7AE30252"/>
    <w:rsid w:val="7B0F54EB"/>
    <w:rsid w:val="7B252618"/>
    <w:rsid w:val="7B291B29"/>
    <w:rsid w:val="7B3E72C4"/>
    <w:rsid w:val="7B64029B"/>
    <w:rsid w:val="7B7C6424"/>
    <w:rsid w:val="7BEF5FFA"/>
    <w:rsid w:val="7C1621AE"/>
    <w:rsid w:val="7C163879"/>
    <w:rsid w:val="7C241CA2"/>
    <w:rsid w:val="7C442D20"/>
    <w:rsid w:val="7C581C2C"/>
    <w:rsid w:val="7C727ADF"/>
    <w:rsid w:val="7CA70F0B"/>
    <w:rsid w:val="7CC04412"/>
    <w:rsid w:val="7D07647A"/>
    <w:rsid w:val="7D2D1C58"/>
    <w:rsid w:val="7D43322A"/>
    <w:rsid w:val="7D4C2687"/>
    <w:rsid w:val="7D6C22BD"/>
    <w:rsid w:val="7D6C452F"/>
    <w:rsid w:val="7D843D86"/>
    <w:rsid w:val="7D90323E"/>
    <w:rsid w:val="7DA74646"/>
    <w:rsid w:val="7DCC7515"/>
    <w:rsid w:val="7DE01D7D"/>
    <w:rsid w:val="7E0E7579"/>
    <w:rsid w:val="7E55237B"/>
    <w:rsid w:val="7EAC4F2D"/>
    <w:rsid w:val="7ED74932"/>
    <w:rsid w:val="7EE032BD"/>
    <w:rsid w:val="7EE37ECB"/>
    <w:rsid w:val="7EE477AF"/>
    <w:rsid w:val="7F146F18"/>
    <w:rsid w:val="7F1B26B0"/>
    <w:rsid w:val="7F324E44"/>
    <w:rsid w:val="7F6320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semiHidden="0"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qFormat="1" w:unhideWhenUsed="0" w:uiPriority="0" w:semiHidden="0"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qFormat="1"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rPr>
      <w:rFonts w:cs="Times New Roman" w:asciiTheme="minorHAnsi" w:hAnsiTheme="minorHAnsi" w:eastAsiaTheme="minorEastAsia"/>
      <w:sz w:val="24"/>
      <w:szCs w:val="24"/>
      <w:lang w:val="en-US" w:eastAsia="zh-CN" w:bidi="ar-SA"/>
    </w:rPr>
  </w:style>
  <w:style w:type="paragraph" w:styleId="3">
    <w:name w:val="heading 1"/>
    <w:basedOn w:val="1"/>
    <w:next w:val="1"/>
    <w:link w:val="60"/>
    <w:qFormat/>
    <w:uiPriority w:val="9"/>
    <w:pPr>
      <w:spacing w:line="360" w:lineRule="auto"/>
      <w:jc w:val="center"/>
      <w:outlineLvl w:val="0"/>
    </w:pPr>
    <w:rPr>
      <w:rFonts w:ascii="方正小标宋_GBK" w:hAnsi="仿宋" w:eastAsia="方正小标宋_GBK"/>
      <w:sz w:val="44"/>
      <w:szCs w:val="44"/>
    </w:rPr>
  </w:style>
  <w:style w:type="paragraph" w:styleId="4">
    <w:name w:val="heading 2"/>
    <w:basedOn w:val="1"/>
    <w:next w:val="1"/>
    <w:link w:val="61"/>
    <w:unhideWhenUsed/>
    <w:qFormat/>
    <w:uiPriority w:val="9"/>
    <w:pPr>
      <w:spacing w:line="560" w:lineRule="exact"/>
      <w:ind w:firstLine="640" w:firstLineChars="200"/>
      <w:jc w:val="both"/>
      <w:outlineLvl w:val="1"/>
    </w:pPr>
    <w:rPr>
      <w:rFonts w:ascii="楷体" w:hAnsi="楷体" w:eastAsia="黑体"/>
      <w:sz w:val="32"/>
      <w:szCs w:val="32"/>
    </w:rPr>
  </w:style>
  <w:style w:type="paragraph" w:styleId="5">
    <w:name w:val="heading 3"/>
    <w:basedOn w:val="1"/>
    <w:next w:val="1"/>
    <w:link w:val="62"/>
    <w:unhideWhenUsed/>
    <w:qFormat/>
    <w:uiPriority w:val="9"/>
    <w:pPr>
      <w:spacing w:line="560" w:lineRule="exact"/>
      <w:jc w:val="center"/>
      <w:outlineLvl w:val="2"/>
    </w:pPr>
    <w:rPr>
      <w:rFonts w:ascii="方正小标宋_GBK" w:hAnsi="仿宋" w:eastAsia="方正小标宋_GBK"/>
      <w:sz w:val="36"/>
      <w:szCs w:val="36"/>
    </w:rPr>
  </w:style>
  <w:style w:type="paragraph" w:styleId="2">
    <w:name w:val="heading 4"/>
    <w:basedOn w:val="1"/>
    <w:next w:val="1"/>
    <w:link w:val="63"/>
    <w:semiHidden/>
    <w:unhideWhenUsed/>
    <w:qFormat/>
    <w:uiPriority w:val="9"/>
    <w:pPr>
      <w:keepNext/>
      <w:numPr>
        <w:ilvl w:val="3"/>
        <w:numId w:val="1"/>
      </w:numPr>
      <w:spacing w:before="240" w:after="60"/>
      <w:outlineLvl w:val="3"/>
    </w:pPr>
    <w:rPr>
      <w:rFonts w:cstheme="majorBidi"/>
      <w:b/>
      <w:bCs/>
      <w:sz w:val="28"/>
      <w:szCs w:val="28"/>
    </w:rPr>
  </w:style>
  <w:style w:type="paragraph" w:styleId="6">
    <w:name w:val="heading 5"/>
    <w:basedOn w:val="1"/>
    <w:next w:val="1"/>
    <w:link w:val="64"/>
    <w:semiHidden/>
    <w:unhideWhenUsed/>
    <w:qFormat/>
    <w:uiPriority w:val="9"/>
    <w:pPr>
      <w:numPr>
        <w:ilvl w:val="4"/>
        <w:numId w:val="1"/>
      </w:numPr>
      <w:spacing w:before="240" w:after="60"/>
      <w:outlineLvl w:val="4"/>
    </w:pPr>
    <w:rPr>
      <w:b/>
      <w:bCs/>
      <w:i/>
      <w:iCs/>
      <w:sz w:val="26"/>
      <w:szCs w:val="26"/>
    </w:rPr>
  </w:style>
  <w:style w:type="paragraph" w:styleId="7">
    <w:name w:val="heading 6"/>
    <w:basedOn w:val="1"/>
    <w:next w:val="1"/>
    <w:link w:val="65"/>
    <w:semiHidden/>
    <w:unhideWhenUsed/>
    <w:qFormat/>
    <w:uiPriority w:val="9"/>
    <w:pPr>
      <w:numPr>
        <w:ilvl w:val="5"/>
        <w:numId w:val="1"/>
      </w:numPr>
      <w:spacing w:before="240" w:after="60"/>
      <w:outlineLvl w:val="5"/>
    </w:pPr>
    <w:rPr>
      <w:rFonts w:cstheme="majorBidi"/>
      <w:b/>
      <w:bCs/>
      <w:sz w:val="22"/>
      <w:szCs w:val="22"/>
    </w:rPr>
  </w:style>
  <w:style w:type="paragraph" w:styleId="8">
    <w:name w:val="heading 7"/>
    <w:basedOn w:val="1"/>
    <w:next w:val="1"/>
    <w:link w:val="66"/>
    <w:semiHidden/>
    <w:unhideWhenUsed/>
    <w:qFormat/>
    <w:uiPriority w:val="9"/>
    <w:pPr>
      <w:numPr>
        <w:ilvl w:val="6"/>
        <w:numId w:val="1"/>
      </w:numPr>
      <w:spacing w:before="240" w:after="60"/>
      <w:outlineLvl w:val="6"/>
    </w:pPr>
  </w:style>
  <w:style w:type="paragraph" w:styleId="9">
    <w:name w:val="heading 8"/>
    <w:basedOn w:val="1"/>
    <w:next w:val="1"/>
    <w:link w:val="67"/>
    <w:semiHidden/>
    <w:unhideWhenUsed/>
    <w:qFormat/>
    <w:uiPriority w:val="9"/>
    <w:pPr>
      <w:numPr>
        <w:ilvl w:val="7"/>
        <w:numId w:val="1"/>
      </w:numPr>
      <w:spacing w:before="240" w:after="60"/>
      <w:outlineLvl w:val="7"/>
    </w:pPr>
    <w:rPr>
      <w:rFonts w:cstheme="majorBidi"/>
      <w:i/>
      <w:iCs/>
    </w:rPr>
  </w:style>
  <w:style w:type="paragraph" w:styleId="10">
    <w:name w:val="heading 9"/>
    <w:basedOn w:val="1"/>
    <w:next w:val="1"/>
    <w:link w:val="68"/>
    <w:semiHidden/>
    <w:unhideWhenUsed/>
    <w:qFormat/>
    <w:uiPriority w:val="9"/>
    <w:pPr>
      <w:numPr>
        <w:ilvl w:val="8"/>
        <w:numId w:val="1"/>
      </w:numPr>
      <w:spacing w:before="240" w:after="60"/>
      <w:outlineLvl w:val="8"/>
    </w:pPr>
    <w:rPr>
      <w:rFonts w:asciiTheme="majorHAnsi" w:hAnsiTheme="majorHAnsi" w:eastAsiaTheme="majorEastAsia" w:cstheme="majorBidi"/>
      <w:sz w:val="22"/>
      <w:szCs w:val="22"/>
    </w:rPr>
  </w:style>
  <w:style w:type="character" w:default="1" w:styleId="30">
    <w:name w:val="Default Paragraph Font"/>
    <w:semiHidden/>
    <w:unhideWhenUsed/>
    <w:qFormat/>
    <w:uiPriority w:val="1"/>
  </w:style>
  <w:style w:type="table" w:default="1" w:styleId="28">
    <w:name w:val="Normal Table"/>
    <w:semiHidden/>
    <w:unhideWhenUsed/>
    <w:qFormat/>
    <w:uiPriority w:val="99"/>
    <w:tblPr>
      <w:tblCellMar>
        <w:top w:w="0" w:type="dxa"/>
        <w:left w:w="108" w:type="dxa"/>
        <w:bottom w:w="0" w:type="dxa"/>
        <w:right w:w="108" w:type="dxa"/>
      </w:tblCellMar>
    </w:tblPr>
  </w:style>
  <w:style w:type="paragraph" w:styleId="11">
    <w:name w:val="Normal Indent"/>
    <w:basedOn w:val="1"/>
    <w:qFormat/>
    <w:uiPriority w:val="0"/>
    <w:pPr>
      <w:autoSpaceDE w:val="0"/>
      <w:autoSpaceDN w:val="0"/>
      <w:adjustRightInd w:val="0"/>
      <w:spacing w:line="640" w:lineRule="exact"/>
      <w:ind w:firstLine="585"/>
    </w:pPr>
    <w:rPr>
      <w:rFonts w:ascii="楷体_GB2312" w:hAnsi="Times New Roman" w:eastAsia="楷体_GB2312"/>
      <w:kern w:val="0"/>
      <w:sz w:val="32"/>
      <w:szCs w:val="32"/>
    </w:rPr>
  </w:style>
  <w:style w:type="paragraph" w:styleId="12">
    <w:name w:val="caption"/>
    <w:basedOn w:val="1"/>
    <w:next w:val="1"/>
    <w:semiHidden/>
    <w:unhideWhenUsed/>
    <w:qFormat/>
    <w:uiPriority w:val="35"/>
    <w:rPr>
      <w:rFonts w:eastAsia="黑体" w:asciiTheme="majorHAnsi" w:hAnsiTheme="majorHAnsi" w:cstheme="majorBidi"/>
      <w:sz w:val="20"/>
      <w:szCs w:val="20"/>
    </w:rPr>
  </w:style>
  <w:style w:type="paragraph" w:styleId="13">
    <w:name w:val="Document Map"/>
    <w:basedOn w:val="1"/>
    <w:link w:val="92"/>
    <w:semiHidden/>
    <w:unhideWhenUsed/>
    <w:qFormat/>
    <w:uiPriority w:val="99"/>
    <w:pPr>
      <w:spacing w:line="400" w:lineRule="exact"/>
      <w:jc w:val="both"/>
    </w:pPr>
    <w:rPr>
      <w:rFonts w:ascii="宋体" w:hAnsi="Calibri Light" w:eastAsia="宋体" w:cs="Calibri Light"/>
      <w:kern w:val="2"/>
      <w:sz w:val="18"/>
      <w:szCs w:val="18"/>
    </w:rPr>
  </w:style>
  <w:style w:type="paragraph" w:styleId="14">
    <w:name w:val="annotation text"/>
    <w:basedOn w:val="1"/>
    <w:link w:val="84"/>
    <w:unhideWhenUsed/>
    <w:qFormat/>
    <w:uiPriority w:val="99"/>
    <w:pPr>
      <w:spacing w:line="400" w:lineRule="exact"/>
    </w:pPr>
    <w:rPr>
      <w:rFonts w:ascii="Calibri Light" w:hAnsi="Calibri Light" w:eastAsia="华文仿宋" w:cs="Calibri Light"/>
      <w:kern w:val="2"/>
      <w:sz w:val="28"/>
      <w:szCs w:val="28"/>
    </w:rPr>
  </w:style>
  <w:style w:type="paragraph" w:styleId="15">
    <w:name w:val="Body Text"/>
    <w:basedOn w:val="1"/>
    <w:next w:val="1"/>
    <w:qFormat/>
    <w:uiPriority w:val="0"/>
    <w:rPr>
      <w:color w:val="993300"/>
      <w:sz w:val="24"/>
    </w:rPr>
  </w:style>
  <w:style w:type="paragraph" w:styleId="16">
    <w:name w:val="Plain Text"/>
    <w:basedOn w:val="1"/>
    <w:next w:val="1"/>
    <w:qFormat/>
    <w:uiPriority w:val="0"/>
    <w:rPr>
      <w:rFonts w:ascii="宋体"/>
      <w:szCs w:val="20"/>
    </w:rPr>
  </w:style>
  <w:style w:type="paragraph" w:styleId="17">
    <w:name w:val="Date"/>
    <w:basedOn w:val="1"/>
    <w:next w:val="1"/>
    <w:link w:val="57"/>
    <w:semiHidden/>
    <w:unhideWhenUsed/>
    <w:qFormat/>
    <w:uiPriority w:val="99"/>
    <w:pPr>
      <w:ind w:left="100" w:leftChars="2500"/>
    </w:pPr>
  </w:style>
  <w:style w:type="paragraph" w:styleId="18">
    <w:name w:val="Balloon Text"/>
    <w:basedOn w:val="1"/>
    <w:link w:val="83"/>
    <w:semiHidden/>
    <w:unhideWhenUsed/>
    <w:qFormat/>
    <w:uiPriority w:val="99"/>
    <w:rPr>
      <w:sz w:val="18"/>
      <w:szCs w:val="18"/>
    </w:rPr>
  </w:style>
  <w:style w:type="paragraph" w:styleId="19">
    <w:name w:val="footer"/>
    <w:basedOn w:val="1"/>
    <w:link w:val="59"/>
    <w:unhideWhenUsed/>
    <w:qFormat/>
    <w:uiPriority w:val="99"/>
    <w:pPr>
      <w:tabs>
        <w:tab w:val="center" w:pos="4153"/>
        <w:tab w:val="right" w:pos="8306"/>
      </w:tabs>
      <w:snapToGrid w:val="0"/>
      <w:spacing w:line="240" w:lineRule="atLeast"/>
    </w:pPr>
    <w:rPr>
      <w:sz w:val="18"/>
      <w:szCs w:val="18"/>
    </w:rPr>
  </w:style>
  <w:style w:type="paragraph" w:styleId="20">
    <w:name w:val="header"/>
    <w:basedOn w:val="1"/>
    <w:link w:val="58"/>
    <w:unhideWhenUsed/>
    <w:qFormat/>
    <w:uiPriority w:val="0"/>
    <w:pPr>
      <w:pBdr>
        <w:bottom w:val="single" w:color="auto" w:sz="6" w:space="1"/>
      </w:pBdr>
      <w:tabs>
        <w:tab w:val="center" w:pos="4153"/>
        <w:tab w:val="right" w:pos="8306"/>
      </w:tabs>
      <w:snapToGrid w:val="0"/>
      <w:spacing w:line="240" w:lineRule="atLeast"/>
      <w:jc w:val="center"/>
    </w:pPr>
    <w:rPr>
      <w:sz w:val="18"/>
      <w:szCs w:val="18"/>
    </w:rPr>
  </w:style>
  <w:style w:type="paragraph" w:styleId="21">
    <w:name w:val="toc 1"/>
    <w:basedOn w:val="1"/>
    <w:next w:val="1"/>
    <w:unhideWhenUsed/>
    <w:qFormat/>
    <w:uiPriority w:val="39"/>
    <w:pPr>
      <w:spacing w:before="100" w:beforeLines="100" w:after="100" w:afterLines="100"/>
    </w:pPr>
    <w:rPr>
      <w:rFonts w:ascii="Calibri" w:hAnsi="Calibri" w:eastAsia="宋体"/>
      <w:kern w:val="32"/>
      <w:sz w:val="32"/>
    </w:rPr>
  </w:style>
  <w:style w:type="paragraph" w:styleId="22">
    <w:name w:val="Subtitle"/>
    <w:basedOn w:val="1"/>
    <w:next w:val="1"/>
    <w:link w:val="70"/>
    <w:qFormat/>
    <w:uiPriority w:val="11"/>
    <w:pPr>
      <w:keepNext/>
      <w:spacing w:before="50" w:beforeLines="50" w:after="50" w:afterLines="50"/>
      <w:jc w:val="center"/>
      <w:outlineLvl w:val="1"/>
    </w:pPr>
    <w:rPr>
      <w:rFonts w:ascii="Calibri" w:hAnsi="Calibri" w:eastAsia="黑体" w:cstheme="majorBidi"/>
      <w:sz w:val="32"/>
    </w:rPr>
  </w:style>
  <w:style w:type="paragraph" w:styleId="23">
    <w:name w:val="Body Text Indent 3"/>
    <w:basedOn w:val="1"/>
    <w:qFormat/>
    <w:uiPriority w:val="0"/>
    <w:pPr>
      <w:spacing w:after="120"/>
      <w:ind w:left="420" w:leftChars="200"/>
    </w:pPr>
    <w:rPr>
      <w:sz w:val="16"/>
    </w:rPr>
  </w:style>
  <w:style w:type="paragraph" w:styleId="24">
    <w:name w:val="Normal (Web)"/>
    <w:basedOn w:val="1"/>
    <w:qFormat/>
    <w:uiPriority w:val="0"/>
    <w:pPr>
      <w:widowControl/>
      <w:spacing w:before="100" w:beforeAutospacing="1" w:after="100" w:afterAutospacing="1"/>
    </w:pPr>
    <w:rPr>
      <w:rFonts w:ascii="宋体" w:hAnsi="宋体"/>
      <w:sz w:val="24"/>
    </w:rPr>
  </w:style>
  <w:style w:type="paragraph" w:styleId="25">
    <w:name w:val="Title"/>
    <w:basedOn w:val="1"/>
    <w:next w:val="1"/>
    <w:link w:val="69"/>
    <w:qFormat/>
    <w:uiPriority w:val="10"/>
    <w:pPr>
      <w:spacing w:before="240" w:after="60"/>
      <w:jc w:val="center"/>
      <w:outlineLvl w:val="0"/>
    </w:pPr>
    <w:rPr>
      <w:rFonts w:asciiTheme="majorHAnsi" w:hAnsiTheme="majorHAnsi" w:eastAsiaTheme="majorEastAsia" w:cstheme="majorBidi"/>
      <w:b/>
      <w:bCs/>
      <w:kern w:val="28"/>
      <w:sz w:val="32"/>
      <w:szCs w:val="32"/>
    </w:rPr>
  </w:style>
  <w:style w:type="paragraph" w:styleId="26">
    <w:name w:val="annotation subject"/>
    <w:basedOn w:val="14"/>
    <w:next w:val="14"/>
    <w:link w:val="91"/>
    <w:semiHidden/>
    <w:unhideWhenUsed/>
    <w:qFormat/>
    <w:uiPriority w:val="99"/>
    <w:rPr>
      <w:b/>
      <w:bCs/>
    </w:rPr>
  </w:style>
  <w:style w:type="paragraph" w:styleId="27">
    <w:name w:val="Body Text First Indent"/>
    <w:basedOn w:val="15"/>
    <w:unhideWhenUsed/>
    <w:qFormat/>
    <w:uiPriority w:val="99"/>
    <w:pPr>
      <w:ind w:firstLine="420" w:firstLineChars="100"/>
    </w:pPr>
    <w:rPr>
      <w:szCs w:val="24"/>
    </w:rPr>
  </w:style>
  <w:style w:type="table" w:styleId="29">
    <w:name w:val="Table Grid"/>
    <w:basedOn w:val="2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1">
    <w:name w:val="Strong"/>
    <w:basedOn w:val="30"/>
    <w:qFormat/>
    <w:uiPriority w:val="22"/>
    <w:rPr>
      <w:b/>
      <w:bCs/>
    </w:rPr>
  </w:style>
  <w:style w:type="character" w:styleId="32">
    <w:name w:val="page number"/>
    <w:qFormat/>
    <w:uiPriority w:val="0"/>
    <w:rPr>
      <w:rFonts w:ascii="Times New Roman" w:hAnsi="Times New Roman" w:eastAsia="宋体" w:cs="Times New Roman"/>
    </w:rPr>
  </w:style>
  <w:style w:type="character" w:styleId="33">
    <w:name w:val="FollowedHyperlink"/>
    <w:basedOn w:val="30"/>
    <w:semiHidden/>
    <w:unhideWhenUsed/>
    <w:qFormat/>
    <w:uiPriority w:val="99"/>
    <w:rPr>
      <w:color w:val="954F72" w:themeColor="followedHyperlink"/>
      <w:u w:val="single"/>
      <w14:textFill>
        <w14:solidFill>
          <w14:schemeClr w14:val="folHlink"/>
        </w14:solidFill>
      </w14:textFill>
    </w:rPr>
  </w:style>
  <w:style w:type="character" w:styleId="34">
    <w:name w:val="Emphasis"/>
    <w:basedOn w:val="30"/>
    <w:qFormat/>
    <w:uiPriority w:val="20"/>
    <w:rPr>
      <w:rFonts w:asciiTheme="minorHAnsi" w:hAnsiTheme="minorHAnsi"/>
      <w:b/>
      <w:i/>
      <w:iCs/>
    </w:rPr>
  </w:style>
  <w:style w:type="character" w:styleId="35">
    <w:name w:val="Hyperlink"/>
    <w:basedOn w:val="30"/>
    <w:unhideWhenUsed/>
    <w:qFormat/>
    <w:uiPriority w:val="99"/>
    <w:rPr>
      <w:color w:val="0563C1" w:themeColor="hyperlink"/>
      <w:u w:val="single"/>
      <w14:textFill>
        <w14:solidFill>
          <w14:schemeClr w14:val="hlink"/>
        </w14:solidFill>
      </w14:textFill>
    </w:rPr>
  </w:style>
  <w:style w:type="character" w:styleId="36">
    <w:name w:val="annotation reference"/>
    <w:basedOn w:val="30"/>
    <w:semiHidden/>
    <w:unhideWhenUsed/>
    <w:qFormat/>
    <w:uiPriority w:val="99"/>
    <w:rPr>
      <w:sz w:val="21"/>
      <w:szCs w:val="21"/>
    </w:rPr>
  </w:style>
  <w:style w:type="paragraph" w:customStyle="1" w:styleId="37">
    <w:name w:val="※封面大标题"/>
    <w:basedOn w:val="1"/>
    <w:next w:val="1"/>
    <w:qFormat/>
    <w:uiPriority w:val="0"/>
    <w:pPr>
      <w:jc w:val="center"/>
    </w:pPr>
    <w:rPr>
      <w:rFonts w:ascii="华文中宋" w:hAnsi="华文中宋" w:eastAsia="华文中宋"/>
      <w:sz w:val="96"/>
      <w:szCs w:val="96"/>
    </w:rPr>
  </w:style>
  <w:style w:type="paragraph" w:customStyle="1" w:styleId="38">
    <w:name w:val="※封面题颌"/>
    <w:basedOn w:val="1"/>
    <w:next w:val="1"/>
    <w:qFormat/>
    <w:uiPriority w:val="0"/>
    <w:pPr>
      <w:jc w:val="center"/>
    </w:pPr>
    <w:rPr>
      <w:rFonts w:ascii="Calibri Light" w:hAnsi="Calibri Light" w:eastAsia="华文仿宋"/>
      <w:sz w:val="36"/>
      <w:szCs w:val="36"/>
    </w:rPr>
  </w:style>
  <w:style w:type="paragraph" w:customStyle="1" w:styleId="39">
    <w:name w:val="※封面题眉"/>
    <w:basedOn w:val="1"/>
    <w:next w:val="37"/>
    <w:qFormat/>
    <w:uiPriority w:val="0"/>
    <w:pPr>
      <w:jc w:val="center"/>
    </w:pPr>
    <w:rPr>
      <w:rFonts w:ascii="华文仿宋" w:hAnsi="华文仿宋" w:eastAsia="华文仿宋"/>
      <w:sz w:val="52"/>
      <w:szCs w:val="28"/>
    </w:rPr>
  </w:style>
  <w:style w:type="paragraph" w:customStyle="1" w:styleId="40">
    <w:name w:val="※封面题须"/>
    <w:basedOn w:val="1"/>
    <w:qFormat/>
    <w:uiPriority w:val="0"/>
    <w:pPr>
      <w:ind w:left="850" w:leftChars="350" w:right="250" w:rightChars="250" w:hanging="500" w:hangingChars="500"/>
    </w:pPr>
    <w:rPr>
      <w:rFonts w:ascii="Calibri" w:hAnsi="Calibri" w:eastAsia="宋体"/>
      <w:sz w:val="36"/>
      <w:szCs w:val="36"/>
    </w:rPr>
  </w:style>
  <w:style w:type="paragraph" w:customStyle="1" w:styleId="41">
    <w:name w:val="※目录（次）"/>
    <w:basedOn w:val="1"/>
    <w:qFormat/>
    <w:uiPriority w:val="0"/>
    <w:pPr>
      <w:tabs>
        <w:tab w:val="right" w:leader="hyphen" w:pos="8400"/>
      </w:tabs>
      <w:wordWrap w:val="0"/>
      <w:ind w:left="700" w:leftChars="200" w:right="300" w:rightChars="300" w:hanging="500" w:hangingChars="500"/>
    </w:pPr>
    <w:rPr>
      <w:rFonts w:ascii="Calibri Light" w:hAnsi="Calibri Light" w:eastAsia="华文仿宋"/>
      <w:sz w:val="36"/>
      <w:szCs w:val="28"/>
    </w:rPr>
  </w:style>
  <w:style w:type="paragraph" w:customStyle="1" w:styleId="42">
    <w:name w:val="※目录（主）"/>
    <w:basedOn w:val="1"/>
    <w:qFormat/>
    <w:uiPriority w:val="0"/>
    <w:pPr>
      <w:tabs>
        <w:tab w:val="right" w:leader="hyphen" w:pos="8400"/>
      </w:tabs>
      <w:spacing w:after="100" w:afterLines="100" w:line="400" w:lineRule="exact"/>
      <w:ind w:left="200" w:leftChars="200" w:right="200" w:rightChars="200" w:hanging="499" w:hangingChars="400"/>
    </w:pPr>
    <w:rPr>
      <w:rFonts w:ascii="Calibri Light" w:hAnsi="Calibri Light" w:eastAsia="华文仿宋"/>
      <w:sz w:val="36"/>
      <w:szCs w:val="36"/>
    </w:rPr>
  </w:style>
  <w:style w:type="paragraph" w:customStyle="1" w:styleId="43">
    <w:name w:val="※小标题 1"/>
    <w:basedOn w:val="1"/>
    <w:next w:val="1"/>
    <w:qFormat/>
    <w:uiPriority w:val="0"/>
    <w:pPr>
      <w:wordWrap w:val="0"/>
      <w:spacing w:before="20" w:after="20" w:line="400" w:lineRule="exact"/>
      <w:ind w:firstLine="200" w:firstLineChars="200"/>
      <w:outlineLvl w:val="4"/>
    </w:pPr>
    <w:rPr>
      <w:rFonts w:ascii="Calibri Light" w:hAnsi="Calibri Light" w:eastAsia="华文仿宋"/>
      <w:b/>
      <w:sz w:val="28"/>
      <w:szCs w:val="28"/>
    </w:rPr>
  </w:style>
  <w:style w:type="paragraph" w:customStyle="1" w:styleId="44">
    <w:name w:val="※正文"/>
    <w:basedOn w:val="1"/>
    <w:next w:val="1"/>
    <w:qFormat/>
    <w:uiPriority w:val="0"/>
    <w:pPr>
      <w:wordWrap w:val="0"/>
      <w:spacing w:line="400" w:lineRule="exact"/>
    </w:pPr>
    <w:rPr>
      <w:rFonts w:ascii="Calibri Light" w:hAnsi="Calibri Light" w:eastAsia="华文仿宋"/>
      <w:sz w:val="28"/>
      <w:szCs w:val="28"/>
    </w:rPr>
  </w:style>
  <w:style w:type="paragraph" w:customStyle="1" w:styleId="45">
    <w:name w:val="※小标题 一"/>
    <w:basedOn w:val="44"/>
    <w:next w:val="44"/>
    <w:qFormat/>
    <w:uiPriority w:val="0"/>
    <w:pPr>
      <w:spacing w:before="120" w:line="240" w:lineRule="auto"/>
      <w:outlineLvl w:val="2"/>
    </w:pPr>
    <w:rPr>
      <w:b/>
      <w:color w:val="203864" w:themeColor="accent5" w:themeShade="80"/>
      <w:sz w:val="32"/>
    </w:rPr>
  </w:style>
  <w:style w:type="paragraph" w:customStyle="1" w:styleId="46">
    <w:name w:val="※小标题（1）"/>
    <w:basedOn w:val="1"/>
    <w:next w:val="44"/>
    <w:qFormat/>
    <w:uiPriority w:val="0"/>
    <w:pPr>
      <w:wordWrap w:val="0"/>
      <w:spacing w:line="400" w:lineRule="exact"/>
      <w:ind w:firstLine="200" w:firstLineChars="200"/>
      <w:outlineLvl w:val="5"/>
    </w:pPr>
    <w:rPr>
      <w:rFonts w:ascii="Calibri Light" w:hAnsi="Calibri Light" w:eastAsia="华文仿宋"/>
      <w:b/>
      <w:sz w:val="28"/>
      <w:szCs w:val="28"/>
    </w:rPr>
  </w:style>
  <w:style w:type="paragraph" w:customStyle="1" w:styleId="47">
    <w:name w:val="※小标题（一）"/>
    <w:basedOn w:val="1"/>
    <w:next w:val="44"/>
    <w:qFormat/>
    <w:uiPriority w:val="0"/>
    <w:pPr>
      <w:wordWrap w:val="0"/>
      <w:spacing w:before="60" w:after="60" w:line="400" w:lineRule="exact"/>
      <w:ind w:firstLine="200" w:firstLineChars="200"/>
      <w:outlineLvl w:val="3"/>
    </w:pPr>
    <w:rPr>
      <w:rFonts w:ascii="Calibri Light" w:hAnsi="Calibri Light" w:eastAsia="华文仿宋"/>
      <w:b/>
      <w:sz w:val="28"/>
      <w:szCs w:val="28"/>
    </w:rPr>
  </w:style>
  <w:style w:type="paragraph" w:customStyle="1" w:styleId="48">
    <w:name w:val="※页脚（横屏）"/>
    <w:basedOn w:val="1"/>
    <w:qFormat/>
    <w:uiPriority w:val="0"/>
    <w:pPr>
      <w:tabs>
        <w:tab w:val="center" w:pos="7000"/>
      </w:tabs>
      <w:wordWrap w:val="0"/>
      <w:spacing w:line="240" w:lineRule="atLeast"/>
    </w:pPr>
    <w:rPr>
      <w:rFonts w:ascii="宋体" w:hAnsi="宋体" w:eastAsia="宋体"/>
      <w:sz w:val="18"/>
      <w:szCs w:val="18"/>
    </w:rPr>
  </w:style>
  <w:style w:type="paragraph" w:customStyle="1" w:styleId="49">
    <w:name w:val="※页脚（竖屏）"/>
    <w:basedOn w:val="1"/>
    <w:qFormat/>
    <w:uiPriority w:val="0"/>
    <w:pPr>
      <w:tabs>
        <w:tab w:val="center" w:pos="4536"/>
      </w:tabs>
      <w:wordWrap w:val="0"/>
      <w:spacing w:line="240" w:lineRule="atLeast"/>
    </w:pPr>
    <w:rPr>
      <w:rFonts w:ascii="宋体" w:hAnsi="宋体" w:eastAsia="宋体"/>
      <w:sz w:val="18"/>
      <w:szCs w:val="18"/>
    </w:rPr>
  </w:style>
  <w:style w:type="paragraph" w:customStyle="1" w:styleId="50">
    <w:name w:val="※页眉"/>
    <w:basedOn w:val="44"/>
    <w:qFormat/>
    <w:uiPriority w:val="0"/>
    <w:pPr>
      <w:pBdr>
        <w:bottom w:val="single" w:color="auto" w:sz="4" w:space="1"/>
      </w:pBdr>
      <w:spacing w:line="240" w:lineRule="atLeast"/>
      <w:jc w:val="right"/>
    </w:pPr>
    <w:rPr>
      <w:rFonts w:ascii="宋体" w:hAnsi="宋体" w:eastAsia="宋体"/>
      <w:sz w:val="18"/>
    </w:rPr>
  </w:style>
  <w:style w:type="paragraph" w:customStyle="1" w:styleId="51">
    <w:name w:val="※章节标题（第X章）"/>
    <w:basedOn w:val="1"/>
    <w:qFormat/>
    <w:uiPriority w:val="0"/>
    <w:pPr>
      <w:jc w:val="center"/>
      <w:outlineLvl w:val="0"/>
    </w:pPr>
    <w:rPr>
      <w:rFonts w:ascii="Calibri Light" w:hAnsi="Calibri Light" w:eastAsia="黑体"/>
      <w:sz w:val="36"/>
      <w:szCs w:val="28"/>
    </w:rPr>
  </w:style>
  <w:style w:type="paragraph" w:customStyle="1" w:styleId="52">
    <w:name w:val="※章节标题（第Y部分）"/>
    <w:basedOn w:val="1"/>
    <w:next w:val="1"/>
    <w:qFormat/>
    <w:uiPriority w:val="0"/>
    <w:pPr>
      <w:jc w:val="center"/>
      <w:outlineLvl w:val="1"/>
    </w:pPr>
    <w:rPr>
      <w:rFonts w:ascii="Calibri Light" w:hAnsi="Calibri Light" w:eastAsia="黑体"/>
      <w:color w:val="1F4E79" w:themeColor="accent1" w:themeShade="80"/>
      <w:sz w:val="32"/>
      <w:szCs w:val="36"/>
    </w:rPr>
  </w:style>
  <w:style w:type="paragraph" w:customStyle="1" w:styleId="53">
    <w:name w:val="※章节标题（第Z部分分项）"/>
    <w:basedOn w:val="52"/>
    <w:qFormat/>
    <w:uiPriority w:val="0"/>
    <w:pPr>
      <w:outlineLvl w:val="2"/>
    </w:pPr>
  </w:style>
  <w:style w:type="paragraph" w:customStyle="1" w:styleId="54">
    <w:name w:val="※正文（落款）"/>
    <w:basedOn w:val="1"/>
    <w:qFormat/>
    <w:uiPriority w:val="0"/>
    <w:pPr>
      <w:tabs>
        <w:tab w:val="center" w:pos="6663"/>
      </w:tabs>
      <w:wordWrap w:val="0"/>
      <w:spacing w:line="240" w:lineRule="atLeast"/>
    </w:pPr>
    <w:rPr>
      <w:rFonts w:ascii="Calibri Light" w:hAnsi="Calibri Light" w:eastAsia="华文仿宋"/>
      <w:sz w:val="28"/>
      <w:szCs w:val="28"/>
    </w:rPr>
  </w:style>
  <w:style w:type="paragraph" w:customStyle="1" w:styleId="55">
    <w:name w:val="※正文（缩进2）"/>
    <w:basedOn w:val="44"/>
    <w:qFormat/>
    <w:uiPriority w:val="0"/>
    <w:pPr>
      <w:ind w:firstLine="200" w:firstLineChars="200"/>
    </w:pPr>
  </w:style>
  <w:style w:type="paragraph" w:customStyle="1" w:styleId="56">
    <w:name w:val="※正文（缩进4）"/>
    <w:basedOn w:val="44"/>
    <w:qFormat/>
    <w:uiPriority w:val="0"/>
    <w:pPr>
      <w:ind w:firstLine="400" w:firstLineChars="400"/>
    </w:pPr>
  </w:style>
  <w:style w:type="character" w:customStyle="1" w:styleId="57">
    <w:name w:val="日期 字符"/>
    <w:basedOn w:val="30"/>
    <w:link w:val="17"/>
    <w:semiHidden/>
    <w:qFormat/>
    <w:uiPriority w:val="99"/>
    <w:rPr>
      <w:rFonts w:ascii="华文仿宋" w:hAnsi="华文仿宋" w:eastAsia="华文仿宋"/>
      <w:sz w:val="28"/>
      <w:szCs w:val="28"/>
    </w:rPr>
  </w:style>
  <w:style w:type="character" w:customStyle="1" w:styleId="58">
    <w:name w:val="页眉 字符"/>
    <w:basedOn w:val="30"/>
    <w:link w:val="20"/>
    <w:qFormat/>
    <w:uiPriority w:val="0"/>
    <w:rPr>
      <w:rFonts w:ascii="华文仿宋" w:hAnsi="华文仿宋" w:eastAsia="华文仿宋"/>
      <w:sz w:val="18"/>
      <w:szCs w:val="18"/>
    </w:rPr>
  </w:style>
  <w:style w:type="character" w:customStyle="1" w:styleId="59">
    <w:name w:val="页脚 字符"/>
    <w:basedOn w:val="30"/>
    <w:link w:val="19"/>
    <w:qFormat/>
    <w:uiPriority w:val="99"/>
    <w:rPr>
      <w:rFonts w:ascii="华文仿宋" w:hAnsi="华文仿宋" w:eastAsia="华文仿宋"/>
      <w:sz w:val="18"/>
      <w:szCs w:val="18"/>
    </w:rPr>
  </w:style>
  <w:style w:type="character" w:customStyle="1" w:styleId="60">
    <w:name w:val="标题 1 字符"/>
    <w:basedOn w:val="30"/>
    <w:link w:val="3"/>
    <w:qFormat/>
    <w:uiPriority w:val="9"/>
    <w:rPr>
      <w:rFonts w:ascii="方正小标宋_GBK" w:hAnsi="仿宋" w:eastAsia="方正小标宋_GBK"/>
      <w:sz w:val="44"/>
      <w:szCs w:val="44"/>
    </w:rPr>
  </w:style>
  <w:style w:type="character" w:customStyle="1" w:styleId="61">
    <w:name w:val="标题 2 字符"/>
    <w:basedOn w:val="30"/>
    <w:link w:val="4"/>
    <w:qFormat/>
    <w:uiPriority w:val="9"/>
    <w:rPr>
      <w:rFonts w:ascii="楷体" w:hAnsi="楷体" w:eastAsia="黑体"/>
      <w:sz w:val="32"/>
      <w:szCs w:val="32"/>
    </w:rPr>
  </w:style>
  <w:style w:type="character" w:customStyle="1" w:styleId="62">
    <w:name w:val="标题 3 字符"/>
    <w:basedOn w:val="30"/>
    <w:link w:val="5"/>
    <w:qFormat/>
    <w:uiPriority w:val="9"/>
    <w:rPr>
      <w:rFonts w:ascii="方正小标宋_GBK" w:hAnsi="仿宋" w:eastAsia="方正小标宋_GBK"/>
      <w:sz w:val="36"/>
      <w:szCs w:val="36"/>
    </w:rPr>
  </w:style>
  <w:style w:type="character" w:customStyle="1" w:styleId="63">
    <w:name w:val="标题 4 字符"/>
    <w:basedOn w:val="30"/>
    <w:link w:val="2"/>
    <w:semiHidden/>
    <w:qFormat/>
    <w:uiPriority w:val="9"/>
    <w:rPr>
      <w:rFonts w:cstheme="majorBidi"/>
      <w:b/>
      <w:bCs/>
      <w:sz w:val="28"/>
      <w:szCs w:val="28"/>
    </w:rPr>
  </w:style>
  <w:style w:type="character" w:customStyle="1" w:styleId="64">
    <w:name w:val="标题 5 字符"/>
    <w:basedOn w:val="30"/>
    <w:link w:val="6"/>
    <w:semiHidden/>
    <w:qFormat/>
    <w:uiPriority w:val="9"/>
    <w:rPr>
      <w:b/>
      <w:bCs/>
      <w:i/>
      <w:iCs/>
      <w:sz w:val="26"/>
      <w:szCs w:val="26"/>
    </w:rPr>
  </w:style>
  <w:style w:type="character" w:customStyle="1" w:styleId="65">
    <w:name w:val="标题 6 字符"/>
    <w:basedOn w:val="30"/>
    <w:link w:val="7"/>
    <w:semiHidden/>
    <w:qFormat/>
    <w:uiPriority w:val="9"/>
    <w:rPr>
      <w:rFonts w:cstheme="majorBidi"/>
      <w:b/>
      <w:bCs/>
    </w:rPr>
  </w:style>
  <w:style w:type="character" w:customStyle="1" w:styleId="66">
    <w:name w:val="标题 7 字符"/>
    <w:basedOn w:val="30"/>
    <w:link w:val="8"/>
    <w:semiHidden/>
    <w:qFormat/>
    <w:uiPriority w:val="9"/>
    <w:rPr>
      <w:sz w:val="24"/>
      <w:szCs w:val="24"/>
    </w:rPr>
  </w:style>
  <w:style w:type="character" w:customStyle="1" w:styleId="67">
    <w:name w:val="标题 8 字符"/>
    <w:basedOn w:val="30"/>
    <w:link w:val="9"/>
    <w:semiHidden/>
    <w:qFormat/>
    <w:uiPriority w:val="9"/>
    <w:rPr>
      <w:rFonts w:cstheme="majorBidi"/>
      <w:i/>
      <w:iCs/>
      <w:sz w:val="24"/>
      <w:szCs w:val="24"/>
    </w:rPr>
  </w:style>
  <w:style w:type="character" w:customStyle="1" w:styleId="68">
    <w:name w:val="标题 9 字符"/>
    <w:basedOn w:val="30"/>
    <w:link w:val="10"/>
    <w:semiHidden/>
    <w:qFormat/>
    <w:uiPriority w:val="9"/>
    <w:rPr>
      <w:rFonts w:asciiTheme="majorHAnsi" w:hAnsiTheme="majorHAnsi" w:eastAsiaTheme="majorEastAsia" w:cstheme="majorBidi"/>
    </w:rPr>
  </w:style>
  <w:style w:type="character" w:customStyle="1" w:styleId="69">
    <w:name w:val="标题 字符"/>
    <w:basedOn w:val="30"/>
    <w:link w:val="25"/>
    <w:qFormat/>
    <w:uiPriority w:val="10"/>
    <w:rPr>
      <w:rFonts w:asciiTheme="majorHAnsi" w:hAnsiTheme="majorHAnsi" w:eastAsiaTheme="majorEastAsia" w:cstheme="majorBidi"/>
      <w:b/>
      <w:bCs/>
      <w:kern w:val="28"/>
      <w:sz w:val="32"/>
      <w:szCs w:val="32"/>
    </w:rPr>
  </w:style>
  <w:style w:type="character" w:customStyle="1" w:styleId="70">
    <w:name w:val="副标题 字符"/>
    <w:basedOn w:val="30"/>
    <w:link w:val="22"/>
    <w:qFormat/>
    <w:uiPriority w:val="11"/>
    <w:rPr>
      <w:rFonts w:ascii="Calibri" w:hAnsi="Calibri" w:eastAsia="黑体" w:cstheme="majorBidi"/>
      <w:sz w:val="32"/>
      <w:szCs w:val="24"/>
    </w:rPr>
  </w:style>
  <w:style w:type="paragraph" w:styleId="71">
    <w:name w:val="No Spacing"/>
    <w:basedOn w:val="1"/>
    <w:qFormat/>
    <w:uiPriority w:val="1"/>
    <w:rPr>
      <w:szCs w:val="32"/>
    </w:rPr>
  </w:style>
  <w:style w:type="paragraph" w:styleId="72">
    <w:name w:val="List Paragraph"/>
    <w:basedOn w:val="1"/>
    <w:qFormat/>
    <w:uiPriority w:val="0"/>
    <w:pPr>
      <w:ind w:left="720"/>
      <w:contextualSpacing/>
    </w:pPr>
  </w:style>
  <w:style w:type="paragraph" w:styleId="73">
    <w:name w:val="Quote"/>
    <w:basedOn w:val="1"/>
    <w:next w:val="1"/>
    <w:link w:val="74"/>
    <w:qFormat/>
    <w:uiPriority w:val="29"/>
    <w:rPr>
      <w:i/>
    </w:rPr>
  </w:style>
  <w:style w:type="character" w:customStyle="1" w:styleId="74">
    <w:name w:val="引用 字符"/>
    <w:basedOn w:val="30"/>
    <w:link w:val="73"/>
    <w:qFormat/>
    <w:uiPriority w:val="29"/>
    <w:rPr>
      <w:i/>
      <w:sz w:val="24"/>
      <w:szCs w:val="24"/>
    </w:rPr>
  </w:style>
  <w:style w:type="paragraph" w:styleId="75">
    <w:name w:val="Intense Quote"/>
    <w:basedOn w:val="1"/>
    <w:next w:val="1"/>
    <w:link w:val="76"/>
    <w:qFormat/>
    <w:uiPriority w:val="30"/>
    <w:pPr>
      <w:ind w:left="720" w:right="720"/>
    </w:pPr>
    <w:rPr>
      <w:b/>
      <w:i/>
      <w:szCs w:val="22"/>
    </w:rPr>
  </w:style>
  <w:style w:type="character" w:customStyle="1" w:styleId="76">
    <w:name w:val="明显引用 字符"/>
    <w:basedOn w:val="30"/>
    <w:link w:val="75"/>
    <w:qFormat/>
    <w:uiPriority w:val="30"/>
    <w:rPr>
      <w:b/>
      <w:i/>
      <w:sz w:val="24"/>
    </w:rPr>
  </w:style>
  <w:style w:type="character" w:customStyle="1" w:styleId="77">
    <w:name w:val="Subtle Emphasis"/>
    <w:qFormat/>
    <w:uiPriority w:val="19"/>
    <w:rPr>
      <w:i/>
      <w:color w:val="595959" w:themeColor="text1" w:themeTint="A6"/>
      <w14:textFill>
        <w14:solidFill>
          <w14:schemeClr w14:val="tx1">
            <w14:lumMod w14:val="65000"/>
            <w14:lumOff w14:val="35000"/>
          </w14:schemeClr>
        </w14:solidFill>
      </w14:textFill>
    </w:rPr>
  </w:style>
  <w:style w:type="character" w:customStyle="1" w:styleId="78">
    <w:name w:val="Intense Emphasis"/>
    <w:basedOn w:val="30"/>
    <w:qFormat/>
    <w:uiPriority w:val="21"/>
    <w:rPr>
      <w:b/>
      <w:i/>
      <w:sz w:val="24"/>
      <w:szCs w:val="24"/>
      <w:u w:val="single"/>
    </w:rPr>
  </w:style>
  <w:style w:type="character" w:customStyle="1" w:styleId="79">
    <w:name w:val="Subtle Reference"/>
    <w:basedOn w:val="30"/>
    <w:qFormat/>
    <w:uiPriority w:val="31"/>
    <w:rPr>
      <w:sz w:val="24"/>
      <w:szCs w:val="24"/>
      <w:u w:val="single"/>
    </w:rPr>
  </w:style>
  <w:style w:type="character" w:customStyle="1" w:styleId="80">
    <w:name w:val="Intense Reference"/>
    <w:basedOn w:val="30"/>
    <w:qFormat/>
    <w:uiPriority w:val="32"/>
    <w:rPr>
      <w:b/>
      <w:sz w:val="24"/>
      <w:u w:val="single"/>
    </w:rPr>
  </w:style>
  <w:style w:type="character" w:customStyle="1" w:styleId="81">
    <w:name w:val="Book Title"/>
    <w:basedOn w:val="30"/>
    <w:qFormat/>
    <w:uiPriority w:val="33"/>
    <w:rPr>
      <w:rFonts w:asciiTheme="majorHAnsi" w:hAnsiTheme="majorHAnsi" w:eastAsiaTheme="majorEastAsia"/>
      <w:b/>
      <w:i/>
      <w:sz w:val="24"/>
      <w:szCs w:val="24"/>
    </w:rPr>
  </w:style>
  <w:style w:type="paragraph" w:customStyle="1" w:styleId="82">
    <w:name w:val="TOC Heading"/>
    <w:basedOn w:val="3"/>
    <w:next w:val="1"/>
    <w:semiHidden/>
    <w:unhideWhenUsed/>
    <w:qFormat/>
    <w:uiPriority w:val="39"/>
    <w:pPr>
      <w:outlineLvl w:val="9"/>
    </w:pPr>
  </w:style>
  <w:style w:type="character" w:customStyle="1" w:styleId="83">
    <w:name w:val="批注框文本 字符"/>
    <w:basedOn w:val="30"/>
    <w:link w:val="18"/>
    <w:semiHidden/>
    <w:qFormat/>
    <w:uiPriority w:val="99"/>
    <w:rPr>
      <w:sz w:val="18"/>
      <w:szCs w:val="18"/>
    </w:rPr>
  </w:style>
  <w:style w:type="character" w:customStyle="1" w:styleId="84">
    <w:name w:val="批注文字 字符"/>
    <w:basedOn w:val="30"/>
    <w:link w:val="14"/>
    <w:qFormat/>
    <w:uiPriority w:val="99"/>
    <w:rPr>
      <w:rFonts w:ascii="Calibri Light" w:hAnsi="Calibri Light" w:eastAsia="华文仿宋" w:cs="Calibri Light"/>
      <w:kern w:val="2"/>
      <w:sz w:val="28"/>
      <w:szCs w:val="28"/>
    </w:rPr>
  </w:style>
  <w:style w:type="paragraph" w:customStyle="1" w:styleId="85">
    <w:name w:val="@正文"/>
    <w:basedOn w:val="44"/>
    <w:qFormat/>
    <w:uiPriority w:val="0"/>
    <w:pPr>
      <w:wordWrap/>
      <w:spacing w:line="240" w:lineRule="auto"/>
      <w:ind w:firstLine="200" w:firstLineChars="200"/>
      <w:jc w:val="both"/>
    </w:pPr>
    <w:rPr>
      <w:rFonts w:ascii="Calibri" w:hAnsi="Calibri" w:eastAsia="宋体" w:cstheme="minorHAnsi"/>
      <w:color w:val="000000"/>
      <w:kern w:val="24"/>
      <w:sz w:val="24"/>
      <w:szCs w:val="24"/>
    </w:rPr>
  </w:style>
  <w:style w:type="paragraph" w:customStyle="1" w:styleId="86">
    <w:name w:val="@一级小标题"/>
    <w:basedOn w:val="1"/>
    <w:next w:val="85"/>
    <w:qFormat/>
    <w:uiPriority w:val="0"/>
    <w:pPr>
      <w:keepNext/>
      <w:spacing w:before="120" w:after="60"/>
      <w:outlineLvl w:val="2"/>
    </w:pPr>
    <w:rPr>
      <w:rFonts w:ascii="Calibri" w:hAnsi="Calibri" w:eastAsia="黑体"/>
      <w:kern w:val="28"/>
      <w:sz w:val="28"/>
    </w:rPr>
  </w:style>
  <w:style w:type="paragraph" w:customStyle="1" w:styleId="87">
    <w:name w:val="@标题"/>
    <w:basedOn w:val="1"/>
    <w:next w:val="85"/>
    <w:qFormat/>
    <w:uiPriority w:val="0"/>
    <w:pPr>
      <w:keepNext/>
      <w:spacing w:before="50" w:beforeLines="50" w:after="50" w:afterLines="50"/>
      <w:jc w:val="center"/>
      <w:outlineLvl w:val="1"/>
    </w:pPr>
    <w:rPr>
      <w:rFonts w:ascii="Calibri" w:hAnsi="Calibri" w:eastAsia="黑体"/>
      <w:kern w:val="32"/>
      <w:sz w:val="32"/>
    </w:rPr>
  </w:style>
  <w:style w:type="table" w:customStyle="1" w:styleId="88">
    <w:name w:val="网格型1"/>
    <w:basedOn w:val="28"/>
    <w:qFormat/>
    <w:uiPriority w:val="39"/>
    <w:pPr>
      <w:ind w:firstLine="200"/>
    </w:pPr>
    <w:rPr>
      <w:rFonts w:ascii="Calibri Light" w:hAnsi="Calibri Light" w:eastAsia="华文仿宋"/>
      <w:kern w:val="2"/>
      <w:sz w:val="28"/>
      <w:szCs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89">
    <w:name w:val="页眉 Char1"/>
    <w:basedOn w:val="30"/>
    <w:semiHidden/>
    <w:qFormat/>
    <w:uiPriority w:val="99"/>
    <w:rPr>
      <w:rFonts w:cs="Calibri Light"/>
      <w:sz w:val="18"/>
      <w:szCs w:val="18"/>
    </w:rPr>
  </w:style>
  <w:style w:type="character" w:customStyle="1" w:styleId="90">
    <w:name w:val="页脚 Char1"/>
    <w:basedOn w:val="30"/>
    <w:semiHidden/>
    <w:qFormat/>
    <w:uiPriority w:val="99"/>
    <w:rPr>
      <w:rFonts w:cs="Calibri Light"/>
      <w:sz w:val="18"/>
      <w:szCs w:val="18"/>
    </w:rPr>
  </w:style>
  <w:style w:type="character" w:customStyle="1" w:styleId="91">
    <w:name w:val="批注主题 字符"/>
    <w:basedOn w:val="84"/>
    <w:link w:val="26"/>
    <w:semiHidden/>
    <w:qFormat/>
    <w:uiPriority w:val="99"/>
    <w:rPr>
      <w:rFonts w:ascii="Calibri Light" w:hAnsi="Calibri Light" w:eastAsia="华文仿宋" w:cs="Calibri Light"/>
      <w:b/>
      <w:bCs/>
      <w:kern w:val="2"/>
      <w:sz w:val="28"/>
      <w:szCs w:val="28"/>
    </w:rPr>
  </w:style>
  <w:style w:type="character" w:customStyle="1" w:styleId="92">
    <w:name w:val="文档结构图 字符"/>
    <w:basedOn w:val="30"/>
    <w:link w:val="13"/>
    <w:semiHidden/>
    <w:qFormat/>
    <w:uiPriority w:val="99"/>
    <w:rPr>
      <w:rFonts w:ascii="宋体" w:hAnsi="Calibri Light" w:eastAsia="宋体" w:cs="Calibri Light"/>
      <w:kern w:val="2"/>
      <w:sz w:val="18"/>
      <w:szCs w:val="18"/>
    </w:rPr>
  </w:style>
  <w:style w:type="character" w:styleId="93">
    <w:name w:val="Placeholder Text"/>
    <w:basedOn w:val="30"/>
    <w:semiHidden/>
    <w:qFormat/>
    <w:uiPriority w:val="99"/>
    <w:rPr>
      <w:color w:val="808080"/>
    </w:rPr>
  </w:style>
  <w:style w:type="character" w:customStyle="1" w:styleId="94">
    <w:name w:val="Unresolved Mention"/>
    <w:basedOn w:val="30"/>
    <w:semiHidden/>
    <w:unhideWhenUsed/>
    <w:qFormat/>
    <w:uiPriority w:val="99"/>
    <w:rPr>
      <w:color w:val="605E5C"/>
      <w:shd w:val="clear" w:color="auto" w:fill="E1DFDD"/>
    </w:rPr>
  </w:style>
  <w:style w:type="paragraph" w:customStyle="1" w:styleId="95">
    <w:name w:val="样式1"/>
    <w:basedOn w:val="5"/>
    <w:link w:val="97"/>
    <w:qFormat/>
    <w:uiPriority w:val="0"/>
    <w:pPr>
      <w:jc w:val="left"/>
    </w:pPr>
    <w:rPr>
      <w:rFonts w:eastAsia="楷体"/>
      <w:sz w:val="32"/>
    </w:rPr>
  </w:style>
  <w:style w:type="paragraph" w:customStyle="1" w:styleId="96">
    <w:name w:val="样式2"/>
    <w:basedOn w:val="87"/>
    <w:link w:val="99"/>
    <w:qFormat/>
    <w:uiPriority w:val="0"/>
    <w:pPr>
      <w:spacing w:line="560" w:lineRule="exact"/>
      <w:ind w:firstLine="643" w:firstLineChars="200"/>
      <w:jc w:val="both"/>
    </w:pPr>
    <w:rPr>
      <w:rFonts w:ascii="仿宋_GB2312" w:hAnsi="仿宋" w:eastAsia="仿宋_GB2312"/>
      <w:b/>
      <w:bCs/>
      <w:szCs w:val="32"/>
    </w:rPr>
  </w:style>
  <w:style w:type="character" w:customStyle="1" w:styleId="97">
    <w:name w:val="样式1 字符"/>
    <w:basedOn w:val="61"/>
    <w:link w:val="95"/>
    <w:qFormat/>
    <w:uiPriority w:val="0"/>
    <w:rPr>
      <w:rFonts w:ascii="方正小标宋_GBK" w:hAnsi="仿宋" w:eastAsia="楷体"/>
      <w:sz w:val="32"/>
      <w:szCs w:val="36"/>
    </w:rPr>
  </w:style>
  <w:style w:type="paragraph" w:customStyle="1" w:styleId="98">
    <w:name w:val="样式3"/>
    <w:basedOn w:val="1"/>
    <w:link w:val="100"/>
    <w:qFormat/>
    <w:uiPriority w:val="0"/>
    <w:pPr>
      <w:spacing w:line="560" w:lineRule="exact"/>
      <w:jc w:val="center"/>
    </w:pPr>
    <w:rPr>
      <w:rFonts w:ascii="方正小标宋_GBK" w:hAnsi="仿宋" w:eastAsia="方正小标宋_GBK"/>
      <w:sz w:val="36"/>
      <w:szCs w:val="36"/>
    </w:rPr>
  </w:style>
  <w:style w:type="character" w:customStyle="1" w:styleId="99">
    <w:name w:val="样式2 字符"/>
    <w:basedOn w:val="30"/>
    <w:link w:val="96"/>
    <w:qFormat/>
    <w:uiPriority w:val="0"/>
    <w:rPr>
      <w:rFonts w:ascii="仿宋_GB2312" w:hAnsi="仿宋" w:eastAsia="仿宋_GB2312"/>
      <w:b/>
      <w:bCs/>
      <w:kern w:val="32"/>
      <w:sz w:val="32"/>
      <w:szCs w:val="32"/>
    </w:rPr>
  </w:style>
  <w:style w:type="character" w:customStyle="1" w:styleId="100">
    <w:name w:val="样式3 字符"/>
    <w:basedOn w:val="30"/>
    <w:link w:val="98"/>
    <w:qFormat/>
    <w:uiPriority w:val="0"/>
    <w:rPr>
      <w:rFonts w:ascii="方正小标宋_GBK" w:hAnsi="仿宋" w:eastAsia="方正小标宋_GBK"/>
      <w:sz w:val="36"/>
      <w:szCs w:val="36"/>
    </w:rPr>
  </w:style>
  <w:style w:type="paragraph" w:customStyle="1" w:styleId="101">
    <w:name w:val="HTML Preformatted"/>
    <w:basedOn w:val="1"/>
    <w:qFormat/>
    <w:uiPriority w:val="0"/>
    <w:rPr>
      <w:rFonts w:ascii="Courier New" w:hAnsi="Courier New"/>
      <w:sz w:val="20"/>
    </w:rPr>
  </w:style>
  <w:style w:type="paragraph" w:customStyle="1" w:styleId="102">
    <w:name w:val="Table Paragraph"/>
    <w:basedOn w:val="1"/>
    <w:qFormat/>
    <w:uiPriority w:val="1"/>
  </w:style>
  <w:style w:type="paragraph" w:customStyle="1" w:styleId="103">
    <w:name w:val="WPSOffice手动目录 1"/>
    <w:qFormat/>
    <w:uiPriority w:val="0"/>
    <w:pPr>
      <w:ind w:leftChars="0"/>
    </w:pPr>
    <w:rPr>
      <w:rFonts w:ascii="Times New Roman" w:hAnsi="Times New Roman" w:eastAsia="宋体" w:cs="Times New Roman"/>
      <w:sz w:val="20"/>
      <w:szCs w:val="20"/>
    </w:rPr>
  </w:style>
  <w:style w:type="paragraph" w:customStyle="1" w:styleId="104">
    <w:name w:val="正文空2格  1."/>
    <w:basedOn w:val="1"/>
    <w:qFormat/>
    <w:uiPriority w:val="0"/>
    <w:pPr>
      <w:adjustRightInd w:val="0"/>
      <w:spacing w:line="360" w:lineRule="auto"/>
      <w:ind w:firstLine="480" w:firstLineChars="200"/>
    </w:pPr>
    <w:rPr>
      <w:rFonts w:hint="eastAsia" w:ascii="宋体" w:eastAsia="仿宋" w:cs="宋体"/>
      <w:kern w:val="0"/>
      <w:sz w:val="28"/>
    </w:rPr>
  </w:style>
  <w:style w:type="paragraph" w:customStyle="1" w:styleId="105">
    <w:name w:val="样式 标题 2 + Times New Roman 四号 非加粗 段前: 5 磅 段后: 0 磅 行距: 固定值 20..."/>
    <w:basedOn w:val="4"/>
    <w:qFormat/>
    <w:uiPriority w:val="0"/>
    <w:pPr>
      <w:spacing w:before="100" w:after="0" w:line="400" w:lineRule="exact"/>
    </w:pPr>
    <w:rPr>
      <w:rFonts w:ascii="Times New Roman" w:hAnsi="Times New Roman" w:cs="宋体"/>
      <w:sz w:val="28"/>
      <w:szCs w:val="20"/>
    </w:rPr>
  </w:style>
  <w:style w:type="paragraph" w:customStyle="1" w:styleId="106">
    <w:name w:val="列出段落1"/>
    <w:basedOn w:val="1"/>
    <w:qFormat/>
    <w:uiPriority w:val="99"/>
    <w:pPr>
      <w:ind w:firstLine="420" w:firstLineChars="200"/>
    </w:pPr>
  </w:style>
  <w:style w:type="paragraph" w:customStyle="1" w:styleId="107">
    <w:name w:val="Other|1"/>
    <w:basedOn w:val="1"/>
    <w:qFormat/>
    <w:uiPriority w:val="0"/>
    <w:pPr>
      <w:widowControl w:val="0"/>
      <w:shd w:val="clear" w:color="auto" w:fill="auto"/>
      <w:spacing w:line="282" w:lineRule="exact"/>
    </w:pPr>
    <w:rPr>
      <w:rFonts w:ascii="宋体" w:hAnsi="宋体" w:eastAsia="宋体" w:cs="宋体"/>
      <w:sz w:val="22"/>
      <w:szCs w:val="22"/>
      <w:u w:val="none"/>
      <w:shd w:val="clear" w:color="auto" w:fill="auto"/>
      <w:lang w:val="zh-TW" w:eastAsia="zh-TW" w:bidi="zh-TW"/>
    </w:rPr>
  </w:style>
  <w:style w:type="paragraph" w:customStyle="1" w:styleId="108">
    <w:name w:val="Table Text"/>
    <w:basedOn w:val="1"/>
    <w:semiHidden/>
    <w:qFormat/>
    <w:uiPriority w:val="0"/>
    <w:rPr>
      <w:rFonts w:ascii="宋体" w:hAnsi="宋体" w:eastAsia="宋体" w:cs="宋体"/>
      <w:sz w:val="24"/>
      <w:szCs w:val="24"/>
      <w:lang w:val="en-US" w:eastAsia="en-US" w:bidi="ar-SA"/>
    </w:rPr>
  </w:style>
  <w:style w:type="table" w:customStyle="1" w:styleId="109">
    <w:name w:val="Table Normal"/>
    <w:semiHidden/>
    <w:unhideWhenUsed/>
    <w:qFormat/>
    <w:uiPriority w:val="0"/>
    <w:tblPr>
      <w:tblCellMar>
        <w:top w:w="0" w:type="dxa"/>
        <w:left w:w="0" w:type="dxa"/>
        <w:bottom w:w="0" w:type="dxa"/>
        <w:right w:w="0" w:type="dxa"/>
      </w:tblCellMar>
    </w:tblPr>
  </w:style>
  <w:style w:type="paragraph" w:customStyle="1" w:styleId="110">
    <w:name w:val="样式 首行缩进:  2 字符"/>
    <w:basedOn w:val="1"/>
    <w:qFormat/>
    <w:uiPriority w:val="0"/>
    <w:pPr>
      <w:spacing w:line="400" w:lineRule="exact"/>
      <w:ind w:firstLine="200" w:firstLineChars="200"/>
    </w:pPr>
    <w:rPr>
      <w:rFonts w:cs="宋体"/>
      <w:sz w:val="24"/>
      <w:szCs w:val="24"/>
    </w:rPr>
  </w:style>
  <w:style w:type="character" w:customStyle="1" w:styleId="111">
    <w:name w:val="NormalCharacter"/>
    <w:qFormat/>
    <w:uiPriority w:val="0"/>
    <w:rPr>
      <w:rFonts w:ascii="Times New Roman" w:hAnsi="Times New Roman" w:eastAsia="宋体" w:cs="Times New Roman"/>
    </w:rPr>
  </w:style>
  <w:style w:type="character" w:customStyle="1" w:styleId="112">
    <w:name w:val="font101"/>
    <w:basedOn w:val="30"/>
    <w:qFormat/>
    <w:uiPriority w:val="0"/>
    <w:rPr>
      <w:rFonts w:hint="eastAsia" w:ascii="宋体" w:hAnsi="宋体" w:eastAsia="宋体" w:cs="宋体"/>
      <w:b/>
      <w:bCs/>
      <w:color w:val="000000"/>
      <w:sz w:val="21"/>
      <w:szCs w:val="21"/>
      <w:u w:val="none"/>
    </w:rPr>
  </w:style>
  <w:style w:type="character" w:customStyle="1" w:styleId="113">
    <w:name w:val="font41"/>
    <w:basedOn w:val="30"/>
    <w:qFormat/>
    <w:uiPriority w:val="0"/>
    <w:rPr>
      <w:rFonts w:hint="default" w:ascii="Times New Roman" w:hAnsi="Times New Roman" w:cs="Times New Roman"/>
      <w:b/>
      <w:bCs/>
      <w:color w:val="000000"/>
      <w:sz w:val="21"/>
      <w:szCs w:val="21"/>
      <w:u w:val="none"/>
    </w:rPr>
  </w:style>
  <w:style w:type="character" w:customStyle="1" w:styleId="114">
    <w:name w:val="font31"/>
    <w:basedOn w:val="30"/>
    <w:qFormat/>
    <w:uiPriority w:val="0"/>
    <w:rPr>
      <w:rFonts w:hint="eastAsia" w:ascii="宋体" w:hAnsi="宋体" w:eastAsia="宋体" w:cs="宋体"/>
      <w:color w:val="000000"/>
      <w:sz w:val="18"/>
      <w:szCs w:val="18"/>
      <w:u w:val="none"/>
    </w:rPr>
  </w:style>
  <w:style w:type="character" w:customStyle="1" w:styleId="115">
    <w:name w:val="font21"/>
    <w:basedOn w:val="30"/>
    <w:qFormat/>
    <w:uiPriority w:val="0"/>
    <w:rPr>
      <w:rFonts w:hint="eastAsia" w:ascii="宋体" w:hAnsi="宋体" w:eastAsia="宋体" w:cs="宋体"/>
      <w:color w:val="000000"/>
      <w:sz w:val="20"/>
      <w:szCs w:val="20"/>
      <w:u w:val="none"/>
    </w:rPr>
  </w:style>
  <w:style w:type="character" w:customStyle="1" w:styleId="116">
    <w:name w:val="font61"/>
    <w:basedOn w:val="30"/>
    <w:qFormat/>
    <w:uiPriority w:val="0"/>
    <w:rPr>
      <w:rFonts w:ascii="Symbol" w:hAnsi="Symbol" w:cs="Symbol"/>
      <w:color w:val="000000"/>
      <w:sz w:val="20"/>
      <w:szCs w:val="20"/>
      <w:u w:val="none"/>
    </w:rPr>
  </w:style>
  <w:style w:type="character" w:customStyle="1" w:styleId="117">
    <w:name w:val="font11"/>
    <w:basedOn w:val="30"/>
    <w:qFormat/>
    <w:uiPriority w:val="0"/>
    <w:rPr>
      <w:rFonts w:hint="eastAsia" w:ascii="宋体" w:hAnsi="宋体" w:eastAsia="宋体" w:cs="宋体"/>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customXml" Target="../customXml/item2.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0823A8D-A678-4E48-B7B4-2C97FA0C4A89}">
  <ds:schemaRefs/>
</ds:datastoreItem>
</file>

<file path=docProps/app.xml><?xml version="1.0" encoding="utf-8"?>
<Properties xmlns="http://schemas.openxmlformats.org/officeDocument/2006/extended-properties" xmlns:vt="http://schemas.openxmlformats.org/officeDocument/2006/docPropsVTypes">
  <Template>Normal.dotm</Template>
  <Company>Lenovo</Company>
  <Pages>182</Pages>
  <Words>5657</Words>
  <Characters>6412</Characters>
  <Lines>1035</Lines>
  <Paragraphs>716</Paragraphs>
  <TotalTime>0</TotalTime>
  <ScaleCrop>false</ScaleCrop>
  <LinksUpToDate>false</LinksUpToDate>
  <CharactersWithSpaces>6478</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2022-04-07T08:51:00Z</dcterms:created>
  <dc:creator>lenovo</dc:creator>
  <cp:lastModifiedBy>我在
丶等风</cp:lastModifiedBy>
  <cp:lastPrinted>2025-06-05T09:02:00Z</cp:lastPrinted>
  <dcterms:modified xsi:type="dcterms:W3CDTF">2025-07-16T05:45:27Z</dcterms:modified>
  <cp:revision>37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54A30B7CE8254801A2A64C74C30745D5_13</vt:lpwstr>
  </property>
  <property fmtid="{D5CDD505-2E9C-101B-9397-08002B2CF9AE}" pid="4" name="KSOTemplateDocerSaveRecord">
    <vt:lpwstr>eyJoZGlkIjoiZDU5ZmUxYTc5ZjVhNjc2ZjlmNjIwZDE5NzZjZGZkMmMiLCJ1c2VySWQiOiIzMjExNjMxODcifQ==</vt:lpwstr>
  </property>
</Properties>
</file>