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版本号：SXLX25-01-064Z(F)20250801001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雁塔区2026年庭院供热管道老化更新改造项目管勘评估</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SXLX25-01-064Z(F)</w:t>
      </w:r>
      <w:r>
        <w:br/>
      </w:r>
      <w:r>
        <w:br/>
      </w:r>
      <w:r>
        <w:br/>
      </w:r>
    </w:p>
    <w:p>
      <w:pPr>
        <w:pStyle w:val="null3"/>
        <w:jc w:val="center"/>
        <w:outlineLvl w:val="2"/>
      </w:pPr>
      <w:r>
        <w:rPr>
          <w:rFonts w:ascii="仿宋_GB2312" w:hAnsi="仿宋_GB2312" w:cs="仿宋_GB2312" w:eastAsia="仿宋_GB2312"/>
          <w:sz w:val="28"/>
          <w:b/>
        </w:rPr>
        <w:t>西安市雁塔区城市管理和综合执法局</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西安市雁塔区城市管理和综合执法局</w:t>
      </w:r>
      <w:r>
        <w:rPr>
          <w:rFonts w:ascii="仿宋_GB2312" w:hAnsi="仿宋_GB2312" w:cs="仿宋_GB2312" w:eastAsia="仿宋_GB2312"/>
        </w:rPr>
        <w:t>委托，拟对</w:t>
      </w:r>
      <w:r>
        <w:rPr>
          <w:rFonts w:ascii="仿宋_GB2312" w:hAnsi="仿宋_GB2312" w:cs="仿宋_GB2312" w:eastAsia="仿宋_GB2312"/>
        </w:rPr>
        <w:t>雁塔区2026年庭院供热管道老化更新改造项目管勘评估</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SXLX25-01-064Z(F)</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雁塔区2026年庭院供热管道老化更新改造项目管勘评估</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区域划分的责任范围，对约59个小区的供热庭院管道、住宅楼内供热公共管道及换热站等设备设施进行勘查检测，并出具评估报告；配合并促进采购人完成2026年雁塔区庭院供热管道老化更新改造目标；各项服务标准符合国家、省、市（行业）强制性标准及采购人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采购包1（雁塔区2026年庭院供热管道老化更新改造项目管勘评估）：属于专门面向小微企业采购。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1、供应商资质要求：供应商具有有效的《中华人民共和国特种设备检验检测机构核准证》（综合检验机构甲类）核准项目至少包含DD2、DD3，且具有无损检测资质常规四项CG和辐射安全许可证。</w:t>
      </w:r>
    </w:p>
    <w:p>
      <w:pPr>
        <w:pStyle w:val="null3"/>
      </w:pPr>
      <w:r>
        <w:rPr>
          <w:rFonts w:ascii="仿宋_GB2312" w:hAnsi="仿宋_GB2312" w:cs="仿宋_GB2312" w:eastAsia="仿宋_GB2312"/>
        </w:rPr>
        <w:t>2、拟派项目负责人资格要求：拟派项目负责人具有有效的压力管道检验师证书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西安市雁塔区东仪路3号东仪厂院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杨兆龙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029-83693221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西安市雁塔区雁翔路111号赛格·中京坊6幢1单元2层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任甜、郑婧婧、杜航、李亚男、袁歆雨、刘晶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029-88489979-8106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依据《关于进一步放开建设项目专项业务服务价格的通知》（发改价格〔2015〕299号）规定的标准按捌仟圆收取，此服务费应计入响应报价中，但不需要单独开列，具体收费金额将在成交公告中公布。 请将采购代理服务费汇至下列指定账户： 开户名称：陕西隆信项目管理有限公司 开 户 行：招商银行股份有限公司西安土门支行 账 号：129904064810902 财务部电话：029-88489979-8501 （备注：项目名称+代理服务费）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西安市雁塔区城市管理和综合执法局</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根据采购文件规定的验收标准和方法进行验收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联系人：任甜、郑婧婧、杜航、李亚男、袁歆雨、刘晶</w:t>
      </w:r>
    </w:p>
    <w:p>
      <w:pPr>
        <w:pStyle w:val="null3"/>
      </w:pPr>
      <w:r>
        <w:rPr>
          <w:rFonts w:ascii="仿宋_GB2312" w:hAnsi="仿宋_GB2312" w:cs="仿宋_GB2312" w:eastAsia="仿宋_GB2312"/>
        </w:rPr>
        <w:t>联系电话：029-88489979-8106</w:t>
      </w:r>
    </w:p>
    <w:p>
      <w:pPr>
        <w:pStyle w:val="null3"/>
      </w:pPr>
      <w:r>
        <w:rPr>
          <w:rFonts w:ascii="仿宋_GB2312" w:hAnsi="仿宋_GB2312" w:cs="仿宋_GB2312" w:eastAsia="仿宋_GB2312"/>
        </w:rPr>
        <w:t>地址：西安市雁塔区雁翔路111号赛格·中京坊6幢1单元2层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18"/>
          <w:color w:val="0A82E5"/>
          <w:shd w:fill="FFFFFF" w:val="clear"/>
        </w:rPr>
        <w:t>根据区域划分的责任范围，对约</w:t>
      </w:r>
      <w:r>
        <w:rPr>
          <w:rFonts w:ascii="仿宋_GB2312" w:hAnsi="仿宋_GB2312" w:cs="仿宋_GB2312" w:eastAsia="仿宋_GB2312"/>
          <w:sz w:val="18"/>
          <w:color w:val="0A82E5"/>
          <w:shd w:fill="FFFFFF" w:val="clear"/>
        </w:rPr>
        <w:t>59个小区的供热庭院管道、住宅楼内供热公共管道及换热站等设备设施进行勘查检测，并出具评估报告；配合并促进采购人完成2026年雁塔区庭院供热管道老化更新改造目标；各项服务标准符合国家、省、市（行业）强制性标准及采购人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雁塔区2026年庭院供热管道老化更新改造项目管勘评估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标的名称：雁塔区2026年庭院供热管道老化更新改造项目管勘评估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sz w:val="20"/>
                <w:b/>
                <w:color w:val="000000"/>
              </w:rPr>
              <w:t>1.1</w:t>
            </w:r>
            <w:r>
              <w:rPr>
                <w:rFonts w:ascii="仿宋_GB2312" w:hAnsi="仿宋_GB2312" w:cs="仿宋_GB2312" w:eastAsia="仿宋_GB2312"/>
                <w:sz w:val="20"/>
                <w:b/>
                <w:color w:val="000000"/>
              </w:rPr>
              <w:t>检测评估范围：</w:t>
            </w:r>
            <w:r>
              <w:rPr>
                <w:rFonts w:ascii="仿宋_GB2312" w:hAnsi="仿宋_GB2312" w:cs="仿宋_GB2312" w:eastAsia="仿宋_GB2312"/>
                <w:sz w:val="21"/>
                <w:color w:val="000000"/>
              </w:rPr>
              <w:t>根据区域划分的责任范围，对约</w:t>
            </w:r>
            <w:r>
              <w:rPr>
                <w:rFonts w:ascii="仿宋_GB2312" w:hAnsi="仿宋_GB2312" w:cs="仿宋_GB2312" w:eastAsia="仿宋_GB2312"/>
                <w:sz w:val="21"/>
                <w:color w:val="000000"/>
              </w:rPr>
              <w:t>59个小区的供热庭院管道、住宅楼内供热公共管道及换热站等设备设施进行勘查检测，并出具评估报告；配合并促进采购人完成2026年雁塔区庭院供热管道老化更新改造目标。</w:t>
            </w:r>
          </w:p>
          <w:p>
            <w:pPr>
              <w:pStyle w:val="null3"/>
              <w:ind w:firstLine="402"/>
              <w:jc w:val="both"/>
            </w:pPr>
            <w:r>
              <w:rPr>
                <w:rFonts w:ascii="仿宋_GB2312" w:hAnsi="仿宋_GB2312" w:cs="仿宋_GB2312" w:eastAsia="仿宋_GB2312"/>
                <w:sz w:val="20"/>
                <w:b/>
                <w:color w:val="000000"/>
              </w:rPr>
              <w:t>1.2检测评估原则：</w:t>
            </w:r>
          </w:p>
          <w:p>
            <w:pPr>
              <w:pStyle w:val="null3"/>
              <w:ind w:firstLine="400"/>
              <w:jc w:val="both"/>
            </w:pPr>
            <w:r>
              <w:rPr>
                <w:rFonts w:ascii="仿宋_GB2312" w:hAnsi="仿宋_GB2312" w:cs="仿宋_GB2312" w:eastAsia="仿宋_GB2312"/>
                <w:sz w:val="20"/>
                <w:color w:val="000000"/>
              </w:rPr>
              <w:t>（一）</w:t>
            </w:r>
            <w:r>
              <w:rPr>
                <w:rFonts w:ascii="仿宋_GB2312" w:hAnsi="仿宋_GB2312" w:cs="仿宋_GB2312" w:eastAsia="仿宋_GB2312"/>
                <w:sz w:val="20"/>
                <w:b/>
                <w:color w:val="000000"/>
              </w:rPr>
              <w:t>供热管道更新改造原则：</w:t>
            </w:r>
            <w:r>
              <w:rPr>
                <w:rFonts w:ascii="仿宋_GB2312" w:hAnsi="仿宋_GB2312" w:cs="仿宋_GB2312" w:eastAsia="仿宋_GB2312"/>
                <w:sz w:val="20"/>
                <w:color w:val="000000"/>
              </w:rPr>
              <w:t>(1)供热管网应保障供热安全、可靠、节能运行。运行15 年以上的供热管网（不含评估后可正常使用的管网）；使用年限不足15 年，但存在事故隐患的供热管网应进行更换；</w:t>
            </w:r>
          </w:p>
          <w:p>
            <w:pPr>
              <w:pStyle w:val="null3"/>
              <w:ind w:firstLine="495"/>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2）庭院管道应沿着道路中心线平行敷设，并应在车行道之外；穿过厂区的供热管道应敷设在易于检修和维护的位置。管道应尽量采用直埋敷设。干线应装设分段阀门，每条支干线起点应安装关闭阀门；</w:t>
            </w:r>
          </w:p>
          <w:p>
            <w:pPr>
              <w:pStyle w:val="null3"/>
              <w:ind w:firstLine="495"/>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3）庭院管道应力求短直，主干线应通过用户密集区，并靠近热负荷大的用户；管道走向宜平行小区的干道或建筑物；</w:t>
            </w:r>
          </w:p>
          <w:p>
            <w:pPr>
              <w:pStyle w:val="null3"/>
              <w:ind w:firstLine="495"/>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4）热力管道可与自来水，压力排水，通信线路共沟敷设，但热力管道敷设应高于自来水管道，且自来水管道应做防水和隔热；</w:t>
            </w:r>
          </w:p>
          <w:p>
            <w:pPr>
              <w:pStyle w:val="null3"/>
              <w:ind w:firstLine="495"/>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5）地上敷设热力管道和其他管道共架敷设时，应便于检修，且不得架设在腐蚀介质管道的下方；</w:t>
            </w:r>
          </w:p>
          <w:p>
            <w:pPr>
              <w:pStyle w:val="null3"/>
              <w:ind w:firstLine="495"/>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6）管道敷设坡度不应小于0.002，管道高点，低点应分别设置放气和洒水装置；</w:t>
            </w:r>
          </w:p>
          <w:p>
            <w:pPr>
              <w:pStyle w:val="null3"/>
              <w:ind w:firstLine="495"/>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7）供热系统室外管网输送效率低于90%，正常补水率大于总循环流量0.5%，应采用针对降低漏损，加强保温等方面对管网进行改造；</w:t>
            </w:r>
          </w:p>
          <w:p>
            <w:pPr>
              <w:pStyle w:val="null3"/>
              <w:ind w:firstLine="495"/>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8）管网散热损失的要求。热力网必须保温，保温层外部应有保护层；</w:t>
            </w:r>
          </w:p>
          <w:p>
            <w:pPr>
              <w:pStyle w:val="null3"/>
              <w:ind w:firstLine="495"/>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9）管网失水率要求。按照《城镇供热系统安全运行规程》的要求，间接连接系统失水率应该控制在总循环水量的1%以内，直接连接系统失水率应该控制在总循环水量的2%以内。管网失水率控制目标为：一级管网失水率为总循环水量的0.3%以内，二级管网失水率为总循环水量的0.5%以内；</w:t>
            </w:r>
          </w:p>
          <w:p>
            <w:pPr>
              <w:pStyle w:val="null3"/>
              <w:ind w:firstLine="495"/>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10）供热管网安装水力平衡装置。庭院管道的分支处应安装水力平衡装置。减少水力失调，保障供热质量，水力平衡度应控制在0.9~1.2 范围内；</w:t>
            </w:r>
          </w:p>
          <w:p>
            <w:pPr>
              <w:pStyle w:val="null3"/>
              <w:ind w:firstLine="495"/>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11）供热管网改造完成后必须具备热计量要求，实现楼栋总计量的要求，安装楼栋热表（热力入口总表），平衡阀等设施；</w:t>
            </w:r>
          </w:p>
          <w:p>
            <w:pPr>
              <w:pStyle w:val="null3"/>
              <w:ind w:firstLine="602"/>
              <w:jc w:val="both"/>
            </w:pPr>
            <w:r>
              <w:rPr>
                <w:rFonts w:ascii="仿宋_GB2312" w:hAnsi="仿宋_GB2312" w:cs="仿宋_GB2312" w:eastAsia="仿宋_GB2312"/>
                <w:sz w:val="20"/>
                <w:b/>
                <w:color w:val="000000"/>
              </w:rPr>
              <w:t>（二）户内热力系统更新改造原则：</w:t>
            </w:r>
            <w:r>
              <w:rPr>
                <w:rFonts w:ascii="仿宋_GB2312" w:hAnsi="仿宋_GB2312" w:cs="仿宋_GB2312" w:eastAsia="仿宋_GB2312"/>
                <w:sz w:val="20"/>
                <w:color w:val="000000"/>
              </w:rPr>
              <w:t>（</w:t>
            </w:r>
            <w:r>
              <w:rPr>
                <w:rFonts w:ascii="仿宋_GB2312" w:hAnsi="仿宋_GB2312" w:cs="仿宋_GB2312" w:eastAsia="仿宋_GB2312"/>
                <w:sz w:val="20"/>
                <w:color w:val="000000"/>
              </w:rPr>
              <w:t>1）根据现行《既有居住建筑节能改造技术规程》JGJ/T129-2012节能改造应首先进行安全性评估，对主体结构的后续使用年限少于20 年的建筑，不宜单独进行节能改造；</w:t>
            </w:r>
          </w:p>
          <w:p>
            <w:pPr>
              <w:pStyle w:val="null3"/>
              <w:ind w:firstLine="495"/>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节能改造前，应以建筑物耗热量指标为判定依据进行建筑围护结构性能化设计，实施全面节能改造后的建筑，在保证室内热舒适水平的前提下，建筑物耗热量指标不应高于《严寒和寒冷地区居住建筑节能设计标准》JGJ26-2010 的规定的计算值；实施部分节能改造后的建筑，其改造部分的性能或者效果应不低于现行行业标准《严寒和寒冷地区居住建筑节能设计标准》JGJ26-2010 的规定；</w:t>
            </w:r>
          </w:p>
          <w:p>
            <w:pPr>
              <w:pStyle w:val="null3"/>
              <w:ind w:firstLine="495"/>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3）供热节能改造和建筑围护结构节能改造应同步实施；</w:t>
            </w:r>
          </w:p>
          <w:p>
            <w:pPr>
              <w:pStyle w:val="null3"/>
              <w:ind w:firstLine="495"/>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4）节能改造时不应更改既有建筑主体结构构造；</w:t>
            </w:r>
          </w:p>
          <w:p>
            <w:pPr>
              <w:pStyle w:val="null3"/>
              <w:ind w:firstLine="495"/>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5）供暖改造应在建筑物冬季供暖前完成，在供暖期内进行联合试运行和调试，安装调试不应降低原系统及设备的安全性能。建筑室温应达到设计要求，集中供暖系统应同时具有室温调节和热量计量基本功能；</w:t>
            </w:r>
          </w:p>
          <w:p>
            <w:pPr>
              <w:pStyle w:val="null3"/>
              <w:ind w:firstLine="495"/>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6）供暖改造后的集中供热系统的每栋建筑物热力入口处必须设置热计量表。</w:t>
            </w:r>
          </w:p>
          <w:p>
            <w:pPr>
              <w:pStyle w:val="null3"/>
              <w:ind w:firstLine="495"/>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7）栋建筑物热力入口处应安装静态平衡阀；</w:t>
            </w:r>
          </w:p>
          <w:p>
            <w:pPr>
              <w:pStyle w:val="null3"/>
              <w:ind w:firstLine="495"/>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8）对室内供暖系统在原供暖系统为垂直单管顺流系统时应改为垂直单管跨越式或者垂直双管系统，不宜改造为分户独立循环系统；</w:t>
            </w:r>
          </w:p>
          <w:p>
            <w:pPr>
              <w:pStyle w:val="null3"/>
              <w:ind w:firstLine="495"/>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9）室内供暖系统应设置性能可靠地室温控制装置，每组散热器的供水支管应安装散热器恒温阀；采用垂直单管跨越式系统时，恒温控制阀采用低阻两通或者三通阀。</w:t>
            </w:r>
          </w:p>
          <w:p>
            <w:pPr>
              <w:pStyle w:val="null3"/>
              <w:ind w:firstLine="495"/>
              <w:jc w:val="both"/>
            </w:pPr>
            <w:r>
              <w:rPr>
                <w:rFonts w:ascii="仿宋_GB2312" w:hAnsi="仿宋_GB2312" w:cs="仿宋_GB2312" w:eastAsia="仿宋_GB2312"/>
                <w:sz w:val="20"/>
                <w:b/>
                <w:color w:val="000000"/>
              </w:rPr>
              <w:t>1.3技术要求：</w:t>
            </w:r>
            <w:r>
              <w:rPr>
                <w:rFonts w:ascii="仿宋_GB2312" w:hAnsi="仿宋_GB2312" w:cs="仿宋_GB2312" w:eastAsia="仿宋_GB2312"/>
                <w:sz w:val="20"/>
                <w:color w:val="000000"/>
              </w:rPr>
              <w:t>（</w:t>
            </w:r>
            <w:r>
              <w:rPr>
                <w:rFonts w:ascii="仿宋_GB2312" w:hAnsi="仿宋_GB2312" w:cs="仿宋_GB2312" w:eastAsia="仿宋_GB2312"/>
                <w:sz w:val="20"/>
                <w:color w:val="000000"/>
              </w:rPr>
              <w:t>1）检验执行标准及规定（不限于）：</w:t>
            </w:r>
          </w:p>
          <w:p>
            <w:pPr>
              <w:pStyle w:val="null3"/>
              <w:spacing w:before="105" w:after="105"/>
              <w:ind w:firstLine="400"/>
              <w:jc w:val="both"/>
            </w:pPr>
            <w:r>
              <w:rPr>
                <w:rFonts w:ascii="仿宋_GB2312" w:hAnsi="仿宋_GB2312" w:cs="仿宋_GB2312" w:eastAsia="仿宋_GB2312"/>
                <w:sz w:val="20"/>
                <w:color w:val="000000"/>
              </w:rPr>
              <w:t>《埋地钢质管道直流干扰防护技术标准》</w:t>
            </w:r>
            <w:r>
              <w:rPr>
                <w:rFonts w:ascii="仿宋_GB2312" w:hAnsi="仿宋_GB2312" w:cs="仿宋_GB2312" w:eastAsia="仿宋_GB2312"/>
                <w:sz w:val="20"/>
                <w:color w:val="000000"/>
              </w:rPr>
              <w:t>GB 50991-2014</w:t>
            </w:r>
          </w:p>
          <w:p>
            <w:pPr>
              <w:pStyle w:val="null3"/>
              <w:spacing w:before="105" w:after="105"/>
              <w:ind w:firstLine="400"/>
              <w:jc w:val="both"/>
            </w:pPr>
            <w:r>
              <w:rPr>
                <w:rFonts w:ascii="仿宋_GB2312" w:hAnsi="仿宋_GB2312" w:cs="仿宋_GB2312" w:eastAsia="仿宋_GB2312"/>
                <w:sz w:val="20"/>
                <w:color w:val="000000"/>
              </w:rPr>
              <w:t>《固定式压力容器安全技术监察规程》</w:t>
            </w:r>
            <w:r>
              <w:rPr>
                <w:rFonts w:ascii="仿宋_GB2312" w:hAnsi="仿宋_GB2312" w:cs="仿宋_GB2312" w:eastAsia="仿宋_GB2312"/>
                <w:sz w:val="20"/>
                <w:color w:val="000000"/>
              </w:rPr>
              <w:t>TSG 21-2016</w:t>
            </w:r>
          </w:p>
          <w:p>
            <w:pPr>
              <w:pStyle w:val="null3"/>
              <w:spacing w:before="105" w:after="105"/>
              <w:ind w:firstLine="400"/>
              <w:jc w:val="both"/>
            </w:pPr>
            <w:r>
              <w:rPr>
                <w:rFonts w:ascii="仿宋_GB2312" w:hAnsi="仿宋_GB2312" w:cs="仿宋_GB2312" w:eastAsia="仿宋_GB2312"/>
                <w:sz w:val="20"/>
                <w:color w:val="000000"/>
              </w:rPr>
              <w:t>《压力管道定期检验规则</w:t>
            </w:r>
            <w:r>
              <w:rPr>
                <w:rFonts w:ascii="仿宋_GB2312" w:hAnsi="仿宋_GB2312" w:cs="仿宋_GB2312" w:eastAsia="仿宋_GB2312"/>
                <w:sz w:val="20"/>
                <w:color w:val="000000"/>
              </w:rPr>
              <w:t>-公用管道》TSG D7004-2010</w:t>
            </w:r>
          </w:p>
          <w:p>
            <w:pPr>
              <w:pStyle w:val="null3"/>
              <w:spacing w:before="105" w:after="105"/>
              <w:ind w:firstLine="400"/>
              <w:jc w:val="both"/>
            </w:pPr>
            <w:r>
              <w:rPr>
                <w:rFonts w:ascii="仿宋_GB2312" w:hAnsi="仿宋_GB2312" w:cs="仿宋_GB2312" w:eastAsia="仿宋_GB2312"/>
                <w:sz w:val="20"/>
                <w:color w:val="000000"/>
              </w:rPr>
              <w:t>《压力管道定期检验规则</w:t>
            </w:r>
            <w:r>
              <w:rPr>
                <w:rFonts w:ascii="仿宋_GB2312" w:hAnsi="仿宋_GB2312" w:cs="仿宋_GB2312" w:eastAsia="仿宋_GB2312"/>
                <w:sz w:val="20"/>
                <w:color w:val="000000"/>
              </w:rPr>
              <w:t>-工业管道》TSG D7005-2018</w:t>
            </w:r>
          </w:p>
          <w:p>
            <w:pPr>
              <w:pStyle w:val="null3"/>
              <w:spacing w:before="105" w:after="105"/>
              <w:ind w:firstLine="400"/>
              <w:jc w:val="both"/>
            </w:pPr>
            <w:r>
              <w:rPr>
                <w:rFonts w:ascii="仿宋_GB2312" w:hAnsi="仿宋_GB2312" w:cs="仿宋_GB2312" w:eastAsia="仿宋_GB2312"/>
                <w:sz w:val="20"/>
                <w:color w:val="000000"/>
              </w:rPr>
              <w:t>《压力管道规范公用管道》</w:t>
            </w:r>
            <w:r>
              <w:rPr>
                <w:rFonts w:ascii="仿宋_GB2312" w:hAnsi="仿宋_GB2312" w:cs="仿宋_GB2312" w:eastAsia="仿宋_GB2312"/>
                <w:sz w:val="20"/>
                <w:color w:val="000000"/>
              </w:rPr>
              <w:t>GB/T 38942-2020</w:t>
            </w:r>
          </w:p>
          <w:p>
            <w:pPr>
              <w:pStyle w:val="null3"/>
              <w:spacing w:before="105" w:after="105"/>
              <w:ind w:firstLine="400"/>
              <w:jc w:val="both"/>
            </w:pPr>
            <w:r>
              <w:rPr>
                <w:rFonts w:ascii="仿宋_GB2312" w:hAnsi="仿宋_GB2312" w:cs="仿宋_GB2312" w:eastAsia="仿宋_GB2312"/>
                <w:sz w:val="20"/>
                <w:color w:val="000000"/>
              </w:rPr>
              <w:t>《埋地钢制管道腐蚀防护工程检验》</w:t>
            </w:r>
            <w:r>
              <w:rPr>
                <w:rFonts w:ascii="仿宋_GB2312" w:hAnsi="仿宋_GB2312" w:cs="仿宋_GB2312" w:eastAsia="仿宋_GB2312"/>
                <w:sz w:val="20"/>
                <w:color w:val="000000"/>
              </w:rPr>
              <w:t>GB/T 19285-2014</w:t>
            </w:r>
          </w:p>
          <w:p>
            <w:pPr>
              <w:pStyle w:val="null3"/>
              <w:spacing w:before="105" w:after="105"/>
              <w:ind w:firstLine="400"/>
              <w:jc w:val="both"/>
            </w:pPr>
            <w:r>
              <w:rPr>
                <w:rFonts w:ascii="仿宋_GB2312" w:hAnsi="仿宋_GB2312" w:cs="仿宋_GB2312" w:eastAsia="仿宋_GB2312"/>
                <w:sz w:val="20"/>
                <w:color w:val="000000"/>
              </w:rPr>
              <w:t>《在用含缺陷压力容器安全评定》</w:t>
            </w:r>
            <w:r>
              <w:rPr>
                <w:rFonts w:ascii="仿宋_GB2312" w:hAnsi="仿宋_GB2312" w:cs="仿宋_GB2312" w:eastAsia="仿宋_GB2312"/>
                <w:sz w:val="20"/>
                <w:color w:val="000000"/>
              </w:rPr>
              <w:t>GB/T 19624-2019</w:t>
            </w:r>
          </w:p>
          <w:p>
            <w:pPr>
              <w:pStyle w:val="null3"/>
              <w:spacing w:before="105" w:after="105"/>
              <w:ind w:firstLine="400"/>
              <w:jc w:val="both"/>
            </w:pPr>
            <w:r>
              <w:rPr>
                <w:rFonts w:ascii="仿宋_GB2312" w:hAnsi="仿宋_GB2312" w:cs="仿宋_GB2312" w:eastAsia="仿宋_GB2312"/>
                <w:sz w:val="20"/>
                <w:color w:val="000000"/>
              </w:rPr>
              <w:t>《埋地钢质管道交流干扰防护技术标准》</w:t>
            </w:r>
            <w:r>
              <w:rPr>
                <w:rFonts w:ascii="仿宋_GB2312" w:hAnsi="仿宋_GB2312" w:cs="仿宋_GB2312" w:eastAsia="仿宋_GB2312"/>
                <w:sz w:val="20"/>
                <w:color w:val="000000"/>
              </w:rPr>
              <w:t>GB/T 50698-2011</w:t>
            </w:r>
          </w:p>
          <w:p>
            <w:pPr>
              <w:pStyle w:val="null3"/>
              <w:spacing w:before="105" w:after="105"/>
              <w:ind w:firstLine="400"/>
              <w:jc w:val="both"/>
            </w:pPr>
            <w:r>
              <w:rPr>
                <w:rFonts w:ascii="仿宋_GB2312" w:hAnsi="仿宋_GB2312" w:cs="仿宋_GB2312" w:eastAsia="仿宋_GB2312"/>
                <w:sz w:val="20"/>
                <w:color w:val="000000"/>
              </w:rPr>
              <w:t>《埋地钢质管道风险评估方法》</w:t>
            </w:r>
            <w:r>
              <w:rPr>
                <w:rFonts w:ascii="仿宋_GB2312" w:hAnsi="仿宋_GB2312" w:cs="仿宋_GB2312" w:eastAsia="仿宋_GB2312"/>
                <w:sz w:val="20"/>
                <w:color w:val="000000"/>
              </w:rPr>
              <w:t>GB/T 27512-2011</w:t>
            </w:r>
          </w:p>
          <w:p>
            <w:pPr>
              <w:pStyle w:val="null3"/>
              <w:spacing w:before="105" w:after="105"/>
              <w:ind w:firstLine="400"/>
              <w:jc w:val="both"/>
            </w:pPr>
            <w:r>
              <w:rPr>
                <w:rFonts w:ascii="仿宋_GB2312" w:hAnsi="仿宋_GB2312" w:cs="仿宋_GB2312" w:eastAsia="仿宋_GB2312"/>
                <w:sz w:val="20"/>
                <w:color w:val="000000"/>
              </w:rPr>
              <w:t>《热塑性塑料管材拉伸性能测定</w:t>
            </w:r>
            <w:r>
              <w:rPr>
                <w:rFonts w:ascii="仿宋_GB2312" w:hAnsi="仿宋_GB2312" w:cs="仿宋_GB2312" w:eastAsia="仿宋_GB2312"/>
                <w:sz w:val="20"/>
                <w:color w:val="000000"/>
              </w:rPr>
              <w:t>第</w:t>
            </w:r>
            <w:r>
              <w:rPr>
                <w:rFonts w:ascii="仿宋_GB2312" w:hAnsi="仿宋_GB2312" w:cs="仿宋_GB2312" w:eastAsia="仿宋_GB2312"/>
                <w:sz w:val="20"/>
                <w:color w:val="000000"/>
              </w:rPr>
              <w:t>1部分 试验方法总则》GB/T 8804.1-2003</w:t>
            </w:r>
          </w:p>
          <w:p>
            <w:pPr>
              <w:pStyle w:val="null3"/>
              <w:spacing w:before="105" w:after="105"/>
              <w:ind w:firstLine="400"/>
              <w:jc w:val="both"/>
            </w:pPr>
            <w:r>
              <w:rPr>
                <w:rFonts w:ascii="仿宋_GB2312" w:hAnsi="仿宋_GB2312" w:cs="仿宋_GB2312" w:eastAsia="仿宋_GB2312"/>
                <w:sz w:val="20"/>
                <w:color w:val="000000"/>
              </w:rPr>
              <w:t>设计、安装等资料文件。</w:t>
            </w:r>
          </w:p>
          <w:p>
            <w:pPr>
              <w:pStyle w:val="null3"/>
              <w:ind w:firstLine="49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2）本次改造项目均为老旧小区的老居民楼，在考虑现行《西安市既有居住建筑节能改造技术规程》DB61/T71-2012 以及《供热系统节能改造技术规范》GB/T50893-2013 规范的前提下结合供热改造标准更新实际需求，根据现行规范的要求，对供热管道进行更新改造检测，并出具评估报告；</w:t>
            </w:r>
          </w:p>
          <w:p>
            <w:pPr>
              <w:pStyle w:val="null3"/>
              <w:ind w:firstLine="49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3）室内供暖系统应安装分户计量装置，热计量装置应满足现行行业标准《供热计量技术规程》JGJ173 的规定；</w:t>
            </w:r>
          </w:p>
          <w:p>
            <w:pPr>
              <w:pStyle w:val="null3"/>
              <w:ind w:firstLine="49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具备独立开展供热管道勘察评估的技术力量和报告编制的领域经验，采取科学、针对性强的勘测方案，按照国家法律、法规的有关规定及操作规程做好项目的实施计划、组织协调、进度控制、难点、重点把握、质量控制、成本控制等全方面工作；</w:t>
            </w:r>
          </w:p>
          <w:p>
            <w:pPr>
              <w:pStyle w:val="null3"/>
              <w:ind w:firstLine="49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5） 国务院、陕西省、西安市等各级政府部门相关文件精神。</w:t>
            </w:r>
          </w:p>
          <w:p>
            <w:pPr>
              <w:pStyle w:val="null3"/>
              <w:ind w:firstLine="495"/>
              <w:jc w:val="both"/>
            </w:pPr>
            <w:r>
              <w:rPr>
                <w:rFonts w:ascii="仿宋_GB2312" w:hAnsi="仿宋_GB2312" w:cs="仿宋_GB2312" w:eastAsia="仿宋_GB2312"/>
                <w:sz w:val="20"/>
                <w:b/>
                <w:color w:val="000000"/>
              </w:rPr>
              <w:t>1.4进度要求：</w:t>
            </w:r>
            <w:r>
              <w:rPr>
                <w:rFonts w:ascii="仿宋_GB2312" w:hAnsi="仿宋_GB2312" w:cs="仿宋_GB2312" w:eastAsia="仿宋_GB2312"/>
                <w:sz w:val="20"/>
                <w:color w:val="000000"/>
              </w:rPr>
              <w:t>通过采取科学、合理、可行的组织、技术、管理等相关控制措施将项目实施进度控制在采购人所要求的合理时间节点内。</w:t>
            </w:r>
          </w:p>
          <w:p>
            <w:pPr>
              <w:pStyle w:val="null3"/>
              <w:spacing w:before="105" w:after="105"/>
              <w:ind w:firstLine="402"/>
              <w:jc w:val="left"/>
            </w:pPr>
            <w:r>
              <w:rPr>
                <w:rFonts w:ascii="仿宋_GB2312" w:hAnsi="仿宋_GB2312" w:cs="仿宋_GB2312" w:eastAsia="仿宋_GB2312"/>
                <w:sz w:val="20"/>
                <w:b/>
                <w:color w:val="000000"/>
              </w:rPr>
              <w:t>1.5服务要求：</w:t>
            </w:r>
            <w:r>
              <w:rPr>
                <w:rFonts w:ascii="仿宋_GB2312" w:hAnsi="仿宋_GB2312" w:cs="仿宋_GB2312" w:eastAsia="仿宋_GB2312"/>
                <w:sz w:val="20"/>
                <w:color w:val="000000"/>
              </w:rPr>
              <w:t>（</w:t>
            </w:r>
            <w:r>
              <w:rPr>
                <w:rFonts w:ascii="仿宋_GB2312" w:hAnsi="仿宋_GB2312" w:cs="仿宋_GB2312" w:eastAsia="仿宋_GB2312"/>
                <w:sz w:val="20"/>
                <w:color w:val="000000"/>
              </w:rPr>
              <w:t>1）服务方须指派专属人员与采购人联系服务事宜，服务响应时间应根据采购人实际安排随时调整。</w:t>
            </w:r>
          </w:p>
          <w:p>
            <w:pPr>
              <w:pStyle w:val="null3"/>
              <w:spacing w:before="105" w:after="105"/>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2）所有服务方式均为服务方上门服务，即由服务方派员到服务现场，项目实行包工包料、包组织、包服务，由此产生的一切费用均由服务方承担。</w:t>
            </w:r>
          </w:p>
          <w:p>
            <w:pPr>
              <w:pStyle w:val="null3"/>
              <w:spacing w:before="105" w:after="105"/>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3）服务方需根据服务实际情况编制服务方案，服务计划、进度安排、突发应急等方案措施；在如期保质保量完成服务的前提下，从实际出发，对于服务需求采购的合理化建议和成本控制。</w:t>
            </w:r>
          </w:p>
          <w:p>
            <w:pPr>
              <w:pStyle w:val="null3"/>
              <w:spacing w:before="105" w:after="105"/>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服务方在本项目人员要求技术水平高、组织能力强、有丰富的实践经验，懂管理、善于协调。服务人员中的组织人员、技术人员、监管人员、辅助人员等要求有服务经验或持证上岗；服务队伍稳定，保证整个项目顺利完成，服务方未经采购人同意，不得擅自更换本项目在响应文件中指定的服务队伍。</w:t>
            </w:r>
          </w:p>
          <w:p>
            <w:pPr>
              <w:pStyle w:val="null3"/>
              <w:spacing w:before="105" w:after="105"/>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5）服务过程中，严格遵守各种管理规定及规章制度，做到奉公守法、诚实守信、廉洁自律、安全文明；服务过程如发生工伤及意外事故由服务单位负责。</w:t>
            </w:r>
          </w:p>
          <w:p>
            <w:pPr>
              <w:pStyle w:val="null3"/>
              <w:spacing w:before="105" w:after="105"/>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6）服务方派遣的服务人员对于在工作中获悉的一切政府工作的信息应严格保守秘密，不得泄露；对于违反者，给采购人单位造成不良社会影响的，或给采购人单位造成损失的，由服务方承担赔偿责任。</w:t>
            </w:r>
          </w:p>
          <w:p>
            <w:pPr>
              <w:pStyle w:val="null3"/>
              <w:spacing w:before="105" w:after="105"/>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7）严格按照国家、陕西省、西安市有关规定及采购人要求进行服务，不得随意更改或者变换服务内容，如服务过程中更有利于采购人的合理化建议，每项服务内容实施前应事先取得采购人的落实后方可实施；在保质保量完成服务的前提下做到控制成本。</w:t>
            </w:r>
          </w:p>
          <w:p>
            <w:pPr>
              <w:pStyle w:val="null3"/>
              <w:spacing w:before="105" w:after="105"/>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8）配合促进采购人安排的其他相关工作。</w:t>
            </w:r>
          </w:p>
          <w:p>
            <w:pPr>
              <w:pStyle w:val="null3"/>
              <w:spacing w:before="105" w:after="105"/>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9）服务结束，提供本项目相关所有服务的成果报告及归档资料。</w:t>
            </w:r>
          </w:p>
          <w:p>
            <w:pPr>
              <w:pStyle w:val="null3"/>
              <w:spacing w:before="105" w:after="105"/>
              <w:ind w:firstLine="402"/>
              <w:jc w:val="left"/>
            </w:pPr>
            <w:r>
              <w:rPr>
                <w:rFonts w:ascii="仿宋_GB2312" w:hAnsi="仿宋_GB2312" w:cs="仿宋_GB2312" w:eastAsia="仿宋_GB2312"/>
                <w:sz w:val="20"/>
                <w:b/>
                <w:color w:val="000000"/>
              </w:rPr>
              <w:t>1.6成果要求：</w:t>
            </w:r>
            <w:r>
              <w:rPr>
                <w:rFonts w:ascii="仿宋_GB2312" w:hAnsi="仿宋_GB2312" w:cs="仿宋_GB2312" w:eastAsia="仿宋_GB2312"/>
                <w:sz w:val="20"/>
                <w:color w:val="000000"/>
              </w:rPr>
              <w:t>依照规范标准编制检测成果报告，成果报告内容应当完整真实、科学严谨、思路清晰、具有代表性，符合庭院管道改造过程的实际现状。</w:t>
            </w:r>
          </w:p>
          <w:p>
            <w:pPr>
              <w:pStyle w:val="null3"/>
              <w:spacing w:before="105" w:after="105"/>
              <w:ind w:firstLine="402"/>
              <w:jc w:val="left"/>
            </w:pPr>
            <w:r>
              <w:rPr>
                <w:rFonts w:ascii="仿宋_GB2312" w:hAnsi="仿宋_GB2312" w:cs="仿宋_GB2312" w:eastAsia="仿宋_GB2312"/>
                <w:sz w:val="20"/>
                <w:b/>
                <w:color w:val="000000"/>
              </w:rPr>
              <w:t>1.7服务质量：</w:t>
            </w:r>
            <w:r>
              <w:rPr>
                <w:rFonts w:ascii="仿宋_GB2312" w:hAnsi="仿宋_GB2312" w:cs="仿宋_GB2312" w:eastAsia="仿宋_GB2312"/>
                <w:sz w:val="20"/>
                <w:color w:val="000000"/>
              </w:rPr>
              <w:t>（</w:t>
            </w:r>
            <w:r>
              <w:rPr>
                <w:rFonts w:ascii="仿宋_GB2312" w:hAnsi="仿宋_GB2312" w:cs="仿宋_GB2312" w:eastAsia="仿宋_GB2312"/>
                <w:sz w:val="20"/>
                <w:color w:val="000000"/>
              </w:rPr>
              <w:t>1）各项服务符合国家、省、市（行业）强制性标准及采购人要求的合格标准。</w:t>
            </w:r>
          </w:p>
          <w:p>
            <w:pPr>
              <w:pStyle w:val="null3"/>
              <w:spacing w:before="105" w:after="105"/>
              <w:ind w:firstLine="402"/>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服务、产品（如有）执行的标准、规范：必须执行国家、行业强制性标准；没有国家、行业强制性标准的按①国家标准、规范→②行业标准、规范→③地方标准、规范→④团体标准、规范→⑤企业标准、规范类推顺序执行；凡涉及的相关规范，国家有最新标准的以最新标准为准，所有标准哪个标准高执行哪个标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按项目服务要求及特性，自行组织实施与管理，建立以负责人为核心的项目团队（项目负责人、技术负责人、安全管理人员、检验人员等），相关人员经过严格培训，有相关工作经验，能够胜任项目工作，保证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根据项目采购项目特性及要求，自行配置投入履行合同所必需的各类设施设备（不限于专业设备（测厚仪、四合一气体检测仪、磁粉检测仪、超声波检测仪、管道防腐层检测仪、硬度计、射线检测仪等）、辅助设备、工具、软件等）及场所，保证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本项目所属行业为： 其他未列明（从业人员300人以下的为中小微型企业。其中，从业人员100人及以上的为中型企业；从业人员10人及以上的为小型企业；从业人员10人以下的为微型企业）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重要依据，采购人单位根据有关规范、规定及项目要求对服务进行检查或考核，服务方须接受采购人的各类考核或检查；若验收不通过或服务质量不符合采购要求，服务方应在一定期限内以采购人要求的标准进行整改或进一步完善，并再次进行考核或检查，若服务方在接受检查整改后最终仍未按要求提供符合要求的服务，采购人有权按违约予以撤项，由此产生的一切责任和费用均由服务方承担，具体按照合同相关条款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乙方提交报告正式文本，并协助甲方完成项目评估工作，待财政资金具备支付条件后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供应商的磋商报价是供应商响应磋商项目要求的全部工作内容的价格体现，包括供应商完成本项目所需的直接费用、间接费、利润、税金及其他相关的一切费用；包括但不限于：人工费、服务费、设备使用费、管理费、验收费、采购代理服务费、利润、税金及不可预见费等全部费用；在提供服务的过程中的任何遗漏，均由成交供应商免费提供，采购人将不再支付任何费用。 二、磋商有效期 1.出现特殊情况需要延长磋商有效期的，采购代理机构或采购人可于磋商有效期满之前，以书面形式通知所有供应商延长磋商有效期。 2.在磋商有效期内，供应商撤销响应文件的，应承担磋商文件和法律规定的责任。 3.成交供应商的磋商有效期自动延长至合同终止为止。 三、合格供应商少于3家的处理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 2.评审过程中，除符合第1条条款规定情形外，若出现合格供应商少于3家时，采购人应依法重新组织采购活动。 四、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 五、文件中签名是指：手写签名或加盖签名章（含电子），盖章是指加盖单位章（含电子）。 六、恶意质疑、投诉的法律后果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（1）《中华人民共和国刑法》第243条【诬告陷害罪】捏造事实诬告陷害他人，意图使他人受到刑事追究，情节严重的，处三年以下有期徒刑、拘役或者管制；造成严重后果的，处三年以上十年以下有期徒刑。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七、参与本项目的供应商应通过陕西省政府采购综合管理平台的项目电子化交易系统在线实施报名、获取采购文件、响应、报价等操作，供应商无需现场提供纸质响应文件。但在中标（成交）后，中标（成交）供应商在领取中标（成交）通知书时需提供纸质响应文件正本一套、副本一套用于备案，纸质响应文件应通过专用制作软件直接打印，确保与项目电子化交易系统中的电子响应文件保持一致，不允许修改和补充。中标（成交）通知书领取地址：西安市雁塔区雁翔路111号赛格·中京坊6幢1（公寓A1）单元2层10201室招标一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说明：①供应商需在项目电子化交易系统中按要求填写《响应函》完成承诺并进行电子签章，并按采购文件附件“资格证明文件”中的相关要求提供一套完整的资格证明材料。②根据《中华人民共和国政府采购法》及其实施条例等法律法规的有关规定，本项目资格审查小组由1名采购人代表和2名采购代理机构工作人员组成，采购代理机构项目经理担任资格审查小组组长；资格审查小组依法对供应商的资格进行审查。</w:t>
            </w:r>
          </w:p>
        </w:tc>
        <w:tc>
          <w:tcPr>
            <w:tcW w:type="dxa" w:w="1661"/>
          </w:tcPr>
          <w:p>
            <w:pPr>
              <w:pStyle w:val="null3"/>
            </w:pPr>
            <w:r>
              <w:rPr>
                <w:rFonts w:ascii="仿宋_GB2312" w:hAnsi="仿宋_GB2312" w:cs="仿宋_GB2312" w:eastAsia="仿宋_GB2312"/>
              </w:rPr>
              <w:t>商务、技术文件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供应商的营业执照等证明文件，自然人的身份证明文件</w:t>
            </w:r>
          </w:p>
        </w:tc>
        <w:tc>
          <w:tcPr>
            <w:tcW w:type="dxa" w:w="3322"/>
          </w:tcPr>
          <w:p>
            <w:pPr>
              <w:pStyle w:val="null3"/>
            </w:pPr>
            <w:r>
              <w:rPr>
                <w:rFonts w:ascii="仿宋_GB2312" w:hAnsi="仿宋_GB2312" w:cs="仿宋_GB2312" w:eastAsia="仿宋_GB2312"/>
              </w:rPr>
              <w:t>根据“资格证明文件”中提供的要求和说明，提供符合自身条件且合法有效的主体资格证明材料。</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法定代表人（单位负责人）/法定代表人（单位负责人）委托授权书</w:t>
            </w:r>
          </w:p>
        </w:tc>
        <w:tc>
          <w:tcPr>
            <w:tcW w:type="dxa" w:w="3322"/>
          </w:tcPr>
          <w:p>
            <w:pPr>
              <w:pStyle w:val="null3"/>
            </w:pPr>
            <w:r>
              <w:rPr>
                <w:rFonts w:ascii="仿宋_GB2312" w:hAnsi="仿宋_GB2312" w:cs="仿宋_GB2312" w:eastAsia="仿宋_GB2312"/>
              </w:rPr>
              <w:t>根据“资格证明文件”中提供的格式和说明，提供符合自身条件的证明材料。</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供应商2023或2024年度经审计的财务会计报告或其在响应文件提交截止时间前3个月内其银行出具的资信证明（附存款账户信息）</w:t>
            </w:r>
          </w:p>
        </w:tc>
        <w:tc>
          <w:tcPr>
            <w:tcW w:type="dxa" w:w="3322"/>
          </w:tcPr>
          <w:p>
            <w:pPr>
              <w:pStyle w:val="null3"/>
            </w:pPr>
            <w:r>
              <w:rPr>
                <w:rFonts w:ascii="仿宋_GB2312" w:hAnsi="仿宋_GB2312" w:cs="仿宋_GB2312" w:eastAsia="仿宋_GB2312"/>
              </w:rPr>
              <w:t>根据“资格证明文件”中提供的要求和说明，提供符合自身条件且合法有效的财务状况证明材料。</w:t>
            </w:r>
          </w:p>
        </w:tc>
        <w:tc>
          <w:tcPr>
            <w:tcW w:type="dxa" w:w="1661"/>
          </w:tcPr>
          <w:p>
            <w:pPr>
              <w:pStyle w:val="null3"/>
            </w:pPr>
            <w:r>
              <w:rPr>
                <w:rFonts w:ascii="仿宋_GB2312" w:hAnsi="仿宋_GB2312" w:cs="仿宋_GB2312" w:eastAsia="仿宋_GB2312"/>
              </w:rPr>
              <w:t>商务、技术文件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提供供应商自响应文件提交截止时间前1年内已缴纳任意时段完税（任意税种，个人所得税除外）凭证或税务机关开具的完税证明</w:t>
            </w:r>
          </w:p>
        </w:tc>
        <w:tc>
          <w:tcPr>
            <w:tcW w:type="dxa" w:w="3322"/>
          </w:tcPr>
          <w:p>
            <w:pPr>
              <w:pStyle w:val="null3"/>
            </w:pPr>
            <w:r>
              <w:rPr>
                <w:rFonts w:ascii="仿宋_GB2312" w:hAnsi="仿宋_GB2312" w:cs="仿宋_GB2312" w:eastAsia="仿宋_GB2312"/>
              </w:rPr>
              <w:t>根据“资格证明文件”中提供的要求和说明，提供符合自身条件且合法有效的税收缴纳证明材料。</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提供供应商自响应文件提交截止时间前1年内已缴存的任意时段的社会保障资金缴存单据或社保机构开具的社会保险参保缴费情况证明</w:t>
            </w:r>
          </w:p>
        </w:tc>
        <w:tc>
          <w:tcPr>
            <w:tcW w:type="dxa" w:w="3322"/>
          </w:tcPr>
          <w:p>
            <w:pPr>
              <w:pStyle w:val="null3"/>
            </w:pPr>
            <w:r>
              <w:rPr>
                <w:rFonts w:ascii="仿宋_GB2312" w:hAnsi="仿宋_GB2312" w:cs="仿宋_GB2312" w:eastAsia="仿宋_GB2312"/>
              </w:rPr>
              <w:t>根据“资格证明文件”中提供的要求和说明，提供符合自身条件且合法有效的社会保障资金缴纳证明材料。</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具备履行合同所必需的设备和专业技术能力的证明</w:t>
            </w:r>
          </w:p>
        </w:tc>
        <w:tc>
          <w:tcPr>
            <w:tcW w:type="dxa" w:w="3322"/>
          </w:tcPr>
          <w:p>
            <w:pPr>
              <w:pStyle w:val="null3"/>
            </w:pPr>
            <w:r>
              <w:rPr>
                <w:rFonts w:ascii="仿宋_GB2312" w:hAnsi="仿宋_GB2312" w:cs="仿宋_GB2312" w:eastAsia="仿宋_GB2312"/>
              </w:rPr>
              <w:t>按采购文件提供的格式提供相关证明。</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参加本次采购活动3年内，在经营活动中没有重大违法记录的书面声明</w:t>
            </w:r>
          </w:p>
        </w:tc>
        <w:tc>
          <w:tcPr>
            <w:tcW w:type="dxa" w:w="3322"/>
          </w:tcPr>
          <w:p>
            <w:pPr>
              <w:pStyle w:val="null3"/>
            </w:pPr>
            <w:r>
              <w:rPr>
                <w:rFonts w:ascii="仿宋_GB2312" w:hAnsi="仿宋_GB2312" w:cs="仿宋_GB2312" w:eastAsia="仿宋_GB2312"/>
              </w:rPr>
              <w:t>按采购文件提供的格式进行响应声明。</w:t>
            </w:r>
          </w:p>
        </w:tc>
        <w:tc>
          <w:tcPr>
            <w:tcW w:type="dxa" w:w="1661"/>
          </w:tcPr>
          <w:p>
            <w:pPr>
              <w:pStyle w:val="null3"/>
            </w:pPr>
            <w:r>
              <w:rPr>
                <w:rFonts w:ascii="仿宋_GB2312" w:hAnsi="仿宋_GB2312" w:cs="仿宋_GB2312" w:eastAsia="仿宋_GB2312"/>
              </w:rPr>
              <w:t>商务、技术文件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专门面向小微企业采购，承接服务的供应商应为符合政策要求的小微企业或残疾人福利性单位或监狱企业。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供应商具有有效的《中华人民共和国特种设备检验检测机构核准证》（综合检验机构甲类）核准项目至少包含DD2、DD3，且具有无损检测资质常规四项CG和辐射安全许可证。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拟派项目负责人资格要求</w:t>
            </w:r>
          </w:p>
        </w:tc>
        <w:tc>
          <w:tcPr>
            <w:tcW w:type="dxa" w:w="3322"/>
          </w:tcPr>
          <w:p>
            <w:pPr>
              <w:pStyle w:val="null3"/>
            </w:pPr>
            <w:r>
              <w:rPr>
                <w:rFonts w:ascii="仿宋_GB2312" w:hAnsi="仿宋_GB2312" w:cs="仿宋_GB2312" w:eastAsia="仿宋_GB2312"/>
              </w:rPr>
              <w:t>拟派项目负责人具有有效的压力管道检验师证书</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响应文件的签署、盖章及格式</w:t>
            </w:r>
          </w:p>
        </w:tc>
        <w:tc>
          <w:tcPr>
            <w:tcW w:type="dxa" w:w="3322"/>
          </w:tcPr>
          <w:p>
            <w:pPr>
              <w:pStyle w:val="null3"/>
            </w:pPr>
            <w:r>
              <w:rPr>
                <w:rFonts w:ascii="仿宋_GB2312" w:hAnsi="仿宋_GB2312" w:cs="仿宋_GB2312" w:eastAsia="仿宋_GB2312"/>
              </w:rPr>
              <w:t>符合采购文件中有关“响应文件格式”及签署、盖章要求 （注：不得因文件排序、页码、名称统一、序号等非实质性的格式、形式问题及个别遗漏或瑕疵的签署或盖章问题而限制和影响供应商响应）</w:t>
            </w:r>
          </w:p>
        </w:tc>
        <w:tc>
          <w:tcPr>
            <w:tcW w:type="dxa" w:w="1661"/>
          </w:tcPr>
          <w:p>
            <w:pPr>
              <w:pStyle w:val="null3"/>
            </w:pPr>
            <w:r>
              <w:rPr>
                <w:rFonts w:ascii="仿宋_GB2312" w:hAnsi="仿宋_GB2312" w:cs="仿宋_GB2312" w:eastAsia="仿宋_GB2312"/>
              </w:rPr>
              <w:t>响应文件封面 商务、技术文件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只能有一个有效报价，不得提交选择性报价，且报价不超过采购文件中规定的采购预算金额或最高限价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w:t>
            </w:r>
          </w:p>
        </w:tc>
        <w:tc>
          <w:tcPr>
            <w:tcW w:type="dxa" w:w="1661"/>
          </w:tcPr>
          <w:p>
            <w:pPr>
              <w:pStyle w:val="null3"/>
            </w:pPr>
            <w:r>
              <w:rPr>
                <w:rFonts w:ascii="仿宋_GB2312" w:hAnsi="仿宋_GB2312" w:cs="仿宋_GB2312" w:eastAsia="仿宋_GB2312"/>
              </w:rPr>
              <w:t>商务、技术文件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对采购文件的响应程度</w:t>
            </w:r>
          </w:p>
        </w:tc>
        <w:tc>
          <w:tcPr>
            <w:tcW w:type="dxa" w:w="3322"/>
          </w:tcPr>
          <w:p>
            <w:pPr>
              <w:pStyle w:val="null3"/>
            </w:pPr>
            <w:r>
              <w:rPr>
                <w:rFonts w:ascii="仿宋_GB2312" w:hAnsi="仿宋_GB2312" w:cs="仿宋_GB2312" w:eastAsia="仿宋_GB2312"/>
              </w:rPr>
              <w:t>符合采购文件中的实质性条款要求，且未含有采购人不能接受的附加条件。</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服务期限、服务地点、服务质量</w:t>
            </w:r>
          </w:p>
        </w:tc>
        <w:tc>
          <w:tcPr>
            <w:tcW w:type="dxa" w:w="3322"/>
          </w:tcPr>
          <w:p>
            <w:pPr>
              <w:pStyle w:val="null3"/>
            </w:pPr>
            <w:r>
              <w:rPr>
                <w:rFonts w:ascii="仿宋_GB2312" w:hAnsi="仿宋_GB2312" w:cs="仿宋_GB2312" w:eastAsia="仿宋_GB2312"/>
              </w:rPr>
              <w:t>符合采购文件中的规定</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支付条件、违约责任及解决争议</w:t>
            </w:r>
          </w:p>
        </w:tc>
        <w:tc>
          <w:tcPr>
            <w:tcW w:type="dxa" w:w="3322"/>
          </w:tcPr>
          <w:p>
            <w:pPr>
              <w:pStyle w:val="null3"/>
            </w:pPr>
            <w:r>
              <w:rPr>
                <w:rFonts w:ascii="仿宋_GB2312" w:hAnsi="仿宋_GB2312" w:cs="仿宋_GB2312" w:eastAsia="仿宋_GB2312"/>
              </w:rPr>
              <w:t>符合拟订采购合同文本中的相关约定</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符合采购文件中规定的有效期限</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理解情况</w:t>
            </w:r>
          </w:p>
        </w:tc>
        <w:tc>
          <w:tcPr>
            <w:tcW w:type="dxa" w:w="2492"/>
          </w:tcPr>
          <w:p>
            <w:pPr>
              <w:pStyle w:val="null3"/>
            </w:pPr>
            <w:r>
              <w:rPr>
                <w:rFonts w:ascii="仿宋_GB2312" w:hAnsi="仿宋_GB2312" w:cs="仿宋_GB2312" w:eastAsia="仿宋_GB2312"/>
              </w:rPr>
              <w:t>根据对项目的理解情况，主要包括①工作背景、②形势分析、③总体思路、④工作依据的响应程度。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重点、难点</w:t>
            </w:r>
          </w:p>
        </w:tc>
        <w:tc>
          <w:tcPr>
            <w:tcW w:type="dxa" w:w="2492"/>
          </w:tcPr>
          <w:p>
            <w:pPr>
              <w:pStyle w:val="null3"/>
            </w:pPr>
            <w:r>
              <w:rPr>
                <w:rFonts w:ascii="仿宋_GB2312" w:hAnsi="仿宋_GB2312" w:cs="仿宋_GB2312" w:eastAsia="仿宋_GB2312"/>
              </w:rPr>
              <w:t>根据对项目的①重点、难点分析和②问题解决对策的响应程度。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根据实施方案的①实施思路、②实施方法、③技术依据、④检测检验设备配备、⑤应急处理的响应程度。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服务质量措施</w:t>
            </w:r>
          </w:p>
        </w:tc>
        <w:tc>
          <w:tcPr>
            <w:tcW w:type="dxa" w:w="2492"/>
          </w:tcPr>
          <w:p>
            <w:pPr>
              <w:pStyle w:val="null3"/>
            </w:pPr>
            <w:r>
              <w:rPr>
                <w:rFonts w:ascii="仿宋_GB2312" w:hAnsi="仿宋_GB2312" w:cs="仿宋_GB2312" w:eastAsia="仿宋_GB2312"/>
              </w:rPr>
              <w:t>根据对服务质量的①质量保证措施、②内部管理措施、③风险控制、④完成时效的响应程度。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成本控制和合理化建议</w:t>
            </w:r>
          </w:p>
        </w:tc>
        <w:tc>
          <w:tcPr>
            <w:tcW w:type="dxa" w:w="2492"/>
          </w:tcPr>
          <w:p>
            <w:pPr>
              <w:pStyle w:val="null3"/>
            </w:pPr>
            <w:r>
              <w:rPr>
                <w:rFonts w:ascii="仿宋_GB2312" w:hAnsi="仿宋_GB2312" w:cs="仿宋_GB2312" w:eastAsia="仿宋_GB2312"/>
              </w:rPr>
              <w:t>根据对服务过程中的①成本控制措施和②有利于采购人的合理化建议的响应程度。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廉洁、保密</w:t>
            </w:r>
          </w:p>
        </w:tc>
        <w:tc>
          <w:tcPr>
            <w:tcW w:type="dxa" w:w="2492"/>
          </w:tcPr>
          <w:p>
            <w:pPr>
              <w:pStyle w:val="null3"/>
            </w:pPr>
            <w:r>
              <w:rPr>
                <w:rFonts w:ascii="仿宋_GB2312" w:hAnsi="仿宋_GB2312" w:cs="仿宋_GB2312" w:eastAsia="仿宋_GB2312"/>
              </w:rPr>
              <w:t>根据对服务过程中廉洁、保密制度措施的响应程度。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后续服务</w:t>
            </w:r>
          </w:p>
        </w:tc>
        <w:tc>
          <w:tcPr>
            <w:tcW w:type="dxa" w:w="2492"/>
          </w:tcPr>
          <w:p>
            <w:pPr>
              <w:pStyle w:val="null3"/>
            </w:pPr>
            <w:r>
              <w:rPr>
                <w:rFonts w:ascii="仿宋_GB2312" w:hAnsi="仿宋_GB2312" w:cs="仿宋_GB2312" w:eastAsia="仿宋_GB2312"/>
              </w:rPr>
              <w:t>根据对后续服务的①方案措施和②后期质量保证的响应程度。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①拟派项目负责人持有特种设备无损检测人员证书（Ⅲ级）的得3分，其他情况不得分。 ②拟派项目负责人具有本行业累计工作时间 10年及以上的得3 分；5-10 年（含 5 年）的得 2分；3-5 年 （含 3 年）的得 1 分。 ③拟派项目负责人具有项目相关专业（机械、材料、特种设备）高级工程师及以上职称得2分。 说明：工作时间以人员证书初次取证时间为准。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项目组成人员</w:t>
            </w:r>
          </w:p>
        </w:tc>
        <w:tc>
          <w:tcPr>
            <w:tcW w:type="dxa" w:w="2492"/>
          </w:tcPr>
          <w:p>
            <w:pPr>
              <w:pStyle w:val="null3"/>
            </w:pPr>
            <w:r>
              <w:rPr>
                <w:rFonts w:ascii="仿宋_GB2312" w:hAnsi="仿宋_GB2312" w:cs="仿宋_GB2312" w:eastAsia="仿宋_GB2312"/>
              </w:rPr>
              <w:t>①拟派技术负责人同时持有压力管道检验师和安全管理人员证书（A证）的得 2分，不满足不得分；技术负责人具有项目相关专业（机械、材料、特种设备）高级工程师及以上职称的得2分，不具备不得分，本项最高得4分。 ②拟派检验检测人员中每有 1 人持有特种设备管理人员证（A 证）或中级及以上职称的得1分，最高得3分。 说明：项目组成人员不含项目负责人，成员配备＜10人的不得分，证明材料以人员名单、证书、职称证等相关证明为依据。</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具有2022年1月1日起至今（以合同签订时间为准）供热管道勘察评估（或供热管道定期检验）类项目业绩，业绩以合同扫描件（复印件）为依据；每提供1个业绩得1分，最多得5分。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供应商的价格分，按照财政部财库〔2014〕214号文件第二十四条和 财库〔2020〕46号文件的规定，采用低价优先法计算，以本次满足磋商文件要求的最低最后磋商报价为磋商基准价，其磋商报价为满分。供应商的磋商报价得分，统一按照下列公式计算：磋商报价得分=（磋商基准价／最后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详见附件：商务、技术文件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