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版本号：SXLX25-01-065Z(F)20250801001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雁塔区2026年庭院燃气管道老化更新改造项目管勘评估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SXLX25-01-065Z(F)</w:t>
      </w:r>
      <w:r>
        <w:br/>
      </w:r>
      <w:r>
        <w:br/>
      </w:r>
      <w:r>
        <w:br/>
      </w:r>
    </w:p>
    <w:p>
      <w:pPr>
        <w:pStyle w:val="null3"/>
        <w:jc w:val="center"/>
        <w:outlineLvl w:val="2"/>
      </w:pPr>
      <w:r>
        <w:rPr>
          <w:rFonts w:ascii="仿宋_GB2312" w:hAnsi="仿宋_GB2312" w:cs="仿宋_GB2312" w:eastAsia="仿宋_GB2312"/>
          <w:sz w:val="28"/>
          <w:b/>
        </w:rPr>
        <w:t>西安市雁塔区城市管理和综合执法局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西安市雁塔区城市管理和综合执法局</w:t>
      </w:r>
      <w:r>
        <w:rPr>
          <w:rFonts w:ascii="仿宋_GB2312" w:hAnsi="仿宋_GB2312" w:cs="仿宋_GB2312" w:eastAsia="仿宋_GB2312"/>
        </w:rPr>
        <w:t>委托，拟对</w:t>
      </w:r>
      <w:r>
        <w:rPr>
          <w:rFonts w:ascii="仿宋_GB2312" w:hAnsi="仿宋_GB2312" w:cs="仿宋_GB2312" w:eastAsia="仿宋_GB2312"/>
        </w:rPr>
        <w:t>雁塔区2026年庭院燃气管道老化更新改造项目管勘评估</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SXLX25-01-065Z(F)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雁塔区2026年庭院燃气管道老化更新改造项目管勘评估</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区域划分的责任范围，对约62个小区的庭院燃气管道、户外立管（含引入管、水平干管）以及用户户外设施（镀锌管、电磁阀、泄漏报警器、自闭阀以及连接软管）的更新改造设施设备进行检测，并出具评估报告；配合并促进采购人完成2026年雁塔区庭院燃气管道老化更新改造目标；各项服务标准符合国家、省、市（行业）强制性标准及采购人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采购包1（雁塔区2026年庭院燃气管道老化更新改造项目管勘评估）：属于专门面向小微企业采购。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1、供应商资质要求：供应商具有有效的《中华人民共和国特种设备检验检测机构核准证》（综合检验机构甲类）核准项目至少包含DD2、DD3，且具有无损检测资质常规四项CG和辐射安全许可证</w:t>
      </w:r>
    </w:p>
    <w:p>
      <w:pPr>
        <w:pStyle w:val="null3"/>
      </w:pPr>
      <w:r>
        <w:rPr>
          <w:rFonts w:ascii="仿宋_GB2312" w:hAnsi="仿宋_GB2312" w:cs="仿宋_GB2312" w:eastAsia="仿宋_GB2312"/>
        </w:rPr>
        <w:t>2、拟派项目负责人资格要求：拟派项目负责人具有有效的压力管道检验师证书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西安市雁塔区东仪路3号东仪厂院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杨兆龙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029-83693221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的通知》（计价格〔2002〕1980号）和《关于招标代理服务收费有关问题的通知》（发改办价格〔2003〕857号）文件规定的标准收取，此服务费应计入响应报价中，但不需要单独开列，具体收费金额将在成交公告中公布。 请将采购代理服务费汇至下列指定账户： 开户名称：陕西隆信项目管理有限公司 开 户 行：招商银行股份有限公司西安土门支行 账 号：129904064810902 财务部电话：029-88489979-8501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西安市雁塔区城市管理和综合执法局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联系人：任甜、郑婧婧、杜航、李亚男、袁歆雨、刘晶</w:t>
      </w:r>
    </w:p>
    <w:p>
      <w:pPr>
        <w:pStyle w:val="null3"/>
      </w:pPr>
      <w:r>
        <w:rPr>
          <w:rFonts w:ascii="仿宋_GB2312" w:hAnsi="仿宋_GB2312" w:cs="仿宋_GB2312" w:eastAsia="仿宋_GB2312"/>
        </w:rPr>
        <w:t>联系电话：029-88489979-8106</w:t>
      </w:r>
    </w:p>
    <w:p>
      <w:pPr>
        <w:pStyle w:val="null3"/>
      </w:pPr>
      <w:r>
        <w:rPr>
          <w:rFonts w:ascii="仿宋_GB2312" w:hAnsi="仿宋_GB2312" w:cs="仿宋_GB2312" w:eastAsia="仿宋_GB2312"/>
        </w:rPr>
        <w:t>地址：西安市雁塔区雁翔路111号赛格·中京坊6幢1单元2层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区域划分的责任范围，对约62个小区的庭院燃气管道、户外立管（含引入管、水平干管）以及用户户外设施（镀锌管、电磁阀、泄漏报警器、自闭阀以及连接软管）的更新改造设施设备进行检测，并出具评估报告；配合并促进采购人完成2026年雁塔区庭院燃气管道老化更新改造目标；各项服务标准符合国家、省、市（行业）强制性标准及采购人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710,000.00</w:t>
      </w:r>
    </w:p>
    <w:p>
      <w:pPr>
        <w:pStyle w:val="null3"/>
      </w:pPr>
      <w:r>
        <w:rPr>
          <w:rFonts w:ascii="仿宋_GB2312" w:hAnsi="仿宋_GB2312" w:cs="仿宋_GB2312" w:eastAsia="仿宋_GB2312"/>
        </w:rPr>
        <w:t>采购包最高限价（元）: 710,000.00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雁塔区2026年庭院燃气管道老化更新改造项目管勘评估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标的名称：雁塔区2026年庭院燃气管道老化更新改造项目管勘评估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02"/>
              <w:jc w:val="both"/>
            </w:pPr>
            <w:r>
              <w:rPr>
                <w:rFonts w:ascii="仿宋_GB2312" w:hAnsi="仿宋_GB2312" w:cs="仿宋_GB2312" w:eastAsia="仿宋_GB2312"/>
                <w:sz w:val="20"/>
                <w:b/>
                <w:color w:val="000000"/>
              </w:rPr>
              <w:t>1.1</w:t>
            </w:r>
            <w:r>
              <w:rPr>
                <w:rFonts w:ascii="仿宋_GB2312" w:hAnsi="仿宋_GB2312" w:cs="仿宋_GB2312" w:eastAsia="仿宋_GB2312"/>
                <w:sz w:val="20"/>
                <w:b/>
                <w:color w:val="000000"/>
              </w:rPr>
              <w:t>检测评估范围</w:t>
            </w:r>
            <w:r>
              <w:rPr>
                <w:rFonts w:ascii="仿宋_GB2312" w:hAnsi="仿宋_GB2312" w:cs="仿宋_GB2312" w:eastAsia="仿宋_GB2312"/>
                <w:sz w:val="20"/>
                <w:b/>
                <w:color w:val="000000"/>
              </w:rPr>
              <w:t>：</w:t>
            </w:r>
            <w:r>
              <w:rPr>
                <w:rFonts w:ascii="仿宋_GB2312" w:hAnsi="仿宋_GB2312" w:cs="仿宋_GB2312" w:eastAsia="仿宋_GB2312"/>
                <w:sz w:val="20"/>
                <w:color w:val="000000"/>
              </w:rPr>
              <w:t>根据区域划分的责任范围，对</w:t>
            </w:r>
            <w:r>
              <w:rPr>
                <w:rFonts w:ascii="仿宋_GB2312" w:hAnsi="仿宋_GB2312" w:cs="仿宋_GB2312" w:eastAsia="仿宋_GB2312"/>
                <w:sz w:val="20"/>
                <w:color w:val="000000"/>
              </w:rPr>
              <w:t>约</w:t>
            </w:r>
            <w:r>
              <w:rPr>
                <w:rFonts w:ascii="仿宋_GB2312" w:hAnsi="仿宋_GB2312" w:cs="仿宋_GB2312" w:eastAsia="仿宋_GB2312"/>
                <w:sz w:val="20"/>
                <w:color w:val="000000"/>
              </w:rPr>
              <w:t>62个小区</w:t>
            </w:r>
            <w:r>
              <w:rPr>
                <w:rFonts w:ascii="仿宋_GB2312" w:hAnsi="仿宋_GB2312" w:cs="仿宋_GB2312" w:eastAsia="仿宋_GB2312"/>
                <w:sz w:val="20"/>
                <w:color w:val="000000"/>
              </w:rPr>
              <w:t>的庭院燃气管道、</w:t>
            </w:r>
            <w:r>
              <w:rPr>
                <w:rFonts w:ascii="仿宋_GB2312" w:hAnsi="仿宋_GB2312" w:cs="仿宋_GB2312" w:eastAsia="仿宋_GB2312"/>
                <w:sz w:val="20"/>
                <w:color w:val="000000"/>
              </w:rPr>
              <w:t>户外</w:t>
            </w:r>
            <w:r>
              <w:rPr>
                <w:rFonts w:ascii="仿宋_GB2312" w:hAnsi="仿宋_GB2312" w:cs="仿宋_GB2312" w:eastAsia="仿宋_GB2312"/>
                <w:sz w:val="20"/>
                <w:color w:val="000000"/>
              </w:rPr>
              <w:t>立管（含引入管、水平干管）以及</w:t>
            </w:r>
            <w:r>
              <w:rPr>
                <w:rFonts w:ascii="仿宋_GB2312" w:hAnsi="仿宋_GB2312" w:cs="仿宋_GB2312" w:eastAsia="仿宋_GB2312"/>
                <w:sz w:val="20"/>
                <w:color w:val="000000"/>
              </w:rPr>
              <w:t>用户户外设施</w:t>
            </w:r>
            <w:r>
              <w:rPr>
                <w:rFonts w:ascii="仿宋_GB2312" w:hAnsi="仿宋_GB2312" w:cs="仿宋_GB2312" w:eastAsia="仿宋_GB2312"/>
                <w:sz w:val="20"/>
                <w:color w:val="000000"/>
              </w:rPr>
              <w:t>（镀锌管、电磁阀、泄漏报警器、自闭阀以及连接软管）的更新改造设施设备进行检测，并出具评估报告；</w:t>
            </w:r>
            <w:r>
              <w:rPr>
                <w:rFonts w:ascii="仿宋_GB2312" w:hAnsi="仿宋_GB2312" w:cs="仿宋_GB2312" w:eastAsia="仿宋_GB2312"/>
                <w:sz w:val="21"/>
                <w:color w:val="000000"/>
              </w:rPr>
              <w:t>配合并促进采购人完成</w:t>
            </w:r>
            <w:r>
              <w:rPr>
                <w:rFonts w:ascii="仿宋_GB2312" w:hAnsi="仿宋_GB2312" w:cs="仿宋_GB2312" w:eastAsia="仿宋_GB2312"/>
                <w:sz w:val="21"/>
                <w:color w:val="000000"/>
              </w:rPr>
              <w:t>2026年雁塔区庭院</w:t>
            </w:r>
            <w:r>
              <w:rPr>
                <w:rFonts w:ascii="仿宋_GB2312" w:hAnsi="仿宋_GB2312" w:cs="仿宋_GB2312" w:eastAsia="仿宋_GB2312"/>
                <w:sz w:val="21"/>
                <w:color w:val="000000"/>
              </w:rPr>
              <w:t>燃气</w:t>
            </w:r>
            <w:r>
              <w:rPr>
                <w:rFonts w:ascii="仿宋_GB2312" w:hAnsi="仿宋_GB2312" w:cs="仿宋_GB2312" w:eastAsia="仿宋_GB2312"/>
                <w:sz w:val="21"/>
                <w:color w:val="000000"/>
              </w:rPr>
              <w:t>管道老化更新改造目标。</w:t>
            </w:r>
          </w:p>
          <w:p>
            <w:pPr>
              <w:pStyle w:val="null3"/>
              <w:ind w:firstLine="602"/>
              <w:jc w:val="both"/>
            </w:pPr>
            <w:r>
              <w:rPr>
                <w:rFonts w:ascii="仿宋_GB2312" w:hAnsi="仿宋_GB2312" w:cs="仿宋_GB2312" w:eastAsia="仿宋_GB2312"/>
                <w:sz w:val="20"/>
                <w:b/>
                <w:color w:val="000000"/>
              </w:rPr>
              <w:t>1.2</w:t>
            </w:r>
            <w:r>
              <w:rPr>
                <w:rFonts w:ascii="仿宋_GB2312" w:hAnsi="仿宋_GB2312" w:cs="仿宋_GB2312" w:eastAsia="仿宋_GB2312"/>
                <w:sz w:val="20"/>
                <w:b/>
                <w:color w:val="000000"/>
              </w:rPr>
              <w:t>检测评估原则</w:t>
            </w:r>
            <w:r>
              <w:rPr>
                <w:rFonts w:ascii="仿宋_GB2312" w:hAnsi="仿宋_GB2312" w:cs="仿宋_GB2312" w:eastAsia="仿宋_GB2312"/>
                <w:sz w:val="20"/>
                <w:b/>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认真贯彻</w:t>
            </w:r>
            <w:r>
              <w:rPr>
                <w:rFonts w:ascii="仿宋_GB2312" w:hAnsi="仿宋_GB2312" w:cs="仿宋_GB2312" w:eastAsia="仿宋_GB2312"/>
                <w:sz w:val="20"/>
                <w:color w:val="000000"/>
              </w:rPr>
              <w:t>国家</w:t>
            </w:r>
            <w:r>
              <w:rPr>
                <w:rFonts w:ascii="仿宋_GB2312" w:hAnsi="仿宋_GB2312" w:cs="仿宋_GB2312" w:eastAsia="仿宋_GB2312"/>
                <w:sz w:val="20"/>
                <w:color w:val="000000"/>
              </w:rPr>
              <w:t>、省、市关于</w:t>
            </w:r>
            <w:r>
              <w:rPr>
                <w:rFonts w:ascii="仿宋_GB2312" w:hAnsi="仿宋_GB2312" w:cs="仿宋_GB2312" w:eastAsia="仿宋_GB2312"/>
                <w:sz w:val="20"/>
                <w:color w:val="000000"/>
              </w:rPr>
              <w:t>“城市燃气管道老化更新改造”工作的方针和政策，符合国家的有关法律、法规、规范、标准及燃气行业相关规范和标准</w:t>
            </w:r>
            <w:r>
              <w:rPr>
                <w:rFonts w:ascii="仿宋_GB2312" w:hAnsi="仿宋_GB2312" w:cs="仿宋_GB2312" w:eastAsia="仿宋_GB2312"/>
                <w:sz w:val="20"/>
                <w:color w:val="000000"/>
              </w:rPr>
              <w:t>；</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列入更新改造范围的燃气管道和设施可以通过维修、补强、部分更新、增设保护措施等进行局部改造，无法通过局部改造保障运行安全的应采取整体更新改造</w:t>
            </w:r>
            <w:r>
              <w:rPr>
                <w:rFonts w:ascii="仿宋_GB2312" w:hAnsi="仿宋_GB2312" w:cs="仿宋_GB2312" w:eastAsia="仿宋_GB2312"/>
                <w:sz w:val="20"/>
                <w:color w:val="000000"/>
              </w:rPr>
              <w:t>；</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存在占压、包裹等运行风险的燃气管道及设施必须改造</w:t>
            </w:r>
            <w:r>
              <w:rPr>
                <w:rFonts w:ascii="仿宋_GB2312" w:hAnsi="仿宋_GB2312" w:cs="仿宋_GB2312" w:eastAsia="仿宋_GB2312"/>
                <w:sz w:val="20"/>
                <w:color w:val="000000"/>
              </w:rPr>
              <w:t>；</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管道为铸铁材料的必须改造为钢质管道或聚乙烯（</w:t>
            </w:r>
            <w:r>
              <w:rPr>
                <w:rFonts w:ascii="仿宋_GB2312" w:hAnsi="仿宋_GB2312" w:cs="仿宋_GB2312" w:eastAsia="仿宋_GB2312"/>
                <w:sz w:val="20"/>
                <w:color w:val="000000"/>
              </w:rPr>
              <w:t>PE）管。中、低压埋地燃气管道尽可能采用聚乙烯（PE）管；中压架空燃气管道应采用无缝钢管；管径DN80及以下螺纹连接的管道推荐采用涂覆管或薄壁不锈钢管；其余低压架空燃气管道采用焊接钢管</w:t>
            </w:r>
            <w:r>
              <w:rPr>
                <w:rFonts w:ascii="仿宋_GB2312" w:hAnsi="仿宋_GB2312" w:cs="仿宋_GB2312" w:eastAsia="仿宋_GB2312"/>
                <w:sz w:val="20"/>
                <w:color w:val="000000"/>
              </w:rPr>
              <w:t>；</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原调压设备存在安全间距不足、不符合现行国家标准、老旧无法维修的必须改造</w:t>
            </w:r>
            <w:r>
              <w:rPr>
                <w:rFonts w:ascii="仿宋_GB2312" w:hAnsi="仿宋_GB2312" w:cs="仿宋_GB2312" w:eastAsia="仿宋_GB2312"/>
                <w:sz w:val="20"/>
                <w:color w:val="000000"/>
              </w:rPr>
              <w:t>；</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庭院内老旧失效、腐蚀严重的阀门必须改造，为便于运行管理、风险管控宜在每栋楼分支管道加装分段阀门</w:t>
            </w:r>
            <w:r>
              <w:rPr>
                <w:rFonts w:ascii="仿宋_GB2312" w:hAnsi="仿宋_GB2312" w:cs="仿宋_GB2312" w:eastAsia="仿宋_GB2312"/>
                <w:sz w:val="20"/>
                <w:color w:val="000000"/>
              </w:rPr>
              <w:t>；</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居民用户户内立管应改造至户外安装，推荐采用涂覆管或薄壁不锈钢管</w:t>
            </w:r>
            <w:r>
              <w:rPr>
                <w:rFonts w:ascii="仿宋_GB2312" w:hAnsi="仿宋_GB2312" w:cs="仿宋_GB2312" w:eastAsia="仿宋_GB2312"/>
                <w:sz w:val="20"/>
                <w:color w:val="000000"/>
              </w:rPr>
              <w:t>；</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更新改造后原有燃气管道应安全置换后拆除，</w:t>
            </w:r>
            <w:r>
              <w:rPr>
                <w:rFonts w:ascii="仿宋_GB2312" w:hAnsi="仿宋_GB2312" w:cs="仿宋_GB2312" w:eastAsia="仿宋_GB2312"/>
                <w:sz w:val="20"/>
                <w:color w:val="000000"/>
              </w:rPr>
              <w:t>确实无法拆除的应采取有效措施确保无安全隐患</w:t>
            </w:r>
            <w:r>
              <w:rPr>
                <w:rFonts w:ascii="仿宋_GB2312" w:hAnsi="仿宋_GB2312" w:cs="仿宋_GB2312" w:eastAsia="仿宋_GB2312"/>
                <w:sz w:val="20"/>
                <w:color w:val="000000"/>
              </w:rPr>
              <w:t>；</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w:t>
            </w:r>
            <w:r>
              <w:rPr>
                <w:rFonts w:ascii="仿宋_GB2312" w:hAnsi="仿宋_GB2312" w:cs="仿宋_GB2312" w:eastAsia="仿宋_GB2312"/>
                <w:sz w:val="20"/>
                <w:color w:val="000000"/>
              </w:rPr>
              <w:t>更新改造后燃气管道及设施的供气规模应不小于原设计供气规模</w:t>
            </w:r>
            <w:r>
              <w:rPr>
                <w:rFonts w:ascii="仿宋_GB2312" w:hAnsi="仿宋_GB2312" w:cs="仿宋_GB2312" w:eastAsia="仿宋_GB2312"/>
                <w:sz w:val="20"/>
                <w:color w:val="000000"/>
              </w:rPr>
              <w:t>；</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10</w:t>
            </w:r>
            <w:r>
              <w:rPr>
                <w:rFonts w:ascii="仿宋_GB2312" w:hAnsi="仿宋_GB2312" w:cs="仿宋_GB2312" w:eastAsia="仿宋_GB2312"/>
                <w:sz w:val="20"/>
                <w:color w:val="000000"/>
              </w:rPr>
              <w:t>）</w:t>
            </w:r>
            <w:r>
              <w:rPr>
                <w:rFonts w:ascii="仿宋_GB2312" w:hAnsi="仿宋_GB2312" w:cs="仿宋_GB2312" w:eastAsia="仿宋_GB2312"/>
                <w:sz w:val="20"/>
                <w:color w:val="000000"/>
              </w:rPr>
              <w:t>位于输配管网末端的调压箱处宜加装压力远传装置。</w:t>
            </w:r>
          </w:p>
          <w:p>
            <w:pPr>
              <w:pStyle w:val="null3"/>
              <w:ind w:firstLine="495"/>
              <w:jc w:val="both"/>
            </w:pPr>
            <w:r>
              <w:rPr>
                <w:rFonts w:ascii="仿宋_GB2312" w:hAnsi="仿宋_GB2312" w:cs="仿宋_GB2312" w:eastAsia="仿宋_GB2312"/>
                <w:sz w:val="20"/>
                <w:b/>
                <w:color w:val="000000"/>
              </w:rPr>
              <w:t>1.3技术要求：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1）检验执行标准及规定（不限于）：</w:t>
            </w:r>
          </w:p>
          <w:p>
            <w:pPr>
              <w:pStyle w:val="null3"/>
              <w:ind w:firstLine="400"/>
              <w:jc w:val="both"/>
            </w:pPr>
            <w:r>
              <w:rPr>
                <w:rFonts w:ascii="仿宋_GB2312" w:hAnsi="仿宋_GB2312" w:cs="仿宋_GB2312" w:eastAsia="仿宋_GB2312"/>
                <w:sz w:val="20"/>
                <w:color w:val="000000"/>
              </w:rPr>
              <w:t>《燃气工程项目规范》</w:t>
            </w:r>
            <w:r>
              <w:rPr>
                <w:rFonts w:ascii="仿宋_GB2312" w:hAnsi="仿宋_GB2312" w:cs="仿宋_GB2312" w:eastAsia="仿宋_GB2312"/>
                <w:sz w:val="20"/>
                <w:color w:val="000000"/>
              </w:rPr>
              <w:t>GB 55009-2021</w:t>
            </w:r>
          </w:p>
          <w:p>
            <w:pPr>
              <w:pStyle w:val="null3"/>
              <w:ind w:firstLine="400"/>
              <w:jc w:val="both"/>
            </w:pPr>
            <w:r>
              <w:rPr>
                <w:rFonts w:ascii="仿宋_GB2312" w:hAnsi="仿宋_GB2312" w:cs="仿宋_GB2312" w:eastAsia="仿宋_GB2312"/>
                <w:sz w:val="20"/>
                <w:color w:val="000000"/>
              </w:rPr>
              <w:t>《城镇燃气设计规范》</w:t>
            </w:r>
            <w:r>
              <w:rPr>
                <w:rFonts w:ascii="仿宋_GB2312" w:hAnsi="仿宋_GB2312" w:cs="仿宋_GB2312" w:eastAsia="仿宋_GB2312"/>
                <w:sz w:val="20"/>
                <w:color w:val="000000"/>
              </w:rPr>
              <w:t>GB 50028-2006（2020年版）</w:t>
            </w:r>
          </w:p>
          <w:p>
            <w:pPr>
              <w:pStyle w:val="null3"/>
              <w:ind w:firstLine="400"/>
              <w:jc w:val="both"/>
            </w:pPr>
            <w:r>
              <w:rPr>
                <w:rFonts w:ascii="仿宋_GB2312" w:hAnsi="仿宋_GB2312" w:cs="仿宋_GB2312" w:eastAsia="仿宋_GB2312"/>
                <w:sz w:val="20"/>
                <w:color w:val="000000"/>
              </w:rPr>
              <w:t>《埋地钢质管道直流干扰防护技术标准》</w:t>
            </w:r>
            <w:r>
              <w:rPr>
                <w:rFonts w:ascii="仿宋_GB2312" w:hAnsi="仿宋_GB2312" w:cs="仿宋_GB2312" w:eastAsia="仿宋_GB2312"/>
                <w:sz w:val="20"/>
                <w:color w:val="000000"/>
              </w:rPr>
              <w:t>GB 50991-2014</w:t>
            </w:r>
          </w:p>
          <w:p>
            <w:pPr>
              <w:pStyle w:val="null3"/>
              <w:ind w:firstLine="400"/>
              <w:jc w:val="both"/>
            </w:pPr>
            <w:r>
              <w:rPr>
                <w:rFonts w:ascii="仿宋_GB2312" w:hAnsi="仿宋_GB2312" w:cs="仿宋_GB2312" w:eastAsia="仿宋_GB2312"/>
                <w:sz w:val="20"/>
                <w:color w:val="000000"/>
              </w:rPr>
              <w:t>《城镇燃气设施运行、维护和抢修安全技术规程》</w:t>
            </w:r>
            <w:r>
              <w:rPr>
                <w:rFonts w:ascii="仿宋_GB2312" w:hAnsi="仿宋_GB2312" w:cs="仿宋_GB2312" w:eastAsia="仿宋_GB2312"/>
                <w:sz w:val="20"/>
                <w:color w:val="000000"/>
              </w:rPr>
              <w:t>CJJ 51-2016</w:t>
            </w:r>
          </w:p>
          <w:p>
            <w:pPr>
              <w:pStyle w:val="null3"/>
              <w:ind w:firstLine="400"/>
              <w:jc w:val="both"/>
            </w:pPr>
            <w:r>
              <w:rPr>
                <w:rFonts w:ascii="仿宋_GB2312" w:hAnsi="仿宋_GB2312" w:cs="仿宋_GB2312" w:eastAsia="仿宋_GB2312"/>
                <w:sz w:val="20"/>
                <w:color w:val="000000"/>
              </w:rPr>
              <w:t>《固定式压力容器安全技术监察规程》</w:t>
            </w:r>
            <w:r>
              <w:rPr>
                <w:rFonts w:ascii="仿宋_GB2312" w:hAnsi="仿宋_GB2312" w:cs="仿宋_GB2312" w:eastAsia="仿宋_GB2312"/>
                <w:sz w:val="20"/>
                <w:color w:val="000000"/>
              </w:rPr>
              <w:t>TSG 21-2016</w:t>
            </w:r>
          </w:p>
          <w:p>
            <w:pPr>
              <w:pStyle w:val="null3"/>
              <w:ind w:firstLine="400"/>
              <w:jc w:val="both"/>
            </w:pPr>
            <w:r>
              <w:rPr>
                <w:rFonts w:ascii="仿宋_GB2312" w:hAnsi="仿宋_GB2312" w:cs="仿宋_GB2312" w:eastAsia="仿宋_GB2312"/>
                <w:sz w:val="20"/>
                <w:color w:val="000000"/>
              </w:rPr>
              <w:t>《压力管道定期检验规则</w:t>
            </w:r>
            <w:r>
              <w:rPr>
                <w:rFonts w:ascii="仿宋_GB2312" w:hAnsi="仿宋_GB2312" w:cs="仿宋_GB2312" w:eastAsia="仿宋_GB2312"/>
                <w:sz w:val="20"/>
                <w:color w:val="000000"/>
              </w:rPr>
              <w:t>-公用管道》TSG D7004-2010</w:t>
            </w:r>
          </w:p>
          <w:p>
            <w:pPr>
              <w:pStyle w:val="null3"/>
              <w:ind w:firstLine="400"/>
              <w:jc w:val="both"/>
            </w:pPr>
            <w:r>
              <w:rPr>
                <w:rFonts w:ascii="仿宋_GB2312" w:hAnsi="仿宋_GB2312" w:cs="仿宋_GB2312" w:eastAsia="仿宋_GB2312"/>
                <w:sz w:val="20"/>
                <w:color w:val="000000"/>
              </w:rPr>
              <w:t>《压力管道定期检验规则</w:t>
            </w:r>
            <w:r>
              <w:rPr>
                <w:rFonts w:ascii="仿宋_GB2312" w:hAnsi="仿宋_GB2312" w:cs="仿宋_GB2312" w:eastAsia="仿宋_GB2312"/>
                <w:sz w:val="20"/>
                <w:color w:val="000000"/>
              </w:rPr>
              <w:t>-工业管道》TSG D7005-2018</w:t>
            </w:r>
          </w:p>
          <w:p>
            <w:pPr>
              <w:pStyle w:val="null3"/>
              <w:ind w:firstLine="400"/>
              <w:jc w:val="both"/>
            </w:pPr>
            <w:r>
              <w:rPr>
                <w:rFonts w:ascii="仿宋_GB2312" w:hAnsi="仿宋_GB2312" w:cs="仿宋_GB2312" w:eastAsia="仿宋_GB2312"/>
                <w:sz w:val="20"/>
                <w:color w:val="000000"/>
              </w:rPr>
              <w:t>《燃气用聚乙烯管道焊接技术规则》</w:t>
            </w:r>
            <w:r>
              <w:rPr>
                <w:rFonts w:ascii="仿宋_GB2312" w:hAnsi="仿宋_GB2312" w:cs="仿宋_GB2312" w:eastAsia="仿宋_GB2312"/>
                <w:sz w:val="20"/>
                <w:color w:val="000000"/>
              </w:rPr>
              <w:t>TSG D2002-2006</w:t>
            </w:r>
          </w:p>
          <w:p>
            <w:pPr>
              <w:pStyle w:val="null3"/>
              <w:ind w:firstLine="400"/>
              <w:jc w:val="both"/>
            </w:pPr>
            <w:r>
              <w:rPr>
                <w:rFonts w:ascii="仿宋_GB2312" w:hAnsi="仿宋_GB2312" w:cs="仿宋_GB2312" w:eastAsia="仿宋_GB2312"/>
                <w:sz w:val="20"/>
                <w:color w:val="000000"/>
              </w:rPr>
              <w:t>《压力管道规范</w:t>
            </w:r>
            <w:r>
              <w:rPr>
                <w:rFonts w:ascii="仿宋_GB2312" w:hAnsi="仿宋_GB2312" w:cs="仿宋_GB2312" w:eastAsia="仿宋_GB2312"/>
                <w:sz w:val="20"/>
                <w:color w:val="000000"/>
              </w:rPr>
              <w:t>公用管道》</w:t>
            </w:r>
            <w:r>
              <w:rPr>
                <w:rFonts w:ascii="仿宋_GB2312" w:hAnsi="仿宋_GB2312" w:cs="仿宋_GB2312" w:eastAsia="仿宋_GB2312"/>
                <w:sz w:val="20"/>
                <w:color w:val="000000"/>
              </w:rPr>
              <w:t>GB/T 38942-2020</w:t>
            </w:r>
          </w:p>
          <w:p>
            <w:pPr>
              <w:pStyle w:val="null3"/>
              <w:ind w:firstLine="400"/>
              <w:jc w:val="both"/>
            </w:pPr>
            <w:r>
              <w:rPr>
                <w:rFonts w:ascii="仿宋_GB2312" w:hAnsi="仿宋_GB2312" w:cs="仿宋_GB2312" w:eastAsia="仿宋_GB2312"/>
                <w:sz w:val="20"/>
                <w:color w:val="000000"/>
              </w:rPr>
              <w:t>《埋地钢制管道腐蚀防护工程检验》</w:t>
            </w:r>
            <w:r>
              <w:rPr>
                <w:rFonts w:ascii="仿宋_GB2312" w:hAnsi="仿宋_GB2312" w:cs="仿宋_GB2312" w:eastAsia="仿宋_GB2312"/>
                <w:sz w:val="20"/>
                <w:color w:val="000000"/>
              </w:rPr>
              <w:t>GB/T 19285-2014</w:t>
            </w:r>
          </w:p>
          <w:p>
            <w:pPr>
              <w:pStyle w:val="null3"/>
              <w:ind w:firstLine="400"/>
              <w:jc w:val="both"/>
            </w:pPr>
            <w:r>
              <w:rPr>
                <w:rFonts w:ascii="仿宋_GB2312" w:hAnsi="仿宋_GB2312" w:cs="仿宋_GB2312" w:eastAsia="仿宋_GB2312"/>
                <w:sz w:val="20"/>
                <w:color w:val="000000"/>
              </w:rPr>
              <w:t>《在用含缺陷压力容器安全评定》</w:t>
            </w:r>
            <w:r>
              <w:rPr>
                <w:rFonts w:ascii="仿宋_GB2312" w:hAnsi="仿宋_GB2312" w:cs="仿宋_GB2312" w:eastAsia="仿宋_GB2312"/>
                <w:sz w:val="20"/>
                <w:color w:val="000000"/>
              </w:rPr>
              <w:t>GB/T 19624-2019</w:t>
            </w:r>
          </w:p>
          <w:p>
            <w:pPr>
              <w:pStyle w:val="null3"/>
              <w:ind w:firstLine="400"/>
              <w:jc w:val="both"/>
            </w:pPr>
            <w:r>
              <w:rPr>
                <w:rFonts w:ascii="仿宋_GB2312" w:hAnsi="仿宋_GB2312" w:cs="仿宋_GB2312" w:eastAsia="仿宋_GB2312"/>
                <w:sz w:val="20"/>
                <w:color w:val="000000"/>
              </w:rPr>
              <w:t>《埋地钢质管道交流干扰防护技术标准》</w:t>
            </w:r>
            <w:r>
              <w:rPr>
                <w:rFonts w:ascii="仿宋_GB2312" w:hAnsi="仿宋_GB2312" w:cs="仿宋_GB2312" w:eastAsia="仿宋_GB2312"/>
                <w:sz w:val="20"/>
                <w:color w:val="000000"/>
              </w:rPr>
              <w:t>GB/T 50698-2011</w:t>
            </w:r>
          </w:p>
          <w:p>
            <w:pPr>
              <w:pStyle w:val="null3"/>
              <w:ind w:firstLine="400"/>
              <w:jc w:val="both"/>
            </w:pPr>
            <w:r>
              <w:rPr>
                <w:rFonts w:ascii="仿宋_GB2312" w:hAnsi="仿宋_GB2312" w:cs="仿宋_GB2312" w:eastAsia="仿宋_GB2312"/>
                <w:sz w:val="20"/>
                <w:color w:val="000000"/>
              </w:rPr>
              <w:t>《埋地钢质管道风险评估方法》</w:t>
            </w:r>
            <w:r>
              <w:rPr>
                <w:rFonts w:ascii="仿宋_GB2312" w:hAnsi="仿宋_GB2312" w:cs="仿宋_GB2312" w:eastAsia="仿宋_GB2312"/>
                <w:sz w:val="20"/>
                <w:color w:val="000000"/>
              </w:rPr>
              <w:t>GB/T 27512-2011</w:t>
            </w:r>
          </w:p>
          <w:p>
            <w:pPr>
              <w:pStyle w:val="null3"/>
              <w:ind w:firstLine="400"/>
              <w:jc w:val="both"/>
            </w:pPr>
            <w:r>
              <w:rPr>
                <w:rFonts w:ascii="仿宋_GB2312" w:hAnsi="仿宋_GB2312" w:cs="仿宋_GB2312" w:eastAsia="仿宋_GB2312"/>
                <w:sz w:val="20"/>
                <w:color w:val="000000"/>
              </w:rPr>
              <w:t>《流体输送用热塑性塑料管道系统耐内压性能的测定》</w:t>
            </w:r>
            <w:r>
              <w:rPr>
                <w:rFonts w:ascii="仿宋_GB2312" w:hAnsi="仿宋_GB2312" w:cs="仿宋_GB2312" w:eastAsia="仿宋_GB2312"/>
                <w:sz w:val="20"/>
                <w:color w:val="000000"/>
              </w:rPr>
              <w:t>GB/T 6111-2018</w:t>
            </w:r>
          </w:p>
          <w:p>
            <w:pPr>
              <w:pStyle w:val="null3"/>
              <w:ind w:firstLine="400"/>
              <w:jc w:val="both"/>
            </w:pPr>
            <w:r>
              <w:rPr>
                <w:rFonts w:ascii="仿宋_GB2312" w:hAnsi="仿宋_GB2312" w:cs="仿宋_GB2312" w:eastAsia="仿宋_GB2312"/>
                <w:sz w:val="20"/>
                <w:color w:val="000000"/>
              </w:rPr>
              <w:t>《热塑性塑料管材拉伸性能测定</w:t>
            </w:r>
            <w:r>
              <w:rPr>
                <w:rFonts w:ascii="仿宋_GB2312" w:hAnsi="仿宋_GB2312" w:cs="仿宋_GB2312" w:eastAsia="仿宋_GB2312"/>
                <w:sz w:val="20"/>
                <w:color w:val="000000"/>
              </w:rPr>
              <w:t>第</w:t>
            </w:r>
            <w:r>
              <w:rPr>
                <w:rFonts w:ascii="仿宋_GB2312" w:hAnsi="仿宋_GB2312" w:cs="仿宋_GB2312" w:eastAsia="仿宋_GB2312"/>
                <w:sz w:val="20"/>
                <w:color w:val="000000"/>
              </w:rPr>
              <w:t>1部分 试验方法总则》GB/T 8804.1-2003</w:t>
            </w:r>
          </w:p>
          <w:p>
            <w:pPr>
              <w:pStyle w:val="null3"/>
              <w:ind w:firstLine="400"/>
              <w:jc w:val="both"/>
            </w:pPr>
            <w:r>
              <w:rPr>
                <w:rFonts w:ascii="仿宋_GB2312" w:hAnsi="仿宋_GB2312" w:cs="仿宋_GB2312" w:eastAsia="仿宋_GB2312"/>
                <w:sz w:val="20"/>
                <w:color w:val="000000"/>
              </w:rPr>
              <w:t>《关于加快推进燃气压力管道安全排查工作的通知》（陕市监发〔</w:t>
            </w:r>
            <w:r>
              <w:rPr>
                <w:rFonts w:ascii="仿宋_GB2312" w:hAnsi="仿宋_GB2312" w:cs="仿宋_GB2312" w:eastAsia="仿宋_GB2312"/>
                <w:sz w:val="20"/>
                <w:color w:val="000000"/>
              </w:rPr>
              <w:t>2022〕141号）等；</w:t>
            </w:r>
          </w:p>
          <w:p>
            <w:pPr>
              <w:pStyle w:val="null3"/>
              <w:ind w:firstLine="400"/>
              <w:jc w:val="both"/>
            </w:pPr>
            <w:r>
              <w:rPr>
                <w:rFonts w:ascii="仿宋_GB2312" w:hAnsi="仿宋_GB2312" w:cs="仿宋_GB2312" w:eastAsia="仿宋_GB2312"/>
                <w:sz w:val="20"/>
                <w:color w:val="000000"/>
              </w:rPr>
              <w:t>《城市燃气管道老化评估工作指南》；</w:t>
            </w:r>
          </w:p>
          <w:p>
            <w:pPr>
              <w:pStyle w:val="null3"/>
              <w:ind w:firstLine="400"/>
              <w:jc w:val="both"/>
            </w:pPr>
            <w:r>
              <w:rPr>
                <w:rFonts w:ascii="仿宋_GB2312" w:hAnsi="仿宋_GB2312" w:cs="仿宋_GB2312" w:eastAsia="仿宋_GB2312"/>
                <w:sz w:val="20"/>
                <w:color w:val="000000"/>
              </w:rPr>
              <w:t>设计、安装等资料文件。</w:t>
            </w:r>
          </w:p>
          <w:p>
            <w:pPr>
              <w:pStyle w:val="null3"/>
              <w:ind w:firstLine="49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2）依据</w:t>
            </w:r>
            <w:r>
              <w:rPr>
                <w:rFonts w:ascii="仿宋_GB2312" w:hAnsi="仿宋_GB2312" w:cs="仿宋_GB2312" w:eastAsia="仿宋_GB2312"/>
                <w:sz w:val="20"/>
                <w:color w:val="000000"/>
              </w:rPr>
              <w:t>《国务院办公厅关于印发城市燃气管道等老化更新改造实施方案（</w:t>
            </w:r>
            <w:r>
              <w:rPr>
                <w:rFonts w:ascii="仿宋_GB2312" w:hAnsi="仿宋_GB2312" w:cs="仿宋_GB2312" w:eastAsia="仿宋_GB2312"/>
                <w:sz w:val="20"/>
                <w:color w:val="000000"/>
              </w:rPr>
              <w:t>2022—2025年）的通知》文件，依据《燃气工程项目规范》《城镇燃气设计规范》《压力管道定期检验规则-公用管道》等标准规范，参照《城市燃气老化评估工作指南》结合</w:t>
            </w:r>
            <w:r>
              <w:rPr>
                <w:rFonts w:ascii="仿宋_GB2312" w:hAnsi="仿宋_GB2312" w:cs="仿宋_GB2312" w:eastAsia="仿宋_GB2312"/>
                <w:sz w:val="20"/>
                <w:color w:val="000000"/>
              </w:rPr>
              <w:t>燃气管道</w:t>
            </w:r>
            <w:r>
              <w:rPr>
                <w:rFonts w:ascii="仿宋_GB2312" w:hAnsi="仿宋_GB2312" w:cs="仿宋_GB2312" w:eastAsia="仿宋_GB2312"/>
                <w:sz w:val="20"/>
                <w:color w:val="000000"/>
              </w:rPr>
              <w:t>改造标准以及</w:t>
            </w:r>
            <w:r>
              <w:rPr>
                <w:rFonts w:ascii="仿宋_GB2312" w:hAnsi="仿宋_GB2312" w:cs="仿宋_GB2312" w:eastAsia="仿宋_GB2312"/>
                <w:sz w:val="20"/>
                <w:color w:val="000000"/>
              </w:rPr>
              <w:t>更新实际需求</w:t>
            </w:r>
            <w:r>
              <w:rPr>
                <w:rFonts w:ascii="仿宋_GB2312" w:hAnsi="仿宋_GB2312" w:cs="仿宋_GB2312" w:eastAsia="仿宋_GB2312"/>
                <w:sz w:val="20"/>
                <w:color w:val="000000"/>
              </w:rPr>
              <w:t>，根据现行规范的要求，对</w:t>
            </w:r>
            <w:r>
              <w:rPr>
                <w:rFonts w:ascii="仿宋_GB2312" w:hAnsi="仿宋_GB2312" w:cs="仿宋_GB2312" w:eastAsia="仿宋_GB2312"/>
                <w:sz w:val="20"/>
                <w:color w:val="000000"/>
              </w:rPr>
              <w:t>燃气</w:t>
            </w:r>
            <w:r>
              <w:rPr>
                <w:rFonts w:ascii="仿宋_GB2312" w:hAnsi="仿宋_GB2312" w:cs="仿宋_GB2312" w:eastAsia="仿宋_GB2312"/>
                <w:sz w:val="20"/>
                <w:color w:val="000000"/>
              </w:rPr>
              <w:t>管道进行更新改造检测，并出具评估报告；</w:t>
            </w:r>
          </w:p>
          <w:p>
            <w:pPr>
              <w:pStyle w:val="null3"/>
              <w:ind w:firstLine="49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具备独立开展燃气管道勘察评估的技术力量和报告编制的领域经验，采取科学、针对性强的勘测方案，按照国家法律、法规的有关规定及操作规程做好项目的实施计划、组织协调、进度控制、难点、重点把握、质量控制、成本控制等全方面工作；</w:t>
            </w:r>
          </w:p>
          <w:p>
            <w:pPr>
              <w:pStyle w:val="null3"/>
              <w:ind w:firstLine="49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国务院、陕西省、西安市等各级政府部门相关文件精神</w:t>
            </w:r>
            <w:r>
              <w:rPr>
                <w:rFonts w:ascii="仿宋_GB2312" w:hAnsi="仿宋_GB2312" w:cs="仿宋_GB2312" w:eastAsia="仿宋_GB2312"/>
                <w:sz w:val="20"/>
                <w:color w:val="000000"/>
              </w:rPr>
              <w:t>。</w:t>
            </w:r>
          </w:p>
          <w:p>
            <w:pPr>
              <w:pStyle w:val="null3"/>
              <w:ind w:firstLine="422"/>
              <w:jc w:val="both"/>
            </w:pPr>
            <w:r>
              <w:rPr>
                <w:rFonts w:ascii="仿宋_GB2312" w:hAnsi="仿宋_GB2312" w:cs="仿宋_GB2312" w:eastAsia="仿宋_GB2312"/>
                <w:sz w:val="20"/>
                <w:b/>
                <w:color w:val="000000"/>
              </w:rPr>
              <w:t>1</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4</w:t>
            </w:r>
            <w:r>
              <w:rPr>
                <w:rFonts w:ascii="仿宋_GB2312" w:hAnsi="仿宋_GB2312" w:cs="仿宋_GB2312" w:eastAsia="仿宋_GB2312"/>
                <w:sz w:val="20"/>
                <w:b/>
                <w:color w:val="000000"/>
              </w:rPr>
              <w:t>进度要求：</w:t>
            </w:r>
            <w:r>
              <w:rPr>
                <w:rFonts w:ascii="仿宋_GB2312" w:hAnsi="仿宋_GB2312" w:cs="仿宋_GB2312" w:eastAsia="仿宋_GB2312"/>
                <w:sz w:val="20"/>
                <w:color w:val="000000"/>
              </w:rPr>
              <w:t>通过采取科学、合理、可行的组织、技术、管理等相关控制措施将项目实施进度控制在采购人所要求的合理时间节点内。</w:t>
            </w:r>
          </w:p>
          <w:p>
            <w:pPr>
              <w:pStyle w:val="null3"/>
              <w:ind w:firstLine="402"/>
              <w:jc w:val="left"/>
            </w:pPr>
            <w:r>
              <w:rPr>
                <w:rFonts w:ascii="仿宋_GB2312" w:hAnsi="仿宋_GB2312" w:cs="仿宋_GB2312" w:eastAsia="仿宋_GB2312"/>
                <w:sz w:val="20"/>
                <w:b/>
                <w:color w:val="000000"/>
              </w:rPr>
              <w:t>1.5</w:t>
            </w:r>
            <w:r>
              <w:rPr>
                <w:rFonts w:ascii="仿宋_GB2312" w:hAnsi="仿宋_GB2312" w:cs="仿宋_GB2312" w:eastAsia="仿宋_GB2312"/>
                <w:sz w:val="20"/>
                <w:b/>
                <w:color w:val="000000"/>
              </w:rPr>
              <w:t>服务要求：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1）服务方须指派专属人员与采购人联系服务事宜，服务响应时间应根据采购人实际安排随时调整。</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2）所有服务方式均为服务方上门服务，即由服务方派员到服务现场，项目实行包工包料、包组织、包服务，由此产生的一切费用均由服务方承担。</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3）服务方需根据服务实际情况编制服务方案，服务计划、进度安排</w:t>
            </w:r>
            <w:r>
              <w:rPr>
                <w:rFonts w:ascii="仿宋_GB2312" w:hAnsi="仿宋_GB2312" w:cs="仿宋_GB2312" w:eastAsia="仿宋_GB2312"/>
                <w:sz w:val="20"/>
                <w:color w:val="000000"/>
              </w:rPr>
              <w:t>、</w:t>
            </w:r>
            <w:r>
              <w:rPr>
                <w:rFonts w:ascii="仿宋_GB2312" w:hAnsi="仿宋_GB2312" w:cs="仿宋_GB2312" w:eastAsia="仿宋_GB2312"/>
                <w:sz w:val="20"/>
                <w:color w:val="000000"/>
              </w:rPr>
              <w:t>突发应急</w:t>
            </w:r>
            <w:r>
              <w:rPr>
                <w:rFonts w:ascii="仿宋_GB2312" w:hAnsi="仿宋_GB2312" w:cs="仿宋_GB2312" w:eastAsia="仿宋_GB2312"/>
                <w:sz w:val="20"/>
                <w:color w:val="000000"/>
              </w:rPr>
              <w:t>等方案措施。</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服务方在本项目人员要求技术水平高、组织能力强、有丰富的实践经验，懂管理、善于协调。服务人员中的组织人员、技术人员、监管人员、辅助人员等要求有服务经验或持证上岗；服务队伍稳定，保证整个项目顺利完成，服务方未经采购人同意，不得擅自更换本项目在响应文件中指定的服务队伍。</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5）服务过程中，严格遵守各种管理规定及规章制度，做到</w:t>
            </w:r>
            <w:r>
              <w:rPr>
                <w:rFonts w:ascii="仿宋_GB2312" w:hAnsi="仿宋_GB2312" w:cs="仿宋_GB2312" w:eastAsia="仿宋_GB2312"/>
                <w:sz w:val="20"/>
                <w:color w:val="000000"/>
              </w:rPr>
              <w:t>奉公守法、诚实守信</w:t>
            </w:r>
            <w:r>
              <w:rPr>
                <w:rFonts w:ascii="仿宋_GB2312" w:hAnsi="仿宋_GB2312" w:cs="仿宋_GB2312" w:eastAsia="仿宋_GB2312"/>
                <w:sz w:val="20"/>
                <w:color w:val="000000"/>
              </w:rPr>
              <w:t>、</w:t>
            </w:r>
            <w:r>
              <w:rPr>
                <w:rFonts w:ascii="仿宋_GB2312" w:hAnsi="仿宋_GB2312" w:cs="仿宋_GB2312" w:eastAsia="仿宋_GB2312"/>
                <w:sz w:val="20"/>
                <w:color w:val="000000"/>
              </w:rPr>
              <w:t>廉洁自律、</w:t>
            </w:r>
            <w:r>
              <w:rPr>
                <w:rFonts w:ascii="仿宋_GB2312" w:hAnsi="仿宋_GB2312" w:cs="仿宋_GB2312" w:eastAsia="仿宋_GB2312"/>
                <w:sz w:val="20"/>
                <w:color w:val="000000"/>
              </w:rPr>
              <w:t>安全文明；</w:t>
            </w:r>
            <w:r>
              <w:rPr>
                <w:rFonts w:ascii="仿宋_GB2312" w:hAnsi="仿宋_GB2312" w:cs="仿宋_GB2312" w:eastAsia="仿宋_GB2312"/>
                <w:sz w:val="20"/>
                <w:color w:val="000000"/>
              </w:rPr>
              <w:t>服务过程</w:t>
            </w:r>
            <w:r>
              <w:rPr>
                <w:rFonts w:ascii="仿宋_GB2312" w:hAnsi="仿宋_GB2312" w:cs="仿宋_GB2312" w:eastAsia="仿宋_GB2312"/>
                <w:sz w:val="20"/>
                <w:color w:val="000000"/>
              </w:rPr>
              <w:t>如发生工伤及意外事故由服务方单位负责。</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6）服务方派遣的服务人员对于在工作中获悉的一切政府工作的信息应严格保守秘密</w:t>
            </w:r>
            <w:r>
              <w:rPr>
                <w:rFonts w:ascii="仿宋_GB2312" w:hAnsi="仿宋_GB2312" w:cs="仿宋_GB2312" w:eastAsia="仿宋_GB2312"/>
                <w:sz w:val="20"/>
                <w:color w:val="000000"/>
              </w:rPr>
              <w:t>，</w:t>
            </w:r>
            <w:r>
              <w:rPr>
                <w:rFonts w:ascii="仿宋_GB2312" w:hAnsi="仿宋_GB2312" w:cs="仿宋_GB2312" w:eastAsia="仿宋_GB2312"/>
                <w:sz w:val="20"/>
                <w:color w:val="000000"/>
              </w:rPr>
              <w:t>不得泄露；对于违反者，给采购人单位造成不良社会影响的，或给采购人单位造成损失的，由服务方承担赔偿责任。</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）严格按照国家、陕西省、西安市有关规定及采购人要求进行服务，不得随意更改或者变换服务内容，</w:t>
            </w:r>
            <w:r>
              <w:rPr>
                <w:rFonts w:ascii="仿宋_GB2312" w:hAnsi="仿宋_GB2312" w:cs="仿宋_GB2312" w:eastAsia="仿宋_GB2312"/>
                <w:sz w:val="20"/>
                <w:color w:val="000000"/>
              </w:rPr>
              <w:t>如服务过程中更有利于采购人的合理化建议，</w:t>
            </w:r>
            <w:r>
              <w:rPr>
                <w:rFonts w:ascii="仿宋_GB2312" w:hAnsi="仿宋_GB2312" w:cs="仿宋_GB2312" w:eastAsia="仿宋_GB2312"/>
                <w:sz w:val="20"/>
                <w:color w:val="000000"/>
              </w:rPr>
              <w:t>每项服务内容实施前应事先取得采购人的落实后方可实施</w:t>
            </w:r>
            <w:r>
              <w:rPr>
                <w:rFonts w:ascii="仿宋_GB2312" w:hAnsi="仿宋_GB2312" w:cs="仿宋_GB2312" w:eastAsia="仿宋_GB2312"/>
                <w:sz w:val="20"/>
                <w:color w:val="000000"/>
              </w:rPr>
              <w:t>；</w:t>
            </w:r>
            <w:r>
              <w:rPr>
                <w:rFonts w:ascii="仿宋_GB2312" w:hAnsi="仿宋_GB2312" w:cs="仿宋_GB2312" w:eastAsia="仿宋_GB2312"/>
                <w:sz w:val="20"/>
                <w:color w:val="000000"/>
              </w:rPr>
              <w:t>在保质保量完成服务的前提下做到控制成本。</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）配合促进采购人安排的其他相关工作。</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）服务结束，提供本项目相关所有服务的成果报告及归档资料。</w:t>
            </w:r>
          </w:p>
          <w:p>
            <w:pPr>
              <w:pStyle w:val="null3"/>
              <w:ind w:firstLine="402"/>
              <w:jc w:val="left"/>
            </w:pPr>
            <w:r>
              <w:rPr>
                <w:rFonts w:ascii="仿宋_GB2312" w:hAnsi="仿宋_GB2312" w:cs="仿宋_GB2312" w:eastAsia="仿宋_GB2312"/>
                <w:sz w:val="20"/>
                <w:b/>
                <w:color w:val="000000"/>
              </w:rPr>
              <w:t>1.6</w:t>
            </w:r>
            <w:r>
              <w:rPr>
                <w:rFonts w:ascii="仿宋_GB2312" w:hAnsi="仿宋_GB2312" w:cs="仿宋_GB2312" w:eastAsia="仿宋_GB2312"/>
                <w:sz w:val="20"/>
                <w:b/>
                <w:color w:val="000000"/>
              </w:rPr>
              <w:t>成果要求：</w:t>
            </w:r>
            <w:r>
              <w:rPr>
                <w:rFonts w:ascii="仿宋_GB2312" w:hAnsi="仿宋_GB2312" w:cs="仿宋_GB2312" w:eastAsia="仿宋_GB2312"/>
                <w:sz w:val="20"/>
                <w:color w:val="000000"/>
              </w:rPr>
              <w:t>依照规范标准编制</w:t>
            </w:r>
            <w:r>
              <w:rPr>
                <w:rFonts w:ascii="仿宋_GB2312" w:hAnsi="仿宋_GB2312" w:cs="仿宋_GB2312" w:eastAsia="仿宋_GB2312"/>
                <w:sz w:val="20"/>
                <w:color w:val="000000"/>
              </w:rPr>
              <w:t>检测</w:t>
            </w:r>
            <w:r>
              <w:rPr>
                <w:rFonts w:ascii="仿宋_GB2312" w:hAnsi="仿宋_GB2312" w:cs="仿宋_GB2312" w:eastAsia="仿宋_GB2312"/>
                <w:sz w:val="20"/>
                <w:color w:val="000000"/>
              </w:rPr>
              <w:t>成果</w:t>
            </w:r>
            <w:r>
              <w:rPr>
                <w:rFonts w:ascii="仿宋_GB2312" w:hAnsi="仿宋_GB2312" w:cs="仿宋_GB2312" w:eastAsia="仿宋_GB2312"/>
                <w:sz w:val="20"/>
                <w:color w:val="000000"/>
              </w:rPr>
              <w:t>报告，成果报告</w:t>
            </w:r>
            <w:r>
              <w:rPr>
                <w:rFonts w:ascii="仿宋_GB2312" w:hAnsi="仿宋_GB2312" w:cs="仿宋_GB2312" w:eastAsia="仿宋_GB2312"/>
                <w:sz w:val="20"/>
                <w:color w:val="000000"/>
              </w:rPr>
              <w:t>内容应</w:t>
            </w:r>
            <w:r>
              <w:rPr>
                <w:rFonts w:ascii="仿宋_GB2312" w:hAnsi="仿宋_GB2312" w:cs="仿宋_GB2312" w:eastAsia="仿宋_GB2312"/>
                <w:sz w:val="20"/>
                <w:color w:val="000000"/>
              </w:rPr>
              <w:t>当</w:t>
            </w:r>
            <w:r>
              <w:rPr>
                <w:rFonts w:ascii="仿宋_GB2312" w:hAnsi="仿宋_GB2312" w:cs="仿宋_GB2312" w:eastAsia="仿宋_GB2312"/>
                <w:sz w:val="20"/>
                <w:color w:val="000000"/>
              </w:rPr>
              <w:t>完整真实、科学严谨、思路清晰、具有代表性，符合</w:t>
            </w:r>
            <w:r>
              <w:rPr>
                <w:rFonts w:ascii="仿宋_GB2312" w:hAnsi="仿宋_GB2312" w:cs="仿宋_GB2312" w:eastAsia="仿宋_GB2312"/>
                <w:sz w:val="20"/>
                <w:color w:val="000000"/>
              </w:rPr>
              <w:t>庭院管道改造过程的实际</w:t>
            </w:r>
            <w:r>
              <w:rPr>
                <w:rFonts w:ascii="仿宋_GB2312" w:hAnsi="仿宋_GB2312" w:cs="仿宋_GB2312" w:eastAsia="仿宋_GB2312"/>
                <w:sz w:val="20"/>
                <w:color w:val="000000"/>
              </w:rPr>
              <w:t>现状</w:t>
            </w:r>
            <w:r>
              <w:rPr>
                <w:rFonts w:ascii="仿宋_GB2312" w:hAnsi="仿宋_GB2312" w:cs="仿宋_GB2312" w:eastAsia="仿宋_GB2312"/>
                <w:sz w:val="20"/>
                <w:color w:val="000000"/>
              </w:rPr>
              <w:t>。</w:t>
            </w:r>
          </w:p>
          <w:p>
            <w:pPr>
              <w:pStyle w:val="null3"/>
              <w:ind w:firstLine="402"/>
              <w:jc w:val="left"/>
            </w:pPr>
            <w:r>
              <w:rPr>
                <w:rFonts w:ascii="仿宋_GB2312" w:hAnsi="仿宋_GB2312" w:cs="仿宋_GB2312" w:eastAsia="仿宋_GB2312"/>
                <w:sz w:val="20"/>
                <w:b/>
                <w:color w:val="000000"/>
              </w:rPr>
              <w:t>1.7服务质量：</w:t>
            </w:r>
            <w:r>
              <w:rPr>
                <w:rFonts w:ascii="仿宋_GB2312" w:hAnsi="仿宋_GB2312" w:cs="仿宋_GB2312" w:eastAsia="仿宋_GB2312"/>
                <w:sz w:val="20"/>
                <w:color w:val="000000"/>
              </w:rPr>
              <w:t>（</w:t>
            </w:r>
            <w:r>
              <w:rPr>
                <w:rFonts w:ascii="仿宋_GB2312" w:hAnsi="仿宋_GB2312" w:cs="仿宋_GB2312" w:eastAsia="仿宋_GB2312"/>
                <w:sz w:val="20"/>
                <w:color w:val="000000"/>
              </w:rPr>
              <w:t>1）各项服务符合国家、省、市（行业）强制性标准及采购人要求的合格标准</w:t>
            </w:r>
            <w:r>
              <w:rPr>
                <w:rFonts w:ascii="仿宋_GB2312" w:hAnsi="仿宋_GB2312" w:cs="仿宋_GB2312" w:eastAsia="仿宋_GB2312"/>
                <w:sz w:val="20"/>
                <w:color w:val="000000"/>
              </w:rPr>
              <w:t>。</w:t>
            </w:r>
          </w:p>
          <w:p>
            <w:pPr>
              <w:pStyle w:val="null3"/>
              <w:spacing w:before="105" w:after="105"/>
              <w:ind w:firstLine="402"/>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服务、产品（如有）执行的标准、规范：必须执行国家、行业强制性标准；没有国家、行业强制性标准的按①国家标准、规范→②行业标准、规范→③地方标准、规范→④团体标准、规范→⑤企业标准、规范类推顺序执行；凡涉及的相关规范，国家有最新标准的以最新标准为准，所有标准哪个标准高执行哪个标准</w:t>
            </w:r>
            <w:r>
              <w:rPr>
                <w:rFonts w:ascii="仿宋_GB2312" w:hAnsi="仿宋_GB2312" w:cs="仿宋_GB2312" w:eastAsia="仿宋_GB2312"/>
                <w:sz w:val="20"/>
                <w:color w:val="00000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实施与管理，建立以负责人为核心的项目团队（项目负责人、技术负责人、安全管理人员、检验人员等），相关人员经过严格培训，有相关工作经验，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采购项目特性及要求，自行配置投入履行合同所必需的各类设施设备（不限于专业设备（测厚仪、四合一气体检测仪、磁粉检测仪、超声波检测仪、管道防腐层检测仪、硬度计、射线检测仪等）、辅助设备、工具、软件等）及场所，保证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本项目所属行业为： 其他未列明（从业人员300人以下的为中小微型企业。其中，从业人员100人及以上的为中型企业；从业人员10人及以上的为小型企业；从业人员10人以下的为微型企业）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单位根据有关规范、规定及项目要求对服务进行检查或考核，服务方须接受采购人的各类考核或检查；若验收不通过或服务质量不符合采购要求，服务方应在一定期限内以采购人要求的标准进行整改或进一步完善，并再次进行考核或检查，若服务方在接受检查整改后最终仍未按要求提供符合要求的服务，采购人有权按违约予以撤项，由此产生的一切责任和费用均由服务方承担，具体按照合同相关条款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乙方提交报告正式文本，并协助甲方完成项目评估工作，待财政资金具备支付条件后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的磋商报价是供应商响应磋商项目要求的全部工作内容的价格体现，包括供应商完成本项目所需的直接费用、间接费、利润、税金及其他相关的一切费用；包括但不限于：人工费、服务费、设备使用费、管理费、验收费、采购代理服务费、利润、税金及不可预见费等全部费用；在提供服务的过程中的任何遗漏，均由成交供应商免费提供，采购人将不再支付任何费用。 二、磋商有效期 1.出现特殊情况需要延长磋商有效期的，采购代理机构或采购人可于磋商有效期满之前，以书面形式通知所有供应商延长磋商有效期。 2.在磋商有效期内，供应商撤销响应文件的，应承担磋商文件和法律规定的责任。 3.成交供应商的磋商有效期自动延长至合同终止为止。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2.评审过程中，除符合第1条条款规定情形外，若出现合格供应商少于3家时，采购人应依法重新组织采购活动。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五、文件中签名是指：手写签名或加盖签名章（含电子），盖章是指加盖单位章（含电子）。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（1）《中华人民共和国刑法》第243条【诬告陷害罪】捏造事实诬告陷害他人，意图使他人受到刑事追究，情节严重的，处三年以下有期徒刑、拘役或者管制；造成严重后果的，处三年以上十年以下有期徒刑。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参与本项目的供应商应通过陕西省政府采购综合管理平台的项目电子化交易系统在线实施报名、获取采购文件、响应、报价等操作，供应商无需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公寓A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说明：①供应商需在项目电子化交易系统中按要求填写《响应函》完成承诺并进行电子签章，并按采购文件附件“资格证明文件”中的相关要求提供一套完整的资格证明材料。②根据《中华人民共和国政府采购法》及其实施条例等法律法规的有关规定，本项目资格审查小组由1名采购人代表和2名采购代理机构工作人员组成，采购代理机构项目经理担任资格审查小组组长；资格审查小组依法对供应商的资格进行审查。</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法定代表人（单位负责人）/法定代表人（单位负责人）委托授权书</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提供供应商2023或2024年度经审计的财务会计报告或其在响应文件提交截止时间前3个月内其银行出具的资信证明（附存款账户信息）</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提供供应商自响应文件提交截止时间前1年内已缴纳任意时段完税（任意税种，个人所得税除外）凭证或税务机关开具的完税证明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根据“资格证明文件”中提供的要求和说明，提供符合自身条件且合法有效的税收缴纳证明材料。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提供供应商自响应文件提交截止时间前1年内已缴存的任意时段的社会保障资金缴存单据或社保机构开具的社会保险参保缴费情况证明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根据“资格证明文件”中提供的要求和说明，提供符合自身条件且合法有效的社会保障资金缴纳证明材料。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按采购文件提供的格式提供相关证明。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专门面向小微企业采购，承接服务的供应商应为符合政策要求的小微企业或残疾人福利性单位或监狱企业。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供应商具有有效的《中华人民共和国特种设备检验检测机构核准证》（综合检验机构甲类）核准项目至少包含DD2、DD3，且具有无损检测资质常规四项CG和辐射安全许可证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拟派项目负责人资格要求</w:t>
            </w:r>
          </w:p>
        </w:tc>
        <w:tc>
          <w:tcPr>
            <w:tcW w:type="dxa" w:w="3322"/>
          </w:tcPr>
          <w:p>
            <w:pPr>
              <w:pStyle w:val="null3"/>
            </w:pPr>
            <w:r>
              <w:rPr>
                <w:rFonts w:ascii="仿宋_GB2312" w:hAnsi="仿宋_GB2312" w:cs="仿宋_GB2312" w:eastAsia="仿宋_GB2312"/>
              </w:rPr>
              <w:t>拟派项目负责人具有有效的压力管道检验师证书</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响应文件的签署、盖章及格式</w:t>
            </w:r>
          </w:p>
        </w:tc>
        <w:tc>
          <w:tcPr>
            <w:tcW w:type="dxa" w:w="3322"/>
          </w:tcPr>
          <w:p>
            <w:pPr>
              <w:pStyle w:val="null3"/>
            </w:pPr>
            <w:r>
              <w:rPr>
                <w:rFonts w:ascii="仿宋_GB2312" w:hAnsi="仿宋_GB2312" w:cs="仿宋_GB2312" w:eastAsia="仿宋_GB2312"/>
              </w:rPr>
              <w:t>符合采购文件中有关“响应文件格式”及签署、盖章要求 （注：不得因文件排序、页码、名称统一、序号等非实质性的格式、形式问题及个别遗漏或瑕疵的签署或盖章问题而限制和影响供应商响应）</w:t>
            </w:r>
          </w:p>
        </w:tc>
        <w:tc>
          <w:tcPr>
            <w:tcW w:type="dxa" w:w="1661"/>
          </w:tcPr>
          <w:p>
            <w:pPr>
              <w:pStyle w:val="null3"/>
            </w:pPr>
            <w:r>
              <w:rPr>
                <w:rFonts w:ascii="仿宋_GB2312" w:hAnsi="仿宋_GB2312" w:cs="仿宋_GB2312" w:eastAsia="仿宋_GB2312"/>
              </w:rPr>
              <w:t>响应文件封面 商务、技术文件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只能有一个有效报价，不得提交选择性报价，且报价不超过采购文件中规定的采购预算金额或最高限价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对采购文件的响应程度</w:t>
            </w:r>
          </w:p>
        </w:tc>
        <w:tc>
          <w:tcPr>
            <w:tcW w:type="dxa" w:w="3322"/>
          </w:tcPr>
          <w:p>
            <w:pPr>
              <w:pStyle w:val="null3"/>
            </w:pPr>
            <w:r>
              <w:rPr>
                <w:rFonts w:ascii="仿宋_GB2312" w:hAnsi="仿宋_GB2312" w:cs="仿宋_GB2312" w:eastAsia="仿宋_GB2312"/>
              </w:rPr>
              <w:t>符合采购文件中的实质性条款要求，且未含有采购人不能接受的附加条件</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服务期限、服务地点、服务质量</w:t>
            </w:r>
          </w:p>
        </w:tc>
        <w:tc>
          <w:tcPr>
            <w:tcW w:type="dxa" w:w="3322"/>
          </w:tcPr>
          <w:p>
            <w:pPr>
              <w:pStyle w:val="null3"/>
            </w:pPr>
            <w:r>
              <w:rPr>
                <w:rFonts w:ascii="仿宋_GB2312" w:hAnsi="仿宋_GB2312" w:cs="仿宋_GB2312" w:eastAsia="仿宋_GB2312"/>
              </w:rPr>
              <w:t>符合采购文件中的规定</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符合拟订采购合同文本中的相关约定</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符合采购文件中规定的有效期限</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理解情况</w:t>
            </w:r>
          </w:p>
        </w:tc>
        <w:tc>
          <w:tcPr>
            <w:tcW w:type="dxa" w:w="2492"/>
          </w:tcPr>
          <w:p>
            <w:pPr>
              <w:pStyle w:val="null3"/>
            </w:pPr>
            <w:r>
              <w:rPr>
                <w:rFonts w:ascii="仿宋_GB2312" w:hAnsi="仿宋_GB2312" w:cs="仿宋_GB2312" w:eastAsia="仿宋_GB2312"/>
              </w:rPr>
              <w:t>根据对项目的理解情况，主要包括①工作背景、②形势分析、③总体思路、④工作依据的响应程度。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重点、难点</w:t>
            </w:r>
          </w:p>
        </w:tc>
        <w:tc>
          <w:tcPr>
            <w:tcW w:type="dxa" w:w="2492"/>
          </w:tcPr>
          <w:p>
            <w:pPr>
              <w:pStyle w:val="null3"/>
            </w:pPr>
            <w:r>
              <w:rPr>
                <w:rFonts w:ascii="仿宋_GB2312" w:hAnsi="仿宋_GB2312" w:cs="仿宋_GB2312" w:eastAsia="仿宋_GB2312"/>
              </w:rPr>
              <w:t>根据对项目的①重点、难点分析和②问题解决对策的响应程度。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根据实施方案的①实施思路、②实施方法、③技术依据、④检测检验设备配备、⑤应急处理的响应程度。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服务质量措施</w:t>
            </w:r>
          </w:p>
        </w:tc>
        <w:tc>
          <w:tcPr>
            <w:tcW w:type="dxa" w:w="2492"/>
          </w:tcPr>
          <w:p>
            <w:pPr>
              <w:pStyle w:val="null3"/>
            </w:pPr>
            <w:r>
              <w:rPr>
                <w:rFonts w:ascii="仿宋_GB2312" w:hAnsi="仿宋_GB2312" w:cs="仿宋_GB2312" w:eastAsia="仿宋_GB2312"/>
              </w:rPr>
              <w:t>根据对服务质量的①质量保证措施、②内部管理措施、③风险控制、④完成时效的响应程度。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成本控制和合理化建议</w:t>
            </w:r>
          </w:p>
        </w:tc>
        <w:tc>
          <w:tcPr>
            <w:tcW w:type="dxa" w:w="2492"/>
          </w:tcPr>
          <w:p>
            <w:pPr>
              <w:pStyle w:val="null3"/>
            </w:pPr>
            <w:r>
              <w:rPr>
                <w:rFonts w:ascii="仿宋_GB2312" w:hAnsi="仿宋_GB2312" w:cs="仿宋_GB2312" w:eastAsia="仿宋_GB2312"/>
              </w:rPr>
              <w:t>根据对服务过程中的①成本控制措施和②有利于采购人的合理化建议的响应程度。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廉洁、保密</w:t>
            </w:r>
          </w:p>
        </w:tc>
        <w:tc>
          <w:tcPr>
            <w:tcW w:type="dxa" w:w="2492"/>
          </w:tcPr>
          <w:p>
            <w:pPr>
              <w:pStyle w:val="null3"/>
            </w:pPr>
            <w:r>
              <w:rPr>
                <w:rFonts w:ascii="仿宋_GB2312" w:hAnsi="仿宋_GB2312" w:cs="仿宋_GB2312" w:eastAsia="仿宋_GB2312"/>
              </w:rPr>
              <w:t>根据对服务过程中廉洁、保密制度措施的响应程度。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根据对后续服务的①方案措施和②后期质量保证的响应程度。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①拟派项目负责人持有特种设备无损检测人员证书（Ⅲ级）的得3分，其他情况不得分。 ②拟派项目负责人具有本行业累计工作时间 10年及以上的得3 分；5-10 年（含 5 年）得 2分；3-5 年 （含 3 年）得 1 分。 ③拟派项目负责人具有项目相关专业（机械、材料、特种设备）高级工程师及以上职称得2分。 说明：工作时间以人员证书初次取证时间为准。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项目组成人员</w:t>
            </w:r>
          </w:p>
        </w:tc>
        <w:tc>
          <w:tcPr>
            <w:tcW w:type="dxa" w:w="2492"/>
          </w:tcPr>
          <w:p>
            <w:pPr>
              <w:pStyle w:val="null3"/>
            </w:pPr>
            <w:r>
              <w:rPr>
                <w:rFonts w:ascii="仿宋_GB2312" w:hAnsi="仿宋_GB2312" w:cs="仿宋_GB2312" w:eastAsia="仿宋_GB2312"/>
              </w:rPr>
              <w:t>①拟派技术负责人同时持有压力管道检验师和安全管理人员证书（A证）的得 2分，不满足不得分；技术负责人具有项目相关专业（机械、材料、特种设备）高级工程师及以上职称的得2分，不具备不得分，最高得4分。 ②拟派检验检测人员中每有 1 人持有特种设备管理人员证（A 证）或中级及以上职称的得1分，最高得3分。 说明：项目组成人员不含项目负责人，成员配备＜10人的不得分，证明材料以人员名单、证书、职称证等相关证明为依据。</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具有2022年1月1日起至今（以合同签订时间为准）燃气管道勘察评估（或燃气管道定期检验）类项目业绩，业绩以合同扫描件（复印件）为依据；每提供1个业绩得1分，最多得5分。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