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9C425">
      <w:pPr>
        <w:tabs>
          <w:tab w:val="left" w:pos="4620"/>
          <w:tab w:val="left" w:pos="5145"/>
        </w:tabs>
        <w:spacing w:line="800" w:lineRule="exact"/>
        <w:ind w:firstLine="151" w:firstLineChars="50"/>
        <w:rPr>
          <w:rFonts w:hint="default" w:ascii="宋体" w:hAnsi="宋体" w:eastAsia="宋体" w:cs="宋体"/>
          <w:b/>
          <w:color w:val="000000"/>
          <w:sz w:val="28"/>
          <w:szCs w:val="28"/>
          <w:lang w:val="en-US" w:eastAsia="zh-CN"/>
        </w:rPr>
      </w:pPr>
      <w:r>
        <w:rPr>
          <w:rFonts w:hint="eastAsia" w:ascii="宋体" w:hAnsi="宋体" w:cs="宋体"/>
          <w:b/>
          <w:color w:val="000000"/>
          <w:sz w:val="30"/>
          <w:szCs w:val="30"/>
        </w:rPr>
        <w:t>项目编号</w:t>
      </w:r>
      <w:r>
        <w:rPr>
          <w:rFonts w:hint="eastAsia" w:ascii="宋体" w:hAnsi="宋体" w:cs="宋体"/>
          <w:b/>
          <w:color w:val="000000"/>
          <w:sz w:val="30"/>
          <w:szCs w:val="30"/>
          <w:lang w:eastAsia="zh-CN"/>
        </w:rPr>
        <w:t>：HSGJ202</w:t>
      </w:r>
      <w:r>
        <w:rPr>
          <w:rFonts w:hint="eastAsia" w:ascii="宋体" w:hAnsi="宋体" w:cs="宋体"/>
          <w:b/>
          <w:color w:val="000000"/>
          <w:sz w:val="30"/>
          <w:szCs w:val="30"/>
          <w:lang w:val="en-US" w:eastAsia="zh-CN"/>
        </w:rPr>
        <w:t>5-181</w:t>
      </w:r>
    </w:p>
    <w:p w14:paraId="64DE798D">
      <w:pPr>
        <w:tabs>
          <w:tab w:val="left" w:pos="5145"/>
        </w:tabs>
        <w:spacing w:line="800" w:lineRule="atLeast"/>
        <w:rPr>
          <w:rFonts w:ascii="宋体" w:hAnsi="宋体" w:cs="宋体"/>
          <w:b/>
          <w:bCs/>
          <w:color w:val="000000"/>
          <w:sz w:val="56"/>
          <w:szCs w:val="48"/>
        </w:rPr>
      </w:pPr>
    </w:p>
    <w:p w14:paraId="7BBDCD4E">
      <w:pPr>
        <w:bidi w:val="0"/>
      </w:pPr>
    </w:p>
    <w:p w14:paraId="4030A18B">
      <w:pPr>
        <w:pStyle w:val="2"/>
      </w:pPr>
    </w:p>
    <w:p w14:paraId="61C69CCD">
      <w:pPr>
        <w:pStyle w:val="2"/>
      </w:pPr>
    </w:p>
    <w:p w14:paraId="61A510D3">
      <w:pPr>
        <w:tabs>
          <w:tab w:val="left" w:pos="5145"/>
        </w:tabs>
        <w:spacing w:line="360" w:lineRule="auto"/>
        <w:jc w:val="center"/>
        <w:rPr>
          <w:rFonts w:ascii="宋体" w:hAnsi="宋体" w:cs="宋体"/>
          <w:b/>
          <w:bCs/>
          <w:color w:val="000000"/>
          <w:sz w:val="60"/>
          <w:szCs w:val="52"/>
        </w:rPr>
      </w:pPr>
      <w:r>
        <w:rPr>
          <w:rFonts w:hint="eastAsia" w:ascii="宋体" w:hAnsi="宋体" w:cs="宋体"/>
          <w:b/>
          <w:bCs/>
          <w:color w:val="000000"/>
          <w:sz w:val="60"/>
          <w:szCs w:val="52"/>
        </w:rPr>
        <w:t>陕西省公安厅寄递物流业治安管理信息系统运维项目</w:t>
      </w:r>
    </w:p>
    <w:p w14:paraId="58A5260B">
      <w:pPr>
        <w:pStyle w:val="10"/>
      </w:pPr>
    </w:p>
    <w:p w14:paraId="58E6D585">
      <w:pPr>
        <w:pStyle w:val="10"/>
      </w:pPr>
    </w:p>
    <w:p w14:paraId="65B95C45">
      <w:pPr>
        <w:tabs>
          <w:tab w:val="left" w:pos="5145"/>
        </w:tabs>
        <w:spacing w:line="1400" w:lineRule="atLeast"/>
        <w:jc w:val="center"/>
        <w:rPr>
          <w:rFonts w:ascii="宋体" w:hAnsi="宋体" w:cs="宋体"/>
        </w:rPr>
      </w:pPr>
      <w:r>
        <w:rPr>
          <w:rFonts w:hint="eastAsia" w:ascii="宋体" w:hAnsi="宋体" w:cs="宋体"/>
          <w:b/>
          <w:bCs/>
          <w:color w:val="000000"/>
          <w:sz w:val="64"/>
          <w:szCs w:val="56"/>
        </w:rPr>
        <w:t>竞争性磋商文件</w:t>
      </w:r>
    </w:p>
    <w:p w14:paraId="4B9ECB5B">
      <w:pPr>
        <w:tabs>
          <w:tab w:val="left" w:pos="5145"/>
        </w:tabs>
        <w:jc w:val="center"/>
        <w:rPr>
          <w:rFonts w:ascii="宋体" w:hAnsi="宋体" w:cs="宋体"/>
          <w:color w:val="000000"/>
          <w:sz w:val="24"/>
        </w:rPr>
      </w:pPr>
    </w:p>
    <w:p w14:paraId="5ABBF197">
      <w:pPr>
        <w:tabs>
          <w:tab w:val="left" w:pos="5145"/>
        </w:tabs>
        <w:jc w:val="center"/>
        <w:rPr>
          <w:rFonts w:ascii="宋体" w:hAnsi="宋体" w:cs="宋体"/>
          <w:b/>
          <w:bCs/>
          <w:color w:val="000000"/>
          <w:sz w:val="28"/>
          <w:szCs w:val="28"/>
        </w:rPr>
      </w:pPr>
    </w:p>
    <w:p w14:paraId="35AB2109">
      <w:pPr>
        <w:pStyle w:val="10"/>
        <w:ind w:left="0" w:leftChars="0" w:firstLine="0" w:firstLineChars="0"/>
      </w:pPr>
    </w:p>
    <w:p w14:paraId="484C3604">
      <w:pPr>
        <w:snapToGrid w:val="0"/>
        <w:spacing w:line="660" w:lineRule="exact"/>
        <w:rPr>
          <w:rFonts w:ascii="宋体" w:hAnsi="宋体" w:cs="宋体"/>
          <w:b/>
          <w:color w:val="000000"/>
          <w:sz w:val="32"/>
        </w:rPr>
      </w:pPr>
    </w:p>
    <w:p w14:paraId="0833204C">
      <w:pPr>
        <w:pStyle w:val="2"/>
      </w:pPr>
    </w:p>
    <w:p w14:paraId="6F56E400"/>
    <w:p w14:paraId="15CA8150">
      <w:pPr>
        <w:snapToGrid w:val="0"/>
        <w:spacing w:line="800" w:lineRule="exact"/>
        <w:ind w:firstLine="1706" w:firstLineChars="531"/>
        <w:rPr>
          <w:rFonts w:ascii="宋体" w:hAnsi="宋体" w:cs="宋体"/>
          <w:b/>
          <w:color w:val="000000"/>
          <w:sz w:val="32"/>
        </w:rPr>
      </w:pPr>
      <w:r>
        <w:rPr>
          <w:rFonts w:hint="eastAsia" w:ascii="宋体" w:hAnsi="宋体" w:cs="宋体"/>
          <w:b/>
          <w:color w:val="000000"/>
          <w:sz w:val="32"/>
        </w:rPr>
        <w:t>采   购   人：陕西省公安厅</w:t>
      </w:r>
    </w:p>
    <w:p w14:paraId="1808C99B">
      <w:pPr>
        <w:snapToGrid w:val="0"/>
        <w:spacing w:line="800" w:lineRule="exact"/>
        <w:ind w:firstLine="1706" w:firstLineChars="531"/>
        <w:rPr>
          <w:rFonts w:ascii="宋体" w:hAnsi="宋体" w:cs="宋体"/>
          <w:b/>
          <w:color w:val="000000"/>
          <w:sz w:val="32"/>
        </w:rPr>
      </w:pPr>
      <w:r>
        <w:rPr>
          <w:rFonts w:hint="eastAsia" w:ascii="宋体" w:hAnsi="宋体" w:cs="宋体"/>
          <w:b/>
          <w:color w:val="000000"/>
          <w:sz w:val="32"/>
        </w:rPr>
        <w:t>采购代理机构：华晟国际项目管理有限公司</w:t>
      </w:r>
    </w:p>
    <w:p w14:paraId="249273FA">
      <w:pPr>
        <w:snapToGrid w:val="0"/>
        <w:spacing w:line="800" w:lineRule="exact"/>
        <w:ind w:firstLine="1706" w:firstLineChars="531"/>
        <w:rPr>
          <w:rFonts w:ascii="宋体" w:hAnsi="宋体" w:cs="宋体"/>
          <w:b/>
          <w:color w:val="000000"/>
          <w:sz w:val="32"/>
        </w:rPr>
      </w:pPr>
      <w:r>
        <w:rPr>
          <w:rFonts w:hint="eastAsia" w:ascii="宋体" w:hAnsi="宋体" w:cs="宋体"/>
          <w:b/>
          <w:color w:val="000000"/>
          <w:sz w:val="32"/>
        </w:rPr>
        <w:t>日        期：二〇二</w:t>
      </w:r>
      <w:r>
        <w:rPr>
          <w:rFonts w:hint="eastAsia" w:ascii="宋体" w:hAnsi="宋体" w:cs="宋体"/>
          <w:b/>
          <w:color w:val="000000"/>
          <w:sz w:val="32"/>
          <w:lang w:val="en-US" w:eastAsia="zh-CN"/>
        </w:rPr>
        <w:t>五</w:t>
      </w:r>
      <w:r>
        <w:rPr>
          <w:rFonts w:hint="eastAsia" w:ascii="宋体" w:hAnsi="宋体" w:cs="宋体"/>
          <w:b/>
          <w:color w:val="000000"/>
          <w:sz w:val="32"/>
        </w:rPr>
        <w:t>年</w:t>
      </w:r>
      <w:r>
        <w:rPr>
          <w:rFonts w:hint="eastAsia" w:ascii="宋体" w:hAnsi="宋体" w:cs="宋体"/>
          <w:b/>
          <w:color w:val="000000"/>
          <w:sz w:val="32"/>
          <w:lang w:val="en-US" w:eastAsia="zh-CN"/>
        </w:rPr>
        <w:t>八</w:t>
      </w:r>
      <w:r>
        <w:rPr>
          <w:rFonts w:hint="eastAsia" w:ascii="宋体" w:hAnsi="宋体" w:cs="宋体"/>
          <w:b/>
          <w:color w:val="000000"/>
          <w:sz w:val="32"/>
        </w:rPr>
        <w:t>月</w:t>
      </w:r>
    </w:p>
    <w:p w14:paraId="1EA95FCA">
      <w:pPr>
        <w:jc w:val="center"/>
        <w:rPr>
          <w:rFonts w:ascii="宋体" w:hAnsi="宋体" w:cs="宋体"/>
          <w:b/>
          <w:color w:val="000000"/>
          <w:sz w:val="36"/>
          <w:szCs w:val="36"/>
        </w:rPr>
        <w:sectPr>
          <w:headerReference r:id="rId6" w:type="first"/>
          <w:headerReference r:id="rId5" w:type="default"/>
          <w:footerReference r:id="rId7" w:type="default"/>
          <w:pgSz w:w="11906" w:h="16838"/>
          <w:pgMar w:top="1134" w:right="1417" w:bottom="1134" w:left="1417" w:header="851" w:footer="992" w:gutter="0"/>
          <w:pgBorders>
            <w:top w:val="none" w:sz="0" w:space="0"/>
            <w:left w:val="none" w:sz="0" w:space="0"/>
            <w:bottom w:val="none" w:sz="0" w:space="0"/>
            <w:right w:val="none" w:sz="0" w:space="0"/>
          </w:pgBorders>
          <w:pgNumType w:start="0"/>
          <w:cols w:space="720" w:num="1"/>
          <w:titlePg/>
          <w:docGrid w:linePitch="326" w:charSpace="0"/>
        </w:sectPr>
      </w:pPr>
      <w:bookmarkStart w:id="0" w:name="_Toc328739375"/>
    </w:p>
    <w:p w14:paraId="4D163876">
      <w:pPr>
        <w:jc w:val="center"/>
        <w:rPr>
          <w:rFonts w:ascii="宋体" w:hAnsi="宋体" w:cs="宋体"/>
          <w:b/>
          <w:color w:val="000000"/>
          <w:sz w:val="36"/>
          <w:szCs w:val="36"/>
        </w:rPr>
      </w:pPr>
      <w:r>
        <w:rPr>
          <w:rFonts w:hint="eastAsia" w:ascii="宋体" w:hAnsi="宋体" w:cs="宋体"/>
          <w:b/>
          <w:color w:val="000000"/>
          <w:sz w:val="36"/>
          <w:szCs w:val="36"/>
        </w:rPr>
        <w:t>目  录</w:t>
      </w:r>
      <w:bookmarkEnd w:id="0"/>
    </w:p>
    <w:p w14:paraId="5CF05B9B">
      <w:pPr>
        <w:ind w:firstLine="420"/>
        <w:rPr>
          <w:rFonts w:ascii="宋体" w:hAnsi="宋体" w:cs="宋体"/>
          <w:color w:val="000000"/>
          <w:sz w:val="32"/>
          <w:szCs w:val="32"/>
        </w:rPr>
      </w:pPr>
    </w:p>
    <w:p w14:paraId="471EEA39">
      <w:pPr>
        <w:pStyle w:val="15"/>
        <w:tabs>
          <w:tab w:val="right" w:leader="dot" w:pos="9072"/>
          <w:tab w:val="clear" w:pos="8760"/>
        </w:tabs>
        <w:spacing w:line="480" w:lineRule="auto"/>
        <w:rPr>
          <w:rFonts w:hint="eastAsia" w:ascii="宋体" w:hAnsi="宋体" w:eastAsia="宋体" w:cs="宋体"/>
          <w:b/>
          <w:bCs/>
          <w:sz w:val="32"/>
          <w:szCs w:val="32"/>
        </w:rPr>
      </w:pPr>
      <w:r>
        <w:rPr>
          <w:rFonts w:hint="eastAsia" w:ascii="宋体" w:hAnsi="宋体" w:eastAsia="宋体" w:cs="宋体"/>
          <w:b/>
          <w:bCs/>
          <w:color w:val="000000"/>
          <w:sz w:val="32"/>
          <w:szCs w:val="32"/>
        </w:rPr>
        <w:fldChar w:fldCharType="begin"/>
      </w:r>
      <w:r>
        <w:rPr>
          <w:rFonts w:hint="eastAsia" w:ascii="宋体" w:hAnsi="宋体" w:eastAsia="宋体" w:cs="宋体"/>
          <w:b/>
          <w:bCs/>
          <w:color w:val="000000"/>
          <w:sz w:val="32"/>
          <w:szCs w:val="32"/>
        </w:rPr>
        <w:instrText xml:space="preserve"> TOC \o "1-1" \h \z \u </w:instrText>
      </w:r>
      <w:r>
        <w:rPr>
          <w:rFonts w:hint="eastAsia" w:ascii="宋体" w:hAnsi="宋体" w:eastAsia="宋体" w:cs="宋体"/>
          <w:b/>
          <w:bCs/>
          <w:color w:val="000000"/>
          <w:sz w:val="32"/>
          <w:szCs w:val="32"/>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"_Toc15347" </w:instrText>
      </w:r>
      <w:r>
        <w:rPr>
          <w:rFonts w:hint="eastAsia" w:ascii="宋体" w:hAnsi="宋体" w:eastAsia="宋体" w:cs="宋体"/>
        </w:rPr>
        <w:fldChar w:fldCharType="separate"/>
      </w:r>
      <w:r>
        <w:rPr>
          <w:rFonts w:hint="eastAsia" w:ascii="宋体" w:hAnsi="宋体" w:eastAsia="宋体" w:cs="宋体"/>
          <w:b/>
          <w:bCs/>
          <w:sz w:val="32"/>
          <w:szCs w:val="32"/>
        </w:rPr>
        <w:t>第一部分  竞争性磋商公告</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_Toc15347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1</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49CF8D8A">
      <w:pPr>
        <w:pStyle w:val="15"/>
        <w:tabs>
          <w:tab w:val="right" w:leader="dot" w:pos="9072"/>
          <w:tab w:val="clear" w:pos="8760"/>
        </w:tabs>
        <w:spacing w:line="480" w:lineRule="auto"/>
        <w:rPr>
          <w:rFonts w:hint="eastAsia" w:ascii="宋体" w:hAnsi="宋体" w:eastAsia="宋体" w:cs="宋体"/>
          <w:b/>
          <w:bCs/>
          <w:sz w:val="32"/>
          <w:szCs w:val="32"/>
        </w:rPr>
      </w:pPr>
      <w:r>
        <w:rPr>
          <w:rFonts w:hint="eastAsia" w:ascii="宋体" w:hAnsi="宋体" w:eastAsia="宋体" w:cs="宋体"/>
        </w:rPr>
        <w:fldChar w:fldCharType="begin"/>
      </w:r>
      <w:r>
        <w:rPr>
          <w:rFonts w:hint="eastAsia" w:ascii="宋体" w:hAnsi="宋体" w:eastAsia="宋体" w:cs="宋体"/>
        </w:rPr>
        <w:instrText xml:space="preserve"> HYPERLINK \l "_Toc23776" </w:instrText>
      </w:r>
      <w:r>
        <w:rPr>
          <w:rFonts w:hint="eastAsia" w:ascii="宋体" w:hAnsi="宋体" w:eastAsia="宋体" w:cs="宋体"/>
        </w:rPr>
        <w:fldChar w:fldCharType="separate"/>
      </w:r>
      <w:r>
        <w:rPr>
          <w:rFonts w:hint="eastAsia" w:ascii="宋体" w:hAnsi="宋体" w:eastAsia="宋体" w:cs="宋体"/>
          <w:b/>
          <w:bCs/>
          <w:sz w:val="32"/>
          <w:szCs w:val="32"/>
        </w:rPr>
        <w:t>第二部分  磋商供应商须知</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_Toc23776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1</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74AB3378">
      <w:pPr>
        <w:pStyle w:val="15"/>
        <w:tabs>
          <w:tab w:val="right" w:leader="dot" w:pos="9072"/>
          <w:tab w:val="clear" w:pos="8760"/>
        </w:tabs>
        <w:spacing w:line="480" w:lineRule="auto"/>
        <w:rPr>
          <w:rFonts w:hint="eastAsia" w:ascii="宋体" w:hAnsi="宋体" w:eastAsia="宋体" w:cs="宋体"/>
          <w:b/>
          <w:bCs/>
          <w:sz w:val="32"/>
          <w:szCs w:val="32"/>
        </w:rPr>
      </w:pPr>
      <w:r>
        <w:rPr>
          <w:rFonts w:hint="eastAsia" w:ascii="宋体" w:hAnsi="宋体" w:eastAsia="宋体" w:cs="宋体"/>
        </w:rPr>
        <w:fldChar w:fldCharType="begin"/>
      </w:r>
      <w:r>
        <w:rPr>
          <w:rFonts w:hint="eastAsia" w:ascii="宋体" w:hAnsi="宋体" w:eastAsia="宋体" w:cs="宋体"/>
        </w:rPr>
        <w:instrText xml:space="preserve"> HYPERLINK \l "_Toc31182" </w:instrText>
      </w:r>
      <w:r>
        <w:rPr>
          <w:rFonts w:hint="eastAsia" w:ascii="宋体" w:hAnsi="宋体" w:eastAsia="宋体" w:cs="宋体"/>
        </w:rPr>
        <w:fldChar w:fldCharType="separate"/>
      </w:r>
      <w:r>
        <w:rPr>
          <w:rFonts w:hint="eastAsia" w:ascii="宋体" w:hAnsi="宋体" w:eastAsia="宋体" w:cs="宋体"/>
          <w:b/>
          <w:bCs/>
          <w:sz w:val="32"/>
          <w:szCs w:val="32"/>
        </w:rPr>
        <w:t>第三部分  磋商要求及说明</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_Toc31182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26</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57EA8565">
      <w:pPr>
        <w:pStyle w:val="15"/>
        <w:tabs>
          <w:tab w:val="right" w:leader="dot" w:pos="9072"/>
          <w:tab w:val="clear" w:pos="8760"/>
        </w:tabs>
        <w:spacing w:line="480" w:lineRule="auto"/>
        <w:rPr>
          <w:rFonts w:hint="eastAsia" w:ascii="宋体" w:hAnsi="宋体" w:eastAsia="宋体" w:cs="宋体"/>
          <w:b/>
          <w:bCs/>
          <w:sz w:val="32"/>
          <w:szCs w:val="32"/>
        </w:rPr>
      </w:pPr>
      <w:r>
        <w:rPr>
          <w:rFonts w:hint="eastAsia" w:ascii="宋体" w:hAnsi="宋体" w:eastAsia="宋体" w:cs="宋体"/>
        </w:rPr>
        <w:fldChar w:fldCharType="begin"/>
      </w:r>
      <w:r>
        <w:rPr>
          <w:rFonts w:hint="eastAsia" w:ascii="宋体" w:hAnsi="宋体" w:eastAsia="宋体" w:cs="宋体"/>
        </w:rPr>
        <w:instrText xml:space="preserve"> HYPERLINK \l "_Toc16339" </w:instrText>
      </w:r>
      <w:r>
        <w:rPr>
          <w:rFonts w:hint="eastAsia" w:ascii="宋体" w:hAnsi="宋体" w:eastAsia="宋体" w:cs="宋体"/>
        </w:rPr>
        <w:fldChar w:fldCharType="separate"/>
      </w:r>
      <w:r>
        <w:rPr>
          <w:rFonts w:hint="eastAsia" w:ascii="宋体" w:hAnsi="宋体" w:eastAsia="宋体" w:cs="宋体"/>
          <w:b/>
          <w:bCs/>
          <w:sz w:val="32"/>
          <w:szCs w:val="32"/>
        </w:rPr>
        <w:t>第四部分  商务及合同草案条款</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_Toc16339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35</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1DAAFFFA">
      <w:pPr>
        <w:pStyle w:val="15"/>
        <w:tabs>
          <w:tab w:val="right" w:leader="dot" w:pos="9072"/>
          <w:tab w:val="clear" w:pos="8760"/>
        </w:tabs>
        <w:spacing w:line="480" w:lineRule="auto"/>
        <w:rPr>
          <w:rFonts w:hint="eastAsia" w:ascii="宋体" w:hAnsi="宋体" w:eastAsia="宋体" w:cs="宋体"/>
          <w:b/>
          <w:bCs/>
          <w:sz w:val="32"/>
          <w:szCs w:val="32"/>
        </w:rPr>
      </w:pPr>
      <w:r>
        <w:rPr>
          <w:rFonts w:hint="eastAsia" w:ascii="宋体" w:hAnsi="宋体" w:eastAsia="宋体" w:cs="宋体"/>
        </w:rPr>
        <w:fldChar w:fldCharType="begin"/>
      </w:r>
      <w:r>
        <w:rPr>
          <w:rFonts w:hint="eastAsia" w:ascii="宋体" w:hAnsi="宋体" w:eastAsia="宋体" w:cs="宋体"/>
        </w:rPr>
        <w:instrText xml:space="preserve"> HYPERLINK \l "_Toc907" </w:instrText>
      </w:r>
      <w:r>
        <w:rPr>
          <w:rFonts w:hint="eastAsia" w:ascii="宋体" w:hAnsi="宋体" w:eastAsia="宋体" w:cs="宋体"/>
        </w:rPr>
        <w:fldChar w:fldCharType="separate"/>
      </w:r>
      <w:r>
        <w:rPr>
          <w:rFonts w:hint="eastAsia" w:ascii="宋体" w:hAnsi="宋体" w:eastAsia="宋体" w:cs="宋体"/>
          <w:b/>
          <w:bCs/>
          <w:sz w:val="32"/>
          <w:szCs w:val="32"/>
        </w:rPr>
        <w:t>第五部分  竞争性磋商响应文件格式</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_Toc907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36</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4530E0B0">
      <w:pPr>
        <w:pStyle w:val="15"/>
        <w:tabs>
          <w:tab w:val="right" w:leader="dot" w:pos="9072"/>
          <w:tab w:val="clear" w:pos="8760"/>
        </w:tabs>
        <w:spacing w:line="480" w:lineRule="auto"/>
        <w:rPr>
          <w:rFonts w:hint="eastAsia" w:ascii="宋体" w:hAnsi="宋体" w:eastAsia="宋体" w:cs="宋体"/>
          <w:b/>
          <w:bCs/>
          <w:sz w:val="32"/>
          <w:szCs w:val="32"/>
        </w:rPr>
      </w:pPr>
      <w:r>
        <w:rPr>
          <w:rFonts w:hint="eastAsia" w:ascii="宋体" w:hAnsi="宋体" w:eastAsia="宋体" w:cs="宋体"/>
        </w:rPr>
        <w:fldChar w:fldCharType="begin"/>
      </w:r>
      <w:r>
        <w:rPr>
          <w:rFonts w:hint="eastAsia" w:ascii="宋体" w:hAnsi="宋体" w:eastAsia="宋体" w:cs="宋体"/>
        </w:rPr>
        <w:instrText xml:space="preserve"> HYPERLINK \l "_Toc29306" </w:instrText>
      </w:r>
      <w:r>
        <w:rPr>
          <w:rFonts w:hint="eastAsia" w:ascii="宋体" w:hAnsi="宋体" w:eastAsia="宋体" w:cs="宋体"/>
        </w:rPr>
        <w:fldChar w:fldCharType="separate"/>
      </w:r>
      <w:r>
        <w:rPr>
          <w:rFonts w:hint="eastAsia" w:ascii="宋体" w:hAnsi="宋体" w:eastAsia="宋体" w:cs="宋体"/>
          <w:b/>
          <w:bCs/>
          <w:sz w:val="32"/>
          <w:szCs w:val="32"/>
        </w:rPr>
        <w:t>第六部分  封袋正面标识式样</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_Toc29306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71</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235804D2">
      <w:pPr>
        <w:tabs>
          <w:tab w:val="right" w:leader="middleDot" w:pos="9000"/>
        </w:tabs>
        <w:spacing w:line="480" w:lineRule="auto"/>
        <w:ind w:firstLine="420"/>
        <w:rPr>
          <w:rFonts w:ascii="宋体" w:hAnsi="宋体" w:cs="宋体"/>
          <w:color w:val="000000"/>
          <w:sz w:val="40"/>
          <w:szCs w:val="40"/>
        </w:rPr>
      </w:pPr>
      <w:r>
        <w:rPr>
          <w:rFonts w:hint="eastAsia" w:ascii="宋体" w:hAnsi="宋体" w:eastAsia="宋体" w:cs="宋体"/>
          <w:b/>
          <w:bCs/>
          <w:color w:val="000000"/>
          <w:sz w:val="32"/>
          <w:szCs w:val="32"/>
        </w:rPr>
        <w:fldChar w:fldCharType="end"/>
      </w:r>
    </w:p>
    <w:p w14:paraId="2C96E2EE">
      <w:pPr>
        <w:tabs>
          <w:tab w:val="left" w:pos="8760"/>
          <w:tab w:val="left" w:pos="8880"/>
        </w:tabs>
        <w:ind w:left="359" w:leftChars="171" w:firstLine="60"/>
        <w:rPr>
          <w:rFonts w:ascii="宋体" w:hAnsi="宋体" w:cs="宋体"/>
          <w:color w:val="000000"/>
          <w:sz w:val="32"/>
          <w:szCs w:val="32"/>
        </w:rPr>
      </w:pPr>
    </w:p>
    <w:p w14:paraId="1B93B911">
      <w:pPr>
        <w:spacing w:line="480" w:lineRule="auto"/>
        <w:rPr>
          <w:rFonts w:ascii="宋体" w:hAnsi="宋体" w:cs="宋体"/>
          <w:b/>
          <w:color w:val="000000"/>
          <w:sz w:val="32"/>
          <w:szCs w:val="32"/>
        </w:rPr>
        <w:sectPr>
          <w:footerReference r:id="rId9" w:type="first"/>
          <w:footerReference r:id="rId8" w:type="default"/>
          <w:pgSz w:w="11906" w:h="16838"/>
          <w:pgMar w:top="1134" w:right="1417" w:bottom="1134" w:left="1417" w:header="851" w:footer="992" w:gutter="0"/>
          <w:pgBorders>
            <w:top w:val="none" w:sz="0" w:space="0"/>
            <w:left w:val="none" w:sz="0" w:space="0"/>
            <w:bottom w:val="none" w:sz="0" w:space="0"/>
            <w:right w:val="none" w:sz="0" w:space="0"/>
          </w:pgBorders>
          <w:pgNumType w:start="1"/>
          <w:cols w:space="720" w:num="1"/>
          <w:titlePg/>
          <w:docGrid w:linePitch="326" w:charSpace="0"/>
        </w:sectPr>
      </w:pPr>
    </w:p>
    <w:p w14:paraId="1D041AEC">
      <w:pPr>
        <w:pStyle w:val="3"/>
        <w:pageBreakBefore w:val="0"/>
        <w:widowControl w:val="0"/>
        <w:kinsoku/>
        <w:wordWrap/>
        <w:overflowPunct/>
        <w:topLinePunct w:val="0"/>
        <w:autoSpaceDE/>
        <w:autoSpaceDN/>
        <w:bidi w:val="0"/>
        <w:adjustRightInd/>
        <w:snapToGrid/>
        <w:spacing w:before="0" w:after="0"/>
        <w:textAlignment w:val="auto"/>
        <w:rPr>
          <w:rFonts w:hint="eastAsia" w:eastAsia="宋体" w:asciiTheme="minorEastAsia" w:hAnsiTheme="minorEastAsia" w:cstheme="minorEastAsia"/>
          <w:sz w:val="24"/>
          <w:lang w:val="en-US" w:eastAsia="zh-CN"/>
        </w:rPr>
      </w:pPr>
      <w:bookmarkStart w:id="1" w:name="_Toc9431"/>
      <w:bookmarkStart w:id="2" w:name="_Toc15347"/>
      <w:bookmarkStart w:id="3" w:name="_Toc11149"/>
      <w:r>
        <w:rPr>
          <w:rFonts w:hint="eastAsia"/>
        </w:rPr>
        <w:t>第一部分  竞争性磋商</w:t>
      </w:r>
      <w:bookmarkEnd w:id="1"/>
      <w:bookmarkEnd w:id="2"/>
      <w:bookmarkEnd w:id="3"/>
      <w:r>
        <w:rPr>
          <w:rFonts w:hint="eastAsia"/>
          <w:lang w:eastAsia="zh-CN"/>
        </w:rPr>
        <w:t>公告</w:t>
      </w:r>
    </w:p>
    <w:p w14:paraId="78711E6E">
      <w:pPr>
        <w:keepNext w:val="0"/>
        <w:keepLines w:val="0"/>
        <w:pageBreakBefore w:val="0"/>
        <w:widowControl w:val="0"/>
        <w:kinsoku/>
        <w:wordWrap/>
        <w:overflowPunct/>
        <w:topLinePunct w:val="0"/>
        <w:autoSpaceDE/>
        <w:autoSpaceDN/>
        <w:bidi w:val="0"/>
        <w:adjustRightInd/>
        <w:snapToGrid w:val="0"/>
        <w:spacing w:line="348" w:lineRule="auto"/>
        <w:ind w:right="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（招标编号：</w:t>
      </w:r>
      <w:r>
        <w:rPr>
          <w:rFonts w:hint="eastAsia" w:ascii="宋体" w:hAnsi="宋体" w:cs="宋体"/>
          <w:b w:val="0"/>
          <w:bCs w:val="0"/>
          <w:color w:val="auto"/>
          <w:sz w:val="24"/>
          <w:szCs w:val="24"/>
          <w:highlight w:val="none"/>
          <w:lang w:val="en-US" w:eastAsia="zh-CN"/>
        </w:rPr>
        <w:t>HSGJ2025-181</w:t>
      </w:r>
      <w:r>
        <w:rPr>
          <w:rFonts w:hint="eastAsia" w:ascii="宋体" w:hAnsi="宋体" w:eastAsia="宋体" w:cs="宋体"/>
          <w:b w:val="0"/>
          <w:bCs w:val="0"/>
          <w:color w:val="auto"/>
          <w:sz w:val="24"/>
          <w:szCs w:val="24"/>
          <w:highlight w:val="none"/>
          <w:lang w:val="en-US" w:eastAsia="zh-CN"/>
        </w:rPr>
        <w:t>）</w:t>
      </w:r>
    </w:p>
    <w:p w14:paraId="3EC7C079">
      <w:pPr>
        <w:keepNext w:val="0"/>
        <w:keepLines w:val="0"/>
        <w:pageBreakBefore w:val="0"/>
        <w:widowControl w:val="0"/>
        <w:kinsoku/>
        <w:wordWrap/>
        <w:overflowPunct/>
        <w:topLinePunct w:val="0"/>
        <w:autoSpaceDE/>
        <w:autoSpaceDN/>
        <w:bidi w:val="0"/>
        <w:adjustRightInd w:val="0"/>
        <w:snapToGrid/>
        <w:spacing w:line="420" w:lineRule="atLeast"/>
        <w:ind w:firstLine="0" w:firstLineChars="0"/>
        <w:textAlignment w:val="auto"/>
        <w:rPr>
          <w:rStyle w:val="23"/>
          <w:rFonts w:hint="eastAsia" w:ascii="宋体" w:hAnsi="宋体" w:eastAsia="宋体" w:cs="宋体"/>
          <w:b/>
          <w:bCs/>
          <w:i w:val="0"/>
          <w:iCs w:val="0"/>
          <w:caps w:val="0"/>
          <w:color w:val="auto"/>
          <w:spacing w:val="0"/>
          <w:sz w:val="24"/>
          <w:szCs w:val="24"/>
          <w:highlight w:val="none"/>
          <w:shd w:val="clear" w:color="auto" w:fill="auto"/>
        </w:rPr>
      </w:pPr>
      <w:bookmarkStart w:id="4" w:name="_Toc23776"/>
      <w:bookmarkStart w:id="5" w:name="_Toc21879"/>
      <w:bookmarkStart w:id="6" w:name="_Toc21906"/>
      <w:r>
        <w:rPr>
          <w:rStyle w:val="23"/>
          <w:rFonts w:hint="eastAsia" w:ascii="宋体" w:hAnsi="宋体" w:eastAsia="宋体" w:cs="宋体"/>
          <w:b/>
          <w:bCs/>
          <w:i w:val="0"/>
          <w:iCs w:val="0"/>
          <w:caps w:val="0"/>
          <w:color w:val="auto"/>
          <w:spacing w:val="0"/>
          <w:sz w:val="24"/>
          <w:szCs w:val="24"/>
          <w:highlight w:val="none"/>
          <w:shd w:val="clear" w:color="auto" w:fill="auto"/>
        </w:rPr>
        <w:t>项目概况</w:t>
      </w:r>
    </w:p>
    <w:p w14:paraId="2C9D2F6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6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color="auto" w:fill="auto"/>
          <w:lang w:eastAsia="zh-CN" w:bidi="ar-SA"/>
        </w:rPr>
      </w:pPr>
      <w:r>
        <w:rPr>
          <w:rFonts w:hint="eastAsia" w:ascii="宋体" w:hAnsi="宋体" w:eastAsia="宋体" w:cs="宋体"/>
          <w:i w:val="0"/>
          <w:iCs w:val="0"/>
          <w:caps w:val="0"/>
          <w:color w:val="auto"/>
          <w:spacing w:val="0"/>
          <w:sz w:val="24"/>
          <w:szCs w:val="24"/>
          <w:highlight w:val="none"/>
          <w:shd w:val="clear" w:color="auto" w:fill="auto"/>
          <w:lang w:eastAsia="zh-CN" w:bidi="ar-SA"/>
        </w:rPr>
        <w:t>陕西省公安厅寄递物流业治安管理信息系统运维项目采购项目的潜在供应商应在西安市高新路88号尚品国际B幢25层获取采购文件，并于2025年08月19日 09时00分（北京时间）前提交响应文件。</w:t>
      </w:r>
    </w:p>
    <w:p w14:paraId="2EE5B83F">
      <w:pPr>
        <w:keepNext w:val="0"/>
        <w:keepLines w:val="0"/>
        <w:pageBreakBefore w:val="0"/>
        <w:widowControl w:val="0"/>
        <w:kinsoku/>
        <w:wordWrap/>
        <w:overflowPunct/>
        <w:topLinePunct w:val="0"/>
        <w:autoSpaceDE/>
        <w:autoSpaceDN/>
        <w:bidi w:val="0"/>
        <w:adjustRightInd w:val="0"/>
        <w:snapToGrid/>
        <w:spacing w:line="420" w:lineRule="atLeast"/>
        <w:ind w:firstLine="0" w:firstLineChars="0"/>
        <w:textAlignment w:val="auto"/>
        <w:rPr>
          <w:rStyle w:val="23"/>
          <w:rFonts w:hint="eastAsia" w:ascii="宋体" w:hAnsi="宋体" w:eastAsia="宋体" w:cs="宋体"/>
          <w:b/>
          <w:bCs/>
          <w:i w:val="0"/>
          <w:iCs w:val="0"/>
          <w:caps w:val="0"/>
          <w:color w:val="auto"/>
          <w:spacing w:val="0"/>
          <w:sz w:val="24"/>
          <w:szCs w:val="24"/>
          <w:highlight w:val="none"/>
          <w:shd w:val="clear" w:color="auto" w:fill="auto"/>
        </w:rPr>
      </w:pPr>
      <w:r>
        <w:rPr>
          <w:rStyle w:val="23"/>
          <w:rFonts w:hint="eastAsia" w:ascii="宋体" w:hAnsi="宋体" w:eastAsia="宋体" w:cs="宋体"/>
          <w:b/>
          <w:bCs/>
          <w:i w:val="0"/>
          <w:iCs w:val="0"/>
          <w:caps w:val="0"/>
          <w:color w:val="auto"/>
          <w:spacing w:val="0"/>
          <w:sz w:val="24"/>
          <w:szCs w:val="24"/>
          <w:highlight w:val="none"/>
          <w:shd w:val="clear" w:color="auto" w:fill="auto"/>
        </w:rPr>
        <w:t>一、项目基本情况</w:t>
      </w:r>
    </w:p>
    <w:p w14:paraId="0B664B3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6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color="auto" w:fill="auto"/>
          <w:lang w:eastAsia="zh-CN" w:bidi="ar-SA"/>
        </w:rPr>
      </w:pPr>
      <w:r>
        <w:rPr>
          <w:rFonts w:hint="eastAsia" w:ascii="宋体" w:hAnsi="宋体" w:eastAsia="宋体" w:cs="宋体"/>
          <w:i w:val="0"/>
          <w:iCs w:val="0"/>
          <w:caps w:val="0"/>
          <w:color w:val="auto"/>
          <w:spacing w:val="0"/>
          <w:sz w:val="24"/>
          <w:szCs w:val="24"/>
          <w:highlight w:val="none"/>
          <w:shd w:val="clear" w:color="auto" w:fill="auto"/>
          <w:lang w:eastAsia="zh-CN" w:bidi="ar-SA"/>
        </w:rPr>
        <w:t>项目编号：HSGJ2025-181</w:t>
      </w:r>
    </w:p>
    <w:p w14:paraId="438BCF4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6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color="auto" w:fill="auto"/>
          <w:lang w:eastAsia="zh-CN" w:bidi="ar-SA"/>
        </w:rPr>
      </w:pPr>
      <w:r>
        <w:rPr>
          <w:rFonts w:hint="eastAsia" w:ascii="宋体" w:hAnsi="宋体" w:eastAsia="宋体" w:cs="宋体"/>
          <w:i w:val="0"/>
          <w:iCs w:val="0"/>
          <w:caps w:val="0"/>
          <w:color w:val="auto"/>
          <w:spacing w:val="0"/>
          <w:sz w:val="24"/>
          <w:szCs w:val="24"/>
          <w:highlight w:val="none"/>
          <w:shd w:val="clear" w:color="auto" w:fill="auto"/>
          <w:lang w:eastAsia="zh-CN" w:bidi="ar-SA"/>
        </w:rPr>
        <w:t>项目名称：陕西省公安厅寄递物流业治安管理信息系统运维项目</w:t>
      </w:r>
    </w:p>
    <w:p w14:paraId="088056D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6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color="auto" w:fill="auto"/>
          <w:lang w:eastAsia="zh-CN" w:bidi="ar-SA"/>
        </w:rPr>
      </w:pPr>
      <w:r>
        <w:rPr>
          <w:rFonts w:hint="eastAsia" w:ascii="宋体" w:hAnsi="宋体" w:eastAsia="宋体" w:cs="宋体"/>
          <w:i w:val="0"/>
          <w:iCs w:val="0"/>
          <w:caps w:val="0"/>
          <w:color w:val="auto"/>
          <w:spacing w:val="0"/>
          <w:sz w:val="24"/>
          <w:szCs w:val="24"/>
          <w:highlight w:val="none"/>
          <w:shd w:val="clear" w:color="auto" w:fill="auto"/>
          <w:lang w:eastAsia="zh-CN" w:bidi="ar-SA"/>
        </w:rPr>
        <w:t>采购方式：竞争性磋商</w:t>
      </w:r>
    </w:p>
    <w:p w14:paraId="646E9D5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6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color="auto" w:fill="auto"/>
          <w:lang w:eastAsia="zh-CN" w:bidi="ar-SA"/>
        </w:rPr>
      </w:pPr>
      <w:r>
        <w:rPr>
          <w:rFonts w:hint="eastAsia" w:ascii="宋体" w:hAnsi="宋体" w:eastAsia="宋体" w:cs="宋体"/>
          <w:i w:val="0"/>
          <w:iCs w:val="0"/>
          <w:caps w:val="0"/>
          <w:color w:val="auto"/>
          <w:spacing w:val="0"/>
          <w:sz w:val="24"/>
          <w:szCs w:val="24"/>
          <w:highlight w:val="none"/>
          <w:shd w:val="clear" w:color="auto" w:fill="auto"/>
          <w:lang w:eastAsia="zh-CN" w:bidi="ar-SA"/>
        </w:rPr>
        <w:t>预算金额：444,100.00元</w:t>
      </w:r>
    </w:p>
    <w:p w14:paraId="7C8FE7F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6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color="auto" w:fill="auto"/>
          <w:lang w:eastAsia="zh-CN" w:bidi="ar-SA"/>
        </w:rPr>
      </w:pPr>
      <w:r>
        <w:rPr>
          <w:rFonts w:hint="eastAsia" w:ascii="宋体" w:hAnsi="宋体" w:eastAsia="宋体" w:cs="宋体"/>
          <w:i w:val="0"/>
          <w:iCs w:val="0"/>
          <w:caps w:val="0"/>
          <w:color w:val="auto"/>
          <w:spacing w:val="0"/>
          <w:sz w:val="24"/>
          <w:szCs w:val="24"/>
          <w:highlight w:val="none"/>
          <w:shd w:val="clear" w:color="auto" w:fill="auto"/>
          <w:lang w:eastAsia="zh-CN" w:bidi="ar-SA"/>
        </w:rPr>
        <w:t>采购需求：</w:t>
      </w:r>
    </w:p>
    <w:p w14:paraId="1BA8576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6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color="auto" w:fill="auto"/>
          <w:lang w:eastAsia="zh-CN" w:bidi="ar-SA"/>
        </w:rPr>
      </w:pPr>
      <w:r>
        <w:rPr>
          <w:rFonts w:hint="eastAsia" w:ascii="宋体" w:hAnsi="宋体" w:eastAsia="宋体" w:cs="宋体"/>
          <w:i w:val="0"/>
          <w:iCs w:val="0"/>
          <w:caps w:val="0"/>
          <w:color w:val="auto"/>
          <w:spacing w:val="0"/>
          <w:sz w:val="24"/>
          <w:szCs w:val="24"/>
          <w:highlight w:val="none"/>
          <w:shd w:val="clear" w:color="auto" w:fill="auto"/>
          <w:lang w:eastAsia="zh-CN" w:bidi="ar-SA"/>
        </w:rPr>
        <w:t>合同包1(陕西省公安厅寄递物流业治安管理信息系统运维项目):</w:t>
      </w:r>
    </w:p>
    <w:p w14:paraId="12E7484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6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color="auto" w:fill="auto"/>
          <w:lang w:eastAsia="zh-CN" w:bidi="ar-SA"/>
        </w:rPr>
      </w:pPr>
      <w:r>
        <w:rPr>
          <w:rFonts w:hint="eastAsia" w:ascii="宋体" w:hAnsi="宋体" w:eastAsia="宋体" w:cs="宋体"/>
          <w:i w:val="0"/>
          <w:iCs w:val="0"/>
          <w:caps w:val="0"/>
          <w:color w:val="auto"/>
          <w:spacing w:val="0"/>
          <w:sz w:val="24"/>
          <w:szCs w:val="24"/>
          <w:highlight w:val="none"/>
          <w:shd w:val="clear" w:color="auto" w:fill="auto"/>
          <w:lang w:eastAsia="zh-CN" w:bidi="ar-SA"/>
        </w:rPr>
        <w:t>合同包预算金额：444,100.00元</w:t>
      </w:r>
    </w:p>
    <w:p w14:paraId="34A90FE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6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color="auto" w:fill="auto"/>
          <w:lang w:eastAsia="zh-CN" w:bidi="ar-SA"/>
        </w:rPr>
      </w:pPr>
      <w:r>
        <w:rPr>
          <w:rFonts w:hint="eastAsia" w:ascii="宋体" w:hAnsi="宋体" w:eastAsia="宋体" w:cs="宋体"/>
          <w:i w:val="0"/>
          <w:iCs w:val="0"/>
          <w:caps w:val="0"/>
          <w:color w:val="auto"/>
          <w:spacing w:val="0"/>
          <w:sz w:val="24"/>
          <w:szCs w:val="24"/>
          <w:highlight w:val="none"/>
          <w:shd w:val="clear" w:color="auto" w:fill="auto"/>
          <w:lang w:eastAsia="zh-CN" w:bidi="ar-SA"/>
        </w:rPr>
        <w:t>合同包最高限价：444,100.00元</w:t>
      </w:r>
    </w:p>
    <w:tbl>
      <w:tblPr>
        <w:tblStyle w:val="2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42"/>
        <w:gridCol w:w="2074"/>
        <w:gridCol w:w="1170"/>
        <w:gridCol w:w="1625"/>
        <w:gridCol w:w="2537"/>
        <w:gridCol w:w="1628"/>
      </w:tblGrid>
      <w:tr w14:paraId="3DD75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47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95D387">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kern w:val="0"/>
                <w:sz w:val="21"/>
                <w:szCs w:val="21"/>
                <w:lang w:val="en-US" w:eastAsia="zh-CN" w:bidi="ar"/>
              </w:rPr>
              <w:t>品目号</w:t>
            </w:r>
          </w:p>
        </w:tc>
        <w:tc>
          <w:tcPr>
            <w:tcW w:w="103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DDFBC8">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kern w:val="0"/>
                <w:sz w:val="21"/>
                <w:szCs w:val="21"/>
                <w:lang w:val="en-US" w:eastAsia="zh-CN" w:bidi="ar"/>
              </w:rPr>
              <w:t>品目名称</w:t>
            </w:r>
          </w:p>
        </w:tc>
        <w:tc>
          <w:tcPr>
            <w:tcW w:w="58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B3F321">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kern w:val="0"/>
                <w:sz w:val="21"/>
                <w:szCs w:val="21"/>
                <w:lang w:val="en-US" w:eastAsia="zh-CN" w:bidi="ar"/>
              </w:rPr>
              <w:t>采购标的</w:t>
            </w:r>
          </w:p>
        </w:tc>
        <w:tc>
          <w:tcPr>
            <w:tcW w:w="8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0EFD11">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kern w:val="0"/>
                <w:sz w:val="21"/>
                <w:szCs w:val="21"/>
                <w:lang w:val="en-US" w:eastAsia="zh-CN" w:bidi="ar"/>
              </w:rPr>
              <w:t>数量（单位）</w:t>
            </w:r>
          </w:p>
        </w:tc>
        <w:tc>
          <w:tcPr>
            <w:tcW w:w="12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B34D6B">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kern w:val="0"/>
                <w:sz w:val="21"/>
                <w:szCs w:val="21"/>
                <w:lang w:val="en-US" w:eastAsia="zh-CN" w:bidi="ar"/>
              </w:rPr>
              <w:t>技术规格、参数及要求</w:t>
            </w:r>
          </w:p>
        </w:tc>
        <w:tc>
          <w:tcPr>
            <w:tcW w:w="81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F517FF">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kern w:val="0"/>
                <w:sz w:val="21"/>
                <w:szCs w:val="21"/>
                <w:lang w:val="en-US" w:eastAsia="zh-CN" w:bidi="ar"/>
              </w:rPr>
              <w:t>品目预算(元)</w:t>
            </w:r>
          </w:p>
        </w:tc>
      </w:tr>
      <w:tr w14:paraId="43908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DE9C47">
            <w:pPr>
              <w:keepNext w:val="0"/>
              <w:keepLines w:val="0"/>
              <w:widowControl/>
              <w:suppressLineNumbers w:val="0"/>
              <w:wordWrap w:val="0"/>
              <w:spacing w:before="0" w:beforeAutospacing="0" w:after="0" w:afterAutospacing="0" w:line="360" w:lineRule="atLeast"/>
              <w:ind w:left="0" w:right="0"/>
              <w:jc w:val="center"/>
              <w:textAlignment w:val="center"/>
              <w:rPr>
                <w:sz w:val="21"/>
                <w:szCs w:val="21"/>
              </w:rPr>
            </w:pPr>
            <w:r>
              <w:rPr>
                <w:rFonts w:ascii="宋体" w:hAnsi="宋体" w:eastAsia="宋体" w:cs="宋体"/>
                <w:kern w:val="0"/>
                <w:sz w:val="21"/>
                <w:szCs w:val="21"/>
                <w:lang w:val="en-US" w:eastAsia="zh-CN" w:bidi="ar"/>
              </w:rPr>
              <w:t>1-1</w:t>
            </w:r>
          </w:p>
        </w:tc>
        <w:tc>
          <w:tcPr>
            <w:tcW w:w="103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E64DF2">
            <w:pPr>
              <w:keepNext w:val="0"/>
              <w:keepLines w:val="0"/>
              <w:widowControl/>
              <w:suppressLineNumbers w:val="0"/>
              <w:wordWrap w:val="0"/>
              <w:spacing w:before="0" w:beforeAutospacing="0" w:after="0" w:afterAutospacing="0" w:line="360" w:lineRule="atLeast"/>
              <w:ind w:left="0" w:right="0"/>
              <w:jc w:val="center"/>
              <w:textAlignment w:val="center"/>
              <w:rPr>
                <w:sz w:val="21"/>
                <w:szCs w:val="21"/>
              </w:rPr>
            </w:pPr>
            <w:r>
              <w:rPr>
                <w:rFonts w:ascii="宋体" w:hAnsi="宋体" w:eastAsia="宋体" w:cs="宋体"/>
                <w:kern w:val="0"/>
                <w:sz w:val="21"/>
                <w:szCs w:val="21"/>
                <w:lang w:val="en-US" w:eastAsia="zh-CN" w:bidi="ar"/>
              </w:rPr>
              <w:t>基础环境运维服务</w:t>
            </w:r>
          </w:p>
        </w:tc>
        <w:tc>
          <w:tcPr>
            <w:tcW w:w="58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A5EE08">
            <w:pPr>
              <w:keepNext w:val="0"/>
              <w:keepLines w:val="0"/>
              <w:widowControl/>
              <w:suppressLineNumbers w:val="0"/>
              <w:wordWrap w:val="0"/>
              <w:spacing w:before="0" w:beforeAutospacing="0" w:after="0" w:afterAutospacing="0" w:line="360" w:lineRule="atLeast"/>
              <w:ind w:left="0" w:right="0"/>
              <w:jc w:val="center"/>
              <w:textAlignment w:val="center"/>
              <w:rPr>
                <w:sz w:val="21"/>
                <w:szCs w:val="21"/>
              </w:rPr>
            </w:pPr>
            <w:r>
              <w:rPr>
                <w:rFonts w:ascii="宋体" w:hAnsi="宋体" w:eastAsia="宋体" w:cs="宋体"/>
                <w:kern w:val="0"/>
                <w:sz w:val="21"/>
                <w:szCs w:val="21"/>
                <w:lang w:val="en-US" w:eastAsia="zh-CN" w:bidi="ar"/>
              </w:rPr>
              <w:t>服务</w:t>
            </w:r>
          </w:p>
        </w:tc>
        <w:tc>
          <w:tcPr>
            <w:tcW w:w="8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C9624E">
            <w:pPr>
              <w:keepNext w:val="0"/>
              <w:keepLines w:val="0"/>
              <w:widowControl/>
              <w:suppressLineNumbers w:val="0"/>
              <w:wordWrap w:val="0"/>
              <w:spacing w:before="0" w:beforeAutospacing="0" w:after="0" w:afterAutospacing="0" w:line="360" w:lineRule="atLeast"/>
              <w:ind w:left="0" w:right="0"/>
              <w:jc w:val="center"/>
              <w:textAlignment w:val="center"/>
              <w:rPr>
                <w:sz w:val="21"/>
                <w:szCs w:val="21"/>
              </w:rPr>
            </w:pPr>
            <w:r>
              <w:rPr>
                <w:rFonts w:ascii="宋体" w:hAnsi="宋体" w:eastAsia="宋体" w:cs="宋体"/>
                <w:kern w:val="0"/>
                <w:sz w:val="21"/>
                <w:szCs w:val="21"/>
                <w:lang w:val="en-US" w:eastAsia="zh-CN" w:bidi="ar"/>
              </w:rPr>
              <w:t>1(项)</w:t>
            </w:r>
          </w:p>
        </w:tc>
        <w:tc>
          <w:tcPr>
            <w:tcW w:w="12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2CD960">
            <w:pPr>
              <w:keepNext w:val="0"/>
              <w:keepLines w:val="0"/>
              <w:widowControl/>
              <w:suppressLineNumbers w:val="0"/>
              <w:wordWrap w:val="0"/>
              <w:spacing w:before="0" w:beforeAutospacing="0" w:after="0" w:afterAutospacing="0" w:line="360" w:lineRule="atLeast"/>
              <w:ind w:left="0" w:right="0"/>
              <w:jc w:val="center"/>
              <w:textAlignment w:val="center"/>
              <w:rPr>
                <w:sz w:val="21"/>
                <w:szCs w:val="21"/>
              </w:rPr>
            </w:pPr>
            <w:r>
              <w:rPr>
                <w:rFonts w:ascii="宋体" w:hAnsi="宋体" w:eastAsia="宋体" w:cs="宋体"/>
                <w:kern w:val="0"/>
                <w:sz w:val="21"/>
                <w:szCs w:val="21"/>
                <w:lang w:val="en-US" w:eastAsia="zh-CN" w:bidi="ar"/>
              </w:rPr>
              <w:t>详见采购文件</w:t>
            </w:r>
          </w:p>
        </w:tc>
        <w:tc>
          <w:tcPr>
            <w:tcW w:w="81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D04712">
            <w:pPr>
              <w:keepNext w:val="0"/>
              <w:keepLines w:val="0"/>
              <w:widowControl/>
              <w:suppressLineNumbers w:val="0"/>
              <w:wordWrap/>
              <w:spacing w:before="0" w:beforeAutospacing="0" w:after="0" w:afterAutospacing="0" w:line="360" w:lineRule="atLeast"/>
              <w:ind w:left="0" w:right="0"/>
              <w:jc w:val="right"/>
              <w:textAlignment w:val="center"/>
              <w:rPr>
                <w:sz w:val="21"/>
                <w:szCs w:val="21"/>
              </w:rPr>
            </w:pPr>
            <w:r>
              <w:rPr>
                <w:rFonts w:ascii="宋体" w:hAnsi="宋体" w:eastAsia="宋体" w:cs="宋体"/>
                <w:kern w:val="0"/>
                <w:sz w:val="21"/>
                <w:szCs w:val="21"/>
                <w:vertAlign w:val="baseline"/>
                <w:lang w:val="en-US" w:eastAsia="zh-CN" w:bidi="ar"/>
              </w:rPr>
              <w:t>444,100.00</w:t>
            </w:r>
          </w:p>
        </w:tc>
      </w:tr>
    </w:tbl>
    <w:p w14:paraId="03E41AA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60" w:lineRule="exact"/>
        <w:ind w:left="0" w:right="0" w:firstLine="630"/>
        <w:jc w:val="both"/>
        <w:textAlignment w:val="auto"/>
        <w:rPr>
          <w:rFonts w:hint="eastAsia" w:ascii="宋体" w:hAnsi="宋体" w:eastAsia="宋体" w:cs="宋体"/>
          <w:i w:val="0"/>
          <w:iCs w:val="0"/>
          <w:caps w:val="0"/>
          <w:color w:val="auto"/>
          <w:spacing w:val="0"/>
          <w:sz w:val="24"/>
          <w:szCs w:val="24"/>
          <w:highlight w:val="none"/>
          <w:shd w:val="clear" w:color="auto" w:fill="auto"/>
          <w:lang w:bidi="ar-SA"/>
        </w:rPr>
      </w:pPr>
      <w:r>
        <w:rPr>
          <w:rFonts w:hint="eastAsia" w:ascii="宋体" w:hAnsi="宋体" w:eastAsia="宋体" w:cs="宋体"/>
          <w:i w:val="0"/>
          <w:iCs w:val="0"/>
          <w:caps w:val="0"/>
          <w:color w:val="auto"/>
          <w:spacing w:val="0"/>
          <w:sz w:val="24"/>
          <w:szCs w:val="24"/>
          <w:highlight w:val="none"/>
          <w:shd w:val="clear" w:color="auto" w:fill="auto"/>
          <w:lang w:bidi="ar-SA"/>
        </w:rPr>
        <w:t>本合同包不接受联合体投标</w:t>
      </w:r>
    </w:p>
    <w:p w14:paraId="586D469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60" w:lineRule="exact"/>
        <w:ind w:left="0" w:right="0" w:firstLine="630"/>
        <w:jc w:val="both"/>
        <w:textAlignment w:val="auto"/>
        <w:rPr>
          <w:rFonts w:hint="eastAsia" w:ascii="宋体" w:hAnsi="宋体" w:eastAsia="宋体" w:cs="宋体"/>
          <w:i w:val="0"/>
          <w:iCs w:val="0"/>
          <w:caps w:val="0"/>
          <w:color w:val="auto"/>
          <w:spacing w:val="0"/>
          <w:sz w:val="24"/>
          <w:szCs w:val="24"/>
          <w:highlight w:val="none"/>
          <w:shd w:val="clear" w:color="auto" w:fill="auto"/>
          <w:lang w:bidi="ar-SA"/>
        </w:rPr>
      </w:pPr>
      <w:r>
        <w:rPr>
          <w:rFonts w:hint="eastAsia" w:ascii="宋体" w:hAnsi="宋体" w:eastAsia="宋体" w:cs="宋体"/>
          <w:i w:val="0"/>
          <w:iCs w:val="0"/>
          <w:caps w:val="0"/>
          <w:color w:val="auto"/>
          <w:spacing w:val="0"/>
          <w:sz w:val="24"/>
          <w:szCs w:val="24"/>
          <w:highlight w:val="none"/>
          <w:shd w:val="clear" w:color="auto" w:fill="auto"/>
          <w:lang w:bidi="ar-SA"/>
        </w:rPr>
        <w:t>合同履行期限：自合同签订之日起一年。</w:t>
      </w:r>
    </w:p>
    <w:p w14:paraId="0429688F">
      <w:pPr>
        <w:keepNext w:val="0"/>
        <w:keepLines w:val="0"/>
        <w:pageBreakBefore w:val="0"/>
        <w:widowControl w:val="0"/>
        <w:kinsoku/>
        <w:wordWrap/>
        <w:overflowPunct/>
        <w:topLinePunct w:val="0"/>
        <w:autoSpaceDE/>
        <w:autoSpaceDN/>
        <w:bidi w:val="0"/>
        <w:adjustRightInd w:val="0"/>
        <w:snapToGrid/>
        <w:spacing w:line="420" w:lineRule="atLeast"/>
        <w:ind w:firstLine="0" w:firstLineChars="0"/>
        <w:textAlignment w:val="auto"/>
        <w:rPr>
          <w:rStyle w:val="23"/>
          <w:rFonts w:hint="eastAsia" w:ascii="宋体" w:hAnsi="宋体" w:eastAsia="宋体" w:cs="宋体"/>
          <w:b/>
          <w:bCs/>
          <w:i w:val="0"/>
          <w:iCs w:val="0"/>
          <w:caps w:val="0"/>
          <w:color w:val="auto"/>
          <w:spacing w:val="0"/>
          <w:sz w:val="24"/>
          <w:szCs w:val="24"/>
          <w:highlight w:val="none"/>
          <w:shd w:val="clear" w:color="auto" w:fill="auto"/>
        </w:rPr>
      </w:pPr>
      <w:r>
        <w:rPr>
          <w:rStyle w:val="23"/>
          <w:rFonts w:hint="eastAsia" w:ascii="宋体" w:hAnsi="宋体" w:eastAsia="宋体" w:cs="宋体"/>
          <w:b/>
          <w:bCs/>
          <w:i w:val="0"/>
          <w:iCs w:val="0"/>
          <w:caps w:val="0"/>
          <w:color w:val="auto"/>
          <w:spacing w:val="0"/>
          <w:sz w:val="24"/>
          <w:szCs w:val="24"/>
          <w:highlight w:val="none"/>
          <w:shd w:val="clear" w:color="auto" w:fill="auto"/>
        </w:rPr>
        <w:t>二、申请人的资格要求：</w:t>
      </w:r>
    </w:p>
    <w:p w14:paraId="18CD278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6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color="auto" w:fill="auto"/>
          <w:lang w:bidi="ar-SA"/>
        </w:rPr>
      </w:pPr>
      <w:r>
        <w:rPr>
          <w:rFonts w:hint="eastAsia" w:ascii="宋体" w:hAnsi="宋体" w:eastAsia="宋体" w:cs="宋体"/>
          <w:i w:val="0"/>
          <w:iCs w:val="0"/>
          <w:caps w:val="0"/>
          <w:color w:val="auto"/>
          <w:spacing w:val="0"/>
          <w:sz w:val="24"/>
          <w:szCs w:val="24"/>
          <w:highlight w:val="none"/>
          <w:shd w:val="clear" w:color="auto" w:fill="auto"/>
          <w:lang w:bidi="ar-SA"/>
        </w:rPr>
        <w:t>1.满足《中华人民共和国政府采购法》第二十二条规定;</w:t>
      </w:r>
    </w:p>
    <w:p w14:paraId="59A8724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6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color="auto" w:fill="auto"/>
          <w:lang w:bidi="ar-SA"/>
        </w:rPr>
      </w:pPr>
      <w:r>
        <w:rPr>
          <w:rFonts w:hint="eastAsia" w:ascii="宋体" w:hAnsi="宋体" w:eastAsia="宋体" w:cs="宋体"/>
          <w:i w:val="0"/>
          <w:iCs w:val="0"/>
          <w:caps w:val="0"/>
          <w:color w:val="auto"/>
          <w:spacing w:val="0"/>
          <w:sz w:val="24"/>
          <w:szCs w:val="24"/>
          <w:highlight w:val="none"/>
          <w:shd w:val="clear" w:color="auto" w:fill="auto"/>
          <w:lang w:bidi="ar-SA"/>
        </w:rPr>
        <w:t>2.落实政府采购政策需满足的资格要求：</w:t>
      </w:r>
    </w:p>
    <w:p w14:paraId="55E6DAE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6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color="auto" w:fill="auto"/>
          <w:lang w:bidi="ar-SA"/>
        </w:rPr>
      </w:pPr>
      <w:r>
        <w:rPr>
          <w:rFonts w:hint="eastAsia" w:ascii="宋体" w:hAnsi="宋体" w:eastAsia="宋体" w:cs="宋体"/>
          <w:i w:val="0"/>
          <w:iCs w:val="0"/>
          <w:caps w:val="0"/>
          <w:color w:val="auto"/>
          <w:spacing w:val="0"/>
          <w:sz w:val="24"/>
          <w:szCs w:val="24"/>
          <w:highlight w:val="none"/>
          <w:shd w:val="clear" w:color="auto" w:fill="auto"/>
          <w:lang w:bidi="ar-SA"/>
        </w:rPr>
        <w:t>合同包1(陕西省公安厅寄递物流业治安管理信息系统运维项目)落实政府采购政策需满足的资格要求如下:</w:t>
      </w:r>
    </w:p>
    <w:p w14:paraId="4E64E856">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highlight w:val="none"/>
          <w:shd w:val="clear" w:color="auto" w:fill="auto"/>
          <w:lang w:bidi="ar-SA"/>
        </w:rPr>
      </w:pPr>
      <w:r>
        <w:rPr>
          <w:rFonts w:hint="eastAsia" w:ascii="宋体" w:hAnsi="宋体" w:eastAsia="宋体" w:cs="宋体"/>
          <w:i w:val="0"/>
          <w:iCs w:val="0"/>
          <w:caps w:val="0"/>
          <w:color w:val="auto"/>
          <w:spacing w:val="0"/>
          <w:kern w:val="0"/>
          <w:sz w:val="24"/>
          <w:szCs w:val="24"/>
          <w:shd w:val="clear" w:fill="auto"/>
          <w:lang w:val="en-US" w:eastAsia="zh-CN" w:bidi="ar-SA"/>
        </w:rPr>
        <w:t>（1）</w:t>
      </w:r>
      <w:r>
        <w:rPr>
          <w:rFonts w:hint="eastAsia" w:ascii="宋体" w:hAnsi="宋体" w:eastAsia="宋体" w:cs="宋体"/>
          <w:i w:val="0"/>
          <w:iCs w:val="0"/>
          <w:caps w:val="0"/>
          <w:color w:val="auto"/>
          <w:spacing w:val="0"/>
          <w:sz w:val="24"/>
          <w:szCs w:val="24"/>
          <w:highlight w:val="none"/>
          <w:shd w:val="clear" w:color="auto" w:fill="auto"/>
          <w:lang w:bidi="ar-SA"/>
        </w:rPr>
        <w:t>《政府采购促进中小企业发展管理办法》（财库﹝2020﹞46号）；</w:t>
      </w:r>
      <w:r>
        <w:rPr>
          <w:rFonts w:hint="eastAsia" w:ascii="宋体" w:hAnsi="宋体" w:eastAsia="宋体" w:cs="宋体"/>
          <w:i w:val="0"/>
          <w:iCs w:val="0"/>
          <w:caps w:val="0"/>
          <w:color w:val="auto"/>
          <w:spacing w:val="0"/>
          <w:sz w:val="24"/>
          <w:szCs w:val="24"/>
          <w:highlight w:val="none"/>
          <w:shd w:val="clear" w:color="auto" w:fill="auto"/>
          <w:lang w:bidi="ar-SA"/>
        </w:rPr>
        <w:br w:type="textWrapping"/>
      </w:r>
      <w:r>
        <w:rPr>
          <w:rFonts w:hint="eastAsia" w:ascii="宋体" w:hAnsi="宋体" w:eastAsia="宋体" w:cs="宋体"/>
          <w:i w:val="0"/>
          <w:iCs w:val="0"/>
          <w:caps w:val="0"/>
          <w:color w:val="auto"/>
          <w:spacing w:val="0"/>
          <w:sz w:val="24"/>
          <w:szCs w:val="24"/>
          <w:highlight w:val="none"/>
          <w:shd w:val="clear" w:color="auto" w:fill="auto"/>
          <w:lang w:bidi="ar-SA"/>
        </w:rPr>
        <w:t>（2）《财政部司法部关于政府采购支持监狱企业发展有关问题的通知》（财库〔2014〕68号）；</w:t>
      </w:r>
    </w:p>
    <w:p w14:paraId="0708E3CE">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highlight w:val="none"/>
          <w:shd w:val="clear" w:color="auto" w:fill="auto"/>
          <w:lang w:bidi="ar-SA"/>
        </w:rPr>
      </w:pPr>
      <w:r>
        <w:rPr>
          <w:rFonts w:hint="eastAsia" w:ascii="宋体" w:hAnsi="宋体" w:eastAsia="宋体" w:cs="宋体"/>
          <w:i w:val="0"/>
          <w:iCs w:val="0"/>
          <w:caps w:val="0"/>
          <w:color w:val="auto"/>
          <w:spacing w:val="0"/>
          <w:sz w:val="24"/>
          <w:szCs w:val="24"/>
          <w:highlight w:val="none"/>
          <w:shd w:val="clear" w:color="auto" w:fill="auto"/>
          <w:lang w:bidi="ar-SA"/>
        </w:rPr>
        <w:t>（3）《国务院办公厅关于建立政府强制采购节能产品制度的通知》（国办发〔2007〕51号）；</w:t>
      </w:r>
    </w:p>
    <w:p w14:paraId="083D3A7B">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highlight w:val="none"/>
          <w:shd w:val="clear" w:color="auto" w:fill="auto"/>
          <w:lang w:bidi="ar-SA"/>
        </w:rPr>
      </w:pPr>
      <w:r>
        <w:rPr>
          <w:rFonts w:hint="eastAsia" w:ascii="宋体" w:hAnsi="宋体" w:eastAsia="宋体" w:cs="宋体"/>
          <w:i w:val="0"/>
          <w:iCs w:val="0"/>
          <w:caps w:val="0"/>
          <w:color w:val="auto"/>
          <w:spacing w:val="0"/>
          <w:sz w:val="24"/>
          <w:szCs w:val="24"/>
          <w:highlight w:val="none"/>
          <w:shd w:val="clear" w:color="auto" w:fill="auto"/>
          <w:lang w:bidi="ar-SA"/>
        </w:rPr>
        <w:t>（4）《三部门联合发布关于促进残疾人就业政府采购政策的通知》（财库〔2017〕141号）；</w:t>
      </w:r>
    </w:p>
    <w:p w14:paraId="0FFEC434">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highlight w:val="none"/>
          <w:shd w:val="clear" w:color="auto" w:fill="auto"/>
          <w:lang w:bidi="ar-SA"/>
        </w:rPr>
      </w:pPr>
      <w:r>
        <w:rPr>
          <w:rFonts w:hint="eastAsia" w:ascii="宋体" w:hAnsi="宋体" w:eastAsia="宋体" w:cs="宋体"/>
          <w:i w:val="0"/>
          <w:iCs w:val="0"/>
          <w:caps w:val="0"/>
          <w:color w:val="auto"/>
          <w:spacing w:val="0"/>
          <w:sz w:val="24"/>
          <w:szCs w:val="24"/>
          <w:highlight w:val="none"/>
          <w:shd w:val="clear" w:color="auto" w:fill="auto"/>
          <w:lang w:bidi="ar-SA"/>
        </w:rPr>
        <w:t>（5）《财政部发展改革委生态环境部市场监管总局关于调整优化节能产品、环境标志产品政府采购执行机制的通知》（财库〔2019〕9号）；</w:t>
      </w:r>
    </w:p>
    <w:p w14:paraId="499E583A">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highlight w:val="none"/>
          <w:shd w:val="clear" w:color="auto" w:fill="auto"/>
          <w:lang w:bidi="ar-SA"/>
        </w:rPr>
      </w:pPr>
      <w:r>
        <w:rPr>
          <w:rFonts w:hint="eastAsia" w:ascii="宋体" w:hAnsi="宋体" w:eastAsia="宋体" w:cs="宋体"/>
          <w:i w:val="0"/>
          <w:iCs w:val="0"/>
          <w:caps w:val="0"/>
          <w:color w:val="auto"/>
          <w:spacing w:val="0"/>
          <w:sz w:val="24"/>
          <w:szCs w:val="24"/>
          <w:highlight w:val="none"/>
          <w:shd w:val="clear" w:color="auto" w:fill="auto"/>
          <w:lang w:bidi="ar-SA"/>
        </w:rPr>
        <w:t>（6）《关于印发环境标志产品政府采购品目清单的通知》（财库〔2019〕18号）；</w:t>
      </w:r>
    </w:p>
    <w:p w14:paraId="4F34C359">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highlight w:val="none"/>
          <w:shd w:val="clear" w:color="auto" w:fill="auto"/>
          <w:lang w:bidi="ar-SA"/>
        </w:rPr>
      </w:pPr>
      <w:r>
        <w:rPr>
          <w:rFonts w:hint="eastAsia" w:ascii="宋体" w:hAnsi="宋体" w:eastAsia="宋体" w:cs="宋体"/>
          <w:i w:val="0"/>
          <w:iCs w:val="0"/>
          <w:caps w:val="0"/>
          <w:color w:val="auto"/>
          <w:spacing w:val="0"/>
          <w:sz w:val="24"/>
          <w:szCs w:val="24"/>
          <w:highlight w:val="none"/>
          <w:shd w:val="clear" w:color="auto" w:fill="auto"/>
          <w:lang w:bidi="ar-SA"/>
        </w:rPr>
        <w:t>（7）《关于运用政府采购政策支持乡村产业振兴的通知》财库〔2021〕19号；</w:t>
      </w:r>
    </w:p>
    <w:p w14:paraId="02CB1DAE">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60" w:lineRule="exact"/>
        <w:ind w:left="239" w:leftChars="114" w:right="0" w:rightChars="0" w:firstLine="307" w:firstLineChars="128"/>
        <w:jc w:val="both"/>
        <w:textAlignment w:val="auto"/>
        <w:rPr>
          <w:rFonts w:hint="eastAsia" w:ascii="宋体" w:hAnsi="宋体" w:eastAsia="宋体" w:cs="宋体"/>
          <w:i w:val="0"/>
          <w:iCs w:val="0"/>
          <w:caps w:val="0"/>
          <w:color w:val="auto"/>
          <w:spacing w:val="0"/>
          <w:sz w:val="24"/>
          <w:szCs w:val="24"/>
          <w:highlight w:val="none"/>
          <w:shd w:val="clear" w:color="auto" w:fill="auto"/>
          <w:lang w:val="en-US" w:eastAsia="zh-CN" w:bidi="ar-SA"/>
        </w:rPr>
      </w:pPr>
      <w:r>
        <w:rPr>
          <w:rFonts w:hint="eastAsia" w:ascii="宋体" w:hAnsi="宋体" w:eastAsia="宋体" w:cs="宋体"/>
          <w:i w:val="0"/>
          <w:iCs w:val="0"/>
          <w:caps w:val="0"/>
          <w:color w:val="auto"/>
          <w:spacing w:val="0"/>
          <w:sz w:val="24"/>
          <w:szCs w:val="24"/>
          <w:highlight w:val="none"/>
          <w:shd w:val="clear" w:color="auto" w:fill="auto"/>
          <w:lang w:bidi="ar-SA"/>
        </w:rPr>
        <w:t>（8）《陕西省中小企业政府采购信用融资办法》（陕财办采〔2018〕23号）；</w:t>
      </w:r>
      <w:r>
        <w:rPr>
          <w:rFonts w:hint="eastAsia" w:ascii="宋体" w:hAnsi="宋体" w:eastAsia="宋体" w:cs="宋体"/>
          <w:i w:val="0"/>
          <w:iCs w:val="0"/>
          <w:caps w:val="0"/>
          <w:color w:val="auto"/>
          <w:spacing w:val="0"/>
          <w:sz w:val="24"/>
          <w:szCs w:val="24"/>
          <w:highlight w:val="none"/>
          <w:shd w:val="clear" w:color="auto" w:fill="auto"/>
          <w:lang w:val="en-US" w:eastAsia="zh-CN" w:bidi="ar-SA"/>
        </w:rPr>
        <w:t xml:space="preserve"> </w:t>
      </w:r>
    </w:p>
    <w:p w14:paraId="0F51B426">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60" w:lineRule="exact"/>
        <w:ind w:left="239" w:leftChars="114" w:right="0" w:rightChars="0" w:firstLine="307" w:firstLineChars="128"/>
        <w:jc w:val="both"/>
        <w:textAlignment w:val="auto"/>
        <w:rPr>
          <w:rFonts w:hint="eastAsia" w:ascii="宋体" w:hAnsi="宋体" w:eastAsia="宋体" w:cs="宋体"/>
          <w:i w:val="0"/>
          <w:iCs w:val="0"/>
          <w:caps w:val="0"/>
          <w:color w:val="auto"/>
          <w:spacing w:val="0"/>
          <w:sz w:val="24"/>
          <w:szCs w:val="24"/>
          <w:highlight w:val="none"/>
          <w:shd w:val="clear" w:color="auto" w:fill="auto"/>
          <w:lang w:bidi="ar-SA"/>
        </w:rPr>
      </w:pPr>
      <w:r>
        <w:rPr>
          <w:rFonts w:hint="eastAsia" w:ascii="宋体" w:hAnsi="宋体" w:eastAsia="宋体" w:cs="宋体"/>
          <w:i w:val="0"/>
          <w:iCs w:val="0"/>
          <w:caps w:val="0"/>
          <w:color w:val="auto"/>
          <w:spacing w:val="0"/>
          <w:sz w:val="24"/>
          <w:szCs w:val="24"/>
          <w:highlight w:val="none"/>
          <w:shd w:val="clear" w:color="auto" w:fill="auto"/>
          <w:lang w:bidi="ar-SA"/>
        </w:rPr>
        <w:t>（9）《关于扩大政府采购支持绿色建材促进建筑品质提升政策实施范围的通知》（财库〔2022〕35号）；</w:t>
      </w:r>
    </w:p>
    <w:p w14:paraId="15B38C5F">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60" w:lineRule="exact"/>
        <w:ind w:left="239" w:leftChars="114" w:right="0" w:rightChars="0" w:firstLine="307" w:firstLineChars="128"/>
        <w:jc w:val="both"/>
        <w:textAlignment w:val="auto"/>
        <w:rPr>
          <w:rFonts w:hint="eastAsia" w:ascii="宋体" w:hAnsi="宋体" w:eastAsia="宋体" w:cs="宋体"/>
          <w:i w:val="0"/>
          <w:iCs w:val="0"/>
          <w:caps w:val="0"/>
          <w:color w:val="auto"/>
          <w:spacing w:val="0"/>
          <w:sz w:val="24"/>
          <w:szCs w:val="24"/>
          <w:highlight w:val="none"/>
          <w:shd w:val="clear" w:color="auto" w:fill="auto"/>
          <w:lang w:bidi="ar-SA"/>
        </w:rPr>
      </w:pPr>
      <w:r>
        <w:rPr>
          <w:rFonts w:hint="eastAsia" w:ascii="宋体" w:hAnsi="宋体" w:eastAsia="宋体" w:cs="宋体"/>
          <w:i w:val="0"/>
          <w:iCs w:val="0"/>
          <w:caps w:val="0"/>
          <w:color w:val="auto"/>
          <w:spacing w:val="0"/>
          <w:sz w:val="24"/>
          <w:szCs w:val="24"/>
          <w:highlight w:val="none"/>
          <w:shd w:val="clear" w:color="auto" w:fill="auto"/>
          <w:lang w:bidi="ar-SA"/>
        </w:rPr>
        <w:t>（10）如有最新颁布的政府采购政策，按最新的文件执行。</w:t>
      </w:r>
    </w:p>
    <w:p w14:paraId="6D19BAC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6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color="auto" w:fill="auto"/>
          <w:lang w:bidi="ar-SA"/>
        </w:rPr>
      </w:pPr>
      <w:r>
        <w:rPr>
          <w:rFonts w:hint="eastAsia" w:ascii="宋体" w:hAnsi="宋体" w:eastAsia="宋体" w:cs="宋体"/>
          <w:i w:val="0"/>
          <w:iCs w:val="0"/>
          <w:caps w:val="0"/>
          <w:color w:val="auto"/>
          <w:spacing w:val="0"/>
          <w:sz w:val="24"/>
          <w:szCs w:val="24"/>
          <w:highlight w:val="none"/>
          <w:shd w:val="clear" w:color="auto" w:fill="auto"/>
          <w:lang w:bidi="ar-SA"/>
        </w:rPr>
        <w:t>3.本项目的特定资格要求：</w:t>
      </w:r>
    </w:p>
    <w:p w14:paraId="48E4AED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6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color="auto" w:fill="auto"/>
          <w:lang w:bidi="ar-SA"/>
        </w:rPr>
      </w:pPr>
      <w:r>
        <w:rPr>
          <w:rFonts w:hint="eastAsia" w:ascii="宋体" w:hAnsi="宋体" w:eastAsia="宋体" w:cs="宋体"/>
          <w:i w:val="0"/>
          <w:iCs w:val="0"/>
          <w:caps w:val="0"/>
          <w:color w:val="auto"/>
          <w:spacing w:val="0"/>
          <w:sz w:val="24"/>
          <w:szCs w:val="24"/>
          <w:highlight w:val="none"/>
          <w:shd w:val="clear" w:color="auto" w:fill="auto"/>
          <w:lang w:bidi="ar-SA"/>
        </w:rPr>
        <w:t>合同包1(陕西省公安厅寄递物流业治安管理信息系统运维项目)特定资格要求如下:</w:t>
      </w:r>
    </w:p>
    <w:p w14:paraId="4D5B77E9">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highlight w:val="none"/>
          <w:shd w:val="clear" w:color="auto" w:fill="auto"/>
          <w:lang w:bidi="ar-SA"/>
        </w:rPr>
      </w:pPr>
      <w:r>
        <w:rPr>
          <w:rFonts w:hint="eastAsia" w:ascii="宋体" w:hAnsi="宋体" w:eastAsia="宋体" w:cs="宋体"/>
          <w:i w:val="0"/>
          <w:iCs w:val="0"/>
          <w:caps w:val="0"/>
          <w:color w:val="auto"/>
          <w:spacing w:val="0"/>
          <w:kern w:val="0"/>
          <w:sz w:val="24"/>
          <w:szCs w:val="24"/>
          <w:shd w:val="clear" w:fill="auto"/>
          <w:lang w:val="en-US" w:eastAsia="zh-CN" w:bidi="ar-SA"/>
        </w:rPr>
        <w:t>（1）</w:t>
      </w:r>
      <w:r>
        <w:rPr>
          <w:rFonts w:hint="eastAsia" w:ascii="宋体" w:hAnsi="宋体" w:eastAsia="宋体" w:cs="宋体"/>
          <w:i w:val="0"/>
          <w:iCs w:val="0"/>
          <w:caps w:val="0"/>
          <w:color w:val="auto"/>
          <w:spacing w:val="0"/>
          <w:sz w:val="24"/>
          <w:szCs w:val="24"/>
          <w:highlight w:val="none"/>
          <w:shd w:val="clear" w:color="auto" w:fill="auto"/>
          <w:lang w:bidi="ar-SA"/>
        </w:rPr>
        <w:t>有效的主体资格证明：提供合格有效的法人或者其他组织的营业执照等证明文件或自然人的身份证明；</w:t>
      </w:r>
    </w:p>
    <w:p w14:paraId="380071F4">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highlight w:val="none"/>
          <w:shd w:val="clear" w:color="auto" w:fill="auto"/>
          <w:lang w:bidi="ar-SA"/>
        </w:rPr>
      </w:pPr>
      <w:r>
        <w:rPr>
          <w:rFonts w:hint="eastAsia" w:ascii="宋体" w:hAnsi="宋体" w:eastAsia="宋体" w:cs="宋体"/>
          <w:i w:val="0"/>
          <w:iCs w:val="0"/>
          <w:caps w:val="0"/>
          <w:color w:val="auto"/>
          <w:spacing w:val="0"/>
          <w:sz w:val="24"/>
          <w:szCs w:val="24"/>
          <w:highlight w:val="none"/>
          <w:shd w:val="clear" w:color="auto" w:fill="auto"/>
          <w:lang w:bidi="ar-SA"/>
        </w:rPr>
        <w:t>（2）财务状况报告：提供2023年度或2024年度的财务审计报告或开标前六个月内其基本存款账户开户银行出具的资信证明（附开户许可证或开户备案证明或基本账户信息）；</w:t>
      </w:r>
    </w:p>
    <w:p w14:paraId="3D49958C">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highlight w:val="none"/>
          <w:shd w:val="clear" w:color="auto" w:fill="auto"/>
          <w:lang w:bidi="ar-SA"/>
        </w:rPr>
      </w:pPr>
      <w:r>
        <w:rPr>
          <w:rFonts w:hint="eastAsia" w:ascii="宋体" w:hAnsi="宋体" w:eastAsia="宋体" w:cs="宋体"/>
          <w:i w:val="0"/>
          <w:iCs w:val="0"/>
          <w:caps w:val="0"/>
          <w:color w:val="auto"/>
          <w:spacing w:val="0"/>
          <w:sz w:val="24"/>
          <w:szCs w:val="24"/>
          <w:highlight w:val="none"/>
          <w:shd w:val="clear" w:color="auto" w:fill="auto"/>
          <w:lang w:bidi="ar-SA"/>
        </w:rPr>
        <w:t>（3）税收缴纳证明：提供2024年10月01日至今已缴存的至少一个月的纳税证明或完税证明，依法免税的单位应提供相关证明材料；</w:t>
      </w:r>
    </w:p>
    <w:p w14:paraId="0848B1EB">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highlight w:val="none"/>
          <w:shd w:val="clear" w:color="auto" w:fill="auto"/>
          <w:lang w:bidi="ar-SA"/>
        </w:rPr>
      </w:pPr>
      <w:r>
        <w:rPr>
          <w:rFonts w:hint="eastAsia" w:ascii="宋体" w:hAnsi="宋体" w:eastAsia="宋体" w:cs="宋体"/>
          <w:i w:val="0"/>
          <w:iCs w:val="0"/>
          <w:caps w:val="0"/>
          <w:color w:val="auto"/>
          <w:spacing w:val="0"/>
          <w:sz w:val="24"/>
          <w:szCs w:val="24"/>
          <w:highlight w:val="none"/>
          <w:shd w:val="clear" w:color="auto" w:fill="auto"/>
          <w:lang w:bidi="ar-SA"/>
        </w:rPr>
        <w:t>（4）社会保障资金缴纳证明：提供2024年10月01日至今已缴存的至少一个月的社会保障资金缴存单据或社保机构开具的社会保险参保缴费情况证明，依法不需要缴纳社会保障资金的单位应提供相关证明材料；</w:t>
      </w:r>
    </w:p>
    <w:p w14:paraId="1B83E96D">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highlight w:val="none"/>
          <w:shd w:val="clear" w:color="auto" w:fill="auto"/>
          <w:lang w:bidi="ar-SA"/>
        </w:rPr>
      </w:pPr>
      <w:r>
        <w:rPr>
          <w:rFonts w:hint="eastAsia" w:ascii="宋体" w:hAnsi="宋体" w:eastAsia="宋体" w:cs="宋体"/>
          <w:i w:val="0"/>
          <w:iCs w:val="0"/>
          <w:caps w:val="0"/>
          <w:color w:val="auto"/>
          <w:spacing w:val="0"/>
          <w:sz w:val="24"/>
          <w:szCs w:val="24"/>
          <w:highlight w:val="none"/>
          <w:shd w:val="clear" w:color="auto" w:fill="auto"/>
          <w:lang w:bidi="ar-SA"/>
        </w:rPr>
        <w:t>（5）无重大违法记录声明：近3年内在经营活动中没有重大违法记录的书面声明；</w:t>
      </w:r>
    </w:p>
    <w:p w14:paraId="30773F5C">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highlight w:val="none"/>
          <w:shd w:val="clear" w:color="auto" w:fill="auto"/>
          <w:lang w:bidi="ar-SA"/>
        </w:rPr>
      </w:pPr>
      <w:r>
        <w:rPr>
          <w:rFonts w:hint="eastAsia" w:ascii="宋体" w:hAnsi="宋体" w:eastAsia="宋体" w:cs="宋体"/>
          <w:i w:val="0"/>
          <w:iCs w:val="0"/>
          <w:caps w:val="0"/>
          <w:color w:val="auto"/>
          <w:spacing w:val="0"/>
          <w:sz w:val="24"/>
          <w:szCs w:val="24"/>
          <w:highlight w:val="none"/>
          <w:shd w:val="clear" w:color="auto" w:fill="auto"/>
          <w:lang w:bidi="ar-SA"/>
        </w:rPr>
        <w:t>（6）专业技术能力证明：具备履行合同所必需的设备和专业技术能力的证明材料(由供应商根据项目需求提供说明材料或者承诺)；</w:t>
      </w:r>
    </w:p>
    <w:p w14:paraId="41DC2B87">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highlight w:val="none"/>
          <w:shd w:val="clear" w:color="auto" w:fill="auto"/>
          <w:lang w:bidi="ar-SA"/>
        </w:rPr>
      </w:pPr>
      <w:r>
        <w:rPr>
          <w:rFonts w:hint="eastAsia" w:ascii="宋体" w:hAnsi="宋体" w:eastAsia="宋体" w:cs="宋体"/>
          <w:i w:val="0"/>
          <w:iCs w:val="0"/>
          <w:caps w:val="0"/>
          <w:color w:val="auto"/>
          <w:spacing w:val="0"/>
          <w:sz w:val="24"/>
          <w:szCs w:val="24"/>
          <w:highlight w:val="none"/>
          <w:shd w:val="clear" w:color="auto" w:fill="auto"/>
          <w:lang w:bidi="ar-SA"/>
        </w:rPr>
        <w:t>（7）法定代表人委托授权书\身份证明：供应商应授权合法的人员参加磋商全过程，其中法定代表人直接参加磋商的，须出具法定代表人身份证，并与营业执照上信息一致。法定代表人授权代表参加磋商的，须出具法定代表人授权书及授权代表身份证。（其他组织或自然人参照执行）；</w:t>
      </w:r>
    </w:p>
    <w:p w14:paraId="6A7FCB98">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highlight w:val="none"/>
          <w:shd w:val="clear" w:color="auto" w:fill="auto"/>
          <w:lang w:bidi="ar-SA"/>
        </w:rPr>
      </w:pPr>
      <w:r>
        <w:rPr>
          <w:rFonts w:hint="eastAsia" w:ascii="宋体" w:hAnsi="宋体" w:eastAsia="宋体" w:cs="宋体"/>
          <w:i w:val="0"/>
          <w:iCs w:val="0"/>
          <w:caps w:val="0"/>
          <w:color w:val="auto"/>
          <w:spacing w:val="0"/>
          <w:sz w:val="24"/>
          <w:szCs w:val="24"/>
          <w:highlight w:val="none"/>
          <w:shd w:val="clear" w:color="auto" w:fill="auto"/>
          <w:lang w:bidi="ar-SA"/>
        </w:rPr>
        <w:t>（8）信用查询：在“信用中国”网站（www.creditchina.gov.cn）和“中国政府采购网”（ccgp.gov.cn）对响应单位信用信息进行查询，如果响应单位被查实在开标前已列入失信被执行人、重大税收违法失信主体、政府采购严重违法失信行为记录名单，其响应为无效；（以磋商当天代理机构核查为准）</w:t>
      </w:r>
    </w:p>
    <w:p w14:paraId="22CF86EA">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highlight w:val="none"/>
          <w:shd w:val="clear" w:color="auto" w:fill="auto"/>
          <w:lang w:bidi="ar-SA"/>
        </w:rPr>
      </w:pPr>
      <w:r>
        <w:rPr>
          <w:rFonts w:hint="eastAsia" w:ascii="宋体" w:hAnsi="宋体" w:eastAsia="宋体" w:cs="宋体"/>
          <w:i w:val="0"/>
          <w:iCs w:val="0"/>
          <w:caps w:val="0"/>
          <w:color w:val="auto"/>
          <w:spacing w:val="0"/>
          <w:sz w:val="24"/>
          <w:szCs w:val="24"/>
          <w:highlight w:val="none"/>
          <w:shd w:val="clear" w:color="auto" w:fill="auto"/>
          <w:lang w:bidi="ar-SA"/>
        </w:rPr>
        <w:t>（9）关联关系：单位负责人为同一人或者存在直接控股、管理关系的不同供应商，不得参加同一合同项下的政府采购活动；</w:t>
      </w:r>
    </w:p>
    <w:p w14:paraId="532EAFF8">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highlight w:val="none"/>
          <w:shd w:val="clear" w:color="auto" w:fill="auto"/>
          <w:lang w:bidi="ar-SA"/>
        </w:rPr>
      </w:pPr>
      <w:r>
        <w:rPr>
          <w:rFonts w:hint="eastAsia" w:ascii="宋体" w:hAnsi="宋体" w:eastAsia="宋体" w:cs="宋体"/>
          <w:i w:val="0"/>
          <w:iCs w:val="0"/>
          <w:caps w:val="0"/>
          <w:color w:val="auto"/>
          <w:spacing w:val="0"/>
          <w:sz w:val="24"/>
          <w:szCs w:val="24"/>
          <w:highlight w:val="none"/>
          <w:shd w:val="clear" w:color="auto" w:fill="auto"/>
          <w:lang w:bidi="ar-SA"/>
        </w:rPr>
        <w:t>（10）本项目属于专门面向中小企业采购，供应商应为中小微企业【中型或小型或微型】或监狱企业或残疾人福利性单位。</w:t>
      </w:r>
    </w:p>
    <w:p w14:paraId="45E855A5">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0"/>
        <w:jc w:val="both"/>
        <w:textAlignment w:val="auto"/>
        <w:rPr>
          <w:rStyle w:val="23"/>
          <w:rFonts w:hint="eastAsia" w:ascii="宋体" w:hAnsi="宋体" w:eastAsia="宋体" w:cs="宋体"/>
          <w:b/>
          <w:bCs/>
          <w:i w:val="0"/>
          <w:iCs w:val="0"/>
          <w:caps w:val="0"/>
          <w:color w:val="auto"/>
          <w:spacing w:val="0"/>
          <w:sz w:val="24"/>
          <w:szCs w:val="24"/>
          <w:highlight w:val="none"/>
          <w:shd w:val="clear" w:color="auto" w:fill="auto"/>
        </w:rPr>
      </w:pPr>
      <w:r>
        <w:rPr>
          <w:rStyle w:val="23"/>
          <w:rFonts w:hint="eastAsia" w:ascii="宋体" w:hAnsi="宋体" w:eastAsia="宋体" w:cs="宋体"/>
          <w:b/>
          <w:bCs/>
          <w:i w:val="0"/>
          <w:iCs w:val="0"/>
          <w:caps w:val="0"/>
          <w:color w:val="auto"/>
          <w:spacing w:val="0"/>
          <w:sz w:val="24"/>
          <w:szCs w:val="24"/>
          <w:highlight w:val="none"/>
          <w:shd w:val="clear" w:color="auto" w:fill="auto"/>
        </w:rPr>
        <w:t>三、获取采购文件</w:t>
      </w:r>
    </w:p>
    <w:p w14:paraId="4CF0D861">
      <w:pPr>
        <w:spacing w:line="420" w:lineRule="atLeast"/>
        <w:ind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t>时间：202</w:t>
      </w:r>
      <w:r>
        <w:rPr>
          <w:rFonts w:hint="eastAsia" w:ascii="宋体" w:hAnsi="宋体" w:eastAsia="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lang w:eastAsia="zh-CN"/>
        </w:rPr>
        <w:t>年08月06日至2025年08月13日，每天上午08:00:00至12:00:00，下午13:30:0</w:t>
      </w:r>
      <w:r>
        <w:rPr>
          <w:rFonts w:hint="eastAsia" w:ascii="宋体" w:hAnsi="宋体" w:eastAsia="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eastAsia="zh-CN"/>
        </w:rPr>
        <w:t>至17:30:00（北京时间）</w:t>
      </w:r>
    </w:p>
    <w:p w14:paraId="4C0157C9">
      <w:pPr>
        <w:spacing w:line="420" w:lineRule="atLeast"/>
        <w:ind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t>途径：西安市高新路88号尚品国际B幢25层</w:t>
      </w:r>
    </w:p>
    <w:p w14:paraId="3ABF625B">
      <w:pPr>
        <w:spacing w:line="420" w:lineRule="atLeast"/>
        <w:ind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t>方式：现场获取</w:t>
      </w:r>
    </w:p>
    <w:p w14:paraId="536B1D8D">
      <w:pPr>
        <w:spacing w:line="420" w:lineRule="atLeast"/>
        <w:ind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t>售价：0元</w:t>
      </w:r>
    </w:p>
    <w:p w14:paraId="1AD95E5D">
      <w:pPr>
        <w:keepNext w:val="0"/>
        <w:keepLines w:val="0"/>
        <w:pageBreakBefore w:val="0"/>
        <w:widowControl w:val="0"/>
        <w:kinsoku/>
        <w:wordWrap/>
        <w:overflowPunct/>
        <w:topLinePunct w:val="0"/>
        <w:autoSpaceDE/>
        <w:autoSpaceDN/>
        <w:bidi w:val="0"/>
        <w:adjustRightInd w:val="0"/>
        <w:snapToGrid/>
        <w:spacing w:line="420" w:lineRule="atLeast"/>
        <w:ind w:firstLine="0" w:firstLineChars="0"/>
        <w:textAlignment w:val="auto"/>
        <w:rPr>
          <w:rStyle w:val="23"/>
          <w:rFonts w:hint="eastAsia" w:ascii="宋体" w:hAnsi="宋体" w:eastAsia="宋体" w:cs="宋体"/>
          <w:b/>
          <w:bCs/>
          <w:i w:val="0"/>
          <w:iCs w:val="0"/>
          <w:caps w:val="0"/>
          <w:color w:val="auto"/>
          <w:spacing w:val="0"/>
          <w:sz w:val="24"/>
          <w:szCs w:val="24"/>
          <w:highlight w:val="none"/>
          <w:shd w:val="clear" w:color="auto" w:fill="auto"/>
        </w:rPr>
      </w:pPr>
      <w:r>
        <w:rPr>
          <w:rStyle w:val="23"/>
          <w:rFonts w:hint="eastAsia" w:ascii="宋体" w:hAnsi="宋体" w:eastAsia="宋体" w:cs="宋体"/>
          <w:b/>
          <w:bCs/>
          <w:i w:val="0"/>
          <w:iCs w:val="0"/>
          <w:caps w:val="0"/>
          <w:color w:val="auto"/>
          <w:spacing w:val="0"/>
          <w:sz w:val="24"/>
          <w:szCs w:val="24"/>
          <w:highlight w:val="none"/>
          <w:shd w:val="clear" w:color="auto" w:fill="auto"/>
        </w:rPr>
        <w:t>四、响应文件提交</w:t>
      </w:r>
    </w:p>
    <w:p w14:paraId="3E6E8E65">
      <w:pPr>
        <w:spacing w:line="420" w:lineRule="atLeast"/>
        <w:ind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t>截止时间：2025年08月19日 09时00分00秒（北京时间）</w:t>
      </w:r>
    </w:p>
    <w:p w14:paraId="1741517D">
      <w:pPr>
        <w:spacing w:line="420" w:lineRule="atLeast"/>
        <w:ind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t>地点：西安市高新路88号尚品国际B幢25层开标二室纸质文件递交</w:t>
      </w:r>
    </w:p>
    <w:p w14:paraId="01E91141">
      <w:pPr>
        <w:keepNext w:val="0"/>
        <w:keepLines w:val="0"/>
        <w:pageBreakBefore w:val="0"/>
        <w:widowControl w:val="0"/>
        <w:kinsoku/>
        <w:wordWrap/>
        <w:overflowPunct/>
        <w:topLinePunct w:val="0"/>
        <w:autoSpaceDE/>
        <w:autoSpaceDN/>
        <w:bidi w:val="0"/>
        <w:adjustRightInd w:val="0"/>
        <w:snapToGrid/>
        <w:spacing w:line="420" w:lineRule="atLeast"/>
        <w:ind w:firstLine="0" w:firstLineChars="0"/>
        <w:textAlignment w:val="auto"/>
        <w:rPr>
          <w:rStyle w:val="23"/>
          <w:rFonts w:hint="eastAsia" w:ascii="宋体" w:hAnsi="宋体" w:eastAsia="宋体" w:cs="宋体"/>
          <w:b/>
          <w:bCs/>
          <w:i w:val="0"/>
          <w:iCs w:val="0"/>
          <w:caps w:val="0"/>
          <w:color w:val="auto"/>
          <w:spacing w:val="0"/>
          <w:sz w:val="24"/>
          <w:szCs w:val="24"/>
          <w:highlight w:val="none"/>
          <w:shd w:val="clear" w:color="auto" w:fill="auto"/>
        </w:rPr>
      </w:pPr>
      <w:r>
        <w:rPr>
          <w:rStyle w:val="23"/>
          <w:rFonts w:hint="eastAsia" w:ascii="宋体" w:hAnsi="宋体" w:eastAsia="宋体" w:cs="宋体"/>
          <w:b/>
          <w:bCs/>
          <w:i w:val="0"/>
          <w:iCs w:val="0"/>
          <w:caps w:val="0"/>
          <w:color w:val="auto"/>
          <w:spacing w:val="0"/>
          <w:sz w:val="24"/>
          <w:szCs w:val="24"/>
          <w:highlight w:val="none"/>
          <w:shd w:val="clear" w:color="auto" w:fill="auto"/>
        </w:rPr>
        <w:t>五、开启</w:t>
      </w:r>
    </w:p>
    <w:p w14:paraId="2A29E88E">
      <w:pPr>
        <w:spacing w:line="420" w:lineRule="atLeast"/>
        <w:ind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t>时间：2025年08月19日 09时00分00秒（北京时间）</w:t>
      </w:r>
    </w:p>
    <w:p w14:paraId="1B2796C0">
      <w:pPr>
        <w:spacing w:line="420" w:lineRule="atLeast"/>
        <w:ind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t>地点：西安市高新路88号尚品国际B幢25层开标二室</w:t>
      </w:r>
    </w:p>
    <w:p w14:paraId="1C2FB461">
      <w:pPr>
        <w:keepNext w:val="0"/>
        <w:keepLines w:val="0"/>
        <w:pageBreakBefore w:val="0"/>
        <w:widowControl w:val="0"/>
        <w:kinsoku/>
        <w:wordWrap/>
        <w:overflowPunct/>
        <w:topLinePunct w:val="0"/>
        <w:autoSpaceDE/>
        <w:autoSpaceDN/>
        <w:bidi w:val="0"/>
        <w:adjustRightInd w:val="0"/>
        <w:snapToGrid/>
        <w:spacing w:line="420" w:lineRule="atLeast"/>
        <w:ind w:firstLine="0" w:firstLineChars="0"/>
        <w:textAlignment w:val="auto"/>
        <w:rPr>
          <w:rStyle w:val="23"/>
          <w:rFonts w:hint="eastAsia" w:ascii="宋体" w:hAnsi="宋体" w:eastAsia="宋体" w:cs="宋体"/>
          <w:b/>
          <w:bCs/>
          <w:i w:val="0"/>
          <w:iCs w:val="0"/>
          <w:caps w:val="0"/>
          <w:color w:val="auto"/>
          <w:spacing w:val="0"/>
          <w:sz w:val="24"/>
          <w:szCs w:val="24"/>
          <w:highlight w:val="none"/>
          <w:shd w:val="clear" w:color="auto" w:fill="auto"/>
        </w:rPr>
      </w:pPr>
      <w:r>
        <w:rPr>
          <w:rStyle w:val="23"/>
          <w:rFonts w:hint="eastAsia" w:ascii="宋体" w:hAnsi="宋体" w:eastAsia="宋体" w:cs="宋体"/>
          <w:b/>
          <w:bCs/>
          <w:i w:val="0"/>
          <w:iCs w:val="0"/>
          <w:caps w:val="0"/>
          <w:color w:val="auto"/>
          <w:spacing w:val="0"/>
          <w:sz w:val="24"/>
          <w:szCs w:val="24"/>
          <w:highlight w:val="none"/>
          <w:shd w:val="clear" w:color="auto" w:fill="auto"/>
        </w:rPr>
        <w:t>六、公告期限</w:t>
      </w:r>
    </w:p>
    <w:p w14:paraId="729F5EE2">
      <w:pPr>
        <w:spacing w:line="420" w:lineRule="atLeast"/>
        <w:ind w:firstLine="480" w:firstLineChars="20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自本公告发布之日起3个工作日。</w:t>
      </w:r>
    </w:p>
    <w:p w14:paraId="331D5B84">
      <w:pPr>
        <w:keepNext w:val="0"/>
        <w:keepLines w:val="0"/>
        <w:pageBreakBefore w:val="0"/>
        <w:widowControl w:val="0"/>
        <w:kinsoku/>
        <w:wordWrap/>
        <w:overflowPunct/>
        <w:topLinePunct w:val="0"/>
        <w:autoSpaceDE/>
        <w:autoSpaceDN/>
        <w:bidi w:val="0"/>
        <w:adjustRightInd w:val="0"/>
        <w:snapToGrid/>
        <w:spacing w:line="420" w:lineRule="atLeast"/>
        <w:ind w:firstLine="0" w:firstLineChars="0"/>
        <w:textAlignment w:val="auto"/>
        <w:rPr>
          <w:rStyle w:val="23"/>
          <w:rFonts w:hint="eastAsia" w:ascii="宋体" w:hAnsi="宋体" w:eastAsia="宋体" w:cs="宋体"/>
          <w:b/>
          <w:bCs/>
          <w:i w:val="0"/>
          <w:iCs w:val="0"/>
          <w:caps w:val="0"/>
          <w:color w:val="auto"/>
          <w:spacing w:val="0"/>
          <w:sz w:val="24"/>
          <w:szCs w:val="24"/>
          <w:highlight w:val="none"/>
          <w:shd w:val="clear" w:color="auto" w:fill="auto"/>
        </w:rPr>
      </w:pPr>
      <w:r>
        <w:rPr>
          <w:rStyle w:val="23"/>
          <w:rFonts w:hint="eastAsia" w:ascii="宋体" w:hAnsi="宋体" w:eastAsia="宋体" w:cs="宋体"/>
          <w:b/>
          <w:bCs/>
          <w:i w:val="0"/>
          <w:iCs w:val="0"/>
          <w:caps w:val="0"/>
          <w:color w:val="auto"/>
          <w:spacing w:val="0"/>
          <w:sz w:val="24"/>
          <w:szCs w:val="24"/>
          <w:highlight w:val="none"/>
          <w:shd w:val="clear" w:color="auto" w:fill="auto"/>
        </w:rPr>
        <w:t>七、其他补充事宜</w:t>
      </w:r>
    </w:p>
    <w:p w14:paraId="0602FCBA">
      <w:pPr>
        <w:spacing w:line="420" w:lineRule="atLeast"/>
        <w:ind w:firstLine="480" w:firstLineChars="20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1.现场获取：获取竞争性磋商文件请携带单位介绍信、经办人身份证复印件（加盖供应商公章）。</w:t>
      </w:r>
    </w:p>
    <w:p w14:paraId="333D2F59">
      <w:pPr>
        <w:spacing w:line="420" w:lineRule="atLeast"/>
        <w:ind w:firstLine="480" w:firstLineChars="20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2.请供应商按照《陕西省财政厅关于政府采购投标人注册登记有关事项的通知》中的要求，通过陕西省政府采购网（http://www.ccgp-shaanxi.gov.cn/）注册登记加入陕西省政府采购供应商库。</w:t>
      </w:r>
    </w:p>
    <w:p w14:paraId="43D7C6FE">
      <w:pPr>
        <w:keepNext w:val="0"/>
        <w:keepLines w:val="0"/>
        <w:pageBreakBefore w:val="0"/>
        <w:widowControl w:val="0"/>
        <w:kinsoku/>
        <w:wordWrap/>
        <w:overflowPunct/>
        <w:topLinePunct w:val="0"/>
        <w:autoSpaceDE/>
        <w:autoSpaceDN/>
        <w:bidi w:val="0"/>
        <w:adjustRightInd w:val="0"/>
        <w:snapToGrid/>
        <w:spacing w:line="420" w:lineRule="atLeast"/>
        <w:ind w:firstLine="0" w:firstLineChars="0"/>
        <w:textAlignment w:val="auto"/>
        <w:rPr>
          <w:rStyle w:val="23"/>
          <w:rFonts w:hint="eastAsia" w:ascii="宋体" w:hAnsi="宋体" w:eastAsia="宋体" w:cs="宋体"/>
          <w:b/>
          <w:bCs/>
          <w:i w:val="0"/>
          <w:iCs w:val="0"/>
          <w:caps w:val="0"/>
          <w:color w:val="auto"/>
          <w:spacing w:val="0"/>
          <w:sz w:val="24"/>
          <w:szCs w:val="24"/>
          <w:highlight w:val="none"/>
          <w:shd w:val="clear" w:color="auto" w:fill="auto"/>
        </w:rPr>
      </w:pPr>
      <w:r>
        <w:rPr>
          <w:rStyle w:val="23"/>
          <w:rFonts w:hint="eastAsia" w:ascii="宋体" w:hAnsi="宋体" w:eastAsia="宋体" w:cs="宋体"/>
          <w:b/>
          <w:bCs/>
          <w:i w:val="0"/>
          <w:iCs w:val="0"/>
          <w:caps w:val="0"/>
          <w:color w:val="auto"/>
          <w:spacing w:val="0"/>
          <w:sz w:val="24"/>
          <w:szCs w:val="24"/>
          <w:highlight w:val="none"/>
          <w:shd w:val="clear" w:color="auto" w:fill="auto"/>
        </w:rPr>
        <w:t>八、对本次招标提出询问，请按以下方式联系。</w:t>
      </w:r>
    </w:p>
    <w:p w14:paraId="2576C44D">
      <w:pPr>
        <w:spacing w:line="420" w:lineRule="atLeast"/>
        <w:ind w:firstLine="482" w:firstLineChars="200"/>
        <w:rPr>
          <w:rFonts w:hint="eastAsia" w:ascii="宋体" w:hAnsi="宋体" w:eastAsia="宋体" w:cs="宋体"/>
          <w:b/>
          <w:bCs/>
          <w:color w:val="auto"/>
          <w:sz w:val="24"/>
          <w:highlight w:val="none"/>
          <w:shd w:val="clear" w:color="auto" w:fill="auto"/>
          <w:lang w:val="en-US" w:eastAsia="zh-CN"/>
        </w:rPr>
      </w:pPr>
      <w:r>
        <w:rPr>
          <w:rFonts w:hint="eastAsia" w:ascii="宋体" w:hAnsi="宋体" w:eastAsia="宋体" w:cs="宋体"/>
          <w:b/>
          <w:bCs/>
          <w:color w:val="auto"/>
          <w:sz w:val="24"/>
          <w:highlight w:val="none"/>
          <w:shd w:val="clear" w:color="auto" w:fill="auto"/>
          <w:lang w:val="en-US" w:eastAsia="zh-CN"/>
        </w:rPr>
        <w:t>1.采购人信息</w:t>
      </w:r>
    </w:p>
    <w:p w14:paraId="75D6A5DA">
      <w:pPr>
        <w:spacing w:line="420" w:lineRule="atLeast"/>
        <w:ind w:firstLine="720" w:firstLineChars="30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名称：省公安厅机关</w:t>
      </w:r>
    </w:p>
    <w:p w14:paraId="5337DB85">
      <w:pPr>
        <w:spacing w:line="420" w:lineRule="atLeast"/>
        <w:ind w:firstLine="720" w:firstLineChars="30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地址：西安市未央区凤城二路19号</w:t>
      </w:r>
    </w:p>
    <w:p w14:paraId="4BD1B477">
      <w:pPr>
        <w:spacing w:line="420" w:lineRule="atLeast"/>
        <w:ind w:firstLine="720" w:firstLineChars="30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联系方式：黄警官 029-81210106</w:t>
      </w:r>
    </w:p>
    <w:p w14:paraId="20A2B2A6">
      <w:pPr>
        <w:spacing w:line="420" w:lineRule="atLeast"/>
        <w:ind w:firstLine="482" w:firstLineChars="200"/>
        <w:rPr>
          <w:rFonts w:hint="eastAsia" w:ascii="宋体" w:hAnsi="宋体" w:eastAsia="宋体" w:cs="宋体"/>
          <w:b/>
          <w:bCs/>
          <w:color w:val="auto"/>
          <w:sz w:val="24"/>
          <w:highlight w:val="none"/>
          <w:shd w:val="clear" w:color="auto" w:fill="auto"/>
          <w:lang w:val="en-US" w:eastAsia="zh-CN"/>
        </w:rPr>
      </w:pPr>
      <w:r>
        <w:rPr>
          <w:rFonts w:hint="eastAsia" w:ascii="宋体" w:hAnsi="宋体" w:eastAsia="宋体" w:cs="宋体"/>
          <w:b/>
          <w:bCs/>
          <w:color w:val="auto"/>
          <w:sz w:val="24"/>
          <w:highlight w:val="none"/>
          <w:shd w:val="clear" w:color="auto" w:fill="auto"/>
          <w:lang w:val="en-US" w:eastAsia="zh-CN"/>
        </w:rPr>
        <w:t>2.采购代理机构信息</w:t>
      </w:r>
    </w:p>
    <w:p w14:paraId="4A69FF8C">
      <w:pPr>
        <w:spacing w:line="420" w:lineRule="atLeast"/>
        <w:ind w:firstLine="720" w:firstLineChars="30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名称：华晟国际项目管理有限公司</w:t>
      </w:r>
    </w:p>
    <w:p w14:paraId="1DD1C819">
      <w:pPr>
        <w:spacing w:line="420" w:lineRule="atLeast"/>
        <w:ind w:firstLine="720" w:firstLineChars="30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地址：西安市高新区高新路88号尚品国际B幢25层</w:t>
      </w:r>
    </w:p>
    <w:p w14:paraId="35EBEBB0">
      <w:pPr>
        <w:spacing w:line="420" w:lineRule="atLeast"/>
        <w:ind w:firstLine="720" w:firstLineChars="30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联系方式：029-82665555转8003</w:t>
      </w:r>
    </w:p>
    <w:p w14:paraId="23FB5F7B">
      <w:pPr>
        <w:spacing w:line="420" w:lineRule="atLeast"/>
        <w:ind w:firstLine="482" w:firstLineChars="200"/>
        <w:rPr>
          <w:rFonts w:hint="eastAsia" w:ascii="宋体" w:hAnsi="宋体" w:eastAsia="宋体" w:cs="宋体"/>
          <w:b/>
          <w:bCs/>
          <w:color w:val="auto"/>
          <w:sz w:val="24"/>
          <w:highlight w:val="none"/>
          <w:shd w:val="clear" w:color="auto" w:fill="auto"/>
          <w:lang w:val="en-US" w:eastAsia="zh-CN"/>
        </w:rPr>
      </w:pPr>
      <w:r>
        <w:rPr>
          <w:rFonts w:hint="eastAsia" w:ascii="宋体" w:hAnsi="宋体" w:eastAsia="宋体" w:cs="宋体"/>
          <w:b/>
          <w:bCs/>
          <w:color w:val="auto"/>
          <w:sz w:val="24"/>
          <w:highlight w:val="none"/>
          <w:shd w:val="clear" w:color="auto" w:fill="auto"/>
          <w:lang w:val="en-US" w:eastAsia="zh-CN"/>
        </w:rPr>
        <w:t>3.项目联系方式</w:t>
      </w:r>
    </w:p>
    <w:p w14:paraId="0D19454E">
      <w:pPr>
        <w:spacing w:line="420" w:lineRule="atLeast"/>
        <w:ind w:firstLine="720" w:firstLineChars="30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项目联系人：柴静、张佳音、种梦妮</w:t>
      </w:r>
    </w:p>
    <w:p w14:paraId="76E77606">
      <w:pPr>
        <w:spacing w:line="420" w:lineRule="atLeast"/>
        <w:ind w:firstLine="720" w:firstLineChars="30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电话：029-82665555转8003</w:t>
      </w:r>
    </w:p>
    <w:p w14:paraId="48870F02">
      <w:pPr>
        <w:keepNext w:val="0"/>
        <w:keepLines w:val="0"/>
        <w:pageBreakBefore w:val="0"/>
        <w:widowControl w:val="0"/>
        <w:kinsoku/>
        <w:wordWrap/>
        <w:overflowPunct/>
        <w:topLinePunct w:val="0"/>
        <w:autoSpaceDE/>
        <w:autoSpaceDN/>
        <w:bidi w:val="0"/>
        <w:adjustRightInd w:val="0"/>
        <w:snapToGrid/>
        <w:spacing w:line="420" w:lineRule="atLeast"/>
        <w:ind w:firstLine="0" w:firstLineChars="0"/>
        <w:jc w:val="right"/>
        <w:textAlignment w:val="auto"/>
        <w:rPr>
          <w:rStyle w:val="23"/>
          <w:rFonts w:hint="eastAsia" w:ascii="宋体" w:hAnsi="宋体" w:eastAsia="宋体" w:cs="宋体"/>
          <w:b/>
          <w:bCs/>
          <w:i w:val="0"/>
          <w:iCs w:val="0"/>
          <w:caps w:val="0"/>
          <w:color w:val="auto"/>
          <w:spacing w:val="0"/>
          <w:sz w:val="24"/>
          <w:szCs w:val="24"/>
          <w:highlight w:val="none"/>
          <w:shd w:val="clear" w:color="auto" w:fill="auto"/>
        </w:rPr>
      </w:pPr>
      <w:r>
        <w:rPr>
          <w:rStyle w:val="23"/>
          <w:rFonts w:hint="eastAsia" w:ascii="宋体" w:hAnsi="宋体" w:eastAsia="宋体" w:cs="宋体"/>
          <w:b/>
          <w:bCs/>
          <w:i w:val="0"/>
          <w:iCs w:val="0"/>
          <w:caps w:val="0"/>
          <w:color w:val="auto"/>
          <w:spacing w:val="0"/>
          <w:sz w:val="24"/>
          <w:szCs w:val="24"/>
          <w:highlight w:val="none"/>
          <w:shd w:val="clear" w:color="auto" w:fill="auto"/>
        </w:rPr>
        <w:t>华晟国际项目管理有限公司</w:t>
      </w:r>
    </w:p>
    <w:p w14:paraId="18D90300">
      <w:pPr>
        <w:keepNext w:val="0"/>
        <w:keepLines w:val="0"/>
        <w:pageBreakBefore w:val="0"/>
        <w:widowControl w:val="0"/>
        <w:kinsoku/>
        <w:wordWrap/>
        <w:overflowPunct/>
        <w:topLinePunct w:val="0"/>
        <w:autoSpaceDE/>
        <w:autoSpaceDN/>
        <w:bidi w:val="0"/>
        <w:adjustRightInd w:val="0"/>
        <w:snapToGrid/>
        <w:spacing w:line="420" w:lineRule="atLeast"/>
        <w:ind w:firstLine="0" w:firstLineChars="0"/>
        <w:jc w:val="right"/>
        <w:textAlignment w:val="auto"/>
        <w:rPr>
          <w:rStyle w:val="23"/>
          <w:rFonts w:hint="eastAsia" w:ascii="宋体" w:hAnsi="宋体" w:eastAsia="宋体" w:cs="宋体"/>
          <w:b/>
          <w:bCs/>
          <w:i w:val="0"/>
          <w:iCs w:val="0"/>
          <w:caps w:val="0"/>
          <w:color w:val="auto"/>
          <w:spacing w:val="0"/>
          <w:sz w:val="24"/>
          <w:szCs w:val="24"/>
          <w:highlight w:val="none"/>
          <w:shd w:val="clear" w:color="auto" w:fill="auto"/>
        </w:rPr>
      </w:pPr>
      <w:r>
        <w:rPr>
          <w:rStyle w:val="23"/>
          <w:rFonts w:hint="eastAsia" w:ascii="宋体" w:hAnsi="宋体" w:eastAsia="宋体" w:cs="宋体"/>
          <w:b/>
          <w:bCs/>
          <w:i w:val="0"/>
          <w:iCs w:val="0"/>
          <w:caps w:val="0"/>
          <w:color w:val="auto"/>
          <w:spacing w:val="0"/>
          <w:sz w:val="24"/>
          <w:szCs w:val="24"/>
          <w:highlight w:val="none"/>
          <w:shd w:val="clear" w:color="auto" w:fill="auto"/>
        </w:rPr>
        <w:t>2025年08月06日</w:t>
      </w:r>
    </w:p>
    <w:p w14:paraId="42519797">
      <w:pPr>
        <w:rPr>
          <w:rFonts w:hint="eastAsia" w:ascii="宋体" w:hAnsi="宋体" w:cs="宋体"/>
          <w:color w:val="000000"/>
          <w:sz w:val="32"/>
          <w:szCs w:val="32"/>
        </w:rPr>
      </w:pPr>
      <w:r>
        <w:rPr>
          <w:rFonts w:hint="eastAsia" w:ascii="宋体" w:hAnsi="宋体" w:cs="宋体"/>
          <w:color w:val="000000"/>
          <w:sz w:val="32"/>
          <w:szCs w:val="32"/>
        </w:rPr>
        <w:br w:type="page"/>
      </w:r>
    </w:p>
    <w:p w14:paraId="38551D92">
      <w:pPr>
        <w:pStyle w:val="3"/>
        <w:keepNext w:val="0"/>
        <w:keepLines w:val="0"/>
        <w:rPr>
          <w:rFonts w:ascii="宋体" w:hAnsi="宋体" w:cs="宋体"/>
          <w:color w:val="000000"/>
          <w:sz w:val="32"/>
          <w:szCs w:val="32"/>
        </w:rPr>
      </w:pPr>
      <w:r>
        <w:rPr>
          <w:rFonts w:hint="eastAsia" w:ascii="宋体" w:hAnsi="宋体" w:cs="宋体"/>
          <w:color w:val="000000"/>
          <w:sz w:val="32"/>
          <w:szCs w:val="32"/>
        </w:rPr>
        <w:t>第二部分  磋商供应商须知</w:t>
      </w:r>
      <w:bookmarkEnd w:id="4"/>
      <w:bookmarkEnd w:id="5"/>
      <w:bookmarkEnd w:id="6"/>
    </w:p>
    <w:p w14:paraId="51158275">
      <w:pPr>
        <w:jc w:val="center"/>
        <w:rPr>
          <w:rFonts w:ascii="宋体" w:hAnsi="宋体" w:cs="宋体"/>
          <w:b/>
          <w:szCs w:val="21"/>
        </w:rPr>
      </w:pPr>
      <w:r>
        <w:rPr>
          <w:rFonts w:hint="eastAsia" w:ascii="宋体" w:hAnsi="宋体" w:cs="宋体"/>
          <w:b/>
          <w:szCs w:val="21"/>
        </w:rPr>
        <w:t>须知前附表</w:t>
      </w:r>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1891"/>
        <w:gridCol w:w="7303"/>
      </w:tblGrid>
      <w:tr w14:paraId="6D5BE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9" w:type="pct"/>
            <w:vAlign w:val="center"/>
          </w:tcPr>
          <w:p w14:paraId="5EB3E608">
            <w:pPr>
              <w:keepNext w:val="0"/>
              <w:keepLines w:val="0"/>
              <w:pageBreakBefore w:val="0"/>
              <w:widowControl w:val="0"/>
              <w:kinsoku/>
              <w:wordWrap/>
              <w:overflowPunct/>
              <w:topLinePunct w:val="0"/>
              <w:autoSpaceDE/>
              <w:autoSpaceDN/>
              <w:bidi w:val="0"/>
              <w:adjustRightInd/>
              <w:snapToGrid/>
              <w:spacing w:line="324" w:lineRule="auto"/>
              <w:jc w:val="center"/>
              <w:rPr>
                <w:rFonts w:ascii="宋体" w:hAnsi="宋体" w:cs="宋体"/>
                <w:b/>
                <w:bCs/>
                <w:color w:val="000000"/>
                <w:sz w:val="24"/>
              </w:rPr>
            </w:pPr>
            <w:r>
              <w:rPr>
                <w:rFonts w:hint="eastAsia" w:ascii="宋体" w:hAnsi="宋体" w:cs="宋体"/>
                <w:b/>
                <w:bCs/>
                <w:color w:val="000000"/>
                <w:sz w:val="24"/>
              </w:rPr>
              <w:t>序号</w:t>
            </w:r>
          </w:p>
        </w:tc>
        <w:tc>
          <w:tcPr>
            <w:tcW w:w="950" w:type="pct"/>
            <w:vAlign w:val="center"/>
          </w:tcPr>
          <w:p w14:paraId="431AF9C7">
            <w:pPr>
              <w:keepNext w:val="0"/>
              <w:keepLines w:val="0"/>
              <w:pageBreakBefore w:val="0"/>
              <w:widowControl w:val="0"/>
              <w:kinsoku/>
              <w:wordWrap/>
              <w:overflowPunct/>
              <w:topLinePunct w:val="0"/>
              <w:autoSpaceDE/>
              <w:autoSpaceDN/>
              <w:bidi w:val="0"/>
              <w:adjustRightInd/>
              <w:snapToGrid/>
              <w:spacing w:line="324" w:lineRule="auto"/>
              <w:jc w:val="center"/>
              <w:rPr>
                <w:rFonts w:ascii="宋体" w:hAnsi="宋体" w:cs="宋体"/>
                <w:b/>
                <w:bCs/>
                <w:color w:val="000000"/>
                <w:sz w:val="24"/>
              </w:rPr>
            </w:pPr>
            <w:r>
              <w:rPr>
                <w:rFonts w:hint="eastAsia" w:ascii="宋体" w:hAnsi="宋体" w:cs="宋体"/>
                <w:b/>
                <w:bCs/>
                <w:color w:val="000000"/>
                <w:sz w:val="24"/>
              </w:rPr>
              <w:t>条款名称</w:t>
            </w:r>
          </w:p>
        </w:tc>
        <w:tc>
          <w:tcPr>
            <w:tcW w:w="3669" w:type="pct"/>
            <w:vAlign w:val="center"/>
          </w:tcPr>
          <w:p w14:paraId="197F388E">
            <w:pPr>
              <w:keepNext w:val="0"/>
              <w:keepLines w:val="0"/>
              <w:pageBreakBefore w:val="0"/>
              <w:widowControl w:val="0"/>
              <w:kinsoku/>
              <w:wordWrap/>
              <w:overflowPunct/>
              <w:topLinePunct w:val="0"/>
              <w:autoSpaceDE/>
              <w:autoSpaceDN/>
              <w:bidi w:val="0"/>
              <w:adjustRightInd/>
              <w:snapToGrid/>
              <w:spacing w:line="324" w:lineRule="auto"/>
              <w:jc w:val="center"/>
              <w:rPr>
                <w:rFonts w:ascii="宋体" w:hAnsi="宋体" w:cs="宋体"/>
                <w:b/>
                <w:bCs/>
                <w:color w:val="000000"/>
                <w:sz w:val="24"/>
              </w:rPr>
            </w:pPr>
            <w:r>
              <w:rPr>
                <w:rFonts w:hint="eastAsia" w:ascii="宋体" w:hAnsi="宋体" w:cs="宋体"/>
                <w:b/>
                <w:bCs/>
                <w:color w:val="000000"/>
                <w:sz w:val="24"/>
              </w:rPr>
              <w:t>编列内容</w:t>
            </w:r>
          </w:p>
        </w:tc>
      </w:tr>
      <w:tr w14:paraId="5E58E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9" w:type="pct"/>
            <w:vAlign w:val="center"/>
          </w:tcPr>
          <w:p w14:paraId="2345EE16">
            <w:pPr>
              <w:keepNext w:val="0"/>
              <w:keepLines w:val="0"/>
              <w:pageBreakBefore w:val="0"/>
              <w:widowControl w:val="0"/>
              <w:kinsoku/>
              <w:wordWrap/>
              <w:overflowPunct/>
              <w:topLinePunct w:val="0"/>
              <w:autoSpaceDE/>
              <w:autoSpaceDN/>
              <w:bidi w:val="0"/>
              <w:adjustRightInd/>
              <w:snapToGrid/>
              <w:spacing w:line="324" w:lineRule="auto"/>
              <w:jc w:val="center"/>
              <w:rPr>
                <w:rFonts w:ascii="宋体" w:hAnsi="宋体" w:cs="宋体"/>
                <w:color w:val="000000"/>
                <w:sz w:val="24"/>
              </w:rPr>
            </w:pPr>
            <w:r>
              <w:rPr>
                <w:rFonts w:hint="eastAsia" w:ascii="宋体" w:hAnsi="宋体" w:cs="宋体"/>
                <w:color w:val="000000"/>
                <w:sz w:val="24"/>
              </w:rPr>
              <w:t>1</w:t>
            </w:r>
          </w:p>
        </w:tc>
        <w:tc>
          <w:tcPr>
            <w:tcW w:w="950" w:type="pct"/>
            <w:vAlign w:val="center"/>
          </w:tcPr>
          <w:p w14:paraId="65670C44">
            <w:pPr>
              <w:keepNext w:val="0"/>
              <w:keepLines w:val="0"/>
              <w:pageBreakBefore w:val="0"/>
              <w:widowControl w:val="0"/>
              <w:kinsoku/>
              <w:wordWrap/>
              <w:overflowPunct/>
              <w:topLinePunct w:val="0"/>
              <w:autoSpaceDE/>
              <w:autoSpaceDN/>
              <w:bidi w:val="0"/>
              <w:adjustRightInd/>
              <w:snapToGrid/>
              <w:spacing w:line="324" w:lineRule="auto"/>
              <w:jc w:val="center"/>
              <w:rPr>
                <w:rFonts w:ascii="宋体" w:hAnsi="宋体" w:cs="宋体"/>
                <w:sz w:val="24"/>
              </w:rPr>
            </w:pPr>
            <w:r>
              <w:rPr>
                <w:rFonts w:hint="eastAsia" w:ascii="宋体" w:hAnsi="宋体" w:cs="宋体"/>
                <w:sz w:val="24"/>
              </w:rPr>
              <w:t>采购人</w:t>
            </w:r>
          </w:p>
        </w:tc>
        <w:tc>
          <w:tcPr>
            <w:tcW w:w="3669" w:type="pct"/>
            <w:vAlign w:val="center"/>
          </w:tcPr>
          <w:p w14:paraId="40047A41">
            <w:pPr>
              <w:keepNext w:val="0"/>
              <w:keepLines w:val="0"/>
              <w:pageBreakBefore w:val="0"/>
              <w:widowControl w:val="0"/>
              <w:kinsoku/>
              <w:wordWrap/>
              <w:overflowPunct/>
              <w:topLinePunct w:val="0"/>
              <w:autoSpaceDE/>
              <w:autoSpaceDN/>
              <w:bidi w:val="0"/>
              <w:adjustRightInd/>
              <w:snapToGrid/>
              <w:spacing w:line="324" w:lineRule="auto"/>
              <w:ind w:firstLine="240" w:firstLineChars="100"/>
              <w:rPr>
                <w:rFonts w:ascii="宋体" w:hAnsi="宋体" w:cs="宋体"/>
                <w:sz w:val="24"/>
                <w:highlight w:val="none"/>
              </w:rPr>
            </w:pPr>
            <w:r>
              <w:rPr>
                <w:rFonts w:hint="eastAsia" w:ascii="宋体" w:hAnsi="宋体" w:cs="宋体"/>
                <w:sz w:val="24"/>
                <w:highlight w:val="none"/>
              </w:rPr>
              <w:t>采购人名称：陕西省公安厅</w:t>
            </w:r>
          </w:p>
          <w:p w14:paraId="795B34DF">
            <w:pPr>
              <w:keepNext w:val="0"/>
              <w:keepLines w:val="0"/>
              <w:pageBreakBefore w:val="0"/>
              <w:widowControl w:val="0"/>
              <w:kinsoku/>
              <w:wordWrap/>
              <w:overflowPunct/>
              <w:topLinePunct w:val="0"/>
              <w:autoSpaceDE/>
              <w:autoSpaceDN/>
              <w:bidi w:val="0"/>
              <w:adjustRightInd/>
              <w:snapToGrid/>
              <w:spacing w:line="324" w:lineRule="auto"/>
              <w:ind w:firstLine="240" w:firstLineChars="100"/>
              <w:rPr>
                <w:rFonts w:ascii="宋体" w:hAnsi="宋体" w:cs="宋体"/>
                <w:sz w:val="24"/>
                <w:highlight w:val="none"/>
              </w:rPr>
            </w:pPr>
            <w:r>
              <w:rPr>
                <w:rFonts w:hint="eastAsia" w:ascii="宋体" w:hAnsi="宋体" w:cs="宋体"/>
                <w:sz w:val="24"/>
                <w:highlight w:val="none"/>
              </w:rPr>
              <w:t>地址：西安市未央区凤城二路19号</w:t>
            </w:r>
          </w:p>
          <w:p w14:paraId="062E8685">
            <w:pPr>
              <w:keepNext w:val="0"/>
              <w:keepLines w:val="0"/>
              <w:pageBreakBefore w:val="0"/>
              <w:widowControl w:val="0"/>
              <w:kinsoku/>
              <w:wordWrap/>
              <w:overflowPunct/>
              <w:topLinePunct w:val="0"/>
              <w:autoSpaceDE/>
              <w:autoSpaceDN/>
              <w:bidi w:val="0"/>
              <w:adjustRightInd/>
              <w:snapToGrid/>
              <w:spacing w:line="324" w:lineRule="auto"/>
              <w:ind w:firstLine="240" w:firstLineChars="100"/>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lang w:eastAsia="zh-CN"/>
              </w:rPr>
              <w:t>黄</w:t>
            </w:r>
            <w:r>
              <w:rPr>
                <w:rFonts w:hint="eastAsia" w:ascii="宋体" w:hAnsi="宋体" w:cs="宋体"/>
                <w:sz w:val="24"/>
                <w:highlight w:val="none"/>
                <w:lang w:val="en-US" w:eastAsia="zh-CN"/>
              </w:rPr>
              <w:t>警官</w:t>
            </w:r>
          </w:p>
          <w:p w14:paraId="26124BBB">
            <w:pPr>
              <w:keepNext w:val="0"/>
              <w:keepLines w:val="0"/>
              <w:pageBreakBefore w:val="0"/>
              <w:widowControl w:val="0"/>
              <w:kinsoku/>
              <w:wordWrap/>
              <w:overflowPunct/>
              <w:topLinePunct w:val="0"/>
              <w:autoSpaceDE/>
              <w:autoSpaceDN/>
              <w:bidi w:val="0"/>
              <w:adjustRightInd/>
              <w:snapToGrid/>
              <w:spacing w:line="324" w:lineRule="auto"/>
              <w:ind w:firstLine="240" w:firstLineChars="100"/>
              <w:rPr>
                <w:rFonts w:hint="default" w:ascii="宋体" w:hAnsi="宋体" w:eastAsia="宋体" w:cs="宋体"/>
                <w:sz w:val="24"/>
                <w:highlight w:val="none"/>
                <w:lang w:val="en-US" w:eastAsia="zh-CN"/>
              </w:rPr>
            </w:pPr>
            <w:r>
              <w:rPr>
                <w:rFonts w:hint="eastAsia" w:ascii="宋体" w:hAnsi="宋体" w:cs="宋体"/>
                <w:sz w:val="24"/>
                <w:highlight w:val="none"/>
              </w:rPr>
              <w:t>电话：029-81210106</w:t>
            </w:r>
          </w:p>
        </w:tc>
      </w:tr>
      <w:tr w14:paraId="552BE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9" w:type="pct"/>
            <w:vAlign w:val="center"/>
          </w:tcPr>
          <w:p w14:paraId="26D0347B">
            <w:pPr>
              <w:keepNext w:val="0"/>
              <w:keepLines w:val="0"/>
              <w:pageBreakBefore w:val="0"/>
              <w:widowControl w:val="0"/>
              <w:kinsoku/>
              <w:wordWrap/>
              <w:overflowPunct/>
              <w:topLinePunct w:val="0"/>
              <w:autoSpaceDE/>
              <w:autoSpaceDN/>
              <w:bidi w:val="0"/>
              <w:adjustRightInd/>
              <w:snapToGrid/>
              <w:spacing w:line="324" w:lineRule="auto"/>
              <w:jc w:val="center"/>
              <w:rPr>
                <w:rFonts w:ascii="宋体" w:hAnsi="宋体" w:cs="宋体"/>
                <w:color w:val="000000"/>
                <w:sz w:val="24"/>
              </w:rPr>
            </w:pPr>
            <w:r>
              <w:rPr>
                <w:rFonts w:hint="eastAsia" w:ascii="宋体" w:hAnsi="宋体" w:cs="宋体"/>
                <w:color w:val="000000"/>
                <w:sz w:val="24"/>
              </w:rPr>
              <w:t>2</w:t>
            </w:r>
          </w:p>
        </w:tc>
        <w:tc>
          <w:tcPr>
            <w:tcW w:w="950" w:type="pct"/>
            <w:vAlign w:val="center"/>
          </w:tcPr>
          <w:p w14:paraId="2D1DBBD2">
            <w:pPr>
              <w:keepNext w:val="0"/>
              <w:keepLines w:val="0"/>
              <w:pageBreakBefore w:val="0"/>
              <w:widowControl w:val="0"/>
              <w:kinsoku/>
              <w:wordWrap/>
              <w:overflowPunct/>
              <w:topLinePunct w:val="0"/>
              <w:autoSpaceDE/>
              <w:autoSpaceDN/>
              <w:bidi w:val="0"/>
              <w:adjustRightInd/>
              <w:snapToGrid/>
              <w:spacing w:line="324" w:lineRule="auto"/>
              <w:jc w:val="center"/>
              <w:rPr>
                <w:rFonts w:ascii="宋体" w:hAnsi="宋体" w:cs="宋体"/>
                <w:color w:val="000000"/>
                <w:sz w:val="24"/>
              </w:rPr>
            </w:pPr>
            <w:r>
              <w:rPr>
                <w:rFonts w:hint="eastAsia" w:ascii="宋体" w:hAnsi="宋体" w:cs="宋体"/>
                <w:color w:val="000000"/>
                <w:sz w:val="24"/>
              </w:rPr>
              <w:t>采购代理机构</w:t>
            </w:r>
          </w:p>
        </w:tc>
        <w:tc>
          <w:tcPr>
            <w:tcW w:w="3669" w:type="pct"/>
            <w:vAlign w:val="center"/>
          </w:tcPr>
          <w:p w14:paraId="563DF73A">
            <w:pPr>
              <w:keepNext w:val="0"/>
              <w:keepLines w:val="0"/>
              <w:pageBreakBefore w:val="0"/>
              <w:widowControl w:val="0"/>
              <w:kinsoku/>
              <w:wordWrap/>
              <w:overflowPunct/>
              <w:topLinePunct w:val="0"/>
              <w:autoSpaceDE/>
              <w:autoSpaceDN/>
              <w:bidi w:val="0"/>
              <w:adjustRightInd/>
              <w:snapToGrid/>
              <w:spacing w:line="324" w:lineRule="auto"/>
              <w:ind w:firstLine="240" w:firstLineChars="100"/>
              <w:rPr>
                <w:rFonts w:ascii="宋体" w:hAnsi="宋体" w:cs="宋体"/>
                <w:sz w:val="24"/>
                <w:highlight w:val="none"/>
              </w:rPr>
            </w:pPr>
            <w:r>
              <w:rPr>
                <w:rFonts w:hint="eastAsia" w:ascii="宋体" w:hAnsi="宋体" w:cs="宋体"/>
                <w:sz w:val="24"/>
                <w:highlight w:val="none"/>
              </w:rPr>
              <w:t>名称：华晟国际项目管理有限公司</w:t>
            </w:r>
          </w:p>
          <w:p w14:paraId="6EE1DC15">
            <w:pPr>
              <w:keepNext w:val="0"/>
              <w:keepLines w:val="0"/>
              <w:pageBreakBefore w:val="0"/>
              <w:widowControl w:val="0"/>
              <w:kinsoku/>
              <w:wordWrap/>
              <w:overflowPunct/>
              <w:topLinePunct w:val="0"/>
              <w:autoSpaceDE/>
              <w:autoSpaceDN/>
              <w:bidi w:val="0"/>
              <w:adjustRightInd/>
              <w:snapToGrid/>
              <w:spacing w:line="324" w:lineRule="auto"/>
              <w:ind w:firstLine="240" w:firstLineChars="100"/>
              <w:rPr>
                <w:rFonts w:ascii="宋体" w:hAnsi="宋体" w:cs="宋体"/>
                <w:sz w:val="24"/>
                <w:highlight w:val="none"/>
              </w:rPr>
            </w:pPr>
            <w:r>
              <w:rPr>
                <w:rFonts w:hint="eastAsia" w:ascii="宋体" w:hAnsi="宋体" w:cs="宋体"/>
                <w:sz w:val="24"/>
                <w:highlight w:val="none"/>
              </w:rPr>
              <w:t>地址：西安市高新路88号尚品国际B幢25层</w:t>
            </w:r>
          </w:p>
          <w:p w14:paraId="223CCC05">
            <w:pPr>
              <w:keepNext w:val="0"/>
              <w:keepLines w:val="0"/>
              <w:pageBreakBefore w:val="0"/>
              <w:widowControl w:val="0"/>
              <w:kinsoku/>
              <w:wordWrap/>
              <w:overflowPunct/>
              <w:topLinePunct w:val="0"/>
              <w:autoSpaceDE/>
              <w:autoSpaceDN/>
              <w:bidi w:val="0"/>
              <w:adjustRightInd/>
              <w:snapToGrid/>
              <w:spacing w:line="324" w:lineRule="auto"/>
              <w:ind w:firstLine="240" w:firstLineChars="100"/>
              <w:rPr>
                <w:rFonts w:hint="default" w:ascii="宋体" w:hAnsi="宋体" w:eastAsia="宋体" w:cs="宋体"/>
                <w:sz w:val="24"/>
                <w:highlight w:val="none"/>
                <w:lang w:val="en-US" w:eastAsia="zh-CN"/>
              </w:rPr>
            </w:pPr>
            <w:r>
              <w:rPr>
                <w:rFonts w:hint="eastAsia" w:ascii="宋体" w:hAnsi="宋体" w:cs="宋体"/>
                <w:sz w:val="24"/>
                <w:highlight w:val="none"/>
              </w:rPr>
              <w:t>联系人：</w:t>
            </w:r>
            <w:r>
              <w:rPr>
                <w:rFonts w:hint="eastAsia" w:ascii="宋体" w:hAnsi="宋体" w:eastAsia="宋体" w:cs="宋体"/>
                <w:b w:val="0"/>
                <w:bCs w:val="0"/>
                <w:color w:val="auto"/>
                <w:kern w:val="2"/>
                <w:sz w:val="24"/>
                <w:szCs w:val="24"/>
                <w:highlight w:val="none"/>
                <w:lang w:val="en-US" w:eastAsia="zh-CN" w:bidi="ar-SA"/>
              </w:rPr>
              <w:t>柴静、张佳音、种梦妮</w:t>
            </w:r>
          </w:p>
          <w:p w14:paraId="18014152">
            <w:pPr>
              <w:keepNext w:val="0"/>
              <w:keepLines w:val="0"/>
              <w:pageBreakBefore w:val="0"/>
              <w:widowControl w:val="0"/>
              <w:kinsoku/>
              <w:wordWrap/>
              <w:overflowPunct/>
              <w:topLinePunct w:val="0"/>
              <w:autoSpaceDE/>
              <w:autoSpaceDN/>
              <w:bidi w:val="0"/>
              <w:adjustRightInd/>
              <w:snapToGrid/>
              <w:spacing w:line="324" w:lineRule="auto"/>
              <w:ind w:firstLine="240" w:firstLineChars="100"/>
              <w:jc w:val="left"/>
              <w:rPr>
                <w:rFonts w:hint="default" w:ascii="宋体" w:hAnsi="宋体" w:eastAsia="宋体" w:cs="宋体"/>
                <w:color w:val="000000"/>
                <w:sz w:val="24"/>
                <w:highlight w:val="none"/>
                <w:lang w:val="en-US" w:eastAsia="zh-CN"/>
              </w:rPr>
            </w:pPr>
            <w:r>
              <w:rPr>
                <w:rFonts w:hint="eastAsia" w:ascii="宋体" w:hAnsi="宋体" w:cs="宋体"/>
                <w:sz w:val="24"/>
                <w:highlight w:val="none"/>
              </w:rPr>
              <w:t>电  话：</w:t>
            </w:r>
            <w:r>
              <w:rPr>
                <w:rStyle w:val="23"/>
                <w:rFonts w:hint="eastAsia" w:ascii="宋体" w:hAnsi="宋体" w:cs="宋体"/>
                <w:b w:val="0"/>
                <w:bCs w:val="0"/>
                <w:i w:val="0"/>
                <w:iCs w:val="0"/>
                <w:caps w:val="0"/>
                <w:color w:val="333333"/>
                <w:spacing w:val="0"/>
                <w:sz w:val="24"/>
                <w:szCs w:val="24"/>
                <w:highlight w:val="none"/>
                <w:shd w:val="clear" w:color="auto" w:fill="FFFFFF"/>
                <w:vertAlign w:val="baseline"/>
                <w:lang w:eastAsia="zh-CN"/>
              </w:rPr>
              <w:t>029-82665555转</w:t>
            </w:r>
            <w:r>
              <w:rPr>
                <w:rStyle w:val="23"/>
                <w:rFonts w:hint="eastAsia" w:ascii="宋体" w:hAnsi="宋体" w:cs="宋体"/>
                <w:b w:val="0"/>
                <w:bCs w:val="0"/>
                <w:i w:val="0"/>
                <w:iCs w:val="0"/>
                <w:caps w:val="0"/>
                <w:color w:val="333333"/>
                <w:spacing w:val="0"/>
                <w:sz w:val="24"/>
                <w:szCs w:val="24"/>
                <w:highlight w:val="none"/>
                <w:shd w:val="clear" w:color="auto" w:fill="FFFFFF"/>
                <w:vertAlign w:val="baseline"/>
                <w:lang w:val="en-US" w:eastAsia="zh-CN"/>
              </w:rPr>
              <w:t>8003</w:t>
            </w:r>
          </w:p>
        </w:tc>
      </w:tr>
      <w:tr w14:paraId="014A8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9" w:type="pct"/>
            <w:vAlign w:val="center"/>
          </w:tcPr>
          <w:p w14:paraId="0E07B6A4">
            <w:pPr>
              <w:keepNext w:val="0"/>
              <w:keepLines w:val="0"/>
              <w:pageBreakBefore w:val="0"/>
              <w:widowControl w:val="0"/>
              <w:kinsoku/>
              <w:wordWrap/>
              <w:overflowPunct/>
              <w:topLinePunct w:val="0"/>
              <w:autoSpaceDE/>
              <w:autoSpaceDN/>
              <w:bidi w:val="0"/>
              <w:adjustRightInd/>
              <w:snapToGrid/>
              <w:spacing w:line="324" w:lineRule="auto"/>
              <w:jc w:val="center"/>
              <w:rPr>
                <w:rFonts w:ascii="宋体" w:hAnsi="宋体" w:cs="宋体"/>
                <w:color w:val="000000"/>
                <w:sz w:val="24"/>
              </w:rPr>
            </w:pPr>
            <w:r>
              <w:rPr>
                <w:rFonts w:hint="eastAsia" w:ascii="宋体" w:hAnsi="宋体" w:cs="宋体"/>
                <w:color w:val="000000"/>
                <w:sz w:val="24"/>
              </w:rPr>
              <w:t>3</w:t>
            </w:r>
          </w:p>
        </w:tc>
        <w:tc>
          <w:tcPr>
            <w:tcW w:w="950" w:type="pct"/>
            <w:vAlign w:val="center"/>
          </w:tcPr>
          <w:p w14:paraId="61C61EC3">
            <w:pPr>
              <w:keepNext w:val="0"/>
              <w:keepLines w:val="0"/>
              <w:pageBreakBefore w:val="0"/>
              <w:widowControl w:val="0"/>
              <w:kinsoku/>
              <w:wordWrap/>
              <w:overflowPunct/>
              <w:topLinePunct w:val="0"/>
              <w:autoSpaceDE/>
              <w:autoSpaceDN/>
              <w:bidi w:val="0"/>
              <w:adjustRightInd/>
              <w:snapToGrid/>
              <w:spacing w:line="324" w:lineRule="auto"/>
              <w:jc w:val="center"/>
              <w:rPr>
                <w:rFonts w:ascii="宋体" w:hAnsi="宋体" w:cs="宋体"/>
                <w:color w:val="000000"/>
                <w:sz w:val="24"/>
              </w:rPr>
            </w:pPr>
            <w:r>
              <w:rPr>
                <w:rFonts w:hint="eastAsia" w:ascii="宋体" w:hAnsi="宋体" w:cs="宋体"/>
                <w:color w:val="000000"/>
                <w:sz w:val="24"/>
              </w:rPr>
              <w:t>项目名称</w:t>
            </w:r>
          </w:p>
        </w:tc>
        <w:tc>
          <w:tcPr>
            <w:tcW w:w="3669" w:type="pct"/>
            <w:vAlign w:val="center"/>
          </w:tcPr>
          <w:p w14:paraId="62D35A69">
            <w:pPr>
              <w:keepNext w:val="0"/>
              <w:keepLines w:val="0"/>
              <w:pageBreakBefore w:val="0"/>
              <w:widowControl w:val="0"/>
              <w:kinsoku/>
              <w:wordWrap/>
              <w:overflowPunct/>
              <w:topLinePunct w:val="0"/>
              <w:autoSpaceDE/>
              <w:autoSpaceDN/>
              <w:bidi w:val="0"/>
              <w:adjustRightInd/>
              <w:snapToGrid/>
              <w:spacing w:line="324" w:lineRule="auto"/>
              <w:ind w:firstLine="240" w:firstLineChars="100"/>
              <w:jc w:val="left"/>
              <w:rPr>
                <w:rFonts w:hint="eastAsia" w:ascii="宋体" w:hAnsi="宋体" w:cs="宋体" w:eastAsiaTheme="minorEastAsia"/>
                <w:color w:val="000000"/>
                <w:sz w:val="24"/>
                <w:lang w:eastAsia="zh-CN"/>
              </w:rPr>
            </w:pPr>
            <w:r>
              <w:rPr>
                <w:rFonts w:hint="eastAsia" w:asciiTheme="minorEastAsia" w:hAnsiTheme="minorEastAsia" w:eastAsiaTheme="minorEastAsia" w:cstheme="minorEastAsia"/>
                <w:sz w:val="24"/>
                <w:lang w:eastAsia="zh-CN"/>
              </w:rPr>
              <w:t>陕西省公安厅寄递物流业治安管理信息系统运维项目</w:t>
            </w:r>
          </w:p>
        </w:tc>
      </w:tr>
      <w:tr w14:paraId="4119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9" w:type="pct"/>
            <w:vAlign w:val="center"/>
          </w:tcPr>
          <w:p w14:paraId="6BA596AC">
            <w:pPr>
              <w:keepNext w:val="0"/>
              <w:keepLines w:val="0"/>
              <w:pageBreakBefore w:val="0"/>
              <w:widowControl w:val="0"/>
              <w:kinsoku/>
              <w:wordWrap/>
              <w:overflowPunct/>
              <w:topLinePunct w:val="0"/>
              <w:autoSpaceDE/>
              <w:autoSpaceDN/>
              <w:bidi w:val="0"/>
              <w:adjustRightInd/>
              <w:snapToGrid/>
              <w:spacing w:line="324" w:lineRule="auto"/>
              <w:jc w:val="center"/>
              <w:rPr>
                <w:rFonts w:ascii="宋体" w:hAnsi="宋体" w:cs="宋体"/>
                <w:color w:val="000000"/>
                <w:sz w:val="24"/>
              </w:rPr>
            </w:pPr>
            <w:r>
              <w:rPr>
                <w:rFonts w:hint="eastAsia" w:ascii="宋体" w:hAnsi="宋体" w:cs="宋体"/>
                <w:color w:val="000000"/>
                <w:sz w:val="24"/>
              </w:rPr>
              <w:t>4</w:t>
            </w:r>
          </w:p>
        </w:tc>
        <w:tc>
          <w:tcPr>
            <w:tcW w:w="950" w:type="pct"/>
            <w:vAlign w:val="center"/>
          </w:tcPr>
          <w:p w14:paraId="782BE008">
            <w:pPr>
              <w:keepNext w:val="0"/>
              <w:keepLines w:val="0"/>
              <w:pageBreakBefore w:val="0"/>
              <w:widowControl w:val="0"/>
              <w:kinsoku/>
              <w:wordWrap/>
              <w:overflowPunct/>
              <w:topLinePunct w:val="0"/>
              <w:autoSpaceDE/>
              <w:autoSpaceDN/>
              <w:bidi w:val="0"/>
              <w:adjustRightInd/>
              <w:snapToGrid/>
              <w:spacing w:line="324" w:lineRule="auto"/>
              <w:jc w:val="center"/>
              <w:rPr>
                <w:rFonts w:ascii="宋体" w:hAnsi="宋体" w:cs="宋体"/>
                <w:color w:val="000000"/>
                <w:sz w:val="24"/>
              </w:rPr>
            </w:pPr>
            <w:r>
              <w:rPr>
                <w:rFonts w:hint="eastAsia" w:ascii="宋体" w:hAnsi="宋体" w:cs="宋体"/>
                <w:color w:val="000000"/>
                <w:sz w:val="24"/>
              </w:rPr>
              <w:t>项目编号</w:t>
            </w:r>
          </w:p>
        </w:tc>
        <w:tc>
          <w:tcPr>
            <w:tcW w:w="3669" w:type="pct"/>
            <w:vAlign w:val="center"/>
          </w:tcPr>
          <w:p w14:paraId="52642E2B">
            <w:pPr>
              <w:keepNext w:val="0"/>
              <w:keepLines w:val="0"/>
              <w:pageBreakBefore w:val="0"/>
              <w:widowControl w:val="0"/>
              <w:kinsoku/>
              <w:wordWrap/>
              <w:overflowPunct/>
              <w:topLinePunct w:val="0"/>
              <w:autoSpaceDE/>
              <w:autoSpaceDN/>
              <w:bidi w:val="0"/>
              <w:adjustRightInd/>
              <w:snapToGrid/>
              <w:spacing w:line="324" w:lineRule="auto"/>
              <w:ind w:firstLine="240" w:firstLineChars="100"/>
              <w:jc w:val="left"/>
              <w:rPr>
                <w:rFonts w:hint="default" w:ascii="宋体" w:hAnsi="宋体" w:eastAsia="宋体" w:cs="宋体"/>
                <w:color w:val="000000"/>
                <w:sz w:val="24"/>
                <w:lang w:val="en-US" w:eastAsia="zh-CN"/>
              </w:rPr>
            </w:pPr>
            <w:r>
              <w:rPr>
                <w:rFonts w:hint="eastAsia" w:asciiTheme="minorEastAsia" w:hAnsiTheme="minorEastAsia" w:eastAsiaTheme="minorEastAsia" w:cstheme="minorEastAsia"/>
                <w:sz w:val="24"/>
                <w:lang w:eastAsia="zh-CN"/>
              </w:rPr>
              <w:t>HSGJ2025-181</w:t>
            </w:r>
          </w:p>
        </w:tc>
      </w:tr>
      <w:tr w14:paraId="4FC19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9" w:type="pct"/>
            <w:vAlign w:val="center"/>
          </w:tcPr>
          <w:p w14:paraId="38B1141B">
            <w:pPr>
              <w:keepNext w:val="0"/>
              <w:keepLines w:val="0"/>
              <w:pageBreakBefore w:val="0"/>
              <w:widowControl w:val="0"/>
              <w:kinsoku/>
              <w:wordWrap/>
              <w:overflowPunct/>
              <w:topLinePunct w:val="0"/>
              <w:autoSpaceDE/>
              <w:autoSpaceDN/>
              <w:bidi w:val="0"/>
              <w:adjustRightInd/>
              <w:snapToGrid/>
              <w:spacing w:line="324" w:lineRule="auto"/>
              <w:jc w:val="center"/>
              <w:rPr>
                <w:rFonts w:ascii="宋体" w:hAnsi="宋体" w:cs="宋体"/>
                <w:color w:val="000000"/>
                <w:sz w:val="24"/>
              </w:rPr>
            </w:pPr>
            <w:r>
              <w:rPr>
                <w:rFonts w:hint="eastAsia" w:ascii="宋体" w:hAnsi="宋体" w:cs="宋体"/>
                <w:color w:val="000000"/>
                <w:sz w:val="24"/>
              </w:rPr>
              <w:t>5</w:t>
            </w:r>
          </w:p>
        </w:tc>
        <w:tc>
          <w:tcPr>
            <w:tcW w:w="950" w:type="pct"/>
            <w:vAlign w:val="center"/>
          </w:tcPr>
          <w:p w14:paraId="163519CD">
            <w:pPr>
              <w:keepNext w:val="0"/>
              <w:keepLines w:val="0"/>
              <w:pageBreakBefore w:val="0"/>
              <w:widowControl w:val="0"/>
              <w:kinsoku/>
              <w:wordWrap/>
              <w:overflowPunct/>
              <w:topLinePunct w:val="0"/>
              <w:autoSpaceDE/>
              <w:autoSpaceDN/>
              <w:bidi w:val="0"/>
              <w:adjustRightInd/>
              <w:snapToGrid/>
              <w:spacing w:line="324" w:lineRule="auto"/>
              <w:jc w:val="center"/>
              <w:rPr>
                <w:rFonts w:ascii="宋体" w:hAnsi="宋体" w:cs="宋体"/>
                <w:color w:val="000000"/>
                <w:sz w:val="24"/>
                <w:highlight w:val="none"/>
              </w:rPr>
            </w:pPr>
            <w:r>
              <w:rPr>
                <w:rFonts w:hint="eastAsia" w:ascii="宋体" w:hAnsi="宋体" w:cs="宋体"/>
                <w:color w:val="000000"/>
                <w:sz w:val="24"/>
                <w:highlight w:val="none"/>
              </w:rPr>
              <w:t>项目预算</w:t>
            </w:r>
          </w:p>
        </w:tc>
        <w:tc>
          <w:tcPr>
            <w:tcW w:w="3669" w:type="pct"/>
            <w:vAlign w:val="center"/>
          </w:tcPr>
          <w:p w14:paraId="3799150D">
            <w:pPr>
              <w:keepNext w:val="0"/>
              <w:keepLines w:val="0"/>
              <w:pageBreakBefore w:val="0"/>
              <w:widowControl w:val="0"/>
              <w:kinsoku/>
              <w:wordWrap/>
              <w:overflowPunct/>
              <w:topLinePunct w:val="0"/>
              <w:autoSpaceDE/>
              <w:autoSpaceDN/>
              <w:bidi w:val="0"/>
              <w:adjustRightInd/>
              <w:snapToGrid/>
              <w:spacing w:line="324" w:lineRule="auto"/>
              <w:ind w:firstLine="240" w:firstLineChars="100"/>
              <w:jc w:val="left"/>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rPr>
              <w:t>项目预算：</w:t>
            </w:r>
            <w:r>
              <w:rPr>
                <w:rFonts w:hint="eastAsia" w:ascii="宋体" w:hAnsi="宋体" w:cs="宋体"/>
                <w:color w:val="000000"/>
                <w:sz w:val="24"/>
                <w:highlight w:val="none"/>
                <w:lang w:val="en-US" w:eastAsia="zh-CN"/>
              </w:rPr>
              <w:t xml:space="preserve"> </w:t>
            </w:r>
            <w:r>
              <w:rPr>
                <w:rFonts w:hint="eastAsia" w:asciiTheme="minorEastAsia" w:hAnsiTheme="minorEastAsia" w:eastAsiaTheme="minorEastAsia" w:cstheme="minorEastAsia"/>
                <w:b w:val="0"/>
                <w:bCs w:val="0"/>
                <w:color w:val="auto"/>
                <w:kern w:val="2"/>
                <w:sz w:val="24"/>
                <w:szCs w:val="24"/>
                <w:highlight w:val="none"/>
                <w:lang w:val="en-US" w:eastAsia="zh-CN" w:bidi="ar-SA"/>
              </w:rPr>
              <w:t>444100.00</w:t>
            </w:r>
            <w:r>
              <w:rPr>
                <w:rFonts w:hint="eastAsia" w:ascii="宋体" w:hAnsi="宋体" w:cs="宋体"/>
                <w:color w:val="000000"/>
                <w:sz w:val="24"/>
                <w:highlight w:val="none"/>
              </w:rPr>
              <w:t>元</w:t>
            </w:r>
            <w:r>
              <w:rPr>
                <w:rFonts w:hint="eastAsia" w:ascii="宋体" w:hAnsi="宋体" w:cs="宋体"/>
                <w:color w:val="000000"/>
                <w:sz w:val="24"/>
                <w:highlight w:val="none"/>
                <w:lang w:eastAsia="zh-CN"/>
              </w:rPr>
              <w:t>；</w:t>
            </w:r>
          </w:p>
          <w:p w14:paraId="1BF38C88">
            <w:pPr>
              <w:keepNext w:val="0"/>
              <w:keepLines w:val="0"/>
              <w:pageBreakBefore w:val="0"/>
              <w:widowControl w:val="0"/>
              <w:kinsoku/>
              <w:wordWrap/>
              <w:overflowPunct/>
              <w:topLinePunct w:val="0"/>
              <w:autoSpaceDE/>
              <w:autoSpaceDN/>
              <w:bidi w:val="0"/>
              <w:adjustRightInd/>
              <w:snapToGrid/>
              <w:spacing w:line="324" w:lineRule="auto"/>
              <w:ind w:firstLine="240" w:firstLineChars="100"/>
              <w:jc w:val="left"/>
              <w:rPr>
                <w:rFonts w:ascii="宋体" w:hAnsi="宋体" w:cs="宋体"/>
                <w:color w:val="000000"/>
                <w:sz w:val="24"/>
                <w:highlight w:val="none"/>
              </w:rPr>
            </w:pPr>
            <w:r>
              <w:rPr>
                <w:rFonts w:hint="eastAsia" w:ascii="宋体" w:hAnsi="宋体" w:cs="宋体"/>
                <w:color w:val="000000"/>
                <w:sz w:val="24"/>
                <w:highlight w:val="none"/>
              </w:rPr>
              <w:t>（超过项目预算</w:t>
            </w:r>
            <w:r>
              <w:rPr>
                <w:rFonts w:hint="eastAsia" w:ascii="宋体" w:hAnsi="宋体" w:cs="宋体"/>
                <w:color w:val="000000"/>
                <w:sz w:val="24"/>
                <w:highlight w:val="none"/>
                <w:lang w:eastAsia="zh-CN"/>
              </w:rPr>
              <w:t>的</w:t>
            </w:r>
            <w:r>
              <w:rPr>
                <w:rFonts w:hint="eastAsia" w:ascii="宋体" w:hAnsi="宋体" w:cs="宋体"/>
                <w:color w:val="000000"/>
                <w:sz w:val="24"/>
                <w:highlight w:val="none"/>
              </w:rPr>
              <w:t>磋商报价为无效磋商</w:t>
            </w:r>
            <w:r>
              <w:rPr>
                <w:rFonts w:hint="eastAsia" w:ascii="宋体" w:hAnsi="宋体" w:cs="宋体"/>
                <w:sz w:val="24"/>
                <w:highlight w:val="none"/>
              </w:rPr>
              <w:t>）</w:t>
            </w:r>
          </w:p>
        </w:tc>
      </w:tr>
      <w:tr w14:paraId="5552E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9" w:type="pct"/>
            <w:vAlign w:val="center"/>
          </w:tcPr>
          <w:p w14:paraId="263DD06C">
            <w:pPr>
              <w:keepNext w:val="0"/>
              <w:keepLines w:val="0"/>
              <w:pageBreakBefore w:val="0"/>
              <w:widowControl w:val="0"/>
              <w:kinsoku/>
              <w:wordWrap/>
              <w:overflowPunct/>
              <w:topLinePunct w:val="0"/>
              <w:autoSpaceDE/>
              <w:autoSpaceDN/>
              <w:bidi w:val="0"/>
              <w:adjustRightInd/>
              <w:snapToGrid/>
              <w:spacing w:line="324" w:lineRule="auto"/>
              <w:jc w:val="center"/>
              <w:rPr>
                <w:rFonts w:ascii="宋体" w:hAnsi="宋体" w:cs="宋体"/>
                <w:color w:val="000000"/>
                <w:sz w:val="24"/>
              </w:rPr>
            </w:pPr>
            <w:r>
              <w:rPr>
                <w:rFonts w:hint="eastAsia" w:ascii="宋体" w:hAnsi="宋体" w:cs="宋体"/>
                <w:color w:val="000000"/>
                <w:sz w:val="24"/>
              </w:rPr>
              <w:t>6</w:t>
            </w:r>
          </w:p>
        </w:tc>
        <w:tc>
          <w:tcPr>
            <w:tcW w:w="950" w:type="pct"/>
            <w:vAlign w:val="center"/>
          </w:tcPr>
          <w:p w14:paraId="606686F1">
            <w:pPr>
              <w:keepNext w:val="0"/>
              <w:keepLines w:val="0"/>
              <w:pageBreakBefore w:val="0"/>
              <w:widowControl w:val="0"/>
              <w:kinsoku/>
              <w:wordWrap/>
              <w:overflowPunct/>
              <w:topLinePunct w:val="0"/>
              <w:autoSpaceDE/>
              <w:autoSpaceDN/>
              <w:bidi w:val="0"/>
              <w:adjustRightInd/>
              <w:snapToGrid/>
              <w:spacing w:line="324" w:lineRule="auto"/>
              <w:jc w:val="center"/>
              <w:rPr>
                <w:rFonts w:ascii="宋体" w:hAnsi="宋体" w:cs="宋体"/>
                <w:color w:val="000000"/>
                <w:sz w:val="24"/>
                <w:highlight w:val="none"/>
              </w:rPr>
            </w:pPr>
            <w:r>
              <w:rPr>
                <w:rFonts w:hint="eastAsia" w:ascii="宋体" w:hAnsi="宋体" w:cs="宋体"/>
                <w:color w:val="000000"/>
                <w:sz w:val="24"/>
                <w:highlight w:val="none"/>
                <w:lang w:eastAsia="zh-CN"/>
              </w:rPr>
              <w:t>采购</w:t>
            </w:r>
            <w:r>
              <w:rPr>
                <w:rFonts w:hint="eastAsia" w:ascii="宋体" w:hAnsi="宋体" w:cs="宋体"/>
                <w:color w:val="000000"/>
                <w:sz w:val="24"/>
                <w:highlight w:val="none"/>
              </w:rPr>
              <w:t>内容</w:t>
            </w:r>
          </w:p>
        </w:tc>
        <w:tc>
          <w:tcPr>
            <w:tcW w:w="3669" w:type="pct"/>
            <w:vAlign w:val="center"/>
          </w:tcPr>
          <w:p w14:paraId="722DE040">
            <w:pPr>
              <w:keepNext w:val="0"/>
              <w:keepLines w:val="0"/>
              <w:pageBreakBefore w:val="0"/>
              <w:widowControl w:val="0"/>
              <w:kinsoku/>
              <w:wordWrap/>
              <w:overflowPunct/>
              <w:topLinePunct w:val="0"/>
              <w:autoSpaceDE/>
              <w:autoSpaceDN/>
              <w:bidi w:val="0"/>
              <w:adjustRightInd/>
              <w:snapToGrid/>
              <w:spacing w:line="324" w:lineRule="auto"/>
              <w:ind w:firstLine="240" w:firstLineChars="100"/>
              <w:jc w:val="left"/>
              <w:rPr>
                <w:rFonts w:ascii="宋体" w:hAnsi="宋体" w:cs="宋体"/>
                <w:color w:val="000000"/>
                <w:sz w:val="24"/>
                <w:highlight w:val="none"/>
              </w:rPr>
            </w:pPr>
            <w:r>
              <w:rPr>
                <w:rFonts w:hint="eastAsia" w:asciiTheme="minorEastAsia" w:hAnsiTheme="minorEastAsia" w:eastAsiaTheme="minorEastAsia" w:cstheme="minorEastAsia"/>
                <w:sz w:val="24"/>
                <w:highlight w:val="none"/>
                <w:lang w:eastAsia="zh-CN"/>
              </w:rPr>
              <w:t>陕西省公安厅寄递物流业治安管理信息系统运维项目</w:t>
            </w:r>
            <w:r>
              <w:rPr>
                <w:rFonts w:hint="eastAsia" w:ascii="宋体" w:hAnsi="宋体" w:cs="宋体"/>
                <w:sz w:val="24"/>
                <w:highlight w:val="none"/>
                <w:lang w:eastAsia="zh-CN"/>
              </w:rPr>
              <w:t>，</w:t>
            </w:r>
            <w:r>
              <w:rPr>
                <w:rFonts w:hint="eastAsia" w:ascii="宋体" w:hAnsi="宋体" w:cs="宋体"/>
                <w:sz w:val="24"/>
                <w:highlight w:val="none"/>
              </w:rPr>
              <w:t>具体内容详见第三部分。</w:t>
            </w:r>
          </w:p>
        </w:tc>
      </w:tr>
      <w:tr w14:paraId="0C3D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9" w:type="pct"/>
            <w:vAlign w:val="center"/>
          </w:tcPr>
          <w:p w14:paraId="68F58A32">
            <w:pPr>
              <w:keepNext w:val="0"/>
              <w:keepLines w:val="0"/>
              <w:pageBreakBefore w:val="0"/>
              <w:widowControl w:val="0"/>
              <w:kinsoku/>
              <w:wordWrap/>
              <w:overflowPunct/>
              <w:topLinePunct w:val="0"/>
              <w:autoSpaceDE/>
              <w:autoSpaceDN/>
              <w:bidi w:val="0"/>
              <w:adjustRightInd/>
              <w:snapToGrid/>
              <w:spacing w:line="324" w:lineRule="auto"/>
              <w:jc w:val="center"/>
              <w:rPr>
                <w:rFonts w:ascii="宋体" w:hAnsi="宋体" w:cs="宋体"/>
                <w:color w:val="000000"/>
                <w:sz w:val="24"/>
              </w:rPr>
            </w:pPr>
            <w:r>
              <w:rPr>
                <w:rFonts w:hint="eastAsia" w:ascii="宋体" w:hAnsi="宋体" w:cs="宋体"/>
                <w:color w:val="000000"/>
                <w:sz w:val="24"/>
              </w:rPr>
              <w:t>7</w:t>
            </w:r>
          </w:p>
        </w:tc>
        <w:tc>
          <w:tcPr>
            <w:tcW w:w="950" w:type="pct"/>
            <w:vAlign w:val="center"/>
          </w:tcPr>
          <w:p w14:paraId="6A1CD59C">
            <w:pPr>
              <w:keepNext w:val="0"/>
              <w:keepLines w:val="0"/>
              <w:pageBreakBefore w:val="0"/>
              <w:widowControl w:val="0"/>
              <w:kinsoku/>
              <w:wordWrap/>
              <w:overflowPunct/>
              <w:topLinePunct w:val="0"/>
              <w:autoSpaceDE/>
              <w:autoSpaceDN/>
              <w:bidi w:val="0"/>
              <w:adjustRightInd/>
              <w:snapToGrid/>
              <w:spacing w:line="324" w:lineRule="auto"/>
              <w:jc w:val="center"/>
              <w:rPr>
                <w:rFonts w:ascii="宋体" w:hAnsi="宋体" w:cs="宋体"/>
                <w:color w:val="000000"/>
                <w:sz w:val="24"/>
                <w:highlight w:val="none"/>
              </w:rPr>
            </w:pPr>
            <w:r>
              <w:rPr>
                <w:rFonts w:hint="eastAsia" w:ascii="宋体" w:hAnsi="宋体" w:cs="宋体"/>
                <w:color w:val="000000"/>
                <w:sz w:val="24"/>
                <w:highlight w:val="none"/>
                <w:lang w:eastAsia="zh-CN"/>
              </w:rPr>
              <w:t>服务期</w:t>
            </w:r>
          </w:p>
        </w:tc>
        <w:tc>
          <w:tcPr>
            <w:tcW w:w="3669" w:type="pct"/>
            <w:vAlign w:val="center"/>
          </w:tcPr>
          <w:p w14:paraId="7942D20C">
            <w:pPr>
              <w:keepNext w:val="0"/>
              <w:keepLines w:val="0"/>
              <w:pageBreakBefore w:val="0"/>
              <w:widowControl w:val="0"/>
              <w:kinsoku/>
              <w:wordWrap/>
              <w:overflowPunct/>
              <w:topLinePunct w:val="0"/>
              <w:autoSpaceDE/>
              <w:autoSpaceDN/>
              <w:bidi w:val="0"/>
              <w:adjustRightInd/>
              <w:snapToGrid/>
              <w:spacing w:line="324" w:lineRule="auto"/>
              <w:ind w:firstLine="240" w:firstLineChars="100"/>
              <w:rPr>
                <w:rFonts w:ascii="宋体" w:hAnsi="宋体" w:cs="宋体"/>
                <w:color w:val="000000"/>
                <w:sz w:val="24"/>
                <w:highlight w:val="none"/>
              </w:rPr>
            </w:pPr>
            <w:r>
              <w:rPr>
                <w:rFonts w:hint="eastAsia" w:ascii="宋体" w:hAnsi="宋体" w:cs="宋体"/>
                <w:color w:val="000000"/>
                <w:sz w:val="24"/>
                <w:highlight w:val="none"/>
                <w:lang w:val="en-US" w:eastAsia="en-US"/>
              </w:rPr>
              <w:t>自合同签订之日起</w:t>
            </w:r>
            <w:r>
              <w:rPr>
                <w:rFonts w:hint="eastAsia" w:ascii="宋体" w:hAnsi="宋体" w:cs="宋体"/>
                <w:color w:val="000000"/>
                <w:sz w:val="24"/>
                <w:highlight w:val="none"/>
                <w:lang w:val="en-US" w:eastAsia="zh-CN"/>
              </w:rPr>
              <w:t>一</w:t>
            </w:r>
            <w:r>
              <w:rPr>
                <w:rFonts w:hint="eastAsia" w:ascii="宋体" w:hAnsi="宋体" w:cs="宋体"/>
                <w:color w:val="000000"/>
                <w:sz w:val="24"/>
                <w:highlight w:val="none"/>
                <w:lang w:val="en-US" w:eastAsia="en-US"/>
              </w:rPr>
              <w:t>年</w:t>
            </w:r>
          </w:p>
        </w:tc>
      </w:tr>
      <w:tr w14:paraId="63DCF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9" w:type="pct"/>
            <w:vAlign w:val="center"/>
          </w:tcPr>
          <w:p w14:paraId="6812BF5B">
            <w:pPr>
              <w:keepNext w:val="0"/>
              <w:keepLines w:val="0"/>
              <w:pageBreakBefore w:val="0"/>
              <w:widowControl w:val="0"/>
              <w:kinsoku/>
              <w:wordWrap/>
              <w:overflowPunct/>
              <w:topLinePunct w:val="0"/>
              <w:autoSpaceDE/>
              <w:autoSpaceDN/>
              <w:bidi w:val="0"/>
              <w:adjustRightInd/>
              <w:snapToGrid/>
              <w:spacing w:line="324" w:lineRule="auto"/>
              <w:jc w:val="center"/>
              <w:rPr>
                <w:rFonts w:hint="eastAsia" w:ascii="宋体" w:hAnsi="宋体" w:cs="宋体"/>
                <w:color w:val="000000"/>
                <w:sz w:val="24"/>
              </w:rPr>
            </w:pPr>
            <w:r>
              <w:rPr>
                <w:rFonts w:hint="eastAsia" w:ascii="宋体" w:hAnsi="宋体" w:cs="宋体"/>
                <w:color w:val="000000"/>
                <w:sz w:val="24"/>
              </w:rPr>
              <w:t>8</w:t>
            </w:r>
          </w:p>
        </w:tc>
        <w:tc>
          <w:tcPr>
            <w:tcW w:w="950" w:type="pct"/>
            <w:vAlign w:val="center"/>
          </w:tcPr>
          <w:p w14:paraId="7470D704">
            <w:pPr>
              <w:keepNext w:val="0"/>
              <w:keepLines w:val="0"/>
              <w:pageBreakBefore w:val="0"/>
              <w:widowControl w:val="0"/>
              <w:kinsoku/>
              <w:wordWrap/>
              <w:overflowPunct/>
              <w:topLinePunct w:val="0"/>
              <w:autoSpaceDE/>
              <w:autoSpaceDN/>
              <w:bidi w:val="0"/>
              <w:adjustRightInd/>
              <w:snapToGrid/>
              <w:spacing w:line="324" w:lineRule="auto"/>
              <w:jc w:val="center"/>
              <w:rPr>
                <w:rFonts w:hint="eastAsia" w:ascii="宋体" w:hAnsi="宋体" w:cs="宋体"/>
                <w:color w:val="000000"/>
                <w:sz w:val="24"/>
                <w:highlight w:val="none"/>
                <w:lang w:eastAsia="zh-CN"/>
              </w:rPr>
            </w:pPr>
            <w:r>
              <w:rPr>
                <w:rFonts w:hint="eastAsia" w:ascii="宋体" w:hAnsi="宋体" w:cs="宋体"/>
                <w:color w:val="000000"/>
                <w:sz w:val="24"/>
                <w:highlight w:val="none"/>
                <w:lang w:eastAsia="zh-CN"/>
              </w:rPr>
              <w:t>服务质量</w:t>
            </w:r>
          </w:p>
        </w:tc>
        <w:tc>
          <w:tcPr>
            <w:tcW w:w="3669" w:type="pct"/>
            <w:vAlign w:val="center"/>
          </w:tcPr>
          <w:p w14:paraId="62ADB992">
            <w:pPr>
              <w:keepNext w:val="0"/>
              <w:keepLines w:val="0"/>
              <w:pageBreakBefore w:val="0"/>
              <w:widowControl w:val="0"/>
              <w:kinsoku/>
              <w:wordWrap/>
              <w:overflowPunct/>
              <w:topLinePunct w:val="0"/>
              <w:autoSpaceDE/>
              <w:autoSpaceDN/>
              <w:bidi w:val="0"/>
              <w:adjustRightInd/>
              <w:snapToGrid/>
              <w:spacing w:line="324" w:lineRule="auto"/>
              <w:ind w:firstLine="240" w:firstLineChars="100"/>
              <w:rPr>
                <w:rFonts w:hint="eastAsia" w:ascii="宋体" w:hAnsi="宋体" w:cs="宋体"/>
                <w:color w:val="000000"/>
                <w:sz w:val="24"/>
                <w:highlight w:val="none"/>
                <w:lang w:val="en-US" w:eastAsia="en-US"/>
              </w:rPr>
            </w:pPr>
            <w:r>
              <w:rPr>
                <w:rFonts w:hint="eastAsia" w:ascii="宋体" w:hAnsi="宋体" w:eastAsia="宋体" w:cs="宋体"/>
                <w:color w:val="auto"/>
                <w:sz w:val="24"/>
                <w:highlight w:val="none"/>
              </w:rPr>
              <w:t>符合国家及行业有关现行规范、标准的要求</w:t>
            </w:r>
          </w:p>
        </w:tc>
      </w:tr>
      <w:tr w14:paraId="78151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9" w:type="pct"/>
            <w:vAlign w:val="center"/>
          </w:tcPr>
          <w:p w14:paraId="592BA65E">
            <w:pPr>
              <w:keepNext w:val="0"/>
              <w:keepLines w:val="0"/>
              <w:pageBreakBefore w:val="0"/>
              <w:widowControl w:val="0"/>
              <w:kinsoku/>
              <w:wordWrap/>
              <w:overflowPunct/>
              <w:topLinePunct w:val="0"/>
              <w:autoSpaceDE/>
              <w:autoSpaceDN/>
              <w:bidi w:val="0"/>
              <w:adjustRightInd/>
              <w:snapToGrid/>
              <w:spacing w:line="324" w:lineRule="auto"/>
              <w:jc w:val="center"/>
              <w:rPr>
                <w:rFonts w:hint="eastAsia" w:ascii="宋体" w:hAnsi="宋体" w:cs="宋体"/>
                <w:color w:val="000000"/>
                <w:sz w:val="24"/>
              </w:rPr>
            </w:pPr>
            <w:r>
              <w:rPr>
                <w:rFonts w:hint="eastAsia" w:ascii="宋体" w:hAnsi="宋体" w:cs="宋体"/>
                <w:color w:val="000000"/>
                <w:sz w:val="24"/>
              </w:rPr>
              <w:t>9</w:t>
            </w:r>
          </w:p>
        </w:tc>
        <w:tc>
          <w:tcPr>
            <w:tcW w:w="950" w:type="pct"/>
            <w:vAlign w:val="center"/>
          </w:tcPr>
          <w:p w14:paraId="13CFE076">
            <w:pPr>
              <w:keepNext w:val="0"/>
              <w:keepLines w:val="0"/>
              <w:pageBreakBefore w:val="0"/>
              <w:widowControl w:val="0"/>
              <w:kinsoku/>
              <w:wordWrap/>
              <w:overflowPunct/>
              <w:topLinePunct w:val="0"/>
              <w:autoSpaceDE/>
              <w:autoSpaceDN/>
              <w:bidi w:val="0"/>
              <w:adjustRightInd/>
              <w:snapToGrid/>
              <w:spacing w:line="324" w:lineRule="auto"/>
              <w:jc w:val="center"/>
              <w:rPr>
                <w:rFonts w:hint="eastAsia" w:ascii="宋体" w:hAnsi="宋体" w:cs="宋体"/>
                <w:color w:val="000000"/>
                <w:sz w:val="24"/>
                <w:highlight w:val="none"/>
              </w:rPr>
            </w:pPr>
            <w:r>
              <w:rPr>
                <w:rFonts w:hint="eastAsia" w:ascii="宋体" w:hAnsi="宋体" w:cs="宋体"/>
                <w:color w:val="000000"/>
                <w:sz w:val="24"/>
                <w:highlight w:val="none"/>
                <w:lang w:eastAsia="zh-CN"/>
              </w:rPr>
              <w:t>服务地点</w:t>
            </w:r>
          </w:p>
        </w:tc>
        <w:tc>
          <w:tcPr>
            <w:tcW w:w="3669" w:type="pct"/>
            <w:vAlign w:val="center"/>
          </w:tcPr>
          <w:p w14:paraId="28AC4F4D">
            <w:pPr>
              <w:keepNext w:val="0"/>
              <w:keepLines w:val="0"/>
              <w:pageBreakBefore w:val="0"/>
              <w:widowControl w:val="0"/>
              <w:kinsoku/>
              <w:wordWrap/>
              <w:overflowPunct/>
              <w:topLinePunct w:val="0"/>
              <w:autoSpaceDE/>
              <w:autoSpaceDN/>
              <w:bidi w:val="0"/>
              <w:adjustRightInd/>
              <w:snapToGrid/>
              <w:spacing w:line="324" w:lineRule="auto"/>
              <w:ind w:firstLine="240" w:firstLineChars="1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采购人指定地点</w:t>
            </w:r>
          </w:p>
        </w:tc>
      </w:tr>
      <w:tr w14:paraId="3ED19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9" w:type="pct"/>
            <w:vAlign w:val="center"/>
          </w:tcPr>
          <w:p w14:paraId="34BB73CF">
            <w:pPr>
              <w:keepNext w:val="0"/>
              <w:keepLines w:val="0"/>
              <w:pageBreakBefore w:val="0"/>
              <w:widowControl w:val="0"/>
              <w:kinsoku/>
              <w:wordWrap/>
              <w:overflowPunct/>
              <w:topLinePunct w:val="0"/>
              <w:autoSpaceDE/>
              <w:autoSpaceDN/>
              <w:bidi w:val="0"/>
              <w:adjustRightInd/>
              <w:snapToGrid/>
              <w:spacing w:line="324" w:lineRule="auto"/>
              <w:jc w:val="center"/>
              <w:rPr>
                <w:rFonts w:hint="eastAsia" w:ascii="宋体" w:hAnsi="宋体" w:cs="宋体"/>
                <w:color w:val="000000"/>
                <w:sz w:val="24"/>
              </w:rPr>
            </w:pPr>
            <w:r>
              <w:rPr>
                <w:rFonts w:hint="eastAsia" w:ascii="宋体" w:hAnsi="宋体" w:cs="宋体"/>
                <w:color w:val="000000"/>
                <w:sz w:val="24"/>
              </w:rPr>
              <w:t>10</w:t>
            </w:r>
          </w:p>
        </w:tc>
        <w:tc>
          <w:tcPr>
            <w:tcW w:w="950" w:type="pct"/>
            <w:vAlign w:val="center"/>
          </w:tcPr>
          <w:p w14:paraId="40F87423">
            <w:pPr>
              <w:pStyle w:val="11"/>
              <w:keepNext w:val="0"/>
              <w:keepLines w:val="0"/>
              <w:pageBreakBefore w:val="0"/>
              <w:widowControl w:val="0"/>
              <w:kinsoku/>
              <w:wordWrap/>
              <w:overflowPunct/>
              <w:topLinePunct w:val="0"/>
              <w:autoSpaceDE/>
              <w:autoSpaceDN/>
              <w:bidi w:val="0"/>
              <w:adjustRightInd/>
              <w:snapToGrid/>
              <w:spacing w:line="324" w:lineRule="auto"/>
              <w:ind w:firstLine="240" w:firstLineChars="100"/>
              <w:rPr>
                <w:rFonts w:hint="eastAsia" w:ascii="宋体" w:hAnsi="宋体" w:cs="宋体"/>
                <w:color w:val="000000"/>
                <w:sz w:val="24"/>
                <w:highlight w:val="none"/>
              </w:rPr>
            </w:pPr>
            <w:r>
              <w:rPr>
                <w:rFonts w:hint="eastAsia" w:hAnsi="宋体" w:cs="宋体"/>
                <w:sz w:val="24"/>
                <w:szCs w:val="24"/>
                <w:highlight w:val="none"/>
              </w:rPr>
              <w:t>付款方式</w:t>
            </w:r>
          </w:p>
        </w:tc>
        <w:tc>
          <w:tcPr>
            <w:tcW w:w="3669" w:type="pct"/>
            <w:vAlign w:val="center"/>
          </w:tcPr>
          <w:p w14:paraId="59920DE5">
            <w:pPr>
              <w:spacing w:line="360" w:lineRule="auto"/>
              <w:ind w:firstLine="480" w:firstLineChars="200"/>
              <w:rPr>
                <w:rFonts w:hint="eastAsia" w:ascii="宋体" w:hAnsi="宋体" w:cs="宋体"/>
                <w:color w:val="auto"/>
                <w:sz w:val="24"/>
                <w:highlight w:val="none"/>
              </w:rPr>
            </w:pPr>
            <w:r>
              <w:rPr>
                <w:rFonts w:hint="eastAsia" w:ascii="宋体" w:hAnsi="宋体" w:eastAsia="宋体" w:cs="宋体"/>
                <w:bCs/>
                <w:color w:val="auto"/>
                <w:sz w:val="24"/>
                <w:highlight w:val="none"/>
                <w:lang w:val="en-US" w:eastAsia="en-US"/>
              </w:rPr>
              <w:t>合同签订后，达到付款条件起</w:t>
            </w:r>
            <w:r>
              <w:rPr>
                <w:rFonts w:hint="eastAsia" w:ascii="宋体" w:hAnsi="宋体" w:eastAsia="宋体" w:cs="宋体"/>
                <w:bCs/>
                <w:color w:val="auto"/>
                <w:sz w:val="24"/>
                <w:highlight w:val="none"/>
                <w:lang w:val="en-US" w:eastAsia="zh-CN"/>
              </w:rPr>
              <w:t>30</w:t>
            </w:r>
            <w:r>
              <w:rPr>
                <w:rFonts w:hint="eastAsia" w:ascii="宋体" w:hAnsi="宋体" w:eastAsia="宋体" w:cs="宋体"/>
                <w:bCs/>
                <w:color w:val="auto"/>
                <w:sz w:val="24"/>
                <w:highlight w:val="none"/>
                <w:lang w:val="en-US" w:eastAsia="en-US"/>
              </w:rPr>
              <w:t>日内，支付合同总金额的100.00%。</w:t>
            </w:r>
          </w:p>
          <w:p w14:paraId="479CB28C">
            <w:pPr>
              <w:keepNext w:val="0"/>
              <w:keepLines w:val="0"/>
              <w:pageBreakBefore w:val="0"/>
              <w:widowControl w:val="0"/>
              <w:kinsoku/>
              <w:wordWrap/>
              <w:overflowPunct/>
              <w:topLinePunct w:val="0"/>
              <w:autoSpaceDE/>
              <w:autoSpaceDN/>
              <w:bidi w:val="0"/>
              <w:adjustRightInd/>
              <w:snapToGrid/>
              <w:spacing w:line="324" w:lineRule="auto"/>
              <w:ind w:firstLine="240" w:firstLineChars="100"/>
              <w:textAlignment w:val="baseline"/>
              <w:rPr>
                <w:rFonts w:hint="eastAsia" w:asciiTheme="minorEastAsia" w:hAnsiTheme="minorEastAsia" w:eastAsiaTheme="minorEastAsia" w:cstheme="minorEastAsia"/>
                <w:sz w:val="24"/>
                <w:highlight w:val="none"/>
                <w:lang w:eastAsia="zh-CN"/>
              </w:rPr>
            </w:pPr>
            <w:r>
              <w:rPr>
                <w:rFonts w:hint="eastAsia" w:ascii="宋体" w:hAnsi="宋体" w:eastAsia="宋体" w:cs="宋体"/>
                <w:color w:val="auto"/>
                <w:sz w:val="24"/>
                <w:highlight w:val="none"/>
              </w:rPr>
              <w:t>乙方应向甲方出具符合国家财税规定的增值税发票，否则甲方有权延迟履行付款义务。如因乙方缘故（如开具增值税发票延误等）导致甲方无法按时付款，甲方不承担违约责任。</w:t>
            </w:r>
          </w:p>
        </w:tc>
      </w:tr>
      <w:tr w14:paraId="4F07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9" w:type="pct"/>
            <w:vAlign w:val="center"/>
          </w:tcPr>
          <w:p w14:paraId="1F0345F9">
            <w:pPr>
              <w:keepNext w:val="0"/>
              <w:keepLines w:val="0"/>
              <w:pageBreakBefore w:val="0"/>
              <w:widowControl w:val="0"/>
              <w:kinsoku/>
              <w:wordWrap/>
              <w:overflowPunct/>
              <w:topLinePunct w:val="0"/>
              <w:autoSpaceDE/>
              <w:autoSpaceDN/>
              <w:bidi w:val="0"/>
              <w:adjustRightInd/>
              <w:snapToGrid/>
              <w:spacing w:line="324" w:lineRule="auto"/>
              <w:jc w:val="center"/>
              <w:rPr>
                <w:rFonts w:hint="eastAsia" w:ascii="宋体" w:hAnsi="宋体" w:cs="宋体"/>
                <w:color w:val="000000"/>
                <w:sz w:val="24"/>
              </w:rPr>
            </w:pPr>
            <w:r>
              <w:rPr>
                <w:rFonts w:hint="eastAsia" w:ascii="宋体" w:hAnsi="宋体" w:cs="宋体"/>
                <w:color w:val="000000"/>
                <w:sz w:val="24"/>
              </w:rPr>
              <w:t>11</w:t>
            </w:r>
          </w:p>
        </w:tc>
        <w:tc>
          <w:tcPr>
            <w:tcW w:w="950" w:type="pct"/>
            <w:vAlign w:val="center"/>
          </w:tcPr>
          <w:p w14:paraId="6D87DC21">
            <w:pPr>
              <w:keepNext w:val="0"/>
              <w:keepLines w:val="0"/>
              <w:pageBreakBefore w:val="0"/>
              <w:widowControl w:val="0"/>
              <w:kinsoku/>
              <w:wordWrap/>
              <w:overflowPunct/>
              <w:topLinePunct w:val="0"/>
              <w:autoSpaceDE/>
              <w:autoSpaceDN/>
              <w:bidi w:val="0"/>
              <w:adjustRightInd/>
              <w:snapToGrid/>
              <w:spacing w:line="324" w:lineRule="auto"/>
              <w:jc w:val="center"/>
              <w:rPr>
                <w:rFonts w:hint="eastAsia" w:ascii="宋体" w:hAnsi="宋体" w:eastAsia="宋体" w:cs="宋体"/>
                <w:color w:val="000000"/>
                <w:sz w:val="24"/>
                <w:highlight w:val="none"/>
                <w:lang w:eastAsia="zh-CN"/>
              </w:rPr>
            </w:pPr>
            <w:r>
              <w:rPr>
                <w:rFonts w:hint="eastAsia" w:ascii="宋体" w:hAnsi="宋体" w:cs="宋体"/>
                <w:color w:val="000000"/>
                <w:sz w:val="24"/>
              </w:rPr>
              <w:t>供应商资质条件</w:t>
            </w:r>
          </w:p>
        </w:tc>
        <w:tc>
          <w:tcPr>
            <w:tcW w:w="3669" w:type="pct"/>
            <w:vAlign w:val="center"/>
          </w:tcPr>
          <w:p w14:paraId="1876D3EB">
            <w:pPr>
              <w:keepNext w:val="0"/>
              <w:keepLines w:val="0"/>
              <w:pageBreakBefore w:val="0"/>
              <w:widowControl w:val="0"/>
              <w:kinsoku/>
              <w:wordWrap/>
              <w:overflowPunct/>
              <w:topLinePunct w:val="0"/>
              <w:autoSpaceDE/>
              <w:autoSpaceDN/>
              <w:bidi w:val="0"/>
              <w:adjustRightInd/>
              <w:snapToGrid/>
              <w:spacing w:line="324" w:lineRule="auto"/>
              <w:ind w:firstLine="240" w:firstLineChars="100"/>
              <w:jc w:val="left"/>
              <w:rPr>
                <w:rFonts w:hint="eastAsia" w:ascii="宋体" w:hAnsi="宋体" w:eastAsia="宋体" w:cs="宋体"/>
                <w:sz w:val="24"/>
              </w:rPr>
            </w:pPr>
            <w:r>
              <w:rPr>
                <w:rFonts w:hint="eastAsia" w:ascii="宋体" w:hAnsi="宋体" w:eastAsia="宋体" w:cs="宋体"/>
                <w:sz w:val="24"/>
              </w:rPr>
              <w:t>符合《中华人民共和国政府采购法》第二十二条的规定；</w:t>
            </w:r>
          </w:p>
          <w:p w14:paraId="73853E69">
            <w:pPr>
              <w:keepNext w:val="0"/>
              <w:keepLines w:val="0"/>
              <w:pageBreakBefore w:val="0"/>
              <w:widowControl w:val="0"/>
              <w:kinsoku/>
              <w:wordWrap/>
              <w:overflowPunct/>
              <w:topLinePunct w:val="0"/>
              <w:autoSpaceDE/>
              <w:autoSpaceDN/>
              <w:bidi w:val="0"/>
              <w:adjustRightInd/>
              <w:snapToGrid/>
              <w:spacing w:line="324" w:lineRule="auto"/>
              <w:ind w:firstLine="240" w:firstLineChars="1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1</w:t>
            </w:r>
            <w:r>
              <w:rPr>
                <w:rFonts w:hint="eastAsia" w:asciiTheme="minorEastAsia" w:hAnsiTheme="minorEastAsia" w:eastAsiaTheme="minorEastAsia" w:cstheme="minorEastAsia"/>
                <w:sz w:val="24"/>
                <w:highlight w:val="none"/>
                <w:lang w:val="en-US" w:eastAsia="zh-CN"/>
              </w:rPr>
              <w:t>.</w:t>
            </w:r>
            <w:r>
              <w:rPr>
                <w:rFonts w:hint="eastAsia" w:asciiTheme="minorEastAsia" w:hAnsiTheme="minorEastAsia" w:eastAsiaTheme="minorEastAsia" w:cstheme="minorEastAsia"/>
                <w:sz w:val="24"/>
                <w:highlight w:val="none"/>
                <w:lang w:eastAsia="zh-CN"/>
              </w:rPr>
              <w:t>有效的主体资格证明：提供合格有效的法人或者其他组织的营业执照等证明文件或自然人的身份证明；</w:t>
            </w:r>
          </w:p>
          <w:p w14:paraId="0DB11368">
            <w:pPr>
              <w:keepNext w:val="0"/>
              <w:keepLines w:val="0"/>
              <w:pageBreakBefore w:val="0"/>
              <w:widowControl w:val="0"/>
              <w:kinsoku/>
              <w:wordWrap/>
              <w:overflowPunct/>
              <w:topLinePunct w:val="0"/>
              <w:autoSpaceDE/>
              <w:autoSpaceDN/>
              <w:bidi w:val="0"/>
              <w:adjustRightInd/>
              <w:snapToGrid/>
              <w:spacing w:line="324" w:lineRule="auto"/>
              <w:ind w:firstLine="240" w:firstLineChars="1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2</w:t>
            </w:r>
            <w:r>
              <w:rPr>
                <w:rFonts w:hint="eastAsia" w:asciiTheme="minorEastAsia" w:hAnsiTheme="minorEastAsia" w:eastAsiaTheme="minorEastAsia" w:cstheme="minorEastAsia"/>
                <w:sz w:val="24"/>
                <w:highlight w:val="none"/>
                <w:lang w:val="en-US" w:eastAsia="zh-CN"/>
              </w:rPr>
              <w:t>.</w:t>
            </w:r>
            <w:r>
              <w:rPr>
                <w:rFonts w:hint="eastAsia" w:asciiTheme="minorEastAsia" w:hAnsiTheme="minorEastAsia" w:eastAsiaTheme="minorEastAsia" w:cstheme="minorEastAsia"/>
                <w:sz w:val="24"/>
                <w:highlight w:val="none"/>
                <w:lang w:eastAsia="zh-CN"/>
              </w:rPr>
              <w:t>财务状况报告：提供202</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lang w:eastAsia="zh-CN"/>
              </w:rPr>
              <w:t>年度或2024年度的财务审计报告或开标前六个月内其基本存款账户开户银行出具的资信证明（附开户许可证或开户备案证明或基本账户信息）；</w:t>
            </w:r>
          </w:p>
          <w:p w14:paraId="2C2A5B80">
            <w:pPr>
              <w:keepNext w:val="0"/>
              <w:keepLines w:val="0"/>
              <w:pageBreakBefore w:val="0"/>
              <w:widowControl w:val="0"/>
              <w:kinsoku/>
              <w:wordWrap/>
              <w:overflowPunct/>
              <w:topLinePunct w:val="0"/>
              <w:autoSpaceDE/>
              <w:autoSpaceDN/>
              <w:bidi w:val="0"/>
              <w:adjustRightInd/>
              <w:snapToGrid/>
              <w:spacing w:line="324" w:lineRule="auto"/>
              <w:ind w:firstLine="240" w:firstLineChars="1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3</w:t>
            </w:r>
            <w:r>
              <w:rPr>
                <w:rFonts w:hint="eastAsia" w:asciiTheme="minorEastAsia" w:hAnsiTheme="minorEastAsia" w:eastAsiaTheme="minorEastAsia" w:cstheme="minorEastAsia"/>
                <w:sz w:val="24"/>
                <w:highlight w:val="none"/>
                <w:lang w:val="en-US" w:eastAsia="zh-CN"/>
              </w:rPr>
              <w:t>.</w:t>
            </w:r>
            <w:r>
              <w:rPr>
                <w:rFonts w:hint="eastAsia" w:asciiTheme="minorEastAsia" w:hAnsiTheme="minorEastAsia" w:eastAsiaTheme="minorEastAsia" w:cstheme="minorEastAsia"/>
                <w:sz w:val="24"/>
                <w:highlight w:val="none"/>
                <w:lang w:eastAsia="zh-CN"/>
              </w:rPr>
              <w:t>税收缴纳证明：提供202</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lang w:eastAsia="zh-CN"/>
              </w:rPr>
              <w:t>年</w:t>
            </w:r>
            <w:r>
              <w:rPr>
                <w:rFonts w:hint="eastAsia" w:asciiTheme="minorEastAsia" w:hAnsiTheme="minorEastAsia" w:eastAsiaTheme="minorEastAsia" w:cstheme="minorEastAsia"/>
                <w:sz w:val="24"/>
                <w:highlight w:val="none"/>
                <w:lang w:val="en-US" w:eastAsia="zh-CN"/>
              </w:rPr>
              <w:t>10</w:t>
            </w:r>
            <w:r>
              <w:rPr>
                <w:rFonts w:hint="eastAsia" w:asciiTheme="minorEastAsia" w:hAnsiTheme="minorEastAsia" w:eastAsiaTheme="minorEastAsia" w:cstheme="minorEastAsia"/>
                <w:sz w:val="24"/>
                <w:highlight w:val="none"/>
                <w:lang w:eastAsia="zh-CN"/>
              </w:rPr>
              <w:t>月01日至今已缴存的至少一个月的纳税证明或完税证明，依法免税的单位应提供相关证明材料；</w:t>
            </w:r>
          </w:p>
          <w:p w14:paraId="24DE3828">
            <w:pPr>
              <w:keepNext w:val="0"/>
              <w:keepLines w:val="0"/>
              <w:pageBreakBefore w:val="0"/>
              <w:widowControl w:val="0"/>
              <w:kinsoku/>
              <w:wordWrap/>
              <w:overflowPunct/>
              <w:topLinePunct w:val="0"/>
              <w:autoSpaceDE/>
              <w:autoSpaceDN/>
              <w:bidi w:val="0"/>
              <w:adjustRightInd/>
              <w:snapToGrid/>
              <w:spacing w:line="324" w:lineRule="auto"/>
              <w:ind w:firstLine="240" w:firstLineChars="1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4</w:t>
            </w:r>
            <w:r>
              <w:rPr>
                <w:rFonts w:hint="eastAsia" w:asciiTheme="minorEastAsia" w:hAnsiTheme="minorEastAsia" w:eastAsiaTheme="minorEastAsia" w:cstheme="minorEastAsia"/>
                <w:sz w:val="24"/>
                <w:highlight w:val="none"/>
                <w:lang w:val="en-US" w:eastAsia="zh-CN"/>
              </w:rPr>
              <w:t>.</w:t>
            </w:r>
            <w:r>
              <w:rPr>
                <w:rFonts w:hint="eastAsia" w:asciiTheme="minorEastAsia" w:hAnsiTheme="minorEastAsia" w:eastAsiaTheme="minorEastAsia" w:cstheme="minorEastAsia"/>
                <w:sz w:val="24"/>
                <w:highlight w:val="none"/>
                <w:lang w:eastAsia="zh-CN"/>
              </w:rPr>
              <w:t>社会保障资金缴纳证明：提供202</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lang w:eastAsia="zh-CN"/>
              </w:rPr>
              <w:t>年</w:t>
            </w:r>
            <w:r>
              <w:rPr>
                <w:rFonts w:hint="eastAsia" w:asciiTheme="minorEastAsia" w:hAnsiTheme="minorEastAsia" w:eastAsiaTheme="minorEastAsia" w:cstheme="minorEastAsia"/>
                <w:sz w:val="24"/>
                <w:highlight w:val="none"/>
                <w:lang w:val="en-US" w:eastAsia="zh-CN"/>
              </w:rPr>
              <w:t>10</w:t>
            </w:r>
            <w:r>
              <w:rPr>
                <w:rFonts w:hint="eastAsia" w:asciiTheme="minorEastAsia" w:hAnsiTheme="minorEastAsia" w:eastAsiaTheme="minorEastAsia" w:cstheme="minorEastAsia"/>
                <w:sz w:val="24"/>
                <w:highlight w:val="none"/>
                <w:lang w:eastAsia="zh-CN"/>
              </w:rPr>
              <w:t>月01日至今已缴存的至少一个月的社会保障资金缴存单据或社保机构开具的社会保险参保缴费情况证明，依法不需要缴纳社会保障资金的单位应提供相关证明材料；</w:t>
            </w:r>
          </w:p>
          <w:p w14:paraId="2EA94916">
            <w:pPr>
              <w:keepNext w:val="0"/>
              <w:keepLines w:val="0"/>
              <w:pageBreakBefore w:val="0"/>
              <w:widowControl w:val="0"/>
              <w:kinsoku/>
              <w:wordWrap/>
              <w:overflowPunct/>
              <w:topLinePunct w:val="0"/>
              <w:autoSpaceDE/>
              <w:autoSpaceDN/>
              <w:bidi w:val="0"/>
              <w:adjustRightInd/>
              <w:snapToGrid/>
              <w:spacing w:line="324" w:lineRule="auto"/>
              <w:ind w:firstLine="240" w:firstLineChars="1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5</w:t>
            </w:r>
            <w:r>
              <w:rPr>
                <w:rFonts w:hint="eastAsia" w:asciiTheme="minorEastAsia" w:hAnsiTheme="minorEastAsia" w:eastAsiaTheme="minorEastAsia" w:cstheme="minorEastAsia"/>
                <w:sz w:val="24"/>
                <w:highlight w:val="none"/>
                <w:lang w:val="en-US" w:eastAsia="zh-CN"/>
              </w:rPr>
              <w:t>.</w:t>
            </w:r>
            <w:r>
              <w:rPr>
                <w:rFonts w:hint="eastAsia" w:asciiTheme="minorEastAsia" w:hAnsiTheme="minorEastAsia" w:eastAsiaTheme="minorEastAsia" w:cstheme="minorEastAsia"/>
                <w:sz w:val="24"/>
                <w:highlight w:val="none"/>
                <w:lang w:eastAsia="zh-CN"/>
              </w:rPr>
              <w:t>无重大违法记录声明：近3年内在经营活动中没有重大违法记录的书面声明；</w:t>
            </w:r>
          </w:p>
          <w:p w14:paraId="5A10303C">
            <w:pPr>
              <w:keepNext w:val="0"/>
              <w:keepLines w:val="0"/>
              <w:pageBreakBefore w:val="0"/>
              <w:widowControl w:val="0"/>
              <w:kinsoku/>
              <w:wordWrap/>
              <w:overflowPunct/>
              <w:topLinePunct w:val="0"/>
              <w:autoSpaceDE/>
              <w:autoSpaceDN/>
              <w:bidi w:val="0"/>
              <w:adjustRightInd/>
              <w:snapToGrid/>
              <w:spacing w:line="324" w:lineRule="auto"/>
              <w:ind w:firstLine="240" w:firstLineChars="1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6</w:t>
            </w:r>
            <w:r>
              <w:rPr>
                <w:rFonts w:hint="eastAsia" w:asciiTheme="minorEastAsia" w:hAnsiTheme="minorEastAsia" w:eastAsiaTheme="minorEastAsia" w:cstheme="minorEastAsia"/>
                <w:sz w:val="24"/>
                <w:highlight w:val="none"/>
                <w:lang w:val="en-US" w:eastAsia="zh-CN"/>
              </w:rPr>
              <w:t>.</w:t>
            </w:r>
            <w:r>
              <w:rPr>
                <w:rFonts w:hint="eastAsia" w:asciiTheme="minorEastAsia" w:hAnsiTheme="minorEastAsia" w:eastAsiaTheme="minorEastAsia" w:cstheme="minorEastAsia"/>
                <w:sz w:val="24"/>
                <w:highlight w:val="none"/>
                <w:lang w:eastAsia="zh-CN"/>
              </w:rPr>
              <w:t>专业技术能力证明：具备履行合同所必需的设备和专业技术能力的证明材料(由供应商根据项目需求提供说明材料或者承诺)；</w:t>
            </w:r>
          </w:p>
          <w:p w14:paraId="608424B1">
            <w:pPr>
              <w:keepNext w:val="0"/>
              <w:keepLines w:val="0"/>
              <w:pageBreakBefore w:val="0"/>
              <w:widowControl w:val="0"/>
              <w:kinsoku/>
              <w:wordWrap/>
              <w:overflowPunct/>
              <w:topLinePunct w:val="0"/>
              <w:autoSpaceDE/>
              <w:autoSpaceDN/>
              <w:bidi w:val="0"/>
              <w:adjustRightInd/>
              <w:snapToGrid/>
              <w:spacing w:line="324" w:lineRule="auto"/>
              <w:ind w:firstLine="240" w:firstLineChars="1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7</w:t>
            </w:r>
            <w:r>
              <w:rPr>
                <w:rFonts w:hint="eastAsia" w:asciiTheme="minorEastAsia" w:hAnsiTheme="minorEastAsia" w:eastAsiaTheme="minorEastAsia" w:cstheme="minorEastAsia"/>
                <w:sz w:val="24"/>
                <w:highlight w:val="none"/>
                <w:lang w:val="en-US" w:eastAsia="zh-CN"/>
              </w:rPr>
              <w:t>.</w:t>
            </w:r>
            <w:r>
              <w:rPr>
                <w:rFonts w:hint="eastAsia" w:asciiTheme="minorEastAsia" w:hAnsiTheme="minorEastAsia" w:eastAsiaTheme="minorEastAsia" w:cstheme="minorEastAsia"/>
                <w:sz w:val="24"/>
                <w:highlight w:val="none"/>
                <w:lang w:eastAsia="zh-CN"/>
              </w:rPr>
              <w:t>法定代表人委托授权书\身份证明：供应商应授权合法的人员参加磋商全过程，其中法定代表人直接参加磋商的，须出具法定代表人身份证，并与营业执照上信息一致。法定代表人授权代表参加磋商的，须出具法定代表人授权书及授权代表身份证。（其他组织或自然人参照执行）；</w:t>
            </w:r>
          </w:p>
          <w:p w14:paraId="1CC0698B">
            <w:pPr>
              <w:keepNext w:val="0"/>
              <w:keepLines w:val="0"/>
              <w:pageBreakBefore w:val="0"/>
              <w:widowControl w:val="0"/>
              <w:kinsoku/>
              <w:wordWrap/>
              <w:overflowPunct/>
              <w:topLinePunct w:val="0"/>
              <w:autoSpaceDE/>
              <w:autoSpaceDN/>
              <w:bidi w:val="0"/>
              <w:adjustRightInd/>
              <w:snapToGrid/>
              <w:spacing w:line="324" w:lineRule="auto"/>
              <w:ind w:firstLine="240" w:firstLineChars="1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8</w:t>
            </w:r>
            <w:r>
              <w:rPr>
                <w:rFonts w:hint="eastAsia" w:asciiTheme="minorEastAsia" w:hAnsiTheme="minorEastAsia" w:eastAsiaTheme="minorEastAsia" w:cstheme="minorEastAsia"/>
                <w:sz w:val="24"/>
                <w:highlight w:val="none"/>
                <w:lang w:val="en-US" w:eastAsia="zh-CN"/>
              </w:rPr>
              <w:t>.</w:t>
            </w:r>
            <w:r>
              <w:rPr>
                <w:rFonts w:hint="eastAsia" w:asciiTheme="minorEastAsia" w:hAnsiTheme="minorEastAsia" w:eastAsiaTheme="minorEastAsia" w:cstheme="minorEastAsia"/>
                <w:sz w:val="24"/>
                <w:highlight w:val="none"/>
                <w:lang w:eastAsia="zh-CN"/>
              </w:rPr>
              <w:t>信用查询：在“信用中国”网站（www.creditchina.gov.cn）和“中国政府采购网”（ccgp.gov.cn）对响应单位信用信息进行查询，如果响应单位被查实在开标前已列入失信被执行人、重大税收违法失信主体、政府采购严重违法失信行为记录名单，其响应为无效；（以磋商当天代理机构核查为准）</w:t>
            </w:r>
          </w:p>
          <w:p w14:paraId="07408D26">
            <w:pPr>
              <w:keepNext w:val="0"/>
              <w:keepLines w:val="0"/>
              <w:pageBreakBefore w:val="0"/>
              <w:widowControl w:val="0"/>
              <w:kinsoku/>
              <w:wordWrap/>
              <w:overflowPunct/>
              <w:topLinePunct w:val="0"/>
              <w:autoSpaceDE/>
              <w:autoSpaceDN/>
              <w:bidi w:val="0"/>
              <w:adjustRightInd/>
              <w:snapToGrid/>
              <w:spacing w:line="324" w:lineRule="auto"/>
              <w:ind w:firstLine="240" w:firstLineChars="1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9</w:t>
            </w:r>
            <w:r>
              <w:rPr>
                <w:rFonts w:hint="eastAsia" w:asciiTheme="minorEastAsia" w:hAnsiTheme="minorEastAsia" w:eastAsiaTheme="minorEastAsia" w:cstheme="minorEastAsia"/>
                <w:sz w:val="24"/>
                <w:highlight w:val="none"/>
                <w:lang w:val="en-US" w:eastAsia="zh-CN"/>
              </w:rPr>
              <w:t>.</w:t>
            </w:r>
            <w:r>
              <w:rPr>
                <w:rFonts w:hint="eastAsia" w:asciiTheme="minorEastAsia" w:hAnsiTheme="minorEastAsia" w:eastAsiaTheme="minorEastAsia" w:cstheme="minorEastAsia"/>
                <w:sz w:val="24"/>
                <w:highlight w:val="none"/>
                <w:lang w:eastAsia="zh-CN"/>
              </w:rPr>
              <w:t>关联关系：单位负责人为同一人或者存在直接控股、管理关系的不同供应商，不得参加同一合同项下的政府采购活动。</w:t>
            </w:r>
          </w:p>
          <w:p w14:paraId="74CABFA1">
            <w:pPr>
              <w:keepNext w:val="0"/>
              <w:keepLines w:val="0"/>
              <w:pageBreakBefore w:val="0"/>
              <w:widowControl w:val="0"/>
              <w:kinsoku/>
              <w:wordWrap/>
              <w:overflowPunct/>
              <w:topLinePunct w:val="0"/>
              <w:autoSpaceDE/>
              <w:autoSpaceDN/>
              <w:bidi w:val="0"/>
              <w:adjustRightInd/>
              <w:snapToGrid/>
              <w:spacing w:line="324" w:lineRule="auto"/>
              <w:ind w:firstLine="240" w:firstLineChars="1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val="en-US" w:eastAsia="zh-CN"/>
              </w:rPr>
              <w:t>10.本项目属于专门面向中小企业采购，供应商应为中小微企业【中型或小型或微型】或监狱企业或残疾人福利性单位；</w:t>
            </w:r>
          </w:p>
        </w:tc>
      </w:tr>
      <w:tr w14:paraId="5A49B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9" w:type="pct"/>
            <w:vAlign w:val="center"/>
          </w:tcPr>
          <w:p w14:paraId="37409603">
            <w:pPr>
              <w:keepNext w:val="0"/>
              <w:keepLines w:val="0"/>
              <w:pageBreakBefore w:val="0"/>
              <w:widowControl w:val="0"/>
              <w:kinsoku/>
              <w:wordWrap/>
              <w:overflowPunct/>
              <w:topLinePunct w:val="0"/>
              <w:autoSpaceDE/>
              <w:autoSpaceDN/>
              <w:bidi w:val="0"/>
              <w:adjustRightInd/>
              <w:snapToGrid/>
              <w:spacing w:line="324" w:lineRule="auto"/>
              <w:jc w:val="center"/>
              <w:rPr>
                <w:rFonts w:ascii="宋体" w:hAnsi="宋体" w:cs="宋体"/>
                <w:color w:val="000000"/>
                <w:sz w:val="24"/>
              </w:rPr>
            </w:pPr>
            <w:r>
              <w:rPr>
                <w:rFonts w:hint="eastAsia" w:ascii="宋体" w:hAnsi="宋体" w:cs="宋体"/>
                <w:color w:val="000000"/>
                <w:sz w:val="24"/>
              </w:rPr>
              <w:t>12</w:t>
            </w:r>
          </w:p>
        </w:tc>
        <w:tc>
          <w:tcPr>
            <w:tcW w:w="950" w:type="pct"/>
            <w:vAlign w:val="center"/>
          </w:tcPr>
          <w:p w14:paraId="64B5094F">
            <w:pPr>
              <w:keepNext w:val="0"/>
              <w:keepLines w:val="0"/>
              <w:pageBreakBefore w:val="0"/>
              <w:widowControl w:val="0"/>
              <w:kinsoku/>
              <w:wordWrap/>
              <w:overflowPunct/>
              <w:topLinePunct w:val="0"/>
              <w:autoSpaceDE/>
              <w:autoSpaceDN/>
              <w:bidi w:val="0"/>
              <w:adjustRightInd/>
              <w:snapToGrid/>
              <w:spacing w:line="324" w:lineRule="auto"/>
              <w:jc w:val="center"/>
              <w:rPr>
                <w:rFonts w:hAnsi="宋体" w:cs="宋体"/>
                <w:sz w:val="24"/>
                <w:szCs w:val="24"/>
              </w:rPr>
            </w:pPr>
            <w:r>
              <w:rPr>
                <w:rFonts w:hint="eastAsia" w:ascii="宋体" w:hAnsi="宋体" w:cs="宋体"/>
                <w:color w:val="000000"/>
                <w:sz w:val="24"/>
              </w:rPr>
              <w:t>联合体竞争性磋商</w:t>
            </w:r>
          </w:p>
        </w:tc>
        <w:tc>
          <w:tcPr>
            <w:tcW w:w="3669" w:type="pct"/>
            <w:vAlign w:val="center"/>
          </w:tcPr>
          <w:p w14:paraId="6CDA032A">
            <w:pPr>
              <w:keepNext w:val="0"/>
              <w:keepLines w:val="0"/>
              <w:pageBreakBefore w:val="0"/>
              <w:widowControl w:val="0"/>
              <w:kinsoku/>
              <w:wordWrap/>
              <w:overflowPunct/>
              <w:topLinePunct w:val="0"/>
              <w:autoSpaceDE/>
              <w:autoSpaceDN/>
              <w:bidi w:val="0"/>
              <w:adjustRightInd/>
              <w:snapToGrid/>
              <w:spacing w:line="324" w:lineRule="auto"/>
              <w:ind w:firstLine="240" w:firstLineChars="100"/>
              <w:jc w:val="left"/>
              <w:rPr>
                <w:rFonts w:ascii="宋体" w:hAnsi="宋体" w:cs="宋体"/>
                <w:sz w:val="24"/>
                <w:highlight w:val="none"/>
              </w:rPr>
            </w:pPr>
            <w:r>
              <w:rPr>
                <w:rFonts w:hint="eastAsia" w:ascii="宋体" w:hAnsi="宋体" w:cs="宋体"/>
                <w:color w:val="000000"/>
                <w:sz w:val="24"/>
              </w:rPr>
              <w:t>不接受</w:t>
            </w:r>
          </w:p>
        </w:tc>
      </w:tr>
      <w:tr w14:paraId="6CFC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14:paraId="5BC051F0">
            <w:pPr>
              <w:keepNext w:val="0"/>
              <w:keepLines w:val="0"/>
              <w:pageBreakBefore w:val="0"/>
              <w:widowControl w:val="0"/>
              <w:kinsoku/>
              <w:wordWrap/>
              <w:overflowPunct/>
              <w:topLinePunct w:val="0"/>
              <w:autoSpaceDE/>
              <w:autoSpaceDN/>
              <w:bidi w:val="0"/>
              <w:adjustRightInd/>
              <w:snapToGrid/>
              <w:spacing w:line="324" w:lineRule="auto"/>
              <w:jc w:val="center"/>
              <w:rPr>
                <w:rFonts w:ascii="宋体" w:hAnsi="宋体" w:cs="宋体"/>
                <w:color w:val="000000"/>
                <w:sz w:val="24"/>
              </w:rPr>
            </w:pPr>
            <w:r>
              <w:rPr>
                <w:rFonts w:hint="eastAsia" w:ascii="宋体" w:hAnsi="宋体" w:cs="宋体"/>
                <w:color w:val="000000"/>
                <w:sz w:val="24"/>
              </w:rPr>
              <w:t>13</w:t>
            </w:r>
          </w:p>
        </w:tc>
        <w:tc>
          <w:tcPr>
            <w:tcW w:w="950" w:type="pct"/>
            <w:vAlign w:val="center"/>
          </w:tcPr>
          <w:p w14:paraId="25FA4DB8">
            <w:pPr>
              <w:keepNext w:val="0"/>
              <w:keepLines w:val="0"/>
              <w:pageBreakBefore w:val="0"/>
              <w:widowControl w:val="0"/>
              <w:kinsoku/>
              <w:wordWrap/>
              <w:overflowPunct/>
              <w:topLinePunct w:val="0"/>
              <w:autoSpaceDE/>
              <w:autoSpaceDN/>
              <w:bidi w:val="0"/>
              <w:adjustRightInd/>
              <w:snapToGrid/>
              <w:spacing w:line="324" w:lineRule="auto"/>
              <w:jc w:val="center"/>
              <w:rPr>
                <w:rFonts w:ascii="宋体" w:hAnsi="宋体" w:cs="宋体"/>
                <w:color w:val="000000"/>
                <w:sz w:val="24"/>
              </w:rPr>
            </w:pPr>
            <w:r>
              <w:rPr>
                <w:rFonts w:hint="eastAsia" w:ascii="宋体" w:hAnsi="宋体" w:cs="宋体"/>
                <w:color w:val="000000"/>
                <w:sz w:val="24"/>
              </w:rPr>
              <w:t>分包、转包</w:t>
            </w:r>
          </w:p>
        </w:tc>
        <w:tc>
          <w:tcPr>
            <w:tcW w:w="3669" w:type="pct"/>
            <w:vAlign w:val="center"/>
          </w:tcPr>
          <w:p w14:paraId="3B0C90DF">
            <w:pPr>
              <w:keepNext w:val="0"/>
              <w:keepLines w:val="0"/>
              <w:pageBreakBefore w:val="0"/>
              <w:widowControl w:val="0"/>
              <w:kinsoku/>
              <w:wordWrap/>
              <w:overflowPunct/>
              <w:topLinePunct w:val="0"/>
              <w:autoSpaceDE/>
              <w:autoSpaceDN/>
              <w:bidi w:val="0"/>
              <w:adjustRightInd/>
              <w:snapToGrid/>
              <w:spacing w:line="324" w:lineRule="auto"/>
              <w:ind w:firstLine="240" w:firstLineChars="100"/>
              <w:jc w:val="left"/>
              <w:rPr>
                <w:rFonts w:hint="eastAsia" w:eastAsia="宋体"/>
                <w:lang w:eastAsia="zh-CN"/>
              </w:rPr>
            </w:pPr>
            <w:r>
              <w:rPr>
                <w:rFonts w:hint="eastAsia" w:ascii="宋体" w:hAnsi="宋体" w:cs="宋体"/>
                <w:color w:val="000000"/>
                <w:sz w:val="24"/>
              </w:rPr>
              <w:t>不允许</w:t>
            </w:r>
          </w:p>
        </w:tc>
      </w:tr>
      <w:tr w14:paraId="0325D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14:paraId="66EF9539">
            <w:pPr>
              <w:keepNext w:val="0"/>
              <w:keepLines w:val="0"/>
              <w:pageBreakBefore w:val="0"/>
              <w:widowControl w:val="0"/>
              <w:kinsoku/>
              <w:wordWrap/>
              <w:overflowPunct/>
              <w:topLinePunct w:val="0"/>
              <w:autoSpaceDE/>
              <w:autoSpaceDN/>
              <w:bidi w:val="0"/>
              <w:adjustRightInd/>
              <w:snapToGrid/>
              <w:spacing w:line="324" w:lineRule="auto"/>
              <w:jc w:val="center"/>
              <w:rPr>
                <w:rFonts w:ascii="宋体" w:hAnsi="宋体" w:cs="宋体"/>
                <w:color w:val="000000"/>
                <w:sz w:val="24"/>
              </w:rPr>
            </w:pPr>
            <w:r>
              <w:rPr>
                <w:rFonts w:hint="eastAsia" w:ascii="宋体" w:hAnsi="宋体" w:cs="宋体"/>
                <w:color w:val="000000"/>
                <w:sz w:val="24"/>
              </w:rPr>
              <w:t>14</w:t>
            </w:r>
          </w:p>
        </w:tc>
        <w:tc>
          <w:tcPr>
            <w:tcW w:w="950" w:type="pct"/>
            <w:vAlign w:val="center"/>
          </w:tcPr>
          <w:p w14:paraId="66C53261">
            <w:pPr>
              <w:keepNext w:val="0"/>
              <w:keepLines w:val="0"/>
              <w:pageBreakBefore w:val="0"/>
              <w:widowControl w:val="0"/>
              <w:kinsoku/>
              <w:wordWrap/>
              <w:overflowPunct/>
              <w:topLinePunct w:val="0"/>
              <w:autoSpaceDE/>
              <w:autoSpaceDN/>
              <w:bidi w:val="0"/>
              <w:adjustRightInd/>
              <w:snapToGrid/>
              <w:spacing w:line="324" w:lineRule="auto"/>
              <w:jc w:val="center"/>
              <w:rPr>
                <w:rFonts w:ascii="宋体" w:hAnsi="宋体" w:cs="宋体"/>
                <w:color w:val="000000"/>
                <w:sz w:val="24"/>
              </w:rPr>
            </w:pPr>
            <w:r>
              <w:rPr>
                <w:rFonts w:hint="eastAsia" w:ascii="宋体" w:hAnsi="宋体" w:eastAsia="宋体" w:cs="宋体"/>
                <w:color w:val="auto"/>
                <w:sz w:val="24"/>
                <w:highlight w:val="none"/>
              </w:rPr>
              <w:t>现场踏勘</w:t>
            </w:r>
          </w:p>
        </w:tc>
        <w:tc>
          <w:tcPr>
            <w:tcW w:w="3669" w:type="pct"/>
            <w:vAlign w:val="center"/>
          </w:tcPr>
          <w:p w14:paraId="18CDCE06">
            <w:pPr>
              <w:keepNext w:val="0"/>
              <w:keepLines w:val="0"/>
              <w:pageBreakBefore w:val="0"/>
              <w:widowControl w:val="0"/>
              <w:kinsoku/>
              <w:wordWrap/>
              <w:overflowPunct/>
              <w:topLinePunct w:val="0"/>
              <w:autoSpaceDE/>
              <w:autoSpaceDN/>
              <w:bidi w:val="0"/>
              <w:adjustRightInd/>
              <w:snapToGrid/>
              <w:spacing w:line="324" w:lineRule="auto"/>
              <w:ind w:firstLine="240" w:firstLineChars="100"/>
              <w:rPr>
                <w:rFonts w:ascii="宋体" w:hAnsi="宋体" w:cs="宋体"/>
                <w:color w:val="000000"/>
                <w:sz w:val="24"/>
              </w:rPr>
            </w:pPr>
            <w:r>
              <w:rPr>
                <w:rFonts w:hint="eastAsia" w:ascii="宋体" w:hAnsi="宋体" w:eastAsia="宋体" w:cs="宋体"/>
                <w:color w:val="auto"/>
                <w:sz w:val="24"/>
                <w:highlight w:val="none"/>
              </w:rPr>
              <w:t>本次项目不统一组织供应商进行现场踏勘</w:t>
            </w:r>
          </w:p>
        </w:tc>
      </w:tr>
      <w:tr w14:paraId="45B12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14:paraId="05C388E5">
            <w:pPr>
              <w:keepNext w:val="0"/>
              <w:keepLines w:val="0"/>
              <w:pageBreakBefore w:val="0"/>
              <w:widowControl w:val="0"/>
              <w:kinsoku/>
              <w:wordWrap/>
              <w:overflowPunct/>
              <w:topLinePunct w:val="0"/>
              <w:autoSpaceDE/>
              <w:autoSpaceDN/>
              <w:bidi w:val="0"/>
              <w:adjustRightInd/>
              <w:snapToGrid/>
              <w:spacing w:line="324" w:lineRule="auto"/>
              <w:jc w:val="center"/>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5</w:t>
            </w:r>
          </w:p>
        </w:tc>
        <w:tc>
          <w:tcPr>
            <w:tcW w:w="950" w:type="pct"/>
            <w:tcBorders>
              <w:top w:val="single" w:color="auto" w:sz="4" w:space="0"/>
              <w:left w:val="single" w:color="auto" w:sz="4" w:space="0"/>
              <w:bottom w:val="single" w:color="auto" w:sz="4" w:space="0"/>
              <w:right w:val="single" w:color="auto" w:sz="4" w:space="0"/>
            </w:tcBorders>
            <w:vAlign w:val="center"/>
          </w:tcPr>
          <w:p w14:paraId="70C0FABD">
            <w:pPr>
              <w:keepNext w:val="0"/>
              <w:keepLines w:val="0"/>
              <w:pageBreakBefore w:val="0"/>
              <w:widowControl w:val="0"/>
              <w:kinsoku/>
              <w:wordWrap/>
              <w:overflowPunct/>
              <w:topLinePunct w:val="0"/>
              <w:autoSpaceDE/>
              <w:autoSpaceDN/>
              <w:bidi w:val="0"/>
              <w:adjustRightInd/>
              <w:snapToGrid/>
              <w:spacing w:line="324" w:lineRule="auto"/>
              <w:jc w:val="center"/>
              <w:rPr>
                <w:rFonts w:ascii="宋体" w:hAnsi="宋体" w:cs="宋体"/>
                <w:color w:val="000000"/>
                <w:sz w:val="24"/>
              </w:rPr>
            </w:pPr>
            <w:r>
              <w:rPr>
                <w:rFonts w:hint="eastAsia" w:ascii="宋体" w:hAnsi="宋体" w:cs="宋体"/>
                <w:color w:val="000000"/>
                <w:sz w:val="24"/>
              </w:rPr>
              <w:t>磋商有效期</w:t>
            </w:r>
          </w:p>
        </w:tc>
        <w:tc>
          <w:tcPr>
            <w:tcW w:w="3669" w:type="pct"/>
            <w:tcBorders>
              <w:top w:val="single" w:color="auto" w:sz="4" w:space="0"/>
              <w:left w:val="single" w:color="auto" w:sz="4" w:space="0"/>
              <w:bottom w:val="single" w:color="auto" w:sz="4" w:space="0"/>
              <w:right w:val="single" w:color="auto" w:sz="4" w:space="0"/>
            </w:tcBorders>
            <w:vAlign w:val="center"/>
          </w:tcPr>
          <w:p w14:paraId="0B96C83D">
            <w:pPr>
              <w:keepNext w:val="0"/>
              <w:keepLines w:val="0"/>
              <w:pageBreakBefore w:val="0"/>
              <w:widowControl w:val="0"/>
              <w:kinsoku/>
              <w:wordWrap/>
              <w:overflowPunct/>
              <w:topLinePunct w:val="0"/>
              <w:autoSpaceDE/>
              <w:autoSpaceDN/>
              <w:bidi w:val="0"/>
              <w:adjustRightInd/>
              <w:snapToGrid/>
              <w:spacing w:line="324" w:lineRule="auto"/>
              <w:ind w:firstLine="240" w:firstLineChars="100"/>
              <w:jc w:val="left"/>
              <w:rPr>
                <w:rFonts w:ascii="宋体" w:hAnsi="宋体" w:cs="宋体"/>
                <w:color w:val="000000"/>
                <w:sz w:val="24"/>
              </w:rPr>
            </w:pPr>
            <w:r>
              <w:rPr>
                <w:rFonts w:hint="eastAsia" w:ascii="宋体" w:hAnsi="宋体" w:cs="宋体"/>
                <w:sz w:val="24"/>
              </w:rPr>
              <w:t>磋商有效期为从提交磋商响应文件的截止时间起九十（90）个日历日；磋商响应文件中必须载明磋商有效期，磋商响应文件中载明的磋商有效期可以长于磋商文件规定的期限，但不得短于磋商文件规定的期限。在有效期内磋商响应文件对磋商供应商具有法律约束力，成交供应商的磋商响应文件有效期延长至合同执行完毕。</w:t>
            </w:r>
          </w:p>
        </w:tc>
      </w:tr>
      <w:tr w14:paraId="5D96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14:paraId="6386187A">
            <w:pPr>
              <w:keepNext w:val="0"/>
              <w:keepLines w:val="0"/>
              <w:pageBreakBefore w:val="0"/>
              <w:widowControl w:val="0"/>
              <w:kinsoku/>
              <w:wordWrap/>
              <w:overflowPunct/>
              <w:topLinePunct w:val="0"/>
              <w:autoSpaceDE/>
              <w:autoSpaceDN/>
              <w:bidi w:val="0"/>
              <w:adjustRightInd/>
              <w:snapToGrid/>
              <w:spacing w:line="324" w:lineRule="auto"/>
              <w:jc w:val="center"/>
              <w:rPr>
                <w:rFonts w:hint="eastAsia" w:ascii="宋体" w:hAnsi="宋体" w:eastAsia="宋体" w:cs="宋体"/>
                <w:color w:val="000000"/>
                <w:sz w:val="24"/>
                <w:lang w:eastAsia="zh-CN"/>
              </w:rPr>
            </w:pPr>
            <w:r>
              <w:rPr>
                <w:rFonts w:hint="eastAsia" w:ascii="宋体" w:hAnsi="宋体" w:cs="宋体"/>
                <w:color w:val="000000"/>
                <w:sz w:val="24"/>
              </w:rPr>
              <w:t>1</w:t>
            </w:r>
            <w:r>
              <w:rPr>
                <w:rFonts w:hint="eastAsia" w:ascii="宋体" w:hAnsi="宋体" w:cs="宋体"/>
                <w:color w:val="000000"/>
                <w:sz w:val="24"/>
                <w:lang w:val="en-US" w:eastAsia="zh-CN"/>
              </w:rPr>
              <w:t>6</w:t>
            </w:r>
          </w:p>
        </w:tc>
        <w:tc>
          <w:tcPr>
            <w:tcW w:w="950" w:type="pct"/>
            <w:tcBorders>
              <w:top w:val="single" w:color="auto" w:sz="4" w:space="0"/>
              <w:left w:val="single" w:color="auto" w:sz="4" w:space="0"/>
              <w:bottom w:val="single" w:color="auto" w:sz="4" w:space="0"/>
              <w:right w:val="single" w:color="auto" w:sz="4" w:space="0"/>
            </w:tcBorders>
            <w:vAlign w:val="center"/>
          </w:tcPr>
          <w:p w14:paraId="2EA618AD">
            <w:pPr>
              <w:keepNext w:val="0"/>
              <w:keepLines w:val="0"/>
              <w:pageBreakBefore w:val="0"/>
              <w:widowControl w:val="0"/>
              <w:kinsoku/>
              <w:wordWrap/>
              <w:overflowPunct/>
              <w:topLinePunct w:val="0"/>
              <w:autoSpaceDE/>
              <w:autoSpaceDN/>
              <w:bidi w:val="0"/>
              <w:adjustRightInd/>
              <w:snapToGrid/>
              <w:spacing w:line="324" w:lineRule="auto"/>
              <w:jc w:val="center"/>
              <w:rPr>
                <w:rFonts w:hint="eastAsia" w:ascii="宋体" w:hAnsi="宋体" w:eastAsia="宋体" w:cs="宋体"/>
                <w:color w:val="auto"/>
                <w:sz w:val="24"/>
                <w:highlight w:val="none"/>
              </w:rPr>
            </w:pPr>
            <w:r>
              <w:rPr>
                <w:rFonts w:hint="eastAsia" w:ascii="宋体" w:hAnsi="宋体" w:cs="宋体"/>
                <w:color w:val="000000"/>
                <w:sz w:val="24"/>
                <w:highlight w:val="none"/>
              </w:rPr>
              <w:t>磋商保证金</w:t>
            </w:r>
          </w:p>
        </w:tc>
        <w:tc>
          <w:tcPr>
            <w:tcW w:w="3669" w:type="pct"/>
            <w:tcBorders>
              <w:top w:val="single" w:color="auto" w:sz="4" w:space="0"/>
              <w:left w:val="single" w:color="auto" w:sz="4" w:space="0"/>
              <w:bottom w:val="single" w:color="auto" w:sz="4" w:space="0"/>
              <w:right w:val="single" w:color="auto" w:sz="4" w:space="0"/>
            </w:tcBorders>
            <w:vAlign w:val="center"/>
          </w:tcPr>
          <w:p w14:paraId="72C803D8">
            <w:pPr>
              <w:keepNext w:val="0"/>
              <w:keepLines w:val="0"/>
              <w:pageBreakBefore w:val="0"/>
              <w:kinsoku/>
              <w:wordWrap/>
              <w:overflowPunct/>
              <w:topLinePunct w:val="0"/>
              <w:autoSpaceDE/>
              <w:autoSpaceDN/>
              <w:bidi w:val="0"/>
              <w:adjustRightInd/>
              <w:snapToGrid w:val="0"/>
              <w:spacing w:line="288" w:lineRule="auto"/>
              <w:ind w:firstLine="240" w:firstLineChars="100"/>
              <w:jc w:val="left"/>
              <w:rPr>
                <w:rFonts w:hint="eastAsia" w:eastAsia="宋体"/>
                <w:lang w:val="en-US" w:eastAsia="zh-CN"/>
              </w:rPr>
            </w:pPr>
            <w:r>
              <w:rPr>
                <w:rFonts w:hint="eastAsia" w:ascii="宋体" w:hAnsi="宋体" w:cs="宋体"/>
                <w:sz w:val="24"/>
                <w:highlight w:val="none"/>
                <w:lang w:val="en-US" w:eastAsia="zh-CN"/>
              </w:rPr>
              <w:t>无</w:t>
            </w:r>
          </w:p>
        </w:tc>
      </w:tr>
      <w:tr w14:paraId="2655F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14:paraId="18F41EDD">
            <w:pPr>
              <w:keepNext w:val="0"/>
              <w:keepLines w:val="0"/>
              <w:pageBreakBefore w:val="0"/>
              <w:widowControl w:val="0"/>
              <w:kinsoku/>
              <w:wordWrap/>
              <w:overflowPunct/>
              <w:topLinePunct w:val="0"/>
              <w:autoSpaceDE/>
              <w:autoSpaceDN/>
              <w:bidi w:val="0"/>
              <w:adjustRightInd/>
              <w:snapToGrid/>
              <w:spacing w:line="324" w:lineRule="auto"/>
              <w:jc w:val="center"/>
              <w:rPr>
                <w:rFonts w:hint="eastAsia" w:ascii="宋体" w:hAnsi="宋体" w:eastAsia="宋体" w:cs="宋体"/>
                <w:color w:val="000000"/>
                <w:sz w:val="24"/>
                <w:lang w:eastAsia="zh-CN"/>
              </w:rPr>
            </w:pPr>
            <w:r>
              <w:rPr>
                <w:rFonts w:hint="eastAsia" w:ascii="宋体" w:hAnsi="宋体" w:cs="宋体"/>
                <w:color w:val="000000"/>
                <w:sz w:val="24"/>
              </w:rPr>
              <w:t>1</w:t>
            </w:r>
            <w:r>
              <w:rPr>
                <w:rFonts w:hint="eastAsia" w:ascii="宋体" w:hAnsi="宋体" w:cs="宋体"/>
                <w:color w:val="000000"/>
                <w:sz w:val="24"/>
                <w:lang w:val="en-US" w:eastAsia="zh-CN"/>
              </w:rPr>
              <w:t>7</w:t>
            </w:r>
          </w:p>
        </w:tc>
        <w:tc>
          <w:tcPr>
            <w:tcW w:w="950" w:type="pct"/>
            <w:tcBorders>
              <w:top w:val="single" w:color="auto" w:sz="4" w:space="0"/>
              <w:left w:val="single" w:color="auto" w:sz="4" w:space="0"/>
              <w:bottom w:val="single" w:color="auto" w:sz="4" w:space="0"/>
              <w:right w:val="single" w:color="auto" w:sz="4" w:space="0"/>
            </w:tcBorders>
            <w:vAlign w:val="center"/>
          </w:tcPr>
          <w:p w14:paraId="23225B82">
            <w:pPr>
              <w:keepNext w:val="0"/>
              <w:keepLines w:val="0"/>
              <w:pageBreakBefore w:val="0"/>
              <w:widowControl w:val="0"/>
              <w:kinsoku/>
              <w:wordWrap/>
              <w:overflowPunct/>
              <w:topLinePunct w:val="0"/>
              <w:autoSpaceDE/>
              <w:autoSpaceDN/>
              <w:bidi w:val="0"/>
              <w:adjustRightInd/>
              <w:snapToGrid/>
              <w:spacing w:line="324" w:lineRule="auto"/>
              <w:jc w:val="center"/>
              <w:rPr>
                <w:rFonts w:hint="eastAsia" w:ascii="宋体" w:hAnsi="宋体" w:eastAsia="宋体" w:cs="宋体"/>
                <w:color w:val="000000"/>
                <w:sz w:val="24"/>
                <w:highlight w:val="none"/>
                <w:lang w:eastAsia="zh-CN"/>
              </w:rPr>
            </w:pPr>
            <w:r>
              <w:rPr>
                <w:rFonts w:hint="eastAsia" w:ascii="宋体" w:hAnsi="宋体" w:cs="宋体"/>
                <w:color w:val="000000"/>
                <w:sz w:val="24"/>
              </w:rPr>
              <w:t>履约担保</w:t>
            </w:r>
          </w:p>
        </w:tc>
        <w:tc>
          <w:tcPr>
            <w:tcW w:w="3669" w:type="pct"/>
            <w:tcBorders>
              <w:top w:val="single" w:color="auto" w:sz="4" w:space="0"/>
              <w:left w:val="single" w:color="auto" w:sz="4" w:space="0"/>
              <w:bottom w:val="single" w:color="auto" w:sz="4" w:space="0"/>
              <w:right w:val="single" w:color="auto" w:sz="4" w:space="0"/>
            </w:tcBorders>
            <w:vAlign w:val="center"/>
          </w:tcPr>
          <w:p w14:paraId="341FE6DD">
            <w:pPr>
              <w:keepNext w:val="0"/>
              <w:keepLines w:val="0"/>
              <w:pageBreakBefore w:val="0"/>
              <w:widowControl w:val="0"/>
              <w:kinsoku/>
              <w:wordWrap/>
              <w:overflowPunct/>
              <w:topLinePunct w:val="0"/>
              <w:autoSpaceDE/>
              <w:autoSpaceDN/>
              <w:bidi w:val="0"/>
              <w:adjustRightInd/>
              <w:snapToGrid/>
              <w:spacing w:line="324" w:lineRule="auto"/>
              <w:ind w:firstLine="240" w:firstLineChars="100"/>
              <w:jc w:val="left"/>
              <w:rPr>
                <w:rFonts w:ascii="宋体" w:hAnsi="宋体" w:cs="宋体"/>
                <w:sz w:val="24"/>
                <w:highlight w:val="none"/>
              </w:rPr>
            </w:pPr>
            <w:r>
              <w:rPr>
                <w:rFonts w:hint="eastAsia" w:ascii="宋体" w:hAnsi="宋体" w:cs="宋体"/>
                <w:color w:val="000000"/>
                <w:sz w:val="24"/>
              </w:rPr>
              <w:t>无</w:t>
            </w:r>
          </w:p>
        </w:tc>
      </w:tr>
      <w:tr w14:paraId="566FE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14:paraId="3501D2E0">
            <w:pPr>
              <w:keepNext w:val="0"/>
              <w:keepLines w:val="0"/>
              <w:pageBreakBefore w:val="0"/>
              <w:widowControl w:val="0"/>
              <w:kinsoku/>
              <w:wordWrap/>
              <w:overflowPunct/>
              <w:topLinePunct w:val="0"/>
              <w:autoSpaceDE/>
              <w:autoSpaceDN/>
              <w:bidi w:val="0"/>
              <w:adjustRightInd/>
              <w:snapToGrid/>
              <w:spacing w:line="324" w:lineRule="auto"/>
              <w:jc w:val="center"/>
              <w:rPr>
                <w:rFonts w:hint="eastAsia" w:ascii="宋体" w:hAnsi="宋体" w:eastAsia="宋体" w:cs="宋体"/>
                <w:color w:val="000000"/>
                <w:sz w:val="24"/>
                <w:lang w:eastAsia="zh-CN"/>
              </w:rPr>
            </w:pPr>
            <w:r>
              <w:rPr>
                <w:rFonts w:hint="eastAsia" w:ascii="宋体" w:hAnsi="宋体" w:cs="宋体"/>
                <w:color w:val="000000"/>
                <w:sz w:val="24"/>
              </w:rPr>
              <w:t>1</w:t>
            </w:r>
            <w:r>
              <w:rPr>
                <w:rFonts w:hint="eastAsia" w:ascii="宋体" w:hAnsi="宋体" w:cs="宋体"/>
                <w:color w:val="000000"/>
                <w:sz w:val="24"/>
                <w:lang w:val="en-US" w:eastAsia="zh-CN"/>
              </w:rPr>
              <w:t>8</w:t>
            </w:r>
          </w:p>
        </w:tc>
        <w:tc>
          <w:tcPr>
            <w:tcW w:w="950" w:type="pct"/>
            <w:tcBorders>
              <w:top w:val="single" w:color="auto" w:sz="4" w:space="0"/>
              <w:left w:val="single" w:color="auto" w:sz="4" w:space="0"/>
              <w:bottom w:val="single" w:color="auto" w:sz="4" w:space="0"/>
              <w:right w:val="single" w:color="auto" w:sz="4" w:space="0"/>
            </w:tcBorders>
            <w:vAlign w:val="center"/>
          </w:tcPr>
          <w:p w14:paraId="12EBE022">
            <w:pPr>
              <w:keepNext w:val="0"/>
              <w:keepLines w:val="0"/>
              <w:pageBreakBefore w:val="0"/>
              <w:widowControl w:val="0"/>
              <w:kinsoku/>
              <w:wordWrap/>
              <w:overflowPunct/>
              <w:topLinePunct w:val="0"/>
              <w:autoSpaceDE/>
              <w:autoSpaceDN/>
              <w:bidi w:val="0"/>
              <w:adjustRightInd/>
              <w:snapToGrid/>
              <w:spacing w:line="324" w:lineRule="auto"/>
              <w:jc w:val="center"/>
              <w:rPr>
                <w:rFonts w:ascii="宋体" w:hAnsi="宋体" w:cs="宋体"/>
                <w:color w:val="000000"/>
                <w:sz w:val="24"/>
              </w:rPr>
            </w:pPr>
            <w:r>
              <w:rPr>
                <w:rFonts w:hint="eastAsia" w:ascii="宋体" w:hAnsi="宋体" w:cs="宋体"/>
                <w:color w:val="000000"/>
                <w:sz w:val="24"/>
              </w:rPr>
              <w:t>是否允许递交备选磋商</w:t>
            </w:r>
            <w:r>
              <w:rPr>
                <w:rFonts w:hint="eastAsia" w:ascii="宋体" w:hAnsi="宋体" w:cs="宋体"/>
                <w:color w:val="000000"/>
                <w:sz w:val="24"/>
                <w:lang w:eastAsia="zh-CN"/>
              </w:rPr>
              <w:t>响应</w:t>
            </w:r>
            <w:r>
              <w:rPr>
                <w:rFonts w:hint="eastAsia" w:ascii="宋体" w:hAnsi="宋体" w:cs="宋体"/>
                <w:color w:val="000000"/>
                <w:sz w:val="24"/>
              </w:rPr>
              <w:t>文件方案</w:t>
            </w:r>
          </w:p>
        </w:tc>
        <w:tc>
          <w:tcPr>
            <w:tcW w:w="3669" w:type="pct"/>
            <w:tcBorders>
              <w:top w:val="single" w:color="auto" w:sz="4" w:space="0"/>
              <w:left w:val="single" w:color="auto" w:sz="4" w:space="0"/>
              <w:bottom w:val="single" w:color="auto" w:sz="4" w:space="0"/>
              <w:right w:val="single" w:color="auto" w:sz="4" w:space="0"/>
            </w:tcBorders>
            <w:vAlign w:val="center"/>
          </w:tcPr>
          <w:p w14:paraId="4BEB6468">
            <w:pPr>
              <w:keepNext w:val="0"/>
              <w:keepLines w:val="0"/>
              <w:pageBreakBefore w:val="0"/>
              <w:widowControl w:val="0"/>
              <w:kinsoku/>
              <w:wordWrap/>
              <w:overflowPunct/>
              <w:topLinePunct w:val="0"/>
              <w:autoSpaceDE/>
              <w:autoSpaceDN/>
              <w:bidi w:val="0"/>
              <w:adjustRightInd/>
              <w:snapToGrid/>
              <w:spacing w:line="324" w:lineRule="auto"/>
              <w:ind w:firstLine="240" w:firstLineChars="100"/>
              <w:jc w:val="left"/>
              <w:rPr>
                <w:rFonts w:ascii="宋体" w:hAnsi="宋体" w:cs="宋体"/>
                <w:sz w:val="24"/>
              </w:rPr>
            </w:pPr>
            <w:r>
              <w:rPr>
                <w:rFonts w:hint="eastAsia" w:ascii="宋体" w:hAnsi="宋体" w:cs="宋体"/>
                <w:color w:val="000000"/>
                <w:sz w:val="24"/>
              </w:rPr>
              <w:t>不允许</w:t>
            </w:r>
          </w:p>
        </w:tc>
      </w:tr>
      <w:tr w14:paraId="1BE07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14:paraId="2F634108">
            <w:pPr>
              <w:keepNext w:val="0"/>
              <w:keepLines w:val="0"/>
              <w:pageBreakBefore w:val="0"/>
              <w:widowControl w:val="0"/>
              <w:kinsoku/>
              <w:wordWrap/>
              <w:overflowPunct/>
              <w:topLinePunct w:val="0"/>
              <w:autoSpaceDE/>
              <w:autoSpaceDN/>
              <w:bidi w:val="0"/>
              <w:adjustRightInd/>
              <w:snapToGrid/>
              <w:spacing w:line="324" w:lineRule="auto"/>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19</w:t>
            </w:r>
          </w:p>
        </w:tc>
        <w:tc>
          <w:tcPr>
            <w:tcW w:w="950" w:type="pct"/>
            <w:tcBorders>
              <w:top w:val="single" w:color="auto" w:sz="4" w:space="0"/>
              <w:left w:val="single" w:color="auto" w:sz="4" w:space="0"/>
              <w:bottom w:val="single" w:color="auto" w:sz="4" w:space="0"/>
              <w:right w:val="single" w:color="auto" w:sz="4" w:space="0"/>
            </w:tcBorders>
            <w:vAlign w:val="center"/>
          </w:tcPr>
          <w:p w14:paraId="22BE5002">
            <w:pPr>
              <w:keepNext w:val="0"/>
              <w:keepLines w:val="0"/>
              <w:pageBreakBefore w:val="0"/>
              <w:widowControl w:val="0"/>
              <w:kinsoku/>
              <w:wordWrap/>
              <w:overflowPunct/>
              <w:topLinePunct w:val="0"/>
              <w:autoSpaceDE/>
              <w:autoSpaceDN/>
              <w:bidi w:val="0"/>
              <w:adjustRightInd/>
              <w:snapToGrid/>
              <w:spacing w:line="324" w:lineRule="auto"/>
              <w:jc w:val="center"/>
              <w:rPr>
                <w:rFonts w:ascii="宋体" w:hAnsi="宋体" w:cs="宋体"/>
                <w:color w:val="000000"/>
                <w:sz w:val="24"/>
              </w:rPr>
            </w:pPr>
            <w:r>
              <w:rPr>
                <w:rFonts w:hint="eastAsia" w:ascii="宋体" w:hAnsi="宋体" w:cs="宋体"/>
                <w:color w:val="000000"/>
                <w:sz w:val="24"/>
              </w:rPr>
              <w:t>签字或盖章要求</w:t>
            </w:r>
          </w:p>
        </w:tc>
        <w:tc>
          <w:tcPr>
            <w:tcW w:w="3669" w:type="pct"/>
            <w:tcBorders>
              <w:top w:val="single" w:color="auto" w:sz="4" w:space="0"/>
              <w:left w:val="single" w:color="auto" w:sz="4" w:space="0"/>
              <w:bottom w:val="single" w:color="auto" w:sz="4" w:space="0"/>
              <w:right w:val="single" w:color="auto" w:sz="4" w:space="0"/>
            </w:tcBorders>
            <w:vAlign w:val="center"/>
          </w:tcPr>
          <w:p w14:paraId="3F57A671">
            <w:pPr>
              <w:keepNext w:val="0"/>
              <w:keepLines w:val="0"/>
              <w:pageBreakBefore w:val="0"/>
              <w:widowControl w:val="0"/>
              <w:kinsoku/>
              <w:wordWrap/>
              <w:overflowPunct/>
              <w:topLinePunct w:val="0"/>
              <w:autoSpaceDE/>
              <w:autoSpaceDN/>
              <w:bidi w:val="0"/>
              <w:adjustRightInd/>
              <w:snapToGrid/>
              <w:spacing w:line="324" w:lineRule="auto"/>
              <w:ind w:firstLine="240" w:firstLineChars="100"/>
              <w:jc w:val="left"/>
              <w:rPr>
                <w:rFonts w:ascii="宋体" w:hAnsi="宋体" w:cs="宋体"/>
                <w:color w:val="000000"/>
                <w:sz w:val="24"/>
              </w:rPr>
            </w:pPr>
            <w:r>
              <w:rPr>
                <w:rFonts w:hint="eastAsia" w:ascii="宋体" w:hAnsi="宋体" w:cs="宋体"/>
                <w:color w:val="000000"/>
                <w:sz w:val="24"/>
              </w:rPr>
              <w:t>磋商响应文件封面、磋商函等响应文件中要求盖章签字的地方，均应按要求加盖供应商</w:t>
            </w:r>
            <w:r>
              <w:rPr>
                <w:rFonts w:hint="eastAsia" w:ascii="宋体" w:hAnsi="宋体" w:cs="宋体"/>
                <w:color w:val="000000"/>
                <w:sz w:val="24"/>
                <w:lang w:eastAsia="zh-CN"/>
              </w:rPr>
              <w:t>公</w:t>
            </w:r>
            <w:r>
              <w:rPr>
                <w:rFonts w:hint="eastAsia" w:ascii="宋体" w:hAnsi="宋体" w:cs="宋体"/>
                <w:color w:val="000000"/>
                <w:sz w:val="24"/>
              </w:rPr>
              <w:t>章，并经</w:t>
            </w:r>
            <w:r>
              <w:rPr>
                <w:rFonts w:hint="eastAsia" w:ascii="宋体" w:hAnsi="宋体" w:cs="宋体"/>
                <w:color w:val="000000" w:themeColor="text1"/>
                <w:sz w:val="24"/>
                <w14:textFill>
                  <w14:solidFill>
                    <w14:schemeClr w14:val="tx1"/>
                  </w14:solidFill>
                </w14:textFill>
              </w:rPr>
              <w:t>法定代表人</w:t>
            </w:r>
            <w:r>
              <w:rPr>
                <w:rFonts w:hint="eastAsia" w:ascii="宋体" w:hAnsi="宋体" w:cs="宋体"/>
                <w:color w:val="000000"/>
                <w:sz w:val="24"/>
              </w:rPr>
              <w:t>或授权委托人签字或盖章。</w:t>
            </w:r>
          </w:p>
        </w:tc>
      </w:tr>
      <w:tr w14:paraId="0DED2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14:paraId="04CE5903">
            <w:pPr>
              <w:keepNext w:val="0"/>
              <w:keepLines w:val="0"/>
              <w:pageBreakBefore w:val="0"/>
              <w:widowControl w:val="0"/>
              <w:kinsoku/>
              <w:wordWrap/>
              <w:overflowPunct/>
              <w:topLinePunct w:val="0"/>
              <w:autoSpaceDE/>
              <w:autoSpaceDN/>
              <w:bidi w:val="0"/>
              <w:adjustRightInd/>
              <w:snapToGrid/>
              <w:spacing w:line="324" w:lineRule="auto"/>
              <w:jc w:val="center"/>
              <w:rPr>
                <w:rFonts w:hint="default" w:ascii="宋体" w:hAnsi="宋体" w:eastAsia="宋体" w:cs="宋体"/>
                <w:color w:val="000000"/>
                <w:sz w:val="24"/>
                <w:lang w:val="en-US" w:eastAsia="zh-CN"/>
              </w:rPr>
            </w:pPr>
            <w:r>
              <w:rPr>
                <w:rFonts w:hint="eastAsia" w:ascii="宋体" w:hAnsi="宋体" w:cs="宋体"/>
                <w:color w:val="000000"/>
                <w:sz w:val="24"/>
              </w:rPr>
              <w:t>2</w:t>
            </w:r>
            <w:r>
              <w:rPr>
                <w:rFonts w:hint="eastAsia" w:ascii="宋体" w:hAnsi="宋体" w:cs="宋体"/>
                <w:color w:val="000000"/>
                <w:sz w:val="24"/>
                <w:lang w:val="en-US" w:eastAsia="zh-CN"/>
              </w:rPr>
              <w:t>0</w:t>
            </w:r>
          </w:p>
        </w:tc>
        <w:tc>
          <w:tcPr>
            <w:tcW w:w="950" w:type="pct"/>
            <w:tcBorders>
              <w:top w:val="single" w:color="auto" w:sz="4" w:space="0"/>
              <w:left w:val="single" w:color="auto" w:sz="4" w:space="0"/>
              <w:bottom w:val="single" w:color="auto" w:sz="4" w:space="0"/>
              <w:right w:val="single" w:color="auto" w:sz="4" w:space="0"/>
            </w:tcBorders>
            <w:vAlign w:val="center"/>
          </w:tcPr>
          <w:p w14:paraId="01D29FE1">
            <w:pPr>
              <w:keepNext w:val="0"/>
              <w:keepLines w:val="0"/>
              <w:pageBreakBefore w:val="0"/>
              <w:widowControl w:val="0"/>
              <w:kinsoku/>
              <w:wordWrap/>
              <w:overflowPunct/>
              <w:topLinePunct w:val="0"/>
              <w:autoSpaceDE/>
              <w:autoSpaceDN/>
              <w:bidi w:val="0"/>
              <w:adjustRightInd/>
              <w:snapToGrid/>
              <w:spacing w:line="324" w:lineRule="auto"/>
              <w:jc w:val="center"/>
              <w:rPr>
                <w:rFonts w:ascii="宋体" w:hAnsi="宋体" w:cs="宋体"/>
                <w:color w:val="000000"/>
                <w:sz w:val="24"/>
              </w:rPr>
            </w:pPr>
            <w:r>
              <w:rPr>
                <w:rFonts w:hint="eastAsia" w:ascii="宋体" w:hAnsi="宋体" w:eastAsia="宋体" w:cs="宋体"/>
                <w:color w:val="auto"/>
                <w:sz w:val="24"/>
                <w:highlight w:val="none"/>
              </w:rPr>
              <w:t>磋商响应文件的装订、数量</w:t>
            </w:r>
          </w:p>
        </w:tc>
        <w:tc>
          <w:tcPr>
            <w:tcW w:w="3669" w:type="pct"/>
            <w:tcBorders>
              <w:top w:val="single" w:color="auto" w:sz="4" w:space="0"/>
              <w:left w:val="single" w:color="auto" w:sz="4" w:space="0"/>
              <w:bottom w:val="single" w:color="auto" w:sz="4" w:space="0"/>
              <w:right w:val="single" w:color="auto" w:sz="4" w:space="0"/>
            </w:tcBorders>
            <w:vAlign w:val="center"/>
          </w:tcPr>
          <w:p w14:paraId="5F7DA2C3">
            <w:pPr>
              <w:keepNext w:val="0"/>
              <w:keepLines w:val="0"/>
              <w:pageBreakBefore w:val="0"/>
              <w:widowControl w:val="0"/>
              <w:kinsoku/>
              <w:wordWrap/>
              <w:overflowPunct/>
              <w:topLinePunct w:val="0"/>
              <w:autoSpaceDE/>
              <w:autoSpaceDN/>
              <w:bidi w:val="0"/>
              <w:adjustRightInd/>
              <w:snapToGrid/>
              <w:spacing w:line="324" w:lineRule="auto"/>
              <w:ind w:firstLine="240" w:firstLineChars="100"/>
              <w:jc w:val="left"/>
              <w:rPr>
                <w:rFonts w:ascii="宋体" w:hAnsi="宋体" w:cs="宋体"/>
                <w:color w:val="000000"/>
                <w:sz w:val="24"/>
              </w:rPr>
            </w:pPr>
            <w:r>
              <w:rPr>
                <w:rFonts w:hint="eastAsia" w:ascii="宋体" w:hAnsi="宋体" w:cs="宋体"/>
                <w:sz w:val="24"/>
              </w:rPr>
              <w:t>磋商响应文件一律采用书籍（胶装）方式装订。磋商响应文件正本壹份、副本贰份、电子版（U盘）贰份（word及PDF格式各一份</w:t>
            </w:r>
            <w:r>
              <w:rPr>
                <w:rFonts w:hint="eastAsia" w:ascii="宋体" w:hAnsi="宋体" w:cs="宋体"/>
                <w:sz w:val="24"/>
                <w:lang w:eastAsia="zh-CN"/>
              </w:rPr>
              <w:t>，</w:t>
            </w:r>
            <w:r>
              <w:rPr>
                <w:rFonts w:hint="eastAsia" w:ascii="宋体" w:hAnsi="宋体" w:cs="宋体"/>
                <w:sz w:val="24"/>
                <w:highlight w:val="none"/>
              </w:rPr>
              <w:t>包含</w:t>
            </w:r>
            <w:r>
              <w:rPr>
                <w:rFonts w:hint="eastAsia" w:ascii="宋体" w:hAnsi="宋体" w:cs="宋体"/>
                <w:sz w:val="24"/>
              </w:rPr>
              <w:t>磋商响应文件所有内容）。纸质磋商响应文件建议A4纸双面打印，正、副本分别各自装订成册并编制目录和页码，单独密封。电子版放置“正本”密封袋内并加贴不掉标贴，注写磋商供应商名称。</w:t>
            </w:r>
          </w:p>
        </w:tc>
      </w:tr>
      <w:tr w14:paraId="449B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14:paraId="5F9AC226">
            <w:pPr>
              <w:keepNext w:val="0"/>
              <w:keepLines w:val="0"/>
              <w:pageBreakBefore w:val="0"/>
              <w:widowControl w:val="0"/>
              <w:kinsoku/>
              <w:wordWrap/>
              <w:overflowPunct/>
              <w:topLinePunct w:val="0"/>
              <w:autoSpaceDE/>
              <w:autoSpaceDN/>
              <w:bidi w:val="0"/>
              <w:adjustRightInd/>
              <w:snapToGrid/>
              <w:spacing w:line="324" w:lineRule="auto"/>
              <w:jc w:val="center"/>
              <w:rPr>
                <w:rFonts w:hint="eastAsia" w:ascii="宋体" w:hAnsi="宋体" w:eastAsia="宋体" w:cs="宋体"/>
                <w:color w:val="000000"/>
                <w:sz w:val="24"/>
                <w:lang w:eastAsia="zh-CN"/>
              </w:rPr>
            </w:pPr>
            <w:r>
              <w:rPr>
                <w:rFonts w:hint="eastAsia" w:ascii="宋体" w:hAnsi="宋体" w:cs="宋体"/>
                <w:color w:val="000000"/>
                <w:sz w:val="24"/>
              </w:rPr>
              <w:t>2</w:t>
            </w:r>
            <w:r>
              <w:rPr>
                <w:rFonts w:hint="eastAsia" w:ascii="宋体" w:hAnsi="宋体" w:cs="宋体"/>
                <w:color w:val="000000"/>
                <w:sz w:val="24"/>
                <w:lang w:val="en-US" w:eastAsia="zh-CN"/>
              </w:rPr>
              <w:t>1</w:t>
            </w:r>
          </w:p>
        </w:tc>
        <w:tc>
          <w:tcPr>
            <w:tcW w:w="950" w:type="pct"/>
            <w:tcBorders>
              <w:top w:val="single" w:color="auto" w:sz="4" w:space="0"/>
              <w:left w:val="single" w:color="auto" w:sz="4" w:space="0"/>
              <w:bottom w:val="single" w:color="auto" w:sz="4" w:space="0"/>
              <w:right w:val="single" w:color="auto" w:sz="4" w:space="0"/>
            </w:tcBorders>
            <w:vAlign w:val="center"/>
          </w:tcPr>
          <w:p w14:paraId="1E099589">
            <w:pPr>
              <w:keepNext w:val="0"/>
              <w:keepLines w:val="0"/>
              <w:pageBreakBefore w:val="0"/>
              <w:widowControl w:val="0"/>
              <w:kinsoku/>
              <w:wordWrap/>
              <w:overflowPunct/>
              <w:topLinePunct w:val="0"/>
              <w:autoSpaceDE/>
              <w:autoSpaceDN/>
              <w:bidi w:val="0"/>
              <w:adjustRightInd/>
              <w:snapToGrid/>
              <w:spacing w:line="324" w:lineRule="auto"/>
              <w:jc w:val="center"/>
              <w:rPr>
                <w:rFonts w:ascii="宋体" w:hAnsi="宋体" w:cs="宋体"/>
                <w:color w:val="000000"/>
                <w:sz w:val="24"/>
              </w:rPr>
            </w:pPr>
            <w:r>
              <w:rPr>
                <w:rFonts w:hint="eastAsia" w:ascii="宋体" w:hAnsi="宋体" w:cs="宋体"/>
                <w:color w:val="000000"/>
                <w:sz w:val="24"/>
              </w:rPr>
              <w:t>封套上写明</w:t>
            </w:r>
          </w:p>
        </w:tc>
        <w:tc>
          <w:tcPr>
            <w:tcW w:w="3669" w:type="pct"/>
            <w:tcBorders>
              <w:top w:val="single" w:color="auto" w:sz="4" w:space="0"/>
              <w:left w:val="single" w:color="auto" w:sz="4" w:space="0"/>
              <w:bottom w:val="single" w:color="auto" w:sz="4" w:space="0"/>
              <w:right w:val="single" w:color="auto" w:sz="4" w:space="0"/>
            </w:tcBorders>
            <w:vAlign w:val="center"/>
          </w:tcPr>
          <w:p w14:paraId="6BBD5D69">
            <w:pPr>
              <w:keepNext w:val="0"/>
              <w:keepLines w:val="0"/>
              <w:pageBreakBefore w:val="0"/>
              <w:widowControl w:val="0"/>
              <w:kinsoku/>
              <w:wordWrap/>
              <w:overflowPunct/>
              <w:topLinePunct w:val="0"/>
              <w:autoSpaceDE/>
              <w:autoSpaceDN/>
              <w:bidi w:val="0"/>
              <w:adjustRightInd/>
              <w:snapToGrid/>
              <w:spacing w:line="324" w:lineRule="auto"/>
              <w:ind w:firstLine="240" w:firstLineChars="100"/>
              <w:jc w:val="left"/>
              <w:rPr>
                <w:rFonts w:ascii="宋体" w:hAnsi="宋体" w:cs="宋体"/>
                <w:color w:val="000000"/>
                <w:sz w:val="24"/>
              </w:rPr>
            </w:pPr>
            <w:r>
              <w:rPr>
                <w:rFonts w:hint="eastAsia" w:ascii="宋体" w:hAnsi="宋体" w:cs="宋体"/>
                <w:color w:val="000000"/>
                <w:sz w:val="24"/>
              </w:rPr>
              <w:t>详见磋商文件第六部分封袋正面标识式样</w:t>
            </w:r>
          </w:p>
        </w:tc>
      </w:tr>
      <w:tr w14:paraId="75EDB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14:paraId="67894173">
            <w:pPr>
              <w:keepNext w:val="0"/>
              <w:keepLines w:val="0"/>
              <w:pageBreakBefore w:val="0"/>
              <w:widowControl w:val="0"/>
              <w:kinsoku/>
              <w:wordWrap/>
              <w:overflowPunct/>
              <w:topLinePunct w:val="0"/>
              <w:autoSpaceDE/>
              <w:autoSpaceDN/>
              <w:bidi w:val="0"/>
              <w:adjustRightInd/>
              <w:snapToGrid/>
              <w:spacing w:line="324" w:lineRule="auto"/>
              <w:jc w:val="center"/>
              <w:rPr>
                <w:rFonts w:hint="eastAsia" w:ascii="宋体" w:hAnsi="宋体" w:eastAsia="宋体" w:cs="宋体"/>
                <w:color w:val="000000"/>
                <w:sz w:val="24"/>
                <w:lang w:eastAsia="zh-CN"/>
              </w:rPr>
            </w:pPr>
            <w:r>
              <w:rPr>
                <w:rFonts w:hint="eastAsia" w:ascii="宋体" w:hAnsi="宋体" w:cs="宋体"/>
                <w:color w:val="000000"/>
                <w:sz w:val="24"/>
              </w:rPr>
              <w:t>2</w:t>
            </w:r>
            <w:r>
              <w:rPr>
                <w:rFonts w:hint="eastAsia" w:ascii="宋体" w:hAnsi="宋体" w:cs="宋体"/>
                <w:color w:val="000000"/>
                <w:sz w:val="24"/>
                <w:lang w:val="en-US" w:eastAsia="zh-CN"/>
              </w:rPr>
              <w:t>2</w:t>
            </w:r>
          </w:p>
        </w:tc>
        <w:tc>
          <w:tcPr>
            <w:tcW w:w="950" w:type="pct"/>
            <w:tcBorders>
              <w:top w:val="single" w:color="auto" w:sz="4" w:space="0"/>
              <w:left w:val="single" w:color="auto" w:sz="4" w:space="0"/>
              <w:bottom w:val="single" w:color="auto" w:sz="4" w:space="0"/>
              <w:right w:val="single" w:color="auto" w:sz="4" w:space="0"/>
            </w:tcBorders>
            <w:vAlign w:val="center"/>
          </w:tcPr>
          <w:p w14:paraId="18369B65">
            <w:pPr>
              <w:keepNext w:val="0"/>
              <w:keepLines w:val="0"/>
              <w:pageBreakBefore w:val="0"/>
              <w:widowControl w:val="0"/>
              <w:kinsoku/>
              <w:wordWrap/>
              <w:overflowPunct/>
              <w:topLinePunct w:val="0"/>
              <w:autoSpaceDE/>
              <w:autoSpaceDN/>
              <w:bidi w:val="0"/>
              <w:adjustRightInd/>
              <w:snapToGrid/>
              <w:spacing w:line="324" w:lineRule="auto"/>
              <w:jc w:val="center"/>
              <w:rPr>
                <w:rFonts w:ascii="宋体" w:hAnsi="宋体" w:cs="宋体"/>
                <w:color w:val="000000"/>
                <w:sz w:val="24"/>
              </w:rPr>
            </w:pPr>
            <w:r>
              <w:rPr>
                <w:rFonts w:hint="eastAsia" w:ascii="宋体" w:hAnsi="宋体" w:cs="宋体"/>
                <w:color w:val="000000"/>
                <w:sz w:val="24"/>
              </w:rPr>
              <w:t>递交磋商文件地点</w:t>
            </w:r>
          </w:p>
        </w:tc>
        <w:tc>
          <w:tcPr>
            <w:tcW w:w="3669" w:type="pct"/>
            <w:tcBorders>
              <w:top w:val="single" w:color="auto" w:sz="4" w:space="0"/>
              <w:left w:val="single" w:color="auto" w:sz="4" w:space="0"/>
              <w:bottom w:val="single" w:color="auto" w:sz="4" w:space="0"/>
              <w:right w:val="single" w:color="auto" w:sz="4" w:space="0"/>
            </w:tcBorders>
            <w:vAlign w:val="center"/>
          </w:tcPr>
          <w:p w14:paraId="503933C6">
            <w:pPr>
              <w:keepNext w:val="0"/>
              <w:keepLines w:val="0"/>
              <w:pageBreakBefore w:val="0"/>
              <w:widowControl w:val="0"/>
              <w:kinsoku/>
              <w:wordWrap/>
              <w:overflowPunct/>
              <w:topLinePunct w:val="0"/>
              <w:autoSpaceDE/>
              <w:autoSpaceDN/>
              <w:bidi w:val="0"/>
              <w:adjustRightInd/>
              <w:snapToGrid/>
              <w:spacing w:line="324" w:lineRule="auto"/>
              <w:ind w:firstLine="240" w:firstLineChars="100"/>
              <w:jc w:val="left"/>
              <w:rPr>
                <w:rFonts w:ascii="宋体" w:hAnsi="宋体" w:cs="宋体"/>
                <w:color w:val="000000"/>
                <w:sz w:val="24"/>
              </w:rPr>
            </w:pPr>
            <w:r>
              <w:rPr>
                <w:rFonts w:hint="eastAsia" w:ascii="宋体" w:hAnsi="宋体" w:cs="宋体"/>
                <w:sz w:val="24"/>
              </w:rPr>
              <w:t>西安市高新路88号尚品国际B幢25层开标</w:t>
            </w:r>
            <w:r>
              <w:rPr>
                <w:rFonts w:hint="eastAsia" w:ascii="宋体" w:hAnsi="宋体" w:cs="宋体"/>
                <w:sz w:val="24"/>
                <w:lang w:eastAsia="zh-CN"/>
              </w:rPr>
              <w:t>二</w:t>
            </w:r>
            <w:r>
              <w:rPr>
                <w:rFonts w:hint="eastAsia" w:ascii="宋体" w:hAnsi="宋体" w:cs="宋体"/>
                <w:sz w:val="24"/>
              </w:rPr>
              <w:t>室</w:t>
            </w:r>
          </w:p>
        </w:tc>
      </w:tr>
      <w:tr w14:paraId="3575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14:paraId="6D7EDE18">
            <w:pPr>
              <w:keepNext w:val="0"/>
              <w:keepLines w:val="0"/>
              <w:pageBreakBefore w:val="0"/>
              <w:widowControl w:val="0"/>
              <w:kinsoku/>
              <w:wordWrap/>
              <w:overflowPunct/>
              <w:topLinePunct w:val="0"/>
              <w:autoSpaceDE/>
              <w:autoSpaceDN/>
              <w:bidi w:val="0"/>
              <w:adjustRightInd/>
              <w:snapToGrid/>
              <w:spacing w:line="324" w:lineRule="auto"/>
              <w:jc w:val="center"/>
              <w:rPr>
                <w:rFonts w:hint="eastAsia" w:ascii="宋体" w:hAnsi="宋体" w:eastAsia="宋体" w:cs="宋体"/>
                <w:color w:val="000000"/>
                <w:sz w:val="24"/>
                <w:lang w:eastAsia="zh-CN"/>
              </w:rPr>
            </w:pPr>
            <w:r>
              <w:rPr>
                <w:rFonts w:hint="eastAsia" w:ascii="宋体" w:hAnsi="宋体" w:cs="宋体"/>
                <w:color w:val="000000"/>
                <w:sz w:val="24"/>
              </w:rPr>
              <w:t>2</w:t>
            </w:r>
            <w:r>
              <w:rPr>
                <w:rFonts w:hint="eastAsia" w:ascii="宋体" w:hAnsi="宋体" w:cs="宋体"/>
                <w:color w:val="000000"/>
                <w:sz w:val="24"/>
                <w:lang w:val="en-US" w:eastAsia="zh-CN"/>
              </w:rPr>
              <w:t>3</w:t>
            </w:r>
          </w:p>
        </w:tc>
        <w:tc>
          <w:tcPr>
            <w:tcW w:w="950" w:type="pct"/>
            <w:tcBorders>
              <w:top w:val="single" w:color="auto" w:sz="4" w:space="0"/>
              <w:left w:val="single" w:color="auto" w:sz="4" w:space="0"/>
              <w:bottom w:val="single" w:color="auto" w:sz="4" w:space="0"/>
              <w:right w:val="single" w:color="auto" w:sz="4" w:space="0"/>
            </w:tcBorders>
            <w:vAlign w:val="center"/>
          </w:tcPr>
          <w:p w14:paraId="66C9FECE">
            <w:pPr>
              <w:keepNext w:val="0"/>
              <w:keepLines w:val="0"/>
              <w:pageBreakBefore w:val="0"/>
              <w:widowControl w:val="0"/>
              <w:kinsoku/>
              <w:wordWrap/>
              <w:overflowPunct/>
              <w:topLinePunct w:val="0"/>
              <w:autoSpaceDE/>
              <w:autoSpaceDN/>
              <w:bidi w:val="0"/>
              <w:adjustRightInd/>
              <w:snapToGrid/>
              <w:spacing w:line="324" w:lineRule="auto"/>
              <w:jc w:val="center"/>
              <w:rPr>
                <w:rFonts w:ascii="宋体" w:hAnsi="宋体" w:cs="宋体"/>
                <w:color w:val="000000"/>
                <w:sz w:val="24"/>
              </w:rPr>
            </w:pPr>
            <w:r>
              <w:rPr>
                <w:rFonts w:hint="eastAsia" w:ascii="宋体" w:hAnsi="宋体" w:cs="宋体"/>
                <w:color w:val="000000"/>
                <w:sz w:val="24"/>
              </w:rPr>
              <w:t>是否退还磋商文件</w:t>
            </w:r>
          </w:p>
        </w:tc>
        <w:tc>
          <w:tcPr>
            <w:tcW w:w="3669" w:type="pct"/>
            <w:tcBorders>
              <w:top w:val="single" w:color="auto" w:sz="4" w:space="0"/>
              <w:left w:val="single" w:color="auto" w:sz="4" w:space="0"/>
              <w:bottom w:val="single" w:color="auto" w:sz="4" w:space="0"/>
              <w:right w:val="single" w:color="auto" w:sz="4" w:space="0"/>
            </w:tcBorders>
            <w:vAlign w:val="center"/>
          </w:tcPr>
          <w:p w14:paraId="1934C284">
            <w:pPr>
              <w:keepNext w:val="0"/>
              <w:keepLines w:val="0"/>
              <w:pageBreakBefore w:val="0"/>
              <w:widowControl w:val="0"/>
              <w:kinsoku/>
              <w:wordWrap/>
              <w:overflowPunct/>
              <w:topLinePunct w:val="0"/>
              <w:autoSpaceDE/>
              <w:autoSpaceDN/>
              <w:bidi w:val="0"/>
              <w:adjustRightInd/>
              <w:snapToGrid/>
              <w:spacing w:line="324" w:lineRule="auto"/>
              <w:ind w:firstLine="240" w:firstLineChars="100"/>
              <w:jc w:val="left"/>
              <w:rPr>
                <w:rFonts w:ascii="宋体" w:hAnsi="宋体" w:cs="宋体"/>
                <w:color w:val="000000"/>
                <w:sz w:val="24"/>
              </w:rPr>
            </w:pPr>
            <w:r>
              <w:rPr>
                <w:rFonts w:hint="eastAsia" w:ascii="宋体" w:hAnsi="宋体" w:cs="宋体"/>
                <w:color w:val="000000"/>
                <w:sz w:val="24"/>
              </w:rPr>
              <w:t>否</w:t>
            </w:r>
          </w:p>
        </w:tc>
      </w:tr>
      <w:tr w14:paraId="3009C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14:paraId="6581A0D5">
            <w:pPr>
              <w:keepNext w:val="0"/>
              <w:keepLines w:val="0"/>
              <w:pageBreakBefore w:val="0"/>
              <w:widowControl w:val="0"/>
              <w:kinsoku/>
              <w:wordWrap/>
              <w:overflowPunct/>
              <w:topLinePunct w:val="0"/>
              <w:autoSpaceDE/>
              <w:autoSpaceDN/>
              <w:bidi w:val="0"/>
              <w:adjustRightInd/>
              <w:snapToGrid/>
              <w:spacing w:line="324" w:lineRule="auto"/>
              <w:jc w:val="center"/>
              <w:rPr>
                <w:rFonts w:hint="eastAsia" w:ascii="宋体" w:hAnsi="宋体" w:eastAsia="宋体" w:cs="宋体"/>
                <w:color w:val="000000"/>
                <w:sz w:val="24"/>
                <w:lang w:eastAsia="zh-CN"/>
              </w:rPr>
            </w:pPr>
            <w:r>
              <w:rPr>
                <w:rFonts w:hint="eastAsia" w:ascii="宋体" w:hAnsi="宋体" w:cs="宋体"/>
                <w:color w:val="000000"/>
                <w:sz w:val="24"/>
              </w:rPr>
              <w:t>2</w:t>
            </w:r>
            <w:r>
              <w:rPr>
                <w:rFonts w:hint="eastAsia" w:ascii="宋体" w:hAnsi="宋体" w:cs="宋体"/>
                <w:color w:val="000000"/>
                <w:sz w:val="24"/>
                <w:lang w:val="en-US" w:eastAsia="zh-CN"/>
              </w:rPr>
              <w:t>4</w:t>
            </w:r>
          </w:p>
        </w:tc>
        <w:tc>
          <w:tcPr>
            <w:tcW w:w="950" w:type="pct"/>
            <w:tcBorders>
              <w:top w:val="single" w:color="auto" w:sz="4" w:space="0"/>
              <w:left w:val="single" w:color="auto" w:sz="4" w:space="0"/>
              <w:bottom w:val="single" w:color="auto" w:sz="4" w:space="0"/>
              <w:right w:val="single" w:color="auto" w:sz="4" w:space="0"/>
            </w:tcBorders>
            <w:vAlign w:val="center"/>
          </w:tcPr>
          <w:p w14:paraId="37E140A3">
            <w:pPr>
              <w:keepNext w:val="0"/>
              <w:keepLines w:val="0"/>
              <w:pageBreakBefore w:val="0"/>
              <w:widowControl w:val="0"/>
              <w:kinsoku/>
              <w:wordWrap/>
              <w:overflowPunct/>
              <w:topLinePunct w:val="0"/>
              <w:autoSpaceDE/>
              <w:autoSpaceDN/>
              <w:bidi w:val="0"/>
              <w:adjustRightInd/>
              <w:snapToGrid/>
              <w:spacing w:line="324" w:lineRule="auto"/>
              <w:jc w:val="center"/>
              <w:rPr>
                <w:rFonts w:ascii="宋体" w:hAnsi="宋体" w:cs="宋体"/>
                <w:color w:val="000000"/>
                <w:sz w:val="24"/>
                <w:highlight w:val="none"/>
              </w:rPr>
            </w:pPr>
            <w:r>
              <w:rPr>
                <w:rFonts w:hint="eastAsia" w:ascii="宋体" w:hAnsi="宋体" w:cs="宋体"/>
                <w:color w:val="000000"/>
                <w:sz w:val="24"/>
                <w:highlight w:val="none"/>
              </w:rPr>
              <w:t>磋商时间和地点</w:t>
            </w:r>
          </w:p>
        </w:tc>
        <w:tc>
          <w:tcPr>
            <w:tcW w:w="3669" w:type="pct"/>
            <w:tcBorders>
              <w:top w:val="single" w:color="auto" w:sz="4" w:space="0"/>
              <w:left w:val="single" w:color="auto" w:sz="4" w:space="0"/>
              <w:bottom w:val="single" w:color="auto" w:sz="4" w:space="0"/>
              <w:right w:val="single" w:color="auto" w:sz="4" w:space="0"/>
            </w:tcBorders>
            <w:vAlign w:val="center"/>
          </w:tcPr>
          <w:p w14:paraId="371F7E79">
            <w:pPr>
              <w:keepNext w:val="0"/>
              <w:keepLines w:val="0"/>
              <w:pageBreakBefore w:val="0"/>
              <w:widowControl w:val="0"/>
              <w:kinsoku/>
              <w:wordWrap/>
              <w:overflowPunct/>
              <w:topLinePunct w:val="0"/>
              <w:autoSpaceDE/>
              <w:autoSpaceDN/>
              <w:bidi w:val="0"/>
              <w:adjustRightInd/>
              <w:snapToGrid/>
              <w:spacing w:line="324" w:lineRule="auto"/>
              <w:ind w:firstLine="240" w:firstLineChars="100"/>
              <w:jc w:val="left"/>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rPr>
              <w:t>磋商时间：</w:t>
            </w:r>
            <w:r>
              <w:rPr>
                <w:rFonts w:hint="eastAsia" w:ascii="宋体" w:hAnsi="宋体" w:eastAsia="宋体" w:cs="宋体"/>
                <w:b w:val="0"/>
                <w:bCs w:val="0"/>
                <w:color w:val="auto"/>
                <w:sz w:val="24"/>
                <w:szCs w:val="24"/>
                <w:highlight w:val="none"/>
                <w:lang w:val="en-US" w:eastAsia="zh-CN"/>
              </w:rPr>
              <w:t>202</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年</w:t>
            </w:r>
            <w:r>
              <w:rPr>
                <w:rFonts w:hint="eastAsia" w:ascii="宋体" w:hAnsi="宋体" w:cs="宋体"/>
                <w:b w:val="0"/>
                <w:bCs w:val="0"/>
                <w:color w:val="auto"/>
                <w:sz w:val="24"/>
                <w:szCs w:val="24"/>
                <w:highlight w:val="none"/>
                <w:lang w:val="en-US" w:eastAsia="zh-CN"/>
              </w:rPr>
              <w:t>08</w:t>
            </w:r>
            <w:r>
              <w:rPr>
                <w:rFonts w:hint="eastAsia" w:ascii="宋体" w:hAnsi="宋体" w:eastAsia="宋体" w:cs="宋体"/>
                <w:b w:val="0"/>
                <w:bCs w:val="0"/>
                <w:color w:val="auto"/>
                <w:sz w:val="24"/>
                <w:szCs w:val="24"/>
                <w:highlight w:val="none"/>
                <w:lang w:val="en-US" w:eastAsia="zh-CN"/>
              </w:rPr>
              <w:t>月</w:t>
            </w:r>
            <w:r>
              <w:rPr>
                <w:rFonts w:hint="eastAsia" w:ascii="宋体" w:hAnsi="宋体" w:cs="宋体"/>
                <w:b w:val="0"/>
                <w:bCs w:val="0"/>
                <w:color w:val="auto"/>
                <w:sz w:val="24"/>
                <w:szCs w:val="24"/>
                <w:highlight w:val="none"/>
                <w:lang w:val="en-US" w:eastAsia="zh-CN"/>
              </w:rPr>
              <w:t>19</w:t>
            </w:r>
            <w:r>
              <w:rPr>
                <w:rFonts w:hint="eastAsia" w:ascii="宋体" w:hAnsi="宋体" w:eastAsia="宋体" w:cs="宋体"/>
                <w:b w:val="0"/>
                <w:bCs w:val="0"/>
                <w:color w:val="auto"/>
                <w:sz w:val="24"/>
                <w:szCs w:val="24"/>
                <w:highlight w:val="none"/>
                <w:lang w:val="en-US" w:eastAsia="zh-CN"/>
              </w:rPr>
              <w:t>日</w:t>
            </w:r>
            <w:r>
              <w:rPr>
                <w:rFonts w:hint="eastAsia" w:ascii="宋体" w:hAnsi="宋体" w:cs="宋体"/>
                <w:b w:val="0"/>
                <w:bCs w:val="0"/>
                <w:color w:val="auto"/>
                <w:sz w:val="24"/>
                <w:szCs w:val="24"/>
                <w:highlight w:val="none"/>
                <w:lang w:val="en-US" w:eastAsia="zh-CN"/>
              </w:rPr>
              <w:t>09</w:t>
            </w:r>
            <w:r>
              <w:rPr>
                <w:rFonts w:hint="eastAsia" w:ascii="宋体" w:hAnsi="宋体" w:eastAsia="宋体" w:cs="宋体"/>
                <w:b w:val="0"/>
                <w:bCs w:val="0"/>
                <w:color w:val="auto"/>
                <w:sz w:val="24"/>
                <w:szCs w:val="24"/>
                <w:highlight w:val="none"/>
                <w:lang w:val="en-US" w:eastAsia="zh-CN"/>
              </w:rPr>
              <w:t>时</w:t>
            </w:r>
            <w:r>
              <w:rPr>
                <w:rFonts w:hint="eastAsia" w:ascii="宋体" w:hAnsi="宋体" w:cs="宋体"/>
                <w:b w:val="0"/>
                <w:bCs w:val="0"/>
                <w:color w:val="auto"/>
                <w:sz w:val="24"/>
                <w:szCs w:val="24"/>
                <w:highlight w:val="none"/>
                <w:lang w:val="en-US" w:eastAsia="zh-CN"/>
              </w:rPr>
              <w:t>00</w:t>
            </w:r>
            <w:r>
              <w:rPr>
                <w:rFonts w:hint="eastAsia" w:ascii="宋体" w:hAnsi="宋体" w:eastAsia="宋体" w:cs="宋体"/>
                <w:b w:val="0"/>
                <w:bCs w:val="0"/>
                <w:color w:val="auto"/>
                <w:sz w:val="24"/>
                <w:szCs w:val="24"/>
                <w:highlight w:val="none"/>
                <w:lang w:val="en-US" w:eastAsia="zh-CN"/>
              </w:rPr>
              <w:t>分</w:t>
            </w:r>
          </w:p>
          <w:p w14:paraId="6CA50C49">
            <w:pPr>
              <w:keepNext w:val="0"/>
              <w:keepLines w:val="0"/>
              <w:pageBreakBefore w:val="0"/>
              <w:widowControl w:val="0"/>
              <w:kinsoku/>
              <w:wordWrap/>
              <w:overflowPunct/>
              <w:topLinePunct w:val="0"/>
              <w:autoSpaceDE/>
              <w:autoSpaceDN/>
              <w:bidi w:val="0"/>
              <w:adjustRightInd/>
              <w:snapToGrid/>
              <w:spacing w:line="324" w:lineRule="auto"/>
              <w:ind w:firstLine="240" w:firstLineChars="100"/>
              <w:jc w:val="left"/>
              <w:rPr>
                <w:rFonts w:ascii="宋体" w:hAnsi="宋体" w:cs="宋体"/>
                <w:color w:val="000000"/>
                <w:sz w:val="24"/>
                <w:highlight w:val="none"/>
              </w:rPr>
            </w:pPr>
            <w:r>
              <w:rPr>
                <w:rFonts w:hint="eastAsia" w:ascii="宋体" w:hAnsi="宋体" w:cs="宋体"/>
                <w:color w:val="000000"/>
                <w:sz w:val="24"/>
                <w:highlight w:val="none"/>
              </w:rPr>
              <w:t>磋商地点：</w:t>
            </w:r>
            <w:r>
              <w:rPr>
                <w:rFonts w:hint="eastAsia" w:ascii="宋体" w:hAnsi="宋体" w:cs="宋体"/>
                <w:sz w:val="24"/>
                <w:highlight w:val="none"/>
              </w:rPr>
              <w:t>西安市高新路88号尚品国际B幢25层开标</w:t>
            </w:r>
            <w:r>
              <w:rPr>
                <w:rFonts w:hint="eastAsia" w:ascii="宋体" w:hAnsi="宋体" w:cs="宋体"/>
                <w:sz w:val="24"/>
                <w:highlight w:val="none"/>
                <w:lang w:eastAsia="zh-CN"/>
              </w:rPr>
              <w:t>二</w:t>
            </w:r>
            <w:r>
              <w:rPr>
                <w:rFonts w:hint="eastAsia" w:ascii="宋体" w:hAnsi="宋体" w:cs="宋体"/>
                <w:sz w:val="24"/>
                <w:highlight w:val="none"/>
              </w:rPr>
              <w:t>室</w:t>
            </w:r>
          </w:p>
        </w:tc>
      </w:tr>
      <w:tr w14:paraId="65BE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14:paraId="5055E276">
            <w:pPr>
              <w:keepNext w:val="0"/>
              <w:keepLines w:val="0"/>
              <w:pageBreakBefore w:val="0"/>
              <w:widowControl w:val="0"/>
              <w:kinsoku/>
              <w:wordWrap/>
              <w:overflowPunct/>
              <w:topLinePunct w:val="0"/>
              <w:autoSpaceDE/>
              <w:autoSpaceDN/>
              <w:bidi w:val="0"/>
              <w:adjustRightInd/>
              <w:snapToGrid/>
              <w:spacing w:line="324" w:lineRule="auto"/>
              <w:jc w:val="center"/>
              <w:rPr>
                <w:rFonts w:hint="eastAsia" w:ascii="宋体" w:hAnsi="宋体" w:eastAsia="宋体" w:cs="宋体"/>
                <w:color w:val="000000"/>
                <w:sz w:val="24"/>
                <w:lang w:eastAsia="zh-CN"/>
              </w:rPr>
            </w:pPr>
            <w:r>
              <w:rPr>
                <w:rFonts w:hint="eastAsia" w:ascii="宋体" w:hAnsi="宋体" w:cs="宋体"/>
                <w:color w:val="000000"/>
                <w:sz w:val="24"/>
              </w:rPr>
              <w:t>2</w:t>
            </w:r>
            <w:r>
              <w:rPr>
                <w:rFonts w:hint="eastAsia" w:ascii="宋体" w:hAnsi="宋体" w:cs="宋体"/>
                <w:color w:val="000000"/>
                <w:sz w:val="24"/>
                <w:lang w:val="en-US" w:eastAsia="zh-CN"/>
              </w:rPr>
              <w:t>5</w:t>
            </w:r>
          </w:p>
        </w:tc>
        <w:tc>
          <w:tcPr>
            <w:tcW w:w="950" w:type="pct"/>
            <w:tcBorders>
              <w:top w:val="single" w:color="auto" w:sz="4" w:space="0"/>
              <w:left w:val="single" w:color="auto" w:sz="4" w:space="0"/>
              <w:bottom w:val="single" w:color="auto" w:sz="4" w:space="0"/>
              <w:right w:val="single" w:color="auto" w:sz="4" w:space="0"/>
            </w:tcBorders>
            <w:vAlign w:val="center"/>
          </w:tcPr>
          <w:p w14:paraId="77CEF898">
            <w:pPr>
              <w:keepNext w:val="0"/>
              <w:keepLines w:val="0"/>
              <w:pageBreakBefore w:val="0"/>
              <w:widowControl w:val="0"/>
              <w:kinsoku/>
              <w:wordWrap/>
              <w:overflowPunct/>
              <w:topLinePunct w:val="0"/>
              <w:autoSpaceDE/>
              <w:autoSpaceDN/>
              <w:bidi w:val="0"/>
              <w:adjustRightInd/>
              <w:snapToGrid/>
              <w:spacing w:line="324" w:lineRule="auto"/>
              <w:jc w:val="center"/>
              <w:rPr>
                <w:rFonts w:ascii="宋体" w:hAnsi="宋体" w:cs="宋体"/>
                <w:color w:val="000000"/>
                <w:sz w:val="24"/>
                <w:highlight w:val="none"/>
              </w:rPr>
            </w:pPr>
            <w:r>
              <w:rPr>
                <w:rFonts w:hint="eastAsia" w:ascii="宋体" w:hAnsi="宋体" w:cs="宋体"/>
                <w:color w:val="000000"/>
                <w:sz w:val="24"/>
                <w:highlight w:val="none"/>
              </w:rPr>
              <w:t>磋商小组的组建</w:t>
            </w:r>
          </w:p>
        </w:tc>
        <w:tc>
          <w:tcPr>
            <w:tcW w:w="3669" w:type="pct"/>
            <w:tcBorders>
              <w:top w:val="single" w:color="auto" w:sz="4" w:space="0"/>
              <w:left w:val="single" w:color="auto" w:sz="4" w:space="0"/>
              <w:bottom w:val="single" w:color="auto" w:sz="4" w:space="0"/>
              <w:right w:val="single" w:color="auto" w:sz="4" w:space="0"/>
            </w:tcBorders>
            <w:vAlign w:val="center"/>
          </w:tcPr>
          <w:p w14:paraId="00ED4802">
            <w:pPr>
              <w:keepNext w:val="0"/>
              <w:keepLines w:val="0"/>
              <w:pageBreakBefore w:val="0"/>
              <w:widowControl w:val="0"/>
              <w:kinsoku/>
              <w:wordWrap/>
              <w:overflowPunct/>
              <w:topLinePunct w:val="0"/>
              <w:autoSpaceDE/>
              <w:autoSpaceDN/>
              <w:bidi w:val="0"/>
              <w:adjustRightInd/>
              <w:snapToGrid/>
              <w:spacing w:line="324" w:lineRule="auto"/>
              <w:ind w:firstLine="240" w:firstLineChars="100"/>
              <w:jc w:val="left"/>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rPr>
              <w:t>磋商小组构成：专家</w:t>
            </w: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人</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采购人代表1人。</w:t>
            </w:r>
          </w:p>
          <w:p w14:paraId="26CB18A3">
            <w:pPr>
              <w:keepNext w:val="0"/>
              <w:keepLines w:val="0"/>
              <w:pageBreakBefore w:val="0"/>
              <w:widowControl w:val="0"/>
              <w:kinsoku/>
              <w:wordWrap/>
              <w:overflowPunct/>
              <w:topLinePunct w:val="0"/>
              <w:autoSpaceDE/>
              <w:autoSpaceDN/>
              <w:bidi w:val="0"/>
              <w:adjustRightInd/>
              <w:snapToGrid/>
              <w:spacing w:line="324" w:lineRule="auto"/>
              <w:ind w:firstLine="240" w:firstLineChars="100"/>
              <w:jc w:val="left"/>
              <w:rPr>
                <w:rFonts w:ascii="宋体" w:hAnsi="宋体" w:cs="宋体"/>
                <w:color w:val="000000"/>
                <w:sz w:val="24"/>
                <w:highlight w:val="none"/>
              </w:rPr>
            </w:pPr>
            <w:r>
              <w:rPr>
                <w:rFonts w:hint="eastAsia" w:ascii="宋体" w:hAnsi="宋体" w:cs="宋体"/>
                <w:color w:val="000000"/>
                <w:sz w:val="24"/>
                <w:highlight w:val="none"/>
              </w:rPr>
              <w:t>磋商专家确定方式：专家库随机抽取</w:t>
            </w:r>
          </w:p>
        </w:tc>
      </w:tr>
      <w:tr w14:paraId="101EC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14:paraId="6327C1EF">
            <w:pPr>
              <w:keepNext w:val="0"/>
              <w:keepLines w:val="0"/>
              <w:pageBreakBefore w:val="0"/>
              <w:widowControl w:val="0"/>
              <w:kinsoku/>
              <w:wordWrap/>
              <w:overflowPunct/>
              <w:topLinePunct w:val="0"/>
              <w:autoSpaceDE/>
              <w:autoSpaceDN/>
              <w:bidi w:val="0"/>
              <w:adjustRightInd/>
              <w:snapToGrid/>
              <w:spacing w:line="324" w:lineRule="auto"/>
              <w:jc w:val="center"/>
              <w:rPr>
                <w:rFonts w:hint="eastAsia" w:ascii="宋体" w:hAnsi="宋体" w:eastAsia="宋体" w:cs="宋体"/>
                <w:color w:val="000000"/>
                <w:sz w:val="24"/>
                <w:lang w:val="en-US" w:eastAsia="zh-CN"/>
              </w:rPr>
            </w:pPr>
            <w:r>
              <w:rPr>
                <w:rFonts w:hint="eastAsia" w:ascii="宋体" w:hAnsi="宋体" w:cs="宋体"/>
                <w:color w:val="000000"/>
                <w:sz w:val="24"/>
              </w:rPr>
              <w:t>2</w:t>
            </w:r>
            <w:r>
              <w:rPr>
                <w:rFonts w:hint="eastAsia" w:ascii="宋体" w:hAnsi="宋体" w:cs="宋体"/>
                <w:color w:val="000000"/>
                <w:sz w:val="24"/>
                <w:lang w:val="en-US" w:eastAsia="zh-CN"/>
              </w:rPr>
              <w:t>6</w:t>
            </w:r>
          </w:p>
        </w:tc>
        <w:tc>
          <w:tcPr>
            <w:tcW w:w="950" w:type="pct"/>
            <w:tcBorders>
              <w:top w:val="single" w:color="auto" w:sz="4" w:space="0"/>
              <w:left w:val="single" w:color="auto" w:sz="4" w:space="0"/>
              <w:bottom w:val="single" w:color="auto" w:sz="4" w:space="0"/>
              <w:right w:val="single" w:color="auto" w:sz="4" w:space="0"/>
            </w:tcBorders>
            <w:vAlign w:val="center"/>
          </w:tcPr>
          <w:p w14:paraId="19AD865D">
            <w:pPr>
              <w:keepNext w:val="0"/>
              <w:keepLines w:val="0"/>
              <w:pageBreakBefore w:val="0"/>
              <w:widowControl w:val="0"/>
              <w:kinsoku/>
              <w:wordWrap/>
              <w:overflowPunct/>
              <w:topLinePunct w:val="0"/>
              <w:autoSpaceDE/>
              <w:autoSpaceDN/>
              <w:bidi w:val="0"/>
              <w:adjustRightInd/>
              <w:snapToGrid/>
              <w:spacing w:line="324" w:lineRule="auto"/>
              <w:jc w:val="center"/>
              <w:rPr>
                <w:rFonts w:ascii="宋体" w:hAnsi="宋体" w:cs="宋体"/>
                <w:color w:val="000000"/>
                <w:sz w:val="24"/>
              </w:rPr>
            </w:pPr>
            <w:r>
              <w:rPr>
                <w:rFonts w:hint="eastAsia" w:ascii="宋体" w:hAnsi="宋体" w:cs="宋体"/>
                <w:color w:val="000000"/>
                <w:sz w:val="24"/>
              </w:rPr>
              <w:t>是否授权磋商小组确定供应商</w:t>
            </w:r>
          </w:p>
        </w:tc>
        <w:tc>
          <w:tcPr>
            <w:tcW w:w="3669" w:type="pct"/>
            <w:tcBorders>
              <w:top w:val="single" w:color="auto" w:sz="4" w:space="0"/>
              <w:left w:val="single" w:color="auto" w:sz="4" w:space="0"/>
              <w:bottom w:val="single" w:color="auto" w:sz="4" w:space="0"/>
              <w:right w:val="single" w:color="auto" w:sz="4" w:space="0"/>
            </w:tcBorders>
            <w:vAlign w:val="center"/>
          </w:tcPr>
          <w:p w14:paraId="2FD5DBD7">
            <w:pPr>
              <w:keepNext w:val="0"/>
              <w:keepLines w:val="0"/>
              <w:pageBreakBefore w:val="0"/>
              <w:widowControl w:val="0"/>
              <w:kinsoku/>
              <w:wordWrap/>
              <w:overflowPunct/>
              <w:topLinePunct w:val="0"/>
              <w:autoSpaceDE/>
              <w:autoSpaceDN/>
              <w:bidi w:val="0"/>
              <w:adjustRightInd/>
              <w:snapToGrid/>
              <w:spacing w:line="324" w:lineRule="auto"/>
              <w:ind w:firstLine="240" w:firstLineChars="100"/>
              <w:jc w:val="left"/>
              <w:rPr>
                <w:rFonts w:ascii="宋体" w:hAnsi="宋体" w:cs="宋体"/>
                <w:color w:val="000000"/>
                <w:sz w:val="24"/>
              </w:rPr>
            </w:pPr>
            <w:r>
              <w:rPr>
                <w:rFonts w:hint="eastAsia" w:ascii="宋体" w:hAnsi="宋体" w:cs="宋体"/>
                <w:color w:val="000000"/>
                <w:sz w:val="24"/>
              </w:rPr>
              <w:t>否</w:t>
            </w:r>
          </w:p>
        </w:tc>
      </w:tr>
      <w:tr w14:paraId="356D5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14:paraId="0BCDED6C">
            <w:pPr>
              <w:keepNext w:val="0"/>
              <w:keepLines w:val="0"/>
              <w:pageBreakBefore w:val="0"/>
              <w:widowControl w:val="0"/>
              <w:kinsoku/>
              <w:wordWrap/>
              <w:overflowPunct/>
              <w:topLinePunct w:val="0"/>
              <w:autoSpaceDE/>
              <w:autoSpaceDN/>
              <w:bidi w:val="0"/>
              <w:adjustRightInd/>
              <w:snapToGrid/>
              <w:spacing w:line="324" w:lineRule="auto"/>
              <w:jc w:val="center"/>
              <w:rPr>
                <w:rFonts w:hint="eastAsia" w:ascii="宋体" w:hAnsi="宋体" w:eastAsia="宋体" w:cs="宋体"/>
                <w:color w:val="000000"/>
                <w:sz w:val="24"/>
                <w:lang w:eastAsia="zh-CN"/>
              </w:rPr>
            </w:pPr>
            <w:r>
              <w:rPr>
                <w:rFonts w:hint="eastAsia" w:ascii="宋体" w:hAnsi="宋体" w:cs="宋体"/>
                <w:color w:val="000000"/>
                <w:sz w:val="24"/>
              </w:rPr>
              <w:t>2</w:t>
            </w:r>
            <w:r>
              <w:rPr>
                <w:rFonts w:hint="eastAsia" w:ascii="宋体" w:hAnsi="宋体" w:cs="宋体"/>
                <w:color w:val="000000"/>
                <w:sz w:val="24"/>
                <w:lang w:val="en-US" w:eastAsia="zh-CN"/>
              </w:rPr>
              <w:t>7</w:t>
            </w:r>
          </w:p>
        </w:tc>
        <w:tc>
          <w:tcPr>
            <w:tcW w:w="950" w:type="pct"/>
            <w:tcBorders>
              <w:top w:val="single" w:color="auto" w:sz="4" w:space="0"/>
              <w:left w:val="single" w:color="auto" w:sz="4" w:space="0"/>
              <w:bottom w:val="single" w:color="auto" w:sz="4" w:space="0"/>
              <w:right w:val="single" w:color="auto" w:sz="4" w:space="0"/>
            </w:tcBorders>
            <w:vAlign w:val="center"/>
          </w:tcPr>
          <w:p w14:paraId="00283502">
            <w:pPr>
              <w:keepNext w:val="0"/>
              <w:keepLines w:val="0"/>
              <w:pageBreakBefore w:val="0"/>
              <w:widowControl w:val="0"/>
              <w:kinsoku/>
              <w:wordWrap/>
              <w:overflowPunct/>
              <w:topLinePunct w:val="0"/>
              <w:autoSpaceDE/>
              <w:autoSpaceDN/>
              <w:bidi w:val="0"/>
              <w:adjustRightInd/>
              <w:snapToGrid/>
              <w:spacing w:line="324" w:lineRule="auto"/>
              <w:jc w:val="center"/>
              <w:rPr>
                <w:rFonts w:ascii="宋体" w:hAnsi="宋体" w:cs="宋体"/>
                <w:color w:val="000000"/>
                <w:sz w:val="24"/>
              </w:rPr>
            </w:pPr>
            <w:r>
              <w:rPr>
                <w:rFonts w:hint="eastAsia" w:ascii="宋体" w:hAnsi="宋体" w:cs="宋体"/>
                <w:color w:val="000000"/>
                <w:sz w:val="24"/>
              </w:rPr>
              <w:t>磋商企业的政府采购政策</w:t>
            </w:r>
          </w:p>
        </w:tc>
        <w:tc>
          <w:tcPr>
            <w:tcW w:w="3669" w:type="pct"/>
            <w:tcBorders>
              <w:top w:val="single" w:color="auto" w:sz="4" w:space="0"/>
              <w:left w:val="single" w:color="auto" w:sz="4" w:space="0"/>
              <w:bottom w:val="single" w:color="auto" w:sz="4" w:space="0"/>
              <w:right w:val="single" w:color="auto" w:sz="4" w:space="0"/>
            </w:tcBorders>
            <w:vAlign w:val="center"/>
          </w:tcPr>
          <w:p w14:paraId="5353EC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baseline"/>
              <w:outlineLvl w:val="9"/>
              <w:rPr>
                <w:rFonts w:hint="eastAsia" w:ascii="宋体" w:hAnsi="宋体" w:cs="宋体"/>
                <w:i w:val="0"/>
                <w:iCs w:val="0"/>
                <w:caps w:val="0"/>
                <w:color w:val="auto"/>
                <w:spacing w:val="0"/>
                <w:kern w:val="0"/>
                <w:sz w:val="24"/>
                <w:szCs w:val="24"/>
                <w:highlight w:val="none"/>
                <w:u w:val="none"/>
                <w:lang w:val="en-US" w:eastAsia="zh-CN" w:bidi="ar-SA"/>
              </w:rPr>
            </w:pPr>
            <w:r>
              <w:rPr>
                <w:rFonts w:hint="eastAsia" w:ascii="宋体" w:hAnsi="宋体" w:cs="宋体"/>
                <w:i w:val="0"/>
                <w:iCs w:val="0"/>
                <w:caps w:val="0"/>
                <w:color w:val="auto"/>
                <w:spacing w:val="0"/>
                <w:kern w:val="0"/>
                <w:sz w:val="24"/>
                <w:szCs w:val="24"/>
                <w:highlight w:val="none"/>
                <w:u w:val="none"/>
                <w:lang w:val="en-US" w:eastAsia="zh-CN" w:bidi="ar-SA"/>
              </w:rPr>
              <w:t>（1）《政府采购促进中小企业发展管理办法》（财库﹝2020﹞46号）；</w:t>
            </w:r>
          </w:p>
          <w:p w14:paraId="47D8B9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baseline"/>
              <w:outlineLvl w:val="9"/>
              <w:rPr>
                <w:rFonts w:hint="eastAsia" w:ascii="宋体" w:hAnsi="宋体" w:cs="宋体"/>
                <w:i w:val="0"/>
                <w:iCs w:val="0"/>
                <w:caps w:val="0"/>
                <w:color w:val="auto"/>
                <w:spacing w:val="0"/>
                <w:kern w:val="0"/>
                <w:sz w:val="24"/>
                <w:szCs w:val="24"/>
                <w:highlight w:val="none"/>
                <w:u w:val="none"/>
                <w:lang w:val="en-US" w:eastAsia="zh-CN" w:bidi="ar-SA"/>
              </w:rPr>
            </w:pPr>
            <w:r>
              <w:rPr>
                <w:rFonts w:hint="eastAsia" w:ascii="宋体" w:hAnsi="宋体" w:cs="宋体"/>
                <w:i w:val="0"/>
                <w:iCs w:val="0"/>
                <w:caps w:val="0"/>
                <w:color w:val="auto"/>
                <w:spacing w:val="0"/>
                <w:kern w:val="0"/>
                <w:sz w:val="24"/>
                <w:szCs w:val="24"/>
                <w:highlight w:val="none"/>
                <w:u w:val="none"/>
                <w:lang w:val="en-US" w:eastAsia="zh-CN" w:bidi="ar-SA"/>
              </w:rPr>
              <w:t>（2）《财政部司法部关于政府采购支持监狱企业发展有关问题的通知》（财库〔2014〕68号）；</w:t>
            </w:r>
          </w:p>
          <w:p w14:paraId="2AFCB6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baseline"/>
              <w:outlineLvl w:val="9"/>
              <w:rPr>
                <w:rFonts w:hint="eastAsia" w:ascii="宋体" w:hAnsi="宋体" w:cs="宋体"/>
                <w:i w:val="0"/>
                <w:iCs w:val="0"/>
                <w:caps w:val="0"/>
                <w:color w:val="auto"/>
                <w:spacing w:val="0"/>
                <w:kern w:val="0"/>
                <w:sz w:val="24"/>
                <w:szCs w:val="24"/>
                <w:highlight w:val="none"/>
                <w:u w:val="none"/>
                <w:lang w:val="en-US" w:eastAsia="zh-CN" w:bidi="ar-SA"/>
              </w:rPr>
            </w:pPr>
            <w:r>
              <w:rPr>
                <w:rFonts w:hint="eastAsia" w:ascii="宋体" w:hAnsi="宋体" w:cs="宋体"/>
                <w:i w:val="0"/>
                <w:iCs w:val="0"/>
                <w:caps w:val="0"/>
                <w:color w:val="auto"/>
                <w:spacing w:val="0"/>
                <w:kern w:val="0"/>
                <w:sz w:val="24"/>
                <w:szCs w:val="24"/>
                <w:highlight w:val="none"/>
                <w:u w:val="none"/>
                <w:lang w:val="en-US" w:eastAsia="zh-CN" w:bidi="ar-SA"/>
              </w:rPr>
              <w:t>（3）《国务院办公厅关于建立政府强制采购节能产品制度的通知》（国办发〔2007〕51号）；</w:t>
            </w:r>
          </w:p>
          <w:p w14:paraId="239EB5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baseline"/>
              <w:outlineLvl w:val="9"/>
              <w:rPr>
                <w:rFonts w:hint="eastAsia" w:ascii="宋体" w:hAnsi="宋体" w:cs="宋体"/>
                <w:i w:val="0"/>
                <w:iCs w:val="0"/>
                <w:caps w:val="0"/>
                <w:color w:val="auto"/>
                <w:spacing w:val="0"/>
                <w:kern w:val="0"/>
                <w:sz w:val="24"/>
                <w:szCs w:val="24"/>
                <w:highlight w:val="none"/>
                <w:u w:val="none"/>
                <w:lang w:val="en-US" w:eastAsia="zh-CN" w:bidi="ar-SA"/>
              </w:rPr>
            </w:pPr>
            <w:r>
              <w:rPr>
                <w:rFonts w:hint="eastAsia" w:ascii="宋体" w:hAnsi="宋体" w:cs="宋体"/>
                <w:i w:val="0"/>
                <w:iCs w:val="0"/>
                <w:caps w:val="0"/>
                <w:color w:val="auto"/>
                <w:spacing w:val="0"/>
                <w:kern w:val="0"/>
                <w:sz w:val="24"/>
                <w:szCs w:val="24"/>
                <w:highlight w:val="none"/>
                <w:u w:val="none"/>
                <w:lang w:val="en-US" w:eastAsia="zh-CN" w:bidi="ar-SA"/>
              </w:rPr>
              <w:t>（4）《三部门联合发布关于促进残疾人就业政府采购政策的通知》（财库〔2017〕141号）；</w:t>
            </w:r>
          </w:p>
          <w:p w14:paraId="24CF98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baseline"/>
              <w:outlineLvl w:val="9"/>
              <w:rPr>
                <w:rFonts w:hint="eastAsia" w:ascii="宋体" w:hAnsi="宋体" w:cs="宋体"/>
                <w:i w:val="0"/>
                <w:iCs w:val="0"/>
                <w:caps w:val="0"/>
                <w:color w:val="auto"/>
                <w:spacing w:val="0"/>
                <w:kern w:val="0"/>
                <w:sz w:val="24"/>
                <w:szCs w:val="24"/>
                <w:highlight w:val="none"/>
                <w:u w:val="none"/>
                <w:lang w:val="en-US" w:eastAsia="zh-CN" w:bidi="ar-SA"/>
              </w:rPr>
            </w:pPr>
            <w:r>
              <w:rPr>
                <w:rFonts w:hint="eastAsia" w:ascii="宋体" w:hAnsi="宋体" w:cs="宋体"/>
                <w:i w:val="0"/>
                <w:iCs w:val="0"/>
                <w:caps w:val="0"/>
                <w:color w:val="auto"/>
                <w:spacing w:val="0"/>
                <w:kern w:val="0"/>
                <w:sz w:val="24"/>
                <w:szCs w:val="24"/>
                <w:highlight w:val="none"/>
                <w:u w:val="none"/>
                <w:lang w:val="en-US" w:eastAsia="zh-CN" w:bidi="ar-SA"/>
              </w:rPr>
              <w:t>（5）《财政部发展改革委生态环境部市场监管总局关于调整优化节能产品、环境标志产品政府采购执行机制的通知》（财库〔2019〕9号）；</w:t>
            </w:r>
          </w:p>
          <w:p w14:paraId="65F5873C">
            <w:pPr>
              <w:pStyle w:val="2"/>
              <w:keepNext w:val="0"/>
              <w:keepLines w:val="0"/>
              <w:pageBreakBefore w:val="0"/>
              <w:kinsoku/>
              <w:wordWrap/>
              <w:overflowPunct/>
              <w:topLinePunct w:val="0"/>
              <w:autoSpaceDE/>
              <w:autoSpaceDN/>
              <w:bidi w:val="0"/>
              <w:adjustRightInd/>
              <w:snapToGrid/>
              <w:spacing w:line="360" w:lineRule="auto"/>
              <w:ind w:right="0" w:firstLine="472" w:firstLineChars="200"/>
              <w:textAlignment w:val="auto"/>
              <w:rPr>
                <w:rFonts w:hint="eastAsia" w:asciiTheme="minorEastAsia" w:hAnsiTheme="minorEastAsia" w:eastAsiaTheme="minorEastAsia" w:cstheme="minorEastAsia"/>
                <w:color w:val="auto"/>
                <w:spacing w:val="-2"/>
                <w:lang w:val="en-US" w:eastAsia="zh-CN"/>
              </w:rPr>
            </w:pPr>
            <w:r>
              <w:rPr>
                <w:rFonts w:hint="eastAsia" w:asciiTheme="minorEastAsia" w:hAnsiTheme="minorEastAsia" w:eastAsiaTheme="minorEastAsia" w:cstheme="minorEastAsia"/>
                <w:color w:val="auto"/>
                <w:spacing w:val="-2"/>
                <w:lang w:val="en-US" w:eastAsia="zh-CN"/>
              </w:rPr>
              <w:t>6）《关于印发环境标志产品政府采购品目清单的通知》（财库〔2019〕18号）；</w:t>
            </w:r>
          </w:p>
          <w:p w14:paraId="08909288">
            <w:pPr>
              <w:pStyle w:val="2"/>
              <w:keepNext w:val="0"/>
              <w:keepLines w:val="0"/>
              <w:pageBreakBefore w:val="0"/>
              <w:kinsoku/>
              <w:wordWrap/>
              <w:overflowPunct/>
              <w:topLinePunct w:val="0"/>
              <w:autoSpaceDE/>
              <w:autoSpaceDN/>
              <w:bidi w:val="0"/>
              <w:adjustRightInd/>
              <w:snapToGrid/>
              <w:spacing w:line="360" w:lineRule="auto"/>
              <w:ind w:right="0" w:firstLine="472" w:firstLineChars="200"/>
              <w:textAlignment w:val="auto"/>
              <w:rPr>
                <w:rFonts w:asciiTheme="minorEastAsia" w:hAnsiTheme="minorEastAsia" w:eastAsiaTheme="minorEastAsia" w:cstheme="minorEastAsia"/>
                <w:color w:val="auto"/>
                <w:spacing w:val="-2"/>
              </w:rPr>
            </w:pPr>
            <w:r>
              <w:rPr>
                <w:rFonts w:hint="eastAsia" w:asciiTheme="minorEastAsia" w:hAnsiTheme="minorEastAsia" w:eastAsiaTheme="minorEastAsia" w:cstheme="minorEastAsia"/>
                <w:color w:val="auto"/>
                <w:spacing w:val="-2"/>
                <w:lang w:val="en-US" w:eastAsia="zh-CN"/>
              </w:rPr>
              <w:t>7</w:t>
            </w:r>
            <w:r>
              <w:rPr>
                <w:rFonts w:hint="eastAsia" w:asciiTheme="minorEastAsia" w:hAnsiTheme="minorEastAsia" w:eastAsiaTheme="minorEastAsia" w:cstheme="minorEastAsia"/>
                <w:color w:val="auto"/>
                <w:spacing w:val="-2"/>
              </w:rPr>
              <w:t>）</w:t>
            </w:r>
            <w:r>
              <w:rPr>
                <w:rFonts w:hint="eastAsia" w:asciiTheme="minorEastAsia" w:hAnsiTheme="minorEastAsia" w:cstheme="minorEastAsia"/>
                <w:color w:val="000000" w:themeColor="text1"/>
                <w14:textFill>
                  <w14:solidFill>
                    <w14:schemeClr w14:val="tx1"/>
                  </w14:solidFill>
                </w14:textFill>
              </w:rPr>
              <w:t>《关于运用政府采购政策支持乡村产业振兴的通知》财库〔2021〕19号；</w:t>
            </w:r>
          </w:p>
          <w:p w14:paraId="503F0955">
            <w:pPr>
              <w:pStyle w:val="2"/>
              <w:keepNext w:val="0"/>
              <w:keepLines w:val="0"/>
              <w:pageBreakBefore w:val="0"/>
              <w:kinsoku/>
              <w:wordWrap/>
              <w:overflowPunct/>
              <w:topLinePunct w:val="0"/>
              <w:autoSpaceDE/>
              <w:autoSpaceDN/>
              <w:bidi w:val="0"/>
              <w:adjustRightInd/>
              <w:snapToGrid/>
              <w:spacing w:line="360" w:lineRule="auto"/>
              <w:ind w:right="0" w:firstLine="472" w:firstLineChars="200"/>
              <w:textAlignment w:val="auto"/>
              <w:rPr>
                <w:rFonts w:hint="eastAsia" w:asciiTheme="minorEastAsia" w:hAnsiTheme="minorEastAsia" w:eastAsiaTheme="minorEastAsia" w:cstheme="minorEastAsia"/>
                <w:color w:val="auto"/>
                <w:spacing w:val="-2"/>
                <w:lang w:eastAsia="zh-CN"/>
              </w:rPr>
            </w:pPr>
            <w:r>
              <w:rPr>
                <w:rFonts w:hint="eastAsia" w:asciiTheme="minorEastAsia" w:hAnsiTheme="minorEastAsia" w:eastAsiaTheme="minorEastAsia" w:cstheme="minorEastAsia"/>
                <w:color w:val="auto"/>
                <w:spacing w:val="-2"/>
                <w:lang w:val="en-US" w:eastAsia="zh-CN"/>
              </w:rPr>
              <w:t>8</w:t>
            </w:r>
            <w:r>
              <w:rPr>
                <w:rFonts w:hint="eastAsia" w:asciiTheme="minorEastAsia" w:hAnsiTheme="minorEastAsia" w:eastAsiaTheme="minorEastAsia" w:cstheme="minorEastAsia"/>
                <w:color w:val="auto"/>
                <w:spacing w:val="-2"/>
              </w:rPr>
              <w:t>）《陕西省中小企业政府采购信用融资办法》（陕财办采〔2018〕23号）</w:t>
            </w:r>
            <w:r>
              <w:rPr>
                <w:rFonts w:hint="eastAsia" w:asciiTheme="minorEastAsia" w:hAnsiTheme="minorEastAsia" w:eastAsiaTheme="minorEastAsia" w:cstheme="minorEastAsia"/>
                <w:color w:val="auto"/>
                <w:spacing w:val="-2"/>
                <w:lang w:eastAsia="zh-CN"/>
              </w:rPr>
              <w:t>；</w:t>
            </w:r>
          </w:p>
          <w:p w14:paraId="780787B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jc w:val="both"/>
              <w:textAlignment w:val="baseline"/>
            </w:pP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9）</w:t>
            </w:r>
            <w:r>
              <w:rPr>
                <w:rFonts w:hint="eastAsia" w:ascii="宋体" w:hAnsi="宋体" w:cs="宋体"/>
                <w:i w:val="0"/>
                <w:iCs w:val="0"/>
                <w:caps w:val="0"/>
                <w:color w:val="auto"/>
                <w:spacing w:val="0"/>
                <w:kern w:val="0"/>
                <w:sz w:val="24"/>
                <w:szCs w:val="24"/>
                <w:highlight w:val="none"/>
                <w:u w:val="none"/>
                <w:lang w:val="en-US" w:eastAsia="zh-CN" w:bidi="ar-SA"/>
              </w:rPr>
              <w:t>《关于扩大政府采购支持绿色建材促进建筑品质提升政策实施范围的通知》（财库〔2022〕35号）；</w:t>
            </w:r>
          </w:p>
          <w:p w14:paraId="5472960D">
            <w:pPr>
              <w:keepNext w:val="0"/>
              <w:keepLines w:val="0"/>
              <w:pageBreakBefore w:val="0"/>
              <w:kinsoku/>
              <w:wordWrap/>
              <w:overflowPunct/>
              <w:topLinePunct w:val="0"/>
              <w:autoSpaceDE/>
              <w:autoSpaceDN/>
              <w:bidi w:val="0"/>
              <w:adjustRightInd/>
              <w:snapToGrid/>
              <w:spacing w:line="360" w:lineRule="auto"/>
              <w:ind w:right="0" w:firstLine="480" w:firstLineChars="200"/>
              <w:textAlignment w:val="auto"/>
              <w:rPr>
                <w:rFonts w:hint="default" w:ascii="宋体" w:hAnsi="宋体" w:cs="宋体"/>
                <w:color w:val="000000"/>
                <w:sz w:val="24"/>
                <w:lang w:val="en-US"/>
              </w:rPr>
            </w:pP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）如有最新颁布的政府采购政策，按最新的文件执行。</w:t>
            </w:r>
          </w:p>
        </w:tc>
      </w:tr>
      <w:tr w14:paraId="60202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14:paraId="3A3C4F76">
            <w:pPr>
              <w:keepNext w:val="0"/>
              <w:keepLines w:val="0"/>
              <w:pageBreakBefore w:val="0"/>
              <w:widowControl w:val="0"/>
              <w:kinsoku/>
              <w:wordWrap/>
              <w:overflowPunct/>
              <w:topLinePunct w:val="0"/>
              <w:autoSpaceDE/>
              <w:autoSpaceDN/>
              <w:bidi w:val="0"/>
              <w:adjustRightInd/>
              <w:snapToGrid/>
              <w:spacing w:line="324" w:lineRule="auto"/>
              <w:jc w:val="center"/>
              <w:rPr>
                <w:rFonts w:hint="eastAsia" w:ascii="宋体" w:hAnsi="宋体" w:eastAsia="宋体" w:cs="宋体"/>
                <w:color w:val="000000"/>
                <w:sz w:val="24"/>
                <w:lang w:eastAsia="zh-CN"/>
              </w:rPr>
            </w:pPr>
            <w:r>
              <w:rPr>
                <w:rFonts w:hint="eastAsia" w:ascii="宋体" w:hAnsi="宋体" w:cs="宋体"/>
                <w:color w:val="000000"/>
                <w:sz w:val="24"/>
              </w:rPr>
              <w:t>2</w:t>
            </w:r>
            <w:r>
              <w:rPr>
                <w:rFonts w:hint="eastAsia" w:ascii="宋体" w:hAnsi="宋体" w:cs="宋体"/>
                <w:color w:val="000000"/>
                <w:sz w:val="24"/>
                <w:lang w:val="en-US" w:eastAsia="zh-CN"/>
              </w:rPr>
              <w:t>8</w:t>
            </w:r>
          </w:p>
        </w:tc>
        <w:tc>
          <w:tcPr>
            <w:tcW w:w="950" w:type="pct"/>
            <w:tcBorders>
              <w:top w:val="single" w:color="auto" w:sz="4" w:space="0"/>
              <w:left w:val="single" w:color="auto" w:sz="4" w:space="0"/>
              <w:bottom w:val="single" w:color="auto" w:sz="4" w:space="0"/>
              <w:right w:val="single" w:color="auto" w:sz="4" w:space="0"/>
            </w:tcBorders>
            <w:vAlign w:val="center"/>
          </w:tcPr>
          <w:p w14:paraId="6E200AB8">
            <w:pPr>
              <w:keepNext w:val="0"/>
              <w:keepLines w:val="0"/>
              <w:pageBreakBefore w:val="0"/>
              <w:widowControl w:val="0"/>
              <w:kinsoku/>
              <w:wordWrap/>
              <w:overflowPunct/>
              <w:topLinePunct w:val="0"/>
              <w:autoSpaceDE/>
              <w:autoSpaceDN/>
              <w:bidi w:val="0"/>
              <w:adjustRightInd/>
              <w:snapToGrid/>
              <w:spacing w:line="324" w:lineRule="auto"/>
              <w:jc w:val="center"/>
              <w:rPr>
                <w:rFonts w:ascii="宋体" w:hAnsi="宋体" w:cs="宋体"/>
                <w:color w:val="000000"/>
                <w:sz w:val="24"/>
              </w:rPr>
            </w:pPr>
            <w:r>
              <w:rPr>
                <w:rFonts w:hint="eastAsia" w:ascii="宋体" w:hAnsi="宋体" w:eastAsia="宋体" w:cs="宋体"/>
                <w:color w:val="auto"/>
                <w:sz w:val="24"/>
                <w:highlight w:val="none"/>
              </w:rPr>
              <w:t>信用查询</w:t>
            </w:r>
          </w:p>
        </w:tc>
        <w:tc>
          <w:tcPr>
            <w:tcW w:w="3669" w:type="pct"/>
            <w:tcBorders>
              <w:top w:val="single" w:color="auto" w:sz="4" w:space="0"/>
              <w:left w:val="single" w:color="auto" w:sz="4" w:space="0"/>
              <w:bottom w:val="single" w:color="auto" w:sz="4" w:space="0"/>
              <w:right w:val="single" w:color="auto" w:sz="4" w:space="0"/>
            </w:tcBorders>
            <w:vAlign w:val="center"/>
          </w:tcPr>
          <w:p w14:paraId="1564BB03">
            <w:pPr>
              <w:keepNext w:val="0"/>
              <w:keepLines w:val="0"/>
              <w:pageBreakBefore w:val="0"/>
              <w:widowControl w:val="0"/>
              <w:kinsoku/>
              <w:wordWrap/>
              <w:overflowPunct/>
              <w:topLinePunct w:val="0"/>
              <w:autoSpaceDE/>
              <w:autoSpaceDN/>
              <w:bidi w:val="0"/>
              <w:adjustRightInd/>
              <w:snapToGrid/>
              <w:spacing w:line="324" w:lineRule="auto"/>
              <w:ind w:firstLine="240" w:firstLineChars="100"/>
              <w:rPr>
                <w:rFonts w:ascii="宋体" w:hAnsi="宋体" w:cs="宋体"/>
                <w:color w:val="000000"/>
                <w:sz w:val="24"/>
              </w:rPr>
            </w:pPr>
            <w:r>
              <w:rPr>
                <w:rFonts w:hint="eastAsia" w:ascii="宋体" w:hAnsi="宋体" w:eastAsia="宋体" w:cs="宋体"/>
                <w:color w:val="auto"/>
                <w:kern w:val="0"/>
                <w:sz w:val="24"/>
                <w:highlight w:val="none"/>
              </w:rPr>
              <w:t>在“信用中国”网站（www.creditchina.gov.cn）和“中国政府采购网”（ccgp.gov.cn）对响应单位信用信息进行查询，如果响应单位被查实在开标前已列入失信被执行人、</w:t>
            </w:r>
            <w:r>
              <w:rPr>
                <w:rFonts w:hint="eastAsia" w:ascii="宋体" w:hAnsi="宋体" w:eastAsia="宋体" w:cs="宋体"/>
                <w:color w:val="auto"/>
                <w:kern w:val="0"/>
                <w:sz w:val="24"/>
                <w:highlight w:val="none"/>
                <w:lang w:eastAsia="zh-CN"/>
              </w:rPr>
              <w:t>重大税收违法失信主体</w:t>
            </w:r>
            <w:r>
              <w:rPr>
                <w:rFonts w:hint="eastAsia" w:ascii="宋体" w:hAnsi="宋体" w:eastAsia="宋体" w:cs="宋体"/>
                <w:color w:val="auto"/>
                <w:kern w:val="0"/>
                <w:sz w:val="24"/>
                <w:highlight w:val="none"/>
              </w:rPr>
              <w:t>、政府采购严重违法失信行为记录名单，其响应为无效</w:t>
            </w:r>
            <w:r>
              <w:rPr>
                <w:rFonts w:hint="eastAsia" w:ascii="宋体" w:hAnsi="宋体" w:eastAsia="宋体" w:cs="宋体"/>
                <w:color w:val="auto"/>
                <w:sz w:val="24"/>
                <w:highlight w:val="none"/>
              </w:rPr>
              <w:t>(以磋商当天代理公司核查为准，供应商无需提供)。</w:t>
            </w:r>
          </w:p>
        </w:tc>
      </w:tr>
      <w:tr w14:paraId="1C482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14:paraId="663B37EB">
            <w:pPr>
              <w:keepNext w:val="0"/>
              <w:keepLines w:val="0"/>
              <w:pageBreakBefore w:val="0"/>
              <w:widowControl w:val="0"/>
              <w:kinsoku/>
              <w:wordWrap/>
              <w:overflowPunct/>
              <w:topLinePunct w:val="0"/>
              <w:autoSpaceDE/>
              <w:autoSpaceDN/>
              <w:bidi w:val="0"/>
              <w:adjustRightInd/>
              <w:snapToGrid/>
              <w:spacing w:line="324" w:lineRule="auto"/>
              <w:jc w:val="center"/>
              <w:rPr>
                <w:rFonts w:hint="eastAsia" w:ascii="宋体" w:hAnsi="宋体" w:eastAsia="宋体" w:cs="宋体"/>
                <w:color w:val="000000"/>
                <w:sz w:val="24"/>
                <w:lang w:eastAsia="zh-CN"/>
              </w:rPr>
            </w:pPr>
            <w:r>
              <w:rPr>
                <w:rFonts w:hint="eastAsia" w:ascii="宋体" w:hAnsi="宋体" w:cs="宋体"/>
                <w:color w:val="000000"/>
                <w:sz w:val="24"/>
                <w:highlight w:val="none"/>
                <w:lang w:val="en-US" w:eastAsia="zh-CN"/>
              </w:rPr>
              <w:t>29</w:t>
            </w:r>
          </w:p>
        </w:tc>
        <w:tc>
          <w:tcPr>
            <w:tcW w:w="950" w:type="pct"/>
            <w:tcBorders>
              <w:top w:val="single" w:color="auto" w:sz="4" w:space="0"/>
              <w:left w:val="single" w:color="auto" w:sz="4" w:space="0"/>
              <w:bottom w:val="single" w:color="auto" w:sz="4" w:space="0"/>
              <w:right w:val="single" w:color="auto" w:sz="4" w:space="0"/>
            </w:tcBorders>
            <w:vAlign w:val="center"/>
          </w:tcPr>
          <w:p w14:paraId="3583357B">
            <w:pPr>
              <w:keepNext w:val="0"/>
              <w:keepLines w:val="0"/>
              <w:pageBreakBefore w:val="0"/>
              <w:widowControl w:val="0"/>
              <w:kinsoku/>
              <w:wordWrap/>
              <w:overflowPunct/>
              <w:topLinePunct w:val="0"/>
              <w:autoSpaceDE/>
              <w:autoSpaceDN/>
              <w:bidi w:val="0"/>
              <w:adjustRightInd/>
              <w:snapToGrid/>
              <w:spacing w:line="324" w:lineRule="auto"/>
              <w:jc w:val="center"/>
              <w:rPr>
                <w:rFonts w:ascii="宋体" w:hAnsi="宋体" w:cs="宋体"/>
                <w:color w:val="000000"/>
                <w:sz w:val="24"/>
                <w:highlight w:val="none"/>
              </w:rPr>
            </w:pPr>
            <w:r>
              <w:rPr>
                <w:rFonts w:hint="eastAsia" w:ascii="宋体" w:hAnsi="宋体" w:eastAsia="宋体" w:cs="宋体"/>
                <w:color w:val="auto"/>
                <w:sz w:val="24"/>
                <w:highlight w:val="none"/>
                <w:shd w:val="clear" w:color="auto" w:fill="auto"/>
              </w:rPr>
              <w:t>是否专门面向中小企业或小微型企业采购</w:t>
            </w:r>
          </w:p>
        </w:tc>
        <w:tc>
          <w:tcPr>
            <w:tcW w:w="3669" w:type="pct"/>
            <w:tcBorders>
              <w:top w:val="single" w:color="auto" w:sz="4" w:space="0"/>
              <w:left w:val="single" w:color="auto" w:sz="4" w:space="0"/>
              <w:bottom w:val="single" w:color="auto" w:sz="4" w:space="0"/>
              <w:right w:val="single" w:color="auto" w:sz="4" w:space="0"/>
            </w:tcBorders>
            <w:vAlign w:val="center"/>
          </w:tcPr>
          <w:p w14:paraId="3A715285">
            <w:pPr>
              <w:pStyle w:val="30"/>
              <w:keepNext w:val="0"/>
              <w:keepLines w:val="0"/>
              <w:pageBreakBefore w:val="0"/>
              <w:widowControl w:val="0"/>
              <w:kinsoku/>
              <w:wordWrap/>
              <w:overflowPunct/>
              <w:topLinePunct w:val="0"/>
              <w:autoSpaceDE/>
              <w:autoSpaceDN/>
              <w:bidi w:val="0"/>
              <w:adjustRightInd/>
              <w:snapToGrid/>
              <w:spacing w:line="324" w:lineRule="auto"/>
              <w:ind w:left="0" w:leftChars="0" w:firstLine="240" w:firstLineChars="100"/>
              <w:rPr>
                <w:rFonts w:ascii="宋体" w:hAnsi="宋体" w:cs="宋体"/>
                <w:color w:val="000000"/>
                <w:sz w:val="24"/>
                <w:highlight w:val="none"/>
              </w:rPr>
            </w:pPr>
            <w:r>
              <w:rPr>
                <w:rFonts w:hint="eastAsia" w:ascii="宋体" w:hAnsi="宋体" w:eastAsia="宋体" w:cs="宋体"/>
                <w:color w:val="auto"/>
                <w:kern w:val="2"/>
                <w:sz w:val="24"/>
                <w:szCs w:val="24"/>
                <w:highlight w:val="none"/>
                <w:shd w:val="clear" w:color="auto" w:fill="auto"/>
                <w:lang w:val="en-US" w:eastAsia="zh-CN" w:bidi="ar-SA"/>
              </w:rPr>
              <w:t>本项目专门面向中小企业</w:t>
            </w:r>
          </w:p>
        </w:tc>
      </w:tr>
      <w:tr w14:paraId="03067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14:paraId="0E790D0A">
            <w:pPr>
              <w:keepNext w:val="0"/>
              <w:keepLines w:val="0"/>
              <w:pageBreakBefore w:val="0"/>
              <w:widowControl w:val="0"/>
              <w:kinsoku/>
              <w:wordWrap/>
              <w:overflowPunct/>
              <w:topLinePunct w:val="0"/>
              <w:autoSpaceDE/>
              <w:autoSpaceDN/>
              <w:bidi w:val="0"/>
              <w:adjustRightInd/>
              <w:snapToGrid/>
              <w:spacing w:line="324" w:lineRule="auto"/>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w:t>
            </w:r>
          </w:p>
        </w:tc>
        <w:tc>
          <w:tcPr>
            <w:tcW w:w="950" w:type="pct"/>
            <w:tcBorders>
              <w:top w:val="single" w:color="auto" w:sz="4" w:space="0"/>
              <w:left w:val="single" w:color="auto" w:sz="4" w:space="0"/>
              <w:bottom w:val="single" w:color="auto" w:sz="4" w:space="0"/>
              <w:right w:val="single" w:color="auto" w:sz="4" w:space="0"/>
            </w:tcBorders>
            <w:vAlign w:val="center"/>
          </w:tcPr>
          <w:p w14:paraId="51899C51">
            <w:pPr>
              <w:keepNext w:val="0"/>
              <w:keepLines w:val="0"/>
              <w:pageBreakBefore w:val="0"/>
              <w:widowControl w:val="0"/>
              <w:kinsoku/>
              <w:wordWrap/>
              <w:overflowPunct/>
              <w:topLinePunct w:val="0"/>
              <w:autoSpaceDE/>
              <w:autoSpaceDN/>
              <w:bidi w:val="0"/>
              <w:adjustRightInd/>
              <w:snapToGrid/>
              <w:spacing w:line="324" w:lineRule="auto"/>
              <w:jc w:val="center"/>
              <w:rPr>
                <w:rFonts w:ascii="宋体" w:hAnsi="宋体" w:cs="宋体"/>
                <w:color w:val="000000"/>
                <w:sz w:val="24"/>
                <w:highlight w:val="none"/>
              </w:rPr>
            </w:pPr>
            <w:r>
              <w:rPr>
                <w:rFonts w:hint="eastAsia" w:ascii="宋体" w:hAnsi="宋体" w:cs="宋体"/>
                <w:color w:val="000000"/>
                <w:sz w:val="24"/>
                <w:highlight w:val="none"/>
              </w:rPr>
              <w:t>代理服务费</w:t>
            </w:r>
            <w:r>
              <w:rPr>
                <w:rFonts w:hint="eastAsia" w:ascii="宋体" w:hAnsi="宋体" w:cs="宋体"/>
                <w:color w:val="000000"/>
                <w:sz w:val="24"/>
                <w:highlight w:val="none"/>
                <w:lang w:eastAsia="zh-CN"/>
              </w:rPr>
              <w:t>及交纳服务</w:t>
            </w:r>
          </w:p>
        </w:tc>
        <w:tc>
          <w:tcPr>
            <w:tcW w:w="3669" w:type="pct"/>
            <w:tcBorders>
              <w:top w:val="single" w:color="auto" w:sz="4" w:space="0"/>
              <w:left w:val="single" w:color="auto" w:sz="4" w:space="0"/>
              <w:bottom w:val="single" w:color="auto" w:sz="4" w:space="0"/>
              <w:right w:val="single" w:color="auto" w:sz="4" w:space="0"/>
            </w:tcBorders>
            <w:vAlign w:val="center"/>
          </w:tcPr>
          <w:p w14:paraId="29273AAD">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240" w:firstLineChars="100"/>
              <w:jc w:val="left"/>
              <w:textAlignment w:val="auto"/>
              <w:rPr>
                <w:rFonts w:hint="eastAsia" w:ascii="宋体" w:hAnsi="宋体" w:cs="宋体"/>
                <w:color w:val="000000"/>
                <w:sz w:val="24"/>
                <w:highlight w:val="none"/>
              </w:rPr>
            </w:pPr>
            <w:r>
              <w:rPr>
                <w:rFonts w:hint="eastAsia" w:ascii="宋体" w:hAnsi="宋体" w:eastAsia="宋体" w:cs="宋体"/>
                <w:color w:val="000000"/>
                <w:kern w:val="2"/>
                <w:sz w:val="24"/>
                <w:szCs w:val="24"/>
                <w:highlight w:val="none"/>
                <w:lang w:val="en-US" w:eastAsia="zh-CN" w:bidi="ar-SA"/>
              </w:rPr>
              <w:t>1.</w:t>
            </w:r>
            <w:r>
              <w:rPr>
                <w:rFonts w:hint="eastAsia" w:ascii="宋体" w:hAnsi="宋体" w:cs="宋体"/>
                <w:color w:val="000000"/>
                <w:sz w:val="24"/>
                <w:highlight w:val="none"/>
              </w:rPr>
              <w:t>成交人应依据成交金额向代理公司交纳代理服务费，交费金额按照国家计委颁布的《招标代理服务收费管理暂行办法》（计价格『2002』1980号）及发改办价格『2003』857号文规定按服务类收取代理服务费。此服务费应计入磋商报价中，但不需要单独开列。</w:t>
            </w:r>
          </w:p>
          <w:p w14:paraId="025C7778">
            <w:pPr>
              <w:keepNext w:val="0"/>
              <w:keepLines w:val="0"/>
              <w:pageBreakBefore w:val="0"/>
              <w:widowControl w:val="0"/>
              <w:kinsoku/>
              <w:wordWrap/>
              <w:overflowPunct/>
              <w:topLinePunct w:val="0"/>
              <w:autoSpaceDE/>
              <w:autoSpaceDN/>
              <w:bidi w:val="0"/>
              <w:adjustRightInd/>
              <w:snapToGrid/>
              <w:spacing w:line="324" w:lineRule="auto"/>
              <w:ind w:firstLine="240" w:firstLineChars="100"/>
              <w:jc w:val="left"/>
              <w:textAlignment w:val="auto"/>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2.</w:t>
            </w:r>
            <w:r>
              <w:rPr>
                <w:rFonts w:hint="eastAsia" w:ascii="宋体" w:hAnsi="宋体" w:eastAsia="宋体" w:cs="宋体"/>
                <w:color w:val="000000"/>
                <w:sz w:val="24"/>
                <w:highlight w:val="none"/>
                <w:lang w:val="en-US" w:eastAsia="zh-CN"/>
              </w:rPr>
              <w:t>代理服务费交纳信息</w:t>
            </w:r>
          </w:p>
          <w:p w14:paraId="1AF6461E">
            <w:pPr>
              <w:keepNext w:val="0"/>
              <w:keepLines w:val="0"/>
              <w:pageBreakBefore w:val="0"/>
              <w:widowControl w:val="0"/>
              <w:kinsoku/>
              <w:wordWrap/>
              <w:overflowPunct/>
              <w:topLinePunct w:val="0"/>
              <w:autoSpaceDE/>
              <w:autoSpaceDN/>
              <w:bidi w:val="0"/>
              <w:adjustRightInd/>
              <w:snapToGrid/>
              <w:spacing w:line="324" w:lineRule="auto"/>
              <w:ind w:firstLine="240" w:firstLineChars="100"/>
              <w:jc w:val="left"/>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银行户名：华晟国际项目管理有限公司</w:t>
            </w:r>
          </w:p>
          <w:p w14:paraId="49AFBD66">
            <w:pPr>
              <w:keepNext w:val="0"/>
              <w:keepLines w:val="0"/>
              <w:pageBreakBefore w:val="0"/>
              <w:widowControl w:val="0"/>
              <w:kinsoku/>
              <w:wordWrap/>
              <w:overflowPunct/>
              <w:topLinePunct w:val="0"/>
              <w:autoSpaceDE/>
              <w:autoSpaceDN/>
              <w:bidi w:val="0"/>
              <w:adjustRightInd/>
              <w:snapToGrid/>
              <w:spacing w:line="324" w:lineRule="auto"/>
              <w:ind w:firstLine="240" w:firstLineChars="100"/>
              <w:jc w:val="left"/>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开户银行：建设银行西安劳动路支行</w:t>
            </w:r>
          </w:p>
          <w:p w14:paraId="67DA2448">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240" w:firstLineChars="100"/>
              <w:jc w:val="left"/>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账    号：610501 740015 00000 427</w:t>
            </w:r>
          </w:p>
          <w:p w14:paraId="13842170">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240" w:firstLineChars="100"/>
              <w:jc w:val="left"/>
              <w:textAlignment w:val="auto"/>
              <w:rPr>
                <w:rFonts w:ascii="宋体" w:hAnsi="宋体" w:cs="宋体"/>
                <w:color w:val="000000"/>
                <w:sz w:val="24"/>
                <w:highlight w:val="none"/>
              </w:rPr>
            </w:pPr>
            <w:r>
              <w:rPr>
                <w:rFonts w:hint="eastAsia" w:ascii="宋体" w:hAnsi="宋体" w:eastAsia="宋体" w:cs="宋体"/>
                <w:color w:val="000000"/>
                <w:kern w:val="2"/>
                <w:sz w:val="24"/>
                <w:szCs w:val="24"/>
                <w:highlight w:val="none"/>
                <w:lang w:val="en-US" w:eastAsia="zh-CN" w:bidi="ar-SA"/>
              </w:rPr>
              <w:t>转账事由：</w:t>
            </w:r>
            <w:r>
              <w:rPr>
                <w:rFonts w:hint="eastAsia" w:ascii="宋体" w:hAnsi="宋体" w:cs="宋体"/>
                <w:color w:val="000000"/>
                <w:kern w:val="2"/>
                <w:sz w:val="24"/>
                <w:szCs w:val="24"/>
                <w:highlight w:val="none"/>
                <w:lang w:val="en-US" w:eastAsia="zh-CN" w:bidi="ar-SA"/>
              </w:rPr>
              <w:t>HSGJ2025-181</w:t>
            </w:r>
            <w:r>
              <w:rPr>
                <w:rFonts w:hint="eastAsia" w:ascii="宋体" w:hAnsi="宋体" w:eastAsia="宋体" w:cs="宋体"/>
                <w:color w:val="000000"/>
                <w:kern w:val="2"/>
                <w:sz w:val="24"/>
                <w:szCs w:val="24"/>
                <w:highlight w:val="none"/>
                <w:lang w:val="en-US" w:eastAsia="zh-CN" w:bidi="ar-SA"/>
              </w:rPr>
              <w:t>项目代理服务费</w:t>
            </w:r>
          </w:p>
        </w:tc>
      </w:tr>
    </w:tbl>
    <w:p w14:paraId="2C73CFA9">
      <w:pPr>
        <w:rPr>
          <w:rFonts w:ascii="宋体" w:hAnsi="宋体" w:cs="宋体"/>
          <w:b/>
          <w:color w:val="000000"/>
          <w:sz w:val="30"/>
          <w:szCs w:val="30"/>
        </w:rPr>
      </w:pPr>
      <w:r>
        <w:rPr>
          <w:rFonts w:hint="eastAsia" w:ascii="宋体" w:hAnsi="宋体" w:cs="宋体"/>
          <w:b/>
          <w:color w:val="000000"/>
          <w:sz w:val="30"/>
          <w:szCs w:val="30"/>
        </w:rPr>
        <w:br w:type="page"/>
      </w:r>
    </w:p>
    <w:p w14:paraId="05E3D25A">
      <w:pPr>
        <w:jc w:val="center"/>
        <w:rPr>
          <w:rFonts w:ascii="宋体" w:hAnsi="宋体" w:cs="宋体"/>
          <w:b/>
          <w:color w:val="000000"/>
          <w:sz w:val="30"/>
          <w:szCs w:val="30"/>
        </w:rPr>
      </w:pPr>
      <w:r>
        <w:rPr>
          <w:rFonts w:hint="eastAsia" w:ascii="宋体" w:hAnsi="宋体" w:cs="宋体"/>
          <w:b/>
          <w:color w:val="000000"/>
          <w:sz w:val="30"/>
          <w:szCs w:val="30"/>
        </w:rPr>
        <w:t>一、名词解释</w:t>
      </w:r>
    </w:p>
    <w:p w14:paraId="3F87DFDD">
      <w:pPr>
        <w:keepNext w:val="0"/>
        <w:keepLines w:val="0"/>
        <w:pageBreakBefore w:val="0"/>
        <w:widowControl w:val="0"/>
        <w:numPr>
          <w:ilvl w:val="0"/>
          <w:numId w:val="1"/>
        </w:numPr>
        <w:tabs>
          <w:tab w:val="left" w:pos="240"/>
          <w:tab w:val="clear" w:pos="840"/>
        </w:tabs>
        <w:kinsoku/>
        <w:wordWrap/>
        <w:overflowPunct/>
        <w:topLinePunct w:val="0"/>
        <w:autoSpaceDE/>
        <w:autoSpaceDN/>
        <w:bidi w:val="0"/>
        <w:adjustRightInd/>
        <w:snapToGrid/>
        <w:spacing w:line="460" w:lineRule="exact"/>
        <w:ind w:left="0" w:leftChars="0" w:firstLine="480" w:firstLineChars="200"/>
        <w:textAlignment w:val="auto"/>
        <w:rPr>
          <w:rFonts w:ascii="宋体" w:hAnsi="宋体" w:cs="宋体"/>
          <w:color w:val="000000"/>
          <w:sz w:val="24"/>
        </w:rPr>
      </w:pPr>
      <w:r>
        <w:rPr>
          <w:rFonts w:hint="eastAsia" w:ascii="宋体" w:hAnsi="宋体" w:cs="宋体"/>
          <w:color w:val="000000"/>
          <w:sz w:val="24"/>
        </w:rPr>
        <w:t>采购人：陕西</w:t>
      </w:r>
      <w:r>
        <w:rPr>
          <w:rFonts w:hint="eastAsia" w:ascii="宋体" w:hAnsi="宋体" w:cs="宋体"/>
          <w:sz w:val="24"/>
        </w:rPr>
        <w:t>省公安厅</w:t>
      </w:r>
    </w:p>
    <w:p w14:paraId="305DE77A">
      <w:pPr>
        <w:keepNext w:val="0"/>
        <w:keepLines w:val="0"/>
        <w:pageBreakBefore w:val="0"/>
        <w:widowControl w:val="0"/>
        <w:numPr>
          <w:ilvl w:val="0"/>
          <w:numId w:val="1"/>
        </w:numPr>
        <w:tabs>
          <w:tab w:val="left" w:pos="240"/>
          <w:tab w:val="clear" w:pos="840"/>
        </w:tabs>
        <w:kinsoku/>
        <w:wordWrap/>
        <w:overflowPunct/>
        <w:topLinePunct w:val="0"/>
        <w:autoSpaceDE/>
        <w:autoSpaceDN/>
        <w:bidi w:val="0"/>
        <w:adjustRightInd/>
        <w:snapToGrid/>
        <w:spacing w:line="460" w:lineRule="exact"/>
        <w:ind w:left="0" w:leftChars="0" w:firstLine="480" w:firstLineChars="200"/>
        <w:textAlignment w:val="auto"/>
        <w:rPr>
          <w:rFonts w:ascii="宋体" w:hAnsi="宋体" w:cs="宋体"/>
          <w:color w:val="000000"/>
          <w:sz w:val="24"/>
        </w:rPr>
      </w:pPr>
      <w:r>
        <w:rPr>
          <w:rFonts w:hint="eastAsia" w:ascii="宋体" w:hAnsi="宋体" w:cs="宋体"/>
          <w:color w:val="000000"/>
          <w:sz w:val="24"/>
        </w:rPr>
        <w:t>监督机构：</w:t>
      </w:r>
      <w:r>
        <w:rPr>
          <w:rFonts w:hint="eastAsia" w:ascii="宋体" w:hAnsi="宋体" w:cs="宋体"/>
          <w:color w:val="000000"/>
          <w:sz w:val="24"/>
          <w:lang w:val="en-US" w:eastAsia="zh-CN"/>
        </w:rPr>
        <w:t>陕西省财政厅</w:t>
      </w:r>
    </w:p>
    <w:p w14:paraId="70514338">
      <w:pPr>
        <w:keepNext w:val="0"/>
        <w:keepLines w:val="0"/>
        <w:pageBreakBefore w:val="0"/>
        <w:widowControl w:val="0"/>
        <w:numPr>
          <w:ilvl w:val="0"/>
          <w:numId w:val="1"/>
        </w:numPr>
        <w:tabs>
          <w:tab w:val="left" w:pos="240"/>
          <w:tab w:val="clear" w:pos="840"/>
        </w:tabs>
        <w:kinsoku/>
        <w:wordWrap/>
        <w:overflowPunct/>
        <w:topLinePunct w:val="0"/>
        <w:autoSpaceDE/>
        <w:autoSpaceDN/>
        <w:bidi w:val="0"/>
        <w:adjustRightInd/>
        <w:snapToGrid/>
        <w:spacing w:line="460" w:lineRule="exact"/>
        <w:ind w:left="0" w:leftChars="0" w:firstLine="480" w:firstLineChars="200"/>
        <w:textAlignment w:val="auto"/>
        <w:rPr>
          <w:rFonts w:ascii="宋体" w:hAnsi="宋体" w:cs="宋体"/>
          <w:color w:val="000000"/>
          <w:sz w:val="24"/>
        </w:rPr>
      </w:pPr>
      <w:r>
        <w:rPr>
          <w:rFonts w:hint="eastAsia" w:ascii="宋体" w:hAnsi="宋体" w:cs="宋体"/>
          <w:color w:val="000000"/>
          <w:sz w:val="24"/>
        </w:rPr>
        <w:t>采购代理机构：华晟国际项目管理有限公司</w:t>
      </w:r>
    </w:p>
    <w:p w14:paraId="7E988948">
      <w:pPr>
        <w:keepNext w:val="0"/>
        <w:keepLines w:val="0"/>
        <w:pageBreakBefore w:val="0"/>
        <w:widowControl w:val="0"/>
        <w:numPr>
          <w:ilvl w:val="0"/>
          <w:numId w:val="1"/>
        </w:numPr>
        <w:tabs>
          <w:tab w:val="left" w:pos="240"/>
          <w:tab w:val="clear" w:pos="840"/>
        </w:tabs>
        <w:kinsoku/>
        <w:wordWrap/>
        <w:overflowPunct/>
        <w:topLinePunct w:val="0"/>
        <w:autoSpaceDE/>
        <w:autoSpaceDN/>
        <w:bidi w:val="0"/>
        <w:adjustRightInd/>
        <w:snapToGrid/>
        <w:spacing w:line="460" w:lineRule="exact"/>
        <w:ind w:left="0" w:leftChars="0" w:firstLine="480" w:firstLineChars="200"/>
        <w:textAlignment w:val="auto"/>
        <w:rPr>
          <w:rFonts w:ascii="宋体" w:hAnsi="宋体" w:cs="宋体"/>
          <w:color w:val="000000"/>
          <w:sz w:val="24"/>
        </w:rPr>
      </w:pPr>
      <w:r>
        <w:rPr>
          <w:rFonts w:hint="eastAsia" w:ascii="宋体" w:hAnsi="宋体" w:cs="宋体"/>
          <w:color w:val="000000"/>
          <w:sz w:val="24"/>
        </w:rPr>
        <w:t>磋商供应商：满足本次磋商要求具有相应资质和完成项目能力的供应商</w:t>
      </w:r>
    </w:p>
    <w:p w14:paraId="296D2065">
      <w:pPr>
        <w:keepNext w:val="0"/>
        <w:keepLines w:val="0"/>
        <w:pageBreakBefore w:val="0"/>
        <w:widowControl w:val="0"/>
        <w:numPr>
          <w:ilvl w:val="0"/>
          <w:numId w:val="1"/>
        </w:numPr>
        <w:tabs>
          <w:tab w:val="left" w:pos="240"/>
          <w:tab w:val="clear" w:pos="840"/>
        </w:tabs>
        <w:kinsoku/>
        <w:wordWrap/>
        <w:overflowPunct/>
        <w:topLinePunct w:val="0"/>
        <w:autoSpaceDE/>
        <w:autoSpaceDN/>
        <w:bidi w:val="0"/>
        <w:adjustRightInd/>
        <w:snapToGrid/>
        <w:spacing w:line="460" w:lineRule="exact"/>
        <w:ind w:left="0" w:leftChars="0" w:firstLine="480" w:firstLineChars="200"/>
        <w:textAlignment w:val="auto"/>
        <w:rPr>
          <w:rFonts w:ascii="宋体" w:hAnsi="宋体" w:cs="宋体"/>
          <w:color w:val="000000"/>
          <w:sz w:val="24"/>
        </w:rPr>
      </w:pPr>
      <w:r>
        <w:rPr>
          <w:rFonts w:hint="eastAsia" w:ascii="宋体" w:hAnsi="宋体" w:cs="宋体"/>
          <w:color w:val="000000"/>
          <w:sz w:val="24"/>
        </w:rPr>
        <w:t>成交供应商：由磋商小组推荐经采购人确认的磋商供应商</w:t>
      </w:r>
    </w:p>
    <w:p w14:paraId="308D4169">
      <w:pPr>
        <w:keepNext w:val="0"/>
        <w:keepLines w:val="0"/>
        <w:pageBreakBefore w:val="0"/>
        <w:widowControl w:val="0"/>
        <w:numPr>
          <w:ilvl w:val="0"/>
          <w:numId w:val="1"/>
        </w:numPr>
        <w:tabs>
          <w:tab w:val="left" w:pos="240"/>
          <w:tab w:val="clear" w:pos="840"/>
        </w:tabs>
        <w:kinsoku/>
        <w:wordWrap/>
        <w:overflowPunct/>
        <w:topLinePunct w:val="0"/>
        <w:autoSpaceDE/>
        <w:autoSpaceDN/>
        <w:bidi w:val="0"/>
        <w:adjustRightInd/>
        <w:snapToGrid/>
        <w:spacing w:line="460" w:lineRule="exact"/>
        <w:ind w:left="0" w:leftChars="0" w:firstLine="504" w:firstLineChars="200"/>
        <w:textAlignment w:val="auto"/>
        <w:rPr>
          <w:rFonts w:ascii="宋体" w:hAnsi="宋体" w:cs="宋体"/>
          <w:color w:val="000000"/>
          <w:sz w:val="24"/>
        </w:rPr>
      </w:pPr>
      <w:r>
        <w:rPr>
          <w:rFonts w:hint="eastAsia" w:ascii="宋体" w:hAnsi="宋体" w:cs="宋体"/>
          <w:spacing w:val="6"/>
          <w:sz w:val="24"/>
        </w:rPr>
        <w:t>近3年：</w:t>
      </w:r>
      <w:r>
        <w:rPr>
          <w:rFonts w:hint="eastAsia" w:ascii="宋体" w:hAnsi="宋体" w:cs="宋体"/>
          <w:spacing w:val="6"/>
          <w:sz w:val="24"/>
          <w:highlight w:val="none"/>
        </w:rPr>
        <w:t>从20</w:t>
      </w:r>
      <w:r>
        <w:rPr>
          <w:rFonts w:hint="eastAsia" w:ascii="宋体" w:hAnsi="宋体" w:cs="宋体"/>
          <w:spacing w:val="6"/>
          <w:sz w:val="24"/>
          <w:highlight w:val="none"/>
          <w:lang w:val="en-US" w:eastAsia="zh-CN"/>
        </w:rPr>
        <w:t>22</w:t>
      </w:r>
      <w:r>
        <w:rPr>
          <w:rFonts w:hint="eastAsia" w:ascii="宋体" w:hAnsi="宋体" w:cs="宋体"/>
          <w:spacing w:val="6"/>
          <w:sz w:val="24"/>
          <w:highlight w:val="none"/>
        </w:rPr>
        <w:t>年</w:t>
      </w:r>
      <w:r>
        <w:rPr>
          <w:rFonts w:hint="eastAsia" w:ascii="宋体" w:hAnsi="宋体" w:cs="宋体"/>
          <w:spacing w:val="6"/>
          <w:sz w:val="24"/>
          <w:highlight w:val="none"/>
          <w:lang w:val="en-US" w:eastAsia="zh-CN"/>
        </w:rPr>
        <w:t>1</w:t>
      </w:r>
      <w:r>
        <w:rPr>
          <w:rFonts w:hint="eastAsia" w:ascii="宋体" w:hAnsi="宋体" w:cs="宋体"/>
          <w:spacing w:val="6"/>
          <w:sz w:val="24"/>
          <w:highlight w:val="none"/>
        </w:rPr>
        <w:t>月至本项</w:t>
      </w:r>
      <w:r>
        <w:rPr>
          <w:rFonts w:hint="eastAsia" w:ascii="宋体" w:hAnsi="宋体" w:cs="宋体"/>
          <w:spacing w:val="6"/>
          <w:sz w:val="24"/>
        </w:rPr>
        <w:t>目磋商响应文件递交截止</w:t>
      </w:r>
      <w:r>
        <w:rPr>
          <w:rFonts w:hint="eastAsia" w:ascii="宋体" w:hAnsi="宋体" w:cs="宋体"/>
          <w:color w:val="000000"/>
          <w:sz w:val="24"/>
        </w:rPr>
        <w:t>时间止。</w:t>
      </w:r>
    </w:p>
    <w:p w14:paraId="4EAD0D18">
      <w:pPr>
        <w:jc w:val="center"/>
        <w:rPr>
          <w:rFonts w:hint="eastAsia" w:ascii="宋体" w:hAnsi="宋体" w:cs="宋体"/>
          <w:b/>
          <w:color w:val="000000"/>
          <w:sz w:val="30"/>
          <w:szCs w:val="30"/>
        </w:rPr>
      </w:pPr>
      <w:r>
        <w:rPr>
          <w:rFonts w:hint="eastAsia" w:ascii="宋体" w:hAnsi="宋体" w:cs="宋体"/>
          <w:b/>
          <w:color w:val="000000"/>
          <w:sz w:val="30"/>
          <w:szCs w:val="30"/>
        </w:rPr>
        <w:t>二、磋商供应商</w:t>
      </w:r>
    </w:p>
    <w:p w14:paraId="5AE59F4C">
      <w:pPr>
        <w:spacing w:line="460" w:lineRule="exact"/>
        <w:ind w:firstLine="120" w:firstLineChars="50"/>
        <w:rPr>
          <w:rFonts w:ascii="宋体" w:hAnsi="宋体" w:cs="宋体"/>
          <w:b/>
          <w:color w:val="000000"/>
          <w:sz w:val="24"/>
        </w:rPr>
      </w:pPr>
      <w:r>
        <w:rPr>
          <w:rFonts w:hint="eastAsia" w:ascii="宋体" w:hAnsi="宋体" w:cs="宋体"/>
          <w:b/>
          <w:color w:val="000000"/>
          <w:sz w:val="24"/>
        </w:rPr>
        <w:t>1.合格磋商供应商</w:t>
      </w:r>
    </w:p>
    <w:p w14:paraId="0BCBD28E">
      <w:pPr>
        <w:spacing w:line="460" w:lineRule="exact"/>
        <w:ind w:left="1078" w:leftChars="172" w:hanging="717" w:hangingChars="299"/>
        <w:rPr>
          <w:rFonts w:ascii="宋体" w:hAnsi="宋体" w:cs="宋体"/>
          <w:color w:val="000000"/>
          <w:sz w:val="24"/>
        </w:rPr>
      </w:pPr>
      <w:r>
        <w:rPr>
          <w:rFonts w:hint="eastAsia" w:ascii="宋体" w:hAnsi="宋体" w:cs="宋体"/>
          <w:color w:val="000000"/>
          <w:sz w:val="24"/>
        </w:rPr>
        <w:t>（1）具有独立承担民事责任的能力</w:t>
      </w:r>
    </w:p>
    <w:p w14:paraId="5A6D3352">
      <w:pPr>
        <w:spacing w:line="460" w:lineRule="exact"/>
        <w:ind w:left="1078" w:leftChars="172" w:hanging="717" w:hangingChars="299"/>
        <w:rPr>
          <w:rFonts w:ascii="宋体" w:hAnsi="宋体" w:cs="宋体"/>
          <w:color w:val="000000"/>
          <w:sz w:val="24"/>
        </w:rPr>
      </w:pPr>
      <w:r>
        <w:rPr>
          <w:rFonts w:hint="eastAsia" w:ascii="宋体" w:hAnsi="宋体" w:cs="宋体"/>
          <w:color w:val="000000"/>
          <w:sz w:val="24"/>
        </w:rPr>
        <w:t>（2）具有良好的商业信誉和健全的财务会计制度</w:t>
      </w:r>
    </w:p>
    <w:p w14:paraId="3BD8626E">
      <w:pPr>
        <w:spacing w:line="460" w:lineRule="exact"/>
        <w:ind w:left="1078" w:leftChars="172" w:hanging="717" w:hangingChars="299"/>
        <w:rPr>
          <w:rFonts w:ascii="宋体" w:hAnsi="宋体" w:cs="宋体"/>
          <w:color w:val="000000"/>
          <w:sz w:val="24"/>
        </w:rPr>
      </w:pPr>
      <w:r>
        <w:rPr>
          <w:rFonts w:hint="eastAsia" w:ascii="宋体" w:hAnsi="宋体" w:cs="宋体"/>
          <w:color w:val="000000"/>
          <w:sz w:val="24"/>
        </w:rPr>
        <w:t>（3）具有履行合同所必需的</w:t>
      </w:r>
      <w:r>
        <w:rPr>
          <w:rFonts w:hint="eastAsia" w:ascii="宋体" w:hAnsi="宋体" w:cs="宋体"/>
          <w:sz w:val="24"/>
        </w:rPr>
        <w:t>设计</w:t>
      </w:r>
      <w:r>
        <w:rPr>
          <w:rFonts w:hint="eastAsia" w:ascii="宋体" w:hAnsi="宋体" w:cs="宋体"/>
          <w:color w:val="000000"/>
          <w:sz w:val="24"/>
        </w:rPr>
        <w:t>和专业技术能力</w:t>
      </w:r>
    </w:p>
    <w:p w14:paraId="5662ADA8">
      <w:pPr>
        <w:spacing w:line="460" w:lineRule="exact"/>
        <w:ind w:left="1078" w:leftChars="172" w:hanging="717" w:hangingChars="299"/>
        <w:rPr>
          <w:rFonts w:ascii="宋体" w:hAnsi="宋体" w:cs="宋体"/>
          <w:color w:val="000000"/>
          <w:sz w:val="24"/>
        </w:rPr>
      </w:pPr>
      <w:r>
        <w:rPr>
          <w:rFonts w:hint="eastAsia" w:ascii="宋体" w:hAnsi="宋体" w:cs="宋体"/>
          <w:color w:val="000000"/>
          <w:sz w:val="24"/>
        </w:rPr>
        <w:t>（4）有依法缴纳税收和社会保障资金的良好记录</w:t>
      </w:r>
    </w:p>
    <w:p w14:paraId="0AB88B01">
      <w:pPr>
        <w:spacing w:line="460" w:lineRule="exact"/>
        <w:ind w:left="1078" w:leftChars="172" w:hanging="717" w:hangingChars="299"/>
        <w:rPr>
          <w:rFonts w:ascii="宋体" w:hAnsi="宋体" w:cs="宋体"/>
          <w:color w:val="000000"/>
          <w:sz w:val="24"/>
        </w:rPr>
      </w:pPr>
      <w:r>
        <w:rPr>
          <w:rFonts w:hint="eastAsia" w:ascii="宋体" w:hAnsi="宋体" w:cs="宋体"/>
          <w:color w:val="000000"/>
          <w:sz w:val="24"/>
        </w:rPr>
        <w:t>（5）参加政府采购活动前三年内，在经营活动中没有重大违法记录</w:t>
      </w:r>
    </w:p>
    <w:p w14:paraId="2F02586C">
      <w:pPr>
        <w:spacing w:line="460" w:lineRule="exact"/>
        <w:ind w:left="1078" w:leftChars="172" w:hanging="717" w:hangingChars="299"/>
        <w:rPr>
          <w:rFonts w:ascii="宋体" w:hAnsi="宋体" w:cs="宋体"/>
          <w:color w:val="000000"/>
          <w:sz w:val="24"/>
        </w:rPr>
      </w:pPr>
      <w:r>
        <w:rPr>
          <w:rFonts w:hint="eastAsia" w:ascii="宋体" w:hAnsi="宋体" w:cs="宋体"/>
          <w:color w:val="000000"/>
          <w:sz w:val="24"/>
        </w:rPr>
        <w:t>（6）法律、行政法规规定的其它条件</w:t>
      </w:r>
    </w:p>
    <w:p w14:paraId="3D4F2197">
      <w:pPr>
        <w:spacing w:line="460" w:lineRule="exact"/>
        <w:ind w:firstLine="120" w:firstLineChars="50"/>
        <w:rPr>
          <w:rFonts w:ascii="宋体" w:hAnsi="宋体" w:cs="宋体"/>
          <w:b/>
          <w:color w:val="000000"/>
          <w:sz w:val="24"/>
        </w:rPr>
      </w:pPr>
      <w:r>
        <w:rPr>
          <w:rFonts w:hint="eastAsia" w:ascii="宋体" w:hAnsi="宋体" w:cs="宋体"/>
          <w:b/>
          <w:color w:val="000000"/>
          <w:sz w:val="24"/>
        </w:rPr>
        <w:t>2.磋商委托</w:t>
      </w:r>
    </w:p>
    <w:p w14:paraId="788E1F4C">
      <w:pPr>
        <w:spacing w:line="460" w:lineRule="exact"/>
        <w:ind w:firstLine="482" w:firstLineChars="200"/>
        <w:rPr>
          <w:rFonts w:ascii="宋体" w:hAnsi="宋体" w:cs="宋体"/>
          <w:b/>
          <w:bCs/>
          <w:color w:val="000000"/>
          <w:sz w:val="24"/>
        </w:rPr>
      </w:pPr>
      <w:r>
        <w:rPr>
          <w:rFonts w:hint="eastAsia" w:ascii="宋体" w:hAnsi="宋体" w:cs="宋体"/>
          <w:b/>
          <w:bCs/>
          <w:color w:val="000000"/>
          <w:sz w:val="24"/>
        </w:rPr>
        <w:t>如磋商供应商代表不是法定代表人，须持有《法定代表人授权书》。</w:t>
      </w:r>
    </w:p>
    <w:p w14:paraId="218D2C4B">
      <w:pPr>
        <w:spacing w:line="460" w:lineRule="exact"/>
        <w:ind w:firstLine="120" w:firstLineChars="50"/>
        <w:rPr>
          <w:rFonts w:ascii="宋体" w:hAnsi="宋体" w:cs="宋体"/>
          <w:b/>
          <w:color w:val="000000"/>
          <w:sz w:val="24"/>
        </w:rPr>
      </w:pPr>
      <w:r>
        <w:rPr>
          <w:rFonts w:hint="eastAsia" w:ascii="宋体" w:hAnsi="宋体" w:cs="宋体"/>
          <w:b/>
          <w:color w:val="000000"/>
          <w:sz w:val="24"/>
        </w:rPr>
        <w:t>3.磋商费用</w:t>
      </w:r>
    </w:p>
    <w:p w14:paraId="06C3FED4">
      <w:pPr>
        <w:spacing w:line="460" w:lineRule="exact"/>
        <w:ind w:firstLine="480" w:firstLineChars="200"/>
        <w:rPr>
          <w:rFonts w:ascii="宋体" w:hAnsi="宋体" w:cs="宋体"/>
          <w:color w:val="000000"/>
          <w:sz w:val="24"/>
        </w:rPr>
      </w:pPr>
      <w:r>
        <w:rPr>
          <w:rFonts w:hint="eastAsia" w:ascii="宋体" w:hAnsi="宋体" w:cs="宋体"/>
          <w:color w:val="000000"/>
          <w:sz w:val="24"/>
        </w:rPr>
        <w:t>无论磋商结果如何，磋商供应商自行承担参加磋商相关的全部费用。</w:t>
      </w:r>
    </w:p>
    <w:p w14:paraId="17AACB50">
      <w:pPr>
        <w:jc w:val="center"/>
        <w:rPr>
          <w:rFonts w:hint="eastAsia" w:ascii="宋体" w:hAnsi="宋体" w:cs="宋体"/>
          <w:b/>
          <w:color w:val="000000"/>
          <w:sz w:val="30"/>
          <w:szCs w:val="30"/>
        </w:rPr>
      </w:pPr>
      <w:r>
        <w:rPr>
          <w:rFonts w:hint="eastAsia" w:ascii="宋体" w:hAnsi="宋体" w:cs="宋体"/>
          <w:b/>
          <w:color w:val="000000"/>
          <w:sz w:val="30"/>
          <w:szCs w:val="30"/>
        </w:rPr>
        <w:t>三、磋商文件</w:t>
      </w:r>
    </w:p>
    <w:p w14:paraId="37D3ACE8">
      <w:pPr>
        <w:spacing w:line="460" w:lineRule="exact"/>
        <w:ind w:firstLine="120" w:firstLineChars="50"/>
        <w:rPr>
          <w:rFonts w:ascii="宋体" w:hAnsi="宋体" w:cs="宋体"/>
          <w:b/>
          <w:color w:val="000000"/>
          <w:sz w:val="24"/>
        </w:rPr>
      </w:pPr>
      <w:r>
        <w:rPr>
          <w:rFonts w:hint="eastAsia" w:ascii="宋体" w:hAnsi="宋体" w:cs="宋体"/>
          <w:b/>
          <w:color w:val="000000"/>
          <w:sz w:val="24"/>
        </w:rPr>
        <w:t>1.磋商文件</w:t>
      </w:r>
    </w:p>
    <w:p w14:paraId="58DEC831">
      <w:pPr>
        <w:keepNext w:val="0"/>
        <w:keepLines w:val="0"/>
        <w:pageBreakBefore w:val="0"/>
        <w:kinsoku/>
        <w:wordWrap/>
        <w:overflowPunct/>
        <w:topLinePunct w:val="0"/>
        <w:autoSpaceDE/>
        <w:autoSpaceDN/>
        <w:bidi w:val="0"/>
        <w:adjustRightInd/>
        <w:snapToGrid/>
        <w:spacing w:line="360" w:lineRule="auto"/>
        <w:ind w:right="0" w:firstLine="480" w:firstLineChars="200"/>
        <w:textAlignment w:val="auto"/>
        <w:rPr>
          <w:rFonts w:ascii="宋体" w:hAnsi="宋体" w:cs="宋体"/>
          <w:color w:val="000000"/>
          <w:sz w:val="24"/>
        </w:rPr>
      </w:pPr>
      <w:r>
        <w:rPr>
          <w:rFonts w:hint="eastAsia" w:ascii="宋体" w:hAnsi="宋体" w:cs="宋体"/>
          <w:color w:val="000000"/>
          <w:sz w:val="24"/>
        </w:rPr>
        <w:t>（1）磋商文件由磋商文件总目录所列内容组成；磋商供应商应详细阅读磋商文件中所有的事项、格式、条款和规范要求,在磋商响应文件中对磋商文件的各方面都应做出实质性的响应，按照磋商文件的要求提交全部资料。</w:t>
      </w:r>
    </w:p>
    <w:p w14:paraId="13289165">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color w:val="000000"/>
          <w:kern w:val="2"/>
        </w:rPr>
      </w:pPr>
      <w:r>
        <w:rPr>
          <w:rFonts w:hint="eastAsia"/>
          <w:color w:val="000000"/>
          <w:kern w:val="2"/>
        </w:rPr>
        <w:t>（2）采购项目需要落实的政府采购政策：依据《中华人民共和国政府采购法》和《中华人民共和国政府采购实施条例》的有关规定，落实政府采购政策。</w:t>
      </w:r>
    </w:p>
    <w:p w14:paraId="2416261D">
      <w:pPr>
        <w:keepNext w:val="0"/>
        <w:keepLines w:val="0"/>
        <w:pageBreakBefore w:val="0"/>
        <w:kinsoku/>
        <w:wordWrap/>
        <w:overflowPunct/>
        <w:topLinePunct w:val="0"/>
        <w:autoSpaceDE/>
        <w:autoSpaceDN/>
        <w:bidi w:val="0"/>
        <w:adjustRightInd/>
        <w:snapToGrid/>
        <w:spacing w:line="360" w:lineRule="auto"/>
        <w:ind w:right="0" w:firstLine="480" w:firstLineChars="200"/>
        <w:textAlignment w:val="auto"/>
        <w:rPr>
          <w:rFonts w:ascii="宋体" w:hAnsi="宋体" w:cs="宋体"/>
          <w:color w:val="000000"/>
          <w:sz w:val="24"/>
        </w:rPr>
      </w:pPr>
      <w:r>
        <w:rPr>
          <w:rFonts w:hint="eastAsia" w:ascii="宋体" w:hAnsi="宋体" w:cs="宋体"/>
          <w:color w:val="000000"/>
          <w:sz w:val="24"/>
        </w:rPr>
        <w:t>1）《政府采购促进中小企业发展管理办法》（财库﹝2020﹞46号）</w:t>
      </w:r>
    </w:p>
    <w:p w14:paraId="46DFD33B">
      <w:pPr>
        <w:keepNext w:val="0"/>
        <w:keepLines w:val="0"/>
        <w:pageBreakBefore w:val="0"/>
        <w:kinsoku/>
        <w:wordWrap/>
        <w:overflowPunct/>
        <w:topLinePunct w:val="0"/>
        <w:autoSpaceDE/>
        <w:autoSpaceDN/>
        <w:bidi w:val="0"/>
        <w:adjustRightInd/>
        <w:snapToGrid/>
        <w:spacing w:line="360" w:lineRule="auto"/>
        <w:ind w:right="0" w:firstLine="480" w:firstLineChars="200"/>
        <w:textAlignment w:val="auto"/>
        <w:rPr>
          <w:rFonts w:ascii="宋体" w:hAnsi="宋体" w:cs="宋体"/>
          <w:color w:val="000000"/>
          <w:sz w:val="24"/>
        </w:rPr>
      </w:pPr>
      <w:r>
        <w:rPr>
          <w:rFonts w:hint="eastAsia" w:ascii="宋体" w:hAnsi="宋体" w:cs="宋体"/>
          <w:color w:val="000000"/>
          <w:sz w:val="24"/>
        </w:rPr>
        <w:t xml:space="preserve">2）财政部司法部关于政府采购支持监狱企业发展有关问题的通知--财库〔2014〕68号 </w:t>
      </w:r>
    </w:p>
    <w:p w14:paraId="68FC092C">
      <w:pPr>
        <w:keepNext w:val="0"/>
        <w:keepLines w:val="0"/>
        <w:pageBreakBefore w:val="0"/>
        <w:kinsoku/>
        <w:wordWrap/>
        <w:overflowPunct/>
        <w:topLinePunct w:val="0"/>
        <w:autoSpaceDE/>
        <w:autoSpaceDN/>
        <w:bidi w:val="0"/>
        <w:adjustRightInd/>
        <w:snapToGrid/>
        <w:spacing w:line="360" w:lineRule="auto"/>
        <w:ind w:right="0" w:firstLine="480" w:firstLineChars="200"/>
        <w:textAlignment w:val="auto"/>
        <w:rPr>
          <w:rFonts w:ascii="宋体" w:hAnsi="宋体" w:cs="宋体"/>
          <w:color w:val="000000"/>
          <w:sz w:val="24"/>
        </w:rPr>
      </w:pPr>
      <w:r>
        <w:rPr>
          <w:rFonts w:hint="eastAsia" w:ascii="宋体" w:hAnsi="宋体" w:cs="宋体"/>
          <w:color w:val="000000"/>
          <w:sz w:val="24"/>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p>
    <w:p w14:paraId="79BC03FD">
      <w:pPr>
        <w:keepNext w:val="0"/>
        <w:keepLines w:val="0"/>
        <w:pageBreakBefore w:val="0"/>
        <w:kinsoku/>
        <w:wordWrap/>
        <w:overflowPunct/>
        <w:topLinePunct w:val="0"/>
        <w:autoSpaceDE/>
        <w:autoSpaceDN/>
        <w:bidi w:val="0"/>
        <w:adjustRightInd/>
        <w:snapToGrid/>
        <w:spacing w:line="360" w:lineRule="auto"/>
        <w:ind w:right="0" w:firstLine="480" w:firstLineChars="200"/>
        <w:textAlignment w:val="auto"/>
        <w:rPr>
          <w:rFonts w:ascii="宋体" w:hAnsi="宋体" w:cs="宋体"/>
          <w:color w:val="000000"/>
          <w:sz w:val="24"/>
        </w:rPr>
      </w:pPr>
      <w:r>
        <w:rPr>
          <w:rFonts w:hint="eastAsia" w:ascii="宋体" w:hAnsi="宋体" w:cs="宋体"/>
          <w:color w:val="000000"/>
          <w:sz w:val="24"/>
        </w:rPr>
        <w:t>3）《国务院办公厅关于建立政府强制采购节能产品制度的通知》--国办发〔2007〕51号</w:t>
      </w:r>
    </w:p>
    <w:p w14:paraId="584224EC">
      <w:pPr>
        <w:keepNext w:val="0"/>
        <w:keepLines w:val="0"/>
        <w:pageBreakBefore w:val="0"/>
        <w:kinsoku/>
        <w:wordWrap/>
        <w:overflowPunct/>
        <w:topLinePunct w:val="0"/>
        <w:autoSpaceDE/>
        <w:autoSpaceDN/>
        <w:bidi w:val="0"/>
        <w:adjustRightInd/>
        <w:snapToGrid/>
        <w:spacing w:line="360" w:lineRule="auto"/>
        <w:ind w:right="0" w:firstLine="480" w:firstLineChars="200"/>
        <w:textAlignment w:val="auto"/>
        <w:rPr>
          <w:rFonts w:ascii="宋体" w:hAnsi="宋体" w:cs="宋体"/>
          <w:color w:val="000000"/>
          <w:sz w:val="24"/>
        </w:rPr>
      </w:pPr>
      <w:r>
        <w:rPr>
          <w:rFonts w:hint="eastAsia" w:ascii="宋体" w:hAnsi="宋体" w:cs="宋体"/>
          <w:color w:val="000000"/>
          <w:sz w:val="24"/>
        </w:rPr>
        <w:t>各级政府机构使用财政性资金进行政府采购活动时，在技术、服务等指标满足采购需求的前提下，要优先采购节能产品，对部分节能效果、性能等达到要求的产品，实行强制采购。</w:t>
      </w:r>
    </w:p>
    <w:p w14:paraId="111BBC19">
      <w:pPr>
        <w:keepNext w:val="0"/>
        <w:keepLines w:val="0"/>
        <w:pageBreakBefore w:val="0"/>
        <w:kinsoku/>
        <w:wordWrap/>
        <w:overflowPunct/>
        <w:topLinePunct w:val="0"/>
        <w:autoSpaceDE/>
        <w:autoSpaceDN/>
        <w:bidi w:val="0"/>
        <w:adjustRightInd/>
        <w:snapToGrid/>
        <w:spacing w:line="360" w:lineRule="auto"/>
        <w:ind w:right="0" w:firstLine="480" w:firstLineChars="200"/>
        <w:textAlignment w:val="auto"/>
        <w:rPr>
          <w:rFonts w:ascii="宋体" w:hAnsi="宋体" w:cs="宋体"/>
          <w:color w:val="000000"/>
          <w:sz w:val="24"/>
        </w:rPr>
      </w:pPr>
      <w:r>
        <w:rPr>
          <w:rFonts w:hint="eastAsia" w:ascii="宋体" w:hAnsi="宋体" w:cs="宋体"/>
          <w:color w:val="000000"/>
          <w:sz w:val="24"/>
          <w:lang w:val="en-US" w:eastAsia="zh-CN"/>
        </w:rPr>
        <w:t>4</w:t>
      </w:r>
      <w:r>
        <w:rPr>
          <w:rFonts w:hint="eastAsia" w:ascii="宋体" w:hAnsi="宋体" w:cs="宋体"/>
          <w:color w:val="000000"/>
          <w:sz w:val="24"/>
        </w:rPr>
        <w:t>）《关于促进残疾人就业政府采购政策的通知》--财库〔2017〕141号</w:t>
      </w:r>
    </w:p>
    <w:p w14:paraId="697E2FB7">
      <w:pPr>
        <w:keepNext w:val="0"/>
        <w:keepLines w:val="0"/>
        <w:pageBreakBefore w:val="0"/>
        <w:kinsoku/>
        <w:wordWrap/>
        <w:overflowPunct/>
        <w:topLinePunct w:val="0"/>
        <w:autoSpaceDE/>
        <w:autoSpaceDN/>
        <w:bidi w:val="0"/>
        <w:adjustRightInd/>
        <w:snapToGrid/>
        <w:spacing w:line="360" w:lineRule="auto"/>
        <w:ind w:right="0" w:firstLine="480" w:firstLineChars="200"/>
        <w:textAlignment w:val="auto"/>
        <w:rPr>
          <w:rFonts w:ascii="宋体" w:hAnsi="宋体" w:cs="宋体"/>
          <w:color w:val="000000"/>
          <w:sz w:val="24"/>
        </w:rPr>
      </w:pPr>
      <w:r>
        <w:rPr>
          <w:rFonts w:hint="eastAsia" w:ascii="宋体" w:hAnsi="宋体" w:cs="宋体"/>
          <w:color w:val="000000"/>
          <w:sz w:val="24"/>
        </w:rPr>
        <w:t>符合条件的残疾人福利性单位在参加政府采购活动时，应提供本通知规定的《残疾人福利性单位声明函》，并对声明的真实性负责。</w:t>
      </w:r>
    </w:p>
    <w:p w14:paraId="65998A8F">
      <w:pPr>
        <w:keepNext w:val="0"/>
        <w:keepLines w:val="0"/>
        <w:pageBreakBefore w:val="0"/>
        <w:kinsoku/>
        <w:wordWrap/>
        <w:overflowPunct/>
        <w:topLinePunct w:val="0"/>
        <w:autoSpaceDE/>
        <w:autoSpaceDN/>
        <w:bidi w:val="0"/>
        <w:adjustRightInd/>
        <w:snapToGrid/>
        <w:spacing w:line="360" w:lineRule="auto"/>
        <w:ind w:right="0" w:firstLine="480" w:firstLineChars="200"/>
        <w:textAlignment w:val="auto"/>
        <w:rPr>
          <w:rFonts w:ascii="宋体" w:hAnsi="宋体" w:cs="宋体"/>
          <w:color w:val="000000"/>
          <w:sz w:val="24"/>
        </w:rPr>
      </w:pPr>
      <w:r>
        <w:rPr>
          <w:rFonts w:hint="eastAsia" w:ascii="宋体" w:hAnsi="宋体" w:cs="宋体"/>
          <w:color w:val="000000"/>
          <w:sz w:val="24"/>
        </w:rPr>
        <w:t>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7EEB572E">
      <w:pPr>
        <w:pStyle w:val="2"/>
        <w:keepNext w:val="0"/>
        <w:keepLines w:val="0"/>
        <w:pageBreakBefore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cs="宋体"/>
          <w:color w:val="000000"/>
          <w:sz w:val="24"/>
        </w:rPr>
      </w:pPr>
      <w:r>
        <w:rPr>
          <w:rFonts w:hint="eastAsia" w:ascii="宋体" w:hAnsi="宋体" w:cs="宋体"/>
          <w:color w:val="000000"/>
          <w:sz w:val="24"/>
          <w:lang w:val="en-US" w:eastAsia="zh-CN"/>
        </w:rPr>
        <w:t>5</w:t>
      </w:r>
      <w:r>
        <w:rPr>
          <w:rFonts w:hint="eastAsia" w:ascii="宋体" w:hAnsi="宋体" w:cs="宋体"/>
          <w:color w:val="000000"/>
          <w:sz w:val="24"/>
        </w:rPr>
        <w:t>）</w:t>
      </w:r>
      <w:r>
        <w:rPr>
          <w:rFonts w:hint="eastAsia" w:ascii="宋体" w:hAnsi="宋体" w:eastAsia="宋体" w:cs="宋体"/>
          <w:i w:val="0"/>
          <w:iCs w:val="0"/>
          <w:caps w:val="0"/>
          <w:color w:val="auto"/>
          <w:spacing w:val="0"/>
          <w:kern w:val="0"/>
          <w:sz w:val="24"/>
          <w:szCs w:val="24"/>
          <w:highlight w:val="none"/>
          <w:u w:val="none"/>
          <w:lang w:val="en-US" w:eastAsia="zh-CN" w:bidi="ar-SA"/>
        </w:rPr>
        <w:t>《财政部发展改革委生态环境部市场监管总局关于调整优化节能产品、环境标志产品政府采购执行机制的通知》（财库〔2019〕9号）；</w:t>
      </w:r>
    </w:p>
    <w:p w14:paraId="3AA3D024">
      <w:pPr>
        <w:pStyle w:val="2"/>
        <w:keepNext w:val="0"/>
        <w:keepLines w:val="0"/>
        <w:pageBreakBefore w:val="0"/>
        <w:kinsoku/>
        <w:wordWrap/>
        <w:overflowPunct/>
        <w:topLinePunct w:val="0"/>
        <w:autoSpaceDE/>
        <w:autoSpaceDN/>
        <w:bidi w:val="0"/>
        <w:adjustRightInd/>
        <w:snapToGrid/>
        <w:spacing w:line="360" w:lineRule="auto"/>
        <w:ind w:right="0" w:firstLine="472" w:firstLineChars="200"/>
        <w:textAlignment w:val="auto"/>
        <w:rPr>
          <w:rFonts w:hint="eastAsia" w:asciiTheme="minorEastAsia" w:hAnsiTheme="minorEastAsia" w:eastAsiaTheme="minorEastAsia" w:cstheme="minorEastAsia"/>
          <w:color w:val="auto"/>
          <w:spacing w:val="-2"/>
          <w:lang w:val="en-US" w:eastAsia="zh-CN"/>
        </w:rPr>
      </w:pPr>
      <w:r>
        <w:rPr>
          <w:rFonts w:hint="eastAsia" w:asciiTheme="minorEastAsia" w:hAnsiTheme="minorEastAsia" w:eastAsiaTheme="minorEastAsia" w:cstheme="minorEastAsia"/>
          <w:color w:val="auto"/>
          <w:spacing w:val="-2"/>
          <w:lang w:val="en-US" w:eastAsia="zh-CN"/>
        </w:rPr>
        <w:t>6）《关于印发环境标志产品政府采购品目清单的通知》（财库〔2019〕18号）；</w:t>
      </w:r>
    </w:p>
    <w:p w14:paraId="11246E29">
      <w:pPr>
        <w:pStyle w:val="2"/>
        <w:keepNext w:val="0"/>
        <w:keepLines w:val="0"/>
        <w:pageBreakBefore w:val="0"/>
        <w:kinsoku/>
        <w:wordWrap/>
        <w:overflowPunct/>
        <w:topLinePunct w:val="0"/>
        <w:autoSpaceDE/>
        <w:autoSpaceDN/>
        <w:bidi w:val="0"/>
        <w:adjustRightInd/>
        <w:snapToGrid/>
        <w:spacing w:line="360" w:lineRule="auto"/>
        <w:ind w:right="0" w:firstLine="472" w:firstLineChars="200"/>
        <w:textAlignment w:val="auto"/>
        <w:rPr>
          <w:rFonts w:asciiTheme="minorEastAsia" w:hAnsiTheme="minorEastAsia" w:eastAsiaTheme="minorEastAsia" w:cstheme="minorEastAsia"/>
          <w:color w:val="auto"/>
          <w:spacing w:val="-2"/>
        </w:rPr>
      </w:pPr>
      <w:r>
        <w:rPr>
          <w:rFonts w:hint="eastAsia" w:asciiTheme="minorEastAsia" w:hAnsiTheme="minorEastAsia" w:eastAsiaTheme="minorEastAsia" w:cstheme="minorEastAsia"/>
          <w:color w:val="auto"/>
          <w:spacing w:val="-2"/>
          <w:lang w:val="en-US" w:eastAsia="zh-CN"/>
        </w:rPr>
        <w:t>7</w:t>
      </w:r>
      <w:r>
        <w:rPr>
          <w:rFonts w:hint="eastAsia" w:asciiTheme="minorEastAsia" w:hAnsiTheme="minorEastAsia" w:eastAsiaTheme="minorEastAsia" w:cstheme="minorEastAsia"/>
          <w:color w:val="auto"/>
          <w:spacing w:val="-2"/>
        </w:rPr>
        <w:t>）</w:t>
      </w:r>
      <w:r>
        <w:rPr>
          <w:rFonts w:hint="eastAsia" w:asciiTheme="minorEastAsia" w:hAnsiTheme="minorEastAsia" w:cstheme="minorEastAsia"/>
          <w:color w:val="000000" w:themeColor="text1"/>
          <w14:textFill>
            <w14:solidFill>
              <w14:schemeClr w14:val="tx1"/>
            </w14:solidFill>
          </w14:textFill>
        </w:rPr>
        <w:t>《关于运用政府采购政策支持乡村产业振兴的通知》财库〔2021〕19号；</w:t>
      </w:r>
    </w:p>
    <w:p w14:paraId="676A6DB7">
      <w:pPr>
        <w:pStyle w:val="2"/>
        <w:keepNext w:val="0"/>
        <w:keepLines w:val="0"/>
        <w:pageBreakBefore w:val="0"/>
        <w:kinsoku/>
        <w:wordWrap/>
        <w:overflowPunct/>
        <w:topLinePunct w:val="0"/>
        <w:autoSpaceDE/>
        <w:autoSpaceDN/>
        <w:bidi w:val="0"/>
        <w:adjustRightInd/>
        <w:snapToGrid/>
        <w:spacing w:line="360" w:lineRule="auto"/>
        <w:ind w:right="0" w:firstLine="472" w:firstLineChars="200"/>
        <w:textAlignment w:val="auto"/>
        <w:rPr>
          <w:rFonts w:hint="eastAsia" w:asciiTheme="minorEastAsia" w:hAnsiTheme="minorEastAsia" w:eastAsiaTheme="minorEastAsia" w:cstheme="minorEastAsia"/>
          <w:color w:val="auto"/>
          <w:spacing w:val="-2"/>
          <w:lang w:eastAsia="zh-CN"/>
        </w:rPr>
      </w:pPr>
      <w:r>
        <w:rPr>
          <w:rFonts w:hint="eastAsia" w:asciiTheme="minorEastAsia" w:hAnsiTheme="minorEastAsia" w:eastAsiaTheme="minorEastAsia" w:cstheme="minorEastAsia"/>
          <w:color w:val="auto"/>
          <w:spacing w:val="-2"/>
          <w:lang w:val="en-US" w:eastAsia="zh-CN"/>
        </w:rPr>
        <w:t>8</w:t>
      </w:r>
      <w:r>
        <w:rPr>
          <w:rFonts w:hint="eastAsia" w:asciiTheme="minorEastAsia" w:hAnsiTheme="minorEastAsia" w:eastAsiaTheme="minorEastAsia" w:cstheme="minorEastAsia"/>
          <w:color w:val="auto"/>
          <w:spacing w:val="-2"/>
        </w:rPr>
        <w:t>）《陕西省中小企业政府采购信用融资办法》（陕财办采〔2018〕23号）</w:t>
      </w:r>
      <w:r>
        <w:rPr>
          <w:rFonts w:hint="eastAsia" w:asciiTheme="minorEastAsia" w:hAnsiTheme="minorEastAsia" w:eastAsiaTheme="minorEastAsia" w:cstheme="minorEastAsia"/>
          <w:color w:val="auto"/>
          <w:spacing w:val="-2"/>
          <w:lang w:eastAsia="zh-CN"/>
        </w:rPr>
        <w:t>；</w:t>
      </w:r>
    </w:p>
    <w:p w14:paraId="51D2C7E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jc w:val="both"/>
        <w:textAlignment w:val="baseline"/>
      </w:pP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9）</w:t>
      </w:r>
      <w:r>
        <w:rPr>
          <w:rFonts w:hint="eastAsia" w:ascii="宋体" w:hAnsi="宋体" w:cs="宋体"/>
          <w:i w:val="0"/>
          <w:iCs w:val="0"/>
          <w:caps w:val="0"/>
          <w:color w:val="auto"/>
          <w:spacing w:val="0"/>
          <w:kern w:val="0"/>
          <w:sz w:val="24"/>
          <w:szCs w:val="24"/>
          <w:highlight w:val="none"/>
          <w:u w:val="none"/>
          <w:lang w:val="en-US" w:eastAsia="zh-CN" w:bidi="ar-SA"/>
        </w:rPr>
        <w:t>《关于扩大政府采购支持绿色建材促进建筑品质提升政策实施范围的通知》（财库〔2022〕35号）；</w:t>
      </w:r>
    </w:p>
    <w:p w14:paraId="7EA18347">
      <w:pPr>
        <w:keepNext w:val="0"/>
        <w:keepLines w:val="0"/>
        <w:pageBreakBefore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）如有最新颁布的政府采购政策，按最新的文件执行。</w:t>
      </w:r>
    </w:p>
    <w:p w14:paraId="3DFDACAA">
      <w:pPr>
        <w:spacing w:line="460" w:lineRule="exact"/>
        <w:ind w:firstLine="426" w:firstLineChars="177"/>
        <w:rPr>
          <w:rFonts w:ascii="宋体" w:hAnsi="宋体" w:cs="宋体"/>
          <w:color w:val="000000"/>
          <w:sz w:val="24"/>
        </w:rPr>
      </w:pPr>
      <w:r>
        <w:rPr>
          <w:rFonts w:hint="eastAsia" w:ascii="宋体" w:hAnsi="宋体" w:cs="宋体"/>
          <w:b/>
          <w:color w:val="000000"/>
          <w:sz w:val="24"/>
        </w:rPr>
        <w:t>2．磋商文件的澄清</w:t>
      </w:r>
    </w:p>
    <w:p w14:paraId="57C315DE">
      <w:pPr>
        <w:spacing w:line="460" w:lineRule="exact"/>
        <w:ind w:firstLine="480" w:firstLineChars="200"/>
        <w:rPr>
          <w:rFonts w:ascii="宋体" w:hAnsi="宋体" w:cs="宋体"/>
          <w:bCs/>
          <w:color w:val="000000"/>
          <w:sz w:val="24"/>
        </w:rPr>
      </w:pPr>
      <w:r>
        <w:rPr>
          <w:rFonts w:hint="eastAsia" w:ascii="宋体" w:hAnsi="宋体" w:cs="宋体"/>
          <w:color w:val="000000"/>
          <w:sz w:val="24"/>
        </w:rPr>
        <w:t>任何要求对磋商文件进行澄清的磋商供应商，均应在磋商截止期前按磋商文件中的通讯地址以书面形式通知采购代理机构，采购代理机构对收到的书面澄清将以书面形式在磋商截止期前予以答复，并通知其它</w:t>
      </w:r>
      <w:r>
        <w:rPr>
          <w:rFonts w:hint="eastAsia" w:ascii="宋体" w:hAnsi="宋体" w:cs="宋体"/>
          <w:color w:val="000000"/>
          <w:sz w:val="24"/>
          <w:lang w:eastAsia="zh-CN"/>
        </w:rPr>
        <w:t>获取</w:t>
      </w:r>
      <w:r>
        <w:rPr>
          <w:rFonts w:hint="eastAsia" w:ascii="宋体" w:hAnsi="宋体" w:cs="宋体"/>
          <w:color w:val="000000"/>
          <w:sz w:val="24"/>
        </w:rPr>
        <w:t>磋商文件的磋商供应商。</w:t>
      </w:r>
      <w:r>
        <w:rPr>
          <w:rFonts w:hint="eastAsia" w:ascii="宋体" w:hAnsi="宋体" w:cs="宋体"/>
          <w:bCs/>
          <w:color w:val="000000"/>
          <w:sz w:val="24"/>
        </w:rPr>
        <w:t>对磋商文件中有难以理解或参数有疑义的内容，须在规定时间内提交书面资料，否则视为对磋商文件再无疑义，因此带来的一切不利后果由磋商供应商自负。</w:t>
      </w:r>
    </w:p>
    <w:p w14:paraId="4EFC5949">
      <w:pPr>
        <w:spacing w:line="360" w:lineRule="auto"/>
        <w:ind w:firstLine="480" w:firstLineChars="200"/>
        <w:rPr>
          <w:rFonts w:ascii="宋体" w:hAnsi="宋体" w:cs="宋体"/>
          <w:color w:val="000000"/>
          <w:sz w:val="24"/>
        </w:rPr>
      </w:pPr>
      <w:r>
        <w:rPr>
          <w:rFonts w:hint="eastAsia" w:ascii="宋体" w:hAnsi="宋体" w:cs="宋体"/>
          <w:color w:val="000000"/>
          <w:sz w:val="24"/>
        </w:rPr>
        <w:t>2.1质疑和投诉（供应商须在法定质疑期内一次性提出针对同一采购程序环节的质疑）。</w:t>
      </w:r>
    </w:p>
    <w:p w14:paraId="423E3043">
      <w:pPr>
        <w:pStyle w:val="2"/>
        <w:spacing w:line="360" w:lineRule="auto"/>
        <w:ind w:firstLine="480" w:firstLineChars="200"/>
        <w:rPr>
          <w:rFonts w:hint="eastAsia" w:ascii="宋体" w:hAnsi="宋体" w:eastAsia="宋体" w:cs="宋体"/>
          <w:color w:val="auto"/>
          <w:highlight w:val="none"/>
        </w:rPr>
      </w:pPr>
      <w:r>
        <w:rPr>
          <w:rFonts w:hint="eastAsia" w:ascii="宋体" w:hAnsi="宋体" w:cs="宋体"/>
          <w:color w:val="000000"/>
        </w:rPr>
        <w:t>供应商如果认为采购文件中涉及的采购需求（包括供应商资格条件、评审要素及分值设置、采购内容和要求、合同条款等）使自身的合法权益受到损害，可以在法定期限内，以书面形式向采购人提出质疑；供应商如果认为采购程序、采购过程或成交结果使自身的合法权益受到损害，可以在法定期限内，以书面形式向代理机构提出质疑。</w:t>
      </w:r>
      <w:r>
        <w:rPr>
          <w:rFonts w:hint="eastAsia" w:ascii="宋体" w:hAnsi="宋体" w:eastAsia="宋体" w:cs="宋体"/>
          <w:color w:val="auto"/>
          <w:highlight w:val="none"/>
        </w:rPr>
        <w:t>符合要求的质疑，采购代理机构将予以受理并答复，具体联系方式如下：</w:t>
      </w:r>
    </w:p>
    <w:p w14:paraId="57A3DDDB">
      <w:pPr>
        <w:pStyle w:val="2"/>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eastAsia="zh-CN"/>
        </w:rPr>
        <w:t>柴静、赵悦</w:t>
      </w:r>
      <w:r>
        <w:rPr>
          <w:rFonts w:hint="eastAsia" w:ascii="宋体" w:hAnsi="宋体" w:cs="宋体"/>
          <w:color w:val="auto"/>
          <w:highlight w:val="none"/>
          <w:lang w:eastAsia="zh-CN"/>
        </w:rPr>
        <w:t>、张佳音</w:t>
      </w:r>
    </w:p>
    <w:p w14:paraId="627A173A">
      <w:pPr>
        <w:pStyle w:val="2"/>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联系电话：029-</w:t>
      </w:r>
      <w:r>
        <w:rPr>
          <w:rFonts w:hint="eastAsia" w:ascii="宋体" w:hAnsi="宋体" w:eastAsia="宋体" w:cs="宋体"/>
          <w:color w:val="auto"/>
          <w:highlight w:val="none"/>
          <w:lang w:eastAsia="zh-CN"/>
        </w:rPr>
        <w:t>82665555转</w:t>
      </w:r>
      <w:r>
        <w:rPr>
          <w:rFonts w:hint="eastAsia" w:ascii="宋体" w:hAnsi="宋体" w:eastAsia="宋体" w:cs="宋体"/>
          <w:color w:val="auto"/>
          <w:highlight w:val="none"/>
        </w:rPr>
        <w:t>800</w:t>
      </w:r>
      <w:r>
        <w:rPr>
          <w:rFonts w:hint="eastAsia" w:ascii="宋体" w:hAnsi="宋体" w:eastAsia="宋体" w:cs="宋体"/>
          <w:color w:val="auto"/>
          <w:highlight w:val="none"/>
          <w:lang w:val="en-US" w:eastAsia="zh-CN"/>
        </w:rPr>
        <w:t>3</w:t>
      </w:r>
    </w:p>
    <w:p w14:paraId="29D41F08">
      <w:pPr>
        <w:pStyle w:val="2"/>
        <w:spacing w:line="360" w:lineRule="auto"/>
        <w:ind w:firstLine="480" w:firstLineChars="200"/>
        <w:rPr>
          <w:rFonts w:ascii="宋体" w:hAnsi="宋体" w:cs="宋体"/>
          <w:color w:val="000000"/>
        </w:rPr>
      </w:pPr>
      <w:r>
        <w:rPr>
          <w:rFonts w:hint="eastAsia" w:ascii="宋体" w:hAnsi="宋体" w:cs="宋体"/>
          <w:color w:val="000000"/>
        </w:rPr>
        <w:t>2.2质疑函应当包括以下主要内容：供应商的姓名或者名称、地址、邮编、联系人及联系电话；质疑项目的名称、编号；具体、明确的质疑事项和与质疑事项相关的请求；事实依据；必要的法律依据；提出质疑的日期。</w:t>
      </w:r>
    </w:p>
    <w:p w14:paraId="657FFA41">
      <w:pPr>
        <w:pStyle w:val="2"/>
        <w:spacing w:line="360" w:lineRule="auto"/>
        <w:ind w:firstLine="480" w:firstLineChars="200"/>
        <w:rPr>
          <w:rFonts w:ascii="宋体" w:hAnsi="宋体" w:cs="宋体"/>
          <w:color w:val="000000"/>
        </w:rPr>
      </w:pPr>
      <w:r>
        <w:rPr>
          <w:rFonts w:hint="eastAsia" w:ascii="宋体" w:hAnsi="宋体" w:cs="宋体"/>
          <w:color w:val="000000"/>
        </w:rPr>
        <w:t>2.3质疑人为自然人的，应当由本人签字；质疑人为法人或者其他组织的，应当由法定代表人，或者其授权代表签字或者盖章，并加盖公章。授权代表办理质疑事项时，除提交质疑函外，还应当提交授权委托书及授权代表的有效身份证明，授权委托书应当载明委托代理的具体权限和事项。</w:t>
      </w:r>
    </w:p>
    <w:p w14:paraId="035AE990">
      <w:pPr>
        <w:pStyle w:val="2"/>
        <w:spacing w:line="360" w:lineRule="auto"/>
        <w:ind w:firstLine="480" w:firstLineChars="200"/>
        <w:rPr>
          <w:rFonts w:ascii="宋体" w:hAnsi="宋体" w:cs="宋体"/>
          <w:color w:val="000000"/>
        </w:rPr>
      </w:pPr>
      <w:r>
        <w:rPr>
          <w:rFonts w:hint="eastAsia" w:ascii="宋体" w:hAnsi="宋体" w:cs="宋体"/>
          <w:color w:val="000000"/>
        </w:rPr>
        <w:t>2.4有下列情形之一的，属于无效质疑，代理机构和采购人不予受理：</w:t>
      </w:r>
    </w:p>
    <w:p w14:paraId="2CD0D840">
      <w:pPr>
        <w:pStyle w:val="2"/>
        <w:spacing w:line="360" w:lineRule="auto"/>
        <w:ind w:firstLine="480" w:firstLineChars="200"/>
        <w:rPr>
          <w:rFonts w:ascii="宋体" w:hAnsi="宋体" w:cs="宋体"/>
          <w:color w:val="000000"/>
        </w:rPr>
      </w:pPr>
      <w:r>
        <w:rPr>
          <w:rFonts w:hint="eastAsia" w:ascii="宋体" w:hAnsi="宋体" w:cs="宋体"/>
          <w:color w:val="000000"/>
        </w:rPr>
        <w:t>（1）质疑人不是参与本次政府采购项目的供应商或潜在供应商；</w:t>
      </w:r>
    </w:p>
    <w:p w14:paraId="0F29C803">
      <w:pPr>
        <w:pStyle w:val="2"/>
        <w:spacing w:line="360" w:lineRule="auto"/>
        <w:ind w:firstLine="480" w:firstLineChars="200"/>
        <w:rPr>
          <w:rFonts w:ascii="宋体" w:hAnsi="宋体" w:cs="宋体"/>
          <w:color w:val="000000"/>
        </w:rPr>
      </w:pPr>
      <w:r>
        <w:rPr>
          <w:rFonts w:hint="eastAsia" w:ascii="宋体" w:hAnsi="宋体" w:cs="宋体"/>
          <w:color w:val="000000"/>
        </w:rPr>
        <w:t>（2）质疑人与质疑事项不存在利害关系的；</w:t>
      </w:r>
    </w:p>
    <w:p w14:paraId="2E8E9E51">
      <w:pPr>
        <w:pStyle w:val="2"/>
        <w:spacing w:line="360" w:lineRule="auto"/>
        <w:ind w:firstLine="480" w:firstLineChars="200"/>
        <w:rPr>
          <w:rFonts w:ascii="宋体" w:hAnsi="宋体" w:cs="宋体"/>
          <w:color w:val="000000"/>
        </w:rPr>
      </w:pPr>
      <w:r>
        <w:rPr>
          <w:rFonts w:hint="eastAsia" w:ascii="宋体" w:hAnsi="宋体" w:cs="宋体"/>
          <w:color w:val="000000"/>
        </w:rPr>
        <w:t>（3）未在法定期限内提出质疑的；</w:t>
      </w:r>
    </w:p>
    <w:p w14:paraId="74273416">
      <w:pPr>
        <w:pStyle w:val="2"/>
        <w:spacing w:line="360" w:lineRule="auto"/>
        <w:ind w:firstLine="480" w:firstLineChars="200"/>
        <w:rPr>
          <w:rFonts w:ascii="宋体" w:hAnsi="宋体" w:cs="宋体"/>
          <w:color w:val="000000"/>
        </w:rPr>
      </w:pPr>
      <w:r>
        <w:rPr>
          <w:rFonts w:hint="eastAsia" w:ascii="宋体" w:hAnsi="宋体" w:cs="宋体"/>
          <w:color w:val="000000"/>
        </w:rPr>
        <w:t>（4）质疑未以书面形式提出，或质疑函主要内容构成不完整的，或缺乏必要的证明材料及证明材料不完整的；</w:t>
      </w:r>
    </w:p>
    <w:p w14:paraId="75C448CE">
      <w:pPr>
        <w:pStyle w:val="2"/>
        <w:spacing w:line="360" w:lineRule="auto"/>
        <w:ind w:firstLine="480" w:firstLineChars="200"/>
        <w:rPr>
          <w:rFonts w:ascii="宋体" w:hAnsi="宋体" w:cs="宋体"/>
          <w:color w:val="000000"/>
        </w:rPr>
      </w:pPr>
      <w:r>
        <w:rPr>
          <w:rFonts w:hint="eastAsia" w:ascii="宋体" w:hAnsi="宋体" w:cs="宋体"/>
          <w:color w:val="000000"/>
        </w:rPr>
        <w:t>（5）质疑函没有合法有效的签字、盖章或授权的；</w:t>
      </w:r>
    </w:p>
    <w:p w14:paraId="12A151A1">
      <w:pPr>
        <w:pStyle w:val="2"/>
        <w:spacing w:line="360" w:lineRule="auto"/>
        <w:ind w:firstLine="480" w:firstLineChars="200"/>
        <w:rPr>
          <w:rFonts w:ascii="宋体" w:hAnsi="宋体" w:cs="宋体"/>
          <w:color w:val="000000"/>
        </w:rPr>
      </w:pPr>
      <w:r>
        <w:rPr>
          <w:rFonts w:hint="eastAsia" w:ascii="宋体" w:hAnsi="宋体" w:cs="宋体"/>
          <w:color w:val="000000"/>
        </w:rPr>
        <w:t>（6）以非法手段取得证据、材料的；</w:t>
      </w:r>
    </w:p>
    <w:p w14:paraId="2D8DCAA7">
      <w:pPr>
        <w:pStyle w:val="2"/>
        <w:spacing w:line="360" w:lineRule="auto"/>
        <w:ind w:firstLine="480" w:firstLineChars="200"/>
        <w:rPr>
          <w:rFonts w:ascii="宋体" w:hAnsi="宋体" w:cs="宋体"/>
          <w:color w:val="000000"/>
        </w:rPr>
      </w:pPr>
      <w:r>
        <w:rPr>
          <w:rFonts w:hint="eastAsia" w:ascii="宋体" w:hAnsi="宋体" w:cs="宋体"/>
          <w:color w:val="000000"/>
        </w:rPr>
        <w:t>（7）质疑答复后，同一质疑人就同一事项再次提出质疑的；</w:t>
      </w:r>
    </w:p>
    <w:p w14:paraId="08AE9160">
      <w:pPr>
        <w:pStyle w:val="2"/>
        <w:spacing w:line="360" w:lineRule="auto"/>
        <w:ind w:firstLine="480" w:firstLineChars="200"/>
        <w:rPr>
          <w:rFonts w:ascii="宋体" w:hAnsi="宋体" w:cs="宋体"/>
          <w:color w:val="000000"/>
        </w:rPr>
      </w:pPr>
      <w:r>
        <w:rPr>
          <w:rFonts w:hint="eastAsia" w:ascii="宋体" w:hAnsi="宋体" w:cs="宋体"/>
          <w:color w:val="000000"/>
        </w:rPr>
        <w:t>（8）不符合法律、法规、规章和政府采购监管机构规定的其他条件的。</w:t>
      </w:r>
    </w:p>
    <w:p w14:paraId="68606064">
      <w:pPr>
        <w:pStyle w:val="2"/>
        <w:spacing w:line="360" w:lineRule="auto"/>
        <w:ind w:firstLine="480" w:firstLineChars="200"/>
        <w:rPr>
          <w:rFonts w:ascii="宋体" w:hAnsi="宋体" w:cs="宋体"/>
          <w:color w:val="000000"/>
        </w:rPr>
      </w:pPr>
      <w:r>
        <w:rPr>
          <w:rFonts w:hint="eastAsia" w:ascii="宋体" w:hAnsi="宋体" w:cs="宋体"/>
          <w:color w:val="000000"/>
        </w:rPr>
        <w:t>2.5代理机构或采购人将在收到书面质疑后7个工作日内做出答复，并以书面形式通知质疑人和其他有关供应商。</w:t>
      </w:r>
    </w:p>
    <w:p w14:paraId="746A8E00">
      <w:pPr>
        <w:pStyle w:val="2"/>
        <w:spacing w:line="360" w:lineRule="auto"/>
        <w:ind w:firstLine="480" w:firstLineChars="200"/>
        <w:rPr>
          <w:rFonts w:ascii="宋体" w:hAnsi="宋体" w:cs="宋体"/>
          <w:color w:val="000000"/>
        </w:rPr>
      </w:pPr>
      <w:r>
        <w:rPr>
          <w:rFonts w:hint="eastAsia" w:ascii="宋体" w:hAnsi="宋体" w:cs="宋体"/>
          <w:color w:val="000000"/>
        </w:rPr>
        <w:t>2.6质疑人对代理机构或采购人的答复不满意，以及代理机构或采购人未在规定时间内做出答复的，可以在答复期满后15个工作日内向政府采购监管机构提出投诉。</w:t>
      </w:r>
    </w:p>
    <w:p w14:paraId="6E16202A">
      <w:pPr>
        <w:pStyle w:val="2"/>
        <w:spacing w:line="360" w:lineRule="auto"/>
        <w:ind w:firstLine="480" w:firstLineChars="200"/>
        <w:rPr>
          <w:rFonts w:ascii="宋体" w:hAnsi="宋体" w:cs="宋体"/>
          <w:color w:val="000000"/>
        </w:rPr>
      </w:pPr>
      <w:r>
        <w:rPr>
          <w:rFonts w:hint="eastAsia" w:ascii="宋体" w:hAnsi="宋体" w:cs="宋体"/>
          <w:color w:val="000000"/>
        </w:rPr>
        <w:t>2.7供应商投诉的事项不得超出已质疑事项的范围。</w:t>
      </w:r>
    </w:p>
    <w:p w14:paraId="07736D36">
      <w:pPr>
        <w:pStyle w:val="2"/>
        <w:spacing w:line="360" w:lineRule="auto"/>
        <w:ind w:firstLine="480" w:firstLineChars="200"/>
        <w:rPr>
          <w:rFonts w:ascii="宋体" w:hAnsi="宋体" w:cs="宋体"/>
          <w:color w:val="000000"/>
        </w:rPr>
      </w:pPr>
      <w:r>
        <w:rPr>
          <w:rFonts w:hint="eastAsia" w:ascii="宋体" w:hAnsi="宋体" w:cs="宋体"/>
          <w:color w:val="000000"/>
        </w:rPr>
        <w:t>2.8对捏造事实、提供虚假材料进行质疑、投诉的行为予以严肃处理：</w:t>
      </w:r>
    </w:p>
    <w:p w14:paraId="2F51958A">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000000"/>
        </w:rPr>
      </w:pPr>
      <w:r>
        <w:rPr>
          <w:rFonts w:hint="eastAsia" w:ascii="宋体" w:hAnsi="宋体" w:cs="宋体"/>
          <w:color w:val="000000"/>
        </w:rPr>
        <w:t>依据《中华人民共和国政府采购法》及其实施条例、《中华人民共和国招标投标法》及其实施条例、《政府采购供应商投诉处理办法》等法律法规的规定，供应商质疑、投诉应当有明确的请求和必要的证明材料。对于捏造事实、提供虚假材料或者以非法手段取得证明材料进行投诉的，财政部门应当予以驳回，并将其列入不良行为记录名单，禁止其一至三年内参加政府采购活动。</w:t>
      </w:r>
    </w:p>
    <w:p w14:paraId="4E5A5E05">
      <w:pPr>
        <w:pStyle w:val="2"/>
        <w:spacing w:line="360" w:lineRule="auto"/>
        <w:ind w:firstLine="480" w:firstLineChars="200"/>
        <w:rPr>
          <w:rFonts w:ascii="宋体" w:hAnsi="宋体" w:cs="宋体"/>
          <w:color w:val="000000"/>
        </w:rPr>
      </w:pPr>
      <w:r>
        <w:rPr>
          <w:rFonts w:hint="eastAsia" w:ascii="宋体" w:hAnsi="宋体" w:cs="宋体"/>
          <w:color w:val="000000"/>
        </w:rPr>
        <w:t>2.9对捏造事实诬告陷害他人、诽谤他人的法律适用：</w:t>
      </w:r>
    </w:p>
    <w:p w14:paraId="65589D19">
      <w:pPr>
        <w:pStyle w:val="2"/>
        <w:spacing w:line="360" w:lineRule="auto"/>
        <w:ind w:firstLine="480" w:firstLineChars="200"/>
        <w:rPr>
          <w:rFonts w:ascii="宋体" w:hAnsi="宋体" w:cs="宋体"/>
          <w:color w:val="000000"/>
        </w:rPr>
      </w:pPr>
      <w:r>
        <w:rPr>
          <w:rFonts w:hint="eastAsia" w:ascii="宋体" w:hAnsi="宋体" w:cs="宋体"/>
          <w:color w:val="000000"/>
        </w:rPr>
        <w:t>《中华人民共和国刑法》第243条【诬告陷害罪】捏造事实诬告陷害他人，意图使他人受刑事追究，情节严重的，处三年以下有期徒刑、拘役或者管制；造成严重后果的，处三年以上十年以下有期徒刑。</w:t>
      </w:r>
    </w:p>
    <w:p w14:paraId="718A51AE">
      <w:pPr>
        <w:pStyle w:val="2"/>
        <w:spacing w:line="360" w:lineRule="auto"/>
        <w:ind w:firstLine="480" w:firstLineChars="200"/>
      </w:pPr>
      <w:r>
        <w:rPr>
          <w:rFonts w:hint="eastAsia" w:ascii="宋体" w:hAnsi="宋体" w:cs="宋体"/>
          <w:color w:val="000000"/>
        </w:rPr>
        <w:t>《中华人民共和国刑法》第246条【侮辱罪、诽谤罪】以暴力或者其他方法公然侮辱他人或者捏造事实诽谤他人，情节严重的，处三年以下有期徒刑、拘役、管制或者剥夺政治权利。</w:t>
      </w:r>
    </w:p>
    <w:p w14:paraId="273D4080">
      <w:pPr>
        <w:jc w:val="center"/>
        <w:rPr>
          <w:rFonts w:ascii="宋体" w:hAnsi="宋体" w:cs="宋体"/>
          <w:b/>
          <w:bCs/>
          <w:color w:val="000000"/>
          <w:sz w:val="28"/>
          <w:szCs w:val="28"/>
        </w:rPr>
      </w:pPr>
      <w:r>
        <w:rPr>
          <w:rFonts w:hint="eastAsia" w:ascii="宋体" w:hAnsi="宋体" w:cs="宋体"/>
          <w:b/>
          <w:bCs/>
          <w:color w:val="000000"/>
          <w:sz w:val="28"/>
          <w:szCs w:val="28"/>
        </w:rPr>
        <w:br w:type="page"/>
      </w:r>
    </w:p>
    <w:p w14:paraId="7002BA5C">
      <w:pPr>
        <w:jc w:val="center"/>
        <w:rPr>
          <w:rFonts w:ascii="宋体" w:hAnsi="宋体" w:cs="宋体"/>
          <w:b/>
          <w:bCs/>
          <w:sz w:val="28"/>
          <w:szCs w:val="28"/>
        </w:rPr>
      </w:pPr>
      <w:r>
        <w:rPr>
          <w:rFonts w:hint="eastAsia" w:ascii="宋体" w:hAnsi="宋体" w:cs="宋体"/>
          <w:b/>
          <w:bCs/>
          <w:color w:val="000000"/>
          <w:sz w:val="28"/>
          <w:szCs w:val="28"/>
        </w:rPr>
        <w:t>附件：质疑函范本</w:t>
      </w:r>
    </w:p>
    <w:tbl>
      <w:tblPr>
        <w:tblStyle w:val="20"/>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0"/>
      </w:tblGrid>
      <w:tr w14:paraId="527E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0" w:hRule="atLeast"/>
        </w:trPr>
        <w:tc>
          <w:tcPr>
            <w:tcW w:w="9500" w:type="dxa"/>
          </w:tcPr>
          <w:p w14:paraId="687F7052">
            <w:pPr>
              <w:pStyle w:val="2"/>
              <w:ind w:firstLine="480" w:firstLineChars="200"/>
              <w:rPr>
                <w:rFonts w:ascii="宋体" w:hAnsi="宋体" w:cs="宋体"/>
                <w:color w:val="000000"/>
              </w:rPr>
            </w:pPr>
            <w:r>
              <w:rPr>
                <w:rFonts w:hint="eastAsia" w:ascii="宋体" w:hAnsi="宋体" w:cs="宋体"/>
                <w:color w:val="000000"/>
              </w:rPr>
              <w:t>一、质疑供应商基本信息</w:t>
            </w:r>
          </w:p>
          <w:p w14:paraId="6BF95005">
            <w:pPr>
              <w:pStyle w:val="2"/>
              <w:ind w:firstLine="480" w:firstLineChars="200"/>
              <w:rPr>
                <w:rFonts w:ascii="宋体" w:hAnsi="宋体" w:cs="宋体"/>
                <w:color w:val="000000"/>
              </w:rPr>
            </w:pPr>
            <w:r>
              <w:rPr>
                <w:rFonts w:hint="eastAsia" w:ascii="宋体" w:hAnsi="宋体" w:cs="宋体"/>
                <w:color w:val="000000"/>
              </w:rPr>
              <w:t>质疑供应商</w:t>
            </w:r>
          </w:p>
          <w:p w14:paraId="5142C12A">
            <w:pPr>
              <w:pStyle w:val="2"/>
              <w:ind w:firstLine="480" w:firstLineChars="200"/>
              <w:rPr>
                <w:rFonts w:ascii="宋体" w:hAnsi="宋体" w:cs="宋体"/>
                <w:color w:val="000000"/>
              </w:rPr>
            </w:pPr>
            <w:r>
              <w:rPr>
                <w:rFonts w:hint="eastAsia" w:ascii="宋体" w:hAnsi="宋体" w:cs="宋体"/>
                <w:color w:val="000000"/>
              </w:rPr>
              <w:t>地址：                                       邮编：</w:t>
            </w:r>
          </w:p>
          <w:p w14:paraId="1D6582E6">
            <w:pPr>
              <w:pStyle w:val="2"/>
              <w:ind w:firstLine="480" w:firstLineChars="200"/>
              <w:rPr>
                <w:rFonts w:ascii="宋体" w:hAnsi="宋体" w:cs="宋体"/>
                <w:color w:val="000000"/>
              </w:rPr>
            </w:pPr>
            <w:r>
              <w:rPr>
                <w:rFonts w:hint="eastAsia" w:ascii="宋体" w:hAnsi="宋体" w:cs="宋体"/>
                <w:color w:val="000000"/>
              </w:rPr>
              <w:t>联系人：                                     联系电话</w:t>
            </w:r>
          </w:p>
          <w:p w14:paraId="7C6FAADB">
            <w:pPr>
              <w:pStyle w:val="2"/>
              <w:ind w:firstLine="480" w:firstLineChars="200"/>
              <w:rPr>
                <w:rFonts w:ascii="宋体" w:hAnsi="宋体" w:cs="宋体"/>
                <w:color w:val="000000"/>
              </w:rPr>
            </w:pPr>
            <w:r>
              <w:rPr>
                <w:rFonts w:hint="eastAsia" w:ascii="宋体" w:hAnsi="宋体" w:cs="宋体"/>
                <w:color w:val="000000"/>
              </w:rPr>
              <w:t>授权代表：</w:t>
            </w:r>
          </w:p>
          <w:p w14:paraId="6F244CD2">
            <w:pPr>
              <w:pStyle w:val="2"/>
              <w:ind w:firstLine="480" w:firstLineChars="200"/>
              <w:rPr>
                <w:rFonts w:ascii="宋体" w:hAnsi="宋体" w:cs="宋体"/>
                <w:color w:val="000000"/>
              </w:rPr>
            </w:pPr>
            <w:r>
              <w:rPr>
                <w:rFonts w:hint="eastAsia" w:ascii="宋体" w:hAnsi="宋体" w:cs="宋体"/>
                <w:color w:val="000000"/>
              </w:rPr>
              <w:t>联系电话：</w:t>
            </w:r>
          </w:p>
          <w:p w14:paraId="00F1BEA1">
            <w:pPr>
              <w:pStyle w:val="2"/>
              <w:ind w:firstLine="480" w:firstLineChars="200"/>
              <w:rPr>
                <w:rFonts w:ascii="宋体" w:hAnsi="宋体" w:cs="宋体"/>
                <w:color w:val="000000"/>
              </w:rPr>
            </w:pPr>
            <w:r>
              <w:rPr>
                <w:rFonts w:hint="eastAsia" w:ascii="宋体" w:hAnsi="宋体" w:cs="宋体"/>
                <w:color w:val="000000"/>
              </w:rPr>
              <w:t>地址：                                       邮编：</w:t>
            </w:r>
          </w:p>
          <w:p w14:paraId="6BC17D06">
            <w:pPr>
              <w:pStyle w:val="2"/>
              <w:ind w:firstLine="480" w:firstLineChars="200"/>
              <w:rPr>
                <w:rFonts w:ascii="宋体" w:hAnsi="宋体" w:cs="宋体"/>
                <w:color w:val="000000"/>
              </w:rPr>
            </w:pPr>
            <w:r>
              <w:rPr>
                <w:rFonts w:hint="eastAsia" w:ascii="宋体" w:hAnsi="宋体" w:cs="宋体"/>
                <w:color w:val="000000"/>
              </w:rPr>
              <w:t>二、质疑项目基本情况</w:t>
            </w:r>
          </w:p>
          <w:p w14:paraId="4917151C">
            <w:pPr>
              <w:pStyle w:val="2"/>
              <w:ind w:firstLine="480" w:firstLineChars="200"/>
              <w:rPr>
                <w:rFonts w:ascii="宋体" w:hAnsi="宋体" w:cs="宋体"/>
                <w:color w:val="000000"/>
              </w:rPr>
            </w:pPr>
            <w:r>
              <w:rPr>
                <w:rFonts w:hint="eastAsia" w:ascii="宋体" w:hAnsi="宋体" w:cs="宋体"/>
                <w:color w:val="000000"/>
              </w:rPr>
              <w:t>质疑项目的名称：</w:t>
            </w:r>
          </w:p>
          <w:p w14:paraId="049B597A">
            <w:pPr>
              <w:pStyle w:val="2"/>
              <w:ind w:firstLine="480" w:firstLineChars="200"/>
              <w:rPr>
                <w:rFonts w:ascii="宋体" w:hAnsi="宋体" w:cs="宋体"/>
                <w:color w:val="000000"/>
              </w:rPr>
            </w:pPr>
            <w:r>
              <w:rPr>
                <w:rFonts w:hint="eastAsia" w:ascii="宋体" w:hAnsi="宋体" w:cs="宋体"/>
                <w:color w:val="000000"/>
              </w:rPr>
              <w:t>质疑项目的编号：</w:t>
            </w:r>
          </w:p>
          <w:p w14:paraId="459F01C7">
            <w:pPr>
              <w:pStyle w:val="2"/>
              <w:ind w:firstLine="480" w:firstLineChars="200"/>
              <w:rPr>
                <w:rFonts w:ascii="宋体" w:hAnsi="宋体" w:cs="宋体"/>
                <w:color w:val="000000"/>
              </w:rPr>
            </w:pPr>
            <w:r>
              <w:rPr>
                <w:rFonts w:hint="eastAsia" w:ascii="宋体" w:hAnsi="宋体" w:cs="宋体"/>
                <w:color w:val="000000"/>
              </w:rPr>
              <w:t>包号：</w:t>
            </w:r>
          </w:p>
          <w:p w14:paraId="713F057A">
            <w:pPr>
              <w:pStyle w:val="2"/>
              <w:ind w:firstLine="480" w:firstLineChars="200"/>
              <w:rPr>
                <w:rFonts w:ascii="宋体" w:hAnsi="宋体" w:cs="宋体"/>
                <w:color w:val="000000"/>
              </w:rPr>
            </w:pPr>
            <w:r>
              <w:rPr>
                <w:rFonts w:hint="eastAsia" w:ascii="宋体" w:hAnsi="宋体" w:cs="宋体"/>
                <w:color w:val="000000"/>
              </w:rPr>
              <w:t>采购人名称：</w:t>
            </w:r>
          </w:p>
          <w:p w14:paraId="31E0F4F5">
            <w:pPr>
              <w:pStyle w:val="2"/>
              <w:ind w:firstLine="480" w:firstLineChars="200"/>
              <w:rPr>
                <w:rFonts w:ascii="宋体" w:hAnsi="宋体" w:cs="宋体"/>
                <w:color w:val="000000"/>
              </w:rPr>
            </w:pPr>
            <w:r>
              <w:rPr>
                <w:rFonts w:hint="eastAsia" w:ascii="宋体" w:hAnsi="宋体" w:cs="宋体"/>
                <w:color w:val="000000"/>
              </w:rPr>
              <w:t>采购文件获取日期：</w:t>
            </w:r>
          </w:p>
          <w:p w14:paraId="1781550A">
            <w:pPr>
              <w:pStyle w:val="2"/>
              <w:ind w:firstLine="480" w:firstLineChars="200"/>
              <w:rPr>
                <w:rFonts w:ascii="宋体" w:hAnsi="宋体" w:cs="宋体"/>
                <w:color w:val="000000"/>
              </w:rPr>
            </w:pPr>
            <w:r>
              <w:rPr>
                <w:rFonts w:hint="eastAsia" w:ascii="宋体" w:hAnsi="宋体" w:cs="宋体"/>
                <w:color w:val="000000"/>
              </w:rPr>
              <w:t>三、质疑项目具体内容</w:t>
            </w:r>
          </w:p>
          <w:p w14:paraId="38F3F400">
            <w:pPr>
              <w:pStyle w:val="2"/>
              <w:ind w:firstLine="480" w:firstLineChars="200"/>
              <w:rPr>
                <w:rFonts w:ascii="宋体" w:hAnsi="宋体" w:cs="宋体"/>
                <w:color w:val="000000"/>
              </w:rPr>
            </w:pPr>
            <w:r>
              <w:rPr>
                <w:rFonts w:hint="eastAsia" w:ascii="宋体" w:hAnsi="宋体" w:cs="宋体"/>
                <w:color w:val="000000"/>
              </w:rPr>
              <w:t>质疑事项1：</w:t>
            </w:r>
          </w:p>
          <w:p w14:paraId="1948D53A">
            <w:pPr>
              <w:pStyle w:val="2"/>
              <w:ind w:firstLine="480" w:firstLineChars="200"/>
              <w:rPr>
                <w:rFonts w:ascii="宋体" w:hAnsi="宋体" w:cs="宋体"/>
                <w:color w:val="000000"/>
              </w:rPr>
            </w:pPr>
            <w:r>
              <w:rPr>
                <w:rFonts w:hint="eastAsia" w:ascii="宋体" w:hAnsi="宋体" w:cs="宋体"/>
                <w:color w:val="000000"/>
              </w:rPr>
              <w:t>事实依据：</w:t>
            </w:r>
          </w:p>
          <w:p w14:paraId="43B2660B">
            <w:pPr>
              <w:pStyle w:val="2"/>
              <w:ind w:firstLine="480" w:firstLineChars="200"/>
              <w:rPr>
                <w:rFonts w:ascii="宋体" w:hAnsi="宋体" w:cs="宋体"/>
                <w:color w:val="000000"/>
              </w:rPr>
            </w:pPr>
            <w:r>
              <w:rPr>
                <w:rFonts w:hint="eastAsia" w:ascii="宋体" w:hAnsi="宋体" w:cs="宋体"/>
                <w:color w:val="000000"/>
              </w:rPr>
              <w:t>法律依据</w:t>
            </w:r>
          </w:p>
          <w:p w14:paraId="0D91862C">
            <w:pPr>
              <w:pStyle w:val="2"/>
              <w:ind w:firstLine="480" w:firstLineChars="200"/>
              <w:rPr>
                <w:rFonts w:ascii="宋体" w:hAnsi="宋体" w:cs="宋体"/>
                <w:color w:val="000000"/>
              </w:rPr>
            </w:pPr>
            <w:r>
              <w:rPr>
                <w:rFonts w:hint="eastAsia" w:ascii="宋体" w:hAnsi="宋体" w:cs="宋体"/>
                <w:color w:val="000000"/>
              </w:rPr>
              <w:t>质疑事项2：</w:t>
            </w:r>
          </w:p>
          <w:p w14:paraId="5BD17986">
            <w:pPr>
              <w:pStyle w:val="2"/>
              <w:ind w:firstLine="480" w:firstLineChars="200"/>
              <w:rPr>
                <w:rFonts w:ascii="宋体" w:hAnsi="宋体" w:cs="宋体"/>
                <w:color w:val="000000"/>
              </w:rPr>
            </w:pPr>
            <w:r>
              <w:rPr>
                <w:rFonts w:hint="eastAsia" w:ascii="宋体" w:hAnsi="宋体" w:cs="宋体"/>
                <w:color w:val="000000"/>
              </w:rPr>
              <w:t>四、与质疑事项相关的质疑请求</w:t>
            </w:r>
          </w:p>
          <w:p w14:paraId="6BF947B2">
            <w:pPr>
              <w:pStyle w:val="2"/>
              <w:ind w:firstLine="480" w:firstLineChars="200"/>
              <w:rPr>
                <w:rFonts w:ascii="宋体" w:hAnsi="宋体" w:cs="宋体"/>
                <w:color w:val="000000"/>
              </w:rPr>
            </w:pPr>
            <w:r>
              <w:rPr>
                <w:rFonts w:hint="eastAsia" w:ascii="宋体" w:hAnsi="宋体" w:cs="宋体"/>
                <w:color w:val="000000"/>
              </w:rPr>
              <w:t>请求：</w:t>
            </w:r>
          </w:p>
          <w:p w14:paraId="17658322">
            <w:pPr>
              <w:pStyle w:val="2"/>
              <w:ind w:firstLine="480" w:firstLineChars="200"/>
              <w:rPr>
                <w:rFonts w:ascii="宋体" w:hAnsi="宋体" w:cs="宋体"/>
                <w:color w:val="000000"/>
              </w:rPr>
            </w:pPr>
            <w:r>
              <w:rPr>
                <w:rFonts w:hint="eastAsia" w:ascii="宋体" w:hAnsi="宋体" w:cs="宋体"/>
                <w:color w:val="000000"/>
              </w:rPr>
              <w:t>签字（签章）：                          公章：</w:t>
            </w:r>
          </w:p>
          <w:p w14:paraId="7385A5FB">
            <w:pPr>
              <w:pStyle w:val="2"/>
              <w:ind w:firstLine="480" w:firstLineChars="200"/>
              <w:rPr>
                <w:rFonts w:ascii="宋体" w:hAnsi="宋体" w:cs="宋体"/>
              </w:rPr>
            </w:pPr>
            <w:r>
              <w:rPr>
                <w:rFonts w:hint="eastAsia" w:ascii="宋体" w:hAnsi="宋体" w:cs="宋体"/>
                <w:color w:val="000000"/>
              </w:rPr>
              <w:t>日期：</w:t>
            </w:r>
          </w:p>
        </w:tc>
      </w:tr>
    </w:tbl>
    <w:p w14:paraId="66026163">
      <w:pPr>
        <w:spacing w:line="460" w:lineRule="exact"/>
        <w:ind w:firstLine="241" w:firstLineChars="100"/>
        <w:rPr>
          <w:rFonts w:ascii="宋体" w:hAnsi="宋体" w:cs="宋体"/>
          <w:b/>
          <w:color w:val="000000"/>
          <w:sz w:val="24"/>
        </w:rPr>
      </w:pPr>
      <w:r>
        <w:rPr>
          <w:rFonts w:hint="eastAsia" w:ascii="宋体" w:hAnsi="宋体" w:cs="宋体"/>
          <w:b/>
          <w:color w:val="000000"/>
          <w:sz w:val="24"/>
        </w:rPr>
        <w:t>3．磋商文件的修改</w:t>
      </w:r>
    </w:p>
    <w:p w14:paraId="7AA8ED24">
      <w:pPr>
        <w:spacing w:line="460" w:lineRule="exact"/>
        <w:ind w:firstLine="240" w:firstLineChars="100"/>
        <w:rPr>
          <w:rFonts w:ascii="宋体" w:hAnsi="宋体" w:cs="宋体"/>
          <w:color w:val="000000"/>
          <w:sz w:val="24"/>
        </w:rPr>
      </w:pPr>
      <w:r>
        <w:rPr>
          <w:rFonts w:hint="eastAsia" w:ascii="宋体" w:hAnsi="宋体" w:cs="宋体"/>
          <w:color w:val="000000"/>
          <w:sz w:val="24"/>
        </w:rPr>
        <w:t>（1）采购代理机构对已发出的磋商文件进行必要澄清或者修改的，在磋商文件要求提交磋商响应文件截止时间五日前，以书面形式通知所有</w:t>
      </w:r>
      <w:r>
        <w:rPr>
          <w:rFonts w:hint="eastAsia" w:ascii="宋体" w:hAnsi="宋体" w:cs="宋体"/>
          <w:color w:val="000000"/>
          <w:sz w:val="24"/>
          <w:lang w:eastAsia="zh-CN"/>
        </w:rPr>
        <w:t>获取</w:t>
      </w:r>
      <w:r>
        <w:rPr>
          <w:rFonts w:hint="eastAsia" w:ascii="宋体" w:hAnsi="宋体" w:cs="宋体"/>
          <w:color w:val="000000"/>
          <w:sz w:val="24"/>
        </w:rPr>
        <w:t>磋商文件的磋商供应商，该澄清或者修改的内容作为磋商文件的组成部分，与其具有同等法律效力；</w:t>
      </w:r>
    </w:p>
    <w:p w14:paraId="0EF1D0B3">
      <w:pPr>
        <w:spacing w:line="460" w:lineRule="exact"/>
        <w:ind w:firstLine="240" w:firstLineChars="100"/>
        <w:rPr>
          <w:rFonts w:ascii="宋体" w:hAnsi="宋体" w:cs="宋体"/>
          <w:color w:val="000000"/>
          <w:sz w:val="24"/>
        </w:rPr>
      </w:pPr>
      <w:r>
        <w:rPr>
          <w:rFonts w:hint="eastAsia" w:ascii="宋体" w:hAnsi="宋体" w:cs="宋体"/>
          <w:color w:val="000000"/>
          <w:sz w:val="24"/>
        </w:rPr>
        <w:t>（2）为方便磋商供应商对磋商文件修改或澄清内容有充分的时间进行补充修改，采购代理机构可延长磋商截止时间和磋商时间，均应在磋商文件要求提交磋商响应文件的截止时间五日前，将变更时间书面通知所有</w:t>
      </w:r>
      <w:r>
        <w:rPr>
          <w:rFonts w:hint="eastAsia" w:ascii="宋体" w:hAnsi="宋体" w:cs="宋体"/>
          <w:color w:val="000000"/>
          <w:sz w:val="24"/>
          <w:lang w:eastAsia="zh-CN"/>
        </w:rPr>
        <w:t>获取</w:t>
      </w:r>
      <w:r>
        <w:rPr>
          <w:rFonts w:hint="eastAsia" w:ascii="宋体" w:hAnsi="宋体" w:cs="宋体"/>
          <w:color w:val="000000"/>
          <w:sz w:val="24"/>
        </w:rPr>
        <w:t>磋商文件的磋商供应商。</w:t>
      </w:r>
    </w:p>
    <w:p w14:paraId="536918BF">
      <w:pPr>
        <w:spacing w:line="460" w:lineRule="exact"/>
        <w:ind w:firstLine="120" w:firstLineChars="50"/>
        <w:rPr>
          <w:rFonts w:hint="eastAsia" w:ascii="宋体" w:hAnsi="宋体" w:eastAsia="宋体" w:cs="宋体"/>
          <w:b/>
          <w:color w:val="000000"/>
          <w:sz w:val="24"/>
          <w:lang w:eastAsia="zh-CN"/>
        </w:rPr>
      </w:pPr>
      <w:r>
        <w:rPr>
          <w:rFonts w:hint="eastAsia" w:ascii="宋体" w:hAnsi="宋体" w:cs="宋体"/>
          <w:b/>
          <w:color w:val="000000"/>
          <w:sz w:val="24"/>
        </w:rPr>
        <w:t>4.磋商文件的</w:t>
      </w:r>
      <w:r>
        <w:rPr>
          <w:rFonts w:hint="eastAsia" w:ascii="宋体" w:hAnsi="宋体" w:cs="宋体"/>
          <w:b/>
          <w:color w:val="000000"/>
          <w:sz w:val="24"/>
          <w:lang w:eastAsia="zh-CN"/>
        </w:rPr>
        <w:t>获取</w:t>
      </w:r>
    </w:p>
    <w:p w14:paraId="2BADF756">
      <w:pPr>
        <w:spacing w:line="460" w:lineRule="exact"/>
        <w:ind w:firstLine="480" w:firstLineChars="200"/>
        <w:rPr>
          <w:rFonts w:ascii="宋体" w:hAnsi="宋体" w:cs="宋体"/>
          <w:color w:val="000000"/>
          <w:sz w:val="24"/>
        </w:rPr>
      </w:pPr>
      <w:r>
        <w:rPr>
          <w:rFonts w:hint="eastAsia" w:ascii="宋体" w:hAnsi="宋体" w:cs="宋体"/>
          <w:color w:val="000000"/>
          <w:sz w:val="24"/>
        </w:rPr>
        <w:t>磋商供应商必须从采购代理机构</w:t>
      </w:r>
      <w:r>
        <w:rPr>
          <w:rFonts w:hint="eastAsia" w:ascii="宋体" w:hAnsi="宋体" w:cs="宋体"/>
          <w:color w:val="000000"/>
          <w:sz w:val="24"/>
          <w:lang w:eastAsia="zh-CN"/>
        </w:rPr>
        <w:t>获取</w:t>
      </w:r>
      <w:r>
        <w:rPr>
          <w:rFonts w:hint="eastAsia" w:ascii="宋体" w:hAnsi="宋体" w:cs="宋体"/>
          <w:color w:val="000000"/>
          <w:sz w:val="24"/>
        </w:rPr>
        <w:t>磋商文件，磋商供应商自行转让或复制的磋商文件视为无效文件；磋商文件一经售出，一律不退，仅作为本次磋商使用。</w:t>
      </w:r>
    </w:p>
    <w:p w14:paraId="38DA2F6D">
      <w:pPr>
        <w:spacing w:line="460" w:lineRule="exact"/>
        <w:ind w:firstLine="120" w:firstLineChars="50"/>
        <w:rPr>
          <w:rFonts w:ascii="宋体" w:hAnsi="宋体" w:cs="宋体"/>
          <w:b/>
          <w:color w:val="000000"/>
          <w:sz w:val="24"/>
        </w:rPr>
      </w:pPr>
      <w:r>
        <w:rPr>
          <w:rFonts w:hint="eastAsia" w:ascii="宋体" w:hAnsi="宋体" w:cs="宋体"/>
          <w:b/>
          <w:color w:val="000000"/>
          <w:sz w:val="24"/>
        </w:rPr>
        <w:t>5.磋商的处理依据</w:t>
      </w:r>
    </w:p>
    <w:p w14:paraId="7D158E1F">
      <w:pPr>
        <w:spacing w:line="460" w:lineRule="exact"/>
        <w:ind w:firstLine="480" w:firstLineChars="200"/>
        <w:rPr>
          <w:rFonts w:ascii="宋体" w:hAnsi="宋体" w:cs="宋体"/>
          <w:color w:val="000000"/>
          <w:sz w:val="24"/>
        </w:rPr>
      </w:pPr>
      <w:r>
        <w:rPr>
          <w:rFonts w:hint="eastAsia" w:ascii="宋体" w:hAnsi="宋体" w:cs="宋体"/>
          <w:color w:val="000000"/>
          <w:sz w:val="24"/>
        </w:rPr>
        <w:t>根据《中华人民共和国政府采购法》和《政府采购竞争性磋商采购方式管理暂行办法》的条款，本着公开、公平、公正的原则进行处理。</w:t>
      </w:r>
    </w:p>
    <w:p w14:paraId="3048693B">
      <w:pPr>
        <w:spacing w:line="460" w:lineRule="exact"/>
        <w:ind w:firstLine="120" w:firstLineChars="50"/>
        <w:rPr>
          <w:rFonts w:ascii="宋体" w:hAnsi="宋体" w:cs="宋体"/>
          <w:b/>
          <w:color w:val="000000"/>
          <w:sz w:val="24"/>
        </w:rPr>
      </w:pPr>
      <w:r>
        <w:rPr>
          <w:rFonts w:hint="eastAsia" w:ascii="宋体" w:hAnsi="宋体" w:cs="宋体"/>
          <w:b/>
          <w:color w:val="000000"/>
          <w:sz w:val="24"/>
        </w:rPr>
        <w:t>6.解释权归属</w:t>
      </w:r>
    </w:p>
    <w:p w14:paraId="22A48144">
      <w:pPr>
        <w:spacing w:line="460" w:lineRule="exact"/>
        <w:ind w:firstLine="480" w:firstLineChars="200"/>
        <w:rPr>
          <w:rFonts w:ascii="宋体" w:hAnsi="宋体" w:cs="宋体"/>
          <w:color w:val="000000"/>
          <w:sz w:val="24"/>
        </w:rPr>
      </w:pPr>
      <w:r>
        <w:rPr>
          <w:rFonts w:hint="eastAsia" w:ascii="宋体" w:hAnsi="宋体" w:cs="宋体"/>
          <w:color w:val="000000"/>
          <w:sz w:val="24"/>
        </w:rPr>
        <w:t>本次磋商文件的解释权归采购代理机构。</w:t>
      </w:r>
    </w:p>
    <w:p w14:paraId="57A7AC76">
      <w:pPr>
        <w:jc w:val="center"/>
        <w:rPr>
          <w:rFonts w:ascii="宋体" w:hAnsi="宋体" w:cs="宋体"/>
          <w:color w:val="000000"/>
          <w:sz w:val="30"/>
          <w:szCs w:val="30"/>
        </w:rPr>
      </w:pPr>
      <w:r>
        <w:rPr>
          <w:rFonts w:hint="eastAsia" w:ascii="宋体" w:hAnsi="宋体" w:cs="宋体"/>
          <w:b/>
          <w:color w:val="000000"/>
          <w:sz w:val="30"/>
          <w:szCs w:val="30"/>
        </w:rPr>
        <w:t>四、磋商要求</w:t>
      </w:r>
    </w:p>
    <w:p w14:paraId="09BF60D1">
      <w:pPr>
        <w:spacing w:line="360" w:lineRule="auto"/>
        <w:ind w:firstLine="120" w:firstLineChars="50"/>
        <w:rPr>
          <w:rFonts w:ascii="宋体" w:hAnsi="宋体" w:cs="宋体"/>
          <w:b/>
          <w:color w:val="000000"/>
          <w:sz w:val="24"/>
        </w:rPr>
      </w:pPr>
      <w:r>
        <w:rPr>
          <w:rFonts w:hint="eastAsia" w:ascii="宋体" w:hAnsi="宋体" w:cs="宋体"/>
          <w:b/>
          <w:color w:val="000000"/>
          <w:sz w:val="24"/>
        </w:rPr>
        <w:t>1.磋商内容</w:t>
      </w:r>
    </w:p>
    <w:p w14:paraId="55FCD6C4">
      <w:pPr>
        <w:kinsoku w:val="0"/>
        <w:spacing w:line="360" w:lineRule="auto"/>
        <w:ind w:firstLine="480" w:firstLineChars="200"/>
        <w:rPr>
          <w:rFonts w:ascii="宋体" w:hAnsi="宋体" w:cs="宋体"/>
          <w:color w:val="000000"/>
          <w:spacing w:val="-6"/>
          <w:sz w:val="24"/>
        </w:rPr>
      </w:pPr>
      <w:r>
        <w:rPr>
          <w:rFonts w:hint="eastAsia" w:ascii="宋体" w:hAnsi="宋体" w:cs="宋体"/>
          <w:color w:val="000000"/>
          <w:sz w:val="24"/>
        </w:rPr>
        <w:t>本次磋商为：</w:t>
      </w:r>
      <w:r>
        <w:rPr>
          <w:rFonts w:hint="eastAsia" w:asciiTheme="minorEastAsia" w:hAnsiTheme="minorEastAsia" w:eastAsiaTheme="minorEastAsia" w:cstheme="minorEastAsia"/>
          <w:sz w:val="24"/>
          <w:lang w:eastAsia="zh-CN"/>
        </w:rPr>
        <w:t>陕西省公安厅寄递物流业治安管理信息系统运维项目</w:t>
      </w:r>
      <w:r>
        <w:rPr>
          <w:rFonts w:hint="eastAsia" w:ascii="宋体" w:hAnsi="宋体" w:cs="宋体"/>
          <w:color w:val="000000"/>
          <w:sz w:val="24"/>
        </w:rPr>
        <w:t>。磋商供应商可根据自身的资质情况对项目进行磋商，不得将其子目再行分解或只响应其中的一部分内容，否则磋商无效；开标、阅标、磋商、成交、签订合同均以项目为单位进行。</w:t>
      </w:r>
    </w:p>
    <w:p w14:paraId="5975655E">
      <w:pPr>
        <w:kinsoku w:val="0"/>
        <w:spacing w:line="360" w:lineRule="auto"/>
        <w:rPr>
          <w:rFonts w:ascii="宋体" w:hAnsi="宋体" w:cs="宋体"/>
          <w:b/>
          <w:bCs/>
          <w:color w:val="000000"/>
          <w:sz w:val="24"/>
        </w:rPr>
      </w:pPr>
      <w:r>
        <w:rPr>
          <w:rFonts w:hint="eastAsia" w:ascii="宋体" w:hAnsi="宋体" w:cs="宋体"/>
          <w:b/>
          <w:bCs/>
          <w:color w:val="000000"/>
          <w:sz w:val="24"/>
        </w:rPr>
        <w:t>2.磋商供应商须提交以下资质证明文件：</w:t>
      </w:r>
    </w:p>
    <w:p w14:paraId="7883E48A">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w:t>
      </w:r>
      <w:r>
        <w:rPr>
          <w:rFonts w:hint="eastAsia" w:ascii="宋体" w:hAnsi="宋体" w:cs="宋体"/>
          <w:spacing w:val="0"/>
          <w:position w:val="0"/>
          <w:sz w:val="24"/>
          <w:szCs w:val="24"/>
          <w:lang w:val="en-US" w:eastAsia="zh-CN"/>
        </w:rPr>
        <w:t>.</w:t>
      </w:r>
      <w:r>
        <w:rPr>
          <w:rFonts w:hint="eastAsia" w:ascii="宋体" w:hAnsi="宋体" w:eastAsia="宋体" w:cs="宋体"/>
          <w:spacing w:val="0"/>
          <w:position w:val="0"/>
          <w:sz w:val="24"/>
          <w:szCs w:val="24"/>
        </w:rPr>
        <w:t>有效的主体资格证明：</w:t>
      </w:r>
      <w:r>
        <w:rPr>
          <w:rFonts w:hint="eastAsia" w:ascii="宋体" w:hAnsi="宋体" w:eastAsia="宋体" w:cs="宋体"/>
          <w:spacing w:val="0"/>
          <w:position w:val="0"/>
          <w:sz w:val="24"/>
          <w:szCs w:val="24"/>
          <w:lang w:eastAsia="zh-CN"/>
        </w:rPr>
        <w:t>提供合格有效的法人或者其他组织的营业执照等证明文件或自然人的身份证明</w:t>
      </w:r>
      <w:r>
        <w:rPr>
          <w:rFonts w:hint="eastAsia" w:ascii="宋体" w:hAnsi="宋体" w:eastAsia="宋体" w:cs="宋体"/>
          <w:spacing w:val="0"/>
          <w:position w:val="0"/>
          <w:sz w:val="24"/>
          <w:szCs w:val="24"/>
        </w:rPr>
        <w:t>；</w:t>
      </w:r>
    </w:p>
    <w:p w14:paraId="1939AC63">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w:t>
      </w:r>
      <w:r>
        <w:rPr>
          <w:rFonts w:hint="eastAsia" w:ascii="宋体" w:hAnsi="宋体" w:cs="宋体"/>
          <w:spacing w:val="0"/>
          <w:position w:val="0"/>
          <w:sz w:val="24"/>
          <w:szCs w:val="24"/>
          <w:lang w:val="en-US" w:eastAsia="zh-CN"/>
        </w:rPr>
        <w:t>.</w:t>
      </w:r>
      <w:r>
        <w:rPr>
          <w:rFonts w:hint="eastAsia" w:ascii="宋体" w:hAnsi="宋体" w:eastAsia="宋体" w:cs="宋体"/>
          <w:spacing w:val="0"/>
          <w:position w:val="0"/>
          <w:sz w:val="24"/>
          <w:szCs w:val="24"/>
        </w:rPr>
        <w:t>财务状况报告：提供202</w:t>
      </w:r>
      <w:r>
        <w:rPr>
          <w:rFonts w:hint="eastAsia" w:ascii="宋体" w:hAnsi="宋体" w:eastAsia="宋体" w:cs="宋体"/>
          <w:spacing w:val="0"/>
          <w:position w:val="0"/>
          <w:sz w:val="24"/>
          <w:szCs w:val="24"/>
          <w:lang w:val="en-US" w:eastAsia="zh-CN"/>
        </w:rPr>
        <w:t>3</w:t>
      </w:r>
      <w:r>
        <w:rPr>
          <w:rFonts w:hint="eastAsia" w:ascii="宋体" w:hAnsi="宋体" w:eastAsia="宋体" w:cs="宋体"/>
          <w:spacing w:val="0"/>
          <w:position w:val="0"/>
          <w:sz w:val="24"/>
          <w:szCs w:val="24"/>
        </w:rPr>
        <w:t>年度或2024年度的财务审计报告或开标前六个月内其基本存款账户开户银行出具的资信证明（附开户许可证或开户备案证明或基本账户信息）；</w:t>
      </w:r>
    </w:p>
    <w:p w14:paraId="4A1728EA">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w:t>
      </w:r>
      <w:r>
        <w:rPr>
          <w:rFonts w:hint="eastAsia" w:ascii="宋体" w:hAnsi="宋体" w:cs="宋体"/>
          <w:spacing w:val="0"/>
          <w:position w:val="0"/>
          <w:sz w:val="24"/>
          <w:szCs w:val="24"/>
          <w:lang w:val="en-US" w:eastAsia="zh-CN"/>
        </w:rPr>
        <w:t>.</w:t>
      </w:r>
      <w:r>
        <w:rPr>
          <w:rFonts w:hint="eastAsia" w:ascii="宋体" w:hAnsi="宋体" w:eastAsia="宋体" w:cs="宋体"/>
          <w:spacing w:val="0"/>
          <w:position w:val="0"/>
          <w:sz w:val="24"/>
          <w:szCs w:val="24"/>
        </w:rPr>
        <w:t>税收缴纳证明：提供</w:t>
      </w:r>
      <w:r>
        <w:rPr>
          <w:rFonts w:hint="eastAsia" w:ascii="宋体" w:hAnsi="宋体" w:eastAsia="宋体" w:cs="宋体"/>
          <w:spacing w:val="0"/>
          <w:position w:val="0"/>
          <w:sz w:val="24"/>
          <w:szCs w:val="24"/>
          <w:lang w:eastAsia="zh-CN"/>
        </w:rPr>
        <w:t>202</w:t>
      </w:r>
      <w:r>
        <w:rPr>
          <w:rFonts w:hint="eastAsia" w:ascii="宋体" w:hAnsi="宋体" w:eastAsia="宋体" w:cs="宋体"/>
          <w:spacing w:val="0"/>
          <w:position w:val="0"/>
          <w:sz w:val="24"/>
          <w:szCs w:val="24"/>
          <w:lang w:val="en-US" w:eastAsia="zh-CN"/>
        </w:rPr>
        <w:t>4</w:t>
      </w:r>
      <w:r>
        <w:rPr>
          <w:rFonts w:hint="eastAsia" w:ascii="宋体" w:hAnsi="宋体" w:eastAsia="宋体" w:cs="宋体"/>
          <w:spacing w:val="0"/>
          <w:position w:val="0"/>
          <w:sz w:val="24"/>
          <w:szCs w:val="24"/>
          <w:lang w:eastAsia="zh-CN"/>
        </w:rPr>
        <w:t>年</w:t>
      </w:r>
      <w:r>
        <w:rPr>
          <w:rFonts w:hint="eastAsia" w:ascii="宋体" w:hAnsi="宋体" w:cs="宋体"/>
          <w:spacing w:val="0"/>
          <w:position w:val="0"/>
          <w:sz w:val="24"/>
          <w:szCs w:val="24"/>
          <w:lang w:val="en-US" w:eastAsia="zh-CN"/>
        </w:rPr>
        <w:t>10</w:t>
      </w:r>
      <w:r>
        <w:rPr>
          <w:rFonts w:hint="eastAsia" w:ascii="宋体" w:hAnsi="宋体" w:eastAsia="宋体" w:cs="宋体"/>
          <w:spacing w:val="0"/>
          <w:position w:val="0"/>
          <w:sz w:val="24"/>
          <w:szCs w:val="24"/>
          <w:lang w:eastAsia="zh-CN"/>
        </w:rPr>
        <w:t>月01日</w:t>
      </w:r>
      <w:r>
        <w:rPr>
          <w:rFonts w:hint="eastAsia" w:ascii="宋体" w:hAnsi="宋体" w:eastAsia="宋体" w:cs="宋体"/>
          <w:spacing w:val="0"/>
          <w:position w:val="0"/>
          <w:sz w:val="24"/>
          <w:szCs w:val="24"/>
        </w:rPr>
        <w:t>至今已缴存的至少一个月的纳税证明或完税证明，依法免税的单位应提供相关证明材料；</w:t>
      </w:r>
    </w:p>
    <w:p w14:paraId="4CFBCA86">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4</w:t>
      </w:r>
      <w:r>
        <w:rPr>
          <w:rFonts w:hint="eastAsia" w:ascii="宋体" w:hAnsi="宋体" w:cs="宋体"/>
          <w:spacing w:val="0"/>
          <w:position w:val="0"/>
          <w:sz w:val="24"/>
          <w:szCs w:val="24"/>
          <w:lang w:val="en-US" w:eastAsia="zh-CN"/>
        </w:rPr>
        <w:t>.</w:t>
      </w:r>
      <w:r>
        <w:rPr>
          <w:rFonts w:hint="eastAsia" w:ascii="宋体" w:hAnsi="宋体" w:eastAsia="宋体" w:cs="宋体"/>
          <w:spacing w:val="0"/>
          <w:position w:val="0"/>
          <w:sz w:val="24"/>
          <w:szCs w:val="24"/>
        </w:rPr>
        <w:t>社会保障资金缴纳证明：提供</w:t>
      </w:r>
      <w:r>
        <w:rPr>
          <w:rFonts w:hint="eastAsia" w:ascii="宋体" w:hAnsi="宋体" w:eastAsia="宋体" w:cs="宋体"/>
          <w:spacing w:val="0"/>
          <w:position w:val="0"/>
          <w:sz w:val="24"/>
          <w:szCs w:val="24"/>
          <w:lang w:eastAsia="zh-CN"/>
        </w:rPr>
        <w:t>202</w:t>
      </w:r>
      <w:r>
        <w:rPr>
          <w:rFonts w:hint="eastAsia" w:ascii="宋体" w:hAnsi="宋体" w:eastAsia="宋体" w:cs="宋体"/>
          <w:spacing w:val="0"/>
          <w:position w:val="0"/>
          <w:sz w:val="24"/>
          <w:szCs w:val="24"/>
          <w:lang w:val="en-US" w:eastAsia="zh-CN"/>
        </w:rPr>
        <w:t>4</w:t>
      </w:r>
      <w:r>
        <w:rPr>
          <w:rFonts w:hint="eastAsia" w:ascii="宋体" w:hAnsi="宋体" w:eastAsia="宋体" w:cs="宋体"/>
          <w:spacing w:val="0"/>
          <w:position w:val="0"/>
          <w:sz w:val="24"/>
          <w:szCs w:val="24"/>
          <w:lang w:eastAsia="zh-CN"/>
        </w:rPr>
        <w:t>年</w:t>
      </w:r>
      <w:r>
        <w:rPr>
          <w:rFonts w:hint="eastAsia" w:ascii="宋体" w:hAnsi="宋体" w:cs="宋体"/>
          <w:spacing w:val="0"/>
          <w:position w:val="0"/>
          <w:sz w:val="24"/>
          <w:szCs w:val="24"/>
          <w:lang w:val="en-US" w:eastAsia="zh-CN"/>
        </w:rPr>
        <w:t>10</w:t>
      </w:r>
      <w:r>
        <w:rPr>
          <w:rFonts w:hint="eastAsia" w:ascii="宋体" w:hAnsi="宋体" w:eastAsia="宋体" w:cs="宋体"/>
          <w:spacing w:val="0"/>
          <w:position w:val="0"/>
          <w:sz w:val="24"/>
          <w:szCs w:val="24"/>
          <w:lang w:eastAsia="zh-CN"/>
        </w:rPr>
        <w:t>月01日</w:t>
      </w:r>
      <w:r>
        <w:rPr>
          <w:rFonts w:hint="eastAsia" w:ascii="宋体" w:hAnsi="宋体" w:eastAsia="宋体" w:cs="宋体"/>
          <w:spacing w:val="0"/>
          <w:position w:val="0"/>
          <w:sz w:val="24"/>
          <w:szCs w:val="24"/>
        </w:rPr>
        <w:t>至今已缴存的至少一个月的社会保障资金缴存单据或社保机构开具的社会保险参保缴费情况证明，依法不需要缴纳社会保障资金的单位应提供相关证明材料；</w:t>
      </w:r>
    </w:p>
    <w:p w14:paraId="04A09DB9">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5</w:t>
      </w:r>
      <w:r>
        <w:rPr>
          <w:rFonts w:hint="eastAsia" w:ascii="宋体" w:hAnsi="宋体" w:cs="宋体"/>
          <w:spacing w:val="0"/>
          <w:position w:val="0"/>
          <w:sz w:val="24"/>
          <w:szCs w:val="24"/>
          <w:lang w:val="en-US" w:eastAsia="zh-CN"/>
        </w:rPr>
        <w:t>.</w:t>
      </w:r>
      <w:r>
        <w:rPr>
          <w:rFonts w:hint="eastAsia" w:ascii="宋体" w:hAnsi="宋体" w:eastAsia="宋体" w:cs="宋体"/>
          <w:spacing w:val="0"/>
          <w:position w:val="0"/>
          <w:sz w:val="24"/>
          <w:szCs w:val="24"/>
        </w:rPr>
        <w:t>无重大违法记录声明：近3年内在经营活动中没有重大违法记录的书面声明；</w:t>
      </w:r>
    </w:p>
    <w:p w14:paraId="18397F86">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6</w:t>
      </w:r>
      <w:r>
        <w:rPr>
          <w:rFonts w:hint="eastAsia" w:ascii="宋体" w:hAnsi="宋体" w:cs="宋体"/>
          <w:spacing w:val="0"/>
          <w:position w:val="0"/>
          <w:sz w:val="24"/>
          <w:szCs w:val="24"/>
          <w:lang w:val="en-US" w:eastAsia="zh-CN"/>
        </w:rPr>
        <w:t>.</w:t>
      </w:r>
      <w:r>
        <w:rPr>
          <w:rFonts w:hint="eastAsia" w:ascii="宋体" w:hAnsi="宋体" w:eastAsia="宋体" w:cs="宋体"/>
          <w:spacing w:val="0"/>
          <w:position w:val="0"/>
          <w:sz w:val="24"/>
          <w:szCs w:val="24"/>
        </w:rPr>
        <w:t>专业技术能力证明：具备履行合同所必需的设备和专业技术能力的证明材料(由供应商根据项目需求提供说明材料或者承诺)；</w:t>
      </w:r>
    </w:p>
    <w:p w14:paraId="37C5FDCD">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7</w:t>
      </w:r>
      <w:r>
        <w:rPr>
          <w:rFonts w:hint="eastAsia" w:ascii="宋体" w:hAnsi="宋体" w:cs="宋体"/>
          <w:spacing w:val="0"/>
          <w:position w:val="0"/>
          <w:sz w:val="24"/>
          <w:szCs w:val="24"/>
          <w:lang w:val="en-US" w:eastAsia="zh-CN"/>
        </w:rPr>
        <w:t>.</w:t>
      </w:r>
      <w:r>
        <w:rPr>
          <w:rFonts w:hint="eastAsia" w:ascii="宋体" w:hAnsi="宋体" w:eastAsia="宋体" w:cs="宋体"/>
          <w:spacing w:val="0"/>
          <w:position w:val="0"/>
          <w:sz w:val="24"/>
          <w:szCs w:val="24"/>
          <w:lang w:eastAsia="zh-CN"/>
        </w:rPr>
        <w:t>法定代表人委托授权书\身份证明：供应商应授权合法的人员参加磋商全过程，其中法定代表人直接参加磋商的，须出具法定代表人身份证，并与营业执照上信息一致。法定代表人授权代表参加磋商的，须出具法定代表人授权书及授权代表身份证。（其他组织或自然人参照执行）；</w:t>
      </w:r>
    </w:p>
    <w:p w14:paraId="5BC2D1AE">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8</w:t>
      </w:r>
      <w:r>
        <w:rPr>
          <w:rFonts w:hint="eastAsia" w:ascii="宋体" w:hAnsi="宋体" w:cs="宋体"/>
          <w:spacing w:val="0"/>
          <w:position w:val="0"/>
          <w:sz w:val="24"/>
          <w:szCs w:val="24"/>
          <w:lang w:val="en-US" w:eastAsia="zh-CN"/>
        </w:rPr>
        <w:t>.</w:t>
      </w:r>
      <w:r>
        <w:rPr>
          <w:rFonts w:hint="eastAsia" w:ascii="宋体" w:hAnsi="宋体" w:eastAsia="宋体" w:cs="宋体"/>
          <w:spacing w:val="0"/>
          <w:position w:val="0"/>
          <w:sz w:val="24"/>
          <w:szCs w:val="24"/>
        </w:rPr>
        <w:t>信用查询：在“信用中国”网站（www.creditchina.gov.cn）和“中国政府采购网”（ccgp.gov.cn）对</w:t>
      </w:r>
      <w:r>
        <w:rPr>
          <w:rFonts w:hint="eastAsia" w:ascii="宋体" w:hAnsi="宋体" w:eastAsia="宋体" w:cs="宋体"/>
          <w:spacing w:val="0"/>
          <w:position w:val="0"/>
          <w:sz w:val="24"/>
          <w:szCs w:val="24"/>
          <w:lang w:eastAsia="zh-CN"/>
        </w:rPr>
        <w:t>响应</w:t>
      </w:r>
      <w:r>
        <w:rPr>
          <w:rFonts w:hint="eastAsia" w:ascii="宋体" w:hAnsi="宋体" w:eastAsia="宋体" w:cs="宋体"/>
          <w:spacing w:val="0"/>
          <w:position w:val="0"/>
          <w:sz w:val="24"/>
          <w:szCs w:val="24"/>
        </w:rPr>
        <w:t>单位信用信息进行查询，如果</w:t>
      </w:r>
      <w:r>
        <w:rPr>
          <w:rFonts w:hint="eastAsia" w:ascii="宋体" w:hAnsi="宋体" w:eastAsia="宋体" w:cs="宋体"/>
          <w:spacing w:val="0"/>
          <w:position w:val="0"/>
          <w:sz w:val="24"/>
          <w:szCs w:val="24"/>
          <w:lang w:eastAsia="zh-CN"/>
        </w:rPr>
        <w:t>响应</w:t>
      </w:r>
      <w:r>
        <w:rPr>
          <w:rFonts w:hint="eastAsia" w:ascii="宋体" w:hAnsi="宋体" w:eastAsia="宋体" w:cs="宋体"/>
          <w:spacing w:val="0"/>
          <w:position w:val="0"/>
          <w:sz w:val="24"/>
          <w:szCs w:val="24"/>
        </w:rPr>
        <w:t>单位被查实在开标前已列入失信被执行人、重大税收违法失信主体、政府采购严重违法失信行为记录名单，其</w:t>
      </w:r>
      <w:r>
        <w:rPr>
          <w:rFonts w:hint="eastAsia" w:ascii="宋体" w:hAnsi="宋体" w:eastAsia="宋体" w:cs="宋体"/>
          <w:spacing w:val="0"/>
          <w:position w:val="0"/>
          <w:sz w:val="24"/>
          <w:szCs w:val="24"/>
          <w:lang w:eastAsia="zh-CN"/>
        </w:rPr>
        <w:t>响应</w:t>
      </w:r>
      <w:r>
        <w:rPr>
          <w:rFonts w:hint="eastAsia" w:ascii="宋体" w:hAnsi="宋体" w:eastAsia="宋体" w:cs="宋体"/>
          <w:spacing w:val="0"/>
          <w:position w:val="0"/>
          <w:sz w:val="24"/>
          <w:szCs w:val="24"/>
        </w:rPr>
        <w:t>为无效；（</w:t>
      </w:r>
      <w:r>
        <w:rPr>
          <w:rFonts w:hint="eastAsia" w:ascii="宋体" w:hAnsi="宋体" w:eastAsia="宋体" w:cs="宋体"/>
          <w:spacing w:val="0"/>
          <w:position w:val="0"/>
          <w:sz w:val="24"/>
          <w:szCs w:val="24"/>
          <w:lang w:eastAsia="zh-CN"/>
        </w:rPr>
        <w:t>以磋商当天代理机构核查为准</w:t>
      </w:r>
      <w:r>
        <w:rPr>
          <w:rFonts w:hint="eastAsia" w:ascii="宋体" w:hAnsi="宋体" w:eastAsia="宋体" w:cs="宋体"/>
          <w:spacing w:val="0"/>
          <w:position w:val="0"/>
          <w:sz w:val="24"/>
          <w:szCs w:val="24"/>
        </w:rPr>
        <w:t>）</w:t>
      </w:r>
    </w:p>
    <w:p w14:paraId="56553526">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lang w:eastAsia="zh-CN"/>
        </w:rPr>
        <w:t>9</w:t>
      </w:r>
      <w:r>
        <w:rPr>
          <w:rFonts w:hint="eastAsia" w:ascii="宋体" w:hAnsi="宋体" w:cs="宋体"/>
          <w:spacing w:val="0"/>
          <w:position w:val="0"/>
          <w:sz w:val="24"/>
          <w:szCs w:val="24"/>
          <w:lang w:val="en-US" w:eastAsia="zh-CN"/>
        </w:rPr>
        <w:t>.</w:t>
      </w:r>
      <w:r>
        <w:rPr>
          <w:rFonts w:hint="eastAsia" w:ascii="宋体" w:hAnsi="宋体" w:eastAsia="宋体" w:cs="宋体"/>
          <w:spacing w:val="0"/>
          <w:position w:val="0"/>
          <w:sz w:val="24"/>
          <w:szCs w:val="24"/>
          <w:lang w:eastAsia="zh-CN"/>
        </w:rPr>
        <w:t>关联关系：单位负责人为同一人或者存在直接控股、管理关系的不同供应商，不得参加同一合同项下的政府采购活动。</w:t>
      </w:r>
    </w:p>
    <w:p w14:paraId="2FE7BF53">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spacing w:val="0"/>
          <w:position w:val="0"/>
          <w:sz w:val="24"/>
          <w:szCs w:val="24"/>
          <w:lang w:val="en-US" w:eastAsia="zh-CN"/>
        </w:rPr>
        <w:t>10.</w:t>
      </w:r>
      <w:r>
        <w:rPr>
          <w:rFonts w:hint="eastAsia" w:ascii="宋体" w:hAnsi="宋体" w:eastAsia="宋体" w:cs="宋体"/>
          <w:b w:val="0"/>
          <w:bCs w:val="0"/>
          <w:color w:val="auto"/>
          <w:sz w:val="24"/>
          <w:szCs w:val="24"/>
          <w:highlight w:val="none"/>
          <w:lang w:val="en-US" w:eastAsia="zh-CN"/>
        </w:rPr>
        <w:t>本项目属于专门面向中小企业采购，供应商应为中小微企业</w:t>
      </w:r>
      <w:r>
        <w:rPr>
          <w:rFonts w:hint="eastAsia" w:ascii="宋体" w:hAnsi="宋体" w:eastAsia="宋体" w:cs="宋体"/>
          <w:color w:val="auto"/>
          <w:sz w:val="24"/>
          <w:szCs w:val="24"/>
          <w:highlight w:val="none"/>
          <w:lang w:val="en-US" w:eastAsia="zh-CN"/>
        </w:rPr>
        <w:t>【中型或小型或微型】</w:t>
      </w:r>
      <w:r>
        <w:rPr>
          <w:rFonts w:hint="eastAsia" w:ascii="宋体" w:hAnsi="宋体" w:eastAsia="宋体" w:cs="宋体"/>
          <w:b w:val="0"/>
          <w:bCs w:val="0"/>
          <w:color w:val="auto"/>
          <w:sz w:val="24"/>
          <w:szCs w:val="24"/>
          <w:highlight w:val="none"/>
          <w:lang w:val="en-US" w:eastAsia="zh-CN"/>
        </w:rPr>
        <w:t>或监狱企业或残疾人福利性单位；</w:t>
      </w:r>
    </w:p>
    <w:p w14:paraId="476D0731">
      <w:pPr>
        <w:spacing w:line="360" w:lineRule="auto"/>
        <w:ind w:firstLine="240" w:firstLineChars="100"/>
        <w:rPr>
          <w:rFonts w:ascii="宋体" w:hAnsi="宋体" w:cs="宋体"/>
        </w:rPr>
      </w:pPr>
      <w:r>
        <w:rPr>
          <w:rFonts w:hint="eastAsia" w:ascii="宋体" w:hAnsi="宋体" w:cs="宋体"/>
          <w:sz w:val="24"/>
        </w:rPr>
        <w:t>注</w:t>
      </w:r>
      <w:r>
        <w:rPr>
          <w:rFonts w:hint="eastAsia" w:ascii="宋体" w:hAnsi="宋体" w:cs="宋体"/>
          <w:sz w:val="24"/>
          <w:lang w:eastAsia="zh-CN"/>
        </w:rPr>
        <w:t>：</w:t>
      </w:r>
      <w:r>
        <w:rPr>
          <w:rFonts w:hint="eastAsia" w:ascii="宋体" w:hAnsi="宋体" w:cs="宋体"/>
          <w:sz w:val="24"/>
        </w:rPr>
        <w:t>本项目不接受联合体磋商</w:t>
      </w:r>
    </w:p>
    <w:p w14:paraId="65BB1012">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outlineLvl w:val="9"/>
        <w:rPr>
          <w:rFonts w:hint="eastAsia" w:ascii="宋体" w:hAnsi="宋体" w:cs="宋体"/>
          <w:b/>
          <w:color w:val="000000"/>
          <w:sz w:val="24"/>
        </w:rPr>
      </w:pPr>
      <w:r>
        <w:rPr>
          <w:rFonts w:hint="eastAsia" w:ascii="宋体" w:hAnsi="宋体" w:cs="宋体"/>
          <w:b/>
          <w:color w:val="000000"/>
          <w:sz w:val="24"/>
        </w:rPr>
        <w:t>注：上述资格证明材料为必备材料，缺一项或某项达不到要求的按无效文件处理。</w:t>
      </w:r>
    </w:p>
    <w:p w14:paraId="64DA0668">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outlineLvl w:val="9"/>
        <w:rPr>
          <w:rFonts w:hint="eastAsia" w:ascii="宋体" w:hAnsi="宋体" w:cs="宋体"/>
          <w:b/>
          <w:color w:val="000000"/>
          <w:sz w:val="24"/>
        </w:rPr>
      </w:pPr>
      <w:r>
        <w:rPr>
          <w:rFonts w:hint="eastAsia" w:ascii="宋体" w:hAnsi="宋体" w:cs="宋体"/>
          <w:b/>
          <w:color w:val="000000"/>
          <w:sz w:val="24"/>
        </w:rPr>
        <w:t>3.磋商响应文件的编制</w:t>
      </w:r>
    </w:p>
    <w:p w14:paraId="0182A6D6">
      <w:pPr>
        <w:spacing w:line="360" w:lineRule="auto"/>
        <w:ind w:firstLine="480" w:firstLineChars="200"/>
        <w:rPr>
          <w:rFonts w:ascii="宋体" w:hAnsi="宋体" w:cs="宋体"/>
          <w:color w:val="000000"/>
          <w:sz w:val="24"/>
        </w:rPr>
      </w:pPr>
      <w:r>
        <w:rPr>
          <w:rFonts w:hint="eastAsia" w:ascii="宋体" w:hAnsi="宋体" w:cs="宋体"/>
          <w:color w:val="000000"/>
          <w:sz w:val="24"/>
        </w:rPr>
        <w:t>磋商响应文件须根据磋商文件提供的内容及格式编制，并对磋商文件做出实质性响应；具体内容包括：</w:t>
      </w:r>
    </w:p>
    <w:p w14:paraId="7139C372">
      <w:pPr>
        <w:tabs>
          <w:tab w:val="left" w:pos="1080"/>
        </w:tabs>
        <w:spacing w:line="360" w:lineRule="auto"/>
        <w:ind w:firstLine="360" w:firstLineChars="150"/>
        <w:rPr>
          <w:rFonts w:hint="eastAsia" w:ascii="宋体" w:hAnsi="宋体" w:cs="宋体"/>
          <w:color w:val="000000"/>
          <w:sz w:val="24"/>
          <w:lang w:eastAsia="zh-CN"/>
        </w:rPr>
      </w:pPr>
      <w:r>
        <w:rPr>
          <w:rFonts w:hint="eastAsia" w:ascii="宋体" w:hAnsi="宋体" w:cs="宋体"/>
          <w:color w:val="000000"/>
          <w:sz w:val="24"/>
          <w:lang w:eastAsia="zh-CN"/>
        </w:rPr>
        <w:t>（</w:t>
      </w:r>
      <w:r>
        <w:rPr>
          <w:rFonts w:hint="eastAsia" w:ascii="宋体" w:hAnsi="宋体" w:cs="宋体"/>
          <w:color w:val="000000"/>
          <w:sz w:val="24"/>
          <w:lang w:val="en-US" w:eastAsia="zh-CN"/>
        </w:rPr>
        <w:t>1</w:t>
      </w:r>
      <w:r>
        <w:rPr>
          <w:rFonts w:hint="eastAsia" w:ascii="宋体" w:hAnsi="宋体" w:cs="宋体"/>
          <w:color w:val="000000"/>
          <w:sz w:val="24"/>
          <w:lang w:eastAsia="zh-CN"/>
        </w:rPr>
        <w:t>）磋商函</w:t>
      </w:r>
    </w:p>
    <w:p w14:paraId="1B716844">
      <w:pPr>
        <w:tabs>
          <w:tab w:val="left" w:pos="1080"/>
        </w:tabs>
        <w:spacing w:line="360" w:lineRule="auto"/>
        <w:ind w:firstLine="360" w:firstLineChars="150"/>
        <w:rPr>
          <w:rFonts w:hint="eastAsia" w:ascii="宋体" w:hAnsi="宋体" w:cs="宋体"/>
          <w:color w:val="000000"/>
          <w:sz w:val="24"/>
          <w:lang w:eastAsia="zh-CN"/>
        </w:rPr>
      </w:pPr>
      <w:r>
        <w:rPr>
          <w:rFonts w:hint="eastAsia" w:ascii="宋体" w:hAnsi="宋体" w:cs="宋体"/>
          <w:color w:val="000000"/>
          <w:sz w:val="24"/>
          <w:lang w:eastAsia="zh-CN"/>
        </w:rPr>
        <w:t>（</w:t>
      </w:r>
      <w:r>
        <w:rPr>
          <w:rFonts w:hint="eastAsia" w:ascii="宋体" w:hAnsi="宋体" w:cs="宋体"/>
          <w:color w:val="000000"/>
          <w:sz w:val="24"/>
          <w:lang w:val="en-US" w:eastAsia="zh-CN"/>
        </w:rPr>
        <w:t>2</w:t>
      </w:r>
      <w:r>
        <w:rPr>
          <w:rFonts w:hint="eastAsia" w:ascii="宋体" w:hAnsi="宋体" w:cs="宋体"/>
          <w:color w:val="000000"/>
          <w:sz w:val="24"/>
          <w:lang w:eastAsia="zh-CN"/>
        </w:rPr>
        <w:t>）法定代表人证明书</w:t>
      </w:r>
    </w:p>
    <w:p w14:paraId="102D2B29">
      <w:pPr>
        <w:tabs>
          <w:tab w:val="left" w:pos="1080"/>
        </w:tabs>
        <w:spacing w:line="360" w:lineRule="auto"/>
        <w:ind w:firstLine="360" w:firstLineChars="150"/>
        <w:rPr>
          <w:rFonts w:hint="eastAsia" w:ascii="宋体" w:hAnsi="宋体" w:cs="宋体"/>
          <w:color w:val="000000"/>
          <w:sz w:val="24"/>
          <w:lang w:eastAsia="zh-CN"/>
        </w:rPr>
      </w:pPr>
      <w:r>
        <w:rPr>
          <w:rFonts w:hint="eastAsia" w:ascii="宋体" w:hAnsi="宋体" w:cs="宋体"/>
          <w:color w:val="000000"/>
          <w:sz w:val="24"/>
          <w:lang w:eastAsia="zh-CN"/>
        </w:rPr>
        <w:t>（</w:t>
      </w:r>
      <w:r>
        <w:rPr>
          <w:rFonts w:hint="eastAsia" w:ascii="宋体" w:hAnsi="宋体" w:cs="宋体"/>
          <w:color w:val="000000"/>
          <w:sz w:val="24"/>
          <w:lang w:val="en-US" w:eastAsia="zh-CN"/>
        </w:rPr>
        <w:t>3</w:t>
      </w:r>
      <w:r>
        <w:rPr>
          <w:rFonts w:hint="eastAsia" w:ascii="宋体" w:hAnsi="宋体" w:cs="宋体"/>
          <w:color w:val="000000"/>
          <w:sz w:val="24"/>
          <w:lang w:eastAsia="zh-CN"/>
        </w:rPr>
        <w:t>）法定代表人授权书</w:t>
      </w:r>
    </w:p>
    <w:p w14:paraId="2233A988">
      <w:pPr>
        <w:tabs>
          <w:tab w:val="left" w:pos="1080"/>
        </w:tabs>
        <w:spacing w:line="360" w:lineRule="auto"/>
        <w:ind w:firstLine="360" w:firstLineChars="150"/>
        <w:rPr>
          <w:rFonts w:hint="eastAsia" w:ascii="宋体" w:hAnsi="宋体" w:cs="宋体"/>
          <w:color w:val="000000"/>
          <w:sz w:val="24"/>
          <w:lang w:eastAsia="zh-CN"/>
        </w:rPr>
      </w:pPr>
      <w:r>
        <w:rPr>
          <w:rFonts w:hint="eastAsia" w:ascii="宋体" w:hAnsi="宋体" w:cs="宋体"/>
          <w:color w:val="000000"/>
          <w:sz w:val="24"/>
          <w:lang w:eastAsia="zh-CN"/>
        </w:rPr>
        <w:t>（</w:t>
      </w:r>
      <w:r>
        <w:rPr>
          <w:rFonts w:hint="eastAsia" w:ascii="宋体" w:hAnsi="宋体" w:cs="宋体"/>
          <w:color w:val="000000"/>
          <w:sz w:val="24"/>
          <w:lang w:val="en-US" w:eastAsia="zh-CN"/>
        </w:rPr>
        <w:t>4</w:t>
      </w:r>
      <w:r>
        <w:rPr>
          <w:rFonts w:hint="eastAsia" w:ascii="宋体" w:hAnsi="宋体" w:cs="宋体"/>
          <w:color w:val="000000"/>
          <w:sz w:val="24"/>
          <w:lang w:eastAsia="zh-CN"/>
        </w:rPr>
        <w:t>）报价一览表</w:t>
      </w:r>
    </w:p>
    <w:p w14:paraId="36CE2267">
      <w:pPr>
        <w:tabs>
          <w:tab w:val="left" w:pos="1080"/>
        </w:tabs>
        <w:spacing w:line="360" w:lineRule="auto"/>
        <w:ind w:firstLine="360" w:firstLineChars="150"/>
        <w:rPr>
          <w:rFonts w:hint="eastAsia" w:ascii="宋体" w:hAnsi="宋体" w:cs="宋体"/>
          <w:color w:val="000000"/>
          <w:sz w:val="24"/>
          <w:lang w:eastAsia="zh-CN"/>
        </w:rPr>
      </w:pPr>
      <w:r>
        <w:rPr>
          <w:rFonts w:hint="eastAsia" w:ascii="宋体" w:hAnsi="宋体" w:cs="宋体"/>
          <w:color w:val="000000"/>
          <w:sz w:val="24"/>
          <w:lang w:eastAsia="zh-CN"/>
        </w:rPr>
        <w:t>（</w:t>
      </w:r>
      <w:r>
        <w:rPr>
          <w:rFonts w:hint="eastAsia" w:ascii="宋体" w:hAnsi="宋体" w:cs="宋体"/>
          <w:color w:val="000000"/>
          <w:sz w:val="24"/>
          <w:lang w:val="en-US" w:eastAsia="zh-CN"/>
        </w:rPr>
        <w:t>5</w:t>
      </w:r>
      <w:r>
        <w:rPr>
          <w:rFonts w:hint="eastAsia" w:ascii="宋体" w:hAnsi="宋体" w:cs="宋体"/>
          <w:color w:val="000000"/>
          <w:sz w:val="24"/>
          <w:lang w:eastAsia="zh-CN"/>
        </w:rPr>
        <w:t>）服务需求响应表</w:t>
      </w:r>
    </w:p>
    <w:p w14:paraId="10BD3F8F">
      <w:pPr>
        <w:tabs>
          <w:tab w:val="left" w:pos="1080"/>
        </w:tabs>
        <w:spacing w:line="360" w:lineRule="auto"/>
        <w:ind w:firstLine="360" w:firstLineChars="150"/>
        <w:rPr>
          <w:rFonts w:hint="eastAsia" w:ascii="宋体" w:hAnsi="宋体" w:cs="宋体"/>
          <w:color w:val="000000"/>
          <w:sz w:val="24"/>
          <w:lang w:eastAsia="zh-CN"/>
        </w:rPr>
      </w:pPr>
      <w:r>
        <w:rPr>
          <w:rFonts w:hint="eastAsia" w:ascii="宋体" w:hAnsi="宋体" w:cs="宋体"/>
          <w:color w:val="000000"/>
          <w:sz w:val="24"/>
          <w:lang w:eastAsia="zh-CN"/>
        </w:rPr>
        <w:t>（</w:t>
      </w:r>
      <w:r>
        <w:rPr>
          <w:rFonts w:hint="eastAsia" w:ascii="宋体" w:hAnsi="宋体" w:cs="宋体"/>
          <w:color w:val="000000"/>
          <w:sz w:val="24"/>
          <w:lang w:val="en-US" w:eastAsia="zh-CN"/>
        </w:rPr>
        <w:t>6</w:t>
      </w:r>
      <w:r>
        <w:rPr>
          <w:rFonts w:hint="eastAsia" w:ascii="宋体" w:hAnsi="宋体" w:cs="宋体"/>
          <w:color w:val="000000"/>
          <w:sz w:val="24"/>
          <w:lang w:eastAsia="zh-CN"/>
        </w:rPr>
        <w:t>）商务偏离表</w:t>
      </w:r>
    </w:p>
    <w:p w14:paraId="5CF1226D">
      <w:pPr>
        <w:tabs>
          <w:tab w:val="left" w:pos="1080"/>
        </w:tabs>
        <w:spacing w:line="360" w:lineRule="auto"/>
        <w:ind w:firstLine="360" w:firstLineChars="150"/>
        <w:rPr>
          <w:rFonts w:hint="eastAsia" w:ascii="宋体" w:hAnsi="宋体" w:cs="宋体"/>
          <w:color w:val="000000"/>
          <w:sz w:val="24"/>
          <w:lang w:eastAsia="zh-CN"/>
        </w:rPr>
      </w:pPr>
      <w:r>
        <w:rPr>
          <w:rFonts w:hint="eastAsia" w:ascii="宋体" w:hAnsi="宋体" w:cs="宋体"/>
          <w:color w:val="000000"/>
          <w:sz w:val="24"/>
          <w:lang w:eastAsia="zh-CN"/>
        </w:rPr>
        <w:t>（</w:t>
      </w:r>
      <w:r>
        <w:rPr>
          <w:rFonts w:hint="eastAsia" w:ascii="宋体" w:hAnsi="宋体" w:cs="宋体"/>
          <w:color w:val="000000"/>
          <w:sz w:val="24"/>
          <w:lang w:val="en-US" w:eastAsia="zh-CN"/>
        </w:rPr>
        <w:t>7</w:t>
      </w:r>
      <w:r>
        <w:rPr>
          <w:rFonts w:hint="eastAsia" w:ascii="宋体" w:hAnsi="宋体" w:cs="宋体"/>
          <w:color w:val="000000"/>
          <w:sz w:val="24"/>
          <w:lang w:eastAsia="zh-CN"/>
        </w:rPr>
        <w:t>）资格证明文件</w:t>
      </w:r>
    </w:p>
    <w:p w14:paraId="5EDFB763">
      <w:pPr>
        <w:tabs>
          <w:tab w:val="left" w:pos="1080"/>
        </w:tabs>
        <w:spacing w:line="360" w:lineRule="auto"/>
        <w:ind w:firstLine="360" w:firstLineChars="150"/>
        <w:rPr>
          <w:rFonts w:hint="eastAsia" w:ascii="宋体" w:hAnsi="宋体" w:cs="宋体"/>
          <w:color w:val="000000"/>
          <w:sz w:val="24"/>
          <w:lang w:eastAsia="zh-CN"/>
        </w:rPr>
      </w:pPr>
      <w:r>
        <w:rPr>
          <w:rFonts w:hint="eastAsia" w:ascii="宋体" w:hAnsi="宋体" w:cs="宋体"/>
          <w:color w:val="000000"/>
          <w:sz w:val="24"/>
          <w:lang w:eastAsia="zh-CN"/>
        </w:rPr>
        <w:t>（</w:t>
      </w:r>
      <w:r>
        <w:rPr>
          <w:rFonts w:hint="eastAsia" w:ascii="宋体" w:hAnsi="宋体" w:cs="宋体"/>
          <w:color w:val="000000"/>
          <w:sz w:val="24"/>
          <w:lang w:val="en-US" w:eastAsia="zh-CN"/>
        </w:rPr>
        <w:t>8</w:t>
      </w:r>
      <w:r>
        <w:rPr>
          <w:rFonts w:hint="eastAsia" w:ascii="宋体" w:hAnsi="宋体" w:cs="宋体"/>
          <w:color w:val="000000"/>
          <w:sz w:val="24"/>
          <w:lang w:eastAsia="zh-CN"/>
        </w:rPr>
        <w:t>）类似项目业绩</w:t>
      </w:r>
    </w:p>
    <w:p w14:paraId="4C27F699">
      <w:pPr>
        <w:tabs>
          <w:tab w:val="left" w:pos="1080"/>
        </w:tabs>
        <w:spacing w:line="360" w:lineRule="auto"/>
        <w:ind w:firstLine="360" w:firstLineChars="150"/>
        <w:rPr>
          <w:rFonts w:hint="eastAsia" w:ascii="宋体" w:hAnsi="宋体" w:cs="宋体"/>
          <w:color w:val="000000"/>
          <w:sz w:val="24"/>
          <w:lang w:eastAsia="zh-CN"/>
        </w:rPr>
      </w:pPr>
      <w:r>
        <w:rPr>
          <w:rFonts w:hint="eastAsia" w:ascii="宋体" w:hAnsi="宋体" w:cs="宋体"/>
          <w:color w:val="000000"/>
          <w:sz w:val="24"/>
          <w:lang w:eastAsia="zh-CN"/>
        </w:rPr>
        <w:t>（</w:t>
      </w:r>
      <w:r>
        <w:rPr>
          <w:rFonts w:hint="eastAsia" w:ascii="宋体" w:hAnsi="宋体" w:cs="宋体"/>
          <w:color w:val="000000"/>
          <w:sz w:val="24"/>
          <w:lang w:val="en-US" w:eastAsia="zh-CN"/>
        </w:rPr>
        <w:t>9</w:t>
      </w:r>
      <w:r>
        <w:rPr>
          <w:rFonts w:hint="eastAsia" w:ascii="宋体" w:hAnsi="宋体" w:cs="宋体"/>
          <w:color w:val="000000"/>
          <w:sz w:val="24"/>
          <w:lang w:eastAsia="zh-CN"/>
        </w:rPr>
        <w:t>）磋商响应方案说明</w:t>
      </w:r>
    </w:p>
    <w:p w14:paraId="68ECC663">
      <w:pPr>
        <w:tabs>
          <w:tab w:val="left" w:pos="1080"/>
        </w:tabs>
        <w:spacing w:line="360" w:lineRule="auto"/>
        <w:ind w:firstLine="360" w:firstLineChars="150"/>
        <w:rPr>
          <w:rFonts w:hint="eastAsia" w:ascii="宋体" w:hAnsi="宋体" w:cs="宋体"/>
          <w:color w:val="000000"/>
          <w:sz w:val="24"/>
          <w:lang w:eastAsia="zh-CN"/>
        </w:rPr>
      </w:pPr>
      <w:r>
        <w:rPr>
          <w:rFonts w:hint="eastAsia" w:ascii="宋体" w:hAnsi="宋体" w:cs="宋体"/>
          <w:color w:val="000000"/>
          <w:sz w:val="24"/>
          <w:lang w:eastAsia="zh-CN"/>
        </w:rPr>
        <w:t>（</w:t>
      </w:r>
      <w:r>
        <w:rPr>
          <w:rFonts w:hint="eastAsia" w:ascii="宋体" w:hAnsi="宋体" w:cs="宋体"/>
          <w:color w:val="000000"/>
          <w:sz w:val="24"/>
          <w:lang w:val="en-US" w:eastAsia="zh-CN"/>
        </w:rPr>
        <w:t>10</w:t>
      </w:r>
      <w:r>
        <w:rPr>
          <w:rFonts w:hint="eastAsia" w:ascii="宋体" w:hAnsi="宋体" w:cs="宋体"/>
          <w:color w:val="000000"/>
          <w:sz w:val="24"/>
          <w:lang w:eastAsia="zh-CN"/>
        </w:rPr>
        <w:t>）供应商认为需要提供的其他证明材料</w:t>
      </w:r>
    </w:p>
    <w:p w14:paraId="2E0DCE69">
      <w:pPr>
        <w:tabs>
          <w:tab w:val="left" w:pos="1080"/>
        </w:tabs>
        <w:spacing w:line="360" w:lineRule="auto"/>
        <w:ind w:firstLine="360" w:firstLineChars="150"/>
        <w:rPr>
          <w:rFonts w:hint="eastAsia" w:ascii="宋体" w:hAnsi="宋体" w:cs="宋体"/>
          <w:color w:val="000000"/>
          <w:sz w:val="24"/>
          <w:lang w:eastAsia="zh-CN"/>
        </w:rPr>
      </w:pPr>
      <w:r>
        <w:rPr>
          <w:rFonts w:hint="eastAsia" w:ascii="宋体" w:hAnsi="宋体" w:cs="宋体"/>
          <w:color w:val="000000"/>
          <w:sz w:val="24"/>
          <w:lang w:eastAsia="zh-CN"/>
        </w:rPr>
        <w:t>（</w:t>
      </w:r>
      <w:r>
        <w:rPr>
          <w:rFonts w:hint="eastAsia" w:ascii="宋体" w:hAnsi="宋体" w:cs="宋体"/>
          <w:color w:val="000000"/>
          <w:sz w:val="24"/>
          <w:lang w:val="en-US" w:eastAsia="zh-CN"/>
        </w:rPr>
        <w:t>11</w:t>
      </w:r>
      <w:r>
        <w:rPr>
          <w:rFonts w:hint="eastAsia" w:ascii="宋体" w:hAnsi="宋体" w:cs="宋体"/>
          <w:color w:val="000000"/>
          <w:sz w:val="24"/>
          <w:lang w:eastAsia="zh-CN"/>
        </w:rPr>
        <w:t>）磋商响应单位承诺书</w:t>
      </w:r>
    </w:p>
    <w:p w14:paraId="099FFC7E">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outlineLvl w:val="9"/>
        <w:rPr>
          <w:rFonts w:ascii="宋体" w:hAnsi="宋体" w:cs="宋体"/>
          <w:b/>
          <w:color w:val="000000"/>
          <w:sz w:val="24"/>
        </w:rPr>
      </w:pPr>
      <w:r>
        <w:rPr>
          <w:rFonts w:hint="eastAsia" w:ascii="宋体" w:hAnsi="宋体" w:cs="宋体"/>
          <w:b/>
          <w:color w:val="000000"/>
          <w:sz w:val="24"/>
        </w:rPr>
        <w:t>4.磋商报价</w:t>
      </w:r>
    </w:p>
    <w:p w14:paraId="57335492">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outlineLvl w:val="9"/>
        <w:rPr>
          <w:rFonts w:ascii="宋体" w:hAnsi="宋体" w:cs="宋体"/>
          <w:color w:val="000000"/>
          <w:sz w:val="24"/>
        </w:rPr>
      </w:pPr>
      <w:r>
        <w:rPr>
          <w:rFonts w:hint="eastAsia" w:ascii="宋体" w:hAnsi="宋体" w:cs="宋体"/>
          <w:color w:val="000000"/>
          <w:sz w:val="24"/>
        </w:rPr>
        <w:t>（1）</w:t>
      </w:r>
      <w:r>
        <w:rPr>
          <w:rFonts w:hint="eastAsia" w:ascii="宋体" w:hAnsi="宋体" w:eastAsia="宋体" w:cs="宋体"/>
          <w:color w:val="auto"/>
          <w:kern w:val="2"/>
          <w:sz w:val="24"/>
          <w:szCs w:val="24"/>
          <w:highlight w:val="none"/>
          <w:lang w:val="en-US" w:eastAsia="zh-CN" w:bidi="ar-SA"/>
        </w:rPr>
        <w:t>磋商报价包括但不限于指项目完成并经验收合格的所有费用，包括项目费用、国家按现行税收政策征收的一切税费等。</w:t>
      </w:r>
      <w:r>
        <w:rPr>
          <w:rFonts w:hint="eastAsia" w:ascii="宋体" w:hAnsi="宋体" w:cs="宋体"/>
          <w:color w:val="000000"/>
          <w:sz w:val="24"/>
        </w:rPr>
        <w:t>；</w:t>
      </w:r>
    </w:p>
    <w:p w14:paraId="47AB434C">
      <w:pPr>
        <w:keepNext w:val="0"/>
        <w:keepLines w:val="0"/>
        <w:pageBreakBefore w:val="0"/>
        <w:widowControl w:val="0"/>
        <w:wordWrap/>
        <w:overflowPunct/>
        <w:topLinePunct w:val="0"/>
        <w:autoSpaceDE/>
        <w:autoSpaceDN/>
        <w:bidi w:val="0"/>
        <w:adjustRightInd/>
        <w:snapToGrid/>
        <w:spacing w:line="360" w:lineRule="auto"/>
        <w:ind w:firstLine="360" w:firstLineChars="150"/>
        <w:textAlignment w:val="auto"/>
        <w:rPr>
          <w:rFonts w:ascii="宋体" w:hAnsi="宋体" w:cs="宋体"/>
          <w:color w:val="000000"/>
          <w:sz w:val="24"/>
        </w:rPr>
      </w:pPr>
      <w:r>
        <w:rPr>
          <w:rFonts w:hint="eastAsia" w:ascii="宋体" w:hAnsi="宋体" w:cs="宋体"/>
          <w:color w:val="000000"/>
          <w:sz w:val="24"/>
        </w:rPr>
        <w:t>（2）磋商供应商应在磋商响应文件中的响应报价表上，标明费用组成；任何有选择的报价不予接受；</w:t>
      </w:r>
    </w:p>
    <w:p w14:paraId="3F4B9090">
      <w:pPr>
        <w:keepNext w:val="0"/>
        <w:keepLines w:val="0"/>
        <w:pageBreakBefore w:val="0"/>
        <w:widowControl w:val="0"/>
        <w:wordWrap/>
        <w:overflowPunct/>
        <w:topLinePunct w:val="0"/>
        <w:autoSpaceDE/>
        <w:autoSpaceDN/>
        <w:bidi w:val="0"/>
        <w:adjustRightInd/>
        <w:snapToGrid/>
        <w:spacing w:line="360" w:lineRule="auto"/>
        <w:ind w:firstLine="360" w:firstLineChars="150"/>
        <w:textAlignment w:val="auto"/>
        <w:rPr>
          <w:rFonts w:ascii="宋体" w:hAnsi="宋体" w:cs="宋体"/>
          <w:color w:val="000000"/>
          <w:sz w:val="24"/>
        </w:rPr>
      </w:pPr>
      <w:r>
        <w:rPr>
          <w:rFonts w:hint="eastAsia" w:ascii="宋体" w:hAnsi="宋体" w:cs="宋体"/>
          <w:color w:val="000000"/>
          <w:sz w:val="24"/>
        </w:rPr>
        <w:t>（3）磋商货币：人民币；单位：元（精确到小数点后两位）；</w:t>
      </w:r>
    </w:p>
    <w:p w14:paraId="4F95A20F">
      <w:pPr>
        <w:keepNext w:val="0"/>
        <w:keepLines w:val="0"/>
        <w:pageBreakBefore w:val="0"/>
        <w:widowControl w:val="0"/>
        <w:wordWrap/>
        <w:overflowPunct/>
        <w:topLinePunct w:val="0"/>
        <w:autoSpaceDE/>
        <w:autoSpaceDN/>
        <w:bidi w:val="0"/>
        <w:adjustRightInd/>
        <w:snapToGrid/>
        <w:spacing w:line="360" w:lineRule="auto"/>
        <w:ind w:firstLine="360" w:firstLineChars="150"/>
        <w:textAlignment w:val="auto"/>
        <w:rPr>
          <w:rFonts w:ascii="宋体" w:hAnsi="宋体" w:cs="宋体"/>
          <w:color w:val="000000"/>
          <w:sz w:val="24"/>
        </w:rPr>
      </w:pPr>
      <w:r>
        <w:rPr>
          <w:rFonts w:hint="eastAsia" w:ascii="宋体" w:hAnsi="宋体" w:cs="宋体"/>
          <w:color w:val="000000"/>
          <w:sz w:val="24"/>
        </w:rPr>
        <w:t>（4）响应报价表应有法定代表人或被授权人的签字；</w:t>
      </w:r>
    </w:p>
    <w:p w14:paraId="757880D1">
      <w:pPr>
        <w:keepNext w:val="0"/>
        <w:keepLines w:val="0"/>
        <w:pageBreakBefore w:val="0"/>
        <w:widowControl w:val="0"/>
        <w:wordWrap/>
        <w:overflowPunct/>
        <w:topLinePunct w:val="0"/>
        <w:autoSpaceDE/>
        <w:autoSpaceDN/>
        <w:bidi w:val="0"/>
        <w:adjustRightInd/>
        <w:snapToGrid/>
        <w:spacing w:line="360" w:lineRule="auto"/>
        <w:ind w:firstLine="360" w:firstLineChars="150"/>
        <w:textAlignment w:val="auto"/>
        <w:rPr>
          <w:rFonts w:ascii="宋体" w:hAnsi="宋体" w:cs="宋体"/>
          <w:color w:val="000000"/>
          <w:sz w:val="24"/>
        </w:rPr>
      </w:pPr>
      <w:r>
        <w:rPr>
          <w:rFonts w:hint="eastAsia" w:ascii="宋体" w:hAnsi="宋体" w:cs="宋体"/>
          <w:color w:val="000000"/>
          <w:sz w:val="24"/>
        </w:rPr>
        <w:t>（5）合同价格：经磋商小组确认的某一磋商供应商的最终报价，在合同执行过程中是固定不变的，不受外汇汇率及市场价格变化的影响；</w:t>
      </w:r>
    </w:p>
    <w:p w14:paraId="48BFEBEB">
      <w:pPr>
        <w:keepNext w:val="0"/>
        <w:keepLines w:val="0"/>
        <w:pageBreakBefore w:val="0"/>
        <w:widowControl w:val="0"/>
        <w:wordWrap/>
        <w:overflowPunct/>
        <w:topLinePunct w:val="0"/>
        <w:autoSpaceDE/>
        <w:autoSpaceDN/>
        <w:bidi w:val="0"/>
        <w:adjustRightInd/>
        <w:snapToGrid/>
        <w:spacing w:line="360" w:lineRule="auto"/>
        <w:ind w:firstLine="360" w:firstLineChars="150"/>
        <w:textAlignment w:val="auto"/>
        <w:rPr>
          <w:rFonts w:ascii="宋体" w:hAnsi="宋体" w:cs="宋体"/>
          <w:color w:val="000000"/>
          <w:sz w:val="24"/>
        </w:rPr>
      </w:pPr>
      <w:r>
        <w:rPr>
          <w:rFonts w:hint="eastAsia" w:ascii="宋体" w:hAnsi="宋体" w:cs="宋体"/>
          <w:color w:val="000000"/>
          <w:sz w:val="24"/>
        </w:rPr>
        <w:t>（6）凡因磋商供应商对磋商文件阅读不深、理解不透、误解、疏漏、或因市场行情了解不清造成的后果和风险均由磋商供应商自负；</w:t>
      </w:r>
    </w:p>
    <w:p w14:paraId="6ADFC06F">
      <w:pPr>
        <w:keepNext w:val="0"/>
        <w:keepLines w:val="0"/>
        <w:pageBreakBefore w:val="0"/>
        <w:widowControl w:val="0"/>
        <w:wordWrap/>
        <w:overflowPunct/>
        <w:topLinePunct w:val="0"/>
        <w:autoSpaceDE/>
        <w:autoSpaceDN/>
        <w:bidi w:val="0"/>
        <w:adjustRightInd/>
        <w:snapToGrid/>
        <w:spacing w:line="360" w:lineRule="auto"/>
        <w:ind w:firstLine="360" w:firstLineChars="150"/>
        <w:textAlignment w:val="auto"/>
        <w:rPr>
          <w:rFonts w:ascii="宋体" w:hAnsi="宋体" w:cs="宋体"/>
          <w:color w:val="000000"/>
          <w:sz w:val="24"/>
        </w:rPr>
      </w:pPr>
      <w:r>
        <w:rPr>
          <w:rFonts w:hint="eastAsia" w:ascii="宋体" w:hAnsi="宋体" w:cs="宋体"/>
          <w:color w:val="000000"/>
          <w:sz w:val="24"/>
        </w:rPr>
        <w:t>（7）磋商供应商不得以低于成本的报价参加磋商。当磋商小组认为某个磋商供应商的磋商价或者某些分项报价明显不合理或者低于成本，有可能影响</w:t>
      </w:r>
      <w:r>
        <w:rPr>
          <w:rFonts w:hint="eastAsia" w:ascii="宋体" w:hAnsi="宋体" w:cs="宋体"/>
          <w:sz w:val="24"/>
        </w:rPr>
        <w:t>设计</w:t>
      </w:r>
      <w:r>
        <w:rPr>
          <w:rFonts w:hint="eastAsia" w:ascii="宋体" w:hAnsi="宋体" w:cs="宋体"/>
          <w:color w:val="000000"/>
          <w:sz w:val="24"/>
        </w:rPr>
        <w:t>质量和不能诚信履约的，可要求该磋商供应商在规定的期限内提供书面文件予以解释说明，并提交相关证明材料；否则，磋商小组可以取消该磋商供应商的成交候选资格。</w:t>
      </w:r>
    </w:p>
    <w:p w14:paraId="6F089E3A">
      <w:pPr>
        <w:keepNext w:val="0"/>
        <w:keepLines w:val="0"/>
        <w:pageBreakBefore w:val="0"/>
        <w:widowControl w:val="0"/>
        <w:kinsoku/>
        <w:wordWrap/>
        <w:overflowPunct/>
        <w:topLinePunct w:val="0"/>
        <w:autoSpaceDE/>
        <w:autoSpaceDN/>
        <w:bidi w:val="0"/>
        <w:adjustRightInd/>
        <w:snapToGrid/>
        <w:spacing w:line="460" w:lineRule="atLeast"/>
        <w:ind w:firstLine="120" w:firstLineChars="50"/>
        <w:textAlignment w:val="auto"/>
        <w:outlineLvl w:val="9"/>
        <w:rPr>
          <w:rFonts w:ascii="宋体" w:hAnsi="宋体" w:cs="宋体"/>
          <w:b/>
          <w:color w:val="000000"/>
          <w:sz w:val="24"/>
          <w:highlight w:val="none"/>
        </w:rPr>
      </w:pPr>
      <w:r>
        <w:rPr>
          <w:rFonts w:hint="eastAsia" w:ascii="宋体" w:hAnsi="宋体" w:cs="宋体"/>
          <w:b/>
          <w:color w:val="000000"/>
          <w:sz w:val="24"/>
          <w:highlight w:val="none"/>
        </w:rPr>
        <w:t>5.磋商保证金</w:t>
      </w:r>
    </w:p>
    <w:p w14:paraId="55E2D033">
      <w:pPr>
        <w:kinsoku w:val="0"/>
        <w:spacing w:line="460" w:lineRule="atLeast"/>
        <w:ind w:firstLine="360" w:firstLineChars="150"/>
        <w:rPr>
          <w:rFonts w:ascii="宋体" w:hAnsi="宋体" w:cs="宋体"/>
          <w:color w:val="000000"/>
          <w:sz w:val="24"/>
          <w:highlight w:val="none"/>
        </w:rPr>
      </w:pPr>
      <w:r>
        <w:rPr>
          <w:rFonts w:hint="eastAsia" w:ascii="宋体" w:hAnsi="宋体" w:cs="宋体"/>
          <w:color w:val="000000"/>
          <w:sz w:val="24"/>
          <w:highlight w:val="none"/>
        </w:rPr>
        <w:t>（1）本次磋商活动需交纳磋商保证金为：0元</w:t>
      </w:r>
    </w:p>
    <w:p w14:paraId="709EE9B5">
      <w:pPr>
        <w:kinsoku w:val="0"/>
        <w:spacing w:line="460" w:lineRule="atLeast"/>
        <w:ind w:firstLine="360" w:firstLineChars="150"/>
        <w:rPr>
          <w:rFonts w:ascii="宋体" w:hAnsi="宋体" w:cs="宋体"/>
          <w:color w:val="000000"/>
          <w:sz w:val="24"/>
        </w:rPr>
      </w:pPr>
      <w:r>
        <w:rPr>
          <w:rFonts w:hint="eastAsia" w:ascii="宋体" w:hAnsi="宋体" w:cs="宋体"/>
          <w:color w:val="000000"/>
          <w:sz w:val="24"/>
        </w:rPr>
        <w:t>（2）磋商保证金应为人民币，可采用下列任何一种形式支付：</w:t>
      </w:r>
    </w:p>
    <w:p w14:paraId="62964C64">
      <w:pPr>
        <w:kinsoku w:val="0"/>
        <w:spacing w:line="460" w:lineRule="atLeast"/>
        <w:ind w:firstLine="960" w:firstLineChars="400"/>
        <w:rPr>
          <w:rFonts w:ascii="宋体" w:hAnsi="宋体" w:cs="宋体"/>
          <w:color w:val="000000"/>
          <w:sz w:val="24"/>
        </w:rPr>
      </w:pPr>
      <w:r>
        <w:rPr>
          <w:rFonts w:hint="eastAsia" w:ascii="宋体" w:hAnsi="宋体" w:cs="宋体"/>
          <w:color w:val="000000"/>
          <w:sz w:val="24"/>
        </w:rPr>
        <w:t>A、银行转账        B、电汇     C、信用担保或银行担保</w:t>
      </w:r>
    </w:p>
    <w:p w14:paraId="0827A66B">
      <w:pPr>
        <w:kinsoku w:val="0"/>
        <w:spacing w:line="460" w:lineRule="atLeast"/>
        <w:ind w:firstLine="360" w:firstLineChars="150"/>
        <w:rPr>
          <w:rFonts w:ascii="宋体" w:hAnsi="宋体" w:cs="宋体"/>
          <w:color w:val="000000"/>
          <w:sz w:val="24"/>
        </w:rPr>
      </w:pPr>
      <w:r>
        <w:rPr>
          <w:rFonts w:hint="eastAsia" w:ascii="宋体" w:hAnsi="宋体" w:cs="宋体"/>
          <w:color w:val="000000"/>
          <w:sz w:val="24"/>
        </w:rPr>
        <w:t>磋商单位应在响应截止时间前提交磋商保证金，由响应单位通过银行转账、电汇、保函等非现金形式。</w:t>
      </w:r>
    </w:p>
    <w:p w14:paraId="1AD3ABFF">
      <w:pPr>
        <w:spacing w:line="460" w:lineRule="atLeast"/>
        <w:rPr>
          <w:rFonts w:ascii="宋体" w:hAnsi="宋体" w:cs="宋体"/>
          <w:b/>
          <w:color w:val="000000"/>
          <w:sz w:val="24"/>
        </w:rPr>
      </w:pPr>
      <w:r>
        <w:rPr>
          <w:rFonts w:hint="eastAsia" w:ascii="宋体" w:hAnsi="宋体" w:cs="宋体"/>
          <w:b/>
          <w:color w:val="000000"/>
          <w:sz w:val="24"/>
        </w:rPr>
        <w:t>备注：</w:t>
      </w:r>
      <w:r>
        <w:rPr>
          <w:rFonts w:ascii="Calibri" w:hAnsi="Calibri" w:cs="Calibri"/>
          <w:b/>
          <w:color w:val="000000"/>
          <w:sz w:val="24"/>
        </w:rPr>
        <w:t>①</w:t>
      </w:r>
      <w:r>
        <w:rPr>
          <w:rFonts w:hint="eastAsia" w:ascii="宋体" w:hAnsi="宋体" w:cs="宋体"/>
          <w:b/>
          <w:color w:val="000000"/>
          <w:sz w:val="24"/>
        </w:rPr>
        <w:t>磋商保证金以磋商供应商名称汇款,如以个人汇款，视为无效。</w:t>
      </w:r>
    </w:p>
    <w:p w14:paraId="2DD5B216">
      <w:pPr>
        <w:spacing w:line="460" w:lineRule="atLeast"/>
        <w:ind w:firstLine="723" w:firstLineChars="300"/>
        <w:rPr>
          <w:rFonts w:ascii="宋体" w:hAnsi="宋体" w:cs="宋体"/>
          <w:b/>
          <w:color w:val="000000"/>
          <w:sz w:val="24"/>
        </w:rPr>
      </w:pPr>
      <w:r>
        <w:rPr>
          <w:rFonts w:ascii="Calibri" w:hAnsi="Calibri" w:cs="Calibri"/>
          <w:b/>
          <w:color w:val="000000"/>
          <w:sz w:val="24"/>
        </w:rPr>
        <w:t>②</w:t>
      </w:r>
      <w:r>
        <w:rPr>
          <w:rFonts w:hint="eastAsia" w:ascii="宋体" w:hAnsi="宋体" w:cs="宋体"/>
          <w:b/>
          <w:color w:val="000000"/>
          <w:sz w:val="24"/>
        </w:rPr>
        <w:t>银行转账或电汇凭证标明项目编号。</w:t>
      </w:r>
    </w:p>
    <w:p w14:paraId="76BDA94D">
      <w:pPr>
        <w:spacing w:line="460" w:lineRule="atLeast"/>
        <w:ind w:firstLine="360" w:firstLineChars="150"/>
        <w:rPr>
          <w:rFonts w:ascii="宋体" w:hAnsi="宋体" w:cs="宋体"/>
          <w:color w:val="000000"/>
          <w:sz w:val="24"/>
        </w:rPr>
      </w:pPr>
      <w:r>
        <w:rPr>
          <w:rFonts w:hint="eastAsia" w:ascii="宋体" w:hAnsi="宋体" w:cs="宋体"/>
          <w:color w:val="000000"/>
          <w:sz w:val="24"/>
        </w:rPr>
        <w:t>（3）磋商供应商未交纳、未足额交纳或未按规定时间交纳保证金的，将被视为自动放弃磋商权利 (缴纳时间与金额以银行到账时间为准)。</w:t>
      </w:r>
    </w:p>
    <w:p w14:paraId="75911C0D">
      <w:pPr>
        <w:spacing w:line="460" w:lineRule="atLeast"/>
        <w:ind w:firstLine="360" w:firstLineChars="150"/>
        <w:rPr>
          <w:rFonts w:ascii="宋体" w:hAnsi="宋体" w:cs="宋体"/>
          <w:color w:val="000000"/>
          <w:sz w:val="24"/>
        </w:rPr>
      </w:pPr>
      <w:r>
        <w:rPr>
          <w:rFonts w:hint="eastAsia" w:ascii="宋体" w:hAnsi="宋体" w:cs="宋体"/>
          <w:color w:val="000000"/>
          <w:sz w:val="24"/>
        </w:rPr>
        <w:t>（4）磋商保证金的交付单位和磋商供应商的名称必须一致，否则将视为磋商响应无效；</w:t>
      </w:r>
    </w:p>
    <w:p w14:paraId="6A791E37">
      <w:pPr>
        <w:spacing w:line="460" w:lineRule="atLeast"/>
        <w:ind w:firstLine="360" w:firstLineChars="150"/>
        <w:rPr>
          <w:rFonts w:ascii="宋体" w:hAnsi="宋体" w:cs="宋体"/>
          <w:color w:val="000000"/>
          <w:sz w:val="24"/>
        </w:rPr>
      </w:pPr>
      <w:r>
        <w:rPr>
          <w:rFonts w:hint="eastAsia" w:ascii="宋体" w:hAnsi="宋体" w:cs="宋体"/>
          <w:color w:val="000000"/>
          <w:sz w:val="24"/>
        </w:rPr>
        <w:t>（5）成交供应商与采购人签订了合同后，成交服务费不可以从保证金中扣除，需要以现金或银行转账方式缴纳；</w:t>
      </w:r>
    </w:p>
    <w:p w14:paraId="5B6BE9FE">
      <w:pPr>
        <w:spacing w:line="460" w:lineRule="atLeast"/>
        <w:ind w:firstLine="360" w:firstLineChars="150"/>
        <w:rPr>
          <w:rFonts w:ascii="宋体" w:hAnsi="宋体" w:cs="宋体"/>
          <w:color w:val="000000"/>
          <w:sz w:val="24"/>
        </w:rPr>
      </w:pPr>
      <w:r>
        <w:rPr>
          <w:rFonts w:hint="eastAsia" w:ascii="宋体" w:hAnsi="宋体" w:cs="宋体"/>
          <w:color w:val="000000"/>
          <w:sz w:val="24"/>
        </w:rPr>
        <w:t>（6）发生下列情况之一，磋商保证金将被没收：</w:t>
      </w:r>
    </w:p>
    <w:p w14:paraId="4D8417DB">
      <w:pPr>
        <w:spacing w:line="460" w:lineRule="atLeast"/>
        <w:ind w:left="359" w:leftChars="171" w:firstLine="240" w:firstLineChars="100"/>
        <w:rPr>
          <w:rFonts w:ascii="宋体" w:hAnsi="宋体" w:cs="宋体"/>
          <w:color w:val="000000"/>
          <w:sz w:val="24"/>
        </w:rPr>
      </w:pPr>
      <w:r>
        <w:rPr>
          <w:rFonts w:hint="eastAsia" w:ascii="宋体" w:hAnsi="宋体" w:cs="宋体"/>
          <w:color w:val="000000"/>
          <w:sz w:val="24"/>
        </w:rPr>
        <w:t>A．磋商后在磋商有效期间，磋商供应商撤回其磋商响应文件；</w:t>
      </w:r>
    </w:p>
    <w:p w14:paraId="77CC51DB">
      <w:pPr>
        <w:spacing w:line="460" w:lineRule="atLeast"/>
        <w:ind w:left="359" w:leftChars="171" w:firstLine="240" w:firstLineChars="100"/>
        <w:rPr>
          <w:rFonts w:ascii="宋体" w:hAnsi="宋体" w:cs="宋体"/>
          <w:color w:val="000000"/>
          <w:sz w:val="24"/>
        </w:rPr>
      </w:pPr>
      <w:r>
        <w:rPr>
          <w:rFonts w:hint="eastAsia" w:ascii="宋体" w:hAnsi="宋体" w:cs="宋体"/>
          <w:color w:val="000000"/>
          <w:sz w:val="24"/>
        </w:rPr>
        <w:t>B．成交供应商在规定的时间内未能签订合同；</w:t>
      </w:r>
    </w:p>
    <w:p w14:paraId="175B70F7">
      <w:pPr>
        <w:spacing w:line="460" w:lineRule="atLeast"/>
        <w:ind w:left="359" w:leftChars="171" w:firstLine="240" w:firstLineChars="100"/>
        <w:rPr>
          <w:rFonts w:ascii="宋体" w:hAnsi="宋体" w:cs="宋体"/>
          <w:color w:val="000000"/>
          <w:sz w:val="24"/>
        </w:rPr>
      </w:pPr>
      <w:r>
        <w:rPr>
          <w:rFonts w:hint="eastAsia" w:ascii="宋体" w:hAnsi="宋体" w:cs="宋体"/>
          <w:color w:val="000000"/>
          <w:sz w:val="24"/>
        </w:rPr>
        <w:t>C．成交供应商未按时缴付成交服务费；</w:t>
      </w:r>
    </w:p>
    <w:p w14:paraId="4A5224C8">
      <w:pPr>
        <w:spacing w:line="460" w:lineRule="atLeast"/>
        <w:ind w:left="359" w:leftChars="171" w:firstLine="240" w:firstLineChars="100"/>
        <w:rPr>
          <w:rFonts w:ascii="宋体" w:hAnsi="宋体" w:cs="宋体"/>
          <w:color w:val="000000"/>
          <w:sz w:val="24"/>
        </w:rPr>
      </w:pPr>
      <w:r>
        <w:rPr>
          <w:rFonts w:hint="eastAsia" w:ascii="宋体" w:hAnsi="宋体" w:cs="宋体"/>
          <w:color w:val="000000"/>
          <w:sz w:val="24"/>
        </w:rPr>
        <w:t>D．由于磋商供应商的原因导致成交无效的。</w:t>
      </w:r>
    </w:p>
    <w:p w14:paraId="1CECDCD5">
      <w:pPr>
        <w:spacing w:line="460" w:lineRule="atLeast"/>
        <w:ind w:firstLine="360" w:firstLineChars="150"/>
        <w:rPr>
          <w:rFonts w:ascii="宋体" w:hAnsi="宋体" w:cs="宋体"/>
          <w:color w:val="000000"/>
          <w:sz w:val="24"/>
        </w:rPr>
      </w:pPr>
      <w:r>
        <w:rPr>
          <w:rFonts w:hint="eastAsia" w:ascii="宋体" w:hAnsi="宋体" w:cs="宋体"/>
          <w:color w:val="000000"/>
          <w:sz w:val="24"/>
        </w:rPr>
        <w:t>（7）联合磋商的，可以由联合体中的主体提交磋商保证金，以一方名义提交磋商保证金，对联合体各方均具有约束力；</w:t>
      </w:r>
    </w:p>
    <w:p w14:paraId="37B20B52">
      <w:pPr>
        <w:spacing w:line="360" w:lineRule="auto"/>
        <w:ind w:firstLine="120" w:firstLineChars="50"/>
        <w:rPr>
          <w:rFonts w:ascii="宋体" w:hAnsi="宋体" w:cs="宋体"/>
          <w:b/>
          <w:color w:val="000000"/>
          <w:sz w:val="24"/>
        </w:rPr>
      </w:pPr>
      <w:r>
        <w:rPr>
          <w:rFonts w:hint="eastAsia" w:ascii="宋体" w:hAnsi="宋体" w:cs="宋体"/>
          <w:b/>
          <w:color w:val="000000"/>
          <w:sz w:val="24"/>
        </w:rPr>
        <w:t>6.信用担保及信用融资</w:t>
      </w:r>
    </w:p>
    <w:p w14:paraId="4146FAEF">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（1）陕西省政府采购信用担保及信用融资政策</w:t>
      </w:r>
    </w:p>
    <w:p w14:paraId="0BD20F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供应商提供政府采购信用担保，并按照程序确定了合作的担保机构。成交供应商缴纳履约保证金时可自愿选择通过担保机构保函的形式缴纳；成交供应商如果需要融资贷款服务的，根据《陕西省中小企业政府采购信用融资办法》（陕财办采〔2018〕23号），可凭成交通知书、政府采购合同等相关资料，按照文件规定的程序申请办理，具体规定可登陆陕西省政府采购网(www.ccgp-shaanxi.gov.cn)重要通知专栏中查询了解。</w:t>
      </w:r>
    </w:p>
    <w:p w14:paraId="1EA448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（2）西安市政府采购信用担保及信用融资政策</w:t>
      </w:r>
    </w:p>
    <w:p w14:paraId="612EA8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为发挥政府采购促进中小企业发展的政策功能，西安市财政局制定了《西安市政府采购信用担保及信用融资工作实施方案（试行）》（市财发〔2014〕167），为参与西安市市级政府采购项目的供应商提供政府采购信用担保和融资服务，并按照程序确定了合作的担保机构和商业银行。成交供应商缴纳履约保证金时可自愿选择通过担保机构保函的形式缴纳；成交供应商如果需要融资贷款服务的，根据《陕西省中小企业政府采购信用融资办法》（陕财办采〔2018〕23号），可凭成交通知书、政府采购合同等相关资料，按照文件规定的程序申请办理，具体规定可登陆西安市财政局网站(http://xaczj.xa.gov.cn/)政府采购专栏中查询了解</w:t>
      </w:r>
    </w:p>
    <w:p w14:paraId="58468DC6">
      <w:pPr>
        <w:spacing w:line="460" w:lineRule="atLeast"/>
        <w:ind w:firstLine="120" w:firstLineChars="50"/>
        <w:rPr>
          <w:rFonts w:ascii="宋体" w:hAnsi="宋体" w:cs="宋体"/>
          <w:b/>
          <w:color w:val="000000"/>
          <w:sz w:val="24"/>
        </w:rPr>
      </w:pPr>
      <w:r>
        <w:rPr>
          <w:rFonts w:hint="eastAsia" w:ascii="宋体" w:hAnsi="宋体" w:cs="宋体"/>
          <w:b/>
          <w:color w:val="000000"/>
          <w:sz w:val="24"/>
        </w:rPr>
        <w:t>7.磋商响应文件的有效期</w:t>
      </w:r>
    </w:p>
    <w:p w14:paraId="1B74C302">
      <w:pPr>
        <w:pStyle w:val="29"/>
        <w:spacing w:line="460" w:lineRule="atLeast"/>
        <w:ind w:firstLine="480"/>
        <w:rPr>
          <w:rFonts w:ascii="宋体" w:hAnsi="宋体" w:cs="宋体"/>
          <w:color w:val="000000"/>
          <w:kern w:val="2"/>
          <w:sz w:val="24"/>
          <w:szCs w:val="24"/>
        </w:rPr>
      </w:pPr>
      <w:r>
        <w:rPr>
          <w:rFonts w:hint="eastAsia" w:ascii="宋体" w:hAnsi="宋体" w:cs="宋体"/>
          <w:color w:val="000000"/>
          <w:sz w:val="24"/>
          <w:szCs w:val="24"/>
        </w:rPr>
        <w:t>磋商有效期为从提交磋商响应文件的截止时间起九十（90）个日历日</w:t>
      </w:r>
      <w:r>
        <w:rPr>
          <w:rFonts w:hint="eastAsia" w:ascii="宋体" w:hAnsi="宋体" w:cs="宋体"/>
          <w:color w:val="000000"/>
          <w:kern w:val="2"/>
          <w:sz w:val="24"/>
          <w:szCs w:val="24"/>
        </w:rPr>
        <w:t>；</w:t>
      </w:r>
      <w:r>
        <w:rPr>
          <w:rFonts w:hint="eastAsia" w:ascii="宋体" w:hAnsi="宋体" w:eastAsia="宋体" w:cs="宋体"/>
          <w:color w:val="auto"/>
          <w:sz w:val="24"/>
          <w:highlight w:val="none"/>
        </w:rPr>
        <w:t>磋商响应文件中必须载明磋商有效期，磋商响应文件中载明的磋商有效期可以长于磋商文件规定的期限，但不得短于磋商文件规定的期限。否则，其磋商响应文件作为无效处理。在有效期内磋商响应文件对磋商供应商具有法律约束力，成交供应商的磋商响应文件有效期延长至合同执行完毕。</w:t>
      </w:r>
    </w:p>
    <w:p w14:paraId="12BE7409">
      <w:pPr>
        <w:spacing w:line="460" w:lineRule="atLeast"/>
        <w:ind w:firstLine="120" w:firstLineChars="50"/>
        <w:rPr>
          <w:rFonts w:ascii="宋体" w:hAnsi="宋体" w:cs="宋体"/>
          <w:b/>
          <w:color w:val="000000"/>
          <w:sz w:val="24"/>
        </w:rPr>
      </w:pPr>
      <w:r>
        <w:rPr>
          <w:rFonts w:hint="eastAsia" w:ascii="宋体" w:hAnsi="宋体" w:cs="宋体"/>
          <w:b/>
          <w:color w:val="000000"/>
          <w:sz w:val="24"/>
        </w:rPr>
        <w:t>8.磋商响应文件的签署及规定</w:t>
      </w:r>
    </w:p>
    <w:p w14:paraId="6A572D16">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ascii="宋体" w:hAnsi="宋体" w:cs="宋体"/>
          <w:color w:val="000000"/>
          <w:sz w:val="24"/>
        </w:rPr>
      </w:pPr>
      <w:r>
        <w:rPr>
          <w:rFonts w:hint="eastAsia" w:ascii="宋体" w:hAnsi="宋体" w:cs="宋体"/>
          <w:color w:val="000000"/>
          <w:sz w:val="24"/>
        </w:rPr>
        <w:t>（1）磋商供应商须依据磋商文件内容和磋商响应文件格式的要求编制磋商响应文件；</w:t>
      </w:r>
    </w:p>
    <w:p w14:paraId="1C0AD4B5">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ascii="宋体" w:hAnsi="宋体" w:cs="宋体"/>
          <w:color w:val="000000"/>
          <w:sz w:val="24"/>
        </w:rPr>
      </w:pPr>
      <w:r>
        <w:rPr>
          <w:rFonts w:hint="eastAsia" w:ascii="宋体" w:hAnsi="宋体" w:cs="宋体"/>
          <w:color w:val="000000"/>
          <w:sz w:val="24"/>
        </w:rPr>
        <w:t>（2）磋商响应文件的正本和所有的副本均需打印或用不褪色的蓝（黑）墨水填写，注明“正本”“副本”字样。</w:t>
      </w:r>
      <w:r>
        <w:rPr>
          <w:rFonts w:hint="eastAsia" w:ascii="宋体" w:hAnsi="宋体" w:eastAsia="宋体" w:cs="宋体"/>
          <w:color w:val="auto"/>
          <w:sz w:val="24"/>
          <w:highlight w:val="none"/>
        </w:rPr>
        <w:t>当副本和正本不一致时，以正本为准。</w:t>
      </w:r>
      <w:r>
        <w:rPr>
          <w:rFonts w:hint="eastAsia" w:ascii="宋体" w:hAnsi="宋体" w:cs="宋体"/>
          <w:color w:val="000000"/>
          <w:sz w:val="24"/>
        </w:rPr>
        <w:t>统一胶装、编码，在每一页的正下方</w:t>
      </w:r>
      <w:r>
        <w:rPr>
          <w:rFonts w:hint="eastAsia" w:ascii="宋体" w:hAnsi="宋体" w:cs="宋体"/>
          <w:color w:val="000000"/>
          <w:sz w:val="24"/>
          <w:lang w:eastAsia="zh-CN"/>
        </w:rPr>
        <w:t>清楚</w:t>
      </w:r>
      <w:r>
        <w:rPr>
          <w:rFonts w:hint="eastAsia" w:ascii="宋体" w:hAnsi="宋体" w:cs="宋体"/>
          <w:color w:val="000000"/>
          <w:sz w:val="24"/>
        </w:rPr>
        <w:t>标明页码；</w:t>
      </w:r>
    </w:p>
    <w:p w14:paraId="12B3EC1E">
      <w:pPr>
        <w:keepNext w:val="0"/>
        <w:keepLines w:val="0"/>
        <w:pageBreakBefore w:val="0"/>
        <w:widowControl w:val="0"/>
        <w:tabs>
          <w:tab w:val="left" w:pos="7013"/>
        </w:tabs>
        <w:kinsoku/>
        <w:wordWrap/>
        <w:overflowPunct/>
        <w:topLinePunct w:val="0"/>
        <w:autoSpaceDE/>
        <w:autoSpaceDN/>
        <w:bidi w:val="0"/>
        <w:adjustRightInd/>
        <w:snapToGrid/>
        <w:spacing w:line="460" w:lineRule="atLeast"/>
        <w:ind w:firstLine="480" w:firstLineChars="200"/>
        <w:jc w:val="left"/>
        <w:textAlignment w:val="auto"/>
        <w:rPr>
          <w:rFonts w:ascii="宋体" w:hAnsi="宋体" w:cs="宋体"/>
          <w:color w:val="000000"/>
          <w:sz w:val="24"/>
        </w:rPr>
      </w:pPr>
      <w:r>
        <w:rPr>
          <w:rFonts w:hint="eastAsia" w:ascii="宋体" w:hAnsi="宋体" w:cs="宋体"/>
          <w:color w:val="000000"/>
          <w:sz w:val="24"/>
        </w:rPr>
        <w:t>（3）</w:t>
      </w:r>
      <w:r>
        <w:rPr>
          <w:rFonts w:hint="eastAsia" w:ascii="宋体" w:hAnsi="宋体" w:eastAsia="宋体" w:cs="宋体"/>
          <w:bCs/>
          <w:color w:val="auto"/>
          <w:sz w:val="24"/>
          <w:highlight w:val="none"/>
        </w:rPr>
        <w:t>磋商响应文件采用书籍（胶装）方式装订。磋商响应文件正本壹份、副本贰份、电子版</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U盘</w:t>
      </w:r>
      <w:r>
        <w:rPr>
          <w:rFonts w:hint="eastAsia" w:ascii="宋体" w:hAnsi="宋体" w:eastAsia="宋体" w:cs="宋体"/>
          <w:bCs/>
          <w:color w:val="auto"/>
          <w:sz w:val="24"/>
          <w:highlight w:val="none"/>
          <w:lang w:eastAsia="zh-CN"/>
        </w:rPr>
        <w:t>）贰</w:t>
      </w:r>
      <w:r>
        <w:rPr>
          <w:rFonts w:hint="eastAsia" w:ascii="宋体" w:hAnsi="宋体" w:eastAsia="宋体" w:cs="宋体"/>
          <w:bCs/>
          <w:color w:val="auto"/>
          <w:sz w:val="24"/>
          <w:highlight w:val="none"/>
        </w:rPr>
        <w:t>份</w:t>
      </w:r>
      <w:r>
        <w:rPr>
          <w:rFonts w:hint="eastAsia" w:ascii="宋体" w:hAnsi="宋体" w:cs="宋体"/>
          <w:sz w:val="24"/>
        </w:rPr>
        <w:t>（word及PDF格式各一份包含磋商响应文件所有内容）</w:t>
      </w:r>
      <w:r>
        <w:rPr>
          <w:rFonts w:hint="eastAsia" w:ascii="宋体" w:hAnsi="宋体" w:eastAsia="宋体" w:cs="宋体"/>
          <w:bCs/>
          <w:color w:val="auto"/>
          <w:sz w:val="24"/>
          <w:highlight w:val="none"/>
        </w:rPr>
        <w:t>。</w:t>
      </w:r>
      <w:r>
        <w:rPr>
          <w:rFonts w:hint="eastAsia" w:ascii="宋体" w:hAnsi="宋体" w:cs="宋体"/>
          <w:color w:val="000000"/>
          <w:sz w:val="24"/>
        </w:rPr>
        <w:t>在封面标明“正本”、“副本”字样，</w:t>
      </w:r>
      <w:r>
        <w:rPr>
          <w:rFonts w:hint="eastAsia" w:ascii="宋体" w:hAnsi="宋体" w:cs="宋体"/>
          <w:sz w:val="24"/>
        </w:rPr>
        <w:t>电子版文件（U盘）放置“正本”密封袋内并加贴不掉标贴，注写磋商供应商名称。</w:t>
      </w:r>
    </w:p>
    <w:p w14:paraId="4DDC6E56">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ascii="宋体" w:hAnsi="宋体" w:cs="宋体"/>
          <w:color w:val="000000"/>
          <w:sz w:val="24"/>
        </w:rPr>
      </w:pPr>
      <w:r>
        <w:rPr>
          <w:rFonts w:hint="eastAsia" w:ascii="宋体" w:hAnsi="宋体" w:cs="宋体"/>
          <w:color w:val="000000"/>
          <w:sz w:val="24"/>
        </w:rPr>
        <w:t>（4）磋商供应商在磋商响应文件中指定的页面落款处，必须按磋商文件要求加盖</w:t>
      </w:r>
      <w:r>
        <w:rPr>
          <w:rFonts w:hint="eastAsia" w:ascii="宋体" w:hAnsi="宋体" w:cs="宋体"/>
          <w:bCs/>
          <w:sz w:val="24"/>
          <w:highlight w:val="none"/>
          <w:lang w:eastAsia="zh-CN"/>
        </w:rPr>
        <w:t>公</w:t>
      </w:r>
      <w:r>
        <w:rPr>
          <w:rFonts w:hint="eastAsia" w:ascii="宋体" w:hAnsi="宋体" w:cs="宋体"/>
          <w:bCs/>
          <w:sz w:val="24"/>
          <w:highlight w:val="none"/>
        </w:rPr>
        <w:t>章</w:t>
      </w:r>
      <w:r>
        <w:rPr>
          <w:rFonts w:hint="eastAsia" w:ascii="宋体" w:hAnsi="宋体" w:cs="宋体"/>
          <w:color w:val="000000"/>
          <w:sz w:val="24"/>
        </w:rPr>
        <w:t>或签字；</w:t>
      </w:r>
    </w:p>
    <w:p w14:paraId="298D4A0F">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ascii="宋体" w:hAnsi="宋体" w:cs="宋体"/>
          <w:color w:val="000000"/>
          <w:sz w:val="24"/>
        </w:rPr>
      </w:pPr>
      <w:r>
        <w:rPr>
          <w:rFonts w:hint="eastAsia" w:ascii="宋体" w:hAnsi="宋体" w:cs="宋体"/>
          <w:color w:val="000000"/>
          <w:sz w:val="24"/>
        </w:rPr>
        <w:t>（5）磋商供应商名称应填写全称，同时加盖公章；</w:t>
      </w:r>
    </w:p>
    <w:p w14:paraId="54E976DE">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ascii="宋体" w:hAnsi="宋体" w:cs="宋体"/>
          <w:color w:val="000000"/>
          <w:sz w:val="24"/>
        </w:rPr>
      </w:pPr>
      <w:r>
        <w:rPr>
          <w:rFonts w:hint="eastAsia" w:ascii="宋体" w:hAnsi="宋体" w:cs="宋体"/>
          <w:color w:val="000000"/>
          <w:sz w:val="24"/>
        </w:rPr>
        <w:t>（6）磋商响应文件的任何行间插字、涂改和增删，必须由法定代表人或被授权人在改动处旁签字方为有效；</w:t>
      </w:r>
    </w:p>
    <w:p w14:paraId="3902308C">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ascii="宋体" w:hAnsi="宋体" w:cs="宋体"/>
          <w:color w:val="000000"/>
          <w:sz w:val="24"/>
        </w:rPr>
      </w:pPr>
      <w:r>
        <w:rPr>
          <w:rFonts w:hint="eastAsia" w:ascii="宋体" w:hAnsi="宋体" w:cs="宋体"/>
          <w:color w:val="000000"/>
          <w:sz w:val="24"/>
        </w:rPr>
        <w:t>（7）磋商响应文件因字迹潦草或表达不清所引起的后果由磋商供应商负责。</w:t>
      </w:r>
    </w:p>
    <w:p w14:paraId="6A4ABBEF">
      <w:pPr>
        <w:spacing w:line="460" w:lineRule="atLeast"/>
        <w:rPr>
          <w:rFonts w:ascii="宋体" w:hAnsi="宋体" w:cs="宋体"/>
          <w:b/>
          <w:color w:val="000000"/>
          <w:sz w:val="24"/>
        </w:rPr>
      </w:pPr>
      <w:r>
        <w:rPr>
          <w:rFonts w:hint="eastAsia" w:ascii="宋体" w:hAnsi="宋体" w:cs="宋体"/>
          <w:b/>
          <w:color w:val="000000"/>
          <w:sz w:val="24"/>
        </w:rPr>
        <w:t>9.文字要求</w:t>
      </w:r>
    </w:p>
    <w:p w14:paraId="28562954">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本次磋商只接受简体中文文字的磋商响应文件。</w:t>
      </w:r>
    </w:p>
    <w:p w14:paraId="0CD7D4CC">
      <w:pPr>
        <w:spacing w:line="460" w:lineRule="atLeast"/>
        <w:rPr>
          <w:rFonts w:ascii="宋体" w:hAnsi="宋体" w:cs="宋体"/>
          <w:b/>
          <w:color w:val="000000"/>
          <w:sz w:val="24"/>
        </w:rPr>
      </w:pPr>
      <w:r>
        <w:rPr>
          <w:rFonts w:hint="eastAsia" w:ascii="宋体" w:hAnsi="宋体" w:cs="宋体"/>
          <w:b/>
          <w:color w:val="000000"/>
          <w:sz w:val="24"/>
        </w:rPr>
        <w:t>10.联合磋商</w:t>
      </w:r>
    </w:p>
    <w:p w14:paraId="07ABCDC1">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rPr>
      </w:pPr>
      <w:r>
        <w:rPr>
          <w:rFonts w:hint="eastAsia" w:ascii="宋体" w:hAnsi="宋体" w:eastAsia="宋体" w:cs="宋体"/>
          <w:color w:val="000000"/>
          <w:sz w:val="24"/>
        </w:rPr>
        <w:t>本项目不接受联合体磋商。</w:t>
      </w:r>
    </w:p>
    <w:p w14:paraId="76D8050D">
      <w:pPr>
        <w:jc w:val="center"/>
        <w:rPr>
          <w:rFonts w:ascii="宋体" w:hAnsi="宋体" w:cs="宋体"/>
          <w:color w:val="000000"/>
          <w:sz w:val="30"/>
          <w:szCs w:val="30"/>
        </w:rPr>
      </w:pPr>
      <w:r>
        <w:rPr>
          <w:rFonts w:hint="eastAsia" w:ascii="宋体" w:hAnsi="宋体" w:cs="宋体"/>
          <w:b/>
          <w:color w:val="000000"/>
          <w:sz w:val="30"/>
          <w:szCs w:val="30"/>
        </w:rPr>
        <w:t>五、磋商响应文件封装、递交</w:t>
      </w:r>
    </w:p>
    <w:p w14:paraId="0CF8D616">
      <w:pPr>
        <w:spacing w:line="460" w:lineRule="exact"/>
        <w:ind w:firstLine="120" w:firstLineChars="50"/>
        <w:rPr>
          <w:rFonts w:ascii="宋体" w:hAnsi="宋体" w:cs="宋体"/>
          <w:b/>
          <w:color w:val="000000"/>
          <w:sz w:val="24"/>
        </w:rPr>
      </w:pPr>
      <w:r>
        <w:rPr>
          <w:rFonts w:hint="eastAsia" w:ascii="宋体" w:hAnsi="宋体" w:cs="宋体"/>
          <w:b/>
          <w:color w:val="000000"/>
          <w:sz w:val="24"/>
        </w:rPr>
        <w:t>1.磋商响应文件的封装及标记</w:t>
      </w:r>
    </w:p>
    <w:p w14:paraId="0F3C1440">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pacing w:val="6"/>
          <w:sz w:val="24"/>
        </w:rPr>
        <w:t>磋商响应文件</w:t>
      </w:r>
      <w:r>
        <w:rPr>
          <w:rFonts w:hint="eastAsia" w:ascii="宋体" w:hAnsi="宋体" w:cs="宋体"/>
          <w:color w:val="000000"/>
          <w:sz w:val="24"/>
        </w:rPr>
        <w:t>应按以下要求封装：</w:t>
      </w:r>
    </w:p>
    <w:p w14:paraId="48537E01">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ascii="宋体" w:hAnsi="宋体" w:cs="宋体"/>
          <w:color w:val="000000"/>
          <w:sz w:val="24"/>
        </w:rPr>
      </w:pPr>
      <w:r>
        <w:rPr>
          <w:rFonts w:hint="eastAsia" w:ascii="宋体" w:hAnsi="宋体" w:cs="宋体"/>
          <w:color w:val="000000"/>
          <w:sz w:val="24"/>
        </w:rPr>
        <w:t>A.</w:t>
      </w:r>
      <w:r>
        <w:rPr>
          <w:rFonts w:hint="eastAsia" w:ascii="宋体" w:hAnsi="宋体" w:cs="宋体"/>
          <w:color w:val="000000"/>
          <w:spacing w:val="6"/>
          <w:sz w:val="24"/>
        </w:rPr>
        <w:t>磋商供应商</w:t>
      </w:r>
      <w:r>
        <w:rPr>
          <w:rFonts w:hint="eastAsia" w:ascii="宋体" w:hAnsi="宋体" w:cs="宋体"/>
          <w:color w:val="000000"/>
          <w:sz w:val="24"/>
        </w:rPr>
        <w:t>应将</w:t>
      </w:r>
      <w:r>
        <w:rPr>
          <w:rFonts w:hint="eastAsia" w:ascii="宋体" w:hAnsi="宋体" w:cs="宋体"/>
          <w:color w:val="000000"/>
          <w:spacing w:val="6"/>
          <w:sz w:val="24"/>
        </w:rPr>
        <w:t>磋商响应文件</w:t>
      </w:r>
      <w:r>
        <w:rPr>
          <w:rFonts w:hint="eastAsia" w:ascii="宋体" w:hAnsi="宋体" w:cs="宋体"/>
          <w:color w:val="000000"/>
          <w:sz w:val="24"/>
        </w:rPr>
        <w:t>的正本</w:t>
      </w:r>
      <w:r>
        <w:rPr>
          <w:rFonts w:hint="eastAsia" w:ascii="宋体" w:hAnsi="宋体" w:eastAsia="宋体" w:cs="宋体"/>
          <w:color w:val="auto"/>
          <w:sz w:val="24"/>
          <w:highlight w:val="none"/>
        </w:rPr>
        <w:t>与电子版密封在一个封袋内</w:t>
      </w:r>
      <w:r>
        <w:rPr>
          <w:rFonts w:hint="eastAsia" w:ascii="宋体" w:hAnsi="宋体" w:eastAsia="宋体" w:cs="宋体"/>
          <w:color w:val="000000"/>
          <w:sz w:val="24"/>
          <w:lang w:eastAsia="zh-CN"/>
        </w:rPr>
        <w:t>，</w:t>
      </w:r>
      <w:r>
        <w:rPr>
          <w:rFonts w:hint="eastAsia" w:ascii="宋体" w:hAnsi="宋体" w:cs="宋体"/>
          <w:color w:val="000000"/>
          <w:sz w:val="24"/>
        </w:rPr>
        <w:t>副本单独封装（封袋不得有破损），在封袋上标明“正本”或“副本”字样，封线处加盖</w:t>
      </w:r>
      <w:r>
        <w:rPr>
          <w:rFonts w:hint="eastAsia" w:ascii="宋体" w:hAnsi="宋体" w:cs="宋体"/>
          <w:color w:val="000000"/>
          <w:spacing w:val="6"/>
          <w:sz w:val="24"/>
        </w:rPr>
        <w:t>磋商供应商</w:t>
      </w:r>
      <w:r>
        <w:rPr>
          <w:rFonts w:hint="eastAsia" w:ascii="宋体" w:hAnsi="宋体" w:cs="宋体"/>
          <w:color w:val="000000"/>
          <w:sz w:val="24"/>
        </w:rPr>
        <w:t>公章，封袋正面要粘贴标识。磋商响应文件中资质证明文件为复印件加盖磋商供应商公章；</w:t>
      </w:r>
    </w:p>
    <w:p w14:paraId="3E2B430F">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ascii="宋体" w:hAnsi="宋体" w:cs="宋体"/>
          <w:color w:val="000000"/>
          <w:sz w:val="24"/>
        </w:rPr>
      </w:pPr>
      <w:r>
        <w:rPr>
          <w:rFonts w:hint="eastAsia" w:ascii="宋体" w:hAnsi="宋体" w:cs="宋体"/>
          <w:color w:val="000000"/>
          <w:sz w:val="24"/>
        </w:rPr>
        <w:t>B.封袋正面标识式样（参见格式A）。</w:t>
      </w:r>
    </w:p>
    <w:p w14:paraId="4B1A8E07">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ascii="宋体" w:hAnsi="宋体" w:cs="宋体"/>
          <w:b/>
          <w:color w:val="000000"/>
          <w:sz w:val="24"/>
        </w:rPr>
      </w:pPr>
      <w:r>
        <w:rPr>
          <w:rFonts w:hint="eastAsia" w:ascii="宋体" w:hAnsi="宋体" w:cs="宋体"/>
          <w:color w:val="000000"/>
          <w:sz w:val="24"/>
        </w:rPr>
        <w:t>（2）如果磋商供应商未按上述要求封装及加写标记，误投或过早启封的磋商响应文件，出现此类情况的磋商响应文件，采购代理机构将拒绝接收，并退回磋商供应商。采购代理机构对磋商响应文件的误投和提前启封概不负责。</w:t>
      </w:r>
    </w:p>
    <w:p w14:paraId="6BCB24BA">
      <w:pPr>
        <w:spacing w:line="460" w:lineRule="exact"/>
        <w:ind w:firstLine="120" w:firstLineChars="50"/>
        <w:rPr>
          <w:rFonts w:ascii="宋体" w:hAnsi="宋体" w:cs="宋体"/>
          <w:color w:val="000000"/>
          <w:sz w:val="24"/>
        </w:rPr>
      </w:pPr>
      <w:r>
        <w:rPr>
          <w:rFonts w:hint="eastAsia" w:ascii="宋体" w:hAnsi="宋体" w:cs="宋体"/>
          <w:b/>
          <w:color w:val="000000"/>
          <w:sz w:val="24"/>
        </w:rPr>
        <w:t>2.磋商响应文件递交</w:t>
      </w:r>
    </w:p>
    <w:p w14:paraId="649645B9">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ascii="宋体" w:hAnsi="宋体" w:cs="宋体"/>
          <w:color w:val="000000"/>
          <w:sz w:val="24"/>
        </w:rPr>
      </w:pPr>
      <w:r>
        <w:rPr>
          <w:rFonts w:hint="eastAsia" w:ascii="宋体" w:hAnsi="宋体" w:cs="宋体"/>
          <w:color w:val="000000"/>
          <w:sz w:val="24"/>
        </w:rPr>
        <w:t>（1）磋商供应商必须在磋商文件规定的时间和地点，将全部磋商响应文件递交至采购代理机构项目；</w:t>
      </w:r>
    </w:p>
    <w:p w14:paraId="405BB0ED">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ascii="宋体" w:hAnsi="宋体" w:cs="宋体"/>
          <w:color w:val="000000"/>
          <w:sz w:val="24"/>
        </w:rPr>
      </w:pPr>
      <w:r>
        <w:rPr>
          <w:rFonts w:hint="eastAsia" w:ascii="宋体" w:hAnsi="宋体" w:cs="宋体"/>
          <w:color w:val="000000"/>
          <w:sz w:val="24"/>
        </w:rPr>
        <w:t>（2）采购代理机构项目在磋商文件规定的磋商响应文件递交截止时间前，只负责磋商响应文件的接收、清点、造册登记工作，并请法定代表人或被授权人签字确认，对其有效性不负任何责任；</w:t>
      </w:r>
    </w:p>
    <w:p w14:paraId="64F4A7B4">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ascii="宋体" w:hAnsi="宋体" w:cs="宋体"/>
          <w:color w:val="000000"/>
          <w:sz w:val="24"/>
        </w:rPr>
      </w:pPr>
      <w:r>
        <w:rPr>
          <w:rFonts w:hint="eastAsia" w:ascii="宋体" w:hAnsi="宋体" w:cs="宋体"/>
          <w:color w:val="000000"/>
          <w:sz w:val="24"/>
        </w:rPr>
        <w:t>（3）采购代理机构在宣布递交磋商响应文件时间截止之后，拒绝接收任何人送达、递交的磋商响应文件；</w:t>
      </w:r>
    </w:p>
    <w:p w14:paraId="302B3FD6">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ascii="宋体" w:hAnsi="宋体" w:cs="宋体"/>
          <w:color w:val="000000"/>
          <w:sz w:val="24"/>
        </w:rPr>
      </w:pPr>
      <w:r>
        <w:rPr>
          <w:rFonts w:hint="eastAsia" w:ascii="宋体" w:hAnsi="宋体" w:cs="宋体"/>
          <w:color w:val="000000"/>
          <w:sz w:val="24"/>
        </w:rPr>
        <w:t>（4）无论磋商供应商成交与否或者废标，其磋商响应文件恕不退还。</w:t>
      </w:r>
    </w:p>
    <w:p w14:paraId="0F91D1DD">
      <w:pPr>
        <w:spacing w:line="460" w:lineRule="exact"/>
        <w:ind w:firstLine="120" w:firstLineChars="50"/>
        <w:rPr>
          <w:rFonts w:ascii="宋体" w:hAnsi="宋体" w:cs="宋体"/>
          <w:b/>
          <w:color w:val="000000"/>
          <w:sz w:val="24"/>
        </w:rPr>
      </w:pPr>
      <w:r>
        <w:rPr>
          <w:rFonts w:hint="eastAsia" w:ascii="宋体" w:hAnsi="宋体" w:cs="宋体"/>
          <w:b/>
          <w:color w:val="000000"/>
          <w:sz w:val="24"/>
        </w:rPr>
        <w:t>3.磋商响应文件递交截止时间</w:t>
      </w:r>
    </w:p>
    <w:p w14:paraId="7952160F">
      <w:pPr>
        <w:keepNext w:val="0"/>
        <w:keepLines w:val="0"/>
        <w:pageBreakBefore w:val="0"/>
        <w:widowControl w:val="0"/>
        <w:kinsoku w:val="0"/>
        <w:wordWrap/>
        <w:overflowPunct/>
        <w:topLinePunct w:val="0"/>
        <w:autoSpaceDE/>
        <w:autoSpaceDN/>
        <w:bidi w:val="0"/>
        <w:adjustRightInd/>
        <w:snapToGrid/>
        <w:spacing w:line="460" w:lineRule="exact"/>
        <w:ind w:firstLine="480" w:firstLineChars="200"/>
        <w:textAlignment w:val="auto"/>
        <w:rPr>
          <w:rFonts w:ascii="宋体" w:hAnsi="宋体" w:cs="宋体"/>
          <w:color w:val="000000"/>
          <w:sz w:val="24"/>
        </w:rPr>
      </w:pPr>
      <w:r>
        <w:rPr>
          <w:rFonts w:hint="eastAsia" w:ascii="宋体" w:hAnsi="宋体" w:cs="宋体"/>
          <w:color w:val="000000"/>
          <w:sz w:val="24"/>
        </w:rPr>
        <w:t>（1）磋商供应商</w:t>
      </w:r>
      <w:r>
        <w:rPr>
          <w:rFonts w:hint="eastAsia" w:ascii="宋体" w:hAnsi="宋体" w:cs="宋体"/>
          <w:color w:val="000000"/>
          <w:spacing w:val="6"/>
          <w:sz w:val="24"/>
        </w:rPr>
        <w:t>必须在磋商文件规定的递交截止时间之前递交磋商响应文件，</w:t>
      </w:r>
      <w:r>
        <w:rPr>
          <w:rFonts w:hint="eastAsia" w:ascii="宋体" w:hAnsi="宋体" w:cs="宋体"/>
          <w:color w:val="000000"/>
          <w:sz w:val="24"/>
        </w:rPr>
        <w:t>采购代理机构在截止时间后拒绝接收任何磋商响应文件。</w:t>
      </w:r>
    </w:p>
    <w:p w14:paraId="638C29A9">
      <w:pPr>
        <w:keepNext w:val="0"/>
        <w:keepLines w:val="0"/>
        <w:pageBreakBefore w:val="0"/>
        <w:widowControl w:val="0"/>
        <w:kinsoku w:val="0"/>
        <w:wordWrap/>
        <w:overflowPunct/>
        <w:topLinePunct w:val="0"/>
        <w:autoSpaceDE/>
        <w:autoSpaceDN/>
        <w:bidi w:val="0"/>
        <w:adjustRightInd/>
        <w:snapToGrid/>
        <w:spacing w:line="460" w:lineRule="exact"/>
        <w:ind w:firstLine="480" w:firstLineChars="200"/>
        <w:textAlignment w:val="auto"/>
        <w:rPr>
          <w:rFonts w:ascii="宋体" w:hAnsi="宋体" w:cs="宋体"/>
          <w:color w:val="000000"/>
          <w:sz w:val="24"/>
        </w:rPr>
      </w:pPr>
      <w:r>
        <w:rPr>
          <w:rFonts w:hint="eastAsia" w:ascii="宋体" w:hAnsi="宋体" w:cs="宋体"/>
          <w:color w:val="000000"/>
          <w:sz w:val="24"/>
        </w:rPr>
        <w:t>（2）采购代理机构因采购人推迟磋商截止时间时，应以书面（或传真）的形式，通知所有磋商供应商；在这种情况下，采购代理机构和磋商供应商的权利和义务将受到新的截止期的约束。</w:t>
      </w:r>
    </w:p>
    <w:p w14:paraId="005F07D9">
      <w:pPr>
        <w:spacing w:line="460" w:lineRule="exact"/>
        <w:ind w:firstLine="120" w:firstLineChars="50"/>
        <w:rPr>
          <w:rFonts w:ascii="宋体" w:hAnsi="宋体" w:cs="宋体"/>
          <w:b/>
          <w:color w:val="000000"/>
          <w:sz w:val="24"/>
        </w:rPr>
      </w:pPr>
      <w:r>
        <w:rPr>
          <w:rFonts w:hint="eastAsia" w:ascii="宋体" w:hAnsi="宋体" w:cs="宋体"/>
          <w:b/>
          <w:color w:val="000000"/>
          <w:sz w:val="24"/>
        </w:rPr>
        <w:t>4.磋商响应文件的修改和撤回</w:t>
      </w:r>
    </w:p>
    <w:p w14:paraId="7729B26A">
      <w:pPr>
        <w:spacing w:line="460" w:lineRule="exact"/>
        <w:ind w:firstLine="240" w:firstLineChars="100"/>
        <w:rPr>
          <w:rFonts w:ascii="宋体" w:hAnsi="宋体" w:cs="宋体"/>
          <w:color w:val="000000"/>
          <w:sz w:val="24"/>
        </w:rPr>
      </w:pPr>
      <w:r>
        <w:rPr>
          <w:rFonts w:hint="eastAsia" w:ascii="宋体" w:hAnsi="宋体" w:cs="宋体"/>
          <w:color w:val="000000"/>
          <w:sz w:val="24"/>
        </w:rPr>
        <w:t>（1）磋商响应文件递交后，如果磋商供应商提出书面修改和撤回磋商响应文件要求，在磋商截止时间前以书面形式送达采购代理机构；</w:t>
      </w:r>
    </w:p>
    <w:p w14:paraId="3935A468">
      <w:pPr>
        <w:spacing w:line="460" w:lineRule="exact"/>
        <w:ind w:firstLine="240" w:firstLineChars="100"/>
        <w:rPr>
          <w:rFonts w:ascii="宋体" w:hAnsi="宋体" w:cs="宋体"/>
          <w:color w:val="000000"/>
          <w:sz w:val="24"/>
        </w:rPr>
      </w:pPr>
      <w:r>
        <w:rPr>
          <w:rFonts w:hint="eastAsia" w:ascii="宋体" w:hAnsi="宋体" w:cs="宋体"/>
          <w:color w:val="000000"/>
          <w:sz w:val="24"/>
        </w:rPr>
        <w:t>（2）磋商供应商修改磋商响应文件的书面材料，须密封送达采购代理机构，修改或补充的内容应按磋商文件要求签署、盖章、密封、标记，并作为磋商响应文件的组成部分；</w:t>
      </w:r>
    </w:p>
    <w:p w14:paraId="39D83E47">
      <w:pPr>
        <w:spacing w:line="460" w:lineRule="exact"/>
        <w:ind w:firstLine="240" w:firstLineChars="100"/>
        <w:rPr>
          <w:rFonts w:ascii="宋体" w:hAnsi="宋体" w:cs="宋体"/>
          <w:color w:val="000000"/>
          <w:sz w:val="24"/>
        </w:rPr>
      </w:pPr>
      <w:r>
        <w:rPr>
          <w:rFonts w:hint="eastAsia" w:ascii="宋体" w:hAnsi="宋体" w:cs="宋体"/>
          <w:color w:val="000000"/>
          <w:sz w:val="24"/>
        </w:rPr>
        <w:t>（3）撤回磋商响应文件应以书面（或传真）的形式通知采购代理机构。如采取传真形式撤回磋商响应文件，随后必须补充有法定代表人或被授权人签署的要求撤回磋商响应文件的正式文件；撤回磋商响应文件的时间以送达采购代理机构到达日期为准；</w:t>
      </w:r>
    </w:p>
    <w:p w14:paraId="6EBD9D22">
      <w:pPr>
        <w:spacing w:line="460" w:lineRule="exact"/>
        <w:ind w:firstLine="240" w:firstLineChars="100"/>
        <w:rPr>
          <w:rFonts w:ascii="宋体" w:hAnsi="宋体" w:cs="宋体"/>
          <w:color w:val="000000"/>
          <w:sz w:val="24"/>
        </w:rPr>
      </w:pPr>
      <w:r>
        <w:rPr>
          <w:rFonts w:hint="eastAsia" w:ascii="宋体" w:hAnsi="宋体" w:cs="宋体"/>
          <w:color w:val="000000"/>
          <w:sz w:val="24"/>
        </w:rPr>
        <w:t>（4）在磋商截止时间后到磋商文件规定的磋商有效期满之间的这段时间内，磋商供应商不得撤回其磋商响应文件；</w:t>
      </w:r>
    </w:p>
    <w:p w14:paraId="61846D8D">
      <w:pPr>
        <w:spacing w:line="460" w:lineRule="exact"/>
        <w:ind w:firstLine="240" w:firstLineChars="100"/>
        <w:rPr>
          <w:rFonts w:hint="eastAsia"/>
        </w:rPr>
      </w:pPr>
      <w:r>
        <w:rPr>
          <w:rFonts w:hint="eastAsia" w:ascii="宋体" w:hAnsi="宋体" w:cs="宋体"/>
          <w:color w:val="000000"/>
          <w:sz w:val="24"/>
        </w:rPr>
        <w:t>（5）磋商供应商在磋商响应文件递交截止时间后，不得对其磋商响应文件做任何修改。</w:t>
      </w:r>
    </w:p>
    <w:p w14:paraId="0E98240B">
      <w:pPr>
        <w:jc w:val="center"/>
        <w:rPr>
          <w:rFonts w:ascii="宋体" w:hAnsi="宋体" w:cs="宋体"/>
          <w:color w:val="000000"/>
          <w:sz w:val="30"/>
          <w:szCs w:val="30"/>
        </w:rPr>
      </w:pPr>
      <w:r>
        <w:rPr>
          <w:rFonts w:hint="eastAsia" w:ascii="宋体" w:hAnsi="宋体" w:cs="宋体"/>
          <w:b/>
          <w:color w:val="000000"/>
          <w:sz w:val="30"/>
          <w:szCs w:val="30"/>
        </w:rPr>
        <w:t>六、磋商、澄清、成交</w:t>
      </w:r>
    </w:p>
    <w:p w14:paraId="1BE6EB6A">
      <w:pPr>
        <w:spacing w:line="460" w:lineRule="exact"/>
        <w:ind w:firstLine="120" w:firstLineChars="50"/>
        <w:rPr>
          <w:rFonts w:ascii="宋体" w:hAnsi="宋体" w:cs="宋体"/>
          <w:b/>
          <w:color w:val="000000"/>
          <w:sz w:val="24"/>
        </w:rPr>
      </w:pPr>
      <w:r>
        <w:rPr>
          <w:rFonts w:hint="eastAsia" w:ascii="宋体" w:hAnsi="宋体" w:cs="宋体"/>
          <w:b/>
          <w:color w:val="000000"/>
          <w:sz w:val="24"/>
        </w:rPr>
        <w:t>1.磋商方法</w:t>
      </w:r>
    </w:p>
    <w:p w14:paraId="0F7648AF">
      <w:pPr>
        <w:spacing w:line="460" w:lineRule="exact"/>
        <w:ind w:left="120" w:leftChars="57" w:firstLine="240" w:firstLineChars="100"/>
        <w:rPr>
          <w:rFonts w:ascii="宋体" w:hAnsi="宋体" w:cs="宋体"/>
          <w:b/>
          <w:bCs/>
          <w:color w:val="FF0000"/>
          <w:sz w:val="24"/>
          <w:u w:val="single"/>
        </w:rPr>
      </w:pPr>
      <w:r>
        <w:rPr>
          <w:rFonts w:hint="eastAsia" w:ascii="宋体" w:hAnsi="宋体" w:cs="宋体"/>
          <w:color w:val="000000"/>
          <w:sz w:val="24"/>
        </w:rPr>
        <w:t>（1）磋商方法：</w:t>
      </w:r>
      <w:r>
        <w:rPr>
          <w:rFonts w:hint="eastAsia" w:ascii="宋体" w:hAnsi="宋体" w:cs="宋体"/>
          <w:sz w:val="24"/>
        </w:rPr>
        <w:t>采用综合评分法</w:t>
      </w:r>
    </w:p>
    <w:p w14:paraId="3C289106">
      <w:pPr>
        <w:spacing w:line="460" w:lineRule="exact"/>
        <w:ind w:left="120" w:leftChars="57" w:firstLine="240" w:firstLineChars="100"/>
        <w:rPr>
          <w:rFonts w:ascii="宋体" w:hAnsi="宋体" w:cs="宋体"/>
          <w:color w:val="000000"/>
          <w:sz w:val="24"/>
        </w:rPr>
      </w:pPr>
      <w:r>
        <w:rPr>
          <w:rFonts w:hint="eastAsia" w:ascii="宋体" w:hAnsi="宋体" w:cs="宋体"/>
          <w:color w:val="000000"/>
          <w:sz w:val="24"/>
        </w:rPr>
        <w:t>（2）磋商程序：采购代理机构宣布大会开始，宣布会场纪律，介绍参会人员情况，响应单位点到，查验响应文件密封情况，拆封响应文件，对</w:t>
      </w: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lang w:val="en-US" w:eastAsia="zh-CN"/>
        </w:rPr>
        <w:t>响应文件进行</w:t>
      </w:r>
      <w:r>
        <w:rPr>
          <w:rFonts w:hint="eastAsia" w:ascii="宋体" w:hAnsi="宋体" w:eastAsia="宋体" w:cs="宋体"/>
          <w:color w:val="auto"/>
          <w:sz w:val="24"/>
          <w:highlight w:val="none"/>
        </w:rPr>
        <w:t>资格审查</w:t>
      </w:r>
      <w:r>
        <w:rPr>
          <w:rFonts w:hint="eastAsia" w:ascii="宋体" w:hAnsi="宋体" w:cs="宋体"/>
          <w:color w:val="000000"/>
          <w:sz w:val="24"/>
        </w:rPr>
        <w:t>，磋商小组对响应文件的符合性审查，对参加磋商的磋商供应商分别进行磋商，磋商小组推荐1-3名供应商。</w:t>
      </w:r>
    </w:p>
    <w:p w14:paraId="36AB2A45">
      <w:pPr>
        <w:spacing w:line="460" w:lineRule="exact"/>
        <w:ind w:firstLine="120" w:firstLineChars="50"/>
        <w:rPr>
          <w:rFonts w:ascii="宋体" w:hAnsi="宋体" w:cs="宋体"/>
          <w:b/>
          <w:color w:val="000000"/>
          <w:sz w:val="24"/>
        </w:rPr>
      </w:pPr>
      <w:r>
        <w:rPr>
          <w:rFonts w:hint="eastAsia" w:ascii="宋体" w:hAnsi="宋体" w:cs="宋体"/>
          <w:b/>
          <w:color w:val="000000"/>
          <w:sz w:val="24"/>
        </w:rPr>
        <w:t>2.磋商</w:t>
      </w:r>
    </w:p>
    <w:p w14:paraId="5ECD24D9">
      <w:pPr>
        <w:spacing w:line="460" w:lineRule="exact"/>
        <w:ind w:left="120" w:leftChars="57" w:firstLine="240" w:firstLineChars="100"/>
        <w:rPr>
          <w:rFonts w:ascii="宋体" w:hAnsi="宋体" w:cs="宋体"/>
          <w:color w:val="000000"/>
          <w:sz w:val="24"/>
        </w:rPr>
      </w:pPr>
      <w:r>
        <w:rPr>
          <w:rFonts w:hint="eastAsia" w:ascii="宋体" w:hAnsi="宋体" w:cs="宋体"/>
          <w:color w:val="000000"/>
          <w:sz w:val="24"/>
        </w:rPr>
        <w:t>（1）采购代理机构按竞争性磋商文件规定的时间、地点组织磋商；磋商大会由监督机构</w:t>
      </w:r>
      <w:r>
        <w:rPr>
          <w:rFonts w:hint="eastAsia" w:ascii="宋体" w:hAnsi="宋体" w:cs="宋体"/>
          <w:color w:val="000000"/>
          <w:sz w:val="24"/>
          <w:lang w:eastAsia="zh-CN"/>
        </w:rPr>
        <w:t>代表</w:t>
      </w:r>
      <w:r>
        <w:rPr>
          <w:rFonts w:hint="eastAsia" w:ascii="宋体" w:hAnsi="宋体" w:cs="宋体"/>
          <w:color w:val="000000"/>
          <w:sz w:val="24"/>
        </w:rPr>
        <w:t>、磋商供应商代表及采购代理机构工作人员参加，参会代表应签名报到，以证明其出席；</w:t>
      </w:r>
    </w:p>
    <w:p w14:paraId="666899EC">
      <w:pPr>
        <w:spacing w:line="460" w:lineRule="exact"/>
        <w:ind w:left="120" w:leftChars="57" w:firstLine="240" w:firstLineChars="100"/>
        <w:rPr>
          <w:rFonts w:ascii="宋体" w:hAnsi="宋体" w:cs="宋体"/>
          <w:color w:val="000000"/>
          <w:sz w:val="24"/>
        </w:rPr>
      </w:pPr>
      <w:r>
        <w:rPr>
          <w:rFonts w:hint="eastAsia" w:ascii="宋体" w:hAnsi="宋体" w:cs="宋体"/>
          <w:color w:val="000000"/>
          <w:sz w:val="24"/>
        </w:rPr>
        <w:t>（2）为确保磋商工作公开、公平、公正，依法成立磋商小组。磋商小组由有关专家组成，其中技术、经济等方面的专家不少于磋商小组成员总数的三分之二，专家名单由有关人员在陕西省财政厅政府采购专家库中随机抽取，磋商小组成员应当遵守并履行下列责任和义务：</w:t>
      </w:r>
    </w:p>
    <w:p w14:paraId="1682FEA6">
      <w:pPr>
        <w:spacing w:line="460" w:lineRule="exact"/>
        <w:ind w:left="120" w:leftChars="57" w:firstLine="480" w:firstLineChars="200"/>
        <w:rPr>
          <w:rFonts w:ascii="宋体" w:hAnsi="宋体" w:cs="宋体"/>
          <w:color w:val="000000"/>
          <w:sz w:val="24"/>
        </w:rPr>
      </w:pPr>
      <w:r>
        <w:rPr>
          <w:rFonts w:hint="eastAsia" w:ascii="宋体" w:hAnsi="宋体" w:cs="宋体"/>
          <w:color w:val="000000"/>
          <w:sz w:val="24"/>
        </w:rPr>
        <w:t>A.要严格遵守政府采购相关法律制度，依法履行各自职责，公正、客观、审慎地组织和参与评审工作；</w:t>
      </w:r>
    </w:p>
    <w:p w14:paraId="0A332512">
      <w:pPr>
        <w:spacing w:line="460" w:lineRule="exact"/>
        <w:ind w:left="120" w:leftChars="57" w:firstLine="480" w:firstLineChars="200"/>
        <w:rPr>
          <w:rFonts w:ascii="宋体" w:hAnsi="宋体" w:cs="宋体"/>
          <w:color w:val="000000"/>
          <w:sz w:val="24"/>
        </w:rPr>
      </w:pPr>
      <w:r>
        <w:rPr>
          <w:rFonts w:hint="eastAsia" w:ascii="宋体" w:hAnsi="宋体" w:cs="宋体"/>
          <w:color w:val="000000"/>
          <w:sz w:val="24"/>
        </w:rPr>
        <w:t>B.对磋商响应文件进行符合性检查，并做出评价；</w:t>
      </w:r>
    </w:p>
    <w:p w14:paraId="440F0C41">
      <w:pPr>
        <w:spacing w:line="460" w:lineRule="exact"/>
        <w:ind w:left="120" w:leftChars="57" w:firstLine="480" w:firstLineChars="200"/>
        <w:rPr>
          <w:rFonts w:ascii="宋体" w:hAnsi="宋体" w:cs="宋体"/>
          <w:color w:val="000000"/>
          <w:sz w:val="24"/>
        </w:rPr>
      </w:pPr>
      <w:r>
        <w:rPr>
          <w:rFonts w:hint="eastAsia" w:ascii="宋体" w:hAnsi="宋体" w:cs="宋体"/>
          <w:color w:val="000000"/>
          <w:sz w:val="24"/>
        </w:rPr>
        <w:t xml:space="preserve">C.按竞争性磋商采购邀请书规定的评审方法和标准，进行比较和评价； </w:t>
      </w:r>
    </w:p>
    <w:p w14:paraId="0E94CEFE">
      <w:pPr>
        <w:spacing w:line="460" w:lineRule="exact"/>
        <w:ind w:left="120" w:leftChars="57" w:firstLine="480" w:firstLineChars="200"/>
        <w:rPr>
          <w:rFonts w:ascii="宋体" w:hAnsi="宋体" w:cs="宋体"/>
          <w:color w:val="000000"/>
          <w:sz w:val="24"/>
        </w:rPr>
      </w:pPr>
      <w:r>
        <w:rPr>
          <w:rFonts w:hint="eastAsia" w:ascii="宋体" w:hAnsi="宋体" w:cs="宋体"/>
          <w:color w:val="000000"/>
          <w:sz w:val="24"/>
        </w:rPr>
        <w:t>D.要求磋商供应商对磋商响应文件有关事项作出解释或澄清；</w:t>
      </w:r>
    </w:p>
    <w:p w14:paraId="0BDDD542">
      <w:pPr>
        <w:spacing w:line="460" w:lineRule="exact"/>
        <w:ind w:left="120" w:leftChars="57" w:firstLine="480" w:firstLineChars="200"/>
        <w:rPr>
          <w:rFonts w:ascii="宋体" w:hAnsi="宋体" w:cs="宋体"/>
          <w:color w:val="000000"/>
          <w:sz w:val="24"/>
        </w:rPr>
      </w:pPr>
      <w:r>
        <w:rPr>
          <w:rFonts w:hint="eastAsia" w:ascii="宋体" w:hAnsi="宋体" w:cs="宋体"/>
          <w:color w:val="000000"/>
          <w:sz w:val="24"/>
        </w:rPr>
        <w:t>E.要依法独立评审，按照竞争性磋商采购邀请书的要求和评标标准进行评标，推荐成交候选供应商名单，对评审意见承担个人责任；</w:t>
      </w:r>
    </w:p>
    <w:p w14:paraId="529F942C">
      <w:pPr>
        <w:spacing w:line="460" w:lineRule="exact"/>
        <w:ind w:left="120" w:leftChars="57" w:firstLine="480" w:firstLineChars="200"/>
        <w:rPr>
          <w:rFonts w:ascii="宋体" w:hAnsi="宋体" w:cs="宋体"/>
          <w:color w:val="000000"/>
          <w:sz w:val="24"/>
        </w:rPr>
      </w:pPr>
      <w:r>
        <w:rPr>
          <w:rFonts w:hint="eastAsia" w:ascii="宋体" w:hAnsi="宋体" w:cs="宋体"/>
          <w:color w:val="000000"/>
          <w:sz w:val="24"/>
        </w:rPr>
        <w:t xml:space="preserve">F.对需要共同认定的事项存在争议的，按照少数服从多数的原则做出结论。持不同意见的磋商小组成员应当在评审报告上签署不同意见并说明理由，否则视为同意； </w:t>
      </w:r>
    </w:p>
    <w:p w14:paraId="1642CA6A">
      <w:pPr>
        <w:spacing w:line="460" w:lineRule="exact"/>
        <w:ind w:left="120" w:leftChars="57" w:firstLine="480" w:firstLineChars="200"/>
        <w:rPr>
          <w:rFonts w:ascii="宋体" w:hAnsi="宋体" w:cs="宋体"/>
          <w:color w:val="000000"/>
          <w:sz w:val="24"/>
        </w:rPr>
      </w:pPr>
      <w:r>
        <w:rPr>
          <w:rFonts w:hint="eastAsia" w:ascii="宋体" w:hAnsi="宋体" w:cs="宋体"/>
          <w:color w:val="000000"/>
          <w:sz w:val="24"/>
        </w:rPr>
        <w:t>G.对评审情况以及在评审过程中获悉的国家秘密、商业秘密负有保密责任；</w:t>
      </w:r>
    </w:p>
    <w:p w14:paraId="3D556B16">
      <w:pPr>
        <w:spacing w:line="460" w:lineRule="exact"/>
        <w:ind w:left="120" w:leftChars="57" w:firstLine="480" w:firstLineChars="200"/>
        <w:rPr>
          <w:rFonts w:ascii="宋体" w:hAnsi="宋体" w:cs="宋体"/>
          <w:color w:val="000000"/>
          <w:sz w:val="24"/>
        </w:rPr>
      </w:pPr>
      <w:r>
        <w:rPr>
          <w:rFonts w:hint="eastAsia" w:ascii="宋体" w:hAnsi="宋体" w:cs="宋体"/>
          <w:color w:val="000000"/>
          <w:sz w:val="24"/>
        </w:rPr>
        <w:t>H.配合财政部门的投诉处理工作；</w:t>
      </w:r>
    </w:p>
    <w:p w14:paraId="6C81028C">
      <w:pPr>
        <w:spacing w:line="460" w:lineRule="exact"/>
        <w:ind w:left="120" w:leftChars="57" w:firstLine="480" w:firstLineChars="200"/>
        <w:rPr>
          <w:rFonts w:ascii="宋体" w:hAnsi="宋体" w:cs="宋体"/>
          <w:color w:val="000000"/>
          <w:sz w:val="24"/>
        </w:rPr>
      </w:pPr>
      <w:r>
        <w:rPr>
          <w:rFonts w:hint="eastAsia" w:ascii="宋体" w:hAnsi="宋体" w:cs="宋体"/>
          <w:color w:val="000000"/>
          <w:sz w:val="24"/>
        </w:rPr>
        <w:t>I.配合采购人、采购代理机构答复磋商供应商提出的质疑。</w:t>
      </w:r>
    </w:p>
    <w:p w14:paraId="7ABFA623">
      <w:pPr>
        <w:spacing w:line="460" w:lineRule="exact"/>
        <w:ind w:firstLine="120" w:firstLineChars="50"/>
        <w:rPr>
          <w:rFonts w:ascii="宋体" w:hAnsi="宋体" w:cs="宋体"/>
          <w:b/>
          <w:color w:val="000000"/>
          <w:sz w:val="24"/>
        </w:rPr>
      </w:pPr>
      <w:r>
        <w:rPr>
          <w:rFonts w:hint="eastAsia" w:ascii="宋体" w:hAnsi="宋体" w:cs="宋体"/>
          <w:b/>
          <w:color w:val="000000"/>
          <w:sz w:val="24"/>
        </w:rPr>
        <w:t>3.磋商响应文件的初审</w:t>
      </w:r>
    </w:p>
    <w:p w14:paraId="62A40CC9">
      <w:pPr>
        <w:spacing w:line="460" w:lineRule="atLeast"/>
        <w:ind w:firstLine="482" w:firstLineChars="200"/>
        <w:rPr>
          <w:rFonts w:hint="eastAsia" w:ascii="宋体" w:hAnsi="宋体" w:cs="宋体"/>
          <w:b/>
          <w:sz w:val="24"/>
        </w:rPr>
      </w:pPr>
      <w:r>
        <w:rPr>
          <w:rFonts w:hint="eastAsia" w:ascii="宋体" w:hAnsi="宋体" w:cs="宋体"/>
          <w:b/>
          <w:sz w:val="24"/>
        </w:rPr>
        <w:t>磋商响应文件正本与副本不一致的，以正本为准</w:t>
      </w:r>
      <w:r>
        <w:rPr>
          <w:rFonts w:hint="eastAsia" w:ascii="宋体" w:hAnsi="宋体" w:cs="宋体"/>
          <w:b/>
          <w:sz w:val="24"/>
          <w:lang w:eastAsia="zh-CN"/>
        </w:rPr>
        <w:t>。</w:t>
      </w:r>
    </w:p>
    <w:p w14:paraId="7C1AB501">
      <w:pPr>
        <w:spacing w:line="460" w:lineRule="atLeast"/>
        <w:ind w:firstLine="482" w:firstLineChars="200"/>
        <w:rPr>
          <w:rFonts w:ascii="宋体" w:hAnsi="宋体" w:cs="宋体"/>
          <w:b/>
          <w:sz w:val="24"/>
        </w:rPr>
      </w:pPr>
      <w:r>
        <w:rPr>
          <w:rFonts w:hint="eastAsia" w:ascii="宋体" w:hAnsi="宋体" w:cs="宋体"/>
          <w:b/>
          <w:sz w:val="24"/>
        </w:rPr>
        <w:t>（1）响应文件审查(初审)</w:t>
      </w:r>
    </w:p>
    <w:p w14:paraId="1390048E">
      <w:pPr>
        <w:spacing w:line="460" w:lineRule="atLeast"/>
        <w:ind w:firstLine="480" w:firstLineChars="200"/>
        <w:rPr>
          <w:rFonts w:ascii="宋体" w:hAnsi="宋体" w:cs="宋体"/>
          <w:color w:val="000000"/>
          <w:sz w:val="24"/>
        </w:rPr>
      </w:pPr>
      <w:r>
        <w:rPr>
          <w:rFonts w:hint="eastAsia" w:ascii="宋体" w:hAnsi="宋体" w:cs="宋体"/>
          <w:color w:val="000000"/>
          <w:sz w:val="24"/>
        </w:rPr>
        <w:t>审查分为资格性检查和符合性检查。分别按照以下内容对响应文件进行检查，一项不合格即按照无效响应处理。</w:t>
      </w:r>
    </w:p>
    <w:p w14:paraId="4BD40A5C">
      <w:pPr>
        <w:spacing w:line="460" w:lineRule="atLeast"/>
        <w:ind w:firstLine="480" w:firstLineChars="200"/>
        <w:rPr>
          <w:rFonts w:ascii="宋体" w:hAnsi="宋体" w:cs="宋体"/>
          <w:color w:val="000000"/>
          <w:sz w:val="24"/>
        </w:rPr>
      </w:pPr>
      <w:r>
        <w:rPr>
          <w:rFonts w:hint="eastAsia" w:ascii="宋体" w:hAnsi="宋体" w:cs="宋体"/>
          <w:color w:val="000000"/>
          <w:sz w:val="24"/>
        </w:rPr>
        <w:t>响应文件审查合格的为实质性响应磋商文件要求的供应商。</w:t>
      </w:r>
    </w:p>
    <w:p w14:paraId="67CD7D3A">
      <w:pPr>
        <w:spacing w:line="460" w:lineRule="atLeast"/>
        <w:ind w:firstLine="480" w:firstLineChars="200"/>
        <w:rPr>
          <w:rFonts w:ascii="宋体" w:hAnsi="宋体" w:cs="宋体"/>
          <w:sz w:val="24"/>
        </w:rPr>
      </w:pPr>
      <w:r>
        <w:rPr>
          <w:rFonts w:hint="eastAsia" w:ascii="宋体" w:hAnsi="宋体" w:cs="宋体"/>
          <w:sz w:val="24"/>
        </w:rPr>
        <w:t>1）资格性检查</w:t>
      </w:r>
    </w:p>
    <w:p w14:paraId="57461409">
      <w:pPr>
        <w:spacing w:line="460" w:lineRule="atLeast"/>
        <w:ind w:firstLine="480" w:firstLineChars="200"/>
        <w:rPr>
          <w:rFonts w:ascii="宋体" w:hAnsi="宋体" w:cs="宋体"/>
          <w:sz w:val="24"/>
        </w:rPr>
      </w:pPr>
      <w:r>
        <w:rPr>
          <w:rFonts w:hint="eastAsia" w:ascii="宋体" w:hAnsi="宋体" w:cs="宋体"/>
          <w:sz w:val="24"/>
        </w:rPr>
        <w:t>有下列情形之一的，应在资格审查时按照无效磋商处理：</w:t>
      </w:r>
    </w:p>
    <w:p w14:paraId="251B3BBF">
      <w:pPr>
        <w:spacing w:line="460" w:lineRule="atLeast"/>
        <w:ind w:firstLine="480" w:firstLineChars="200"/>
        <w:rPr>
          <w:rFonts w:ascii="宋体" w:hAnsi="宋体" w:cs="宋体"/>
          <w:sz w:val="24"/>
        </w:rPr>
      </w:pPr>
      <w:r>
        <w:rPr>
          <w:rFonts w:hint="eastAsia" w:ascii="宋体" w:hAnsi="宋体" w:cs="宋体"/>
          <w:sz w:val="24"/>
        </w:rPr>
        <w:t>(1)供应商不具备磋商文件规定的供应商资格条件的；</w:t>
      </w:r>
    </w:p>
    <w:p w14:paraId="5BC7126A">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outlineLvl w:val="9"/>
        <w:rPr>
          <w:rFonts w:ascii="宋体" w:hAnsi="宋体" w:cs="宋体"/>
          <w:sz w:val="24"/>
          <w:highlight w:val="none"/>
        </w:rPr>
      </w:pPr>
      <w:r>
        <w:rPr>
          <w:rFonts w:hint="eastAsia" w:ascii="宋体" w:hAnsi="宋体" w:cs="宋体"/>
          <w:sz w:val="24"/>
          <w:highlight w:val="none"/>
        </w:rPr>
        <w:t>(2)报价超过磋商文件中规定的</w:t>
      </w:r>
      <w:r>
        <w:rPr>
          <w:rFonts w:hint="eastAsia" w:ascii="宋体" w:hAnsi="宋体" w:cs="宋体"/>
          <w:sz w:val="24"/>
          <w:highlight w:val="none"/>
          <w:lang w:eastAsia="zh-CN"/>
        </w:rPr>
        <w:t>项目预算</w:t>
      </w:r>
      <w:r>
        <w:rPr>
          <w:rFonts w:hint="eastAsia" w:ascii="宋体" w:hAnsi="宋体" w:cs="宋体"/>
          <w:sz w:val="24"/>
          <w:highlight w:val="none"/>
        </w:rPr>
        <w:t>的；</w:t>
      </w:r>
    </w:p>
    <w:p w14:paraId="460E40B7">
      <w:pPr>
        <w:spacing w:line="460" w:lineRule="atLeast"/>
        <w:ind w:firstLine="480" w:firstLineChars="200"/>
        <w:rPr>
          <w:rFonts w:ascii="宋体" w:hAnsi="宋体" w:cs="宋体"/>
          <w:color w:val="FF0000"/>
          <w:sz w:val="24"/>
        </w:rPr>
      </w:pPr>
      <w:r>
        <w:rPr>
          <w:rFonts w:hint="eastAsia" w:ascii="宋体" w:hAnsi="宋体" w:cs="宋体"/>
          <w:sz w:val="24"/>
        </w:rPr>
        <w:t>2）符合性检查</w:t>
      </w:r>
    </w:p>
    <w:p w14:paraId="6450131B">
      <w:pPr>
        <w:spacing w:line="460" w:lineRule="atLeast"/>
        <w:ind w:firstLine="480" w:firstLineChars="200"/>
        <w:rPr>
          <w:rFonts w:ascii="宋体" w:hAnsi="宋体" w:cs="宋体"/>
          <w:bCs/>
          <w:sz w:val="24"/>
        </w:rPr>
      </w:pPr>
      <w:r>
        <w:rPr>
          <w:rFonts w:hint="eastAsia" w:ascii="宋体" w:hAnsi="宋体" w:cs="宋体"/>
          <w:bCs/>
          <w:sz w:val="24"/>
        </w:rPr>
        <w:t>磋商供应商及磋商响应文件符合性审查，出现下列情况之一者（但不限于），按无效标处理。</w:t>
      </w:r>
    </w:p>
    <w:p w14:paraId="70BA567B">
      <w:pPr>
        <w:spacing w:line="460" w:lineRule="atLeast"/>
        <w:ind w:firstLine="480" w:firstLineChars="200"/>
        <w:rPr>
          <w:rFonts w:ascii="宋体" w:hAnsi="宋体" w:cs="宋体"/>
          <w:bCs/>
          <w:sz w:val="24"/>
        </w:rPr>
      </w:pPr>
      <w:r>
        <w:rPr>
          <w:rFonts w:hint="eastAsia" w:ascii="宋体" w:hAnsi="宋体" w:cs="宋体"/>
          <w:sz w:val="24"/>
        </w:rPr>
        <w:t>(1)</w:t>
      </w:r>
      <w:r>
        <w:rPr>
          <w:rFonts w:hint="eastAsia" w:ascii="宋体" w:hAnsi="宋体" w:cs="宋体"/>
          <w:bCs/>
          <w:sz w:val="24"/>
        </w:rPr>
        <w:t>磋商内容出现漏项或数量与要求不符，出现重大负偏差；</w:t>
      </w:r>
    </w:p>
    <w:p w14:paraId="012B67B1">
      <w:pPr>
        <w:spacing w:line="460" w:lineRule="atLeast"/>
        <w:ind w:firstLine="480" w:firstLineChars="200"/>
        <w:rPr>
          <w:rFonts w:ascii="宋体" w:hAnsi="宋体" w:cs="宋体"/>
          <w:bCs/>
          <w:sz w:val="24"/>
        </w:rPr>
      </w:pPr>
      <w:r>
        <w:rPr>
          <w:rFonts w:hint="eastAsia" w:ascii="宋体" w:hAnsi="宋体" w:cs="宋体"/>
          <w:sz w:val="24"/>
        </w:rPr>
        <w:t>(2)</w:t>
      </w:r>
      <w:r>
        <w:rPr>
          <w:rFonts w:hint="eastAsia" w:ascii="宋体" w:hAnsi="宋体" w:cs="宋体"/>
          <w:bCs/>
          <w:sz w:val="24"/>
        </w:rPr>
        <w:t>磋商响应文件的签</w:t>
      </w:r>
      <w:r>
        <w:rPr>
          <w:rFonts w:hint="eastAsia" w:ascii="宋体" w:hAnsi="宋体" w:cs="宋体"/>
          <w:bCs/>
          <w:sz w:val="24"/>
          <w:highlight w:val="none"/>
        </w:rPr>
        <w:t>署、加盖</w:t>
      </w:r>
      <w:r>
        <w:rPr>
          <w:rFonts w:hint="eastAsia" w:ascii="宋体" w:hAnsi="宋体" w:cs="宋体"/>
          <w:bCs/>
          <w:sz w:val="24"/>
          <w:highlight w:val="none"/>
          <w:lang w:eastAsia="zh-CN"/>
        </w:rPr>
        <w:t>公</w:t>
      </w:r>
      <w:r>
        <w:rPr>
          <w:rFonts w:hint="eastAsia" w:ascii="宋体" w:hAnsi="宋体" w:cs="宋体"/>
          <w:bCs/>
          <w:sz w:val="24"/>
          <w:highlight w:val="none"/>
        </w:rPr>
        <w:t>章</w:t>
      </w:r>
      <w:r>
        <w:rPr>
          <w:rFonts w:hint="eastAsia" w:ascii="宋体" w:hAnsi="宋体" w:cs="宋体"/>
          <w:bCs/>
          <w:sz w:val="24"/>
          <w:highlight w:val="none"/>
          <w:lang w:eastAsia="zh-CN"/>
        </w:rPr>
        <w:t>无效</w:t>
      </w:r>
      <w:r>
        <w:rPr>
          <w:rFonts w:hint="eastAsia" w:ascii="宋体" w:hAnsi="宋体" w:cs="宋体"/>
          <w:bCs/>
          <w:sz w:val="24"/>
          <w:highlight w:val="none"/>
        </w:rPr>
        <w:t>；</w:t>
      </w:r>
    </w:p>
    <w:p w14:paraId="250B44E1">
      <w:pPr>
        <w:spacing w:line="460" w:lineRule="atLeast"/>
        <w:ind w:firstLine="480" w:firstLineChars="200"/>
        <w:rPr>
          <w:rFonts w:ascii="宋体" w:hAnsi="宋体" w:cs="宋体"/>
          <w:bCs/>
          <w:sz w:val="24"/>
        </w:rPr>
      </w:pPr>
      <w:r>
        <w:rPr>
          <w:rFonts w:hint="eastAsia" w:ascii="宋体" w:hAnsi="宋体" w:cs="宋体"/>
          <w:sz w:val="24"/>
        </w:rPr>
        <w:t>(3)</w:t>
      </w:r>
      <w:r>
        <w:rPr>
          <w:rFonts w:hint="eastAsia" w:ascii="宋体" w:hAnsi="宋体" w:eastAsia="宋体" w:cs="宋体"/>
          <w:color w:val="auto"/>
          <w:kern w:val="0"/>
          <w:sz w:val="24"/>
          <w:highlight w:val="none"/>
        </w:rPr>
        <w:t>磋商响应文件没有盖单位公章，无有效期或有效期达不到磋商文件的要求</w:t>
      </w:r>
      <w:r>
        <w:rPr>
          <w:rFonts w:hint="eastAsia" w:ascii="宋体" w:hAnsi="宋体" w:eastAsia="宋体" w:cs="宋体"/>
          <w:color w:val="auto"/>
          <w:sz w:val="24"/>
          <w:highlight w:val="none"/>
        </w:rPr>
        <w:t>；</w:t>
      </w:r>
    </w:p>
    <w:p w14:paraId="5259ECB1">
      <w:pPr>
        <w:spacing w:line="460" w:lineRule="atLeast"/>
        <w:ind w:firstLine="480" w:firstLineChars="200"/>
        <w:rPr>
          <w:rFonts w:ascii="宋体" w:hAnsi="宋体" w:cs="宋体"/>
          <w:bCs/>
          <w:sz w:val="24"/>
        </w:rPr>
      </w:pPr>
      <w:r>
        <w:rPr>
          <w:rFonts w:hint="eastAsia" w:ascii="宋体" w:hAnsi="宋体" w:cs="宋体"/>
          <w:sz w:val="24"/>
        </w:rPr>
        <w:t>(4)</w:t>
      </w:r>
      <w:r>
        <w:rPr>
          <w:rFonts w:hint="eastAsia" w:ascii="宋体" w:hAnsi="宋体" w:cs="宋体"/>
          <w:bCs/>
          <w:sz w:val="24"/>
        </w:rPr>
        <w:t>磋商单位针对同一项目递交两份或多份内容不同的磋商响应文件，出现选择性报价的；</w:t>
      </w:r>
    </w:p>
    <w:p w14:paraId="0E4EF326">
      <w:pPr>
        <w:spacing w:line="460" w:lineRule="atLeast"/>
        <w:ind w:firstLine="480" w:firstLineChars="200"/>
        <w:rPr>
          <w:rFonts w:ascii="宋体" w:hAnsi="宋体" w:cs="宋体"/>
          <w:bCs/>
          <w:sz w:val="24"/>
        </w:rPr>
      </w:pPr>
      <w:r>
        <w:rPr>
          <w:rFonts w:hint="eastAsia" w:ascii="宋体" w:hAnsi="宋体" w:cs="宋体"/>
          <w:sz w:val="24"/>
        </w:rPr>
        <w:t>(5)</w:t>
      </w:r>
      <w:r>
        <w:rPr>
          <w:rFonts w:hint="eastAsia" w:ascii="宋体" w:hAnsi="宋体" w:cs="宋体"/>
          <w:bCs/>
          <w:sz w:val="24"/>
        </w:rPr>
        <w:t>磋商报价低于成本价，涉嫌不正当竞争</w:t>
      </w:r>
      <w:r>
        <w:rPr>
          <w:rFonts w:hint="eastAsia" w:ascii="宋体" w:hAnsi="宋体" w:cs="宋体"/>
          <w:bCs/>
          <w:sz w:val="24"/>
          <w:lang w:eastAsia="zh-CN"/>
        </w:rPr>
        <w:t>的</w:t>
      </w:r>
      <w:r>
        <w:rPr>
          <w:rFonts w:hint="eastAsia" w:ascii="宋体" w:hAnsi="宋体" w:cs="宋体"/>
          <w:bCs/>
          <w:sz w:val="24"/>
        </w:rPr>
        <w:t>；（如果磋商小组认为某磋商报价明显不合理或者低于成本，应当要求该供应商在评审现场合理时间内作出书面说明并提供相关证明材料；供应商不能证明其报价合理性的，磋商小组应当将其作为无效磋商或者无效响应处理）；</w:t>
      </w:r>
    </w:p>
    <w:p w14:paraId="67C8634D">
      <w:pPr>
        <w:spacing w:line="460" w:lineRule="atLeast"/>
        <w:ind w:firstLine="480" w:firstLineChars="200"/>
        <w:rPr>
          <w:rFonts w:ascii="宋体" w:hAnsi="宋体" w:cs="宋体"/>
          <w:bCs/>
          <w:sz w:val="24"/>
        </w:rPr>
      </w:pPr>
      <w:r>
        <w:rPr>
          <w:rFonts w:hint="eastAsia" w:ascii="宋体" w:hAnsi="宋体" w:cs="宋体"/>
          <w:sz w:val="24"/>
        </w:rPr>
        <w:t>(6)</w:t>
      </w:r>
      <w:r>
        <w:rPr>
          <w:rFonts w:hint="eastAsia" w:ascii="宋体" w:hAnsi="宋体" w:cs="宋体"/>
          <w:bCs/>
          <w:sz w:val="24"/>
        </w:rPr>
        <w:t>符合法律、法规和磋商文件规定的其他无效情形的。</w:t>
      </w:r>
    </w:p>
    <w:p w14:paraId="54233E35">
      <w:pPr>
        <w:spacing w:line="460" w:lineRule="atLeast"/>
        <w:ind w:firstLine="482" w:firstLineChars="200"/>
        <w:rPr>
          <w:rFonts w:ascii="宋体" w:hAnsi="宋体" w:cs="宋体"/>
          <w:b/>
          <w:color w:val="000000"/>
          <w:sz w:val="24"/>
        </w:rPr>
      </w:pPr>
      <w:r>
        <w:rPr>
          <w:rFonts w:hint="eastAsia" w:ascii="宋体" w:hAnsi="宋体" w:cs="宋体"/>
          <w:b/>
          <w:sz w:val="24"/>
        </w:rPr>
        <w:t>（2）在资格性、符合性检查时，审查未通过的，不得进入后续评审环节。</w:t>
      </w:r>
    </w:p>
    <w:p w14:paraId="4A8F66CA">
      <w:pPr>
        <w:spacing w:line="460" w:lineRule="atLeast"/>
        <w:rPr>
          <w:rFonts w:ascii="宋体" w:hAnsi="宋体" w:cs="宋体"/>
          <w:color w:val="000000"/>
          <w:sz w:val="24"/>
        </w:rPr>
      </w:pPr>
      <w:r>
        <w:rPr>
          <w:rFonts w:hint="eastAsia" w:ascii="宋体" w:hAnsi="宋体" w:cs="宋体"/>
          <w:b/>
          <w:color w:val="000000"/>
          <w:sz w:val="24"/>
        </w:rPr>
        <w:t>4.磋商澄清</w:t>
      </w:r>
    </w:p>
    <w:p w14:paraId="65A425DB">
      <w:pPr>
        <w:spacing w:line="460" w:lineRule="atLeast"/>
        <w:ind w:firstLine="480" w:firstLineChars="200"/>
        <w:rPr>
          <w:rFonts w:ascii="宋体" w:hAnsi="宋体" w:cs="宋体"/>
          <w:color w:val="000000"/>
          <w:sz w:val="24"/>
        </w:rPr>
      </w:pPr>
      <w:r>
        <w:rPr>
          <w:rFonts w:hint="eastAsia" w:ascii="宋体" w:hAnsi="宋体" w:cs="宋体"/>
          <w:color w:val="000000"/>
          <w:sz w:val="24"/>
        </w:rPr>
        <w:t>（1）磋商小组有权就磋商响应文件中含混之处向上述步骤初审合格的磋商供应商提出询问或澄清要求；磋商供应商将有关询标澄清、补正、说明的内容应以书面形式提交；</w:t>
      </w:r>
    </w:p>
    <w:p w14:paraId="741079A7">
      <w:pPr>
        <w:spacing w:line="460" w:lineRule="atLeast"/>
        <w:ind w:firstLine="480" w:firstLineChars="200"/>
        <w:rPr>
          <w:rFonts w:ascii="宋体" w:hAnsi="宋体" w:cs="宋体"/>
          <w:sz w:val="24"/>
        </w:rPr>
      </w:pPr>
      <w:r>
        <w:rPr>
          <w:rFonts w:hint="eastAsia" w:ascii="宋体" w:hAnsi="宋体" w:cs="宋体"/>
          <w:color w:val="000000"/>
          <w:sz w:val="24"/>
        </w:rPr>
        <w:t>（2）竞争性磋商公告、磋商响应文件作为磋商的依据，澄清、补正、说明的内容只作为磋商参考。磋商澄清时磋商供应商只作说明和解释，不得借此对磋商报价、</w:t>
      </w:r>
      <w:r>
        <w:rPr>
          <w:rFonts w:hint="eastAsia" w:ascii="宋体" w:hAnsi="宋体" w:cs="宋体"/>
          <w:color w:val="000000"/>
          <w:sz w:val="24"/>
          <w:lang w:eastAsia="zh-CN"/>
        </w:rPr>
        <w:t>服务</w:t>
      </w:r>
      <w:r>
        <w:rPr>
          <w:rFonts w:hint="eastAsia" w:ascii="宋体" w:hAnsi="宋体" w:cs="宋体"/>
          <w:color w:val="000000"/>
          <w:sz w:val="24"/>
        </w:rPr>
        <w:t>期、主要</w:t>
      </w:r>
      <w:r>
        <w:rPr>
          <w:rFonts w:hint="eastAsia" w:ascii="宋体" w:hAnsi="宋体" w:cs="宋体"/>
          <w:color w:val="000000"/>
          <w:sz w:val="24"/>
          <w:lang w:eastAsia="zh-CN"/>
        </w:rPr>
        <w:t>服务需求</w:t>
      </w:r>
      <w:r>
        <w:rPr>
          <w:rFonts w:hint="eastAsia" w:ascii="宋体" w:hAnsi="宋体" w:cs="宋体"/>
          <w:color w:val="000000"/>
          <w:sz w:val="24"/>
        </w:rPr>
        <w:t>等实质性内容做任何修改；如澄清、补正、说明的内容与磋商响应文件内容有重大相悖或矛盾，将被认定为无效文件；</w:t>
      </w:r>
    </w:p>
    <w:p w14:paraId="34FEE5A7">
      <w:pPr>
        <w:spacing w:line="460" w:lineRule="atLeast"/>
        <w:ind w:firstLine="480" w:firstLineChars="200"/>
        <w:rPr>
          <w:rFonts w:ascii="宋体" w:hAnsi="宋体" w:cs="宋体"/>
          <w:sz w:val="24"/>
        </w:rPr>
      </w:pPr>
      <w:r>
        <w:rPr>
          <w:rFonts w:hint="eastAsia" w:ascii="宋体" w:hAnsi="宋体" w:cs="宋体"/>
          <w:sz w:val="24"/>
        </w:rPr>
        <w:t>（3）磋商供应商对磋商响应文件的澄清不得改变磋商报价及实质内容。</w:t>
      </w:r>
    </w:p>
    <w:p w14:paraId="75130C1C">
      <w:pPr>
        <w:spacing w:line="460" w:lineRule="atLeast"/>
        <w:ind w:firstLine="480" w:firstLineChars="200"/>
        <w:rPr>
          <w:rFonts w:ascii="宋体" w:hAnsi="宋体" w:cs="宋体"/>
          <w:sz w:val="24"/>
        </w:rPr>
      </w:pPr>
      <w:r>
        <w:rPr>
          <w:rFonts w:hint="eastAsia" w:ascii="宋体" w:hAnsi="宋体" w:cs="宋体"/>
          <w:sz w:val="24"/>
        </w:rPr>
        <w:t>磋商时，磋商响应文件中出现下列情况，修正原则为：</w:t>
      </w:r>
    </w:p>
    <w:p w14:paraId="29D3D185">
      <w:pPr>
        <w:spacing w:line="460" w:lineRule="atLeast"/>
        <w:ind w:firstLine="480" w:firstLineChars="200"/>
        <w:rPr>
          <w:rFonts w:ascii="宋体" w:hAnsi="宋体" w:cs="宋体"/>
          <w:sz w:val="24"/>
        </w:rPr>
      </w:pPr>
      <w:r>
        <w:rPr>
          <w:rFonts w:hint="eastAsia" w:ascii="宋体" w:hAnsi="宋体" w:cs="宋体"/>
          <w:sz w:val="24"/>
        </w:rPr>
        <w:t>A.磋商响应文件中响应报价表内容与磋商响应文件中明细内容不一致的，以响应报价表为准；</w:t>
      </w:r>
    </w:p>
    <w:p w14:paraId="12F0CEE8">
      <w:pPr>
        <w:spacing w:line="460" w:lineRule="atLeast"/>
        <w:ind w:firstLine="480" w:firstLineChars="200"/>
        <w:rPr>
          <w:rFonts w:ascii="宋体" w:hAnsi="宋体" w:cs="宋体"/>
          <w:sz w:val="24"/>
        </w:rPr>
      </w:pPr>
      <w:r>
        <w:rPr>
          <w:rFonts w:hint="eastAsia" w:ascii="宋体" w:hAnsi="宋体" w:cs="宋体"/>
          <w:sz w:val="24"/>
        </w:rPr>
        <w:t>B.磋商报价的大写金额和小写金额不一致的，以大写金额为准；</w:t>
      </w:r>
    </w:p>
    <w:p w14:paraId="30913588">
      <w:pPr>
        <w:spacing w:line="460" w:lineRule="atLeast"/>
        <w:ind w:firstLine="480" w:firstLineChars="200"/>
        <w:rPr>
          <w:rFonts w:ascii="宋体" w:hAnsi="宋体" w:cs="宋体"/>
          <w:sz w:val="24"/>
        </w:rPr>
      </w:pPr>
      <w:r>
        <w:rPr>
          <w:rFonts w:hint="eastAsia" w:ascii="宋体" w:hAnsi="宋体" w:cs="宋体"/>
          <w:sz w:val="24"/>
        </w:rPr>
        <w:t>C.总价金额与按单价汇总金额不一致的，以单价金额计算结果为准；</w:t>
      </w:r>
    </w:p>
    <w:p w14:paraId="6C3ED30D">
      <w:pPr>
        <w:spacing w:line="460" w:lineRule="atLeast"/>
        <w:ind w:firstLine="480" w:firstLineChars="200"/>
        <w:rPr>
          <w:rFonts w:ascii="宋体" w:hAnsi="宋体" w:cs="宋体"/>
          <w:sz w:val="24"/>
        </w:rPr>
      </w:pPr>
      <w:r>
        <w:rPr>
          <w:rFonts w:hint="eastAsia" w:ascii="宋体" w:hAnsi="宋体" w:cs="宋体"/>
          <w:sz w:val="24"/>
        </w:rPr>
        <w:t>D.单价金额小数点有明显错位的，以总价为准，并修改单价；</w:t>
      </w:r>
    </w:p>
    <w:p w14:paraId="762E6F40">
      <w:pPr>
        <w:spacing w:line="460" w:lineRule="atLeast"/>
        <w:ind w:firstLine="480" w:firstLineChars="200"/>
        <w:rPr>
          <w:rFonts w:ascii="宋体" w:hAnsi="宋体" w:cs="宋体"/>
          <w:sz w:val="24"/>
        </w:rPr>
      </w:pPr>
      <w:r>
        <w:rPr>
          <w:rFonts w:hint="eastAsia" w:ascii="宋体" w:hAnsi="宋体" w:cs="宋体"/>
          <w:sz w:val="24"/>
        </w:rPr>
        <w:t>E.多处内容交叉不符时，以磋商小组成员会评审结果为准；</w:t>
      </w:r>
    </w:p>
    <w:p w14:paraId="626FFB62">
      <w:pPr>
        <w:spacing w:line="460" w:lineRule="atLeast"/>
        <w:ind w:firstLine="480" w:firstLineChars="200"/>
        <w:rPr>
          <w:rFonts w:ascii="宋体" w:hAnsi="宋体" w:cs="宋体"/>
          <w:sz w:val="24"/>
        </w:rPr>
      </w:pPr>
      <w:r>
        <w:rPr>
          <w:rFonts w:hint="eastAsia" w:ascii="宋体" w:hAnsi="宋体" w:cs="宋体"/>
          <w:sz w:val="24"/>
          <w:lang w:val="en-US" w:eastAsia="zh-CN"/>
        </w:rPr>
        <w:t>F</w:t>
      </w:r>
      <w:r>
        <w:rPr>
          <w:rFonts w:hint="eastAsia" w:ascii="宋体" w:hAnsi="宋体" w:cs="宋体"/>
          <w:sz w:val="24"/>
        </w:rPr>
        <w:t>.文字与图表不符时以文字为准；</w:t>
      </w:r>
    </w:p>
    <w:p w14:paraId="64B51477">
      <w:pPr>
        <w:spacing w:line="460" w:lineRule="atLeast"/>
        <w:ind w:firstLine="480" w:firstLineChars="200"/>
        <w:rPr>
          <w:rFonts w:ascii="宋体" w:hAnsi="宋体" w:cs="宋体"/>
          <w:sz w:val="24"/>
        </w:rPr>
      </w:pPr>
      <w:r>
        <w:rPr>
          <w:rFonts w:hint="eastAsia" w:ascii="宋体" w:hAnsi="宋体" w:cs="宋体"/>
          <w:sz w:val="24"/>
        </w:rPr>
        <w:t>按上述修正错误的原则及方法调整或修正磋商响应文件的报价，磋商供应商同意后，调整后的报价对磋商供应商起约束作用。如果磋商供应商不接受修正后的报价，则其磋商活动将被拒绝，并且其磋商保证金也将被没收。</w:t>
      </w:r>
    </w:p>
    <w:p w14:paraId="056ADB1A">
      <w:pPr>
        <w:spacing w:line="460" w:lineRule="exact"/>
        <w:ind w:firstLine="120" w:firstLineChars="50"/>
        <w:rPr>
          <w:rFonts w:ascii="宋体" w:hAnsi="宋体" w:cs="宋体"/>
          <w:b/>
          <w:color w:val="000000"/>
          <w:sz w:val="24"/>
        </w:rPr>
      </w:pPr>
      <w:r>
        <w:rPr>
          <w:rFonts w:hint="eastAsia" w:ascii="宋体" w:hAnsi="宋体" w:cs="宋体"/>
          <w:b/>
          <w:color w:val="000000"/>
          <w:sz w:val="24"/>
        </w:rPr>
        <w:t>5.评审方法及内容</w:t>
      </w:r>
    </w:p>
    <w:p w14:paraId="339EA019">
      <w:pPr>
        <w:spacing w:line="460" w:lineRule="exact"/>
        <w:ind w:left="120" w:leftChars="57" w:firstLine="360" w:firstLineChars="150"/>
        <w:rPr>
          <w:rFonts w:ascii="宋体" w:hAnsi="宋体" w:cs="宋体"/>
          <w:color w:val="000000"/>
          <w:sz w:val="24"/>
        </w:rPr>
      </w:pPr>
      <w:r>
        <w:rPr>
          <w:rFonts w:hint="eastAsia" w:ascii="宋体" w:hAnsi="宋体" w:cs="宋体"/>
          <w:color w:val="000000"/>
          <w:sz w:val="24"/>
        </w:rPr>
        <w:t>（1）采用综合评分法：二次报价为最终报价，最终报价后按照磋商文件中规定的各项因素进行综合评审后，以磋商总得分最高的供应商作为成交供应商的磋商方法。若有两个或两个以上最高得分相同，推荐其中报价最低的供应商为成交候选供应商。</w:t>
      </w:r>
    </w:p>
    <w:p w14:paraId="480BE725">
      <w:pPr>
        <w:spacing w:line="460" w:lineRule="exact"/>
        <w:ind w:left="120" w:leftChars="57" w:firstLine="360" w:firstLineChars="150"/>
        <w:rPr>
          <w:rFonts w:ascii="宋体" w:hAnsi="宋体" w:cs="宋体"/>
          <w:color w:val="000000"/>
          <w:sz w:val="24"/>
        </w:rPr>
      </w:pPr>
      <w:r>
        <w:rPr>
          <w:rFonts w:hint="eastAsia" w:ascii="宋体" w:hAnsi="宋体" w:cs="宋体"/>
          <w:color w:val="000000"/>
          <w:sz w:val="24"/>
        </w:rPr>
        <w:t>（2）磋商程序：采购代理机构宣布大会开始，宣布会场纪律，介绍参会人员情况，响应单位点到，查验响应文件密封情况，拆封响应文件，对供应商</w:t>
      </w:r>
      <w:r>
        <w:rPr>
          <w:rFonts w:hint="eastAsia" w:ascii="宋体" w:hAnsi="宋体" w:cs="宋体"/>
          <w:color w:val="000000"/>
          <w:sz w:val="24"/>
          <w:lang w:val="en-US" w:eastAsia="zh-CN"/>
        </w:rPr>
        <w:t>响应文件进行</w:t>
      </w:r>
      <w:r>
        <w:rPr>
          <w:rFonts w:hint="eastAsia" w:ascii="宋体" w:hAnsi="宋体" w:cs="宋体"/>
          <w:color w:val="000000"/>
          <w:sz w:val="24"/>
        </w:rPr>
        <w:t>资格审查，磋商小组对响应文件的符合性审查，对参加磋商的磋商供应商分别进行磋商，磋商小组推荐1-3名供应商。</w:t>
      </w:r>
    </w:p>
    <w:p w14:paraId="659EE28A">
      <w:pPr>
        <w:spacing w:line="460" w:lineRule="exact"/>
        <w:ind w:left="120" w:leftChars="57" w:firstLine="360" w:firstLineChars="150"/>
        <w:rPr>
          <w:rFonts w:ascii="宋体" w:hAnsi="宋体" w:cs="宋体"/>
          <w:color w:val="000000"/>
          <w:sz w:val="24"/>
        </w:rPr>
      </w:pPr>
      <w:r>
        <w:rPr>
          <w:rFonts w:hint="eastAsia" w:ascii="宋体" w:hAnsi="宋体" w:cs="宋体"/>
          <w:color w:val="000000"/>
          <w:sz w:val="24"/>
        </w:rPr>
        <w:t>（3）磋商小组根据以下内容进行综合比较，自主打分，按最后得分由高到低汇总排序，以标段为单位分别推荐成交候选供应商；磋商小组根据磋商结果写出磋商意见。</w:t>
      </w:r>
    </w:p>
    <w:p w14:paraId="18ECF753">
      <w:pPr>
        <w:spacing w:line="460" w:lineRule="exact"/>
        <w:ind w:left="120" w:leftChars="57" w:firstLine="360" w:firstLineChars="150"/>
        <w:rPr>
          <w:rFonts w:ascii="宋体" w:hAnsi="宋体" w:cs="宋体"/>
          <w:color w:val="000000"/>
          <w:sz w:val="24"/>
        </w:rPr>
      </w:pPr>
      <w:r>
        <w:rPr>
          <w:rFonts w:hint="eastAsia" w:ascii="宋体" w:hAnsi="宋体" w:cs="宋体"/>
          <w:color w:val="000000"/>
          <w:sz w:val="24"/>
        </w:rPr>
        <w:t>（4）评审指标分值构成（总计100分）</w:t>
      </w:r>
    </w:p>
    <w:p w14:paraId="23E7E48E">
      <w:pPr>
        <w:pStyle w:val="11"/>
        <w:spacing w:line="460" w:lineRule="exact"/>
        <w:outlineLvl w:val="1"/>
        <w:rPr>
          <w:rFonts w:hint="eastAsia" w:hAnsi="宋体" w:eastAsia="宋体" w:cs="宋体"/>
          <w:highlight w:val="none"/>
          <w:lang w:eastAsia="zh-CN"/>
        </w:rPr>
      </w:pPr>
      <w:r>
        <w:rPr>
          <w:rFonts w:hint="eastAsia" w:hAnsi="宋体" w:cs="宋体"/>
          <w:sz w:val="24"/>
          <w:szCs w:val="24"/>
          <w:highlight w:val="none"/>
        </w:rPr>
        <w:t>评审因素见下表：</w:t>
      </w:r>
    </w:p>
    <w:tbl>
      <w:tblPr>
        <w:tblStyle w:val="20"/>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4"/>
        <w:gridCol w:w="1174"/>
        <w:gridCol w:w="7476"/>
      </w:tblGrid>
      <w:tr w14:paraId="41504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6" w:type="pct"/>
            <w:vAlign w:val="center"/>
          </w:tcPr>
          <w:p w14:paraId="14ABCFAB">
            <w:pPr>
              <w:spacing w:line="360" w:lineRule="auto"/>
              <w:rPr>
                <w:rFonts w:ascii="宋体" w:hAnsi="宋体" w:cs="宋体"/>
                <w:color w:val="auto"/>
                <w:sz w:val="24"/>
              </w:rPr>
            </w:pPr>
            <w:bookmarkStart w:id="79" w:name="_GoBack"/>
            <w:r>
              <w:rPr>
                <w:rFonts w:hint="eastAsia" w:ascii="宋体" w:hAnsi="宋体" w:cs="宋体"/>
                <w:color w:val="auto"/>
                <w:sz w:val="24"/>
              </w:rPr>
              <w:t>评审因素</w:t>
            </w:r>
          </w:p>
        </w:tc>
        <w:tc>
          <w:tcPr>
            <w:tcW w:w="591" w:type="pct"/>
            <w:vAlign w:val="center"/>
          </w:tcPr>
          <w:p w14:paraId="67321ABF">
            <w:pPr>
              <w:spacing w:line="360" w:lineRule="auto"/>
              <w:jc w:val="center"/>
              <w:rPr>
                <w:rFonts w:ascii="宋体" w:hAnsi="宋体" w:cs="宋体"/>
                <w:color w:val="auto"/>
                <w:sz w:val="24"/>
              </w:rPr>
            </w:pPr>
            <w:r>
              <w:rPr>
                <w:rFonts w:hint="eastAsia" w:ascii="宋体" w:hAnsi="宋体" w:cs="宋体"/>
                <w:color w:val="auto"/>
                <w:sz w:val="24"/>
              </w:rPr>
              <w:t>分值</w:t>
            </w:r>
          </w:p>
        </w:tc>
        <w:tc>
          <w:tcPr>
            <w:tcW w:w="3762" w:type="pct"/>
            <w:vAlign w:val="center"/>
          </w:tcPr>
          <w:p w14:paraId="5223D459">
            <w:pPr>
              <w:spacing w:line="360" w:lineRule="auto"/>
              <w:ind w:left="120" w:leftChars="57" w:firstLine="2520" w:firstLineChars="1050"/>
              <w:rPr>
                <w:rFonts w:ascii="宋体" w:hAnsi="宋体" w:cs="宋体"/>
                <w:color w:val="auto"/>
                <w:sz w:val="24"/>
              </w:rPr>
            </w:pPr>
            <w:r>
              <w:rPr>
                <w:rFonts w:hint="eastAsia" w:ascii="宋体" w:hAnsi="宋体" w:cs="宋体"/>
                <w:color w:val="auto"/>
                <w:sz w:val="24"/>
              </w:rPr>
              <w:t>评审细则</w:t>
            </w:r>
          </w:p>
        </w:tc>
      </w:tr>
      <w:tr w14:paraId="65D14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6" w:type="pct"/>
            <w:vAlign w:val="center"/>
          </w:tcPr>
          <w:p w14:paraId="735F9514">
            <w:pPr>
              <w:spacing w:line="360" w:lineRule="auto"/>
              <w:ind w:firstLine="240" w:firstLineChars="100"/>
              <w:rPr>
                <w:rFonts w:ascii="宋体" w:hAnsi="宋体" w:cs="宋体"/>
                <w:color w:val="auto"/>
                <w:sz w:val="24"/>
              </w:rPr>
            </w:pPr>
            <w:r>
              <w:rPr>
                <w:rFonts w:hint="eastAsia" w:ascii="宋体" w:hAnsi="宋体" w:cs="宋体"/>
                <w:color w:val="auto"/>
                <w:sz w:val="24"/>
              </w:rPr>
              <w:t>报价</w:t>
            </w:r>
          </w:p>
        </w:tc>
        <w:tc>
          <w:tcPr>
            <w:tcW w:w="591" w:type="pct"/>
            <w:vAlign w:val="center"/>
          </w:tcPr>
          <w:p w14:paraId="5E04DE01">
            <w:pPr>
              <w:spacing w:line="360" w:lineRule="auto"/>
              <w:jc w:val="center"/>
              <w:rPr>
                <w:rFonts w:ascii="宋体" w:hAnsi="宋体" w:cs="宋体"/>
                <w:color w:val="auto"/>
                <w:sz w:val="24"/>
              </w:rPr>
            </w:pPr>
            <w:r>
              <w:rPr>
                <w:rFonts w:hint="eastAsia" w:ascii="宋体" w:hAnsi="宋体" w:cs="宋体"/>
                <w:color w:val="auto"/>
                <w:sz w:val="24"/>
                <w:lang w:val="en-US" w:eastAsia="zh-CN"/>
              </w:rPr>
              <w:t>15</w:t>
            </w:r>
            <w:r>
              <w:rPr>
                <w:rFonts w:hint="eastAsia" w:ascii="宋体" w:hAnsi="宋体" w:cs="宋体"/>
                <w:color w:val="auto"/>
                <w:sz w:val="24"/>
              </w:rPr>
              <w:t>分</w:t>
            </w:r>
          </w:p>
        </w:tc>
        <w:tc>
          <w:tcPr>
            <w:tcW w:w="3762" w:type="pct"/>
            <w:vAlign w:val="center"/>
          </w:tcPr>
          <w:p w14:paraId="4D75E99F">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经资格审查、符合性审查合格的磋商响应文件，其磋商报价为有效磋商报价。满足磋商文件要求且磋商价格最低的磋商报价为评标基准价，其价格分为满分。价格分按照下列公式计算。</w:t>
            </w:r>
          </w:p>
          <w:p w14:paraId="1194CCF2">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磋商报价得分=(评标基准价／磋商报价)×15</w:t>
            </w:r>
          </w:p>
          <w:p w14:paraId="421333D2">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注：本项目专门面向中小企业采购，根据财政部发布《政府采购促进中小企业发展政策问答》的规定，专门面向中小企业采购的项目或者采购包，不再执行价格评审优惠的扶持政策。</w:t>
            </w:r>
          </w:p>
        </w:tc>
      </w:tr>
      <w:tr w14:paraId="40E82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6" w:type="pct"/>
            <w:vMerge w:val="restart"/>
            <w:vAlign w:val="center"/>
          </w:tcPr>
          <w:p w14:paraId="2C5E40E1">
            <w:pPr>
              <w:spacing w:line="360" w:lineRule="auto"/>
              <w:jc w:val="center"/>
              <w:rPr>
                <w:rFonts w:ascii="宋体" w:hAnsi="宋体" w:cs="宋体"/>
                <w:color w:val="auto"/>
                <w:sz w:val="24"/>
              </w:rPr>
            </w:pPr>
            <w:r>
              <w:rPr>
                <w:rFonts w:hint="eastAsia" w:ascii="宋体" w:hAnsi="宋体" w:cs="宋体"/>
                <w:color w:val="auto"/>
                <w:sz w:val="24"/>
                <w:lang w:eastAsia="zh-CN"/>
              </w:rPr>
              <w:t>详细评审</w:t>
            </w:r>
          </w:p>
        </w:tc>
        <w:tc>
          <w:tcPr>
            <w:tcW w:w="591" w:type="pct"/>
            <w:vAlign w:val="center"/>
          </w:tcPr>
          <w:p w14:paraId="09DED01A">
            <w:pPr>
              <w:spacing w:line="24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服务方案</w:t>
            </w:r>
          </w:p>
          <w:p w14:paraId="6609880F">
            <w:pPr>
              <w:spacing w:line="240" w:lineRule="auto"/>
              <w:jc w:val="center"/>
              <w:rPr>
                <w:rFonts w:ascii="宋体" w:hAnsi="宋体" w:cs="宋体"/>
                <w:color w:val="auto"/>
                <w:sz w:val="24"/>
              </w:rPr>
            </w:pPr>
            <w:r>
              <w:rPr>
                <w:rFonts w:hint="eastAsia" w:ascii="宋体" w:hAnsi="宋体" w:cs="宋体"/>
                <w:color w:val="auto"/>
                <w:sz w:val="24"/>
                <w:lang w:val="en-US" w:eastAsia="zh-CN"/>
              </w:rPr>
              <w:t>24</w:t>
            </w:r>
            <w:r>
              <w:rPr>
                <w:rFonts w:hint="eastAsia" w:ascii="宋体" w:hAnsi="宋体" w:cs="宋体"/>
                <w:color w:val="auto"/>
                <w:sz w:val="24"/>
              </w:rPr>
              <w:t>分</w:t>
            </w:r>
          </w:p>
        </w:tc>
        <w:tc>
          <w:tcPr>
            <w:tcW w:w="3762" w:type="pct"/>
            <w:vAlign w:val="center"/>
          </w:tcPr>
          <w:p w14:paraId="68D0F5EE">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en-US"/>
              </w:rPr>
              <w:t>提供针对本项目的总体</w:t>
            </w:r>
            <w:r>
              <w:rPr>
                <w:rFonts w:hint="eastAsia" w:asciiTheme="minorEastAsia" w:hAnsiTheme="minorEastAsia" w:eastAsiaTheme="minorEastAsia" w:cstheme="minorEastAsia"/>
                <w:color w:val="auto"/>
                <w:sz w:val="24"/>
                <w:szCs w:val="24"/>
                <w:lang w:val="en-US" w:eastAsia="zh-CN"/>
              </w:rPr>
              <w:t>服务</w:t>
            </w:r>
            <w:r>
              <w:rPr>
                <w:rFonts w:hint="eastAsia" w:asciiTheme="minorEastAsia" w:hAnsiTheme="minorEastAsia" w:eastAsiaTheme="minorEastAsia" w:cstheme="minorEastAsia"/>
                <w:color w:val="auto"/>
                <w:sz w:val="24"/>
                <w:szCs w:val="24"/>
                <w:lang w:val="en-US" w:eastAsia="en-US"/>
              </w:rPr>
              <w:t>方案</w:t>
            </w:r>
            <w:r>
              <w:rPr>
                <w:rFonts w:hint="eastAsia" w:asciiTheme="minorEastAsia" w:hAnsiTheme="minorEastAsia" w:eastAsiaTheme="minorEastAsia" w:cstheme="minorEastAsia"/>
                <w:color w:val="auto"/>
                <w:sz w:val="24"/>
                <w:szCs w:val="24"/>
                <w:lang w:val="en-US" w:eastAsia="zh-CN"/>
              </w:rPr>
              <w:t>：①软件运维（6分）；②服务保障（6分）；③运维制度建设（6分）；④驻场运维（6分）。</w:t>
            </w:r>
          </w:p>
          <w:p w14:paraId="081BD879">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以上各项方案</w:t>
            </w:r>
            <w:r>
              <w:rPr>
                <w:rFonts w:hint="eastAsia" w:asciiTheme="minorEastAsia" w:hAnsiTheme="minorEastAsia" w:eastAsiaTheme="minorEastAsia" w:cstheme="minorEastAsia"/>
                <w:color w:val="auto"/>
                <w:sz w:val="24"/>
                <w:szCs w:val="24"/>
                <w:lang w:val="en-US" w:eastAsia="en-US"/>
              </w:rPr>
              <w:t>针对性强，方案内容符合项目需求，总体思路清晰的得</w:t>
            </w:r>
            <w:r>
              <w:rPr>
                <w:rFonts w:hint="eastAsia" w:asciiTheme="minorEastAsia" w:hAnsiTheme="minorEastAsia" w:eastAsiaTheme="minorEastAsia" w:cstheme="minorEastAsia"/>
                <w:color w:val="auto"/>
                <w:sz w:val="24"/>
                <w:szCs w:val="24"/>
                <w:lang w:val="en-US" w:eastAsia="zh-CN"/>
              </w:rPr>
              <w:t>6分，</w:t>
            </w:r>
            <w:r>
              <w:rPr>
                <w:rFonts w:hint="eastAsia" w:asciiTheme="minorEastAsia" w:hAnsiTheme="minorEastAsia" w:eastAsiaTheme="minorEastAsia" w:cstheme="minorEastAsia"/>
                <w:color w:val="auto"/>
                <w:sz w:val="24"/>
                <w:szCs w:val="24"/>
                <w:lang w:val="en-US" w:eastAsia="en-US"/>
              </w:rPr>
              <w:t>方案</w:t>
            </w:r>
            <w:r>
              <w:rPr>
                <w:rFonts w:hint="eastAsia" w:asciiTheme="minorEastAsia" w:hAnsiTheme="minorEastAsia" w:eastAsiaTheme="minorEastAsia" w:cstheme="minorEastAsia"/>
                <w:color w:val="auto"/>
                <w:sz w:val="24"/>
                <w:szCs w:val="24"/>
                <w:lang w:val="en-US" w:eastAsia="zh-CN"/>
              </w:rPr>
              <w:t>基本</w:t>
            </w:r>
            <w:r>
              <w:rPr>
                <w:rFonts w:hint="eastAsia" w:asciiTheme="minorEastAsia" w:hAnsiTheme="minorEastAsia" w:eastAsiaTheme="minorEastAsia" w:cstheme="minorEastAsia"/>
                <w:color w:val="auto"/>
                <w:sz w:val="24"/>
                <w:szCs w:val="24"/>
                <w:lang w:val="en-US" w:eastAsia="en-US"/>
              </w:rPr>
              <w:t>全面，方案内容基本符合要求，思路基本清晰的得</w:t>
            </w:r>
            <w:r>
              <w:rPr>
                <w:rFonts w:hint="eastAsia" w:asciiTheme="minorEastAsia" w:hAnsiTheme="minorEastAsia" w:eastAsiaTheme="minorEastAsia" w:cstheme="minorEastAsia"/>
                <w:color w:val="auto"/>
                <w:sz w:val="24"/>
                <w:szCs w:val="24"/>
                <w:lang w:val="en-US" w:eastAsia="zh-CN"/>
              </w:rPr>
              <w:t>4分，方案内容不够全面仅涉及某些特点，可行性一般得2分，未提供不得分。</w:t>
            </w:r>
          </w:p>
        </w:tc>
      </w:tr>
      <w:tr w14:paraId="6C910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6" w:type="pct"/>
            <w:vMerge w:val="continue"/>
            <w:vAlign w:val="center"/>
          </w:tcPr>
          <w:p w14:paraId="1FB9BF43">
            <w:pPr>
              <w:spacing w:line="360" w:lineRule="auto"/>
              <w:ind w:firstLine="240" w:firstLineChars="100"/>
              <w:rPr>
                <w:rFonts w:ascii="宋体" w:hAnsi="宋体" w:cs="宋体"/>
                <w:color w:val="auto"/>
                <w:sz w:val="24"/>
              </w:rPr>
            </w:pPr>
          </w:p>
        </w:tc>
        <w:tc>
          <w:tcPr>
            <w:tcW w:w="591" w:type="pct"/>
            <w:vAlign w:val="center"/>
          </w:tcPr>
          <w:p w14:paraId="77AB3D3A">
            <w:pPr>
              <w:spacing w:before="156" w:beforeLines="50" w:after="156" w:afterLines="50" w:line="24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人员配备</w:t>
            </w:r>
          </w:p>
          <w:p w14:paraId="5DE007B2">
            <w:pPr>
              <w:spacing w:before="156" w:beforeLines="50" w:after="156" w:afterLines="50" w:line="240" w:lineRule="auto"/>
              <w:jc w:val="center"/>
              <w:rPr>
                <w:rFonts w:ascii="宋体" w:hAnsi="宋体" w:cs="宋体"/>
                <w:color w:val="auto"/>
                <w:sz w:val="24"/>
              </w:rPr>
            </w:pPr>
            <w:r>
              <w:rPr>
                <w:rFonts w:hint="eastAsia" w:ascii="宋体" w:hAnsi="宋体" w:cs="宋体"/>
                <w:color w:val="auto"/>
                <w:sz w:val="24"/>
                <w:lang w:val="en-US" w:eastAsia="zh-CN"/>
              </w:rPr>
              <w:t>10</w:t>
            </w:r>
            <w:r>
              <w:rPr>
                <w:rFonts w:hint="eastAsia" w:ascii="宋体" w:hAnsi="宋体" w:cs="宋体"/>
                <w:color w:val="auto"/>
                <w:sz w:val="24"/>
              </w:rPr>
              <w:t>分</w:t>
            </w:r>
          </w:p>
        </w:tc>
        <w:tc>
          <w:tcPr>
            <w:tcW w:w="3762" w:type="pct"/>
          </w:tcPr>
          <w:p w14:paraId="5DE8F571">
            <w:pPr>
              <w:spacing w:line="36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拟投入项目团队</w:t>
            </w:r>
            <w:r>
              <w:rPr>
                <w:rFonts w:hint="eastAsia" w:asciiTheme="minorEastAsia" w:hAnsiTheme="minorEastAsia" w:eastAsiaTheme="minorEastAsia" w:cstheme="minorEastAsia"/>
                <w:color w:val="auto"/>
                <w:sz w:val="24"/>
                <w:szCs w:val="24"/>
                <w:lang w:val="zh-CN" w:eastAsia="zh-CN"/>
              </w:rPr>
              <w:t>人员经验丰富、</w:t>
            </w:r>
            <w:r>
              <w:rPr>
                <w:rFonts w:hint="eastAsia" w:asciiTheme="minorEastAsia" w:hAnsiTheme="minorEastAsia" w:eastAsiaTheme="minorEastAsia" w:cstheme="minorEastAsia"/>
                <w:color w:val="auto"/>
                <w:sz w:val="24"/>
                <w:szCs w:val="24"/>
                <w:lang w:eastAsia="zh-CN"/>
              </w:rPr>
              <w:t>专业性强、</w:t>
            </w:r>
            <w:r>
              <w:rPr>
                <w:rFonts w:hint="eastAsia" w:asciiTheme="minorEastAsia" w:hAnsiTheme="minorEastAsia" w:eastAsiaTheme="minorEastAsia" w:cstheme="minorEastAsia"/>
                <w:color w:val="auto"/>
                <w:sz w:val="24"/>
                <w:szCs w:val="24"/>
                <w:lang w:val="zh-CN" w:eastAsia="zh-CN"/>
              </w:rPr>
              <w:t>配备科学合理、</w:t>
            </w:r>
            <w:r>
              <w:rPr>
                <w:rFonts w:hint="eastAsia" w:asciiTheme="minorEastAsia" w:hAnsiTheme="minorEastAsia" w:eastAsiaTheme="minorEastAsia" w:cstheme="minorEastAsia"/>
                <w:color w:val="auto"/>
                <w:sz w:val="24"/>
                <w:szCs w:val="24"/>
                <w:lang w:eastAsia="zh-CN"/>
              </w:rPr>
              <w:t>职责任务、</w:t>
            </w:r>
            <w:r>
              <w:rPr>
                <w:rFonts w:hint="eastAsia" w:asciiTheme="minorEastAsia" w:hAnsiTheme="minorEastAsia" w:eastAsiaTheme="minorEastAsia" w:cstheme="minorEastAsia"/>
                <w:color w:val="auto"/>
                <w:sz w:val="24"/>
                <w:szCs w:val="24"/>
                <w:lang w:val="en-US" w:eastAsia="zh-CN"/>
              </w:rPr>
              <w:t>分工明确合理、可操作性强</w:t>
            </w:r>
            <w:r>
              <w:rPr>
                <w:rFonts w:hint="eastAsia" w:asciiTheme="minorEastAsia" w:hAnsiTheme="minorEastAsia" w:eastAsiaTheme="minorEastAsia" w:cstheme="minorEastAsia"/>
                <w:color w:val="auto"/>
                <w:sz w:val="24"/>
                <w:szCs w:val="24"/>
                <w:lang w:eastAsia="zh-CN"/>
              </w:rPr>
              <w:t>得</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lang w:eastAsia="zh-CN"/>
              </w:rPr>
              <w:t>分；</w:t>
            </w:r>
          </w:p>
          <w:p w14:paraId="2C3F2DDE">
            <w:pPr>
              <w:spacing w:line="36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zh-CN" w:eastAsia="zh-CN"/>
              </w:rPr>
              <w:t>人员经验丰富、</w:t>
            </w:r>
            <w:r>
              <w:rPr>
                <w:rFonts w:hint="eastAsia" w:asciiTheme="minorEastAsia" w:hAnsiTheme="minorEastAsia" w:eastAsiaTheme="minorEastAsia" w:cstheme="minorEastAsia"/>
                <w:color w:val="auto"/>
                <w:sz w:val="24"/>
                <w:szCs w:val="24"/>
                <w:lang w:eastAsia="zh-CN"/>
              </w:rPr>
              <w:t>专业性</w:t>
            </w:r>
            <w:r>
              <w:rPr>
                <w:rFonts w:hint="eastAsia" w:asciiTheme="minorEastAsia" w:hAnsiTheme="minorEastAsia" w:eastAsiaTheme="minorEastAsia" w:cstheme="minorEastAsia"/>
                <w:color w:val="auto"/>
                <w:sz w:val="24"/>
                <w:szCs w:val="24"/>
                <w:lang w:val="en-US" w:eastAsia="zh-CN"/>
              </w:rPr>
              <w:t>较</w:t>
            </w:r>
            <w:r>
              <w:rPr>
                <w:rFonts w:hint="eastAsia" w:asciiTheme="minorEastAsia" w:hAnsiTheme="minorEastAsia" w:eastAsiaTheme="minorEastAsia" w:cstheme="minorEastAsia"/>
                <w:color w:val="auto"/>
                <w:sz w:val="24"/>
                <w:szCs w:val="24"/>
                <w:lang w:eastAsia="zh-CN"/>
              </w:rPr>
              <w:t>强、</w:t>
            </w:r>
            <w:r>
              <w:rPr>
                <w:rFonts w:hint="eastAsia" w:asciiTheme="minorEastAsia" w:hAnsiTheme="minorEastAsia" w:eastAsiaTheme="minorEastAsia" w:cstheme="minorEastAsia"/>
                <w:color w:val="auto"/>
                <w:sz w:val="24"/>
                <w:szCs w:val="24"/>
                <w:lang w:val="zh-CN" w:eastAsia="zh-CN"/>
              </w:rPr>
              <w:t>配备</w:t>
            </w:r>
            <w:r>
              <w:rPr>
                <w:rFonts w:hint="eastAsia" w:asciiTheme="minorEastAsia" w:hAnsiTheme="minorEastAsia" w:eastAsiaTheme="minorEastAsia" w:cstheme="minorEastAsia"/>
                <w:color w:val="auto"/>
                <w:sz w:val="24"/>
                <w:szCs w:val="24"/>
                <w:lang w:val="en-US" w:eastAsia="zh-CN"/>
              </w:rPr>
              <w:t>较</w:t>
            </w:r>
            <w:r>
              <w:rPr>
                <w:rFonts w:hint="eastAsia" w:asciiTheme="minorEastAsia" w:hAnsiTheme="minorEastAsia" w:eastAsiaTheme="minorEastAsia" w:cstheme="minorEastAsia"/>
                <w:color w:val="auto"/>
                <w:sz w:val="24"/>
                <w:szCs w:val="24"/>
                <w:lang w:val="zh-CN" w:eastAsia="zh-CN"/>
              </w:rPr>
              <w:t>科学合理、</w:t>
            </w:r>
            <w:r>
              <w:rPr>
                <w:rFonts w:hint="eastAsia" w:asciiTheme="minorEastAsia" w:hAnsiTheme="minorEastAsia" w:eastAsiaTheme="minorEastAsia" w:cstheme="minorEastAsia"/>
                <w:color w:val="auto"/>
                <w:sz w:val="24"/>
                <w:szCs w:val="24"/>
                <w:lang w:eastAsia="zh-CN"/>
              </w:rPr>
              <w:t>职责任务、</w:t>
            </w:r>
            <w:r>
              <w:rPr>
                <w:rFonts w:hint="eastAsia" w:asciiTheme="minorEastAsia" w:hAnsiTheme="minorEastAsia" w:eastAsiaTheme="minorEastAsia" w:cstheme="minorEastAsia"/>
                <w:color w:val="auto"/>
                <w:sz w:val="24"/>
                <w:szCs w:val="24"/>
                <w:lang w:val="en-US" w:eastAsia="zh-CN"/>
              </w:rPr>
              <w:t>分工较明确得8</w:t>
            </w:r>
            <w:r>
              <w:rPr>
                <w:rFonts w:hint="eastAsia" w:asciiTheme="minorEastAsia" w:hAnsiTheme="minorEastAsia" w:eastAsiaTheme="minorEastAsia" w:cstheme="minorEastAsia"/>
                <w:color w:val="auto"/>
                <w:sz w:val="24"/>
                <w:szCs w:val="24"/>
                <w:lang w:eastAsia="zh-CN"/>
              </w:rPr>
              <w:t>分；</w:t>
            </w:r>
          </w:p>
          <w:p w14:paraId="3F2E49C3">
            <w:pPr>
              <w:spacing w:line="36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zh-CN" w:eastAsia="zh-CN"/>
              </w:rPr>
              <w:t>人员经验</w:t>
            </w:r>
            <w:r>
              <w:rPr>
                <w:rFonts w:hint="eastAsia" w:asciiTheme="minorEastAsia" w:hAnsiTheme="minorEastAsia" w:eastAsiaTheme="minorEastAsia" w:cstheme="minorEastAsia"/>
                <w:color w:val="auto"/>
                <w:sz w:val="24"/>
                <w:szCs w:val="24"/>
                <w:lang w:val="en-US" w:eastAsia="zh-CN"/>
              </w:rPr>
              <w:t>基本丰富</w:t>
            </w:r>
            <w:r>
              <w:rPr>
                <w:rFonts w:hint="eastAsia" w:asciiTheme="minorEastAsia" w:hAnsiTheme="minorEastAsia" w:eastAsiaTheme="minorEastAsia" w:cstheme="minorEastAsia"/>
                <w:color w:val="auto"/>
                <w:sz w:val="24"/>
                <w:szCs w:val="24"/>
                <w:lang w:val="zh-CN" w:eastAsia="zh-CN"/>
              </w:rPr>
              <w:t>、配备</w:t>
            </w:r>
            <w:r>
              <w:rPr>
                <w:rFonts w:hint="eastAsia" w:asciiTheme="minorEastAsia" w:hAnsiTheme="minorEastAsia" w:eastAsiaTheme="minorEastAsia" w:cstheme="minorEastAsia"/>
                <w:color w:val="auto"/>
                <w:sz w:val="24"/>
                <w:szCs w:val="24"/>
                <w:lang w:val="en-US" w:eastAsia="zh-CN"/>
              </w:rPr>
              <w:t>较</w:t>
            </w:r>
            <w:r>
              <w:rPr>
                <w:rFonts w:hint="eastAsia" w:asciiTheme="minorEastAsia" w:hAnsiTheme="minorEastAsia" w:eastAsiaTheme="minorEastAsia" w:cstheme="minorEastAsia"/>
                <w:color w:val="auto"/>
                <w:sz w:val="24"/>
                <w:szCs w:val="24"/>
                <w:lang w:val="zh-CN" w:eastAsia="zh-CN"/>
              </w:rPr>
              <w:t>合理、</w:t>
            </w:r>
            <w:r>
              <w:rPr>
                <w:rFonts w:hint="eastAsia" w:asciiTheme="minorEastAsia" w:hAnsiTheme="minorEastAsia" w:eastAsiaTheme="minorEastAsia" w:cstheme="minorEastAsia"/>
                <w:color w:val="auto"/>
                <w:sz w:val="24"/>
                <w:szCs w:val="24"/>
                <w:lang w:eastAsia="zh-CN"/>
              </w:rPr>
              <w:t>职责任务明确</w:t>
            </w:r>
            <w:r>
              <w:rPr>
                <w:rFonts w:hint="eastAsia" w:asciiTheme="minorEastAsia" w:hAnsiTheme="minorEastAsia" w:eastAsiaTheme="minorEastAsia" w:cstheme="minorEastAsia"/>
                <w:color w:val="auto"/>
                <w:sz w:val="24"/>
                <w:szCs w:val="24"/>
                <w:lang w:val="en-US" w:eastAsia="zh-CN"/>
              </w:rPr>
              <w:t>有针对性得6</w:t>
            </w:r>
            <w:r>
              <w:rPr>
                <w:rFonts w:hint="eastAsia" w:asciiTheme="minorEastAsia" w:hAnsiTheme="minorEastAsia" w:eastAsiaTheme="minorEastAsia" w:cstheme="minorEastAsia"/>
                <w:color w:val="auto"/>
                <w:sz w:val="24"/>
                <w:szCs w:val="24"/>
                <w:lang w:eastAsia="zh-CN"/>
              </w:rPr>
              <w:t>分；</w:t>
            </w:r>
          </w:p>
          <w:p w14:paraId="5310B41B">
            <w:pPr>
              <w:spacing w:line="36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zh-CN" w:eastAsia="zh-CN"/>
              </w:rPr>
              <w:t>人员经验</w:t>
            </w:r>
            <w:r>
              <w:rPr>
                <w:rFonts w:hint="eastAsia" w:asciiTheme="minorEastAsia" w:hAnsiTheme="minorEastAsia" w:eastAsiaTheme="minorEastAsia" w:cstheme="minorEastAsia"/>
                <w:color w:val="auto"/>
                <w:sz w:val="24"/>
                <w:szCs w:val="24"/>
                <w:lang w:val="en-US" w:eastAsia="zh-CN"/>
              </w:rPr>
              <w:t>基本丰富</w:t>
            </w:r>
            <w:r>
              <w:rPr>
                <w:rFonts w:hint="eastAsia" w:asciiTheme="minorEastAsia" w:hAnsiTheme="minorEastAsia" w:eastAsiaTheme="minorEastAsia" w:cstheme="minorEastAsia"/>
                <w:color w:val="auto"/>
                <w:sz w:val="24"/>
                <w:szCs w:val="24"/>
                <w:lang w:val="zh-CN" w:eastAsia="zh-CN"/>
              </w:rPr>
              <w:t>、配备</w:t>
            </w:r>
            <w:r>
              <w:rPr>
                <w:rFonts w:hint="eastAsia" w:asciiTheme="minorEastAsia" w:hAnsiTheme="minorEastAsia" w:eastAsiaTheme="minorEastAsia" w:cstheme="minorEastAsia"/>
                <w:color w:val="auto"/>
                <w:sz w:val="24"/>
                <w:szCs w:val="24"/>
                <w:lang w:val="en-US" w:eastAsia="zh-CN"/>
              </w:rPr>
              <w:t>基本</w:t>
            </w:r>
            <w:r>
              <w:rPr>
                <w:rFonts w:hint="eastAsia" w:asciiTheme="minorEastAsia" w:hAnsiTheme="minorEastAsia" w:eastAsiaTheme="minorEastAsia" w:cstheme="minorEastAsia"/>
                <w:color w:val="auto"/>
                <w:sz w:val="24"/>
                <w:szCs w:val="24"/>
                <w:lang w:val="zh-CN" w:eastAsia="zh-CN"/>
              </w:rPr>
              <w:t>合理、</w:t>
            </w:r>
            <w:r>
              <w:rPr>
                <w:rFonts w:hint="eastAsia" w:asciiTheme="minorEastAsia" w:hAnsiTheme="minorEastAsia" w:eastAsiaTheme="minorEastAsia" w:cstheme="minorEastAsia"/>
                <w:color w:val="auto"/>
                <w:sz w:val="24"/>
                <w:szCs w:val="24"/>
                <w:lang w:eastAsia="zh-CN"/>
              </w:rPr>
              <w:t>职责任务</w:t>
            </w:r>
            <w:r>
              <w:rPr>
                <w:rFonts w:hint="eastAsia" w:asciiTheme="minorEastAsia" w:hAnsiTheme="minorEastAsia" w:eastAsiaTheme="minorEastAsia" w:cstheme="minorEastAsia"/>
                <w:color w:val="auto"/>
                <w:sz w:val="24"/>
                <w:szCs w:val="24"/>
                <w:lang w:val="en-US" w:eastAsia="zh-CN"/>
              </w:rPr>
              <w:t>基本</w:t>
            </w:r>
            <w:r>
              <w:rPr>
                <w:rFonts w:hint="eastAsia" w:asciiTheme="minorEastAsia" w:hAnsiTheme="minorEastAsia" w:eastAsiaTheme="minorEastAsia" w:cstheme="minorEastAsia"/>
                <w:color w:val="auto"/>
                <w:sz w:val="24"/>
                <w:szCs w:val="24"/>
                <w:lang w:eastAsia="zh-CN"/>
              </w:rPr>
              <w:t>明确得</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eastAsia="zh-CN"/>
              </w:rPr>
              <w:t>分；</w:t>
            </w:r>
          </w:p>
          <w:p w14:paraId="29E36E22">
            <w:pPr>
              <w:spacing w:line="36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zh-CN" w:eastAsia="zh-CN"/>
              </w:rPr>
              <w:t>人员经验一般、配备</w:t>
            </w:r>
            <w:r>
              <w:rPr>
                <w:rFonts w:hint="eastAsia" w:asciiTheme="minorEastAsia" w:hAnsiTheme="minorEastAsia" w:eastAsiaTheme="minorEastAsia" w:cstheme="minorEastAsia"/>
                <w:color w:val="auto"/>
                <w:sz w:val="24"/>
                <w:szCs w:val="24"/>
                <w:lang w:val="en-US" w:eastAsia="zh-CN"/>
              </w:rPr>
              <w:t>一般</w:t>
            </w:r>
            <w:r>
              <w:rPr>
                <w:rFonts w:hint="eastAsia" w:asciiTheme="minorEastAsia" w:hAnsiTheme="minorEastAsia" w:eastAsiaTheme="minorEastAsia" w:cstheme="minorEastAsia"/>
                <w:color w:val="auto"/>
                <w:sz w:val="24"/>
                <w:szCs w:val="24"/>
                <w:lang w:val="zh-CN" w:eastAsia="zh-CN"/>
              </w:rPr>
              <w:t>、</w:t>
            </w:r>
            <w:r>
              <w:rPr>
                <w:rFonts w:hint="eastAsia" w:asciiTheme="minorEastAsia" w:hAnsiTheme="minorEastAsia" w:eastAsiaTheme="minorEastAsia" w:cstheme="minorEastAsia"/>
                <w:color w:val="auto"/>
                <w:sz w:val="24"/>
                <w:szCs w:val="24"/>
                <w:lang w:eastAsia="zh-CN"/>
              </w:rPr>
              <w:t>职责任务不太明确得</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分；</w:t>
            </w:r>
          </w:p>
          <w:p w14:paraId="2D216B33">
            <w:pPr>
              <w:spacing w:line="36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人员经验</w:t>
            </w:r>
            <w:r>
              <w:rPr>
                <w:rFonts w:hint="eastAsia" w:asciiTheme="minorEastAsia" w:hAnsiTheme="minorEastAsia" w:eastAsiaTheme="minorEastAsia" w:cstheme="minorEastAsia"/>
                <w:color w:val="auto"/>
                <w:sz w:val="24"/>
                <w:szCs w:val="24"/>
                <w:lang w:eastAsia="zh-CN"/>
              </w:rPr>
              <w:t>内容简单笼统，职责任务不明确、</w:t>
            </w:r>
            <w:r>
              <w:rPr>
                <w:rFonts w:hint="eastAsia" w:asciiTheme="minorEastAsia" w:hAnsiTheme="minorEastAsia" w:eastAsiaTheme="minorEastAsia" w:cstheme="minorEastAsia"/>
                <w:color w:val="auto"/>
                <w:sz w:val="24"/>
                <w:szCs w:val="24"/>
                <w:lang w:val="en-US" w:eastAsia="zh-CN"/>
              </w:rPr>
              <w:t>无针对性</w:t>
            </w:r>
            <w:r>
              <w:rPr>
                <w:rFonts w:hint="eastAsia" w:asciiTheme="minorEastAsia" w:hAnsiTheme="minorEastAsia" w:eastAsiaTheme="minorEastAsia" w:cstheme="minorEastAsia"/>
                <w:color w:val="auto"/>
                <w:sz w:val="24"/>
                <w:szCs w:val="24"/>
                <w:lang w:eastAsia="zh-CN"/>
              </w:rPr>
              <w:t>得</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分；未提供不得分。</w:t>
            </w:r>
          </w:p>
          <w:p w14:paraId="671A1CE9">
            <w:pPr>
              <w:spacing w:line="36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以上相关人员需提供社保缴纳证明，不提供不得分。</w:t>
            </w:r>
          </w:p>
        </w:tc>
      </w:tr>
      <w:tr w14:paraId="0FDA9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6" w:type="pct"/>
            <w:vMerge w:val="continue"/>
            <w:vAlign w:val="center"/>
          </w:tcPr>
          <w:p w14:paraId="3D164408">
            <w:pPr>
              <w:spacing w:line="360" w:lineRule="auto"/>
              <w:ind w:firstLine="240" w:firstLineChars="100"/>
              <w:rPr>
                <w:rFonts w:ascii="宋体" w:hAnsi="宋体" w:cs="宋体"/>
                <w:color w:val="auto"/>
                <w:sz w:val="24"/>
              </w:rPr>
            </w:pPr>
          </w:p>
        </w:tc>
        <w:tc>
          <w:tcPr>
            <w:tcW w:w="591" w:type="pct"/>
            <w:vAlign w:val="center"/>
          </w:tcPr>
          <w:p w14:paraId="50DD47E5">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质量保证措施</w:t>
            </w:r>
          </w:p>
          <w:p w14:paraId="5653F063">
            <w:pPr>
              <w:spacing w:line="360" w:lineRule="auto"/>
              <w:jc w:val="center"/>
              <w:rPr>
                <w:rFonts w:hint="default" w:ascii="宋体" w:hAnsi="宋体" w:cs="宋体"/>
                <w:color w:val="auto"/>
                <w:sz w:val="24"/>
                <w:lang w:val="en-US"/>
              </w:rPr>
            </w:pPr>
            <w:r>
              <w:rPr>
                <w:rFonts w:hint="eastAsia" w:ascii="宋体" w:hAnsi="宋体" w:cs="宋体"/>
                <w:color w:val="auto"/>
                <w:sz w:val="24"/>
                <w:lang w:val="en-US" w:eastAsia="zh-CN"/>
              </w:rPr>
              <w:t>10分</w:t>
            </w:r>
          </w:p>
        </w:tc>
        <w:tc>
          <w:tcPr>
            <w:tcW w:w="3762" w:type="pct"/>
          </w:tcPr>
          <w:p w14:paraId="455E58B9">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质量保证措施内容得当、措施全面、合理可行、项目针对性强，得10分；</w:t>
            </w:r>
          </w:p>
          <w:p w14:paraId="79740CA7">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质量保障方案内容符合要求，内容全面、针对性较强，得8分；</w:t>
            </w:r>
          </w:p>
          <w:p w14:paraId="579AE8B0">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质量保障方案内容基本涵盖，基本保证项目质量，得6分；</w:t>
            </w:r>
          </w:p>
          <w:p w14:paraId="0AF1BC20">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质量保障方案内容简要、措施不够全面、可行性一般得4分；</w:t>
            </w:r>
          </w:p>
          <w:p w14:paraId="5AA2D965">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质量保障方案涵盖内容一般，有明显缺失，得2分；</w:t>
            </w:r>
          </w:p>
          <w:p w14:paraId="7662E6F4">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质量保障方案空泛或无实质性内容，得1分；未提供不得分。</w:t>
            </w:r>
          </w:p>
        </w:tc>
      </w:tr>
      <w:tr w14:paraId="142B7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6" w:type="pct"/>
            <w:vMerge w:val="continue"/>
            <w:vAlign w:val="center"/>
          </w:tcPr>
          <w:p w14:paraId="18DD6E06">
            <w:pPr>
              <w:spacing w:line="360" w:lineRule="auto"/>
              <w:jc w:val="center"/>
              <w:rPr>
                <w:rFonts w:ascii="宋体" w:hAnsi="宋体" w:cs="宋体"/>
                <w:color w:val="auto"/>
                <w:sz w:val="24"/>
              </w:rPr>
            </w:pPr>
          </w:p>
        </w:tc>
        <w:tc>
          <w:tcPr>
            <w:tcW w:w="591" w:type="pct"/>
            <w:vAlign w:val="center"/>
          </w:tcPr>
          <w:p w14:paraId="56A08C90">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应急预案</w:t>
            </w:r>
          </w:p>
          <w:p w14:paraId="625F7C73">
            <w:pPr>
              <w:spacing w:line="360" w:lineRule="auto"/>
              <w:jc w:val="center"/>
              <w:rPr>
                <w:rFonts w:ascii="宋体" w:hAnsi="宋体" w:cs="宋体"/>
                <w:color w:val="auto"/>
                <w:sz w:val="24"/>
              </w:rPr>
            </w:pPr>
            <w:r>
              <w:rPr>
                <w:rFonts w:hint="eastAsia" w:ascii="宋体" w:hAnsi="宋体" w:cs="宋体"/>
                <w:color w:val="auto"/>
                <w:sz w:val="24"/>
                <w:lang w:val="en-US" w:eastAsia="zh-CN"/>
              </w:rPr>
              <w:t>10</w:t>
            </w:r>
            <w:r>
              <w:rPr>
                <w:rFonts w:hint="eastAsia" w:ascii="宋体" w:hAnsi="宋体" w:cs="宋体"/>
                <w:color w:val="auto"/>
                <w:sz w:val="24"/>
              </w:rPr>
              <w:t>分</w:t>
            </w:r>
          </w:p>
        </w:tc>
        <w:tc>
          <w:tcPr>
            <w:tcW w:w="3762" w:type="pct"/>
          </w:tcPr>
          <w:p w14:paraId="54898353">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根据项目工作特点提供完善的的应急预案。按应急预案完整性、全面性、认知深度和专业性进行评审。应急预案得当、全面、详尽、完全合理可行、针对性强得10分；</w:t>
            </w:r>
          </w:p>
          <w:p w14:paraId="3B4A1047">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应急服务预案得当、全面、较详尽、合理可行、针对性较强得8分；</w:t>
            </w:r>
          </w:p>
          <w:p w14:paraId="7E0D586E">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应急服务预案比较得当、比较全面、合理可行得6分；</w:t>
            </w:r>
          </w:p>
          <w:p w14:paraId="36D96E14">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应急服务预案可行性基本完善，实操性基本涵盖得4分；</w:t>
            </w:r>
          </w:p>
          <w:p w14:paraId="03F771B2">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应急服务预案可行性一般，实操性一般得2分；</w:t>
            </w:r>
          </w:p>
          <w:p w14:paraId="234D5B8F">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应急服务预案空泛或无实质性内容得1分；未提供不得分。</w:t>
            </w:r>
          </w:p>
        </w:tc>
      </w:tr>
      <w:tr w14:paraId="6CF1F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6" w:type="pct"/>
            <w:vMerge w:val="continue"/>
            <w:vAlign w:val="center"/>
          </w:tcPr>
          <w:p w14:paraId="73FD11E1">
            <w:pPr>
              <w:spacing w:line="360" w:lineRule="auto"/>
              <w:jc w:val="center"/>
              <w:rPr>
                <w:rFonts w:ascii="宋体" w:hAnsi="宋体" w:cs="宋体"/>
                <w:color w:val="auto"/>
                <w:sz w:val="24"/>
              </w:rPr>
            </w:pPr>
          </w:p>
        </w:tc>
        <w:tc>
          <w:tcPr>
            <w:tcW w:w="591" w:type="pct"/>
            <w:shd w:val="clear" w:color="auto" w:fill="auto"/>
            <w:vAlign w:val="center"/>
          </w:tcPr>
          <w:p w14:paraId="5286BB15">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保密</w:t>
            </w:r>
          </w:p>
          <w:p w14:paraId="7AE853F1">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8</w:t>
            </w:r>
            <w:r>
              <w:rPr>
                <w:rFonts w:hint="eastAsia" w:ascii="宋体" w:hAnsi="宋体" w:cs="宋体"/>
                <w:color w:val="auto"/>
                <w:sz w:val="24"/>
              </w:rPr>
              <w:t>分</w:t>
            </w:r>
          </w:p>
        </w:tc>
        <w:tc>
          <w:tcPr>
            <w:tcW w:w="3762" w:type="pct"/>
            <w:shd w:val="clear" w:color="auto" w:fill="auto"/>
            <w:vAlign w:val="top"/>
          </w:tcPr>
          <w:p w14:paraId="005F5FD8">
            <w:pPr>
              <w:pStyle w:val="10"/>
              <w:spacing w:line="360" w:lineRule="auto"/>
              <w:ind w:firstLine="584"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针对项目提供保密方案（安全保密制度及方案，保密管理制度及方案等）。</w:t>
            </w:r>
          </w:p>
          <w:p w14:paraId="1519DC6B">
            <w:pPr>
              <w:pStyle w:val="10"/>
              <w:spacing w:line="360" w:lineRule="auto"/>
              <w:ind w:firstLine="584"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保密方案完整全面、科学合理、可操作性强得8分；</w:t>
            </w:r>
          </w:p>
          <w:p w14:paraId="4F637B25">
            <w:pPr>
              <w:pStyle w:val="10"/>
              <w:spacing w:line="360" w:lineRule="auto"/>
              <w:ind w:firstLine="584"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保密方案较全面，可操作性较强得6分；</w:t>
            </w:r>
          </w:p>
          <w:p w14:paraId="2071A2E8">
            <w:pPr>
              <w:pStyle w:val="10"/>
              <w:spacing w:line="360" w:lineRule="auto"/>
              <w:ind w:firstLine="584"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保密方案基本全面，可操作性基本合理得4分；</w:t>
            </w:r>
          </w:p>
          <w:p w14:paraId="23D507F2">
            <w:pPr>
              <w:pStyle w:val="10"/>
              <w:spacing w:line="360" w:lineRule="auto"/>
              <w:ind w:firstLine="584"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保密方案可操作性一般得2分；</w:t>
            </w:r>
          </w:p>
          <w:p w14:paraId="40CEFF9D">
            <w:pPr>
              <w:pStyle w:val="10"/>
              <w:spacing w:line="360" w:lineRule="auto"/>
              <w:ind w:firstLine="584"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保密方案内容空泛或无实质性内容得1分；</w:t>
            </w:r>
          </w:p>
          <w:p w14:paraId="23EA80E5">
            <w:pPr>
              <w:pStyle w:val="10"/>
              <w:spacing w:line="360" w:lineRule="auto"/>
              <w:ind w:firstLine="584" w:firstLineChars="0"/>
              <w:rPr>
                <w:rFonts w:hint="eastAsia" w:ascii="宋体" w:hAnsi="宋体" w:eastAsia="楷体_GB2312" w:cs="宋体"/>
                <w:b/>
                <w:bCs/>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未提供不得分。</w:t>
            </w:r>
          </w:p>
        </w:tc>
      </w:tr>
      <w:tr w14:paraId="6D861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6" w:type="pct"/>
            <w:vMerge w:val="continue"/>
            <w:vAlign w:val="center"/>
          </w:tcPr>
          <w:p w14:paraId="1C949192">
            <w:pPr>
              <w:spacing w:line="360" w:lineRule="auto"/>
              <w:jc w:val="center"/>
              <w:rPr>
                <w:rFonts w:ascii="宋体" w:hAnsi="宋体" w:cs="宋体"/>
                <w:color w:val="auto"/>
                <w:sz w:val="24"/>
              </w:rPr>
            </w:pPr>
          </w:p>
        </w:tc>
        <w:tc>
          <w:tcPr>
            <w:tcW w:w="591" w:type="pct"/>
            <w:vAlign w:val="center"/>
          </w:tcPr>
          <w:p w14:paraId="23171186">
            <w:pPr>
              <w:spacing w:line="360" w:lineRule="auto"/>
              <w:jc w:val="center"/>
              <w:rPr>
                <w:rFonts w:hint="eastAsia" w:ascii="宋体" w:hAnsi="宋体" w:cs="宋体"/>
                <w:color w:val="auto"/>
                <w:sz w:val="24"/>
                <w:lang w:val="zh-CN" w:eastAsia="zh-CN"/>
              </w:rPr>
            </w:pPr>
            <w:r>
              <w:rPr>
                <w:rFonts w:hint="eastAsia" w:ascii="宋体" w:hAnsi="宋体" w:cs="宋体"/>
                <w:color w:val="auto"/>
                <w:sz w:val="24"/>
                <w:lang w:val="zh-CN" w:eastAsia="zh-CN"/>
              </w:rPr>
              <w:t>售后服务</w:t>
            </w:r>
          </w:p>
          <w:p w14:paraId="5C41485E">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8</w:t>
            </w:r>
            <w:r>
              <w:rPr>
                <w:rFonts w:hint="eastAsia" w:ascii="宋体" w:hAnsi="宋体" w:cs="宋体"/>
                <w:color w:val="auto"/>
                <w:sz w:val="24"/>
              </w:rPr>
              <w:t>分</w:t>
            </w:r>
          </w:p>
        </w:tc>
        <w:tc>
          <w:tcPr>
            <w:tcW w:w="3762" w:type="pct"/>
            <w:vAlign w:val="top"/>
          </w:tcPr>
          <w:p w14:paraId="5C06C47D">
            <w:pPr>
              <w:pStyle w:val="10"/>
              <w:spacing w:line="360" w:lineRule="auto"/>
              <w:ind w:firstLine="584"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根据项目实际需求提供售后服务方案（售后服务范围，售后服务期限及响应时间，故障处理及补救措施，拟投入售后服务人员配置情况等）。</w:t>
            </w:r>
          </w:p>
          <w:p w14:paraId="33F64713">
            <w:pPr>
              <w:pStyle w:val="10"/>
              <w:spacing w:line="360" w:lineRule="auto"/>
              <w:ind w:firstLine="584"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售后服务方案内容详尽、科学、合理，可行性强得8分；</w:t>
            </w:r>
          </w:p>
          <w:p w14:paraId="66D1F0A2">
            <w:pPr>
              <w:pStyle w:val="10"/>
              <w:spacing w:line="360" w:lineRule="auto"/>
              <w:ind w:firstLine="584"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售后服务方案科学、合理，可行性较强得6分；</w:t>
            </w:r>
          </w:p>
          <w:p w14:paraId="293DF4D6">
            <w:pPr>
              <w:pStyle w:val="10"/>
              <w:spacing w:line="360" w:lineRule="auto"/>
              <w:ind w:firstLine="584"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售后服务方案基本科学、合理，可行性得4分；</w:t>
            </w:r>
          </w:p>
          <w:p w14:paraId="0C89EA7E">
            <w:pPr>
              <w:pStyle w:val="10"/>
              <w:spacing w:line="360" w:lineRule="auto"/>
              <w:ind w:firstLine="584"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售后服务方案内容一般，可行性一般得2分；</w:t>
            </w:r>
          </w:p>
          <w:p w14:paraId="4309CB92">
            <w:pPr>
              <w:pStyle w:val="10"/>
              <w:spacing w:line="360" w:lineRule="auto"/>
              <w:ind w:firstLine="584"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售后服务方案内容简单笼统，无针对性得1分；未提供不得分。</w:t>
            </w:r>
          </w:p>
        </w:tc>
      </w:tr>
      <w:tr w14:paraId="7769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6" w:type="pct"/>
            <w:vMerge w:val="continue"/>
            <w:vAlign w:val="center"/>
          </w:tcPr>
          <w:p w14:paraId="51060F15">
            <w:pPr>
              <w:spacing w:line="360" w:lineRule="auto"/>
              <w:jc w:val="center"/>
              <w:rPr>
                <w:rFonts w:ascii="宋体" w:hAnsi="宋体" w:cs="宋体"/>
                <w:color w:val="auto"/>
                <w:sz w:val="24"/>
              </w:rPr>
            </w:pPr>
          </w:p>
        </w:tc>
        <w:tc>
          <w:tcPr>
            <w:tcW w:w="591" w:type="pct"/>
            <w:vAlign w:val="center"/>
          </w:tcPr>
          <w:p w14:paraId="4DFDA4F3">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培训</w:t>
            </w:r>
          </w:p>
          <w:p w14:paraId="4F4092BF">
            <w:pPr>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5</w:t>
            </w:r>
            <w:r>
              <w:rPr>
                <w:rFonts w:hint="eastAsia" w:ascii="宋体" w:hAnsi="宋体" w:cs="宋体"/>
                <w:color w:val="auto"/>
                <w:sz w:val="24"/>
              </w:rPr>
              <w:t>分</w:t>
            </w:r>
          </w:p>
        </w:tc>
        <w:tc>
          <w:tcPr>
            <w:tcW w:w="3762" w:type="pct"/>
            <w:vAlign w:val="center"/>
          </w:tcPr>
          <w:p w14:paraId="132DB916">
            <w:pPr>
              <w:pStyle w:val="10"/>
              <w:spacing w:line="360" w:lineRule="auto"/>
              <w:ind w:firstLine="584"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针对项目</w:t>
            </w:r>
            <w:r>
              <w:rPr>
                <w:rFonts w:hint="default" w:ascii="宋体" w:hAnsi="宋体" w:eastAsia="宋体" w:cs="宋体"/>
                <w:color w:val="auto"/>
                <w:kern w:val="2"/>
                <w:sz w:val="24"/>
                <w:szCs w:val="24"/>
                <w:lang w:val="en-US" w:eastAsia="zh-CN" w:bidi="ar-SA"/>
              </w:rPr>
              <w:t>提供培训</w:t>
            </w:r>
            <w:r>
              <w:rPr>
                <w:rFonts w:hint="eastAsia" w:ascii="宋体" w:hAnsi="宋体" w:eastAsia="宋体" w:cs="宋体"/>
                <w:color w:val="auto"/>
                <w:kern w:val="2"/>
                <w:sz w:val="24"/>
                <w:szCs w:val="24"/>
                <w:lang w:val="en-US" w:eastAsia="zh-CN" w:bidi="ar-SA"/>
              </w:rPr>
              <w:t>方案（</w:t>
            </w:r>
            <w:r>
              <w:rPr>
                <w:rFonts w:hint="default" w:ascii="宋体" w:hAnsi="宋体" w:eastAsia="宋体" w:cs="宋体"/>
                <w:color w:val="auto"/>
                <w:kern w:val="2"/>
                <w:sz w:val="24"/>
                <w:szCs w:val="24"/>
                <w:lang w:val="en-US" w:eastAsia="zh-CN" w:bidi="ar-SA"/>
              </w:rPr>
              <w:t>培训课程的安排</w:t>
            </w:r>
            <w:r>
              <w:rPr>
                <w:rFonts w:hint="eastAsia" w:ascii="宋体" w:hAnsi="宋体" w:eastAsia="宋体" w:cs="宋体"/>
                <w:color w:val="auto"/>
                <w:kern w:val="2"/>
                <w:sz w:val="24"/>
                <w:szCs w:val="24"/>
                <w:lang w:val="en-US" w:eastAsia="zh-CN" w:bidi="ar-SA"/>
              </w:rPr>
              <w:t>，</w:t>
            </w:r>
            <w:r>
              <w:rPr>
                <w:rFonts w:hint="default" w:ascii="宋体" w:hAnsi="宋体" w:eastAsia="宋体" w:cs="宋体"/>
                <w:color w:val="auto"/>
                <w:kern w:val="2"/>
                <w:sz w:val="24"/>
                <w:szCs w:val="24"/>
                <w:lang w:val="en-US" w:eastAsia="zh-CN" w:bidi="ar-SA"/>
              </w:rPr>
              <w:t>培训讲师的能力</w:t>
            </w:r>
            <w:r>
              <w:rPr>
                <w:rFonts w:hint="eastAsia" w:ascii="宋体" w:hAnsi="宋体" w:eastAsia="宋体" w:cs="宋体"/>
                <w:color w:val="auto"/>
                <w:kern w:val="2"/>
                <w:sz w:val="24"/>
                <w:szCs w:val="24"/>
                <w:lang w:val="en-US" w:eastAsia="zh-CN" w:bidi="ar-SA"/>
              </w:rPr>
              <w:t>，</w:t>
            </w:r>
            <w:r>
              <w:rPr>
                <w:rFonts w:hint="default" w:ascii="宋体" w:hAnsi="宋体" w:eastAsia="宋体" w:cs="宋体"/>
                <w:color w:val="auto"/>
                <w:kern w:val="2"/>
                <w:sz w:val="24"/>
                <w:szCs w:val="24"/>
                <w:lang w:val="en-US" w:eastAsia="zh-CN" w:bidi="ar-SA"/>
              </w:rPr>
              <w:t>培训的组织方式</w:t>
            </w:r>
            <w:r>
              <w:rPr>
                <w:rFonts w:hint="eastAsia" w:ascii="宋体" w:hAnsi="宋体" w:eastAsia="宋体" w:cs="宋体"/>
                <w:color w:val="auto"/>
                <w:kern w:val="2"/>
                <w:sz w:val="24"/>
                <w:szCs w:val="24"/>
                <w:lang w:val="en-US" w:eastAsia="zh-CN" w:bidi="ar-SA"/>
              </w:rPr>
              <w:t>，</w:t>
            </w:r>
            <w:r>
              <w:rPr>
                <w:rFonts w:hint="default" w:ascii="宋体" w:hAnsi="宋体" w:eastAsia="宋体" w:cs="宋体"/>
                <w:color w:val="auto"/>
                <w:kern w:val="2"/>
                <w:sz w:val="24"/>
                <w:szCs w:val="24"/>
                <w:lang w:val="en-US" w:eastAsia="zh-CN" w:bidi="ar-SA"/>
              </w:rPr>
              <w:t>培训质量的保证措施</w:t>
            </w:r>
            <w:r>
              <w:rPr>
                <w:rFonts w:hint="eastAsia" w:ascii="宋体" w:hAnsi="宋体" w:eastAsia="宋体" w:cs="宋体"/>
                <w:color w:val="auto"/>
                <w:kern w:val="2"/>
                <w:sz w:val="24"/>
                <w:szCs w:val="24"/>
                <w:lang w:val="en-US" w:eastAsia="zh-CN" w:bidi="ar-SA"/>
              </w:rPr>
              <w:t>，考核方案等）。</w:t>
            </w:r>
          </w:p>
          <w:p w14:paraId="0BCD3CD9">
            <w:pPr>
              <w:pStyle w:val="10"/>
              <w:spacing w:line="360" w:lineRule="auto"/>
              <w:ind w:firstLine="584"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培训方案详实、完全可行，针对性强得5分；</w:t>
            </w:r>
          </w:p>
          <w:p w14:paraId="13450285">
            <w:pPr>
              <w:pStyle w:val="10"/>
              <w:spacing w:line="360" w:lineRule="auto"/>
              <w:ind w:firstLine="584"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培训方案较完整、内容较适用，可行性较明确得4分；</w:t>
            </w:r>
          </w:p>
          <w:p w14:paraId="0A208A5A">
            <w:pPr>
              <w:pStyle w:val="10"/>
              <w:spacing w:line="360" w:lineRule="auto"/>
              <w:ind w:firstLine="584"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培训方案基本完整、内容基本适用，可行性基本明确得3分；</w:t>
            </w:r>
          </w:p>
          <w:p w14:paraId="60BD97B9">
            <w:pPr>
              <w:pStyle w:val="10"/>
              <w:spacing w:line="360" w:lineRule="auto"/>
              <w:ind w:firstLine="584"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培训方案可行性一般得2分；</w:t>
            </w:r>
          </w:p>
          <w:p w14:paraId="62DF3062">
            <w:pPr>
              <w:pStyle w:val="10"/>
              <w:spacing w:line="360" w:lineRule="auto"/>
              <w:ind w:firstLine="584"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培训方案描述简单宽泛或无实质性内容得1分；</w:t>
            </w:r>
            <w:r>
              <w:rPr>
                <w:rFonts w:hint="default" w:ascii="宋体" w:hAnsi="宋体" w:eastAsia="宋体" w:cs="宋体"/>
                <w:color w:val="auto"/>
                <w:kern w:val="2"/>
                <w:sz w:val="24"/>
                <w:szCs w:val="24"/>
                <w:lang w:val="en-US" w:eastAsia="zh-CN" w:bidi="ar-SA"/>
              </w:rPr>
              <w:t>未提供不得分。</w:t>
            </w:r>
          </w:p>
        </w:tc>
      </w:tr>
      <w:tr w14:paraId="79383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6" w:type="pct"/>
            <w:vMerge w:val="continue"/>
            <w:vAlign w:val="center"/>
          </w:tcPr>
          <w:p w14:paraId="329E70D9">
            <w:pPr>
              <w:spacing w:line="360" w:lineRule="auto"/>
              <w:ind w:firstLine="240" w:firstLineChars="100"/>
              <w:rPr>
                <w:rFonts w:ascii="宋体" w:hAnsi="宋体" w:cs="宋体"/>
                <w:color w:val="auto"/>
                <w:sz w:val="24"/>
              </w:rPr>
            </w:pPr>
          </w:p>
        </w:tc>
        <w:tc>
          <w:tcPr>
            <w:tcW w:w="591" w:type="pct"/>
            <w:vAlign w:val="center"/>
          </w:tcPr>
          <w:p w14:paraId="14CD65D2">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业绩</w:t>
            </w:r>
          </w:p>
          <w:p w14:paraId="66CA2A45">
            <w:pPr>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10</w:t>
            </w:r>
            <w:r>
              <w:rPr>
                <w:rFonts w:hint="eastAsia" w:ascii="宋体" w:hAnsi="宋体" w:eastAsia="宋体" w:cs="宋体"/>
                <w:color w:val="auto"/>
                <w:sz w:val="24"/>
                <w:lang w:val="en-US" w:eastAsia="zh-CN"/>
              </w:rPr>
              <w:t>分</w:t>
            </w:r>
          </w:p>
        </w:tc>
        <w:tc>
          <w:tcPr>
            <w:tcW w:w="3762" w:type="pct"/>
            <w:vAlign w:val="center"/>
          </w:tcPr>
          <w:p w14:paraId="3D460E1E">
            <w:pPr>
              <w:keepNext w:val="0"/>
              <w:keepLines w:val="0"/>
              <w:pageBreakBefore w:val="0"/>
              <w:widowControl w:val="0"/>
              <w:wordWrap/>
              <w:overflowPunct/>
              <w:topLinePunct w:val="0"/>
              <w:bidi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供应商提供202</w:t>
            </w: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年1月1日至今（以合同签订时间为准）类似业绩，以合同协议书为准，每份得</w:t>
            </w: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分，最高得</w:t>
            </w:r>
            <w:r>
              <w:rPr>
                <w:rFonts w:hint="eastAsia" w:ascii="宋体" w:hAnsi="宋体" w:cs="宋体"/>
                <w:color w:val="auto"/>
                <w:kern w:val="2"/>
                <w:sz w:val="24"/>
                <w:szCs w:val="24"/>
                <w:lang w:val="en-US" w:eastAsia="zh-CN" w:bidi="ar-SA"/>
              </w:rPr>
              <w:t>10</w:t>
            </w:r>
            <w:r>
              <w:rPr>
                <w:rFonts w:hint="eastAsia" w:ascii="宋体" w:hAnsi="宋体" w:eastAsia="宋体" w:cs="宋体"/>
                <w:color w:val="auto"/>
                <w:kern w:val="2"/>
                <w:sz w:val="24"/>
                <w:szCs w:val="24"/>
                <w:lang w:val="en-US" w:eastAsia="zh-CN" w:bidi="ar-SA"/>
              </w:rPr>
              <w:t>分。</w:t>
            </w:r>
          </w:p>
        </w:tc>
      </w:tr>
      <w:bookmarkEnd w:id="79"/>
    </w:tbl>
    <w:p w14:paraId="03F50436">
      <w:pPr>
        <w:spacing w:line="460" w:lineRule="exact"/>
        <w:rPr>
          <w:rFonts w:ascii="宋体" w:hAnsi="宋体" w:cs="宋体"/>
          <w:b/>
          <w:color w:val="000000"/>
          <w:sz w:val="24"/>
        </w:rPr>
      </w:pPr>
      <w:r>
        <w:rPr>
          <w:rFonts w:hint="eastAsia" w:ascii="宋体" w:hAnsi="宋体" w:cs="宋体"/>
          <w:b/>
          <w:color w:val="000000"/>
          <w:sz w:val="24"/>
        </w:rPr>
        <w:t>6.成交</w:t>
      </w:r>
    </w:p>
    <w:p w14:paraId="588A472C">
      <w:pPr>
        <w:spacing w:line="460" w:lineRule="exact"/>
        <w:ind w:left="120" w:leftChars="57" w:firstLine="240" w:firstLineChars="100"/>
        <w:rPr>
          <w:rFonts w:ascii="宋体" w:hAnsi="宋体" w:cs="宋体"/>
          <w:color w:val="000000"/>
          <w:sz w:val="24"/>
        </w:rPr>
      </w:pPr>
      <w:r>
        <w:rPr>
          <w:rFonts w:hint="eastAsia" w:ascii="宋体" w:hAnsi="宋体" w:cs="宋体"/>
          <w:color w:val="000000"/>
          <w:sz w:val="24"/>
        </w:rPr>
        <w:t>（1）采购代理机构在磋商结束后二个工作日内将磋商结果报告送达采购人，采购人在收到磋商结果报告后五个工作日内，按照磋商结果报告中推荐的成交候选供应商确定成交供应商，同时书面复函采购代理机构；</w:t>
      </w:r>
    </w:p>
    <w:p w14:paraId="7928D40E">
      <w:pPr>
        <w:spacing w:line="460" w:lineRule="exact"/>
        <w:ind w:firstLine="240" w:firstLineChars="100"/>
        <w:rPr>
          <w:rFonts w:ascii="宋体" w:hAnsi="宋体" w:cs="宋体"/>
          <w:color w:val="000000"/>
          <w:sz w:val="24"/>
        </w:rPr>
      </w:pPr>
      <w:r>
        <w:rPr>
          <w:rFonts w:hint="eastAsia" w:ascii="宋体" w:hAnsi="宋体" w:cs="宋体"/>
          <w:color w:val="000000"/>
          <w:sz w:val="24"/>
        </w:rPr>
        <w:t>（2）采购代理机构收到采购人“成交复函”后，在财政部门指定的政府采购信息媒体上发布公告，向成交供应商发出“成交通知书”。</w:t>
      </w:r>
    </w:p>
    <w:p w14:paraId="3DE8AF9B">
      <w:pPr>
        <w:jc w:val="center"/>
        <w:rPr>
          <w:rFonts w:ascii="宋体" w:hAnsi="宋体" w:cs="宋体"/>
          <w:b/>
          <w:color w:val="000000"/>
          <w:sz w:val="30"/>
          <w:szCs w:val="30"/>
        </w:rPr>
      </w:pPr>
      <w:r>
        <w:rPr>
          <w:rFonts w:hint="eastAsia" w:ascii="宋体" w:hAnsi="宋体" w:cs="宋体"/>
          <w:b/>
          <w:color w:val="000000"/>
          <w:sz w:val="30"/>
          <w:szCs w:val="30"/>
        </w:rPr>
        <w:t>七、签订合同</w:t>
      </w:r>
    </w:p>
    <w:p w14:paraId="6723557C">
      <w:pPr>
        <w:spacing w:line="460" w:lineRule="exact"/>
        <w:ind w:firstLine="480" w:firstLineChars="200"/>
        <w:rPr>
          <w:rFonts w:ascii="宋体" w:hAnsi="宋体" w:cs="宋体"/>
          <w:color w:val="000000"/>
          <w:sz w:val="24"/>
          <w:highlight w:val="none"/>
        </w:rPr>
      </w:pPr>
      <w:r>
        <w:rPr>
          <w:rFonts w:hint="eastAsia" w:ascii="宋体" w:hAnsi="宋体" w:cs="宋体"/>
          <w:color w:val="000000"/>
          <w:sz w:val="24"/>
        </w:rPr>
        <w:t>1.成交后，成交供应商（单位）在收到成交通知书后</w:t>
      </w:r>
      <w:r>
        <w:rPr>
          <w:rFonts w:hint="eastAsia" w:ascii="宋体" w:hAnsi="宋体" w:cs="宋体"/>
          <w:color w:val="000000"/>
          <w:sz w:val="24"/>
          <w:lang w:eastAsia="zh-CN"/>
        </w:rPr>
        <w:t>二十五</w:t>
      </w:r>
      <w:r>
        <w:rPr>
          <w:rFonts w:hint="eastAsia" w:ascii="宋体" w:hAnsi="宋体" w:cs="宋体"/>
          <w:color w:val="000000"/>
          <w:sz w:val="24"/>
        </w:rPr>
        <w:t>个日历</w:t>
      </w:r>
      <w:r>
        <w:rPr>
          <w:rFonts w:hint="eastAsia" w:ascii="宋体" w:hAnsi="宋体" w:cs="宋体"/>
          <w:color w:val="000000"/>
          <w:sz w:val="24"/>
          <w:lang w:eastAsia="zh-CN"/>
        </w:rPr>
        <w:t>日</w:t>
      </w:r>
      <w:r>
        <w:rPr>
          <w:rFonts w:hint="eastAsia" w:ascii="宋体" w:hAnsi="宋体" w:cs="宋体"/>
          <w:color w:val="000000"/>
          <w:sz w:val="24"/>
        </w:rPr>
        <w:t>内，应按磋商文件的要求与采购人洽谈合同条款</w:t>
      </w:r>
      <w:r>
        <w:rPr>
          <w:rFonts w:hint="eastAsia" w:ascii="宋体" w:hAnsi="宋体" w:cs="宋体"/>
          <w:color w:val="000000"/>
          <w:sz w:val="24"/>
          <w:highlight w:val="none"/>
        </w:rPr>
        <w:t>，</w:t>
      </w:r>
      <w:r>
        <w:rPr>
          <w:rFonts w:hint="eastAsia" w:ascii="宋体" w:hAnsi="宋体" w:cs="宋体"/>
          <w:color w:val="000000"/>
          <w:sz w:val="24"/>
          <w:highlight w:val="none"/>
          <w:lang w:eastAsia="zh-CN"/>
        </w:rPr>
        <w:t>经监督机构审核后</w:t>
      </w:r>
      <w:r>
        <w:rPr>
          <w:rFonts w:hint="eastAsia" w:ascii="宋体" w:hAnsi="宋体" w:cs="宋体"/>
          <w:color w:val="000000"/>
          <w:sz w:val="24"/>
          <w:highlight w:val="none"/>
        </w:rPr>
        <w:t>签订合同，磋商文件及成交供应商（单位）的磋商响应文件均作为合同的组成部分；</w:t>
      </w:r>
    </w:p>
    <w:p w14:paraId="1613D54D">
      <w:pPr>
        <w:spacing w:line="460" w:lineRule="exact"/>
        <w:ind w:firstLine="480" w:firstLineChars="200"/>
        <w:rPr>
          <w:rFonts w:ascii="宋体" w:hAnsi="宋体" w:cs="宋体"/>
          <w:color w:val="000000"/>
          <w:sz w:val="24"/>
        </w:rPr>
      </w:pPr>
      <w:r>
        <w:rPr>
          <w:rFonts w:hint="eastAsia" w:ascii="宋体" w:hAnsi="宋体" w:cs="宋体"/>
          <w:color w:val="000000"/>
          <w:sz w:val="24"/>
        </w:rPr>
        <w:t>2.政府采购合同履行中，单位需追加与合同标的相同的货物、工程或者服务的，在不改变合同其他条款的前提下，可以与成交供应商协商签订补充合同，但所有补充合同的采购金额不得超过原合同采购金额的百分之十；</w:t>
      </w:r>
    </w:p>
    <w:p w14:paraId="0D252884">
      <w:pPr>
        <w:spacing w:line="460" w:lineRule="exact"/>
        <w:ind w:firstLine="480" w:firstLineChars="200"/>
        <w:rPr>
          <w:rFonts w:hint="eastAsia" w:ascii="宋体" w:hAnsi="宋体" w:eastAsia="宋体" w:cs="宋体"/>
          <w:color w:val="000000"/>
          <w:sz w:val="24"/>
          <w:lang w:eastAsia="zh-CN"/>
        </w:rPr>
      </w:pPr>
      <w:r>
        <w:rPr>
          <w:rFonts w:hint="eastAsia" w:ascii="宋体" w:hAnsi="宋体" w:cs="宋体"/>
          <w:color w:val="000000"/>
          <w:sz w:val="24"/>
        </w:rPr>
        <w:t>3.根据需要，采购代理机构可会同采购人负责监督、协调和处理履约过程中出现的问题</w:t>
      </w:r>
      <w:r>
        <w:rPr>
          <w:rFonts w:hint="eastAsia" w:ascii="宋体" w:hAnsi="宋体" w:cs="宋体"/>
          <w:color w:val="000000"/>
          <w:sz w:val="24"/>
          <w:lang w:eastAsia="zh-CN"/>
        </w:rPr>
        <w:t>。</w:t>
      </w:r>
    </w:p>
    <w:p w14:paraId="5A225E4D">
      <w:pPr>
        <w:jc w:val="center"/>
        <w:rPr>
          <w:rFonts w:ascii="宋体" w:hAnsi="宋体" w:cs="宋体"/>
          <w:b/>
          <w:color w:val="000000"/>
          <w:sz w:val="30"/>
          <w:szCs w:val="30"/>
        </w:rPr>
      </w:pPr>
      <w:r>
        <w:rPr>
          <w:rFonts w:hint="eastAsia" w:ascii="宋体" w:hAnsi="宋体" w:cs="宋体"/>
          <w:b/>
          <w:color w:val="000000"/>
          <w:sz w:val="30"/>
          <w:szCs w:val="30"/>
        </w:rPr>
        <w:t>八、成交服务费</w:t>
      </w:r>
    </w:p>
    <w:p w14:paraId="071A5188">
      <w:pPr>
        <w:snapToGrid w:val="0"/>
        <w:spacing w:line="450" w:lineRule="exact"/>
        <w:ind w:firstLine="480" w:firstLineChars="200"/>
        <w:rPr>
          <w:rFonts w:ascii="宋体" w:hAnsi="宋体" w:cs="宋体"/>
          <w:sz w:val="24"/>
        </w:rPr>
      </w:pPr>
      <w:r>
        <w:rPr>
          <w:rFonts w:hint="eastAsia" w:ascii="宋体" w:hAnsi="宋体" w:cs="宋体"/>
          <w:sz w:val="24"/>
        </w:rPr>
        <w:t>1.代理服务费由成交人缴纳。</w:t>
      </w:r>
    </w:p>
    <w:p w14:paraId="6AFD66A9">
      <w:pPr>
        <w:snapToGrid w:val="0"/>
        <w:spacing w:line="450" w:lineRule="exact"/>
        <w:ind w:firstLine="480" w:firstLineChars="200"/>
        <w:rPr>
          <w:rFonts w:ascii="宋体" w:hAnsi="宋体" w:cs="宋体"/>
          <w:sz w:val="24"/>
        </w:rPr>
      </w:pPr>
      <w:r>
        <w:rPr>
          <w:rFonts w:hint="eastAsia" w:ascii="宋体" w:hAnsi="宋体" w:cs="宋体"/>
          <w:sz w:val="24"/>
        </w:rPr>
        <w:t>2.</w:t>
      </w:r>
      <w:r>
        <w:rPr>
          <w:rFonts w:hint="eastAsia" w:ascii="宋体" w:hAnsi="宋体" w:cs="宋体"/>
          <w:color w:val="000000"/>
          <w:sz w:val="24"/>
        </w:rPr>
        <w:t>成交人应依据成交金额向代理机构缴纳代理服务费，代理服务费收取按照国家计委颁布的《招标代理服务收费管理暂行办法》（计价格[2002]1980号）和（发改办价格[2003]857号）文服务类收费标准计取，此服务费应计入磋商报价中，但不需要单独开列。</w:t>
      </w:r>
    </w:p>
    <w:p w14:paraId="0C61C96E">
      <w:pPr>
        <w:snapToGrid w:val="0"/>
        <w:spacing w:line="450" w:lineRule="exact"/>
        <w:ind w:firstLine="480" w:firstLineChars="200"/>
        <w:rPr>
          <w:rFonts w:ascii="宋体" w:hAnsi="宋体" w:cs="宋体"/>
          <w:sz w:val="24"/>
        </w:rPr>
      </w:pPr>
      <w:r>
        <w:rPr>
          <w:rFonts w:hint="eastAsia" w:ascii="宋体" w:hAnsi="宋体" w:cs="宋体"/>
          <w:sz w:val="24"/>
        </w:rPr>
        <w:t>3.代理服务费交纳信息</w:t>
      </w:r>
    </w:p>
    <w:p w14:paraId="0A3704E3">
      <w:pPr>
        <w:snapToGrid w:val="0"/>
        <w:spacing w:line="450" w:lineRule="exact"/>
        <w:ind w:firstLine="720" w:firstLineChars="300"/>
        <w:rPr>
          <w:rFonts w:ascii="宋体" w:hAnsi="宋体" w:cs="宋体"/>
          <w:sz w:val="24"/>
        </w:rPr>
      </w:pPr>
      <w:r>
        <w:rPr>
          <w:rFonts w:hint="eastAsia" w:ascii="宋体" w:hAnsi="宋体" w:cs="宋体"/>
          <w:sz w:val="24"/>
        </w:rPr>
        <w:t>银行户名：华晟国际项目管理有限公司</w:t>
      </w:r>
    </w:p>
    <w:p w14:paraId="50DF4CBA">
      <w:pPr>
        <w:snapToGrid w:val="0"/>
        <w:spacing w:line="450" w:lineRule="exact"/>
        <w:ind w:firstLine="720" w:firstLineChars="300"/>
        <w:rPr>
          <w:rFonts w:ascii="宋体" w:hAnsi="宋体" w:cs="宋体"/>
          <w:sz w:val="24"/>
        </w:rPr>
      </w:pPr>
      <w:r>
        <w:rPr>
          <w:rFonts w:hint="eastAsia" w:ascii="宋体" w:hAnsi="宋体" w:cs="宋体"/>
          <w:sz w:val="24"/>
        </w:rPr>
        <w:t>开户银行：建设银行西安劳动路支行</w:t>
      </w:r>
    </w:p>
    <w:p w14:paraId="586F3A66">
      <w:pPr>
        <w:snapToGrid w:val="0"/>
        <w:spacing w:line="450" w:lineRule="exact"/>
        <w:ind w:firstLine="720" w:firstLineChars="300"/>
        <w:rPr>
          <w:rFonts w:ascii="宋体" w:hAnsi="宋体" w:cs="宋体"/>
          <w:sz w:val="24"/>
        </w:rPr>
      </w:pPr>
      <w:r>
        <w:rPr>
          <w:rFonts w:hint="eastAsia" w:ascii="宋体" w:hAnsi="宋体" w:cs="宋体"/>
          <w:sz w:val="24"/>
        </w:rPr>
        <w:t>账    号：610501 740015 00000 427</w:t>
      </w:r>
    </w:p>
    <w:p w14:paraId="44FCF223">
      <w:pPr>
        <w:snapToGrid w:val="0"/>
        <w:spacing w:line="450" w:lineRule="exact"/>
        <w:ind w:firstLine="720" w:firstLineChars="300"/>
        <w:rPr>
          <w:rFonts w:ascii="宋体" w:hAnsi="宋体" w:cs="宋体"/>
          <w:sz w:val="24"/>
        </w:rPr>
      </w:pPr>
      <w:r>
        <w:rPr>
          <w:rFonts w:hint="eastAsia" w:ascii="宋体" w:hAnsi="宋体" w:cs="宋体"/>
          <w:sz w:val="24"/>
        </w:rPr>
        <w:t xml:space="preserve">联 系 人：张渴楠   </w:t>
      </w:r>
    </w:p>
    <w:p w14:paraId="69E03A5E">
      <w:pPr>
        <w:snapToGrid w:val="0"/>
        <w:spacing w:line="450" w:lineRule="exact"/>
        <w:ind w:firstLine="720" w:firstLineChars="300"/>
        <w:rPr>
          <w:rFonts w:hint="eastAsia" w:ascii="宋体" w:hAnsi="宋体" w:cs="宋体"/>
          <w:sz w:val="24"/>
          <w:lang w:val="en-US" w:eastAsia="zh-CN"/>
        </w:rPr>
      </w:pPr>
      <w:r>
        <w:rPr>
          <w:rFonts w:hint="eastAsia" w:ascii="宋体" w:hAnsi="宋体" w:cs="宋体"/>
          <w:sz w:val="24"/>
        </w:rPr>
        <w:t>联系电话：</w:t>
      </w:r>
      <w:r>
        <w:rPr>
          <w:rFonts w:hint="eastAsia" w:ascii="宋体" w:hAnsi="宋体" w:cs="宋体"/>
          <w:sz w:val="24"/>
          <w:lang w:eastAsia="zh-CN"/>
        </w:rPr>
        <w:t>029-</w:t>
      </w:r>
      <w:r>
        <w:rPr>
          <w:rFonts w:hint="eastAsia" w:ascii="宋体" w:hAnsi="宋体" w:cs="宋体"/>
          <w:sz w:val="24"/>
          <w:lang w:val="en-US" w:eastAsia="zh-CN"/>
        </w:rPr>
        <w:t>81779899</w:t>
      </w:r>
    </w:p>
    <w:p w14:paraId="64D5284A">
      <w:pPr>
        <w:snapToGrid w:val="0"/>
        <w:spacing w:line="450" w:lineRule="exact"/>
        <w:ind w:firstLine="720" w:firstLineChars="300"/>
        <w:rPr>
          <w:rFonts w:hint="default" w:ascii="宋体" w:hAnsi="宋体" w:cs="宋体"/>
          <w:sz w:val="24"/>
          <w:lang w:val="en-US" w:eastAsia="zh-CN"/>
        </w:rPr>
      </w:pPr>
      <w:r>
        <w:rPr>
          <w:rFonts w:hint="default" w:ascii="宋体" w:hAnsi="宋体" w:cs="宋体"/>
          <w:sz w:val="24"/>
          <w:lang w:val="en-US" w:eastAsia="zh-CN"/>
        </w:rPr>
        <w:t>转账事由：</w:t>
      </w:r>
      <w:r>
        <w:rPr>
          <w:rFonts w:hint="eastAsia" w:ascii="宋体" w:hAnsi="宋体" w:cs="宋体"/>
          <w:sz w:val="24"/>
          <w:lang w:val="en-US" w:eastAsia="zh-CN"/>
        </w:rPr>
        <w:t>HSGJ2025-181</w:t>
      </w:r>
      <w:r>
        <w:rPr>
          <w:rFonts w:hint="default" w:ascii="宋体" w:hAnsi="宋体" w:cs="宋体"/>
          <w:sz w:val="24"/>
          <w:lang w:val="en-US" w:eastAsia="zh-CN"/>
        </w:rPr>
        <w:t xml:space="preserve"> 代理服务费</w:t>
      </w:r>
    </w:p>
    <w:p w14:paraId="37534D2A">
      <w:pPr>
        <w:jc w:val="center"/>
        <w:rPr>
          <w:rFonts w:ascii="宋体" w:hAnsi="宋体" w:cs="宋体"/>
          <w:b/>
          <w:color w:val="000000"/>
          <w:sz w:val="30"/>
          <w:szCs w:val="30"/>
        </w:rPr>
      </w:pPr>
      <w:r>
        <w:rPr>
          <w:rFonts w:hint="eastAsia" w:ascii="宋体" w:hAnsi="宋体" w:cs="宋体"/>
          <w:b/>
          <w:color w:val="000000"/>
          <w:sz w:val="30"/>
          <w:szCs w:val="30"/>
        </w:rPr>
        <w:t>九、其它事项</w:t>
      </w:r>
    </w:p>
    <w:p w14:paraId="242975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000000"/>
          <w:sz w:val="24"/>
        </w:rPr>
      </w:pPr>
      <w:r>
        <w:rPr>
          <w:rFonts w:hint="eastAsia" w:ascii="宋体" w:hAnsi="宋体" w:cs="宋体"/>
          <w:color w:val="000000"/>
          <w:sz w:val="24"/>
        </w:rPr>
        <w:t>1．竞争性磋商项目实行二轮报价，第一次报价后，磋商小组可以变更采购需求中的技术、服务要求以及合同草案条款，二轮报价为最终报价。</w:t>
      </w:r>
    </w:p>
    <w:p w14:paraId="559CE9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000000"/>
          <w:sz w:val="24"/>
        </w:rPr>
      </w:pPr>
      <w:r>
        <w:rPr>
          <w:rFonts w:hint="eastAsia" w:ascii="宋体" w:hAnsi="宋体" w:cs="宋体"/>
          <w:color w:val="000000"/>
          <w:sz w:val="24"/>
        </w:rPr>
        <w:t>2．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还应当对超过部分予以赔偿，并依法承担相应法律责任。</w:t>
      </w:r>
    </w:p>
    <w:p w14:paraId="786F757F">
      <w:pPr>
        <w:rPr>
          <w:rFonts w:ascii="宋体" w:hAnsi="宋体" w:cs="宋体"/>
          <w:color w:val="000000"/>
          <w:sz w:val="24"/>
        </w:rPr>
      </w:pPr>
      <w:r>
        <w:rPr>
          <w:rFonts w:hint="eastAsia" w:ascii="宋体" w:hAnsi="宋体" w:cs="宋体"/>
          <w:color w:val="000000"/>
          <w:sz w:val="24"/>
        </w:rPr>
        <w:br w:type="page"/>
      </w:r>
    </w:p>
    <w:p w14:paraId="1D8B096D">
      <w:pPr>
        <w:pStyle w:val="3"/>
        <w:rPr>
          <w:highlight w:val="none"/>
        </w:rPr>
      </w:pPr>
      <w:bookmarkStart w:id="7" w:name="_Toc2628"/>
      <w:bookmarkStart w:id="8" w:name="_Toc31182"/>
      <w:bookmarkStart w:id="9" w:name="_Toc12986"/>
      <w:r>
        <w:rPr>
          <w:rFonts w:hint="eastAsia"/>
          <w:highlight w:val="none"/>
        </w:rPr>
        <w:t>第三部分  磋商要求及说明</w:t>
      </w:r>
      <w:bookmarkEnd w:id="7"/>
      <w:bookmarkEnd w:id="8"/>
      <w:bookmarkEnd w:id="9"/>
      <w:bookmarkStart w:id="10" w:name="_Toc13755620"/>
    </w:p>
    <w:bookmarkEnd w:id="10"/>
    <w:p w14:paraId="4CC7FE86">
      <w:pPr>
        <w:keepNext w:val="0"/>
        <w:keepLines w:val="0"/>
        <w:pageBreakBefore w:val="0"/>
        <w:tabs>
          <w:tab w:val="left" w:pos="480"/>
        </w:tabs>
        <w:wordWrap/>
        <w:overflowPunct/>
        <w:topLinePunct w:val="0"/>
        <w:bidi w:val="0"/>
        <w:spacing w:line="360" w:lineRule="auto"/>
        <w:outlineLvl w:val="9"/>
        <w:rPr>
          <w:rFonts w:hint="eastAsia" w:asciiTheme="minorEastAsia" w:hAnsiTheme="minorEastAsia" w:eastAsiaTheme="minorEastAsia" w:cstheme="minorEastAsia"/>
          <w:b/>
          <w:bCs/>
          <w:sz w:val="24"/>
          <w:szCs w:val="24"/>
          <w:highlight w:val="none"/>
        </w:rPr>
      </w:pPr>
      <w:bookmarkStart w:id="11" w:name="_Toc4967"/>
      <w:bookmarkStart w:id="12" w:name="_Toc494096888"/>
      <w:r>
        <w:rPr>
          <w:rFonts w:hint="eastAsia" w:asciiTheme="minorEastAsia" w:hAnsiTheme="minorEastAsia" w:eastAsiaTheme="minorEastAsia" w:cstheme="minorEastAsia"/>
          <w:b/>
          <w:bCs/>
          <w:sz w:val="24"/>
          <w:szCs w:val="24"/>
          <w:highlight w:val="none"/>
        </w:rPr>
        <w:t>一、采购内容</w:t>
      </w:r>
      <w:bookmarkEnd w:id="11"/>
    </w:p>
    <w:p w14:paraId="5789BB20">
      <w:pPr>
        <w:keepNext w:val="0"/>
        <w:keepLines w:val="0"/>
        <w:pageBreakBefore w:val="0"/>
        <w:tabs>
          <w:tab w:val="left" w:pos="480"/>
        </w:tabs>
        <w:wordWrap/>
        <w:overflowPunct/>
        <w:topLinePunct w:val="0"/>
        <w:bidi w:val="0"/>
        <w:spacing w:line="360" w:lineRule="auto"/>
        <w:ind w:firstLine="482" w:firstLineChars="200"/>
        <w:outlineLvl w:val="9"/>
        <w:rPr>
          <w:rFonts w:hint="eastAsia" w:asciiTheme="minorEastAsia" w:hAnsiTheme="minorEastAsia" w:eastAsiaTheme="minorEastAsia" w:cstheme="minorEastAsia"/>
          <w:b/>
          <w:bCs/>
          <w:sz w:val="24"/>
          <w:szCs w:val="24"/>
          <w:highlight w:val="none"/>
          <w:lang w:eastAsia="zh-CN"/>
        </w:rPr>
      </w:pPr>
      <w:bookmarkStart w:id="13" w:name="_Toc25917"/>
      <w:r>
        <w:rPr>
          <w:rFonts w:hint="eastAsia" w:asciiTheme="minorEastAsia" w:hAnsiTheme="minorEastAsia" w:eastAsiaTheme="minorEastAsia" w:cstheme="minorEastAsia"/>
          <w:b/>
          <w:bCs/>
          <w:sz w:val="24"/>
          <w:szCs w:val="24"/>
          <w:highlight w:val="none"/>
        </w:rPr>
        <w:t>1.1项目名称：</w:t>
      </w:r>
      <w:r>
        <w:rPr>
          <w:rFonts w:hint="eastAsia" w:asciiTheme="minorEastAsia" w:hAnsiTheme="minorEastAsia" w:eastAsiaTheme="minorEastAsia" w:cstheme="minorEastAsia"/>
          <w:b w:val="0"/>
          <w:bCs w:val="0"/>
          <w:sz w:val="24"/>
          <w:szCs w:val="24"/>
          <w:highlight w:val="none"/>
          <w:lang w:eastAsia="zh-CN"/>
        </w:rPr>
        <w:t>陕西省公安厅寄递物流业治安管理信息系统运维项目</w:t>
      </w:r>
    </w:p>
    <w:p w14:paraId="3C6EBD0B">
      <w:pPr>
        <w:keepNext w:val="0"/>
        <w:keepLines w:val="0"/>
        <w:pageBreakBefore w:val="0"/>
        <w:tabs>
          <w:tab w:val="left" w:pos="480"/>
        </w:tabs>
        <w:wordWrap/>
        <w:overflowPunct/>
        <w:topLinePunct w:val="0"/>
        <w:bidi w:val="0"/>
        <w:spacing w:line="360" w:lineRule="auto"/>
        <w:ind w:firstLine="482" w:firstLineChars="200"/>
        <w:outlineLvl w:val="9"/>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bCs/>
          <w:sz w:val="24"/>
          <w:szCs w:val="24"/>
          <w:highlight w:val="none"/>
        </w:rPr>
        <w:t>1.2采购内容：</w:t>
      </w:r>
      <w:r>
        <w:rPr>
          <w:rFonts w:hint="eastAsia" w:asciiTheme="minorEastAsia" w:hAnsiTheme="minorEastAsia" w:eastAsiaTheme="minorEastAsia" w:cstheme="minorEastAsia"/>
          <w:color w:val="auto"/>
          <w:spacing w:val="0"/>
          <w:position w:val="0"/>
          <w:sz w:val="24"/>
          <w:szCs w:val="24"/>
          <w:highlight w:val="none"/>
        </w:rPr>
        <w:t>陕西省公安厅寄递物流业治安管理信息系统及</w:t>
      </w:r>
      <w:r>
        <w:rPr>
          <w:rFonts w:hint="eastAsia" w:asciiTheme="minorEastAsia" w:hAnsiTheme="minorEastAsia" w:eastAsiaTheme="minorEastAsia" w:cstheme="minorEastAsia"/>
          <w:color w:val="auto"/>
          <w:spacing w:val="0"/>
          <w:position w:val="0"/>
          <w:sz w:val="24"/>
          <w:szCs w:val="24"/>
          <w:highlight w:val="none"/>
          <w:lang w:eastAsia="zh-CN"/>
        </w:rPr>
        <w:t>相关</w:t>
      </w:r>
      <w:r>
        <w:rPr>
          <w:rFonts w:hint="eastAsia" w:asciiTheme="minorEastAsia" w:hAnsiTheme="minorEastAsia" w:eastAsiaTheme="minorEastAsia" w:cstheme="minorEastAsia"/>
          <w:color w:val="auto"/>
          <w:spacing w:val="0"/>
          <w:position w:val="0"/>
          <w:sz w:val="24"/>
          <w:szCs w:val="24"/>
          <w:highlight w:val="none"/>
        </w:rPr>
        <w:t>软件运维</w:t>
      </w:r>
      <w:r>
        <w:rPr>
          <w:rFonts w:hint="eastAsia" w:asciiTheme="minorEastAsia" w:hAnsiTheme="minorEastAsia" w:eastAsiaTheme="minorEastAsia" w:cstheme="minorEastAsia"/>
          <w:color w:val="auto"/>
          <w:spacing w:val="0"/>
          <w:position w:val="0"/>
          <w:sz w:val="24"/>
          <w:szCs w:val="24"/>
          <w:highlight w:val="none"/>
          <w:lang w:val="en-US" w:eastAsia="zh-CN"/>
        </w:rPr>
        <w:t>、服务保障、运维制度建设</w:t>
      </w:r>
      <w:r>
        <w:rPr>
          <w:rFonts w:hint="eastAsia" w:asciiTheme="minorEastAsia" w:hAnsiTheme="minorEastAsia" w:eastAsiaTheme="minorEastAsia" w:cstheme="minorEastAsia"/>
          <w:color w:val="auto"/>
          <w:spacing w:val="0"/>
          <w:position w:val="0"/>
          <w:sz w:val="24"/>
          <w:szCs w:val="24"/>
          <w:highlight w:val="none"/>
        </w:rPr>
        <w:t>、驻场运维</w:t>
      </w:r>
    </w:p>
    <w:p w14:paraId="09405B8A">
      <w:pPr>
        <w:keepNext w:val="0"/>
        <w:keepLines w:val="0"/>
        <w:pageBreakBefore w:val="0"/>
        <w:kinsoku/>
        <w:wordWrap/>
        <w:topLinePunct w:val="0"/>
        <w:bidi w:val="0"/>
        <w:snapToGrid/>
        <w:spacing w:line="324"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1.3服务期限：</w:t>
      </w:r>
      <w:r>
        <w:rPr>
          <w:rFonts w:hint="eastAsia" w:asciiTheme="minorEastAsia" w:hAnsiTheme="minorEastAsia" w:eastAsiaTheme="minorEastAsia" w:cstheme="minorEastAsia"/>
          <w:b w:val="0"/>
          <w:bCs w:val="0"/>
          <w:color w:val="auto"/>
          <w:sz w:val="24"/>
          <w:szCs w:val="24"/>
          <w:highlight w:val="none"/>
          <w:lang w:val="en-US" w:eastAsia="en-US"/>
        </w:rPr>
        <w:t>自合同签订之日起</w:t>
      </w:r>
      <w:r>
        <w:rPr>
          <w:rFonts w:hint="eastAsia" w:asciiTheme="minorEastAsia" w:hAnsiTheme="minorEastAsia" w:eastAsiaTheme="minorEastAsia" w:cstheme="minorEastAsia"/>
          <w:b w:val="0"/>
          <w:bCs w:val="0"/>
          <w:color w:val="auto"/>
          <w:sz w:val="24"/>
          <w:szCs w:val="24"/>
          <w:highlight w:val="none"/>
          <w:lang w:val="en-US" w:eastAsia="zh-CN"/>
        </w:rPr>
        <w:t>一</w:t>
      </w:r>
      <w:r>
        <w:rPr>
          <w:rFonts w:hint="eastAsia" w:asciiTheme="minorEastAsia" w:hAnsiTheme="minorEastAsia" w:eastAsiaTheme="minorEastAsia" w:cstheme="minorEastAsia"/>
          <w:b w:val="0"/>
          <w:bCs w:val="0"/>
          <w:color w:val="auto"/>
          <w:sz w:val="24"/>
          <w:szCs w:val="24"/>
          <w:highlight w:val="none"/>
          <w:lang w:val="en-US" w:eastAsia="en-US"/>
        </w:rPr>
        <w:t>年</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宋体" w:hAnsi="宋体" w:cs="宋体"/>
          <w:color w:val="auto"/>
          <w:sz w:val="24"/>
          <w:highlight w:val="none"/>
          <w:lang w:val="en-US" w:eastAsia="zh-CN"/>
        </w:rPr>
        <w:t>有效期为第1个年度服务期满为止（12个月）。第1个年度服务期满后，</w:t>
      </w:r>
      <w:r>
        <w:rPr>
          <w:rFonts w:hint="eastAsia" w:ascii="宋体" w:hAnsi="宋体" w:cs="宋体"/>
          <w:color w:val="000000" w:themeColor="text1"/>
          <w:sz w:val="24"/>
          <w:highlight w:val="none"/>
          <w:lang w:val="en-US" w:eastAsia="zh-CN"/>
          <w14:textFill>
            <w14:solidFill>
              <w14:schemeClr w14:val="tx1"/>
            </w14:solidFill>
          </w14:textFill>
        </w:rPr>
        <w:t>系统运行良好，且乙方严格按照《中华人民共和国保守国家秘</w:t>
      </w:r>
      <w:r>
        <w:rPr>
          <w:rFonts w:hint="default" w:ascii="宋体" w:hAnsi="宋体" w:cs="宋体"/>
          <w:color w:val="000000" w:themeColor="text1"/>
          <w:sz w:val="24"/>
          <w:highlight w:val="none"/>
          <w:lang w:val="en-US" w:eastAsia="zh-CN"/>
          <w14:textFill>
            <w14:solidFill>
              <w14:schemeClr w14:val="tx1"/>
            </w14:solidFill>
          </w14:textFill>
        </w:rPr>
        <w:t>密法</w:t>
      </w:r>
      <w:r>
        <w:rPr>
          <w:rFonts w:hint="eastAsia" w:ascii="宋体" w:hAnsi="宋体" w:cs="宋体"/>
          <w:color w:val="000000" w:themeColor="text1"/>
          <w:sz w:val="24"/>
          <w:highlight w:val="none"/>
          <w:lang w:val="en-US" w:eastAsia="zh-CN"/>
          <w14:textFill>
            <w14:solidFill>
              <w14:schemeClr w14:val="tx1"/>
            </w14:solidFill>
          </w14:textFill>
        </w:rPr>
        <w:t>》及《中华人民共和国数据安全法》履行运维合同，则在双方无异议情况下</w:t>
      </w:r>
      <w:r>
        <w:rPr>
          <w:rFonts w:hint="eastAsia" w:ascii="宋体" w:hAnsi="宋体" w:cs="宋体"/>
          <w:color w:val="auto"/>
          <w:sz w:val="24"/>
          <w:highlight w:val="none"/>
          <w:lang w:val="en-US" w:eastAsia="zh-CN"/>
        </w:rPr>
        <w:t>，可以在第2个年度续签合同；第2个年度租服务期满后，双方若无异议，可以在第3个年度续签合同。截止第3个年度合同期满为止。</w:t>
      </w:r>
    </w:p>
    <w:p w14:paraId="57AFD718">
      <w:pPr>
        <w:keepNext w:val="0"/>
        <w:keepLines w:val="0"/>
        <w:pageBreakBefore w:val="0"/>
        <w:tabs>
          <w:tab w:val="left" w:pos="480"/>
        </w:tabs>
        <w:wordWrap/>
        <w:overflowPunct/>
        <w:topLinePunct w:val="0"/>
        <w:bidi w:val="0"/>
        <w:spacing w:line="360" w:lineRule="auto"/>
        <w:outlineLvl w:val="9"/>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二、项目概况</w:t>
      </w:r>
      <w:bookmarkEnd w:id="13"/>
    </w:p>
    <w:p w14:paraId="3A59BFE3">
      <w:pPr>
        <w:keepNext w:val="0"/>
        <w:keepLines w:val="0"/>
        <w:pageBreakBefore w:val="0"/>
        <w:tabs>
          <w:tab w:val="left" w:pos="480"/>
        </w:tabs>
        <w:wordWrap/>
        <w:overflowPunct/>
        <w:topLinePunct w:val="0"/>
        <w:bidi w:val="0"/>
        <w:spacing w:line="360" w:lineRule="auto"/>
        <w:ind w:firstLine="482" w:firstLineChars="200"/>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2.1项目背景</w:t>
      </w:r>
    </w:p>
    <w:p w14:paraId="7257686A">
      <w:pPr>
        <w:keepNext w:val="0"/>
        <w:keepLines w:val="0"/>
        <w:pageBreakBefore w:val="0"/>
        <w:tabs>
          <w:tab w:val="left" w:pos="480"/>
        </w:tabs>
        <w:wordWrap/>
        <w:overflowPunct/>
        <w:topLinePunct w:val="0"/>
        <w:bidi w:val="0"/>
        <w:spacing w:line="360" w:lineRule="auto"/>
        <w:ind w:firstLine="480" w:firstLineChars="200"/>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运维主要内容涵盖：</w:t>
      </w:r>
      <w:r>
        <w:rPr>
          <w:rFonts w:hint="eastAsia" w:asciiTheme="minorEastAsia" w:hAnsiTheme="minorEastAsia" w:eastAsiaTheme="minorEastAsia" w:cstheme="minorEastAsia"/>
          <w:sz w:val="24"/>
          <w:szCs w:val="24"/>
          <w:highlight w:val="none"/>
          <w:lang w:val="en-US" w:eastAsia="zh-CN"/>
        </w:rPr>
        <w:t>陕西</w:t>
      </w:r>
      <w:r>
        <w:rPr>
          <w:rFonts w:hint="eastAsia" w:asciiTheme="minorEastAsia" w:hAnsiTheme="minorEastAsia" w:eastAsiaTheme="minorEastAsia" w:cstheme="minorEastAsia"/>
          <w:sz w:val="24"/>
          <w:szCs w:val="24"/>
          <w:highlight w:val="none"/>
        </w:rPr>
        <w:t>省各地市快递企业web端、快递员app端、警用管理端、警用app端日常升级更新及培训，保障系统正常运行所涉及内外网云服务器日常运维，配套建设系统数据接口，包括外网企业接口和公安内网的公安接口，汇聚各快递企业数据信息，对接省厅其他业务系统，扩展系统分析预警，精准指导全省寄递行业监督管理工作。</w:t>
      </w:r>
    </w:p>
    <w:p w14:paraId="4AAFE02E">
      <w:pPr>
        <w:keepNext w:val="0"/>
        <w:keepLines w:val="0"/>
        <w:pageBreakBefore w:val="0"/>
        <w:tabs>
          <w:tab w:val="left" w:pos="480"/>
        </w:tabs>
        <w:wordWrap/>
        <w:overflowPunct/>
        <w:topLinePunct w:val="0"/>
        <w:bidi w:val="0"/>
        <w:spacing w:line="360" w:lineRule="auto"/>
        <w:ind w:firstLine="482" w:firstLineChars="200"/>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2.2项目涉及业务现状</w:t>
      </w:r>
    </w:p>
    <w:p w14:paraId="78B9C329">
      <w:pPr>
        <w:keepNext w:val="0"/>
        <w:keepLines w:val="0"/>
        <w:pageBreakBefore w:val="0"/>
        <w:tabs>
          <w:tab w:val="left" w:pos="480"/>
        </w:tabs>
        <w:wordWrap/>
        <w:overflowPunct/>
        <w:topLinePunct w:val="0"/>
        <w:bidi w:val="0"/>
        <w:spacing w:line="360" w:lineRule="auto"/>
        <w:ind w:firstLine="480" w:firstLineChars="200"/>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寄递系统企业用户互联网端部署于陕西省政务云，监管端部署于公安内网三秦警务云，互联网端包含快递企业web端、快递员app端、警用app端，公安内网端包括警用web端；采用通信线路均由政务云及三秦警务云提供。</w:t>
      </w:r>
    </w:p>
    <w:p w14:paraId="71B811C3">
      <w:pPr>
        <w:keepNext w:val="0"/>
        <w:keepLines w:val="0"/>
        <w:pageBreakBefore w:val="0"/>
        <w:tabs>
          <w:tab w:val="left" w:pos="480"/>
        </w:tabs>
        <w:wordWrap/>
        <w:overflowPunct/>
        <w:topLinePunct w:val="0"/>
        <w:bidi w:val="0"/>
        <w:spacing w:line="360" w:lineRule="auto"/>
        <w:ind w:firstLine="480" w:firstLineChars="200"/>
        <w:outlineLvl w:val="9"/>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寄递渠道安全管理是服务民生、维护群众利益的重要内容，是维护国家安全和公共安全的重要组成部分，是行业持续健康发展的基础保障。在国家对寄递安全管理力度不断加大的同时，加强对危害国家安全等违法犯罪活动的有效预防是非常必要和迫在眉睫的。目前，寄递业治安管理面临的主要问题：</w:t>
      </w:r>
    </w:p>
    <w:p w14:paraId="37CA11F9">
      <w:pPr>
        <w:keepNext w:val="0"/>
        <w:keepLines w:val="0"/>
        <w:pageBreakBefore w:val="0"/>
        <w:tabs>
          <w:tab w:val="left" w:pos="480"/>
        </w:tabs>
        <w:wordWrap/>
        <w:overflowPunct/>
        <w:topLinePunct w:val="0"/>
        <w:bidi w:val="0"/>
        <w:spacing w:line="360" w:lineRule="auto"/>
        <w:ind w:firstLine="480" w:firstLineChars="200"/>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随着电子商务迅猛发展，寄递企业发展态势迅速，区域跨度大、流动性强、经营监管不规范，治安问题时有发生。中央综治办等九部委联合出台的《关于加强邮件、快件寄递安全管理工作的若干意见》（【2014】24号）文件指出，快件寄递渠道，具有网点众多、服务便捷、资费低廉、人货分离等特点，已日益成为被不法分子利用从事涉恐、涉毒、跨境走私、侵权假冒以及危害国家安全等违法犯罪活动的重要途径。</w:t>
      </w:r>
    </w:p>
    <w:p w14:paraId="490FED4F">
      <w:pPr>
        <w:keepNext w:val="0"/>
        <w:keepLines w:val="0"/>
        <w:pageBreakBefore w:val="0"/>
        <w:tabs>
          <w:tab w:val="left" w:pos="480"/>
        </w:tabs>
        <w:wordWrap/>
        <w:overflowPunct/>
        <w:topLinePunct w:val="0"/>
        <w:bidi w:val="0"/>
        <w:spacing w:line="360" w:lineRule="auto"/>
        <w:ind w:firstLine="480" w:firstLineChars="200"/>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寄递行业准入门槛低，资质良莠不齐，寄递企业仅从资金、服务等标准作了入行限制，企业注册资本较低。一些登记经营类别为物流的企业兼营快递服务，一些规模较小的快递公司未取得从业资格证、营业执照而擅自经营，一些大型民营寄递企业为延伸网络、抢占市场，普遍采取加盟、挂靠方式随意设点，监督管理缺位，存在众多隐患。</w:t>
      </w:r>
    </w:p>
    <w:p w14:paraId="73618CB4">
      <w:pPr>
        <w:keepNext w:val="0"/>
        <w:keepLines w:val="0"/>
        <w:pageBreakBefore w:val="0"/>
        <w:tabs>
          <w:tab w:val="left" w:pos="480"/>
        </w:tabs>
        <w:wordWrap/>
        <w:overflowPunct/>
        <w:topLinePunct w:val="0"/>
        <w:bidi w:val="0"/>
        <w:spacing w:line="360" w:lineRule="auto"/>
        <w:ind w:firstLine="480" w:firstLineChars="200"/>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寄递从业人员安全防范意识不强。从事收派件工作人员，普遍未进行审核备案、业务培训，不签订劳动合同，人员流动性大，安全无法保证。部分员工安全意识淡薄，对禁寄品、违禁品认识模糊，货物验视、寄送人实名验证不细致、不到位。个别寄递员为招揽客户、节省时间，对一些担心泄露隐私、拒绝接受物品验视的消费者不作严格要求，极易导致各种违禁物品流入寄递渠道。</w:t>
      </w:r>
    </w:p>
    <w:p w14:paraId="16EBBEC0">
      <w:pPr>
        <w:keepNext w:val="0"/>
        <w:keepLines w:val="0"/>
        <w:pageBreakBefore w:val="0"/>
        <w:tabs>
          <w:tab w:val="left" w:pos="480"/>
        </w:tabs>
        <w:wordWrap/>
        <w:overflowPunct/>
        <w:topLinePunct w:val="0"/>
        <w:bidi w:val="0"/>
        <w:spacing w:line="360" w:lineRule="auto"/>
        <w:ind w:firstLine="480" w:firstLineChars="200"/>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4.寄递企业运费低廉、简便快捷、随意性强、人货分离，加之部分企业安全管理不到位，收寄验视、实名验证制度不落实，随意变更收货地点，给不法分子提供了可乘之机。</w:t>
      </w:r>
    </w:p>
    <w:p w14:paraId="758724D4">
      <w:pPr>
        <w:keepNext w:val="0"/>
        <w:keepLines w:val="0"/>
        <w:pageBreakBefore w:val="0"/>
        <w:tabs>
          <w:tab w:val="left" w:pos="480"/>
        </w:tabs>
        <w:wordWrap/>
        <w:overflowPunct/>
        <w:topLinePunct w:val="0"/>
        <w:bidi w:val="0"/>
        <w:spacing w:line="360" w:lineRule="auto"/>
        <w:ind w:firstLine="482" w:firstLineChars="200"/>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2.3项目</w:t>
      </w:r>
      <w:r>
        <w:rPr>
          <w:rFonts w:hint="eastAsia" w:asciiTheme="minorEastAsia" w:hAnsiTheme="minorEastAsia" w:eastAsiaTheme="minorEastAsia" w:cstheme="minorEastAsia"/>
          <w:b/>
          <w:bCs/>
          <w:color w:val="auto"/>
          <w:sz w:val="24"/>
          <w:szCs w:val="24"/>
          <w:highlight w:val="none"/>
          <w:lang w:val="en-US" w:eastAsia="zh-CN"/>
        </w:rPr>
        <w:t>采购</w:t>
      </w:r>
      <w:r>
        <w:rPr>
          <w:rFonts w:hint="eastAsia" w:asciiTheme="minorEastAsia" w:hAnsiTheme="minorEastAsia" w:eastAsiaTheme="minorEastAsia" w:cstheme="minorEastAsia"/>
          <w:b/>
          <w:bCs/>
          <w:color w:val="auto"/>
          <w:sz w:val="24"/>
          <w:szCs w:val="24"/>
          <w:highlight w:val="none"/>
        </w:rPr>
        <w:t>需求</w:t>
      </w:r>
    </w:p>
    <w:p w14:paraId="02DBD195">
      <w:pPr>
        <w:keepNext w:val="0"/>
        <w:keepLines w:val="0"/>
        <w:pageBreakBefore w:val="0"/>
        <w:tabs>
          <w:tab w:val="left" w:pos="480"/>
        </w:tabs>
        <w:wordWrap/>
        <w:overflowPunct/>
        <w:topLinePunct w:val="0"/>
        <w:bidi w:val="0"/>
        <w:spacing w:line="360" w:lineRule="auto"/>
        <w:ind w:firstLine="482" w:firstLineChars="200"/>
        <w:outlineLvl w:val="9"/>
        <w:rPr>
          <w:rFonts w:hint="eastAsia" w:asciiTheme="minorEastAsia" w:hAnsiTheme="minorEastAsia" w:eastAsiaTheme="minorEastAsia" w:cstheme="minorEastAsia"/>
          <w:b/>
          <w:bCs/>
          <w:color w:val="auto"/>
          <w:sz w:val="24"/>
          <w:szCs w:val="24"/>
          <w:highlight w:val="none"/>
          <w:lang w:val="en-US" w:eastAsia="zh-CN"/>
        </w:rPr>
      </w:pPr>
      <w:bookmarkStart w:id="14" w:name="_Toc12242"/>
      <w:bookmarkStart w:id="15" w:name="_Toc76302440"/>
      <w:bookmarkStart w:id="16" w:name="_Toc30015"/>
      <w:bookmarkStart w:id="17" w:name="_Toc19118"/>
      <w:bookmarkStart w:id="18" w:name="_Toc11593"/>
      <w:bookmarkStart w:id="19" w:name="_Toc16281"/>
      <w:bookmarkStart w:id="20" w:name="_Toc26807"/>
      <w:bookmarkStart w:id="21" w:name="_Toc12859"/>
      <w:bookmarkStart w:id="22" w:name="_Toc32609"/>
      <w:bookmarkStart w:id="23" w:name="_Toc12938"/>
      <w:r>
        <w:rPr>
          <w:rFonts w:hint="eastAsia" w:asciiTheme="minorEastAsia" w:hAnsiTheme="minorEastAsia" w:eastAsiaTheme="minorEastAsia" w:cstheme="minorEastAsia"/>
          <w:b/>
          <w:bCs/>
          <w:color w:val="auto"/>
          <w:sz w:val="24"/>
          <w:szCs w:val="24"/>
          <w:highlight w:val="none"/>
        </w:rPr>
        <w:t>2.3.1</w:t>
      </w:r>
      <w:bookmarkEnd w:id="14"/>
      <w:bookmarkEnd w:id="15"/>
      <w:bookmarkEnd w:id="16"/>
      <w:bookmarkEnd w:id="17"/>
      <w:bookmarkEnd w:id="18"/>
      <w:bookmarkEnd w:id="19"/>
      <w:bookmarkEnd w:id="20"/>
      <w:bookmarkEnd w:id="21"/>
      <w:bookmarkEnd w:id="22"/>
      <w:bookmarkEnd w:id="23"/>
      <w:r>
        <w:rPr>
          <w:rFonts w:hint="eastAsia" w:asciiTheme="minorEastAsia" w:hAnsiTheme="minorEastAsia" w:eastAsiaTheme="minorEastAsia" w:cstheme="minorEastAsia"/>
          <w:b/>
          <w:bCs/>
          <w:color w:val="auto"/>
          <w:sz w:val="24"/>
          <w:szCs w:val="24"/>
          <w:highlight w:val="none"/>
          <w:lang w:val="en-US" w:eastAsia="zh-CN"/>
        </w:rPr>
        <w:t>基础软件运维需求</w:t>
      </w:r>
    </w:p>
    <w:p w14:paraId="5A1EDEAE">
      <w:pPr>
        <w:keepNext w:val="0"/>
        <w:keepLines w:val="0"/>
        <w:pageBreakBefore w:val="0"/>
        <w:tabs>
          <w:tab w:val="left" w:pos="480"/>
        </w:tabs>
        <w:wordWrap/>
        <w:overflowPunct/>
        <w:topLinePunct w:val="0"/>
        <w:bidi w:val="0"/>
        <w:spacing w:line="360" w:lineRule="auto"/>
        <w:ind w:firstLine="480" w:firstLineChars="200"/>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系统硬件服务器互联网端采用省网信办政务云服务器，公安网端采用三秦警务云服务器，服务器安全依托于云服务器系统，运维公司需定期进行服务器设备的日常巡检等运维工作，每季度进行服务器运维情况汇总，交由总队以备检查，每年完成一次寄递系统服务器总体运维情况汇总，对当年寄递系统服务器整体状态进行分析，提前报备来年会影响寄递系统正常运行设备及将会经常出现故障设备。</w:t>
      </w:r>
    </w:p>
    <w:p w14:paraId="6DB1F8A5">
      <w:pPr>
        <w:keepNext w:val="0"/>
        <w:keepLines w:val="0"/>
        <w:pageBreakBefore w:val="0"/>
        <w:tabs>
          <w:tab w:val="left" w:pos="480"/>
        </w:tabs>
        <w:wordWrap/>
        <w:overflowPunct/>
        <w:topLinePunct w:val="0"/>
        <w:bidi w:val="0"/>
        <w:spacing w:line="360" w:lineRule="auto"/>
        <w:ind w:firstLine="480" w:firstLineChars="200"/>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日常运维要求：</w:t>
      </w:r>
    </w:p>
    <w:p w14:paraId="0751BA58">
      <w:pPr>
        <w:keepNext w:val="0"/>
        <w:keepLines w:val="0"/>
        <w:pageBreakBefore w:val="0"/>
        <w:tabs>
          <w:tab w:val="left" w:pos="480"/>
        </w:tabs>
        <w:wordWrap/>
        <w:overflowPunct/>
        <w:topLinePunct w:val="0"/>
        <w:bidi w:val="0"/>
        <w:spacing w:line="360" w:lineRule="auto"/>
        <w:ind w:firstLine="480" w:firstLineChars="200"/>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1.巡检：检查系统软件、云服务器是否正常、检查系统接口运行情况。清理维护过程中及系统自身产生的垃圾数据，每天系统至少巡检6次；</w:t>
      </w:r>
    </w:p>
    <w:p w14:paraId="23E765B0">
      <w:pPr>
        <w:keepNext w:val="0"/>
        <w:keepLines w:val="0"/>
        <w:pageBreakBefore w:val="0"/>
        <w:tabs>
          <w:tab w:val="left" w:pos="480"/>
        </w:tabs>
        <w:wordWrap/>
        <w:overflowPunct/>
        <w:topLinePunct w:val="0"/>
        <w:bidi w:val="0"/>
        <w:spacing w:line="360" w:lineRule="auto"/>
        <w:ind w:firstLine="480" w:firstLineChars="200"/>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2.寄递系统调优：寄递系统软件、中间件升级、更新；升级后组织人员进行测试；</w:t>
      </w:r>
    </w:p>
    <w:p w14:paraId="608A1837">
      <w:pPr>
        <w:keepNext w:val="0"/>
        <w:keepLines w:val="0"/>
        <w:pageBreakBefore w:val="0"/>
        <w:tabs>
          <w:tab w:val="left" w:pos="480"/>
        </w:tabs>
        <w:wordWrap/>
        <w:overflowPunct/>
        <w:topLinePunct w:val="0"/>
        <w:bidi w:val="0"/>
        <w:spacing w:line="360" w:lineRule="auto"/>
        <w:ind w:firstLine="480" w:firstLineChars="200"/>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3.故障处理：寄递系统软件、云服务器发生故障后，由承建商研发部门牵头组织故障调查，排除故障；</w:t>
      </w:r>
    </w:p>
    <w:p w14:paraId="7176659D">
      <w:pPr>
        <w:keepNext w:val="0"/>
        <w:keepLines w:val="0"/>
        <w:pageBreakBefore w:val="0"/>
        <w:tabs>
          <w:tab w:val="left" w:pos="480"/>
        </w:tabs>
        <w:wordWrap/>
        <w:overflowPunct/>
        <w:topLinePunct w:val="0"/>
        <w:bidi w:val="0"/>
        <w:spacing w:line="360" w:lineRule="auto"/>
        <w:ind w:firstLine="480" w:firstLineChars="200"/>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4.现场支持：对全省寄递系统故障提供所必须的现场运维支持，如有新需求或BUG形成记录文档；</w:t>
      </w:r>
    </w:p>
    <w:p w14:paraId="36FA6EA9">
      <w:pPr>
        <w:keepNext w:val="0"/>
        <w:keepLines w:val="0"/>
        <w:pageBreakBefore w:val="0"/>
        <w:tabs>
          <w:tab w:val="left" w:pos="480"/>
        </w:tabs>
        <w:wordWrap/>
        <w:overflowPunct/>
        <w:topLinePunct w:val="0"/>
        <w:bidi w:val="0"/>
        <w:spacing w:line="360" w:lineRule="auto"/>
        <w:ind w:firstLine="480" w:firstLineChars="200"/>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5.运维分析：分析寄递系统软、云服务器运行使用及系统环境情况，分析系统存在问题，提供问题解决方案，排除系统隐患；</w:t>
      </w:r>
    </w:p>
    <w:p w14:paraId="456DCB85">
      <w:pPr>
        <w:keepNext w:val="0"/>
        <w:keepLines w:val="0"/>
        <w:pageBreakBefore w:val="0"/>
        <w:tabs>
          <w:tab w:val="left" w:pos="480"/>
        </w:tabs>
        <w:wordWrap/>
        <w:overflowPunct/>
        <w:topLinePunct w:val="0"/>
        <w:bidi w:val="0"/>
        <w:spacing w:line="360" w:lineRule="auto"/>
        <w:ind w:firstLine="480" w:firstLineChars="200"/>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6.典型经验：运维人员在运维过程中，需要整理总结系统用户提出的典型问题和解决方案，并形成典型经验文档。</w:t>
      </w:r>
    </w:p>
    <w:p w14:paraId="21584B9E">
      <w:pPr>
        <w:keepNext w:val="0"/>
        <w:keepLines w:val="0"/>
        <w:pageBreakBefore w:val="0"/>
        <w:tabs>
          <w:tab w:val="left" w:pos="480"/>
        </w:tabs>
        <w:wordWrap/>
        <w:overflowPunct/>
        <w:topLinePunct w:val="0"/>
        <w:bidi w:val="0"/>
        <w:spacing w:line="360" w:lineRule="auto"/>
        <w:ind w:firstLine="480" w:firstLineChars="200"/>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7.组织协调：对系统使用、账号管理、调优升级等运维工作中的问题进行与公安监管人员沟通协调；</w:t>
      </w:r>
    </w:p>
    <w:p w14:paraId="7364A74F">
      <w:pPr>
        <w:keepNext w:val="0"/>
        <w:keepLines w:val="0"/>
        <w:pageBreakBefore w:val="0"/>
        <w:tabs>
          <w:tab w:val="left" w:pos="480"/>
        </w:tabs>
        <w:wordWrap/>
        <w:overflowPunct/>
        <w:topLinePunct w:val="0"/>
        <w:bidi w:val="0"/>
        <w:spacing w:line="360" w:lineRule="auto"/>
        <w:ind w:firstLine="480" w:firstLineChars="200"/>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8.运维报告：提供寄递系统软、服务器运行及运维服务情况统计分析报告，提交信息系统的运行及维护情况等分析报告。</w:t>
      </w:r>
    </w:p>
    <w:p w14:paraId="7B1E4E5D">
      <w:pPr>
        <w:keepNext w:val="0"/>
        <w:keepLines w:val="0"/>
        <w:pageBreakBefore w:val="0"/>
        <w:tabs>
          <w:tab w:val="left" w:pos="480"/>
        </w:tabs>
        <w:wordWrap/>
        <w:overflowPunct/>
        <w:topLinePunct w:val="0"/>
        <w:bidi w:val="0"/>
        <w:spacing w:line="360" w:lineRule="auto"/>
        <w:ind w:firstLine="480" w:firstLineChars="200"/>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   云服务器详见表1-1与表1-2</w:t>
      </w:r>
    </w:p>
    <w:p w14:paraId="6325CAB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表1-1 网信办政务云服务器列表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4819"/>
        <w:gridCol w:w="944"/>
      </w:tblGrid>
      <w:tr w14:paraId="743A2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344" w:type="dxa"/>
            <w:noWrap w:val="0"/>
            <w:vAlign w:val="center"/>
          </w:tcPr>
          <w:p w14:paraId="03F731ED">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lang w:val="en-US" w:eastAsia="zh-CN"/>
              </w:rPr>
            </w:pPr>
            <w:r>
              <w:rPr>
                <w:rFonts w:hint="eastAsia" w:ascii="宋体" w:hAnsi="宋体" w:eastAsia="宋体" w:cs="宋体"/>
                <w:sz w:val="21"/>
                <w:szCs w:val="21"/>
                <w:lang w:val="en-US" w:eastAsia="zh-CN"/>
              </w:rPr>
              <w:t>序号</w:t>
            </w:r>
          </w:p>
        </w:tc>
        <w:tc>
          <w:tcPr>
            <w:tcW w:w="4819" w:type="dxa"/>
            <w:noWrap w:val="0"/>
            <w:vAlign w:val="center"/>
          </w:tcPr>
          <w:p w14:paraId="4BF2B7D4">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lang w:val="en-US" w:eastAsia="zh-CN"/>
              </w:rPr>
            </w:pPr>
            <w:r>
              <w:rPr>
                <w:rFonts w:hint="eastAsia" w:ascii="宋体" w:hAnsi="宋体" w:eastAsia="宋体" w:cs="宋体"/>
                <w:sz w:val="21"/>
                <w:szCs w:val="21"/>
                <w:lang w:val="en-US" w:eastAsia="zh-CN"/>
              </w:rPr>
              <w:t>服务器名称</w:t>
            </w:r>
          </w:p>
        </w:tc>
        <w:tc>
          <w:tcPr>
            <w:tcW w:w="944" w:type="dxa"/>
            <w:noWrap w:val="0"/>
            <w:vAlign w:val="center"/>
          </w:tcPr>
          <w:p w14:paraId="034B5C8B">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lang w:val="en-US" w:eastAsia="zh-CN"/>
              </w:rPr>
            </w:pPr>
            <w:r>
              <w:rPr>
                <w:rFonts w:hint="eastAsia" w:ascii="宋体" w:hAnsi="宋体" w:eastAsia="宋体" w:cs="宋体"/>
                <w:sz w:val="21"/>
                <w:szCs w:val="21"/>
                <w:lang w:val="en-US" w:eastAsia="zh-CN"/>
              </w:rPr>
              <w:t>备注</w:t>
            </w:r>
          </w:p>
        </w:tc>
      </w:tr>
      <w:tr w14:paraId="75DB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4" w:type="dxa"/>
            <w:noWrap w:val="0"/>
            <w:vAlign w:val="center"/>
          </w:tcPr>
          <w:p w14:paraId="37C2D7E3">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lang w:val="en-US" w:eastAsia="zh-CN"/>
              </w:rPr>
            </w:pPr>
            <w:r>
              <w:rPr>
                <w:rFonts w:hint="eastAsia" w:ascii="宋体" w:hAnsi="宋体" w:eastAsia="宋体" w:cs="宋体"/>
                <w:sz w:val="21"/>
                <w:szCs w:val="21"/>
                <w:lang w:val="en-US" w:eastAsia="zh-CN"/>
              </w:rPr>
              <w:t>1</w:t>
            </w:r>
          </w:p>
        </w:tc>
        <w:tc>
          <w:tcPr>
            <w:tcW w:w="4819" w:type="dxa"/>
            <w:noWrap w:val="0"/>
            <w:vAlign w:val="center"/>
          </w:tcPr>
          <w:p w14:paraId="28B3963E">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rPr>
            </w:pPr>
            <w:r>
              <w:rPr>
                <w:rFonts w:hint="eastAsia" w:ascii="宋体" w:hAnsi="宋体" w:eastAsia="宋体" w:cs="宋体"/>
                <w:sz w:val="21"/>
                <w:szCs w:val="21"/>
              </w:rPr>
              <w:t>GAT-5.62.110-W08-X64-DFS</w:t>
            </w:r>
          </w:p>
        </w:tc>
        <w:tc>
          <w:tcPr>
            <w:tcW w:w="944" w:type="dxa"/>
            <w:noWrap w:val="0"/>
            <w:vAlign w:val="center"/>
          </w:tcPr>
          <w:p w14:paraId="3A4432E4">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rPr>
            </w:pPr>
          </w:p>
        </w:tc>
      </w:tr>
      <w:tr w14:paraId="12297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4" w:type="dxa"/>
            <w:noWrap w:val="0"/>
            <w:vAlign w:val="center"/>
          </w:tcPr>
          <w:p w14:paraId="3244A5AF">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lang w:val="en-US" w:eastAsia="zh-CN"/>
              </w:rPr>
            </w:pPr>
            <w:r>
              <w:rPr>
                <w:rFonts w:hint="eastAsia" w:ascii="宋体" w:hAnsi="宋体" w:eastAsia="宋体" w:cs="宋体"/>
                <w:sz w:val="21"/>
                <w:szCs w:val="21"/>
                <w:lang w:val="en-US" w:eastAsia="zh-CN"/>
              </w:rPr>
              <w:t>2</w:t>
            </w:r>
          </w:p>
        </w:tc>
        <w:tc>
          <w:tcPr>
            <w:tcW w:w="4819" w:type="dxa"/>
            <w:noWrap w:val="0"/>
            <w:vAlign w:val="center"/>
          </w:tcPr>
          <w:p w14:paraId="0C220B75">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rPr>
            </w:pPr>
            <w:r>
              <w:rPr>
                <w:rFonts w:hint="eastAsia" w:ascii="宋体" w:hAnsi="宋体" w:eastAsia="宋体" w:cs="宋体"/>
                <w:sz w:val="21"/>
                <w:szCs w:val="21"/>
              </w:rPr>
              <w:t>GAT-5.62.11</w:t>
            </w:r>
            <w:r>
              <w:rPr>
                <w:rFonts w:hint="eastAsia" w:ascii="宋体" w:hAnsi="宋体" w:eastAsia="宋体" w:cs="宋体"/>
                <w:sz w:val="21"/>
                <w:szCs w:val="21"/>
                <w:lang w:val="en-US" w:eastAsia="zh-CN"/>
              </w:rPr>
              <w:t>1</w:t>
            </w:r>
            <w:r>
              <w:rPr>
                <w:rFonts w:hint="eastAsia" w:ascii="宋体" w:hAnsi="宋体" w:eastAsia="宋体" w:cs="宋体"/>
                <w:sz w:val="21"/>
                <w:szCs w:val="21"/>
              </w:rPr>
              <w:t>-W08-X64-DFS</w:t>
            </w:r>
          </w:p>
        </w:tc>
        <w:tc>
          <w:tcPr>
            <w:tcW w:w="944" w:type="dxa"/>
            <w:noWrap w:val="0"/>
            <w:vAlign w:val="center"/>
          </w:tcPr>
          <w:p w14:paraId="1F231895">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rPr>
            </w:pPr>
          </w:p>
        </w:tc>
      </w:tr>
      <w:tr w14:paraId="142CD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4" w:type="dxa"/>
            <w:noWrap w:val="0"/>
            <w:vAlign w:val="center"/>
          </w:tcPr>
          <w:p w14:paraId="5F499AB3">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lang w:val="en-US" w:eastAsia="zh-CN"/>
              </w:rPr>
            </w:pPr>
            <w:r>
              <w:rPr>
                <w:rFonts w:hint="eastAsia" w:ascii="宋体" w:hAnsi="宋体" w:eastAsia="宋体" w:cs="宋体"/>
                <w:sz w:val="21"/>
                <w:szCs w:val="21"/>
                <w:lang w:val="en-US" w:eastAsia="zh-CN"/>
              </w:rPr>
              <w:t>3</w:t>
            </w:r>
          </w:p>
        </w:tc>
        <w:tc>
          <w:tcPr>
            <w:tcW w:w="4819" w:type="dxa"/>
            <w:noWrap w:val="0"/>
            <w:vAlign w:val="center"/>
          </w:tcPr>
          <w:p w14:paraId="60BAAFE0">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rPr>
            </w:pPr>
            <w:r>
              <w:rPr>
                <w:rFonts w:hint="eastAsia" w:ascii="宋体" w:hAnsi="宋体" w:eastAsia="宋体" w:cs="宋体"/>
                <w:sz w:val="21"/>
                <w:szCs w:val="21"/>
              </w:rPr>
              <w:t>GAT-5.62.11</w:t>
            </w:r>
            <w:r>
              <w:rPr>
                <w:rFonts w:hint="eastAsia" w:ascii="宋体" w:hAnsi="宋体" w:eastAsia="宋体" w:cs="宋体"/>
                <w:sz w:val="21"/>
                <w:szCs w:val="21"/>
                <w:lang w:val="en-US" w:eastAsia="zh-CN"/>
              </w:rPr>
              <w:t>2</w:t>
            </w:r>
            <w:r>
              <w:rPr>
                <w:rFonts w:hint="eastAsia" w:ascii="宋体" w:hAnsi="宋体" w:eastAsia="宋体" w:cs="宋体"/>
                <w:sz w:val="21"/>
                <w:szCs w:val="21"/>
              </w:rPr>
              <w:t>-W08-X64-DFS</w:t>
            </w:r>
          </w:p>
        </w:tc>
        <w:tc>
          <w:tcPr>
            <w:tcW w:w="944" w:type="dxa"/>
            <w:noWrap w:val="0"/>
            <w:vAlign w:val="center"/>
          </w:tcPr>
          <w:p w14:paraId="7275381D">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rPr>
            </w:pPr>
          </w:p>
        </w:tc>
      </w:tr>
      <w:tr w14:paraId="4431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4" w:type="dxa"/>
            <w:noWrap w:val="0"/>
            <w:vAlign w:val="center"/>
          </w:tcPr>
          <w:p w14:paraId="5405ECBF">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lang w:val="en-US" w:eastAsia="zh-CN"/>
              </w:rPr>
            </w:pPr>
            <w:r>
              <w:rPr>
                <w:rFonts w:hint="eastAsia" w:ascii="宋体" w:hAnsi="宋体" w:eastAsia="宋体" w:cs="宋体"/>
                <w:sz w:val="21"/>
                <w:szCs w:val="21"/>
                <w:lang w:val="en-US" w:eastAsia="zh-CN"/>
              </w:rPr>
              <w:t>4</w:t>
            </w:r>
          </w:p>
        </w:tc>
        <w:tc>
          <w:tcPr>
            <w:tcW w:w="4819" w:type="dxa"/>
            <w:noWrap w:val="0"/>
            <w:vAlign w:val="center"/>
          </w:tcPr>
          <w:p w14:paraId="762992D9">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rPr>
            </w:pPr>
            <w:r>
              <w:rPr>
                <w:rFonts w:hint="eastAsia" w:ascii="宋体" w:hAnsi="宋体" w:eastAsia="宋体" w:cs="宋体"/>
                <w:sz w:val="21"/>
                <w:szCs w:val="21"/>
              </w:rPr>
              <w:t>GAT-5.62.11</w:t>
            </w:r>
            <w:r>
              <w:rPr>
                <w:rFonts w:hint="eastAsia" w:ascii="宋体" w:hAnsi="宋体" w:eastAsia="宋体" w:cs="宋体"/>
                <w:sz w:val="21"/>
                <w:szCs w:val="21"/>
                <w:lang w:val="en-US" w:eastAsia="zh-CN"/>
              </w:rPr>
              <w:t>3</w:t>
            </w:r>
            <w:r>
              <w:rPr>
                <w:rFonts w:hint="eastAsia" w:ascii="宋体" w:hAnsi="宋体" w:eastAsia="宋体" w:cs="宋体"/>
                <w:sz w:val="21"/>
                <w:szCs w:val="21"/>
              </w:rPr>
              <w:t>-W08-X64-DFS</w:t>
            </w:r>
          </w:p>
        </w:tc>
        <w:tc>
          <w:tcPr>
            <w:tcW w:w="944" w:type="dxa"/>
            <w:noWrap w:val="0"/>
            <w:vAlign w:val="center"/>
          </w:tcPr>
          <w:p w14:paraId="03F71AC8">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rPr>
            </w:pPr>
          </w:p>
        </w:tc>
      </w:tr>
      <w:tr w14:paraId="0227F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4" w:type="dxa"/>
            <w:noWrap w:val="0"/>
            <w:vAlign w:val="center"/>
          </w:tcPr>
          <w:p w14:paraId="4B968F73">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lang w:val="en-US" w:eastAsia="zh-CN"/>
              </w:rPr>
            </w:pPr>
            <w:r>
              <w:rPr>
                <w:rFonts w:hint="eastAsia" w:ascii="宋体" w:hAnsi="宋体" w:eastAsia="宋体" w:cs="宋体"/>
                <w:sz w:val="21"/>
                <w:szCs w:val="21"/>
                <w:lang w:val="en-US" w:eastAsia="zh-CN"/>
              </w:rPr>
              <w:t>5</w:t>
            </w:r>
          </w:p>
        </w:tc>
        <w:tc>
          <w:tcPr>
            <w:tcW w:w="4819" w:type="dxa"/>
            <w:noWrap w:val="0"/>
            <w:vAlign w:val="center"/>
          </w:tcPr>
          <w:p w14:paraId="2507EC07">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rPr>
            </w:pPr>
            <w:r>
              <w:rPr>
                <w:rFonts w:hint="eastAsia" w:ascii="宋体" w:hAnsi="宋体" w:eastAsia="宋体" w:cs="宋体"/>
                <w:sz w:val="21"/>
                <w:szCs w:val="21"/>
              </w:rPr>
              <w:t>GAT-5.62.11</w:t>
            </w:r>
            <w:r>
              <w:rPr>
                <w:rFonts w:hint="eastAsia" w:ascii="宋体" w:hAnsi="宋体" w:eastAsia="宋体" w:cs="宋体"/>
                <w:sz w:val="21"/>
                <w:szCs w:val="21"/>
                <w:lang w:val="en-US" w:eastAsia="zh-CN"/>
              </w:rPr>
              <w:t>4</w:t>
            </w:r>
            <w:r>
              <w:rPr>
                <w:rFonts w:hint="eastAsia" w:ascii="宋体" w:hAnsi="宋体" w:eastAsia="宋体" w:cs="宋体"/>
                <w:sz w:val="21"/>
                <w:szCs w:val="21"/>
              </w:rPr>
              <w:t>-W08-X64-DFS</w:t>
            </w:r>
          </w:p>
        </w:tc>
        <w:tc>
          <w:tcPr>
            <w:tcW w:w="944" w:type="dxa"/>
            <w:noWrap w:val="0"/>
            <w:vAlign w:val="center"/>
          </w:tcPr>
          <w:p w14:paraId="15B60958">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rPr>
            </w:pPr>
          </w:p>
        </w:tc>
      </w:tr>
      <w:tr w14:paraId="1B65B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4" w:type="dxa"/>
            <w:noWrap w:val="0"/>
            <w:vAlign w:val="center"/>
          </w:tcPr>
          <w:p w14:paraId="5D714C15">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lang w:val="en-US" w:eastAsia="zh-CN"/>
              </w:rPr>
            </w:pPr>
            <w:r>
              <w:rPr>
                <w:rFonts w:hint="eastAsia" w:ascii="宋体" w:hAnsi="宋体" w:eastAsia="宋体" w:cs="宋体"/>
                <w:sz w:val="21"/>
                <w:szCs w:val="21"/>
                <w:lang w:val="en-US" w:eastAsia="zh-CN"/>
              </w:rPr>
              <w:t>6</w:t>
            </w:r>
          </w:p>
        </w:tc>
        <w:tc>
          <w:tcPr>
            <w:tcW w:w="4819" w:type="dxa"/>
            <w:noWrap w:val="0"/>
            <w:vAlign w:val="center"/>
          </w:tcPr>
          <w:p w14:paraId="46421B47">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rPr>
            </w:pPr>
            <w:r>
              <w:rPr>
                <w:rFonts w:hint="eastAsia" w:ascii="宋体" w:hAnsi="宋体" w:eastAsia="宋体" w:cs="宋体"/>
                <w:sz w:val="21"/>
                <w:szCs w:val="21"/>
              </w:rPr>
              <w:t>GAT-5.62.11</w:t>
            </w:r>
            <w:r>
              <w:rPr>
                <w:rFonts w:hint="eastAsia" w:ascii="宋体" w:hAnsi="宋体" w:eastAsia="宋体" w:cs="宋体"/>
                <w:sz w:val="21"/>
                <w:szCs w:val="21"/>
                <w:lang w:val="en-US" w:eastAsia="zh-CN"/>
              </w:rPr>
              <w:t>5</w:t>
            </w:r>
            <w:r>
              <w:rPr>
                <w:rFonts w:hint="eastAsia" w:ascii="宋体" w:hAnsi="宋体" w:eastAsia="宋体" w:cs="宋体"/>
                <w:sz w:val="21"/>
                <w:szCs w:val="21"/>
              </w:rPr>
              <w:t>-W08-X64-DFS</w:t>
            </w:r>
          </w:p>
        </w:tc>
        <w:tc>
          <w:tcPr>
            <w:tcW w:w="944" w:type="dxa"/>
            <w:noWrap w:val="0"/>
            <w:vAlign w:val="center"/>
          </w:tcPr>
          <w:p w14:paraId="39F088F6">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rPr>
            </w:pPr>
          </w:p>
        </w:tc>
      </w:tr>
      <w:tr w14:paraId="536CD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4" w:type="dxa"/>
            <w:noWrap w:val="0"/>
            <w:vAlign w:val="center"/>
          </w:tcPr>
          <w:p w14:paraId="67CB73AC">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lang w:val="en-US" w:eastAsia="zh-CN"/>
              </w:rPr>
            </w:pPr>
            <w:r>
              <w:rPr>
                <w:rFonts w:hint="eastAsia" w:ascii="宋体" w:hAnsi="宋体" w:eastAsia="宋体" w:cs="宋体"/>
                <w:sz w:val="21"/>
                <w:szCs w:val="21"/>
                <w:lang w:val="en-US" w:eastAsia="zh-CN"/>
              </w:rPr>
              <w:t>7</w:t>
            </w:r>
          </w:p>
        </w:tc>
        <w:tc>
          <w:tcPr>
            <w:tcW w:w="4819" w:type="dxa"/>
            <w:noWrap w:val="0"/>
            <w:vAlign w:val="center"/>
          </w:tcPr>
          <w:p w14:paraId="4F45F11A">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rPr>
            </w:pPr>
            <w:r>
              <w:rPr>
                <w:rFonts w:hint="eastAsia" w:ascii="宋体" w:hAnsi="宋体" w:eastAsia="宋体" w:cs="宋体"/>
                <w:sz w:val="21"/>
                <w:szCs w:val="21"/>
              </w:rPr>
              <w:t>GAT-5.62.11</w:t>
            </w:r>
            <w:r>
              <w:rPr>
                <w:rFonts w:hint="eastAsia" w:ascii="宋体" w:hAnsi="宋体" w:eastAsia="宋体" w:cs="宋体"/>
                <w:sz w:val="21"/>
                <w:szCs w:val="21"/>
                <w:lang w:val="en-US" w:eastAsia="zh-CN"/>
              </w:rPr>
              <w:t>6</w:t>
            </w:r>
            <w:r>
              <w:rPr>
                <w:rFonts w:hint="eastAsia" w:ascii="宋体" w:hAnsi="宋体" w:eastAsia="宋体" w:cs="宋体"/>
                <w:sz w:val="21"/>
                <w:szCs w:val="21"/>
              </w:rPr>
              <w:t>-W08-X64-DFS</w:t>
            </w:r>
          </w:p>
        </w:tc>
        <w:tc>
          <w:tcPr>
            <w:tcW w:w="944" w:type="dxa"/>
            <w:noWrap w:val="0"/>
            <w:vAlign w:val="center"/>
          </w:tcPr>
          <w:p w14:paraId="39A62971">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rPr>
            </w:pPr>
          </w:p>
        </w:tc>
      </w:tr>
      <w:tr w14:paraId="44414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4" w:type="dxa"/>
            <w:noWrap w:val="0"/>
            <w:vAlign w:val="center"/>
          </w:tcPr>
          <w:p w14:paraId="7444A401">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lang w:val="en-US" w:eastAsia="zh-CN"/>
              </w:rPr>
            </w:pPr>
            <w:r>
              <w:rPr>
                <w:rFonts w:hint="eastAsia" w:ascii="宋体" w:hAnsi="宋体" w:eastAsia="宋体" w:cs="宋体"/>
                <w:sz w:val="21"/>
                <w:szCs w:val="21"/>
                <w:lang w:val="en-US" w:eastAsia="zh-CN"/>
              </w:rPr>
              <w:t>8</w:t>
            </w:r>
          </w:p>
        </w:tc>
        <w:tc>
          <w:tcPr>
            <w:tcW w:w="4819" w:type="dxa"/>
            <w:noWrap w:val="0"/>
            <w:vAlign w:val="center"/>
          </w:tcPr>
          <w:p w14:paraId="033858D5">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rPr>
            </w:pPr>
            <w:r>
              <w:rPr>
                <w:rFonts w:hint="eastAsia" w:ascii="宋体" w:hAnsi="宋体" w:eastAsia="宋体" w:cs="宋体"/>
                <w:sz w:val="21"/>
                <w:szCs w:val="21"/>
              </w:rPr>
              <w:t>GAT-5.62.11</w:t>
            </w:r>
            <w:r>
              <w:rPr>
                <w:rFonts w:hint="eastAsia" w:ascii="宋体" w:hAnsi="宋体" w:eastAsia="宋体" w:cs="宋体"/>
                <w:sz w:val="21"/>
                <w:szCs w:val="21"/>
                <w:lang w:val="en-US" w:eastAsia="zh-CN"/>
              </w:rPr>
              <w:t>7</w:t>
            </w:r>
            <w:r>
              <w:rPr>
                <w:rFonts w:hint="eastAsia" w:ascii="宋体" w:hAnsi="宋体" w:eastAsia="宋体" w:cs="宋体"/>
                <w:sz w:val="21"/>
                <w:szCs w:val="21"/>
              </w:rPr>
              <w:t>-W08-X64-DFS</w:t>
            </w:r>
          </w:p>
        </w:tc>
        <w:tc>
          <w:tcPr>
            <w:tcW w:w="944" w:type="dxa"/>
            <w:noWrap w:val="0"/>
            <w:vAlign w:val="center"/>
          </w:tcPr>
          <w:p w14:paraId="47BCC2B6">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rPr>
            </w:pPr>
          </w:p>
        </w:tc>
      </w:tr>
      <w:tr w14:paraId="2E41B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4" w:type="dxa"/>
            <w:noWrap w:val="0"/>
            <w:vAlign w:val="center"/>
          </w:tcPr>
          <w:p w14:paraId="56B06BB5">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lang w:val="en-US" w:eastAsia="zh-CN"/>
              </w:rPr>
            </w:pPr>
            <w:r>
              <w:rPr>
                <w:rFonts w:hint="eastAsia" w:ascii="宋体" w:hAnsi="宋体" w:eastAsia="宋体" w:cs="宋体"/>
                <w:sz w:val="21"/>
                <w:szCs w:val="21"/>
                <w:lang w:val="en-US" w:eastAsia="zh-CN"/>
              </w:rPr>
              <w:t>9</w:t>
            </w:r>
          </w:p>
        </w:tc>
        <w:tc>
          <w:tcPr>
            <w:tcW w:w="4819" w:type="dxa"/>
            <w:noWrap w:val="0"/>
            <w:vAlign w:val="center"/>
          </w:tcPr>
          <w:p w14:paraId="4B13B6DB">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rPr>
            </w:pPr>
            <w:r>
              <w:rPr>
                <w:rFonts w:hint="eastAsia" w:ascii="宋体" w:hAnsi="宋体" w:eastAsia="宋体" w:cs="宋体"/>
                <w:sz w:val="21"/>
                <w:szCs w:val="21"/>
              </w:rPr>
              <w:t>GAT-5.62.11</w:t>
            </w:r>
            <w:r>
              <w:rPr>
                <w:rFonts w:hint="eastAsia" w:ascii="宋体" w:hAnsi="宋体" w:eastAsia="宋体" w:cs="宋体"/>
                <w:sz w:val="21"/>
                <w:szCs w:val="21"/>
                <w:lang w:val="en-US" w:eastAsia="zh-CN"/>
              </w:rPr>
              <w:t>8</w:t>
            </w:r>
            <w:r>
              <w:rPr>
                <w:rFonts w:hint="eastAsia" w:ascii="宋体" w:hAnsi="宋体" w:eastAsia="宋体" w:cs="宋体"/>
                <w:sz w:val="21"/>
                <w:szCs w:val="21"/>
              </w:rPr>
              <w:t>-W08-X64-DFS</w:t>
            </w:r>
          </w:p>
        </w:tc>
        <w:tc>
          <w:tcPr>
            <w:tcW w:w="944" w:type="dxa"/>
            <w:noWrap w:val="0"/>
            <w:vAlign w:val="center"/>
          </w:tcPr>
          <w:p w14:paraId="58FA4C51">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rPr>
            </w:pPr>
          </w:p>
        </w:tc>
      </w:tr>
      <w:tr w14:paraId="37B42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4" w:type="dxa"/>
            <w:noWrap w:val="0"/>
            <w:vAlign w:val="center"/>
          </w:tcPr>
          <w:p w14:paraId="62A88DF3">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lang w:val="en-US" w:eastAsia="zh-CN"/>
              </w:rPr>
            </w:pPr>
            <w:r>
              <w:rPr>
                <w:rFonts w:hint="eastAsia" w:ascii="宋体" w:hAnsi="宋体" w:eastAsia="宋体" w:cs="宋体"/>
                <w:sz w:val="21"/>
                <w:szCs w:val="21"/>
                <w:lang w:val="en-US" w:eastAsia="zh-CN"/>
              </w:rPr>
              <w:t>10</w:t>
            </w:r>
          </w:p>
        </w:tc>
        <w:tc>
          <w:tcPr>
            <w:tcW w:w="4819" w:type="dxa"/>
            <w:noWrap w:val="0"/>
            <w:vAlign w:val="center"/>
          </w:tcPr>
          <w:p w14:paraId="773B835D">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rPr>
            </w:pPr>
            <w:r>
              <w:rPr>
                <w:rFonts w:hint="eastAsia" w:ascii="宋体" w:hAnsi="宋体" w:eastAsia="宋体" w:cs="宋体"/>
                <w:sz w:val="21"/>
                <w:szCs w:val="21"/>
              </w:rPr>
              <w:t>GAT-5.62.11</w:t>
            </w:r>
            <w:r>
              <w:rPr>
                <w:rFonts w:hint="eastAsia" w:ascii="宋体" w:hAnsi="宋体" w:eastAsia="宋体" w:cs="宋体"/>
                <w:sz w:val="21"/>
                <w:szCs w:val="21"/>
                <w:lang w:val="en-US" w:eastAsia="zh-CN"/>
              </w:rPr>
              <w:t>9</w:t>
            </w:r>
            <w:r>
              <w:rPr>
                <w:rFonts w:hint="eastAsia" w:ascii="宋体" w:hAnsi="宋体" w:eastAsia="宋体" w:cs="宋体"/>
                <w:sz w:val="21"/>
                <w:szCs w:val="21"/>
              </w:rPr>
              <w:t>-W08-X64-DFS</w:t>
            </w:r>
          </w:p>
        </w:tc>
        <w:tc>
          <w:tcPr>
            <w:tcW w:w="944" w:type="dxa"/>
            <w:noWrap w:val="0"/>
            <w:vAlign w:val="center"/>
          </w:tcPr>
          <w:p w14:paraId="1C7131B2">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rPr>
            </w:pPr>
          </w:p>
        </w:tc>
      </w:tr>
    </w:tbl>
    <w:p w14:paraId="203085B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表1-2 三秦警务云服务器列表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4819"/>
        <w:gridCol w:w="944"/>
      </w:tblGrid>
      <w:tr w14:paraId="35F5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344" w:type="dxa"/>
            <w:noWrap w:val="0"/>
            <w:vAlign w:val="center"/>
          </w:tcPr>
          <w:p w14:paraId="0C8C8BC7">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lang w:val="en-US" w:eastAsia="zh-CN"/>
              </w:rPr>
            </w:pPr>
            <w:r>
              <w:rPr>
                <w:rFonts w:hint="eastAsia" w:ascii="宋体" w:hAnsi="宋体" w:eastAsia="宋体" w:cs="宋体"/>
                <w:sz w:val="21"/>
                <w:szCs w:val="21"/>
                <w:lang w:val="en-US" w:eastAsia="zh-CN"/>
              </w:rPr>
              <w:t>序号</w:t>
            </w:r>
          </w:p>
        </w:tc>
        <w:tc>
          <w:tcPr>
            <w:tcW w:w="4819" w:type="dxa"/>
            <w:noWrap w:val="0"/>
            <w:vAlign w:val="center"/>
          </w:tcPr>
          <w:p w14:paraId="3AEA8EC8">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lang w:val="en-US" w:eastAsia="zh-CN"/>
              </w:rPr>
            </w:pPr>
            <w:r>
              <w:rPr>
                <w:rFonts w:hint="eastAsia" w:ascii="宋体" w:hAnsi="宋体" w:eastAsia="宋体" w:cs="宋体"/>
                <w:sz w:val="21"/>
                <w:szCs w:val="21"/>
                <w:lang w:val="en-US" w:eastAsia="zh-CN"/>
              </w:rPr>
              <w:t>服务器名称</w:t>
            </w:r>
          </w:p>
        </w:tc>
        <w:tc>
          <w:tcPr>
            <w:tcW w:w="944" w:type="dxa"/>
            <w:noWrap w:val="0"/>
            <w:vAlign w:val="center"/>
          </w:tcPr>
          <w:p w14:paraId="7B1169B6">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lang w:val="en-US" w:eastAsia="zh-CN"/>
              </w:rPr>
            </w:pPr>
            <w:r>
              <w:rPr>
                <w:rFonts w:hint="eastAsia" w:ascii="宋体" w:hAnsi="宋体" w:eastAsia="宋体" w:cs="宋体"/>
                <w:sz w:val="21"/>
                <w:szCs w:val="21"/>
                <w:lang w:val="en-US" w:eastAsia="zh-CN"/>
              </w:rPr>
              <w:t>备注</w:t>
            </w:r>
          </w:p>
        </w:tc>
      </w:tr>
      <w:tr w14:paraId="57429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4" w:type="dxa"/>
            <w:noWrap w:val="0"/>
            <w:vAlign w:val="center"/>
          </w:tcPr>
          <w:p w14:paraId="55754A39">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lang w:val="en-US" w:eastAsia="zh-CN"/>
              </w:rPr>
            </w:pPr>
            <w:r>
              <w:rPr>
                <w:rFonts w:hint="eastAsia" w:ascii="宋体" w:hAnsi="宋体" w:eastAsia="宋体" w:cs="宋体"/>
                <w:sz w:val="21"/>
                <w:szCs w:val="21"/>
                <w:lang w:val="en-US" w:eastAsia="zh-CN"/>
              </w:rPr>
              <w:t>1</w:t>
            </w:r>
          </w:p>
        </w:tc>
        <w:tc>
          <w:tcPr>
            <w:tcW w:w="4819" w:type="dxa"/>
            <w:noWrap w:val="0"/>
            <w:vAlign w:val="center"/>
          </w:tcPr>
          <w:p w14:paraId="70145A8F">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lang w:val="en-US" w:eastAsia="zh-CN"/>
              </w:rPr>
            </w:pPr>
            <w:r>
              <w:rPr>
                <w:rFonts w:hint="eastAsia" w:ascii="宋体" w:hAnsi="宋体" w:eastAsia="宋体" w:cs="宋体"/>
                <w:sz w:val="21"/>
                <w:szCs w:val="21"/>
                <w:lang w:val="en-US" w:eastAsia="zh-CN"/>
              </w:rPr>
              <w:t>ST</w:t>
            </w:r>
            <w:r>
              <w:rPr>
                <w:rFonts w:hint="eastAsia" w:ascii="宋体" w:hAnsi="宋体" w:eastAsia="宋体" w:cs="宋体"/>
                <w:sz w:val="21"/>
                <w:szCs w:val="21"/>
              </w:rPr>
              <w:t>-5</w:t>
            </w:r>
            <w:r>
              <w:rPr>
                <w:rFonts w:hint="eastAsia" w:ascii="宋体" w:hAnsi="宋体" w:eastAsia="宋体" w:cs="宋体"/>
                <w:sz w:val="21"/>
                <w:szCs w:val="21"/>
                <w:lang w:val="en-US" w:eastAsia="zh-CN"/>
              </w:rPr>
              <w:t>JWB</w:t>
            </w:r>
            <w:r>
              <w:rPr>
                <w:rFonts w:hint="eastAsia" w:ascii="宋体" w:hAnsi="宋体" w:eastAsia="宋体" w:cs="宋体"/>
                <w:sz w:val="21"/>
                <w:szCs w:val="21"/>
              </w:rPr>
              <w:t>-</w:t>
            </w:r>
            <w:r>
              <w:rPr>
                <w:rFonts w:hint="eastAsia" w:ascii="宋体" w:hAnsi="宋体" w:eastAsia="宋体" w:cs="宋体"/>
                <w:sz w:val="21"/>
                <w:szCs w:val="21"/>
                <w:lang w:val="en-US" w:eastAsia="zh-CN"/>
              </w:rPr>
              <w:t>090002</w:t>
            </w:r>
          </w:p>
        </w:tc>
        <w:tc>
          <w:tcPr>
            <w:tcW w:w="944" w:type="dxa"/>
            <w:noWrap w:val="0"/>
            <w:vAlign w:val="center"/>
          </w:tcPr>
          <w:p w14:paraId="0A6837CE">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rPr>
            </w:pPr>
          </w:p>
        </w:tc>
      </w:tr>
      <w:tr w14:paraId="0A0D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4" w:type="dxa"/>
            <w:noWrap w:val="0"/>
            <w:vAlign w:val="center"/>
          </w:tcPr>
          <w:p w14:paraId="26DC9B4F">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lang w:val="en-US" w:eastAsia="zh-CN"/>
              </w:rPr>
            </w:pPr>
            <w:r>
              <w:rPr>
                <w:rFonts w:hint="eastAsia" w:ascii="宋体" w:hAnsi="宋体" w:eastAsia="宋体" w:cs="宋体"/>
                <w:sz w:val="21"/>
                <w:szCs w:val="21"/>
                <w:lang w:val="en-US" w:eastAsia="zh-CN"/>
              </w:rPr>
              <w:t>2</w:t>
            </w:r>
          </w:p>
        </w:tc>
        <w:tc>
          <w:tcPr>
            <w:tcW w:w="4819" w:type="dxa"/>
            <w:noWrap w:val="0"/>
            <w:vAlign w:val="center"/>
          </w:tcPr>
          <w:p w14:paraId="4B402FCB">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rPr>
            </w:pPr>
            <w:r>
              <w:rPr>
                <w:rFonts w:hint="eastAsia" w:ascii="宋体" w:hAnsi="宋体" w:eastAsia="宋体" w:cs="宋体"/>
                <w:sz w:val="21"/>
                <w:szCs w:val="21"/>
                <w:lang w:val="en-US" w:eastAsia="zh-CN"/>
              </w:rPr>
              <w:t>ST</w:t>
            </w:r>
            <w:r>
              <w:rPr>
                <w:rFonts w:hint="eastAsia" w:ascii="宋体" w:hAnsi="宋体" w:eastAsia="宋体" w:cs="宋体"/>
                <w:sz w:val="21"/>
                <w:szCs w:val="21"/>
              </w:rPr>
              <w:t>-5</w:t>
            </w:r>
            <w:r>
              <w:rPr>
                <w:rFonts w:hint="eastAsia" w:ascii="宋体" w:hAnsi="宋体" w:eastAsia="宋体" w:cs="宋体"/>
                <w:sz w:val="21"/>
                <w:szCs w:val="21"/>
                <w:lang w:val="en-US" w:eastAsia="zh-CN"/>
              </w:rPr>
              <w:t>JWB</w:t>
            </w:r>
            <w:r>
              <w:rPr>
                <w:rFonts w:hint="eastAsia" w:ascii="宋体" w:hAnsi="宋体" w:eastAsia="宋体" w:cs="宋体"/>
                <w:sz w:val="21"/>
                <w:szCs w:val="21"/>
              </w:rPr>
              <w:t>-</w:t>
            </w:r>
            <w:r>
              <w:rPr>
                <w:rFonts w:hint="eastAsia" w:ascii="宋体" w:hAnsi="宋体" w:eastAsia="宋体" w:cs="宋体"/>
                <w:sz w:val="21"/>
                <w:szCs w:val="21"/>
                <w:lang w:val="en-US" w:eastAsia="zh-CN"/>
              </w:rPr>
              <w:t>090003</w:t>
            </w:r>
          </w:p>
        </w:tc>
        <w:tc>
          <w:tcPr>
            <w:tcW w:w="944" w:type="dxa"/>
            <w:noWrap w:val="0"/>
            <w:vAlign w:val="center"/>
          </w:tcPr>
          <w:p w14:paraId="4BC253DF">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rPr>
            </w:pPr>
          </w:p>
        </w:tc>
      </w:tr>
      <w:tr w14:paraId="30128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4" w:type="dxa"/>
            <w:noWrap w:val="0"/>
            <w:vAlign w:val="center"/>
          </w:tcPr>
          <w:p w14:paraId="269F17C1">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lang w:val="en-US" w:eastAsia="zh-CN"/>
              </w:rPr>
            </w:pPr>
            <w:r>
              <w:rPr>
                <w:rFonts w:hint="eastAsia" w:ascii="宋体" w:hAnsi="宋体" w:eastAsia="宋体" w:cs="宋体"/>
                <w:sz w:val="21"/>
                <w:szCs w:val="21"/>
                <w:lang w:val="en-US" w:eastAsia="zh-CN"/>
              </w:rPr>
              <w:t>3</w:t>
            </w:r>
          </w:p>
        </w:tc>
        <w:tc>
          <w:tcPr>
            <w:tcW w:w="4819" w:type="dxa"/>
            <w:noWrap w:val="0"/>
            <w:vAlign w:val="center"/>
          </w:tcPr>
          <w:p w14:paraId="5AE65B30">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rPr>
            </w:pPr>
            <w:r>
              <w:rPr>
                <w:rFonts w:hint="eastAsia" w:ascii="宋体" w:hAnsi="宋体" w:eastAsia="宋体" w:cs="宋体"/>
                <w:sz w:val="21"/>
                <w:szCs w:val="21"/>
                <w:lang w:val="en-US" w:eastAsia="zh-CN"/>
              </w:rPr>
              <w:t>ST</w:t>
            </w:r>
            <w:r>
              <w:rPr>
                <w:rFonts w:hint="eastAsia" w:ascii="宋体" w:hAnsi="宋体" w:eastAsia="宋体" w:cs="宋体"/>
                <w:sz w:val="21"/>
                <w:szCs w:val="21"/>
              </w:rPr>
              <w:t>-5</w:t>
            </w:r>
            <w:r>
              <w:rPr>
                <w:rFonts w:hint="eastAsia" w:ascii="宋体" w:hAnsi="宋体" w:eastAsia="宋体" w:cs="宋体"/>
                <w:sz w:val="21"/>
                <w:szCs w:val="21"/>
                <w:lang w:val="en-US" w:eastAsia="zh-CN"/>
              </w:rPr>
              <w:t>JWB</w:t>
            </w:r>
            <w:r>
              <w:rPr>
                <w:rFonts w:hint="eastAsia" w:ascii="宋体" w:hAnsi="宋体" w:eastAsia="宋体" w:cs="宋体"/>
                <w:sz w:val="21"/>
                <w:szCs w:val="21"/>
              </w:rPr>
              <w:t>-</w:t>
            </w:r>
            <w:r>
              <w:rPr>
                <w:rFonts w:hint="eastAsia" w:ascii="宋体" w:hAnsi="宋体" w:eastAsia="宋体" w:cs="宋体"/>
                <w:sz w:val="21"/>
                <w:szCs w:val="21"/>
                <w:lang w:val="en-US" w:eastAsia="zh-CN"/>
              </w:rPr>
              <w:t>090004</w:t>
            </w:r>
          </w:p>
        </w:tc>
        <w:tc>
          <w:tcPr>
            <w:tcW w:w="944" w:type="dxa"/>
            <w:noWrap w:val="0"/>
            <w:vAlign w:val="center"/>
          </w:tcPr>
          <w:p w14:paraId="52778789">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rPr>
            </w:pPr>
          </w:p>
        </w:tc>
      </w:tr>
      <w:tr w14:paraId="3780D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4" w:type="dxa"/>
            <w:noWrap w:val="0"/>
            <w:vAlign w:val="center"/>
          </w:tcPr>
          <w:p w14:paraId="040DEE7D">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lang w:val="en-US" w:eastAsia="zh-CN"/>
              </w:rPr>
            </w:pPr>
            <w:r>
              <w:rPr>
                <w:rFonts w:hint="eastAsia" w:ascii="宋体" w:hAnsi="宋体" w:eastAsia="宋体" w:cs="宋体"/>
                <w:sz w:val="21"/>
                <w:szCs w:val="21"/>
                <w:lang w:val="en-US" w:eastAsia="zh-CN"/>
              </w:rPr>
              <w:t>4</w:t>
            </w:r>
          </w:p>
        </w:tc>
        <w:tc>
          <w:tcPr>
            <w:tcW w:w="4819" w:type="dxa"/>
            <w:noWrap w:val="0"/>
            <w:vAlign w:val="center"/>
          </w:tcPr>
          <w:p w14:paraId="3CABC912">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rPr>
            </w:pPr>
            <w:r>
              <w:rPr>
                <w:rFonts w:hint="eastAsia" w:ascii="宋体" w:hAnsi="宋体" w:eastAsia="宋体" w:cs="宋体"/>
                <w:sz w:val="21"/>
                <w:szCs w:val="21"/>
                <w:lang w:val="en-US" w:eastAsia="zh-CN"/>
              </w:rPr>
              <w:t>ST</w:t>
            </w:r>
            <w:r>
              <w:rPr>
                <w:rFonts w:hint="eastAsia" w:ascii="宋体" w:hAnsi="宋体" w:eastAsia="宋体" w:cs="宋体"/>
                <w:sz w:val="21"/>
                <w:szCs w:val="21"/>
              </w:rPr>
              <w:t>-5</w:t>
            </w:r>
            <w:r>
              <w:rPr>
                <w:rFonts w:hint="eastAsia" w:ascii="宋体" w:hAnsi="宋体" w:eastAsia="宋体" w:cs="宋体"/>
                <w:sz w:val="21"/>
                <w:szCs w:val="21"/>
                <w:lang w:val="en-US" w:eastAsia="zh-CN"/>
              </w:rPr>
              <w:t>JWB</w:t>
            </w:r>
            <w:r>
              <w:rPr>
                <w:rFonts w:hint="eastAsia" w:ascii="宋体" w:hAnsi="宋体" w:eastAsia="宋体" w:cs="宋体"/>
                <w:sz w:val="21"/>
                <w:szCs w:val="21"/>
              </w:rPr>
              <w:t>-</w:t>
            </w:r>
            <w:r>
              <w:rPr>
                <w:rFonts w:hint="eastAsia" w:ascii="宋体" w:hAnsi="宋体" w:eastAsia="宋体" w:cs="宋体"/>
                <w:sz w:val="21"/>
                <w:szCs w:val="21"/>
                <w:lang w:val="en-US" w:eastAsia="zh-CN"/>
              </w:rPr>
              <w:t>090005</w:t>
            </w:r>
          </w:p>
        </w:tc>
        <w:tc>
          <w:tcPr>
            <w:tcW w:w="944" w:type="dxa"/>
            <w:noWrap w:val="0"/>
            <w:vAlign w:val="center"/>
          </w:tcPr>
          <w:p w14:paraId="754B86DC">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rPr>
            </w:pPr>
          </w:p>
        </w:tc>
      </w:tr>
      <w:tr w14:paraId="0E76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4" w:type="dxa"/>
            <w:noWrap w:val="0"/>
            <w:vAlign w:val="center"/>
          </w:tcPr>
          <w:p w14:paraId="60062CB0">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lang w:val="en-US" w:eastAsia="zh-CN"/>
              </w:rPr>
            </w:pPr>
            <w:r>
              <w:rPr>
                <w:rFonts w:hint="eastAsia" w:ascii="宋体" w:hAnsi="宋体" w:eastAsia="宋体" w:cs="宋体"/>
                <w:sz w:val="21"/>
                <w:szCs w:val="21"/>
                <w:lang w:val="en-US" w:eastAsia="zh-CN"/>
              </w:rPr>
              <w:t>5</w:t>
            </w:r>
          </w:p>
        </w:tc>
        <w:tc>
          <w:tcPr>
            <w:tcW w:w="4819" w:type="dxa"/>
            <w:noWrap w:val="0"/>
            <w:vAlign w:val="center"/>
          </w:tcPr>
          <w:p w14:paraId="0E17FB10">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rPr>
            </w:pPr>
            <w:r>
              <w:rPr>
                <w:rFonts w:hint="eastAsia" w:ascii="宋体" w:hAnsi="宋体" w:eastAsia="宋体" w:cs="宋体"/>
                <w:sz w:val="21"/>
                <w:szCs w:val="21"/>
                <w:lang w:val="en-US" w:eastAsia="zh-CN"/>
              </w:rPr>
              <w:t>ST</w:t>
            </w:r>
            <w:r>
              <w:rPr>
                <w:rFonts w:hint="eastAsia" w:ascii="宋体" w:hAnsi="宋体" w:eastAsia="宋体" w:cs="宋体"/>
                <w:sz w:val="21"/>
                <w:szCs w:val="21"/>
              </w:rPr>
              <w:t>-5</w:t>
            </w:r>
            <w:r>
              <w:rPr>
                <w:rFonts w:hint="eastAsia" w:ascii="宋体" w:hAnsi="宋体" w:eastAsia="宋体" w:cs="宋体"/>
                <w:sz w:val="21"/>
                <w:szCs w:val="21"/>
                <w:lang w:val="en-US" w:eastAsia="zh-CN"/>
              </w:rPr>
              <w:t>JWB</w:t>
            </w:r>
            <w:r>
              <w:rPr>
                <w:rFonts w:hint="eastAsia" w:ascii="宋体" w:hAnsi="宋体" w:eastAsia="宋体" w:cs="宋体"/>
                <w:sz w:val="21"/>
                <w:szCs w:val="21"/>
              </w:rPr>
              <w:t>-</w:t>
            </w:r>
            <w:r>
              <w:rPr>
                <w:rFonts w:hint="eastAsia" w:ascii="宋体" w:hAnsi="宋体" w:eastAsia="宋体" w:cs="宋体"/>
                <w:sz w:val="21"/>
                <w:szCs w:val="21"/>
                <w:lang w:val="en-US" w:eastAsia="zh-CN"/>
              </w:rPr>
              <w:t>090006</w:t>
            </w:r>
          </w:p>
        </w:tc>
        <w:tc>
          <w:tcPr>
            <w:tcW w:w="944" w:type="dxa"/>
            <w:noWrap w:val="0"/>
            <w:vAlign w:val="center"/>
          </w:tcPr>
          <w:p w14:paraId="5204C10F">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rPr>
            </w:pPr>
          </w:p>
        </w:tc>
      </w:tr>
      <w:tr w14:paraId="3C32D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4" w:type="dxa"/>
            <w:noWrap w:val="0"/>
            <w:vAlign w:val="center"/>
          </w:tcPr>
          <w:p w14:paraId="550B35D1">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lang w:val="en-US" w:eastAsia="zh-CN"/>
              </w:rPr>
            </w:pPr>
            <w:r>
              <w:rPr>
                <w:rFonts w:hint="eastAsia" w:ascii="宋体" w:hAnsi="宋体" w:eastAsia="宋体" w:cs="宋体"/>
                <w:sz w:val="21"/>
                <w:szCs w:val="21"/>
                <w:lang w:val="en-US" w:eastAsia="zh-CN"/>
              </w:rPr>
              <w:t>6</w:t>
            </w:r>
          </w:p>
        </w:tc>
        <w:tc>
          <w:tcPr>
            <w:tcW w:w="4819" w:type="dxa"/>
            <w:noWrap w:val="0"/>
            <w:vAlign w:val="center"/>
          </w:tcPr>
          <w:p w14:paraId="5A862995">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rPr>
            </w:pPr>
            <w:r>
              <w:rPr>
                <w:rFonts w:hint="eastAsia" w:ascii="宋体" w:hAnsi="宋体" w:eastAsia="宋体" w:cs="宋体"/>
                <w:sz w:val="21"/>
                <w:szCs w:val="21"/>
                <w:lang w:val="en-US" w:eastAsia="zh-CN"/>
              </w:rPr>
              <w:t>ST</w:t>
            </w:r>
            <w:r>
              <w:rPr>
                <w:rFonts w:hint="eastAsia" w:ascii="宋体" w:hAnsi="宋体" w:eastAsia="宋体" w:cs="宋体"/>
                <w:sz w:val="21"/>
                <w:szCs w:val="21"/>
              </w:rPr>
              <w:t>-5</w:t>
            </w:r>
            <w:r>
              <w:rPr>
                <w:rFonts w:hint="eastAsia" w:ascii="宋体" w:hAnsi="宋体" w:eastAsia="宋体" w:cs="宋体"/>
                <w:sz w:val="21"/>
                <w:szCs w:val="21"/>
                <w:lang w:val="en-US" w:eastAsia="zh-CN"/>
              </w:rPr>
              <w:t>JWB</w:t>
            </w:r>
            <w:r>
              <w:rPr>
                <w:rFonts w:hint="eastAsia" w:ascii="宋体" w:hAnsi="宋体" w:eastAsia="宋体" w:cs="宋体"/>
                <w:sz w:val="21"/>
                <w:szCs w:val="21"/>
              </w:rPr>
              <w:t>-</w:t>
            </w:r>
            <w:r>
              <w:rPr>
                <w:rFonts w:hint="eastAsia" w:ascii="宋体" w:hAnsi="宋体" w:eastAsia="宋体" w:cs="宋体"/>
                <w:sz w:val="21"/>
                <w:szCs w:val="21"/>
                <w:lang w:val="en-US" w:eastAsia="zh-CN"/>
              </w:rPr>
              <w:t>090007</w:t>
            </w:r>
          </w:p>
        </w:tc>
        <w:tc>
          <w:tcPr>
            <w:tcW w:w="944" w:type="dxa"/>
            <w:noWrap w:val="0"/>
            <w:vAlign w:val="center"/>
          </w:tcPr>
          <w:p w14:paraId="1085E4EC">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rPr>
            </w:pPr>
          </w:p>
        </w:tc>
      </w:tr>
      <w:tr w14:paraId="19CD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4" w:type="dxa"/>
            <w:noWrap w:val="0"/>
            <w:vAlign w:val="center"/>
          </w:tcPr>
          <w:p w14:paraId="3DE3AEC3">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lang w:val="en-US" w:eastAsia="zh-CN"/>
              </w:rPr>
            </w:pPr>
            <w:r>
              <w:rPr>
                <w:rFonts w:hint="eastAsia" w:ascii="宋体" w:hAnsi="宋体" w:eastAsia="宋体" w:cs="宋体"/>
                <w:sz w:val="21"/>
                <w:szCs w:val="21"/>
                <w:lang w:val="en-US" w:eastAsia="zh-CN"/>
              </w:rPr>
              <w:t>7</w:t>
            </w:r>
          </w:p>
        </w:tc>
        <w:tc>
          <w:tcPr>
            <w:tcW w:w="4819" w:type="dxa"/>
            <w:noWrap w:val="0"/>
            <w:vAlign w:val="center"/>
          </w:tcPr>
          <w:p w14:paraId="2C337CF5">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rPr>
            </w:pPr>
            <w:r>
              <w:rPr>
                <w:rFonts w:hint="eastAsia" w:ascii="宋体" w:hAnsi="宋体" w:eastAsia="宋体" w:cs="宋体"/>
                <w:sz w:val="21"/>
                <w:szCs w:val="21"/>
                <w:lang w:val="en-US" w:eastAsia="zh-CN"/>
              </w:rPr>
              <w:t>ST</w:t>
            </w:r>
            <w:r>
              <w:rPr>
                <w:rFonts w:hint="eastAsia" w:ascii="宋体" w:hAnsi="宋体" w:eastAsia="宋体" w:cs="宋体"/>
                <w:sz w:val="21"/>
                <w:szCs w:val="21"/>
              </w:rPr>
              <w:t>-5</w:t>
            </w:r>
            <w:r>
              <w:rPr>
                <w:rFonts w:hint="eastAsia" w:ascii="宋体" w:hAnsi="宋体" w:eastAsia="宋体" w:cs="宋体"/>
                <w:sz w:val="21"/>
                <w:szCs w:val="21"/>
                <w:lang w:val="en-US" w:eastAsia="zh-CN"/>
              </w:rPr>
              <w:t>JWB</w:t>
            </w:r>
            <w:r>
              <w:rPr>
                <w:rFonts w:hint="eastAsia" w:ascii="宋体" w:hAnsi="宋体" w:eastAsia="宋体" w:cs="宋体"/>
                <w:sz w:val="21"/>
                <w:szCs w:val="21"/>
              </w:rPr>
              <w:t>-</w:t>
            </w:r>
            <w:r>
              <w:rPr>
                <w:rFonts w:hint="eastAsia" w:ascii="宋体" w:hAnsi="宋体" w:eastAsia="宋体" w:cs="宋体"/>
                <w:sz w:val="21"/>
                <w:szCs w:val="21"/>
                <w:lang w:val="en-US" w:eastAsia="zh-CN"/>
              </w:rPr>
              <w:t>090008</w:t>
            </w:r>
          </w:p>
        </w:tc>
        <w:tc>
          <w:tcPr>
            <w:tcW w:w="944" w:type="dxa"/>
            <w:noWrap w:val="0"/>
            <w:vAlign w:val="center"/>
          </w:tcPr>
          <w:p w14:paraId="200CC034">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rPr>
            </w:pPr>
          </w:p>
        </w:tc>
      </w:tr>
      <w:tr w14:paraId="2EAB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4" w:type="dxa"/>
            <w:noWrap w:val="0"/>
            <w:vAlign w:val="center"/>
          </w:tcPr>
          <w:p w14:paraId="29F6D333">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lang w:val="en-US" w:eastAsia="zh-CN"/>
              </w:rPr>
            </w:pPr>
            <w:r>
              <w:rPr>
                <w:rFonts w:hint="eastAsia" w:ascii="宋体" w:hAnsi="宋体" w:eastAsia="宋体" w:cs="宋体"/>
                <w:sz w:val="21"/>
                <w:szCs w:val="21"/>
                <w:lang w:val="en-US" w:eastAsia="zh-CN"/>
              </w:rPr>
              <w:t>8</w:t>
            </w:r>
          </w:p>
        </w:tc>
        <w:tc>
          <w:tcPr>
            <w:tcW w:w="4819" w:type="dxa"/>
            <w:noWrap w:val="0"/>
            <w:vAlign w:val="center"/>
          </w:tcPr>
          <w:p w14:paraId="1CCB5FAB">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rPr>
            </w:pPr>
            <w:r>
              <w:rPr>
                <w:rFonts w:hint="eastAsia" w:ascii="宋体" w:hAnsi="宋体" w:eastAsia="宋体" w:cs="宋体"/>
                <w:sz w:val="21"/>
                <w:szCs w:val="21"/>
                <w:lang w:val="en-US" w:eastAsia="zh-CN"/>
              </w:rPr>
              <w:t>ST</w:t>
            </w:r>
            <w:r>
              <w:rPr>
                <w:rFonts w:hint="eastAsia" w:ascii="宋体" w:hAnsi="宋体" w:eastAsia="宋体" w:cs="宋体"/>
                <w:sz w:val="21"/>
                <w:szCs w:val="21"/>
              </w:rPr>
              <w:t>-5</w:t>
            </w:r>
            <w:r>
              <w:rPr>
                <w:rFonts w:hint="eastAsia" w:ascii="宋体" w:hAnsi="宋体" w:eastAsia="宋体" w:cs="宋体"/>
                <w:sz w:val="21"/>
                <w:szCs w:val="21"/>
                <w:lang w:val="en-US" w:eastAsia="zh-CN"/>
              </w:rPr>
              <w:t>JWB</w:t>
            </w:r>
            <w:r>
              <w:rPr>
                <w:rFonts w:hint="eastAsia" w:ascii="宋体" w:hAnsi="宋体" w:eastAsia="宋体" w:cs="宋体"/>
                <w:sz w:val="21"/>
                <w:szCs w:val="21"/>
              </w:rPr>
              <w:t>-</w:t>
            </w:r>
            <w:r>
              <w:rPr>
                <w:rFonts w:hint="eastAsia" w:ascii="宋体" w:hAnsi="宋体" w:eastAsia="宋体" w:cs="宋体"/>
                <w:sz w:val="21"/>
                <w:szCs w:val="21"/>
                <w:lang w:val="en-US" w:eastAsia="zh-CN"/>
              </w:rPr>
              <w:t>090009</w:t>
            </w:r>
          </w:p>
        </w:tc>
        <w:tc>
          <w:tcPr>
            <w:tcW w:w="944" w:type="dxa"/>
            <w:noWrap w:val="0"/>
            <w:vAlign w:val="center"/>
          </w:tcPr>
          <w:p w14:paraId="4A12DD13">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rPr>
            </w:pPr>
          </w:p>
        </w:tc>
      </w:tr>
      <w:tr w14:paraId="4637E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4" w:type="dxa"/>
            <w:noWrap w:val="0"/>
            <w:vAlign w:val="center"/>
          </w:tcPr>
          <w:p w14:paraId="4593F53A">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lang w:val="en-US" w:eastAsia="zh-CN"/>
              </w:rPr>
            </w:pPr>
            <w:r>
              <w:rPr>
                <w:rFonts w:hint="eastAsia" w:ascii="宋体" w:hAnsi="宋体" w:eastAsia="宋体" w:cs="宋体"/>
                <w:sz w:val="21"/>
                <w:szCs w:val="21"/>
                <w:lang w:val="en-US" w:eastAsia="zh-CN"/>
              </w:rPr>
              <w:t>9</w:t>
            </w:r>
          </w:p>
        </w:tc>
        <w:tc>
          <w:tcPr>
            <w:tcW w:w="4819" w:type="dxa"/>
            <w:noWrap w:val="0"/>
            <w:vAlign w:val="center"/>
          </w:tcPr>
          <w:p w14:paraId="735CDDAB">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lang w:val="en-US"/>
              </w:rPr>
            </w:pPr>
            <w:r>
              <w:rPr>
                <w:rFonts w:hint="eastAsia" w:ascii="宋体" w:hAnsi="宋体" w:eastAsia="宋体" w:cs="宋体"/>
                <w:sz w:val="21"/>
                <w:szCs w:val="21"/>
                <w:lang w:val="en-US" w:eastAsia="zh-CN"/>
              </w:rPr>
              <w:t>ST</w:t>
            </w:r>
            <w:r>
              <w:rPr>
                <w:rFonts w:hint="eastAsia" w:ascii="宋体" w:hAnsi="宋体" w:eastAsia="宋体" w:cs="宋体"/>
                <w:sz w:val="21"/>
                <w:szCs w:val="21"/>
              </w:rPr>
              <w:t>-5</w:t>
            </w:r>
            <w:r>
              <w:rPr>
                <w:rFonts w:hint="eastAsia" w:ascii="宋体" w:hAnsi="宋体" w:eastAsia="宋体" w:cs="宋体"/>
                <w:sz w:val="21"/>
                <w:szCs w:val="21"/>
                <w:lang w:val="en-US" w:eastAsia="zh-CN"/>
              </w:rPr>
              <w:t>JWB</w:t>
            </w:r>
            <w:r>
              <w:rPr>
                <w:rFonts w:hint="eastAsia" w:ascii="宋体" w:hAnsi="宋体" w:eastAsia="宋体" w:cs="宋体"/>
                <w:sz w:val="21"/>
                <w:szCs w:val="21"/>
              </w:rPr>
              <w:t>-</w:t>
            </w:r>
            <w:r>
              <w:rPr>
                <w:rFonts w:hint="eastAsia" w:ascii="宋体" w:hAnsi="宋体" w:eastAsia="宋体" w:cs="宋体"/>
                <w:sz w:val="21"/>
                <w:szCs w:val="21"/>
                <w:lang w:val="en-US" w:eastAsia="zh-CN"/>
              </w:rPr>
              <w:t>090010</w:t>
            </w:r>
          </w:p>
        </w:tc>
        <w:tc>
          <w:tcPr>
            <w:tcW w:w="944" w:type="dxa"/>
            <w:noWrap w:val="0"/>
            <w:vAlign w:val="center"/>
          </w:tcPr>
          <w:p w14:paraId="073108AB">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rPr>
            </w:pPr>
          </w:p>
        </w:tc>
      </w:tr>
      <w:tr w14:paraId="0D376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4" w:type="dxa"/>
            <w:noWrap w:val="0"/>
            <w:vAlign w:val="center"/>
          </w:tcPr>
          <w:p w14:paraId="0935B931">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lang w:val="en-US" w:eastAsia="zh-CN"/>
              </w:rPr>
            </w:pPr>
            <w:r>
              <w:rPr>
                <w:rFonts w:hint="eastAsia" w:ascii="宋体" w:hAnsi="宋体" w:eastAsia="宋体" w:cs="宋体"/>
                <w:sz w:val="21"/>
                <w:szCs w:val="21"/>
                <w:lang w:val="en-US" w:eastAsia="zh-CN"/>
              </w:rPr>
              <w:t>10</w:t>
            </w:r>
          </w:p>
        </w:tc>
        <w:tc>
          <w:tcPr>
            <w:tcW w:w="4819" w:type="dxa"/>
            <w:noWrap w:val="0"/>
            <w:vAlign w:val="center"/>
          </w:tcPr>
          <w:p w14:paraId="6F155E2A">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lang w:val="en-US"/>
              </w:rPr>
            </w:pPr>
            <w:r>
              <w:rPr>
                <w:rFonts w:hint="eastAsia" w:ascii="宋体" w:hAnsi="宋体" w:eastAsia="宋体" w:cs="宋体"/>
                <w:sz w:val="21"/>
                <w:szCs w:val="21"/>
                <w:lang w:val="en-US" w:eastAsia="zh-CN"/>
              </w:rPr>
              <w:t>ST</w:t>
            </w:r>
            <w:r>
              <w:rPr>
                <w:rFonts w:hint="eastAsia" w:ascii="宋体" w:hAnsi="宋体" w:eastAsia="宋体" w:cs="宋体"/>
                <w:sz w:val="21"/>
                <w:szCs w:val="21"/>
              </w:rPr>
              <w:t>-5</w:t>
            </w:r>
            <w:r>
              <w:rPr>
                <w:rFonts w:hint="eastAsia" w:ascii="宋体" w:hAnsi="宋体" w:eastAsia="宋体" w:cs="宋体"/>
                <w:sz w:val="21"/>
                <w:szCs w:val="21"/>
                <w:lang w:val="en-US" w:eastAsia="zh-CN"/>
              </w:rPr>
              <w:t>JWB</w:t>
            </w:r>
            <w:r>
              <w:rPr>
                <w:rFonts w:hint="eastAsia" w:ascii="宋体" w:hAnsi="宋体" w:eastAsia="宋体" w:cs="宋体"/>
                <w:sz w:val="21"/>
                <w:szCs w:val="21"/>
              </w:rPr>
              <w:t>-</w:t>
            </w:r>
            <w:r>
              <w:rPr>
                <w:rFonts w:hint="eastAsia" w:ascii="宋体" w:hAnsi="宋体" w:eastAsia="宋体" w:cs="宋体"/>
                <w:sz w:val="21"/>
                <w:szCs w:val="21"/>
                <w:lang w:val="en-US" w:eastAsia="zh-CN"/>
              </w:rPr>
              <w:t>090011</w:t>
            </w:r>
          </w:p>
        </w:tc>
        <w:tc>
          <w:tcPr>
            <w:tcW w:w="944" w:type="dxa"/>
            <w:noWrap w:val="0"/>
            <w:vAlign w:val="center"/>
          </w:tcPr>
          <w:p w14:paraId="227DF04C">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rPr>
            </w:pPr>
          </w:p>
        </w:tc>
      </w:tr>
      <w:tr w14:paraId="7E6DB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4" w:type="dxa"/>
            <w:noWrap w:val="0"/>
            <w:vAlign w:val="center"/>
          </w:tcPr>
          <w:p w14:paraId="57949E13">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lang w:val="en-US" w:eastAsia="zh-CN"/>
              </w:rPr>
            </w:pPr>
            <w:bookmarkStart w:id="24" w:name="_Toc22335"/>
            <w:bookmarkStart w:id="25" w:name="_Toc16476"/>
            <w:bookmarkStart w:id="26" w:name="_Toc7250"/>
            <w:bookmarkStart w:id="27" w:name="_Toc17760"/>
            <w:bookmarkStart w:id="28" w:name="_Toc32407"/>
            <w:bookmarkStart w:id="29" w:name="_Toc15390"/>
            <w:bookmarkStart w:id="30" w:name="_Toc24301"/>
            <w:bookmarkStart w:id="31" w:name="_Toc2655"/>
            <w:bookmarkStart w:id="32" w:name="_Toc76302441"/>
            <w:bookmarkStart w:id="33" w:name="_Toc24558"/>
            <w:r>
              <w:rPr>
                <w:rFonts w:hint="eastAsia" w:ascii="宋体" w:hAnsi="宋体" w:eastAsia="宋体" w:cs="宋体"/>
                <w:sz w:val="21"/>
                <w:szCs w:val="21"/>
                <w:lang w:val="en-US" w:eastAsia="zh-CN"/>
              </w:rPr>
              <w:t>11</w:t>
            </w:r>
          </w:p>
        </w:tc>
        <w:tc>
          <w:tcPr>
            <w:tcW w:w="4819" w:type="dxa"/>
            <w:noWrap w:val="0"/>
            <w:vAlign w:val="center"/>
          </w:tcPr>
          <w:p w14:paraId="08BC2BCC">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lang w:val="en-US" w:eastAsia="zh-CN"/>
              </w:rPr>
            </w:pPr>
            <w:r>
              <w:rPr>
                <w:rFonts w:hint="eastAsia" w:ascii="宋体" w:hAnsi="宋体" w:eastAsia="宋体" w:cs="宋体"/>
                <w:sz w:val="21"/>
                <w:szCs w:val="21"/>
                <w:lang w:val="en-US" w:eastAsia="zh-CN"/>
              </w:rPr>
              <w:t>ST</w:t>
            </w:r>
            <w:r>
              <w:rPr>
                <w:rFonts w:hint="eastAsia" w:ascii="宋体" w:hAnsi="宋体" w:eastAsia="宋体" w:cs="宋体"/>
                <w:sz w:val="21"/>
                <w:szCs w:val="21"/>
              </w:rPr>
              <w:t>-5</w:t>
            </w:r>
            <w:r>
              <w:rPr>
                <w:rFonts w:hint="eastAsia" w:ascii="宋体" w:hAnsi="宋体" w:eastAsia="宋体" w:cs="宋体"/>
                <w:sz w:val="21"/>
                <w:szCs w:val="21"/>
                <w:lang w:val="en-US" w:eastAsia="zh-CN"/>
              </w:rPr>
              <w:t>JWB</w:t>
            </w:r>
            <w:r>
              <w:rPr>
                <w:rFonts w:hint="eastAsia" w:ascii="宋体" w:hAnsi="宋体" w:eastAsia="宋体" w:cs="宋体"/>
                <w:sz w:val="21"/>
                <w:szCs w:val="21"/>
              </w:rPr>
              <w:t>-</w:t>
            </w:r>
            <w:r>
              <w:rPr>
                <w:rFonts w:hint="eastAsia" w:ascii="宋体" w:hAnsi="宋体" w:eastAsia="宋体" w:cs="宋体"/>
                <w:sz w:val="21"/>
                <w:szCs w:val="21"/>
                <w:lang w:val="en-US" w:eastAsia="zh-CN"/>
              </w:rPr>
              <w:t>090059</w:t>
            </w:r>
          </w:p>
        </w:tc>
        <w:tc>
          <w:tcPr>
            <w:tcW w:w="944" w:type="dxa"/>
            <w:noWrap w:val="0"/>
            <w:vAlign w:val="center"/>
          </w:tcPr>
          <w:p w14:paraId="7DB33585">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rPr>
            </w:pPr>
          </w:p>
        </w:tc>
      </w:tr>
      <w:tr w14:paraId="43F23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4" w:type="dxa"/>
            <w:noWrap w:val="0"/>
            <w:vAlign w:val="center"/>
          </w:tcPr>
          <w:p w14:paraId="0868AF87">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lang w:val="en-US" w:eastAsia="zh-CN"/>
              </w:rPr>
            </w:pPr>
            <w:r>
              <w:rPr>
                <w:rFonts w:hint="eastAsia" w:ascii="宋体" w:hAnsi="宋体" w:eastAsia="宋体" w:cs="宋体"/>
                <w:sz w:val="21"/>
                <w:szCs w:val="21"/>
                <w:lang w:val="en-US" w:eastAsia="zh-CN"/>
              </w:rPr>
              <w:t>12</w:t>
            </w:r>
          </w:p>
        </w:tc>
        <w:tc>
          <w:tcPr>
            <w:tcW w:w="4819" w:type="dxa"/>
            <w:noWrap w:val="0"/>
            <w:vAlign w:val="center"/>
          </w:tcPr>
          <w:p w14:paraId="33777A27">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lang w:val="en-US" w:eastAsia="zh-CN"/>
              </w:rPr>
            </w:pPr>
            <w:r>
              <w:rPr>
                <w:rFonts w:hint="eastAsia" w:ascii="宋体" w:hAnsi="宋体" w:eastAsia="宋体" w:cs="宋体"/>
                <w:sz w:val="21"/>
                <w:szCs w:val="21"/>
                <w:lang w:val="en-US" w:eastAsia="zh-CN"/>
              </w:rPr>
              <w:t>ST</w:t>
            </w:r>
            <w:r>
              <w:rPr>
                <w:rFonts w:hint="eastAsia" w:ascii="宋体" w:hAnsi="宋体" w:eastAsia="宋体" w:cs="宋体"/>
                <w:sz w:val="21"/>
                <w:szCs w:val="21"/>
              </w:rPr>
              <w:t>-5</w:t>
            </w:r>
            <w:r>
              <w:rPr>
                <w:rFonts w:hint="eastAsia" w:ascii="宋体" w:hAnsi="宋体" w:eastAsia="宋体" w:cs="宋体"/>
                <w:sz w:val="21"/>
                <w:szCs w:val="21"/>
                <w:lang w:val="en-US" w:eastAsia="zh-CN"/>
              </w:rPr>
              <w:t>JWB</w:t>
            </w:r>
            <w:r>
              <w:rPr>
                <w:rFonts w:hint="eastAsia" w:ascii="宋体" w:hAnsi="宋体" w:eastAsia="宋体" w:cs="宋体"/>
                <w:sz w:val="21"/>
                <w:szCs w:val="21"/>
              </w:rPr>
              <w:t>-</w:t>
            </w:r>
            <w:r>
              <w:rPr>
                <w:rFonts w:hint="eastAsia" w:ascii="宋体" w:hAnsi="宋体" w:eastAsia="宋体" w:cs="宋体"/>
                <w:sz w:val="21"/>
                <w:szCs w:val="21"/>
                <w:lang w:val="en-US" w:eastAsia="zh-CN"/>
              </w:rPr>
              <w:t>090206</w:t>
            </w:r>
          </w:p>
        </w:tc>
        <w:tc>
          <w:tcPr>
            <w:tcW w:w="944" w:type="dxa"/>
            <w:noWrap w:val="0"/>
            <w:vAlign w:val="center"/>
          </w:tcPr>
          <w:p w14:paraId="68ECC50D">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rPr>
            </w:pPr>
          </w:p>
        </w:tc>
      </w:tr>
      <w:tr w14:paraId="10CF0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4" w:type="dxa"/>
            <w:noWrap w:val="0"/>
            <w:vAlign w:val="center"/>
          </w:tcPr>
          <w:p w14:paraId="5B77606D">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lang w:val="en-US" w:eastAsia="zh-CN"/>
              </w:rPr>
            </w:pPr>
            <w:r>
              <w:rPr>
                <w:rFonts w:hint="eastAsia" w:ascii="宋体" w:hAnsi="宋体" w:eastAsia="宋体" w:cs="宋体"/>
                <w:sz w:val="21"/>
                <w:szCs w:val="21"/>
                <w:lang w:val="en-US" w:eastAsia="zh-CN"/>
              </w:rPr>
              <w:t>13</w:t>
            </w:r>
          </w:p>
        </w:tc>
        <w:tc>
          <w:tcPr>
            <w:tcW w:w="4819" w:type="dxa"/>
            <w:noWrap w:val="0"/>
            <w:vAlign w:val="center"/>
          </w:tcPr>
          <w:p w14:paraId="242D6281">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lang w:val="en-US" w:eastAsia="zh-CN"/>
              </w:rPr>
            </w:pPr>
            <w:r>
              <w:rPr>
                <w:rFonts w:hint="eastAsia" w:ascii="宋体" w:hAnsi="宋体" w:eastAsia="宋体" w:cs="宋体"/>
                <w:sz w:val="21"/>
                <w:szCs w:val="21"/>
                <w:lang w:val="en-US" w:eastAsia="zh-CN"/>
              </w:rPr>
              <w:t>ST</w:t>
            </w:r>
            <w:r>
              <w:rPr>
                <w:rFonts w:hint="eastAsia" w:ascii="宋体" w:hAnsi="宋体" w:eastAsia="宋体" w:cs="宋体"/>
                <w:sz w:val="21"/>
                <w:szCs w:val="21"/>
              </w:rPr>
              <w:t>-5</w:t>
            </w:r>
            <w:r>
              <w:rPr>
                <w:rFonts w:hint="eastAsia" w:ascii="宋体" w:hAnsi="宋体" w:eastAsia="宋体" w:cs="宋体"/>
                <w:sz w:val="21"/>
                <w:szCs w:val="21"/>
                <w:lang w:val="en-US" w:eastAsia="zh-CN"/>
              </w:rPr>
              <w:t>JWB</w:t>
            </w:r>
            <w:r>
              <w:rPr>
                <w:rFonts w:hint="eastAsia" w:ascii="宋体" w:hAnsi="宋体" w:eastAsia="宋体" w:cs="宋体"/>
                <w:sz w:val="21"/>
                <w:szCs w:val="21"/>
              </w:rPr>
              <w:t>-</w:t>
            </w:r>
            <w:r>
              <w:rPr>
                <w:rFonts w:hint="eastAsia" w:ascii="宋体" w:hAnsi="宋体" w:eastAsia="宋体" w:cs="宋体"/>
                <w:sz w:val="21"/>
                <w:szCs w:val="21"/>
                <w:lang w:val="en-US" w:eastAsia="zh-CN"/>
              </w:rPr>
              <w:t>090228</w:t>
            </w:r>
          </w:p>
        </w:tc>
        <w:tc>
          <w:tcPr>
            <w:tcW w:w="944" w:type="dxa"/>
            <w:noWrap w:val="0"/>
            <w:vAlign w:val="center"/>
          </w:tcPr>
          <w:p w14:paraId="5BF74AB5">
            <w:pPr>
              <w:keepNext w:val="0"/>
              <w:keepLines w:val="0"/>
              <w:pageBreakBefore w:val="0"/>
              <w:widowControl w:val="0"/>
              <w:wordWrap/>
              <w:overflowPunct/>
              <w:topLinePunct w:val="0"/>
              <w:bidi w:val="0"/>
              <w:spacing w:line="240" w:lineRule="auto"/>
              <w:jc w:val="center"/>
              <w:outlineLvl w:val="9"/>
              <w:rPr>
                <w:rFonts w:hint="eastAsia" w:asciiTheme="minorEastAsia" w:hAnsiTheme="minorEastAsia" w:eastAsiaTheme="minorEastAsia" w:cstheme="minorEastAsia"/>
                <w:sz w:val="24"/>
                <w:szCs w:val="24"/>
                <w:highlight w:val="none"/>
              </w:rPr>
            </w:pPr>
          </w:p>
        </w:tc>
      </w:tr>
    </w:tbl>
    <w:p w14:paraId="730AF720">
      <w:pPr>
        <w:keepNext w:val="0"/>
        <w:keepLines w:val="0"/>
        <w:pageBreakBefore w:val="0"/>
        <w:tabs>
          <w:tab w:val="left" w:pos="480"/>
        </w:tabs>
        <w:wordWrap/>
        <w:overflowPunct/>
        <w:topLinePunct w:val="0"/>
        <w:bidi w:val="0"/>
        <w:spacing w:line="360" w:lineRule="auto"/>
        <w:ind w:firstLine="482" w:firstLineChars="200"/>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2.3.2</w:t>
      </w:r>
      <w:r>
        <w:rPr>
          <w:rFonts w:hint="eastAsia" w:asciiTheme="minorEastAsia" w:hAnsiTheme="minorEastAsia" w:eastAsiaTheme="minorEastAsia" w:cstheme="minorEastAsia"/>
          <w:b/>
          <w:bCs/>
          <w:color w:val="auto"/>
          <w:sz w:val="24"/>
          <w:szCs w:val="24"/>
          <w:highlight w:val="none"/>
          <w:lang w:val="en-US" w:eastAsia="zh-CN"/>
        </w:rPr>
        <w:t>应用软件运维</w:t>
      </w:r>
      <w:r>
        <w:rPr>
          <w:rFonts w:hint="eastAsia" w:asciiTheme="minorEastAsia" w:hAnsiTheme="minorEastAsia" w:eastAsiaTheme="minorEastAsia" w:cstheme="minorEastAsia"/>
          <w:b/>
          <w:bCs/>
          <w:color w:val="auto"/>
          <w:sz w:val="24"/>
          <w:szCs w:val="24"/>
          <w:highlight w:val="none"/>
        </w:rPr>
        <w:t>需求</w:t>
      </w:r>
      <w:bookmarkEnd w:id="24"/>
      <w:bookmarkEnd w:id="25"/>
      <w:bookmarkEnd w:id="26"/>
      <w:bookmarkEnd w:id="27"/>
      <w:bookmarkEnd w:id="28"/>
      <w:bookmarkEnd w:id="29"/>
      <w:bookmarkEnd w:id="30"/>
      <w:bookmarkEnd w:id="31"/>
      <w:bookmarkEnd w:id="32"/>
      <w:bookmarkEnd w:id="33"/>
    </w:p>
    <w:p w14:paraId="473BE91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napToGrid/>
          <w:kern w:val="2"/>
          <w:sz w:val="24"/>
          <w:szCs w:val="24"/>
          <w:highlight w:val="none"/>
          <w:lang w:eastAsia="zh-CN"/>
        </w:rPr>
      </w:pPr>
      <w:bookmarkStart w:id="34" w:name="_Toc30117"/>
      <w:bookmarkStart w:id="35" w:name="_Toc22884"/>
      <w:bookmarkStart w:id="36" w:name="_Toc4339"/>
      <w:bookmarkStart w:id="37" w:name="_Toc14575"/>
      <w:bookmarkStart w:id="38" w:name="_Toc2449"/>
      <w:bookmarkStart w:id="39" w:name="_Toc76302442"/>
      <w:bookmarkStart w:id="40" w:name="_Toc14957"/>
      <w:bookmarkStart w:id="41" w:name="_Toc30955"/>
      <w:bookmarkStart w:id="42" w:name="_Toc186"/>
      <w:bookmarkStart w:id="43" w:name="_Toc7653"/>
      <w:r>
        <w:rPr>
          <w:rFonts w:hint="eastAsia" w:asciiTheme="minorEastAsia" w:hAnsiTheme="minorEastAsia" w:eastAsiaTheme="minorEastAsia" w:cstheme="minorEastAsia"/>
          <w:snapToGrid/>
          <w:kern w:val="2"/>
          <w:sz w:val="24"/>
          <w:szCs w:val="24"/>
          <w:highlight w:val="none"/>
          <w:lang w:eastAsia="zh-CN"/>
        </w:rPr>
        <w:t>实现寄递物流信息的动态采集，以及寄递企业和行业人员动态化管理，充分利用信息化分析和数据比对碰撞功能，提高公安机关对违法犯罪预知、预警、预防能力，加强寄递物品实名制追查溯源能力，严防和打击不法分子通过寄递渠道进行贩运枪支弹药、爆炸物品、危险化学品、管制刀具、涉黄涉毒品等禁寄物品，以及盗窃、非法扣留、冒领、隐匿、毁坏等违法犯罪行为，提升公安机关对寄递物流行业的治安管理能力，进一步提高公安机关的信息化、智能化管理水平，挤压违法犯罪空间，确保我省寄递物流渠道的安全畅通，切实维护社会治安和公共安全，保障公民的合法权益。</w:t>
      </w:r>
    </w:p>
    <w:p w14:paraId="158C7A7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napToGrid/>
          <w:kern w:val="2"/>
          <w:sz w:val="24"/>
          <w:szCs w:val="24"/>
          <w:highlight w:val="none"/>
          <w:lang w:eastAsia="zh-CN"/>
        </w:rPr>
      </w:pPr>
      <w:r>
        <w:rPr>
          <w:rFonts w:hint="eastAsia" w:asciiTheme="minorEastAsia" w:hAnsiTheme="minorEastAsia" w:eastAsiaTheme="minorEastAsia" w:cstheme="minorEastAsia"/>
          <w:snapToGrid/>
          <w:kern w:val="2"/>
          <w:sz w:val="24"/>
          <w:szCs w:val="24"/>
          <w:highlight w:val="none"/>
          <w:lang w:eastAsia="zh-CN"/>
        </w:rPr>
        <w:t>要求系统运维公司在系统升级中，定期对全省寄递物流数据量、布控报警信息、追逃报警信息等应用效果进行重点分析拓展，并结合公安管理工作的实际需求，完善分析研判预警功能。</w:t>
      </w:r>
    </w:p>
    <w:p w14:paraId="659E80A9">
      <w:pPr>
        <w:keepNext w:val="0"/>
        <w:keepLines w:val="0"/>
        <w:pageBreakBefore w:val="0"/>
        <w:tabs>
          <w:tab w:val="left" w:pos="480"/>
        </w:tabs>
        <w:wordWrap/>
        <w:overflowPunct/>
        <w:topLinePunct w:val="0"/>
        <w:bidi w:val="0"/>
        <w:spacing w:line="360" w:lineRule="auto"/>
        <w:ind w:firstLine="482" w:firstLineChars="200"/>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2.3.3驻场需求</w:t>
      </w:r>
      <w:bookmarkEnd w:id="34"/>
      <w:bookmarkEnd w:id="35"/>
      <w:bookmarkEnd w:id="36"/>
      <w:bookmarkEnd w:id="37"/>
      <w:bookmarkEnd w:id="38"/>
      <w:bookmarkEnd w:id="39"/>
      <w:bookmarkEnd w:id="40"/>
      <w:bookmarkEnd w:id="41"/>
      <w:bookmarkEnd w:id="42"/>
      <w:bookmarkEnd w:id="43"/>
    </w:p>
    <w:p w14:paraId="4BB9BF7D">
      <w:pPr>
        <w:keepNext w:val="0"/>
        <w:keepLines w:val="0"/>
        <w:pageBreakBefore w:val="0"/>
        <w:tabs>
          <w:tab w:val="left" w:pos="480"/>
        </w:tabs>
        <w:wordWrap/>
        <w:overflowPunct/>
        <w:topLinePunct w:val="0"/>
        <w:bidi w:val="0"/>
        <w:spacing w:line="360" w:lineRule="auto"/>
        <w:ind w:firstLine="480" w:firstLineChars="200"/>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寄递系统监管端部署于公安内网，现拥有</w:t>
      </w:r>
      <w:r>
        <w:rPr>
          <w:rFonts w:hint="eastAsia" w:asciiTheme="minorEastAsia" w:hAnsiTheme="minorEastAsia" w:eastAsiaTheme="minorEastAsia" w:cstheme="minorEastAsia"/>
          <w:sz w:val="24"/>
          <w:szCs w:val="24"/>
          <w:highlight w:val="none"/>
          <w:lang w:val="en-US" w:eastAsia="zh-CN"/>
        </w:rPr>
        <w:t>3076</w:t>
      </w:r>
      <w:r>
        <w:rPr>
          <w:rFonts w:hint="eastAsia" w:asciiTheme="minorEastAsia" w:hAnsiTheme="minorEastAsia" w:eastAsiaTheme="minorEastAsia" w:cstheme="minorEastAsia"/>
          <w:sz w:val="24"/>
          <w:szCs w:val="24"/>
          <w:highlight w:val="none"/>
        </w:rPr>
        <w:t>名民警用户，为保障寄递行业监管工作顺利进行，全省寄递系统民警用户正常使用寄递系统完成日常监管工作，解决工作中遇到寄递系统问题；同时，为保障寄递数据安全，所有寄递数据存储于公安内网，为保障民警在企业检查时随时核对公安内网监管端数据，本运维项目需安排驻场人员</w:t>
      </w:r>
      <w:r>
        <w:rPr>
          <w:rFonts w:hint="eastAsia" w:asciiTheme="minorEastAsia" w:hAnsiTheme="minorEastAsia" w:eastAsiaTheme="minorEastAsia" w:cstheme="minorEastAsia"/>
          <w:sz w:val="24"/>
          <w:szCs w:val="24"/>
          <w:highlight w:val="none"/>
          <w:lang w:val="en-US" w:eastAsia="zh-CN"/>
        </w:rPr>
        <w:t>2人</w:t>
      </w:r>
      <w:r>
        <w:rPr>
          <w:rFonts w:hint="eastAsia" w:asciiTheme="minorEastAsia" w:hAnsiTheme="minorEastAsia" w:eastAsiaTheme="minorEastAsia" w:cstheme="minorEastAsia"/>
          <w:sz w:val="24"/>
          <w:szCs w:val="24"/>
          <w:highlight w:val="none"/>
        </w:rPr>
        <w:t>在公安内网进行寄递系统日常运维。</w:t>
      </w:r>
    </w:p>
    <w:p w14:paraId="4F793A8B">
      <w:pPr>
        <w:keepNext w:val="0"/>
        <w:keepLines w:val="0"/>
        <w:pageBreakBefore w:val="0"/>
        <w:tabs>
          <w:tab w:val="left" w:pos="480"/>
        </w:tabs>
        <w:wordWrap/>
        <w:overflowPunct/>
        <w:topLinePunct w:val="0"/>
        <w:bidi w:val="0"/>
        <w:spacing w:line="360" w:lineRule="auto"/>
        <w:ind w:firstLine="482" w:firstLineChars="200"/>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2.4项目目标</w:t>
      </w:r>
    </w:p>
    <w:p w14:paraId="3447821C">
      <w:pPr>
        <w:keepNext w:val="0"/>
        <w:keepLines w:val="0"/>
        <w:pageBreakBefore w:val="0"/>
        <w:wordWrap/>
        <w:overflowPunct/>
        <w:topLinePunct w:val="0"/>
        <w:bidi w:val="0"/>
        <w:spacing w:line="360" w:lineRule="auto"/>
        <w:ind w:firstLine="480" w:firstLineChars="200"/>
        <w:jc w:val="left"/>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通过寄递系统运维工作，保障寄递系统正常运行，解决长期以来对邮寄物品监管难度大、警力付出多、监管不到位等诸多难题，提高监管效率，做到足不出户就能实施监管的目标，从而有效的减少了警力、物力、财力的付出，降低了执法成本。</w:t>
      </w:r>
    </w:p>
    <w:p w14:paraId="113246B7">
      <w:pPr>
        <w:keepNext w:val="0"/>
        <w:keepLines w:val="0"/>
        <w:pageBreakBefore w:val="0"/>
        <w:wordWrap/>
        <w:overflowPunct/>
        <w:topLinePunct w:val="0"/>
        <w:bidi w:val="0"/>
        <w:spacing w:line="360" w:lineRule="auto"/>
        <w:ind w:firstLine="480" w:firstLineChars="200"/>
        <w:jc w:val="left"/>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通过对寄递物品和收发人实名登记以及从业人员实现信息化动态管理，进一步加强和规范寄递物流业治安管理工作，预防和减少违法犯罪案件和安全事故的发生。利用计算机技术辅助公安机关监督寄递物流业的日常运营，使公安机关能够及时了解寄递物流业的动态信息，及时掌握从业人员的工作和寄递物品及相关人员的活动轨迹，提高备案核查工作效率，抓捕违法犯罪嫌疑人，提高公安治安管理的水平，更好的维护社会治安稳定，建立监督检查的长效机制。</w:t>
      </w:r>
    </w:p>
    <w:p w14:paraId="23ACB1C2">
      <w:pPr>
        <w:keepNext w:val="0"/>
        <w:keepLines w:val="0"/>
        <w:pageBreakBefore w:val="0"/>
        <w:wordWrap/>
        <w:overflowPunct/>
        <w:topLinePunct w:val="0"/>
        <w:bidi w:val="0"/>
        <w:spacing w:line="360" w:lineRule="auto"/>
        <w:ind w:firstLine="480" w:firstLineChars="200"/>
        <w:jc w:val="left"/>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通过寄递系统运维保障全省9571家快递法人企业正常使用寄递系统上报企业动态信息，保障28549名快递从业人员正常上传快递收寄、投递信息，保障3076名警员用户通过寄递系统实现寄递监管，保障寄递系统151亿条数据安全与数据应用，同时保障每天对接寄递数据及数据增量为1000万到2000万数据采集，保障这些数据正常、有效进入公安内网寄递系统，同时寄递系统已产生124316条预警信息，在运维过程中，保障寄递系统分析研判功能正常运行，为公安监管提供更多线索信息。</w:t>
      </w:r>
    </w:p>
    <w:p w14:paraId="524E5E7E">
      <w:pPr>
        <w:pStyle w:val="41"/>
        <w:keepNext w:val="0"/>
        <w:keepLines w:val="0"/>
        <w:pageBreakBefore w:val="0"/>
        <w:numPr>
          <w:ilvl w:val="0"/>
          <w:numId w:val="0"/>
        </w:numPr>
        <w:wordWrap/>
        <w:overflowPunct/>
        <w:topLinePunct w:val="0"/>
        <w:bidi w:val="0"/>
        <w:spacing w:line="360" w:lineRule="auto"/>
        <w:ind w:firstLine="0" w:firstLineChars="0"/>
        <w:outlineLvl w:val="9"/>
        <w:rPr>
          <w:rFonts w:hint="eastAsia" w:asciiTheme="minorEastAsia" w:hAnsiTheme="minorEastAsia" w:eastAsiaTheme="minorEastAsia" w:cstheme="minorEastAsia"/>
          <w:b/>
          <w:bCs/>
          <w:sz w:val="24"/>
          <w:szCs w:val="24"/>
          <w:highlight w:val="none"/>
          <w:lang w:val="en-US" w:eastAsia="zh-CN"/>
        </w:rPr>
      </w:pPr>
      <w:bookmarkStart w:id="44" w:name="_Toc14665"/>
      <w:bookmarkStart w:id="45" w:name="_Toc31171"/>
      <w:r>
        <w:rPr>
          <w:rFonts w:hint="eastAsia" w:asciiTheme="minorEastAsia" w:hAnsiTheme="minorEastAsia" w:eastAsiaTheme="minorEastAsia" w:cstheme="minorEastAsia"/>
          <w:b/>
          <w:bCs/>
          <w:snapToGrid w:val="0"/>
          <w:color w:val="000000"/>
          <w:kern w:val="0"/>
          <w:sz w:val="24"/>
          <w:szCs w:val="24"/>
          <w:lang w:val="en-US" w:eastAsia="zh-CN" w:bidi="ar-SA"/>
        </w:rPr>
        <w:t>三、</w:t>
      </w:r>
      <w:r>
        <w:rPr>
          <w:rFonts w:hint="eastAsia" w:asciiTheme="minorEastAsia" w:hAnsiTheme="minorEastAsia" w:eastAsiaTheme="minorEastAsia" w:cstheme="minorEastAsia"/>
          <w:b/>
          <w:bCs/>
          <w:sz w:val="24"/>
          <w:szCs w:val="24"/>
          <w:highlight w:val="none"/>
          <w:lang w:val="en-US" w:eastAsia="zh-CN"/>
        </w:rPr>
        <w:t>运维服务内容与要求</w:t>
      </w:r>
      <w:bookmarkEnd w:id="44"/>
      <w:bookmarkEnd w:id="45"/>
    </w:p>
    <w:p w14:paraId="7ACA404B">
      <w:pPr>
        <w:keepNext w:val="0"/>
        <w:keepLines w:val="0"/>
        <w:pageBreakBefore w:val="0"/>
        <w:tabs>
          <w:tab w:val="left" w:pos="480"/>
        </w:tabs>
        <w:wordWrap/>
        <w:overflowPunct/>
        <w:topLinePunct w:val="0"/>
        <w:bidi w:val="0"/>
        <w:spacing w:line="360" w:lineRule="auto"/>
        <w:ind w:firstLine="482" w:firstLineChars="200"/>
        <w:outlineLvl w:val="9"/>
        <w:rPr>
          <w:rFonts w:hint="eastAsia" w:asciiTheme="minorEastAsia" w:hAnsiTheme="minorEastAsia" w:eastAsiaTheme="minorEastAsia" w:cstheme="minorEastAsia"/>
          <w:b/>
          <w:bCs/>
          <w:color w:val="auto"/>
          <w:sz w:val="24"/>
          <w:szCs w:val="24"/>
          <w:highlight w:val="none"/>
          <w:lang w:val="en-US" w:eastAsia="zh-CN"/>
        </w:rPr>
      </w:pPr>
      <w:bookmarkStart w:id="46" w:name="_Toc7055"/>
      <w:bookmarkStart w:id="47" w:name="_Toc3657"/>
      <w:r>
        <w:rPr>
          <w:rFonts w:hint="eastAsia" w:asciiTheme="minorEastAsia" w:hAnsiTheme="minorEastAsia" w:eastAsiaTheme="minorEastAsia" w:cstheme="minorEastAsia"/>
          <w:b/>
          <w:bCs/>
          <w:color w:val="auto"/>
          <w:sz w:val="24"/>
          <w:szCs w:val="24"/>
          <w:highlight w:val="none"/>
          <w:lang w:val="en-US" w:eastAsia="zh-CN"/>
        </w:rPr>
        <w:t>3.1运维规模</w:t>
      </w:r>
      <w:bookmarkEnd w:id="46"/>
      <w:bookmarkEnd w:id="47"/>
    </w:p>
    <w:p w14:paraId="0F3B2A5D">
      <w:pPr>
        <w:keepNext w:val="0"/>
        <w:keepLines w:val="0"/>
        <w:pageBreakBefore w:val="0"/>
        <w:wordWrap/>
        <w:overflowPunct/>
        <w:topLinePunct w:val="0"/>
        <w:bidi w:val="0"/>
        <w:spacing w:line="360" w:lineRule="auto"/>
        <w:ind w:firstLine="480" w:firstLineChars="200"/>
        <w:jc w:val="left"/>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陕西省11地市所有快递企业、营业网点及省、市、县（区）、派出所管理警员所涉及的寄递系统。</w:t>
      </w:r>
    </w:p>
    <w:p w14:paraId="2DEC9E66">
      <w:pPr>
        <w:keepNext w:val="0"/>
        <w:keepLines w:val="0"/>
        <w:pageBreakBefore w:val="0"/>
        <w:wordWrap/>
        <w:overflowPunct/>
        <w:topLinePunct w:val="0"/>
        <w:bidi w:val="0"/>
        <w:spacing w:line="360" w:lineRule="auto"/>
        <w:ind w:firstLine="480" w:firstLineChars="200"/>
        <w:jc w:val="left"/>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驻场运维：为了确保全省寄递系统正常运行，总队要求寄递运维项目承建单位提供驻场服务，驻场人员不得少于2人，负责信息系统日常维护。</w:t>
      </w:r>
    </w:p>
    <w:p w14:paraId="2C59F345">
      <w:pPr>
        <w:keepNext w:val="0"/>
        <w:keepLines w:val="0"/>
        <w:pageBreakBefore w:val="0"/>
        <w:wordWrap/>
        <w:overflowPunct/>
        <w:topLinePunct w:val="0"/>
        <w:bidi w:val="0"/>
        <w:spacing w:line="360" w:lineRule="auto"/>
        <w:ind w:firstLine="480" w:firstLineChars="200"/>
        <w:jc w:val="left"/>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售后运维：为保障寄递系统正常运行，寄递运维项目承建单位提供售后运维服务，服务内容包括全省11地市快递企业企业web端、快递员app端、警员app端、监管web端的培训、客服等售后服务工作。</w:t>
      </w:r>
    </w:p>
    <w:p w14:paraId="79D69A21">
      <w:pPr>
        <w:keepNext w:val="0"/>
        <w:keepLines w:val="0"/>
        <w:pageBreakBefore w:val="0"/>
        <w:wordWrap/>
        <w:overflowPunct/>
        <w:topLinePunct w:val="0"/>
        <w:bidi w:val="0"/>
        <w:spacing w:line="360" w:lineRule="auto"/>
        <w:ind w:firstLine="480" w:firstLineChars="200"/>
        <w:jc w:val="left"/>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研发运维：为保障寄递系统正常运行，寄递数据安全，寄递运维项目承建单位应提供日常系统安全检查、系统运行状态巡检、系统优化升级、BUG修复等工作。</w:t>
      </w:r>
    </w:p>
    <w:p w14:paraId="258C4683">
      <w:pPr>
        <w:keepNext w:val="0"/>
        <w:keepLines w:val="0"/>
        <w:pageBreakBefore w:val="0"/>
        <w:tabs>
          <w:tab w:val="left" w:pos="480"/>
        </w:tabs>
        <w:wordWrap/>
        <w:overflowPunct/>
        <w:topLinePunct w:val="0"/>
        <w:bidi w:val="0"/>
        <w:spacing w:line="360" w:lineRule="auto"/>
        <w:ind w:firstLine="482" w:firstLineChars="200"/>
        <w:outlineLvl w:val="9"/>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3.2应用软件运维内容</w:t>
      </w:r>
    </w:p>
    <w:p w14:paraId="546326DE">
      <w:pPr>
        <w:keepNext w:val="0"/>
        <w:keepLines w:val="0"/>
        <w:pageBreakBefore w:val="0"/>
        <w:tabs>
          <w:tab w:val="left" w:pos="480"/>
        </w:tabs>
        <w:wordWrap/>
        <w:overflowPunct/>
        <w:topLinePunct w:val="0"/>
        <w:bidi w:val="0"/>
        <w:spacing w:line="360" w:lineRule="auto"/>
        <w:ind w:firstLine="482" w:firstLineChars="200"/>
        <w:outlineLvl w:val="9"/>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3.2.1寄递系统企业管理端</w:t>
      </w:r>
    </w:p>
    <w:p w14:paraId="6B835B4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val="en-US" w:eastAsia="zh-CN"/>
        </w:rPr>
        <w:t xml:space="preserve"> 寄递系统企业管理端主要维护企业端网站及相关功能。管辖区域内快递企业信息采集，快递企业及营业网点登录网站，按照要求注册登录账号，通过账号进入企业网页端，完善企业基本信息填写，录入企业从业人员信息，对快递员进行授权。同时企业网页端可进行可疑情况上报、在监管单位检查时进行检查登记。</w:t>
      </w:r>
    </w:p>
    <w:p w14:paraId="06F0263F">
      <w:pPr>
        <w:keepNext w:val="0"/>
        <w:keepLines w:val="0"/>
        <w:pageBreakBefore w:val="0"/>
        <w:tabs>
          <w:tab w:val="left" w:pos="480"/>
        </w:tabs>
        <w:wordWrap/>
        <w:overflowPunct/>
        <w:topLinePunct w:val="0"/>
        <w:bidi w:val="0"/>
        <w:spacing w:line="360" w:lineRule="auto"/>
        <w:ind w:firstLine="482" w:firstLineChars="200"/>
        <w:outlineLvl w:val="9"/>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3.2.2寄递系统快递员app端</w:t>
      </w:r>
    </w:p>
    <w:p w14:paraId="4474A47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寄递系统快递员app端主要维护快递员app及相关功能。快递员能正常通过APP端进行快递实名制信息采集，在收寄过程中，通过APP完成实名收寄和实名投递。经过企业网点授权的快递员可下载登录快递员APP端，快递员手机APP包含新闻资讯模块，提供行业动态、国家政策等最新新闻要求；线索上报模块采集上报收揽货物过程中发现的可疑情况；信息采集模块分为收寄采集和投递采集两部分，收寄采集部分采集物品名称、寄件人实名信息、电话等，投递采集部分采集收件人实名信息、电话等，个人信息模块包含待发数据、已发数据、个人信息等。。</w:t>
      </w:r>
    </w:p>
    <w:p w14:paraId="7981D065">
      <w:pPr>
        <w:keepNext w:val="0"/>
        <w:keepLines w:val="0"/>
        <w:pageBreakBefore w:val="0"/>
        <w:tabs>
          <w:tab w:val="left" w:pos="480"/>
        </w:tabs>
        <w:wordWrap/>
        <w:overflowPunct/>
        <w:topLinePunct w:val="0"/>
        <w:bidi w:val="0"/>
        <w:spacing w:line="360" w:lineRule="auto"/>
        <w:ind w:firstLine="482" w:firstLineChars="200"/>
        <w:outlineLvl w:val="9"/>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3.2.3寄递系统公安管理端</w:t>
      </w:r>
    </w:p>
    <w:p w14:paraId="7D0A3AB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寄递系统公安管理端主要维护公安管理端网站及相关功能。能正常整合互联网端采集数据，查看所有快递企业、快递收寄件，查看从业人员详情、物品照片，根据条件筛选查询想要查询的企业信息，根据条件筛选查询想要查询的快递员信息，根据条件筛选查询想要查询的运单信息，监管单位可看自己管辖区域内快递企业数量、从业人员数量、快递收揽货物数量，直观把控本辖区快递行业实时动态。同时，分析研判模块对互联网端采集数据进行分析应用，研判分析模块对接全国追逃库，可本地布控人、物、电话等信息，可对发往城市进行地区布控，采集信息与布控信息自动比对，当比对出现可疑信息时自动报警，可查看互联网端上传的线索信息，对采集信息整合应用，服务监管日常工作需求。</w:t>
      </w:r>
    </w:p>
    <w:p w14:paraId="223C03A5">
      <w:pPr>
        <w:keepNext w:val="0"/>
        <w:keepLines w:val="0"/>
        <w:pageBreakBefore w:val="0"/>
        <w:tabs>
          <w:tab w:val="left" w:pos="480"/>
        </w:tabs>
        <w:wordWrap/>
        <w:overflowPunct/>
        <w:topLinePunct w:val="0"/>
        <w:bidi w:val="0"/>
        <w:spacing w:line="360" w:lineRule="auto"/>
        <w:ind w:firstLine="482" w:firstLineChars="200"/>
        <w:outlineLvl w:val="9"/>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3.2.4寄递系统监管app端</w:t>
      </w:r>
    </w:p>
    <w:p w14:paraId="7231639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寄递系统监管app端主要维护监管app及相关功能。为了确保数据安全，监管web端和监管APP端的必须只有授权监管人员才可正常使用，监管APP可在外出检查时扫描运单检查是否实名登记，可在外出检查时查询辖区网点信息，可在外出检查时查询从业人员信息，可在APP上查看线索信息、地图查看已标注网点，可在网点检查时填写工作检查内容进行工作留档。同时，监管APP端可查看辖区内企业数、网点数、从业人员数，可查看辖区内投递、揽收数量，可查看辖区内收揽数量曲线变化图，可根据时间筛选查看某一时间段数据信息，可查看具体某一网点详细信息，可根据APP中显示电话直接联系网点及从业人员，方便监管人员日常工作。</w:t>
      </w:r>
    </w:p>
    <w:p w14:paraId="4E359A90">
      <w:pPr>
        <w:keepNext w:val="0"/>
        <w:keepLines w:val="0"/>
        <w:pageBreakBefore w:val="0"/>
        <w:tabs>
          <w:tab w:val="left" w:pos="480"/>
        </w:tabs>
        <w:wordWrap/>
        <w:overflowPunct/>
        <w:topLinePunct w:val="0"/>
        <w:bidi w:val="0"/>
        <w:spacing w:line="360" w:lineRule="auto"/>
        <w:ind w:firstLine="482" w:firstLineChars="200"/>
        <w:outlineLvl w:val="9"/>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3.3软件运维服务</w:t>
      </w:r>
    </w:p>
    <w:p w14:paraId="00772EF4">
      <w:pPr>
        <w:keepNext w:val="0"/>
        <w:keepLines w:val="0"/>
        <w:pageBreakBefore w:val="0"/>
        <w:tabs>
          <w:tab w:val="left" w:pos="480"/>
        </w:tabs>
        <w:wordWrap/>
        <w:overflowPunct/>
        <w:topLinePunct w:val="0"/>
        <w:bidi w:val="0"/>
        <w:spacing w:line="360" w:lineRule="auto"/>
        <w:ind w:firstLine="482" w:firstLineChars="200"/>
        <w:outlineLvl w:val="9"/>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3.3.1软件运维服务列表</w:t>
      </w:r>
    </w:p>
    <w:p w14:paraId="4E659218">
      <w:pPr>
        <w:pStyle w:val="2"/>
        <w:keepNext w:val="0"/>
        <w:keepLines w:val="0"/>
        <w:pageBreakBefore w:val="0"/>
        <w:numPr>
          <w:ilvl w:val="0"/>
          <w:numId w:val="0"/>
        </w:numPr>
        <w:wordWrap/>
        <w:overflowPunct/>
        <w:topLinePunct w:val="0"/>
        <w:bidi w:val="0"/>
        <w:spacing w:line="360" w:lineRule="auto"/>
        <w:jc w:val="center"/>
        <w:outlineLvl w:val="9"/>
        <w:rPr>
          <w:rFonts w:hint="eastAsia" w:asciiTheme="minorEastAsia" w:hAnsiTheme="minorEastAsia" w:eastAsiaTheme="minorEastAsia" w:cstheme="minorEastAsia"/>
          <w:color w:val="000000" w:themeColor="text1"/>
          <w:kern w:val="2"/>
          <w:sz w:val="24"/>
          <w:szCs w:val="24"/>
          <w:highlight w:val="none"/>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zh-CN"/>
          <w14:textFill>
            <w14:solidFill>
              <w14:schemeClr w14:val="tx1"/>
            </w14:solidFill>
          </w14:textFill>
        </w:rPr>
        <w:t>表3-1 软件运维服务列表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2656"/>
        <w:gridCol w:w="6040"/>
      </w:tblGrid>
      <w:tr w14:paraId="0648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31" w:type="pct"/>
            <w:vAlign w:val="center"/>
          </w:tcPr>
          <w:p w14:paraId="788D40B3">
            <w:pPr>
              <w:keepNext w:val="0"/>
              <w:keepLines w:val="0"/>
              <w:pageBreakBefore w:val="0"/>
              <w:widowControl w:val="0"/>
              <w:wordWrap/>
              <w:overflowPunct/>
              <w:topLinePunct w:val="0"/>
              <w:bidi w:val="0"/>
              <w:spacing w:line="360" w:lineRule="auto"/>
              <w:jc w:val="center"/>
              <w:outlineLvl w:val="9"/>
              <w:rPr>
                <w:rFonts w:hint="eastAsia" w:asciiTheme="minorEastAsia" w:hAnsiTheme="minorEastAsia" w:eastAsiaTheme="minorEastAsia" w:cstheme="minorEastAsia"/>
                <w:b/>
                <w:bCs/>
                <w:sz w:val="24"/>
                <w:szCs w:val="24"/>
                <w:highlight w:val="none"/>
                <w:vertAlign w:val="baseline"/>
                <w:lang w:val="en-US" w:eastAsia="zh-CN"/>
              </w:rPr>
            </w:pPr>
            <w:r>
              <w:rPr>
                <w:rFonts w:hint="eastAsia" w:asciiTheme="minorEastAsia" w:hAnsiTheme="minorEastAsia" w:eastAsiaTheme="minorEastAsia" w:cstheme="minorEastAsia"/>
                <w:b/>
                <w:bCs/>
                <w:sz w:val="24"/>
                <w:szCs w:val="24"/>
                <w:highlight w:val="none"/>
                <w:vertAlign w:val="baseline"/>
                <w:lang w:val="en-US" w:eastAsia="zh-CN"/>
              </w:rPr>
              <w:t>服务类别</w:t>
            </w:r>
          </w:p>
        </w:tc>
        <w:tc>
          <w:tcPr>
            <w:tcW w:w="1334" w:type="pct"/>
            <w:vAlign w:val="center"/>
          </w:tcPr>
          <w:p w14:paraId="60CED0D3">
            <w:pPr>
              <w:keepNext w:val="0"/>
              <w:keepLines w:val="0"/>
              <w:pageBreakBefore w:val="0"/>
              <w:widowControl w:val="0"/>
              <w:wordWrap/>
              <w:overflowPunct/>
              <w:topLinePunct w:val="0"/>
              <w:bidi w:val="0"/>
              <w:spacing w:line="360" w:lineRule="auto"/>
              <w:jc w:val="center"/>
              <w:outlineLvl w:val="9"/>
              <w:rPr>
                <w:rFonts w:hint="eastAsia" w:asciiTheme="minorEastAsia" w:hAnsiTheme="minorEastAsia" w:eastAsiaTheme="minorEastAsia" w:cstheme="minorEastAsia"/>
                <w:b/>
                <w:bCs/>
                <w:sz w:val="24"/>
                <w:szCs w:val="24"/>
                <w:highlight w:val="none"/>
                <w:vertAlign w:val="baseline"/>
                <w:lang w:val="en-US" w:eastAsia="zh-CN"/>
              </w:rPr>
            </w:pPr>
            <w:r>
              <w:rPr>
                <w:rFonts w:hint="eastAsia" w:asciiTheme="minorEastAsia" w:hAnsiTheme="minorEastAsia" w:eastAsiaTheme="minorEastAsia" w:cstheme="minorEastAsia"/>
                <w:b/>
                <w:bCs/>
                <w:sz w:val="24"/>
                <w:szCs w:val="24"/>
                <w:highlight w:val="none"/>
                <w:vertAlign w:val="baseline"/>
                <w:lang w:val="en-US" w:eastAsia="zh-CN"/>
              </w:rPr>
              <w:t>服务子类</w:t>
            </w:r>
          </w:p>
        </w:tc>
        <w:tc>
          <w:tcPr>
            <w:tcW w:w="3034" w:type="pct"/>
            <w:vAlign w:val="center"/>
          </w:tcPr>
          <w:p w14:paraId="6073CB39">
            <w:pPr>
              <w:keepNext w:val="0"/>
              <w:keepLines w:val="0"/>
              <w:pageBreakBefore w:val="0"/>
              <w:widowControl w:val="0"/>
              <w:wordWrap/>
              <w:overflowPunct/>
              <w:topLinePunct w:val="0"/>
              <w:bidi w:val="0"/>
              <w:spacing w:line="360" w:lineRule="auto"/>
              <w:jc w:val="center"/>
              <w:outlineLvl w:val="9"/>
              <w:rPr>
                <w:rFonts w:hint="eastAsia" w:asciiTheme="minorEastAsia" w:hAnsiTheme="minorEastAsia" w:eastAsiaTheme="minorEastAsia" w:cstheme="minorEastAsia"/>
                <w:b/>
                <w:bCs/>
                <w:sz w:val="24"/>
                <w:szCs w:val="24"/>
                <w:highlight w:val="none"/>
                <w:vertAlign w:val="baseline"/>
                <w:lang w:val="en-US" w:eastAsia="zh-CN"/>
              </w:rPr>
            </w:pPr>
            <w:r>
              <w:rPr>
                <w:rFonts w:hint="eastAsia" w:asciiTheme="minorEastAsia" w:hAnsiTheme="minorEastAsia" w:eastAsiaTheme="minorEastAsia" w:cstheme="minorEastAsia"/>
                <w:b/>
                <w:bCs/>
                <w:sz w:val="24"/>
                <w:szCs w:val="24"/>
                <w:highlight w:val="none"/>
                <w:vertAlign w:val="baseline"/>
                <w:lang w:val="en-US" w:eastAsia="zh-CN"/>
              </w:rPr>
              <w:t>服务简介</w:t>
            </w:r>
          </w:p>
        </w:tc>
      </w:tr>
      <w:tr w14:paraId="6C51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1" w:type="pct"/>
            <w:vMerge w:val="restart"/>
            <w:vAlign w:val="center"/>
          </w:tcPr>
          <w:p w14:paraId="3D582AED">
            <w:pPr>
              <w:keepNext w:val="0"/>
              <w:keepLines w:val="0"/>
              <w:pageBreakBefore w:val="0"/>
              <w:widowControl w:val="0"/>
              <w:wordWrap/>
              <w:overflowPunct/>
              <w:topLinePunct w:val="0"/>
              <w:bidi w:val="0"/>
              <w:spacing w:line="360" w:lineRule="auto"/>
              <w:jc w:val="center"/>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基础软件运维服务</w:t>
            </w:r>
          </w:p>
        </w:tc>
        <w:tc>
          <w:tcPr>
            <w:tcW w:w="1334" w:type="pct"/>
            <w:vAlign w:val="center"/>
          </w:tcPr>
          <w:p w14:paraId="2E11F877">
            <w:pPr>
              <w:keepNext w:val="0"/>
              <w:keepLines w:val="0"/>
              <w:pageBreakBefore w:val="0"/>
              <w:widowControl w:val="0"/>
              <w:wordWrap/>
              <w:overflowPunct/>
              <w:topLinePunct w:val="0"/>
              <w:bidi w:val="0"/>
              <w:spacing w:line="360" w:lineRule="auto"/>
              <w:jc w:val="center"/>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操作系统巡检服务</w:t>
            </w:r>
          </w:p>
        </w:tc>
        <w:tc>
          <w:tcPr>
            <w:tcW w:w="3034" w:type="pct"/>
            <w:vAlign w:val="center"/>
          </w:tcPr>
          <w:p w14:paraId="32E4E613">
            <w:pPr>
              <w:keepNext w:val="0"/>
              <w:keepLines w:val="0"/>
              <w:pageBreakBefore w:val="0"/>
              <w:widowControl w:val="0"/>
              <w:wordWrap/>
              <w:overflowPunct/>
              <w:topLinePunct w:val="0"/>
              <w:bidi w:val="0"/>
              <w:spacing w:line="360" w:lineRule="auto"/>
              <w:jc w:val="both"/>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定期对软件运行状态进行检查和分析，完成巡检报告。</w:t>
            </w:r>
          </w:p>
        </w:tc>
      </w:tr>
      <w:tr w14:paraId="31516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1" w:type="pct"/>
            <w:vMerge w:val="continue"/>
            <w:vAlign w:val="center"/>
          </w:tcPr>
          <w:p w14:paraId="70CFE10F">
            <w:pPr>
              <w:keepNext w:val="0"/>
              <w:keepLines w:val="0"/>
              <w:pageBreakBefore w:val="0"/>
              <w:widowControl w:val="0"/>
              <w:wordWrap/>
              <w:overflowPunct/>
              <w:topLinePunct w:val="0"/>
              <w:bidi w:val="0"/>
              <w:spacing w:line="360" w:lineRule="auto"/>
              <w:jc w:val="center"/>
              <w:outlineLvl w:val="9"/>
              <w:rPr>
                <w:rFonts w:hint="eastAsia" w:asciiTheme="minorEastAsia" w:hAnsiTheme="minorEastAsia" w:eastAsiaTheme="minorEastAsia" w:cstheme="minorEastAsia"/>
                <w:sz w:val="24"/>
                <w:szCs w:val="24"/>
                <w:highlight w:val="none"/>
                <w:vertAlign w:val="baseline"/>
                <w:lang w:val="en-US" w:eastAsia="zh-CN"/>
              </w:rPr>
            </w:pPr>
          </w:p>
        </w:tc>
        <w:tc>
          <w:tcPr>
            <w:tcW w:w="1334" w:type="pct"/>
            <w:vAlign w:val="center"/>
          </w:tcPr>
          <w:p w14:paraId="293BAA12">
            <w:pPr>
              <w:keepNext w:val="0"/>
              <w:keepLines w:val="0"/>
              <w:pageBreakBefore w:val="0"/>
              <w:widowControl w:val="0"/>
              <w:wordWrap/>
              <w:overflowPunct/>
              <w:topLinePunct w:val="0"/>
              <w:bidi w:val="0"/>
              <w:spacing w:line="360" w:lineRule="auto"/>
              <w:jc w:val="center"/>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操作系统故障处理服务</w:t>
            </w:r>
          </w:p>
        </w:tc>
        <w:tc>
          <w:tcPr>
            <w:tcW w:w="3034" w:type="pct"/>
            <w:vAlign w:val="center"/>
          </w:tcPr>
          <w:p w14:paraId="310728BB">
            <w:pPr>
              <w:keepNext w:val="0"/>
              <w:keepLines w:val="0"/>
              <w:pageBreakBefore w:val="0"/>
              <w:widowControl w:val="0"/>
              <w:wordWrap/>
              <w:overflowPunct/>
              <w:topLinePunct w:val="0"/>
              <w:bidi w:val="0"/>
              <w:spacing w:line="360" w:lineRule="auto"/>
              <w:jc w:val="both"/>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 xml:space="preserve">对客户申报的故障提供技术支持，修复故障，提供故障 </w:t>
            </w:r>
          </w:p>
          <w:p w14:paraId="29E01C42">
            <w:pPr>
              <w:keepNext w:val="0"/>
              <w:keepLines w:val="0"/>
              <w:pageBreakBefore w:val="0"/>
              <w:widowControl w:val="0"/>
              <w:wordWrap/>
              <w:overflowPunct/>
              <w:topLinePunct w:val="0"/>
              <w:bidi w:val="0"/>
              <w:spacing w:line="360" w:lineRule="auto"/>
              <w:jc w:val="both"/>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处理报告。</w:t>
            </w:r>
          </w:p>
        </w:tc>
      </w:tr>
      <w:tr w14:paraId="768E7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1" w:type="pct"/>
            <w:vMerge w:val="continue"/>
            <w:vAlign w:val="center"/>
          </w:tcPr>
          <w:p w14:paraId="20CDC6FB">
            <w:pPr>
              <w:keepNext w:val="0"/>
              <w:keepLines w:val="0"/>
              <w:pageBreakBefore w:val="0"/>
              <w:widowControl w:val="0"/>
              <w:wordWrap/>
              <w:overflowPunct/>
              <w:topLinePunct w:val="0"/>
              <w:bidi w:val="0"/>
              <w:spacing w:line="360" w:lineRule="auto"/>
              <w:jc w:val="center"/>
              <w:outlineLvl w:val="9"/>
              <w:rPr>
                <w:rFonts w:hint="eastAsia" w:asciiTheme="minorEastAsia" w:hAnsiTheme="minorEastAsia" w:eastAsiaTheme="minorEastAsia" w:cstheme="minorEastAsia"/>
                <w:sz w:val="24"/>
                <w:szCs w:val="24"/>
                <w:highlight w:val="none"/>
                <w:vertAlign w:val="baseline"/>
                <w:lang w:val="en-US" w:eastAsia="zh-CN"/>
              </w:rPr>
            </w:pPr>
          </w:p>
        </w:tc>
        <w:tc>
          <w:tcPr>
            <w:tcW w:w="1334" w:type="pct"/>
            <w:vAlign w:val="center"/>
          </w:tcPr>
          <w:p w14:paraId="751D3461">
            <w:pPr>
              <w:keepNext w:val="0"/>
              <w:keepLines w:val="0"/>
              <w:pageBreakBefore w:val="0"/>
              <w:widowControl w:val="0"/>
              <w:wordWrap/>
              <w:overflowPunct/>
              <w:topLinePunct w:val="0"/>
              <w:bidi w:val="0"/>
              <w:spacing w:line="360" w:lineRule="auto"/>
              <w:jc w:val="center"/>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操作系统优化服务</w:t>
            </w:r>
          </w:p>
        </w:tc>
        <w:tc>
          <w:tcPr>
            <w:tcW w:w="3034" w:type="pct"/>
            <w:vAlign w:val="center"/>
          </w:tcPr>
          <w:p w14:paraId="6EB6F2E7">
            <w:pPr>
              <w:keepNext w:val="0"/>
              <w:keepLines w:val="0"/>
              <w:pageBreakBefore w:val="0"/>
              <w:widowControl w:val="0"/>
              <w:wordWrap/>
              <w:overflowPunct/>
              <w:topLinePunct w:val="0"/>
              <w:bidi w:val="0"/>
              <w:spacing w:line="360" w:lineRule="auto"/>
              <w:jc w:val="both"/>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针对客户当前基础软件运行情况，给出优化建议并实施，提升性能</w:t>
            </w:r>
          </w:p>
        </w:tc>
      </w:tr>
      <w:tr w14:paraId="4553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1" w:type="pct"/>
            <w:vMerge w:val="continue"/>
            <w:vAlign w:val="center"/>
          </w:tcPr>
          <w:p w14:paraId="15357808">
            <w:pPr>
              <w:keepNext w:val="0"/>
              <w:keepLines w:val="0"/>
              <w:pageBreakBefore w:val="0"/>
              <w:widowControl w:val="0"/>
              <w:wordWrap/>
              <w:overflowPunct/>
              <w:topLinePunct w:val="0"/>
              <w:bidi w:val="0"/>
              <w:spacing w:line="360" w:lineRule="auto"/>
              <w:jc w:val="center"/>
              <w:outlineLvl w:val="9"/>
              <w:rPr>
                <w:rFonts w:hint="eastAsia" w:asciiTheme="minorEastAsia" w:hAnsiTheme="minorEastAsia" w:eastAsiaTheme="minorEastAsia" w:cstheme="minorEastAsia"/>
                <w:sz w:val="24"/>
                <w:szCs w:val="24"/>
                <w:highlight w:val="none"/>
                <w:vertAlign w:val="baseline"/>
                <w:lang w:val="en-US" w:eastAsia="zh-CN"/>
              </w:rPr>
            </w:pPr>
          </w:p>
        </w:tc>
        <w:tc>
          <w:tcPr>
            <w:tcW w:w="1334" w:type="pct"/>
            <w:vAlign w:val="center"/>
          </w:tcPr>
          <w:p w14:paraId="5817342B">
            <w:pPr>
              <w:keepNext w:val="0"/>
              <w:keepLines w:val="0"/>
              <w:pageBreakBefore w:val="0"/>
              <w:widowControl w:val="0"/>
              <w:wordWrap/>
              <w:overflowPunct/>
              <w:topLinePunct w:val="0"/>
              <w:bidi w:val="0"/>
              <w:spacing w:line="360" w:lineRule="auto"/>
              <w:jc w:val="center"/>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数据库巡检服务</w:t>
            </w:r>
          </w:p>
        </w:tc>
        <w:tc>
          <w:tcPr>
            <w:tcW w:w="3034" w:type="pct"/>
            <w:vAlign w:val="center"/>
          </w:tcPr>
          <w:p w14:paraId="64843157">
            <w:pPr>
              <w:keepNext w:val="0"/>
              <w:keepLines w:val="0"/>
              <w:pageBreakBefore w:val="0"/>
              <w:widowControl w:val="0"/>
              <w:wordWrap/>
              <w:overflowPunct/>
              <w:topLinePunct w:val="0"/>
              <w:bidi w:val="0"/>
              <w:spacing w:line="360" w:lineRule="auto"/>
              <w:jc w:val="both"/>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定期对数据库运行状态进行检查和分析，完成巡检报告。</w:t>
            </w:r>
          </w:p>
        </w:tc>
      </w:tr>
      <w:tr w14:paraId="0C47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1" w:type="pct"/>
            <w:vMerge w:val="continue"/>
            <w:vAlign w:val="center"/>
          </w:tcPr>
          <w:p w14:paraId="0BC540BC">
            <w:pPr>
              <w:keepNext w:val="0"/>
              <w:keepLines w:val="0"/>
              <w:pageBreakBefore w:val="0"/>
              <w:widowControl w:val="0"/>
              <w:wordWrap/>
              <w:overflowPunct/>
              <w:topLinePunct w:val="0"/>
              <w:bidi w:val="0"/>
              <w:spacing w:line="360" w:lineRule="auto"/>
              <w:jc w:val="center"/>
              <w:outlineLvl w:val="9"/>
              <w:rPr>
                <w:rFonts w:hint="eastAsia" w:asciiTheme="minorEastAsia" w:hAnsiTheme="minorEastAsia" w:eastAsiaTheme="minorEastAsia" w:cstheme="minorEastAsia"/>
                <w:sz w:val="24"/>
                <w:szCs w:val="24"/>
                <w:highlight w:val="none"/>
                <w:vertAlign w:val="baseline"/>
                <w:lang w:val="en-US" w:eastAsia="zh-CN"/>
              </w:rPr>
            </w:pPr>
          </w:p>
        </w:tc>
        <w:tc>
          <w:tcPr>
            <w:tcW w:w="1334" w:type="pct"/>
            <w:vAlign w:val="center"/>
          </w:tcPr>
          <w:p w14:paraId="4C187E3C">
            <w:pPr>
              <w:keepNext w:val="0"/>
              <w:keepLines w:val="0"/>
              <w:pageBreakBefore w:val="0"/>
              <w:widowControl w:val="0"/>
              <w:wordWrap/>
              <w:overflowPunct/>
              <w:topLinePunct w:val="0"/>
              <w:bidi w:val="0"/>
              <w:spacing w:line="360" w:lineRule="auto"/>
              <w:jc w:val="center"/>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数据库现场排障服务</w:t>
            </w:r>
          </w:p>
        </w:tc>
        <w:tc>
          <w:tcPr>
            <w:tcW w:w="3034" w:type="pct"/>
            <w:vAlign w:val="center"/>
          </w:tcPr>
          <w:p w14:paraId="4EEE7758">
            <w:pPr>
              <w:keepNext w:val="0"/>
              <w:keepLines w:val="0"/>
              <w:pageBreakBefore w:val="0"/>
              <w:widowControl w:val="0"/>
              <w:wordWrap/>
              <w:overflowPunct/>
              <w:topLinePunct w:val="0"/>
              <w:bidi w:val="0"/>
              <w:spacing w:line="360" w:lineRule="auto"/>
              <w:jc w:val="both"/>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 xml:space="preserve">对客户申报的故障提供技术支持，修复故障，提供故障 </w:t>
            </w:r>
          </w:p>
          <w:p w14:paraId="45427439">
            <w:pPr>
              <w:keepNext w:val="0"/>
              <w:keepLines w:val="0"/>
              <w:pageBreakBefore w:val="0"/>
              <w:widowControl w:val="0"/>
              <w:wordWrap/>
              <w:overflowPunct/>
              <w:topLinePunct w:val="0"/>
              <w:bidi w:val="0"/>
              <w:spacing w:line="360" w:lineRule="auto"/>
              <w:jc w:val="both"/>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处理报告。</w:t>
            </w:r>
          </w:p>
        </w:tc>
      </w:tr>
      <w:tr w14:paraId="4AF15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1" w:type="pct"/>
            <w:vMerge w:val="continue"/>
            <w:vAlign w:val="center"/>
          </w:tcPr>
          <w:p w14:paraId="4D431F1C">
            <w:pPr>
              <w:keepNext w:val="0"/>
              <w:keepLines w:val="0"/>
              <w:pageBreakBefore w:val="0"/>
              <w:widowControl w:val="0"/>
              <w:wordWrap/>
              <w:overflowPunct/>
              <w:topLinePunct w:val="0"/>
              <w:bidi w:val="0"/>
              <w:spacing w:line="360" w:lineRule="auto"/>
              <w:jc w:val="center"/>
              <w:outlineLvl w:val="9"/>
              <w:rPr>
                <w:rFonts w:hint="eastAsia" w:asciiTheme="minorEastAsia" w:hAnsiTheme="minorEastAsia" w:eastAsiaTheme="minorEastAsia" w:cstheme="minorEastAsia"/>
                <w:sz w:val="24"/>
                <w:szCs w:val="24"/>
                <w:highlight w:val="none"/>
                <w:vertAlign w:val="baseline"/>
                <w:lang w:val="en-US" w:eastAsia="zh-CN"/>
              </w:rPr>
            </w:pPr>
          </w:p>
        </w:tc>
        <w:tc>
          <w:tcPr>
            <w:tcW w:w="1334" w:type="pct"/>
            <w:vAlign w:val="center"/>
          </w:tcPr>
          <w:p w14:paraId="6DE961E7">
            <w:pPr>
              <w:keepNext w:val="0"/>
              <w:keepLines w:val="0"/>
              <w:pageBreakBefore w:val="0"/>
              <w:widowControl w:val="0"/>
              <w:wordWrap/>
              <w:overflowPunct/>
              <w:topLinePunct w:val="0"/>
              <w:bidi w:val="0"/>
              <w:spacing w:line="360" w:lineRule="auto"/>
              <w:jc w:val="center"/>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数据库优化服务</w:t>
            </w:r>
          </w:p>
        </w:tc>
        <w:tc>
          <w:tcPr>
            <w:tcW w:w="3034" w:type="pct"/>
            <w:vAlign w:val="center"/>
          </w:tcPr>
          <w:p w14:paraId="6ED0BE36">
            <w:pPr>
              <w:keepNext w:val="0"/>
              <w:keepLines w:val="0"/>
              <w:pageBreakBefore w:val="0"/>
              <w:widowControl w:val="0"/>
              <w:wordWrap/>
              <w:overflowPunct/>
              <w:topLinePunct w:val="0"/>
              <w:bidi w:val="0"/>
              <w:spacing w:line="360" w:lineRule="auto"/>
              <w:jc w:val="both"/>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 xml:space="preserve">针对客户当前数据库运行情况，给出优化建议并实施， </w:t>
            </w:r>
          </w:p>
          <w:p w14:paraId="733AF076">
            <w:pPr>
              <w:keepNext w:val="0"/>
              <w:keepLines w:val="0"/>
              <w:pageBreakBefore w:val="0"/>
              <w:widowControl w:val="0"/>
              <w:wordWrap/>
              <w:overflowPunct/>
              <w:topLinePunct w:val="0"/>
              <w:bidi w:val="0"/>
              <w:spacing w:line="360" w:lineRule="auto"/>
              <w:jc w:val="both"/>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提升性能。</w:t>
            </w:r>
          </w:p>
        </w:tc>
      </w:tr>
      <w:tr w14:paraId="23F96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1" w:type="pct"/>
            <w:vMerge w:val="continue"/>
            <w:vAlign w:val="center"/>
          </w:tcPr>
          <w:p w14:paraId="353688C2">
            <w:pPr>
              <w:keepNext w:val="0"/>
              <w:keepLines w:val="0"/>
              <w:pageBreakBefore w:val="0"/>
              <w:widowControl w:val="0"/>
              <w:wordWrap/>
              <w:overflowPunct/>
              <w:topLinePunct w:val="0"/>
              <w:bidi w:val="0"/>
              <w:spacing w:line="360" w:lineRule="auto"/>
              <w:jc w:val="center"/>
              <w:outlineLvl w:val="9"/>
              <w:rPr>
                <w:rFonts w:hint="eastAsia" w:asciiTheme="minorEastAsia" w:hAnsiTheme="minorEastAsia" w:eastAsiaTheme="minorEastAsia" w:cstheme="minorEastAsia"/>
                <w:sz w:val="24"/>
                <w:szCs w:val="24"/>
                <w:highlight w:val="none"/>
                <w:vertAlign w:val="baseline"/>
                <w:lang w:val="en-US" w:eastAsia="zh-CN"/>
              </w:rPr>
            </w:pPr>
          </w:p>
        </w:tc>
        <w:tc>
          <w:tcPr>
            <w:tcW w:w="1334" w:type="pct"/>
            <w:vAlign w:val="center"/>
          </w:tcPr>
          <w:p w14:paraId="18D4B256">
            <w:pPr>
              <w:keepNext w:val="0"/>
              <w:keepLines w:val="0"/>
              <w:pageBreakBefore w:val="0"/>
              <w:widowControl w:val="0"/>
              <w:wordWrap/>
              <w:overflowPunct/>
              <w:topLinePunct w:val="0"/>
              <w:bidi w:val="0"/>
              <w:spacing w:line="360" w:lineRule="auto"/>
              <w:jc w:val="center"/>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中间件巡检服务</w:t>
            </w:r>
          </w:p>
        </w:tc>
        <w:tc>
          <w:tcPr>
            <w:tcW w:w="3034" w:type="pct"/>
            <w:vAlign w:val="center"/>
          </w:tcPr>
          <w:p w14:paraId="192BFDCF">
            <w:pPr>
              <w:keepNext w:val="0"/>
              <w:keepLines w:val="0"/>
              <w:pageBreakBefore w:val="0"/>
              <w:widowControl w:val="0"/>
              <w:wordWrap/>
              <w:overflowPunct/>
              <w:topLinePunct w:val="0"/>
              <w:bidi w:val="0"/>
              <w:spacing w:line="360" w:lineRule="auto"/>
              <w:jc w:val="both"/>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定期对中间件运行状态进行检查和分析，完成巡检报告。</w:t>
            </w:r>
          </w:p>
        </w:tc>
      </w:tr>
      <w:tr w14:paraId="74266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1" w:type="pct"/>
            <w:vMerge w:val="continue"/>
            <w:vAlign w:val="center"/>
          </w:tcPr>
          <w:p w14:paraId="3D1747D4">
            <w:pPr>
              <w:keepNext w:val="0"/>
              <w:keepLines w:val="0"/>
              <w:pageBreakBefore w:val="0"/>
              <w:widowControl w:val="0"/>
              <w:wordWrap/>
              <w:overflowPunct/>
              <w:topLinePunct w:val="0"/>
              <w:bidi w:val="0"/>
              <w:spacing w:line="360" w:lineRule="auto"/>
              <w:jc w:val="center"/>
              <w:outlineLvl w:val="9"/>
              <w:rPr>
                <w:rFonts w:hint="eastAsia" w:asciiTheme="minorEastAsia" w:hAnsiTheme="minorEastAsia" w:eastAsiaTheme="minorEastAsia" w:cstheme="minorEastAsia"/>
                <w:sz w:val="24"/>
                <w:szCs w:val="24"/>
                <w:highlight w:val="none"/>
                <w:vertAlign w:val="baseline"/>
                <w:lang w:val="en-US" w:eastAsia="zh-CN"/>
              </w:rPr>
            </w:pPr>
          </w:p>
        </w:tc>
        <w:tc>
          <w:tcPr>
            <w:tcW w:w="1334" w:type="pct"/>
            <w:vAlign w:val="center"/>
          </w:tcPr>
          <w:p w14:paraId="2F53494F">
            <w:pPr>
              <w:keepNext w:val="0"/>
              <w:keepLines w:val="0"/>
              <w:pageBreakBefore w:val="0"/>
              <w:widowControl w:val="0"/>
              <w:wordWrap/>
              <w:overflowPunct/>
              <w:topLinePunct w:val="0"/>
              <w:bidi w:val="0"/>
              <w:spacing w:line="360" w:lineRule="auto"/>
              <w:jc w:val="center"/>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中间件故障处理服务</w:t>
            </w:r>
          </w:p>
        </w:tc>
        <w:tc>
          <w:tcPr>
            <w:tcW w:w="3034" w:type="pct"/>
            <w:vAlign w:val="center"/>
          </w:tcPr>
          <w:p w14:paraId="5066141F">
            <w:pPr>
              <w:keepNext w:val="0"/>
              <w:keepLines w:val="0"/>
              <w:pageBreakBefore w:val="0"/>
              <w:widowControl w:val="0"/>
              <w:wordWrap/>
              <w:overflowPunct/>
              <w:topLinePunct w:val="0"/>
              <w:bidi w:val="0"/>
              <w:spacing w:line="360" w:lineRule="auto"/>
              <w:jc w:val="both"/>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对客户申报的故障提供技术支持，修复故障，提供故障处理报告。</w:t>
            </w:r>
          </w:p>
        </w:tc>
      </w:tr>
      <w:tr w14:paraId="1425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1" w:type="pct"/>
            <w:vMerge w:val="restart"/>
            <w:vAlign w:val="center"/>
          </w:tcPr>
          <w:p w14:paraId="30F88707">
            <w:pPr>
              <w:keepNext w:val="0"/>
              <w:keepLines w:val="0"/>
              <w:pageBreakBefore w:val="0"/>
              <w:widowControl w:val="0"/>
              <w:wordWrap/>
              <w:overflowPunct/>
              <w:topLinePunct w:val="0"/>
              <w:bidi w:val="0"/>
              <w:spacing w:line="360" w:lineRule="auto"/>
              <w:jc w:val="center"/>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应用软件运维服务</w:t>
            </w:r>
          </w:p>
        </w:tc>
        <w:tc>
          <w:tcPr>
            <w:tcW w:w="2656" w:type="dxa"/>
            <w:vAlign w:val="center"/>
          </w:tcPr>
          <w:p w14:paraId="1BBA08E2">
            <w:pPr>
              <w:keepNext w:val="0"/>
              <w:keepLines w:val="0"/>
              <w:pageBreakBefore w:val="0"/>
              <w:widowControl w:val="0"/>
              <w:wordWrap/>
              <w:overflowPunct/>
              <w:topLinePunct w:val="0"/>
              <w:bidi w:val="0"/>
              <w:spacing w:line="360" w:lineRule="auto"/>
              <w:jc w:val="center"/>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应用软件系统例行维护</w:t>
            </w:r>
          </w:p>
        </w:tc>
        <w:tc>
          <w:tcPr>
            <w:tcW w:w="6040" w:type="dxa"/>
            <w:vAlign w:val="center"/>
          </w:tcPr>
          <w:p w14:paraId="66B2CC83">
            <w:pPr>
              <w:keepNext w:val="0"/>
              <w:keepLines w:val="0"/>
              <w:pageBreakBefore w:val="0"/>
              <w:widowControl w:val="0"/>
              <w:wordWrap/>
              <w:overflowPunct/>
              <w:topLinePunct w:val="0"/>
              <w:bidi w:val="0"/>
              <w:spacing w:line="360" w:lineRule="auto"/>
              <w:jc w:val="both"/>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 xml:space="preserve">使用监控工具监控应用的可用性及性能情况，监控服务 </w:t>
            </w:r>
          </w:p>
          <w:p w14:paraId="2EB4B004">
            <w:pPr>
              <w:keepNext w:val="0"/>
              <w:keepLines w:val="0"/>
              <w:pageBreakBefore w:val="0"/>
              <w:widowControl w:val="0"/>
              <w:wordWrap/>
              <w:overflowPunct/>
              <w:topLinePunct w:val="0"/>
              <w:bidi w:val="0"/>
              <w:spacing w:line="360" w:lineRule="auto"/>
              <w:jc w:val="both"/>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器的资源消耗情况及日志告警信息；定期进行漏洞扫描、补丁检查、病毒查杀、安全审计、数据一致性稽核等预防性检查；定期进行版本升级、日志清理、系统备份等常规例行作业。</w:t>
            </w:r>
          </w:p>
        </w:tc>
      </w:tr>
      <w:tr w14:paraId="08CB5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1" w:type="pct"/>
            <w:vMerge w:val="continue"/>
            <w:vAlign w:val="center"/>
          </w:tcPr>
          <w:p w14:paraId="17CC5C76">
            <w:pPr>
              <w:keepNext w:val="0"/>
              <w:keepLines w:val="0"/>
              <w:pageBreakBefore w:val="0"/>
              <w:widowControl w:val="0"/>
              <w:wordWrap/>
              <w:overflowPunct/>
              <w:topLinePunct w:val="0"/>
              <w:bidi w:val="0"/>
              <w:spacing w:line="360" w:lineRule="auto"/>
              <w:jc w:val="center"/>
              <w:outlineLvl w:val="9"/>
              <w:rPr>
                <w:rFonts w:hint="eastAsia" w:asciiTheme="minorEastAsia" w:hAnsiTheme="minorEastAsia" w:eastAsiaTheme="minorEastAsia" w:cstheme="minorEastAsia"/>
                <w:sz w:val="24"/>
                <w:szCs w:val="24"/>
                <w:highlight w:val="none"/>
                <w:vertAlign w:val="baseline"/>
                <w:lang w:val="en-US" w:eastAsia="zh-CN"/>
              </w:rPr>
            </w:pPr>
          </w:p>
        </w:tc>
        <w:tc>
          <w:tcPr>
            <w:tcW w:w="2656" w:type="dxa"/>
            <w:vAlign w:val="center"/>
          </w:tcPr>
          <w:p w14:paraId="053B1608">
            <w:pPr>
              <w:keepNext w:val="0"/>
              <w:keepLines w:val="0"/>
              <w:pageBreakBefore w:val="0"/>
              <w:widowControl w:val="0"/>
              <w:wordWrap/>
              <w:overflowPunct/>
              <w:topLinePunct w:val="0"/>
              <w:bidi w:val="0"/>
              <w:spacing w:line="360" w:lineRule="auto"/>
              <w:jc w:val="center"/>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应用软件系统巡检服务</w:t>
            </w:r>
          </w:p>
        </w:tc>
        <w:tc>
          <w:tcPr>
            <w:tcW w:w="6040" w:type="dxa"/>
            <w:vAlign w:val="center"/>
          </w:tcPr>
          <w:p w14:paraId="01CAA708">
            <w:pPr>
              <w:keepNext w:val="0"/>
              <w:keepLines w:val="0"/>
              <w:pageBreakBefore w:val="0"/>
              <w:widowControl w:val="0"/>
              <w:wordWrap/>
              <w:overflowPunct/>
              <w:topLinePunct w:val="0"/>
              <w:bidi w:val="0"/>
              <w:spacing w:line="360" w:lineRule="auto"/>
              <w:jc w:val="both"/>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定期对软件运行状态进行检查和分析，完成巡检报告。</w:t>
            </w:r>
          </w:p>
        </w:tc>
      </w:tr>
      <w:tr w14:paraId="01CC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1" w:type="pct"/>
            <w:vMerge w:val="continue"/>
            <w:vAlign w:val="center"/>
          </w:tcPr>
          <w:p w14:paraId="0F967573">
            <w:pPr>
              <w:keepNext w:val="0"/>
              <w:keepLines w:val="0"/>
              <w:pageBreakBefore w:val="0"/>
              <w:widowControl w:val="0"/>
              <w:wordWrap/>
              <w:overflowPunct/>
              <w:topLinePunct w:val="0"/>
              <w:bidi w:val="0"/>
              <w:spacing w:line="360" w:lineRule="auto"/>
              <w:jc w:val="center"/>
              <w:outlineLvl w:val="9"/>
              <w:rPr>
                <w:rFonts w:hint="eastAsia" w:asciiTheme="minorEastAsia" w:hAnsiTheme="minorEastAsia" w:eastAsiaTheme="minorEastAsia" w:cstheme="minorEastAsia"/>
                <w:sz w:val="24"/>
                <w:szCs w:val="24"/>
                <w:highlight w:val="none"/>
                <w:vertAlign w:val="baseline"/>
                <w:lang w:val="en-US" w:eastAsia="zh-CN"/>
              </w:rPr>
            </w:pPr>
          </w:p>
        </w:tc>
        <w:tc>
          <w:tcPr>
            <w:tcW w:w="2656" w:type="dxa"/>
            <w:vAlign w:val="center"/>
          </w:tcPr>
          <w:p w14:paraId="37C65ACE">
            <w:pPr>
              <w:keepNext w:val="0"/>
              <w:keepLines w:val="0"/>
              <w:pageBreakBefore w:val="0"/>
              <w:widowControl w:val="0"/>
              <w:wordWrap/>
              <w:overflowPunct/>
              <w:topLinePunct w:val="0"/>
              <w:bidi w:val="0"/>
              <w:spacing w:line="360" w:lineRule="auto"/>
              <w:jc w:val="center"/>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应用软件系统故障处理服务</w:t>
            </w:r>
          </w:p>
        </w:tc>
        <w:tc>
          <w:tcPr>
            <w:tcW w:w="6040" w:type="dxa"/>
            <w:vAlign w:val="center"/>
          </w:tcPr>
          <w:p w14:paraId="46052FB1">
            <w:pPr>
              <w:keepNext w:val="0"/>
              <w:keepLines w:val="0"/>
              <w:pageBreakBefore w:val="0"/>
              <w:widowControl w:val="0"/>
              <w:wordWrap/>
              <w:overflowPunct/>
              <w:topLinePunct w:val="0"/>
              <w:bidi w:val="0"/>
              <w:spacing w:line="360" w:lineRule="auto"/>
              <w:jc w:val="both"/>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 xml:space="preserve">对客户申报的故障提供赴现场或远程技术支持，修复故 </w:t>
            </w:r>
          </w:p>
          <w:p w14:paraId="0EC400F4">
            <w:pPr>
              <w:keepNext w:val="0"/>
              <w:keepLines w:val="0"/>
              <w:pageBreakBefore w:val="0"/>
              <w:widowControl w:val="0"/>
              <w:wordWrap/>
              <w:overflowPunct/>
              <w:topLinePunct w:val="0"/>
              <w:bidi w:val="0"/>
              <w:spacing w:line="360" w:lineRule="auto"/>
              <w:jc w:val="both"/>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障，提供故障处理报告。</w:t>
            </w:r>
          </w:p>
        </w:tc>
      </w:tr>
      <w:tr w14:paraId="0354C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1" w:type="pct"/>
            <w:vMerge w:val="continue"/>
            <w:vAlign w:val="center"/>
          </w:tcPr>
          <w:p w14:paraId="05BF9BA1">
            <w:pPr>
              <w:keepNext w:val="0"/>
              <w:keepLines w:val="0"/>
              <w:pageBreakBefore w:val="0"/>
              <w:widowControl w:val="0"/>
              <w:wordWrap/>
              <w:overflowPunct/>
              <w:topLinePunct w:val="0"/>
              <w:bidi w:val="0"/>
              <w:spacing w:line="360" w:lineRule="auto"/>
              <w:jc w:val="center"/>
              <w:outlineLvl w:val="9"/>
              <w:rPr>
                <w:rFonts w:hint="eastAsia" w:asciiTheme="minorEastAsia" w:hAnsiTheme="minorEastAsia" w:eastAsiaTheme="minorEastAsia" w:cstheme="minorEastAsia"/>
                <w:sz w:val="24"/>
                <w:szCs w:val="24"/>
                <w:highlight w:val="none"/>
                <w:vertAlign w:val="baseline"/>
                <w:lang w:val="en-US" w:eastAsia="zh-CN"/>
              </w:rPr>
            </w:pPr>
          </w:p>
        </w:tc>
        <w:tc>
          <w:tcPr>
            <w:tcW w:w="2656" w:type="dxa"/>
            <w:vAlign w:val="center"/>
          </w:tcPr>
          <w:p w14:paraId="513F6FF1">
            <w:pPr>
              <w:keepNext w:val="0"/>
              <w:keepLines w:val="0"/>
              <w:pageBreakBefore w:val="0"/>
              <w:widowControl w:val="0"/>
              <w:wordWrap/>
              <w:overflowPunct/>
              <w:topLinePunct w:val="0"/>
              <w:bidi w:val="0"/>
              <w:spacing w:line="360" w:lineRule="auto"/>
              <w:jc w:val="center"/>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应用软件系统技术培训服务</w:t>
            </w:r>
          </w:p>
        </w:tc>
        <w:tc>
          <w:tcPr>
            <w:tcW w:w="6040" w:type="dxa"/>
            <w:vAlign w:val="center"/>
          </w:tcPr>
          <w:p w14:paraId="58935D2E">
            <w:pPr>
              <w:keepNext w:val="0"/>
              <w:keepLines w:val="0"/>
              <w:pageBreakBefore w:val="0"/>
              <w:widowControl w:val="0"/>
              <w:wordWrap/>
              <w:overflowPunct/>
              <w:topLinePunct w:val="0"/>
              <w:bidi w:val="0"/>
              <w:spacing w:line="360" w:lineRule="auto"/>
              <w:jc w:val="both"/>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根据客户需求提供专业技术培训。</w:t>
            </w:r>
          </w:p>
        </w:tc>
      </w:tr>
      <w:tr w14:paraId="5FFF3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1" w:type="pct"/>
            <w:vMerge w:val="continue"/>
            <w:vAlign w:val="center"/>
          </w:tcPr>
          <w:p w14:paraId="490195E5">
            <w:pPr>
              <w:keepNext w:val="0"/>
              <w:keepLines w:val="0"/>
              <w:pageBreakBefore w:val="0"/>
              <w:widowControl w:val="0"/>
              <w:wordWrap/>
              <w:overflowPunct/>
              <w:topLinePunct w:val="0"/>
              <w:bidi w:val="0"/>
              <w:spacing w:line="360" w:lineRule="auto"/>
              <w:jc w:val="center"/>
              <w:outlineLvl w:val="9"/>
              <w:rPr>
                <w:rFonts w:hint="eastAsia" w:asciiTheme="minorEastAsia" w:hAnsiTheme="minorEastAsia" w:eastAsiaTheme="minorEastAsia" w:cstheme="minorEastAsia"/>
                <w:sz w:val="24"/>
                <w:szCs w:val="24"/>
                <w:highlight w:val="none"/>
                <w:vertAlign w:val="baseline"/>
                <w:lang w:val="en-US" w:eastAsia="zh-CN"/>
              </w:rPr>
            </w:pPr>
          </w:p>
        </w:tc>
        <w:tc>
          <w:tcPr>
            <w:tcW w:w="2656" w:type="dxa"/>
            <w:vAlign w:val="center"/>
          </w:tcPr>
          <w:p w14:paraId="2D5E2195">
            <w:pPr>
              <w:keepNext w:val="0"/>
              <w:keepLines w:val="0"/>
              <w:pageBreakBefore w:val="0"/>
              <w:widowControl w:val="0"/>
              <w:wordWrap/>
              <w:overflowPunct/>
              <w:topLinePunct w:val="0"/>
              <w:bidi w:val="0"/>
              <w:spacing w:line="360" w:lineRule="auto"/>
              <w:jc w:val="center"/>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应用软件系统定制开发</w:t>
            </w:r>
          </w:p>
        </w:tc>
        <w:tc>
          <w:tcPr>
            <w:tcW w:w="6040" w:type="dxa"/>
            <w:vAlign w:val="center"/>
          </w:tcPr>
          <w:p w14:paraId="454AE79F">
            <w:pPr>
              <w:keepNext w:val="0"/>
              <w:keepLines w:val="0"/>
              <w:pageBreakBefore w:val="0"/>
              <w:widowControl w:val="0"/>
              <w:wordWrap/>
              <w:overflowPunct/>
              <w:topLinePunct w:val="0"/>
              <w:bidi w:val="0"/>
              <w:spacing w:line="360" w:lineRule="auto"/>
              <w:jc w:val="both"/>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 xml:space="preserve">在客户系统运维过程中，对用户提出的新增需求提供需 </w:t>
            </w:r>
          </w:p>
          <w:p w14:paraId="4DABF664">
            <w:pPr>
              <w:keepNext w:val="0"/>
              <w:keepLines w:val="0"/>
              <w:pageBreakBefore w:val="0"/>
              <w:widowControl w:val="0"/>
              <w:wordWrap/>
              <w:overflowPunct/>
              <w:topLinePunct w:val="0"/>
              <w:bidi w:val="0"/>
              <w:spacing w:line="360" w:lineRule="auto"/>
              <w:jc w:val="both"/>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求分析、方案设计、定制开发、实施上线的服务。</w:t>
            </w:r>
          </w:p>
        </w:tc>
      </w:tr>
      <w:tr w14:paraId="79E51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1" w:type="pct"/>
            <w:vMerge w:val="continue"/>
            <w:vAlign w:val="center"/>
          </w:tcPr>
          <w:p w14:paraId="33842B25">
            <w:pPr>
              <w:keepNext w:val="0"/>
              <w:keepLines w:val="0"/>
              <w:pageBreakBefore w:val="0"/>
              <w:widowControl w:val="0"/>
              <w:wordWrap/>
              <w:overflowPunct/>
              <w:topLinePunct w:val="0"/>
              <w:bidi w:val="0"/>
              <w:spacing w:line="360" w:lineRule="auto"/>
              <w:jc w:val="center"/>
              <w:outlineLvl w:val="9"/>
              <w:rPr>
                <w:rFonts w:hint="eastAsia" w:asciiTheme="minorEastAsia" w:hAnsiTheme="minorEastAsia" w:eastAsiaTheme="minorEastAsia" w:cstheme="minorEastAsia"/>
                <w:sz w:val="24"/>
                <w:szCs w:val="24"/>
                <w:highlight w:val="none"/>
                <w:vertAlign w:val="baseline"/>
                <w:lang w:val="en-US" w:eastAsia="zh-CN"/>
              </w:rPr>
            </w:pPr>
          </w:p>
        </w:tc>
        <w:tc>
          <w:tcPr>
            <w:tcW w:w="2656" w:type="dxa"/>
            <w:vAlign w:val="center"/>
          </w:tcPr>
          <w:p w14:paraId="28A17431">
            <w:pPr>
              <w:keepNext w:val="0"/>
              <w:keepLines w:val="0"/>
              <w:pageBreakBefore w:val="0"/>
              <w:widowControl w:val="0"/>
              <w:wordWrap/>
              <w:overflowPunct/>
              <w:topLinePunct w:val="0"/>
              <w:bidi w:val="0"/>
              <w:spacing w:line="360" w:lineRule="auto"/>
              <w:jc w:val="center"/>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应用软件系统优化改进</w:t>
            </w:r>
          </w:p>
        </w:tc>
        <w:tc>
          <w:tcPr>
            <w:tcW w:w="6040" w:type="dxa"/>
            <w:vAlign w:val="center"/>
          </w:tcPr>
          <w:p w14:paraId="320C8D92">
            <w:pPr>
              <w:keepNext w:val="0"/>
              <w:keepLines w:val="0"/>
              <w:pageBreakBefore w:val="0"/>
              <w:widowControl w:val="0"/>
              <w:wordWrap/>
              <w:overflowPunct/>
              <w:topLinePunct w:val="0"/>
              <w:bidi w:val="0"/>
              <w:spacing w:line="360" w:lineRule="auto"/>
              <w:jc w:val="both"/>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 xml:space="preserve">服务对象运行过程中，针对应用软件存在的缺陷、性能 </w:t>
            </w:r>
          </w:p>
          <w:p w14:paraId="732714D9">
            <w:pPr>
              <w:keepNext w:val="0"/>
              <w:keepLines w:val="0"/>
              <w:pageBreakBefore w:val="0"/>
              <w:widowControl w:val="0"/>
              <w:wordWrap/>
              <w:overflowPunct/>
              <w:topLinePunct w:val="0"/>
              <w:bidi w:val="0"/>
              <w:spacing w:line="360" w:lineRule="auto"/>
              <w:jc w:val="both"/>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 xml:space="preserve">低下或操作不友好，给出修正建议并实施，纠正缺陷或 </w:t>
            </w:r>
          </w:p>
          <w:p w14:paraId="1B74BC98">
            <w:pPr>
              <w:keepNext w:val="0"/>
              <w:keepLines w:val="0"/>
              <w:pageBreakBefore w:val="0"/>
              <w:widowControl w:val="0"/>
              <w:wordWrap/>
              <w:overflowPunct/>
              <w:topLinePunct w:val="0"/>
              <w:bidi w:val="0"/>
              <w:spacing w:line="360" w:lineRule="auto"/>
              <w:jc w:val="both"/>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提升性能。</w:t>
            </w:r>
          </w:p>
        </w:tc>
      </w:tr>
      <w:tr w14:paraId="48986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1" w:type="pct"/>
            <w:vMerge w:val="continue"/>
            <w:vAlign w:val="center"/>
          </w:tcPr>
          <w:p w14:paraId="7C99E41E">
            <w:pPr>
              <w:keepNext w:val="0"/>
              <w:keepLines w:val="0"/>
              <w:pageBreakBefore w:val="0"/>
              <w:widowControl w:val="0"/>
              <w:wordWrap/>
              <w:overflowPunct/>
              <w:topLinePunct w:val="0"/>
              <w:bidi w:val="0"/>
              <w:spacing w:line="360" w:lineRule="auto"/>
              <w:jc w:val="center"/>
              <w:outlineLvl w:val="9"/>
              <w:rPr>
                <w:rFonts w:hint="eastAsia" w:asciiTheme="minorEastAsia" w:hAnsiTheme="minorEastAsia" w:eastAsiaTheme="minorEastAsia" w:cstheme="minorEastAsia"/>
                <w:sz w:val="24"/>
                <w:szCs w:val="24"/>
                <w:highlight w:val="none"/>
                <w:vertAlign w:val="baseline"/>
                <w:lang w:val="en-US" w:eastAsia="zh-CN"/>
              </w:rPr>
            </w:pPr>
          </w:p>
        </w:tc>
        <w:tc>
          <w:tcPr>
            <w:tcW w:w="2656" w:type="dxa"/>
            <w:vAlign w:val="center"/>
          </w:tcPr>
          <w:p w14:paraId="47E87219">
            <w:pPr>
              <w:keepNext w:val="0"/>
              <w:keepLines w:val="0"/>
              <w:pageBreakBefore w:val="0"/>
              <w:widowControl w:val="0"/>
              <w:wordWrap/>
              <w:overflowPunct/>
              <w:topLinePunct w:val="0"/>
              <w:bidi w:val="0"/>
              <w:spacing w:line="360" w:lineRule="auto"/>
              <w:jc w:val="center"/>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软件运维驻场运维</w:t>
            </w:r>
          </w:p>
        </w:tc>
        <w:tc>
          <w:tcPr>
            <w:tcW w:w="6040" w:type="dxa"/>
            <w:vAlign w:val="center"/>
          </w:tcPr>
          <w:p w14:paraId="42C6A339">
            <w:pPr>
              <w:keepNext w:val="0"/>
              <w:keepLines w:val="0"/>
              <w:pageBreakBefore w:val="0"/>
              <w:widowControl w:val="0"/>
              <w:wordWrap/>
              <w:overflowPunct/>
              <w:topLinePunct w:val="0"/>
              <w:bidi w:val="0"/>
              <w:spacing w:line="360" w:lineRule="auto"/>
              <w:jc w:val="both"/>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 xml:space="preserve">驻场运维服务是针对关键业务应用，由专业技术工程师 </w:t>
            </w:r>
          </w:p>
          <w:p w14:paraId="1E9D4DB9">
            <w:pPr>
              <w:keepNext w:val="0"/>
              <w:keepLines w:val="0"/>
              <w:pageBreakBefore w:val="0"/>
              <w:widowControl w:val="0"/>
              <w:wordWrap/>
              <w:overflowPunct/>
              <w:topLinePunct w:val="0"/>
              <w:bidi w:val="0"/>
              <w:spacing w:line="360" w:lineRule="auto"/>
              <w:jc w:val="both"/>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到客户现场，提供 5x8 小时现场服务。服务内容可包含软件运维服务上述各小类的内容。</w:t>
            </w:r>
          </w:p>
        </w:tc>
      </w:tr>
    </w:tbl>
    <w:p w14:paraId="66638855">
      <w:pPr>
        <w:keepNext w:val="0"/>
        <w:keepLines w:val="0"/>
        <w:pageBreakBefore w:val="0"/>
        <w:tabs>
          <w:tab w:val="left" w:pos="480"/>
        </w:tabs>
        <w:wordWrap/>
        <w:overflowPunct/>
        <w:topLinePunct w:val="0"/>
        <w:bidi w:val="0"/>
        <w:spacing w:line="360" w:lineRule="auto"/>
        <w:ind w:firstLine="482" w:firstLineChars="200"/>
        <w:outlineLvl w:val="9"/>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3.3.2应用软件详情表</w:t>
      </w:r>
    </w:p>
    <w:p w14:paraId="69B6864A">
      <w:pPr>
        <w:keepNext w:val="0"/>
        <w:keepLines w:val="0"/>
        <w:pageBreakBefore w:val="0"/>
        <w:wordWrap/>
        <w:overflowPunct/>
        <w:topLinePunct w:val="0"/>
        <w:bidi w:val="0"/>
        <w:spacing w:line="360" w:lineRule="auto"/>
        <w:jc w:val="center"/>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表3-2 应用软件详情表</w:t>
      </w:r>
    </w:p>
    <w:tbl>
      <w:tblPr>
        <w:tblStyle w:val="2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6"/>
        <w:gridCol w:w="5898"/>
      </w:tblGrid>
      <w:tr w14:paraId="1A42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56" w:type="dxa"/>
            <w:vAlign w:val="center"/>
          </w:tcPr>
          <w:p w14:paraId="0E9E342C">
            <w:pPr>
              <w:keepNext w:val="0"/>
              <w:keepLines w:val="0"/>
              <w:pageBreakBefore w:val="0"/>
              <w:widowControl w:val="0"/>
              <w:wordWrap/>
              <w:overflowPunct/>
              <w:topLinePunct w:val="0"/>
              <w:bidi w:val="0"/>
              <w:spacing w:line="360" w:lineRule="auto"/>
              <w:jc w:val="left"/>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软件名称</w:t>
            </w:r>
          </w:p>
        </w:tc>
        <w:tc>
          <w:tcPr>
            <w:tcW w:w="5898" w:type="dxa"/>
            <w:vAlign w:val="center"/>
          </w:tcPr>
          <w:p w14:paraId="49A87F89">
            <w:pPr>
              <w:keepNext w:val="0"/>
              <w:keepLines w:val="0"/>
              <w:pageBreakBefore w:val="0"/>
              <w:widowControl w:val="0"/>
              <w:wordWrap/>
              <w:overflowPunct/>
              <w:topLinePunct w:val="0"/>
              <w:bidi w:val="0"/>
              <w:spacing w:line="360" w:lineRule="auto"/>
              <w:jc w:val="left"/>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陕西省公安厅寄递物流业治安管理信息系统</w:t>
            </w:r>
          </w:p>
        </w:tc>
      </w:tr>
      <w:tr w14:paraId="406E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56" w:type="dxa"/>
            <w:vAlign w:val="center"/>
          </w:tcPr>
          <w:p w14:paraId="340313EF">
            <w:pPr>
              <w:keepNext w:val="0"/>
              <w:keepLines w:val="0"/>
              <w:pageBreakBefore w:val="0"/>
              <w:widowControl w:val="0"/>
              <w:wordWrap/>
              <w:overflowPunct/>
              <w:topLinePunct w:val="0"/>
              <w:bidi w:val="0"/>
              <w:spacing w:line="360" w:lineRule="auto"/>
              <w:jc w:val="left"/>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建成时间</w:t>
            </w:r>
          </w:p>
        </w:tc>
        <w:tc>
          <w:tcPr>
            <w:tcW w:w="5898" w:type="dxa"/>
            <w:vAlign w:val="center"/>
          </w:tcPr>
          <w:p w14:paraId="265E9DFF">
            <w:pPr>
              <w:keepNext w:val="0"/>
              <w:keepLines w:val="0"/>
              <w:pageBreakBefore w:val="0"/>
              <w:widowControl w:val="0"/>
              <w:wordWrap/>
              <w:overflowPunct/>
              <w:topLinePunct w:val="0"/>
              <w:bidi w:val="0"/>
              <w:spacing w:line="360" w:lineRule="auto"/>
              <w:jc w:val="left"/>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2017年11月</w:t>
            </w:r>
          </w:p>
        </w:tc>
      </w:tr>
      <w:tr w14:paraId="024CA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56" w:type="dxa"/>
            <w:vAlign w:val="center"/>
          </w:tcPr>
          <w:p w14:paraId="0DC09AAE">
            <w:pPr>
              <w:keepNext w:val="0"/>
              <w:keepLines w:val="0"/>
              <w:pageBreakBefore w:val="0"/>
              <w:widowControl w:val="0"/>
              <w:wordWrap/>
              <w:overflowPunct/>
              <w:topLinePunct w:val="0"/>
              <w:bidi w:val="0"/>
              <w:spacing w:line="360" w:lineRule="auto"/>
              <w:jc w:val="left"/>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使用部门</w:t>
            </w:r>
          </w:p>
        </w:tc>
        <w:tc>
          <w:tcPr>
            <w:tcW w:w="5898" w:type="dxa"/>
            <w:vAlign w:val="center"/>
          </w:tcPr>
          <w:p w14:paraId="0D1FF7C5">
            <w:pPr>
              <w:keepNext w:val="0"/>
              <w:keepLines w:val="0"/>
              <w:pageBreakBefore w:val="0"/>
              <w:widowControl w:val="0"/>
              <w:wordWrap/>
              <w:overflowPunct/>
              <w:topLinePunct w:val="0"/>
              <w:bidi w:val="0"/>
              <w:spacing w:line="360" w:lineRule="auto"/>
              <w:jc w:val="left"/>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陕西省公安厅经济文化保卫总队</w:t>
            </w:r>
          </w:p>
        </w:tc>
      </w:tr>
      <w:tr w14:paraId="412F3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56" w:type="dxa"/>
            <w:vAlign w:val="center"/>
          </w:tcPr>
          <w:p w14:paraId="174339C4">
            <w:pPr>
              <w:keepNext w:val="0"/>
              <w:keepLines w:val="0"/>
              <w:pageBreakBefore w:val="0"/>
              <w:widowControl w:val="0"/>
              <w:wordWrap/>
              <w:overflowPunct/>
              <w:topLinePunct w:val="0"/>
              <w:bidi w:val="0"/>
              <w:spacing w:line="360" w:lineRule="auto"/>
              <w:jc w:val="left"/>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使用人数</w:t>
            </w:r>
          </w:p>
        </w:tc>
        <w:tc>
          <w:tcPr>
            <w:tcW w:w="5898" w:type="dxa"/>
            <w:vAlign w:val="center"/>
          </w:tcPr>
          <w:p w14:paraId="48C29CF0">
            <w:pPr>
              <w:keepNext w:val="0"/>
              <w:keepLines w:val="0"/>
              <w:pageBreakBefore w:val="0"/>
              <w:widowControl w:val="0"/>
              <w:wordWrap/>
              <w:overflowPunct/>
              <w:topLinePunct w:val="0"/>
              <w:bidi w:val="0"/>
              <w:spacing w:line="360" w:lineRule="auto"/>
              <w:jc w:val="left"/>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快递企业人数：28803人，警员人数：3076人</w:t>
            </w:r>
          </w:p>
        </w:tc>
      </w:tr>
      <w:tr w14:paraId="1491A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56" w:type="dxa"/>
            <w:vAlign w:val="center"/>
          </w:tcPr>
          <w:p w14:paraId="3E597BF4">
            <w:pPr>
              <w:keepNext w:val="0"/>
              <w:keepLines w:val="0"/>
              <w:pageBreakBefore w:val="0"/>
              <w:widowControl w:val="0"/>
              <w:wordWrap/>
              <w:overflowPunct/>
              <w:topLinePunct w:val="0"/>
              <w:bidi w:val="0"/>
              <w:spacing w:line="360" w:lineRule="auto"/>
              <w:jc w:val="left"/>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维护部门</w:t>
            </w:r>
          </w:p>
        </w:tc>
        <w:tc>
          <w:tcPr>
            <w:tcW w:w="5898" w:type="dxa"/>
            <w:vAlign w:val="center"/>
          </w:tcPr>
          <w:p w14:paraId="7BF0132B">
            <w:pPr>
              <w:keepNext w:val="0"/>
              <w:keepLines w:val="0"/>
              <w:pageBreakBefore w:val="0"/>
              <w:widowControl w:val="0"/>
              <w:wordWrap/>
              <w:overflowPunct/>
              <w:topLinePunct w:val="0"/>
              <w:bidi w:val="0"/>
              <w:spacing w:line="360" w:lineRule="auto"/>
              <w:jc w:val="left"/>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承建商</w:t>
            </w:r>
          </w:p>
        </w:tc>
      </w:tr>
      <w:tr w14:paraId="3202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56" w:type="dxa"/>
            <w:vAlign w:val="center"/>
          </w:tcPr>
          <w:p w14:paraId="0F173EF9">
            <w:pPr>
              <w:keepNext w:val="0"/>
              <w:keepLines w:val="0"/>
              <w:pageBreakBefore w:val="0"/>
              <w:widowControl w:val="0"/>
              <w:wordWrap/>
              <w:overflowPunct/>
              <w:topLinePunct w:val="0"/>
              <w:bidi w:val="0"/>
              <w:spacing w:line="360" w:lineRule="auto"/>
              <w:jc w:val="left"/>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全年系统业务处理总数</w:t>
            </w:r>
          </w:p>
        </w:tc>
        <w:tc>
          <w:tcPr>
            <w:tcW w:w="5022" w:type="dxa"/>
            <w:vAlign w:val="center"/>
          </w:tcPr>
          <w:p w14:paraId="789096E9">
            <w:pPr>
              <w:keepNext w:val="0"/>
              <w:keepLines w:val="0"/>
              <w:pageBreakBefore w:val="0"/>
              <w:widowControl w:val="0"/>
              <w:wordWrap/>
              <w:overflowPunct/>
              <w:topLinePunct w:val="0"/>
              <w:bidi w:val="0"/>
              <w:spacing w:line="360" w:lineRule="auto"/>
              <w:jc w:val="left"/>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151亿条</w:t>
            </w:r>
          </w:p>
        </w:tc>
      </w:tr>
      <w:tr w14:paraId="471A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56" w:type="dxa"/>
            <w:vAlign w:val="center"/>
          </w:tcPr>
          <w:p w14:paraId="63F0E2B5">
            <w:pPr>
              <w:keepNext w:val="0"/>
              <w:keepLines w:val="0"/>
              <w:pageBreakBefore w:val="0"/>
              <w:widowControl w:val="0"/>
              <w:wordWrap/>
              <w:overflowPunct/>
              <w:topLinePunct w:val="0"/>
              <w:bidi w:val="0"/>
              <w:spacing w:line="360" w:lineRule="auto"/>
              <w:jc w:val="left"/>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系统用户总量</w:t>
            </w:r>
          </w:p>
        </w:tc>
        <w:tc>
          <w:tcPr>
            <w:tcW w:w="5022" w:type="dxa"/>
            <w:vAlign w:val="center"/>
          </w:tcPr>
          <w:p w14:paraId="0DC1B014">
            <w:pPr>
              <w:keepNext w:val="0"/>
              <w:keepLines w:val="0"/>
              <w:pageBreakBefore w:val="0"/>
              <w:widowControl w:val="0"/>
              <w:wordWrap/>
              <w:overflowPunct/>
              <w:topLinePunct w:val="0"/>
              <w:bidi w:val="0"/>
              <w:spacing w:line="360" w:lineRule="auto"/>
              <w:jc w:val="left"/>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31879</w:t>
            </w:r>
          </w:p>
        </w:tc>
      </w:tr>
      <w:tr w14:paraId="2FB3D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56" w:type="dxa"/>
            <w:vAlign w:val="center"/>
          </w:tcPr>
          <w:p w14:paraId="385E8B15">
            <w:pPr>
              <w:keepNext w:val="0"/>
              <w:keepLines w:val="0"/>
              <w:pageBreakBefore w:val="0"/>
              <w:widowControl w:val="0"/>
              <w:wordWrap/>
              <w:overflowPunct/>
              <w:topLinePunct w:val="0"/>
              <w:bidi w:val="0"/>
              <w:spacing w:line="360" w:lineRule="auto"/>
              <w:jc w:val="left"/>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天平均在线用户数</w:t>
            </w:r>
          </w:p>
        </w:tc>
        <w:tc>
          <w:tcPr>
            <w:tcW w:w="5022" w:type="dxa"/>
            <w:vAlign w:val="center"/>
          </w:tcPr>
          <w:p w14:paraId="610640D0">
            <w:pPr>
              <w:keepNext w:val="0"/>
              <w:keepLines w:val="0"/>
              <w:pageBreakBefore w:val="0"/>
              <w:widowControl w:val="0"/>
              <w:wordWrap/>
              <w:overflowPunct/>
              <w:topLinePunct w:val="0"/>
              <w:bidi w:val="0"/>
              <w:spacing w:line="360" w:lineRule="auto"/>
              <w:jc w:val="left"/>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4600</w:t>
            </w:r>
          </w:p>
        </w:tc>
      </w:tr>
      <w:tr w14:paraId="651DD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56" w:type="dxa"/>
            <w:vAlign w:val="center"/>
          </w:tcPr>
          <w:p w14:paraId="720E8B4F">
            <w:pPr>
              <w:keepNext w:val="0"/>
              <w:keepLines w:val="0"/>
              <w:pageBreakBefore w:val="0"/>
              <w:widowControl w:val="0"/>
              <w:wordWrap/>
              <w:overflowPunct/>
              <w:topLinePunct w:val="0"/>
              <w:bidi w:val="0"/>
              <w:spacing w:line="360" w:lineRule="auto"/>
              <w:jc w:val="left"/>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系统运行保障要求</w:t>
            </w:r>
          </w:p>
        </w:tc>
        <w:tc>
          <w:tcPr>
            <w:tcW w:w="5898" w:type="dxa"/>
            <w:vAlign w:val="center"/>
          </w:tcPr>
          <w:p w14:paraId="30F3CA43">
            <w:pPr>
              <w:keepNext w:val="0"/>
              <w:keepLines w:val="0"/>
              <w:pageBreakBefore w:val="0"/>
              <w:widowControl w:val="0"/>
              <w:wordWrap/>
              <w:overflowPunct/>
              <w:topLinePunct w:val="0"/>
              <w:bidi w:val="0"/>
              <w:spacing w:line="360" w:lineRule="auto"/>
              <w:jc w:val="left"/>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通过寄递系统运维保障全省9571家快递法人企业正常使用寄递系统上报企业动态信息，保障28803名快递从业人员正常上传快递收寄、投递信息，保障3076名警员用户通过寄递系统实现寄递监管，保障寄递系统151亿条数据安全与数据应用，同时保障每天对接寄递数据及数据增量为1000万到2000万数据采集及处理，保障这些数据正常、有效进入公安内网寄递系统，同时寄递系统已产生124316条预警信息，在运维过程中，保障寄递系统分析研判功能正常运行，为公安监管提供更多线索信息。</w:t>
            </w:r>
          </w:p>
        </w:tc>
      </w:tr>
    </w:tbl>
    <w:p w14:paraId="6CA6C355">
      <w:pPr>
        <w:keepNext w:val="0"/>
        <w:keepLines w:val="0"/>
        <w:pageBreakBefore w:val="0"/>
        <w:tabs>
          <w:tab w:val="left" w:pos="480"/>
        </w:tabs>
        <w:wordWrap/>
        <w:overflowPunct/>
        <w:topLinePunct w:val="0"/>
        <w:bidi w:val="0"/>
        <w:spacing w:line="360" w:lineRule="auto"/>
        <w:ind w:firstLine="482" w:firstLineChars="200"/>
        <w:outlineLvl w:val="9"/>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3.3.3安全运维服务</w:t>
      </w:r>
    </w:p>
    <w:p w14:paraId="3B207DCE">
      <w:pPr>
        <w:pStyle w:val="2"/>
        <w:keepNext w:val="0"/>
        <w:keepLines w:val="0"/>
        <w:pageBreakBefore w:val="0"/>
        <w:numPr>
          <w:ilvl w:val="0"/>
          <w:numId w:val="0"/>
        </w:numPr>
        <w:wordWrap/>
        <w:overflowPunct/>
        <w:topLinePunct w:val="0"/>
        <w:bidi w:val="0"/>
        <w:spacing w:line="360" w:lineRule="auto"/>
        <w:jc w:val="center"/>
        <w:outlineLvl w:val="9"/>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表3-3 安全运维服务列表</w:t>
      </w:r>
    </w:p>
    <w:tbl>
      <w:tblPr>
        <w:tblStyle w:val="2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7"/>
        <w:gridCol w:w="3011"/>
        <w:gridCol w:w="5686"/>
      </w:tblGrid>
      <w:tr w14:paraId="5F7B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31" w:type="pct"/>
            <w:vAlign w:val="center"/>
          </w:tcPr>
          <w:p w14:paraId="699A762D">
            <w:pPr>
              <w:keepNext w:val="0"/>
              <w:keepLines w:val="0"/>
              <w:pageBreakBefore w:val="0"/>
              <w:widowControl w:val="0"/>
              <w:wordWrap/>
              <w:overflowPunct/>
              <w:topLinePunct w:val="0"/>
              <w:bidi w:val="0"/>
              <w:spacing w:line="360" w:lineRule="auto"/>
              <w:jc w:val="center"/>
              <w:outlineLvl w:val="9"/>
              <w:rPr>
                <w:rFonts w:hint="eastAsia" w:asciiTheme="minorEastAsia" w:hAnsiTheme="minorEastAsia" w:eastAsiaTheme="minorEastAsia" w:cstheme="minorEastAsia"/>
                <w:b/>
                <w:bCs/>
                <w:sz w:val="24"/>
                <w:szCs w:val="24"/>
                <w:highlight w:val="none"/>
                <w:vertAlign w:val="baseline"/>
                <w:lang w:val="en-US" w:eastAsia="zh-CN"/>
              </w:rPr>
            </w:pPr>
            <w:r>
              <w:rPr>
                <w:rFonts w:hint="eastAsia" w:asciiTheme="minorEastAsia" w:hAnsiTheme="minorEastAsia" w:eastAsiaTheme="minorEastAsia" w:cstheme="minorEastAsia"/>
                <w:b/>
                <w:bCs/>
                <w:sz w:val="24"/>
                <w:szCs w:val="24"/>
                <w:highlight w:val="none"/>
                <w:vertAlign w:val="baseline"/>
                <w:lang w:val="en-US" w:eastAsia="zh-CN"/>
              </w:rPr>
              <w:t>服务类别</w:t>
            </w:r>
          </w:p>
        </w:tc>
        <w:tc>
          <w:tcPr>
            <w:tcW w:w="1512" w:type="pct"/>
            <w:vAlign w:val="center"/>
          </w:tcPr>
          <w:p w14:paraId="24DEDEB8">
            <w:pPr>
              <w:keepNext w:val="0"/>
              <w:keepLines w:val="0"/>
              <w:pageBreakBefore w:val="0"/>
              <w:widowControl w:val="0"/>
              <w:wordWrap/>
              <w:overflowPunct/>
              <w:topLinePunct w:val="0"/>
              <w:bidi w:val="0"/>
              <w:spacing w:line="360" w:lineRule="auto"/>
              <w:jc w:val="center"/>
              <w:outlineLvl w:val="9"/>
              <w:rPr>
                <w:rFonts w:hint="eastAsia" w:asciiTheme="minorEastAsia" w:hAnsiTheme="minorEastAsia" w:eastAsiaTheme="minorEastAsia" w:cstheme="minorEastAsia"/>
                <w:b/>
                <w:bCs/>
                <w:sz w:val="24"/>
                <w:szCs w:val="24"/>
                <w:highlight w:val="none"/>
                <w:vertAlign w:val="baseline"/>
                <w:lang w:val="en-US" w:eastAsia="zh-CN"/>
              </w:rPr>
            </w:pPr>
            <w:r>
              <w:rPr>
                <w:rFonts w:hint="eastAsia" w:asciiTheme="minorEastAsia" w:hAnsiTheme="minorEastAsia" w:eastAsiaTheme="minorEastAsia" w:cstheme="minorEastAsia"/>
                <w:b/>
                <w:bCs/>
                <w:sz w:val="24"/>
                <w:szCs w:val="24"/>
                <w:highlight w:val="none"/>
                <w:vertAlign w:val="baseline"/>
                <w:lang w:val="en-US" w:eastAsia="zh-CN"/>
              </w:rPr>
              <w:t>服务子类</w:t>
            </w:r>
          </w:p>
        </w:tc>
        <w:tc>
          <w:tcPr>
            <w:tcW w:w="2855" w:type="pct"/>
            <w:vAlign w:val="center"/>
          </w:tcPr>
          <w:p w14:paraId="3598381A">
            <w:pPr>
              <w:keepNext w:val="0"/>
              <w:keepLines w:val="0"/>
              <w:pageBreakBefore w:val="0"/>
              <w:widowControl w:val="0"/>
              <w:wordWrap/>
              <w:overflowPunct/>
              <w:topLinePunct w:val="0"/>
              <w:bidi w:val="0"/>
              <w:spacing w:line="360" w:lineRule="auto"/>
              <w:jc w:val="center"/>
              <w:outlineLvl w:val="9"/>
              <w:rPr>
                <w:rFonts w:hint="eastAsia" w:asciiTheme="minorEastAsia" w:hAnsiTheme="minorEastAsia" w:eastAsiaTheme="minorEastAsia" w:cstheme="minorEastAsia"/>
                <w:b/>
                <w:bCs/>
                <w:sz w:val="24"/>
                <w:szCs w:val="24"/>
                <w:highlight w:val="none"/>
                <w:vertAlign w:val="baseline"/>
                <w:lang w:val="en-US" w:eastAsia="zh-CN"/>
              </w:rPr>
            </w:pPr>
            <w:r>
              <w:rPr>
                <w:rFonts w:hint="eastAsia" w:asciiTheme="minorEastAsia" w:hAnsiTheme="minorEastAsia" w:eastAsiaTheme="minorEastAsia" w:cstheme="minorEastAsia"/>
                <w:b/>
                <w:bCs/>
                <w:sz w:val="24"/>
                <w:szCs w:val="24"/>
                <w:highlight w:val="none"/>
                <w:vertAlign w:val="baseline"/>
                <w:lang w:val="en-US" w:eastAsia="zh-CN"/>
              </w:rPr>
              <w:t>服务简介</w:t>
            </w:r>
          </w:p>
        </w:tc>
      </w:tr>
      <w:tr w14:paraId="463AB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7" w:type="dxa"/>
            <w:vMerge w:val="restart"/>
            <w:vAlign w:val="center"/>
          </w:tcPr>
          <w:p w14:paraId="4BEB3D78">
            <w:pPr>
              <w:keepNext w:val="0"/>
              <w:keepLines w:val="0"/>
              <w:pageBreakBefore w:val="0"/>
              <w:widowControl w:val="0"/>
              <w:wordWrap/>
              <w:overflowPunct/>
              <w:topLinePunct w:val="0"/>
              <w:bidi w:val="0"/>
              <w:spacing w:line="360" w:lineRule="auto"/>
              <w:jc w:val="left"/>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安全运维服务</w:t>
            </w:r>
          </w:p>
        </w:tc>
        <w:tc>
          <w:tcPr>
            <w:tcW w:w="3011" w:type="dxa"/>
            <w:vAlign w:val="center"/>
          </w:tcPr>
          <w:p w14:paraId="2E181445">
            <w:pPr>
              <w:keepNext w:val="0"/>
              <w:keepLines w:val="0"/>
              <w:pageBreakBefore w:val="0"/>
              <w:widowControl w:val="0"/>
              <w:wordWrap/>
              <w:overflowPunct/>
              <w:topLinePunct w:val="0"/>
              <w:bidi w:val="0"/>
              <w:spacing w:line="360" w:lineRule="auto"/>
              <w:jc w:val="left"/>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网络安全运维服务</w:t>
            </w:r>
          </w:p>
        </w:tc>
        <w:tc>
          <w:tcPr>
            <w:tcW w:w="5686" w:type="dxa"/>
            <w:vAlign w:val="center"/>
          </w:tcPr>
          <w:p w14:paraId="7337C151">
            <w:pPr>
              <w:keepNext w:val="0"/>
              <w:keepLines w:val="0"/>
              <w:pageBreakBefore w:val="0"/>
              <w:widowControl w:val="0"/>
              <w:wordWrap/>
              <w:overflowPunct/>
              <w:topLinePunct w:val="0"/>
              <w:bidi w:val="0"/>
              <w:spacing w:line="360" w:lineRule="auto"/>
              <w:jc w:val="left"/>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通过监控工具或约定周期对设备情况进行及时检查和分析，及时发现故障，完成安全检查报告。</w:t>
            </w:r>
          </w:p>
        </w:tc>
      </w:tr>
      <w:tr w14:paraId="3CB7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7" w:type="dxa"/>
            <w:vMerge w:val="continue"/>
            <w:vAlign w:val="center"/>
          </w:tcPr>
          <w:p w14:paraId="200D9C2A">
            <w:pPr>
              <w:keepNext w:val="0"/>
              <w:keepLines w:val="0"/>
              <w:pageBreakBefore w:val="0"/>
              <w:widowControl w:val="0"/>
              <w:wordWrap/>
              <w:overflowPunct/>
              <w:topLinePunct w:val="0"/>
              <w:bidi w:val="0"/>
              <w:spacing w:line="360" w:lineRule="auto"/>
              <w:jc w:val="left"/>
              <w:outlineLvl w:val="9"/>
              <w:rPr>
                <w:rFonts w:hint="eastAsia" w:asciiTheme="minorEastAsia" w:hAnsiTheme="minorEastAsia" w:eastAsiaTheme="minorEastAsia" w:cstheme="minorEastAsia"/>
                <w:sz w:val="24"/>
                <w:szCs w:val="24"/>
                <w:highlight w:val="none"/>
                <w:vertAlign w:val="baseline"/>
                <w:lang w:val="en-US" w:eastAsia="zh-CN"/>
              </w:rPr>
            </w:pPr>
          </w:p>
        </w:tc>
        <w:tc>
          <w:tcPr>
            <w:tcW w:w="3011" w:type="dxa"/>
            <w:vAlign w:val="center"/>
          </w:tcPr>
          <w:p w14:paraId="3A9979E4">
            <w:pPr>
              <w:keepNext w:val="0"/>
              <w:keepLines w:val="0"/>
              <w:pageBreakBefore w:val="0"/>
              <w:widowControl w:val="0"/>
              <w:wordWrap/>
              <w:overflowPunct/>
              <w:topLinePunct w:val="0"/>
              <w:bidi w:val="0"/>
              <w:spacing w:line="360" w:lineRule="auto"/>
              <w:jc w:val="left"/>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主机安全运维服务</w:t>
            </w:r>
          </w:p>
        </w:tc>
        <w:tc>
          <w:tcPr>
            <w:tcW w:w="5686" w:type="dxa"/>
            <w:vAlign w:val="center"/>
          </w:tcPr>
          <w:p w14:paraId="3043E865">
            <w:pPr>
              <w:keepNext w:val="0"/>
              <w:keepLines w:val="0"/>
              <w:pageBreakBefore w:val="0"/>
              <w:widowControl w:val="0"/>
              <w:wordWrap/>
              <w:overflowPunct/>
              <w:topLinePunct w:val="0"/>
              <w:bidi w:val="0"/>
              <w:spacing w:line="360" w:lineRule="auto"/>
              <w:jc w:val="left"/>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通过监控工具或约定周期对设备情况进行及时检查和分析，及时发现故障，完成安全检查报告。</w:t>
            </w:r>
          </w:p>
        </w:tc>
      </w:tr>
      <w:tr w14:paraId="34146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7" w:type="dxa"/>
            <w:vMerge w:val="continue"/>
            <w:vAlign w:val="center"/>
          </w:tcPr>
          <w:p w14:paraId="61959D5A">
            <w:pPr>
              <w:keepNext w:val="0"/>
              <w:keepLines w:val="0"/>
              <w:pageBreakBefore w:val="0"/>
              <w:widowControl w:val="0"/>
              <w:wordWrap/>
              <w:overflowPunct/>
              <w:topLinePunct w:val="0"/>
              <w:bidi w:val="0"/>
              <w:spacing w:line="360" w:lineRule="auto"/>
              <w:jc w:val="left"/>
              <w:outlineLvl w:val="9"/>
              <w:rPr>
                <w:rFonts w:hint="eastAsia" w:asciiTheme="minorEastAsia" w:hAnsiTheme="minorEastAsia" w:eastAsiaTheme="minorEastAsia" w:cstheme="minorEastAsia"/>
                <w:sz w:val="24"/>
                <w:szCs w:val="24"/>
                <w:highlight w:val="none"/>
                <w:vertAlign w:val="baseline"/>
                <w:lang w:val="en-US" w:eastAsia="zh-CN"/>
              </w:rPr>
            </w:pPr>
          </w:p>
        </w:tc>
        <w:tc>
          <w:tcPr>
            <w:tcW w:w="3011" w:type="dxa"/>
            <w:vAlign w:val="center"/>
          </w:tcPr>
          <w:p w14:paraId="00AE102A">
            <w:pPr>
              <w:keepNext w:val="0"/>
              <w:keepLines w:val="0"/>
              <w:pageBreakBefore w:val="0"/>
              <w:widowControl w:val="0"/>
              <w:wordWrap/>
              <w:overflowPunct/>
              <w:topLinePunct w:val="0"/>
              <w:bidi w:val="0"/>
              <w:spacing w:line="360" w:lineRule="auto"/>
              <w:jc w:val="left"/>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应用安全运维服务</w:t>
            </w:r>
          </w:p>
        </w:tc>
        <w:tc>
          <w:tcPr>
            <w:tcW w:w="5686" w:type="dxa"/>
            <w:vAlign w:val="center"/>
          </w:tcPr>
          <w:p w14:paraId="2A2553AA">
            <w:pPr>
              <w:keepNext w:val="0"/>
              <w:keepLines w:val="0"/>
              <w:pageBreakBefore w:val="0"/>
              <w:widowControl w:val="0"/>
              <w:wordWrap/>
              <w:overflowPunct/>
              <w:topLinePunct w:val="0"/>
              <w:bidi w:val="0"/>
              <w:spacing w:line="360" w:lineRule="auto"/>
              <w:jc w:val="left"/>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通过监控工具或约定周期对设备情况进行及时检查和分析，及时发现故障，完成安全检查报告。</w:t>
            </w:r>
          </w:p>
        </w:tc>
      </w:tr>
      <w:tr w14:paraId="75C56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7" w:type="dxa"/>
            <w:vMerge w:val="continue"/>
            <w:vAlign w:val="center"/>
          </w:tcPr>
          <w:p w14:paraId="69E1D1AD">
            <w:pPr>
              <w:keepNext w:val="0"/>
              <w:keepLines w:val="0"/>
              <w:pageBreakBefore w:val="0"/>
              <w:widowControl w:val="0"/>
              <w:wordWrap/>
              <w:overflowPunct/>
              <w:topLinePunct w:val="0"/>
              <w:bidi w:val="0"/>
              <w:spacing w:line="360" w:lineRule="auto"/>
              <w:jc w:val="left"/>
              <w:outlineLvl w:val="9"/>
              <w:rPr>
                <w:rFonts w:hint="eastAsia" w:asciiTheme="minorEastAsia" w:hAnsiTheme="minorEastAsia" w:eastAsiaTheme="minorEastAsia" w:cstheme="minorEastAsia"/>
                <w:sz w:val="24"/>
                <w:szCs w:val="24"/>
                <w:highlight w:val="none"/>
                <w:vertAlign w:val="baseline"/>
                <w:lang w:val="en-US" w:eastAsia="zh-CN"/>
              </w:rPr>
            </w:pPr>
          </w:p>
        </w:tc>
        <w:tc>
          <w:tcPr>
            <w:tcW w:w="3011" w:type="dxa"/>
            <w:vAlign w:val="center"/>
          </w:tcPr>
          <w:p w14:paraId="48013ACF">
            <w:pPr>
              <w:keepNext w:val="0"/>
              <w:keepLines w:val="0"/>
              <w:pageBreakBefore w:val="0"/>
              <w:widowControl w:val="0"/>
              <w:wordWrap/>
              <w:overflowPunct/>
              <w:topLinePunct w:val="0"/>
              <w:bidi w:val="0"/>
              <w:spacing w:line="360" w:lineRule="auto"/>
              <w:jc w:val="left"/>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数据库安全运维服务</w:t>
            </w:r>
          </w:p>
        </w:tc>
        <w:tc>
          <w:tcPr>
            <w:tcW w:w="5686" w:type="dxa"/>
            <w:vAlign w:val="center"/>
          </w:tcPr>
          <w:p w14:paraId="0DC33FB2">
            <w:pPr>
              <w:keepNext w:val="0"/>
              <w:keepLines w:val="0"/>
              <w:pageBreakBefore w:val="0"/>
              <w:widowControl w:val="0"/>
              <w:wordWrap/>
              <w:overflowPunct/>
              <w:topLinePunct w:val="0"/>
              <w:bidi w:val="0"/>
              <w:spacing w:line="360" w:lineRule="auto"/>
              <w:jc w:val="left"/>
              <w:outlineLvl w:val="9"/>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通过监控工具或约定周期对设备情况进行及时检查和分析，及时发现故障，完成安全检查报告。</w:t>
            </w:r>
          </w:p>
        </w:tc>
      </w:tr>
    </w:tbl>
    <w:p w14:paraId="45526312">
      <w:pPr>
        <w:keepNext w:val="0"/>
        <w:keepLines w:val="0"/>
        <w:pageBreakBefore w:val="0"/>
        <w:tabs>
          <w:tab w:val="left" w:pos="480"/>
        </w:tabs>
        <w:wordWrap/>
        <w:overflowPunct/>
        <w:topLinePunct w:val="0"/>
        <w:bidi w:val="0"/>
        <w:spacing w:line="360" w:lineRule="auto"/>
        <w:ind w:firstLine="482" w:firstLineChars="200"/>
        <w:outlineLvl w:val="9"/>
        <w:rPr>
          <w:rFonts w:hint="eastAsia" w:asciiTheme="minorEastAsia" w:hAnsiTheme="minorEastAsia" w:eastAsiaTheme="minorEastAsia" w:cstheme="minorEastAsia"/>
          <w:b/>
          <w:bCs/>
          <w:color w:val="auto"/>
          <w:sz w:val="24"/>
          <w:szCs w:val="24"/>
          <w:highlight w:val="none"/>
          <w:lang w:val="en-US" w:eastAsia="zh-CN"/>
        </w:rPr>
      </w:pPr>
      <w:bookmarkStart w:id="48" w:name="_Toc11772"/>
      <w:r>
        <w:rPr>
          <w:rFonts w:hint="eastAsia" w:asciiTheme="minorEastAsia" w:hAnsiTheme="minorEastAsia" w:eastAsiaTheme="minorEastAsia" w:cstheme="minorEastAsia"/>
          <w:b/>
          <w:bCs/>
          <w:color w:val="auto"/>
          <w:sz w:val="24"/>
          <w:szCs w:val="24"/>
          <w:highlight w:val="none"/>
          <w:lang w:val="en-US" w:eastAsia="zh-CN"/>
        </w:rPr>
        <w:t>3.4服务管理制度</w:t>
      </w:r>
      <w:bookmarkEnd w:id="48"/>
    </w:p>
    <w:p w14:paraId="12647B17">
      <w:pPr>
        <w:keepNext w:val="0"/>
        <w:keepLines w:val="0"/>
        <w:pageBreakBefore w:val="0"/>
        <w:wordWrap/>
        <w:overflowPunct/>
        <w:topLinePunct w:val="0"/>
        <w:bidi w:val="0"/>
        <w:spacing w:line="360" w:lineRule="auto"/>
        <w:ind w:firstLine="480" w:firstLineChars="200"/>
        <w:jc w:val="left"/>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《陕西省公安厅寄递物流业治安管理信息系统运维项目》服务时间为期一年，驻场人员提供5×8小时现场服务，其他人员根据售后运维要求时长提供服务。</w:t>
      </w:r>
    </w:p>
    <w:p w14:paraId="136751B6">
      <w:pPr>
        <w:keepNext w:val="0"/>
        <w:keepLines w:val="0"/>
        <w:pageBreakBefore w:val="0"/>
        <w:wordWrap/>
        <w:overflowPunct/>
        <w:topLinePunct w:val="0"/>
        <w:bidi w:val="0"/>
        <w:spacing w:line="360" w:lineRule="auto"/>
        <w:ind w:firstLine="480" w:firstLineChars="200"/>
        <w:jc w:val="left"/>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为保障寄递运维项目顺利实施，总队要求运维承建方建立IT服务体系、IT服务体系整体结构、响应体系、质量监督体系、IT运维体系、系统运维制度、运维管理机制、寄递系统升级管理机制、报告管理机制、月季度总结机制、客户满意度调查机制、投诉管理机制、项目沟通机制建设、运维保障机制等。根据运维服务要求，提供相应表格以供总队检查考核，总队收集各地市公安机关反馈意见，对运维服务质量进行考核。</w:t>
      </w:r>
    </w:p>
    <w:p w14:paraId="4EFA792F">
      <w:pPr>
        <w:keepNext w:val="0"/>
        <w:keepLines w:val="0"/>
        <w:pageBreakBefore w:val="0"/>
        <w:tabs>
          <w:tab w:val="left" w:pos="480"/>
        </w:tabs>
        <w:wordWrap/>
        <w:overflowPunct/>
        <w:topLinePunct w:val="0"/>
        <w:bidi w:val="0"/>
        <w:spacing w:line="360" w:lineRule="auto"/>
        <w:ind w:firstLine="482" w:firstLineChars="200"/>
        <w:outlineLvl w:val="9"/>
        <w:rPr>
          <w:rFonts w:hint="eastAsia" w:asciiTheme="minorEastAsia" w:hAnsiTheme="minorEastAsia" w:eastAsiaTheme="minorEastAsia" w:cstheme="minorEastAsia"/>
          <w:b/>
          <w:bCs/>
          <w:color w:val="auto"/>
          <w:sz w:val="24"/>
          <w:szCs w:val="24"/>
          <w:highlight w:val="none"/>
          <w:lang w:val="en-US" w:eastAsia="zh-CN"/>
        </w:rPr>
      </w:pPr>
      <w:bookmarkStart w:id="49" w:name="_Toc24003"/>
      <w:r>
        <w:rPr>
          <w:rFonts w:hint="eastAsia" w:asciiTheme="minorEastAsia" w:hAnsiTheme="minorEastAsia" w:eastAsiaTheme="minorEastAsia" w:cstheme="minorEastAsia"/>
          <w:b/>
          <w:bCs/>
          <w:color w:val="auto"/>
          <w:sz w:val="24"/>
          <w:szCs w:val="24"/>
          <w:highlight w:val="none"/>
          <w:lang w:val="en-US" w:eastAsia="zh-CN"/>
        </w:rPr>
        <w:t>3.5运维服务流程</w:t>
      </w:r>
      <w:bookmarkEnd w:id="49"/>
    </w:p>
    <w:p w14:paraId="25692335">
      <w:pPr>
        <w:keepNext w:val="0"/>
        <w:keepLines w:val="0"/>
        <w:pageBreakBefore w:val="0"/>
        <w:wordWrap/>
        <w:overflowPunct/>
        <w:topLinePunct w:val="0"/>
        <w:bidi w:val="0"/>
        <w:spacing w:line="360" w:lineRule="auto"/>
        <w:ind w:firstLine="480" w:firstLineChars="200"/>
        <w:jc w:val="left"/>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驻场运维在总队提供5×8小时驻场运维，主要工作：按照运维要求、时间、频次完成日常公安内网基础软件运维、公安内网应用软件运维、公安内网系统安全运维，客服流转的公安民警用户咨询服务，公安内网数据核对，总队安排的其他工作。</w:t>
      </w:r>
    </w:p>
    <w:p w14:paraId="7A1628CA">
      <w:pPr>
        <w:keepNext w:val="0"/>
        <w:keepLines w:val="0"/>
        <w:pageBreakBefore w:val="0"/>
        <w:wordWrap/>
        <w:overflowPunct/>
        <w:topLinePunct w:val="0"/>
        <w:bidi w:val="0"/>
        <w:spacing w:line="360" w:lineRule="auto"/>
        <w:ind w:firstLine="480" w:firstLineChars="200"/>
        <w:jc w:val="left"/>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运维工程师主要工作：按照运维要求、时间、频次完成互联网基础软件运维、互联网应用软件运维、互联网系统安全运维，总队安排的其他工作。</w:t>
      </w:r>
    </w:p>
    <w:p w14:paraId="6FCEC2A4">
      <w:pPr>
        <w:keepNext w:val="0"/>
        <w:keepLines w:val="0"/>
        <w:pageBreakBefore w:val="0"/>
        <w:wordWrap/>
        <w:overflowPunct/>
        <w:topLinePunct w:val="0"/>
        <w:bidi w:val="0"/>
        <w:spacing w:line="360" w:lineRule="auto"/>
        <w:ind w:firstLine="480" w:firstLineChars="200"/>
        <w:jc w:val="left"/>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客服与培训工程师主要工作：按照运维要求、时间、频次完成日常客服工作，日常培训工作及总队安排的其他工作，上门培训根据各地市公安机构要求与总队要求进行。</w:t>
      </w:r>
    </w:p>
    <w:p w14:paraId="6EA3E9FD">
      <w:pPr>
        <w:keepNext w:val="0"/>
        <w:keepLines w:val="0"/>
        <w:pageBreakBefore w:val="0"/>
        <w:wordWrap/>
        <w:overflowPunct/>
        <w:topLinePunct w:val="0"/>
        <w:bidi w:val="0"/>
        <w:spacing w:line="360" w:lineRule="auto"/>
        <w:ind w:firstLine="480" w:firstLineChars="200"/>
        <w:jc w:val="left"/>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研发团队工作：按照运维要求、时间、频次与总队要求时间完成基础软件与应用系统升级优化、定制开发、系统改进等工作，完成总队安排其他工作。</w:t>
      </w:r>
    </w:p>
    <w:p w14:paraId="5ADA2920">
      <w:pPr>
        <w:keepNext w:val="0"/>
        <w:keepLines w:val="0"/>
        <w:pageBreakBefore w:val="0"/>
        <w:tabs>
          <w:tab w:val="left" w:pos="480"/>
        </w:tabs>
        <w:wordWrap/>
        <w:overflowPunct/>
        <w:topLinePunct w:val="0"/>
        <w:bidi w:val="0"/>
        <w:spacing w:line="360" w:lineRule="auto"/>
        <w:ind w:firstLine="482" w:firstLineChars="200"/>
        <w:outlineLvl w:val="9"/>
        <w:rPr>
          <w:rFonts w:hint="eastAsia" w:asciiTheme="minorEastAsia" w:hAnsiTheme="minorEastAsia" w:eastAsiaTheme="minorEastAsia" w:cstheme="minorEastAsia"/>
          <w:b/>
          <w:bCs/>
          <w:color w:val="auto"/>
          <w:sz w:val="24"/>
          <w:szCs w:val="24"/>
          <w:highlight w:val="none"/>
          <w:lang w:val="en-US" w:eastAsia="zh-CN"/>
        </w:rPr>
      </w:pPr>
      <w:bookmarkStart w:id="50" w:name="_Toc21176"/>
      <w:r>
        <w:rPr>
          <w:rFonts w:hint="eastAsia" w:asciiTheme="minorEastAsia" w:hAnsiTheme="minorEastAsia" w:eastAsiaTheme="minorEastAsia" w:cstheme="minorEastAsia"/>
          <w:b/>
          <w:bCs/>
          <w:color w:val="auto"/>
          <w:sz w:val="24"/>
          <w:szCs w:val="24"/>
          <w:highlight w:val="none"/>
          <w:lang w:val="en-US" w:eastAsia="zh-CN"/>
        </w:rPr>
        <w:t>3.6应急措施</w:t>
      </w:r>
      <w:bookmarkEnd w:id="50"/>
    </w:p>
    <w:p w14:paraId="7E72ADFC">
      <w:pPr>
        <w:keepNext w:val="0"/>
        <w:keepLines w:val="0"/>
        <w:pageBreakBefore w:val="0"/>
        <w:wordWrap/>
        <w:overflowPunct/>
        <w:topLinePunct w:val="0"/>
        <w:bidi w:val="0"/>
        <w:spacing w:line="360" w:lineRule="auto"/>
        <w:ind w:firstLine="480" w:firstLineChars="200"/>
        <w:jc w:val="left"/>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遵循预防为主，常备不懈的方针。做好应对突发事件的思想准备和思想教育；加强寄递系统的日常监控；通过技术创新和技术进步完善监控和预警手段；要求运维承建单位加强专业队伍建设和培训；制定完善的单项应急处理流程，提高处理速度。定期进行预演。</w:t>
      </w:r>
    </w:p>
    <w:p w14:paraId="50259F6B">
      <w:pPr>
        <w:keepNext w:val="0"/>
        <w:keepLines w:val="0"/>
        <w:pageBreakBefore w:val="0"/>
        <w:wordWrap/>
        <w:overflowPunct/>
        <w:topLinePunct w:val="0"/>
        <w:bidi w:val="0"/>
        <w:spacing w:line="360" w:lineRule="auto"/>
        <w:ind w:firstLine="480" w:firstLineChars="200"/>
        <w:jc w:val="left"/>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寄递系统运维项目由总队相关领导、运维单位技术负责人、专家组成，对整个应急事件进行统筹安排领导工作，负责重大故障应急对应的决策。</w:t>
      </w:r>
    </w:p>
    <w:p w14:paraId="0245F56E">
      <w:pPr>
        <w:keepNext w:val="0"/>
        <w:keepLines w:val="0"/>
        <w:pageBreakBefore w:val="0"/>
        <w:tabs>
          <w:tab w:val="left" w:pos="480"/>
        </w:tabs>
        <w:wordWrap/>
        <w:overflowPunct/>
        <w:topLinePunct w:val="0"/>
        <w:bidi w:val="0"/>
        <w:spacing w:line="360" w:lineRule="auto"/>
        <w:ind w:firstLine="482" w:firstLineChars="200"/>
        <w:outlineLvl w:val="9"/>
        <w:rPr>
          <w:rFonts w:hint="eastAsia" w:asciiTheme="minorEastAsia" w:hAnsiTheme="minorEastAsia" w:eastAsiaTheme="minorEastAsia" w:cstheme="minorEastAsia"/>
          <w:b/>
          <w:bCs/>
          <w:color w:val="auto"/>
          <w:sz w:val="24"/>
          <w:szCs w:val="24"/>
          <w:highlight w:val="none"/>
          <w:lang w:val="en-US" w:eastAsia="zh-CN"/>
        </w:rPr>
      </w:pPr>
      <w:bookmarkStart w:id="51" w:name="_Toc10860"/>
      <w:r>
        <w:rPr>
          <w:rFonts w:hint="eastAsia" w:asciiTheme="minorEastAsia" w:hAnsiTheme="minorEastAsia" w:eastAsiaTheme="minorEastAsia" w:cstheme="minorEastAsia"/>
          <w:b/>
          <w:bCs/>
          <w:color w:val="auto"/>
          <w:sz w:val="24"/>
          <w:szCs w:val="24"/>
          <w:highlight w:val="none"/>
          <w:lang w:val="en-US" w:eastAsia="zh-CN"/>
        </w:rPr>
        <w:t>3.7系统培训</w:t>
      </w:r>
      <w:bookmarkEnd w:id="51"/>
    </w:p>
    <w:p w14:paraId="2E703210">
      <w:pPr>
        <w:numPr>
          <w:ilvl w:val="0"/>
          <w:numId w:val="0"/>
        </w:numPr>
        <w:spacing w:line="360" w:lineRule="auto"/>
        <w:ind w:firstLine="480"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sz w:val="24"/>
          <w:szCs w:val="24"/>
          <w:highlight w:val="none"/>
          <w:lang w:val="en-US" w:eastAsia="zh-CN"/>
        </w:rPr>
        <w:t>为使寄递系统培训及服务得到切实有效的实施，培训范围为全省，保证公安人员及快递从业人员顺利使用本系统软件，且后续服务工作得到具体的落实，在寄递系统运维期间，寄递系统运维承建单位必须按要求完成寄递培训工作。</w:t>
      </w:r>
    </w:p>
    <w:p w14:paraId="0C6029FA">
      <w:pPr>
        <w:numPr>
          <w:ilvl w:val="0"/>
          <w:numId w:val="0"/>
        </w:numPr>
        <w:spacing w:line="360" w:lineRule="auto"/>
        <w:rPr>
          <w:rFonts w:ascii="宋体" w:hAnsi="宋体" w:cs="宋体"/>
          <w:b/>
          <w:bCs/>
          <w:color w:val="auto"/>
          <w:sz w:val="24"/>
        </w:rPr>
      </w:pPr>
      <w:r>
        <w:rPr>
          <w:rFonts w:hint="eastAsia" w:ascii="宋体" w:hAnsi="宋体" w:cs="宋体"/>
          <w:b/>
          <w:bCs/>
          <w:color w:val="auto"/>
          <w:sz w:val="24"/>
        </w:rPr>
        <w:br w:type="page"/>
      </w:r>
    </w:p>
    <w:p w14:paraId="45CE58CE">
      <w:pPr>
        <w:pStyle w:val="3"/>
        <w:keepNext w:val="0"/>
        <w:keepLines w:val="0"/>
        <w:rPr>
          <w:rFonts w:ascii="宋体" w:hAnsi="宋体" w:cs="宋体"/>
          <w:color w:val="000000"/>
        </w:rPr>
      </w:pPr>
      <w:bookmarkStart w:id="52" w:name="_Toc27545"/>
      <w:bookmarkStart w:id="53" w:name="_Toc16339"/>
      <w:bookmarkStart w:id="54" w:name="_Toc21959"/>
      <w:bookmarkStart w:id="55" w:name="_Toc16973"/>
      <w:r>
        <w:rPr>
          <w:rFonts w:hint="eastAsia" w:ascii="宋体" w:hAnsi="宋体" w:cs="宋体"/>
          <w:color w:val="000000"/>
          <w:sz w:val="32"/>
          <w:szCs w:val="32"/>
        </w:rPr>
        <w:t>第四部分  商务及合同草案条款</w:t>
      </w:r>
      <w:bookmarkEnd w:id="52"/>
      <w:bookmarkEnd w:id="53"/>
    </w:p>
    <w:p w14:paraId="1D49A35F">
      <w:pPr>
        <w:jc w:val="center"/>
        <w:rPr>
          <w:rFonts w:hint="eastAsia" w:ascii="宋体" w:hAnsi="宋体" w:eastAsia="宋体" w:cs="宋体"/>
          <w:b/>
          <w:bCs/>
          <w:color w:val="auto"/>
          <w:sz w:val="28"/>
          <w:szCs w:val="28"/>
          <w:highlight w:val="none"/>
          <w:lang w:eastAsia="zh-CN"/>
        </w:rPr>
      </w:pPr>
      <w:bookmarkStart w:id="56" w:name="_Toc19835"/>
      <w:bookmarkStart w:id="57" w:name="_Toc24939"/>
      <w:bookmarkStart w:id="58" w:name="_Toc4134"/>
      <w:bookmarkStart w:id="59" w:name="_Toc26719"/>
      <w:bookmarkStart w:id="60" w:name="_Toc8421"/>
      <w:bookmarkStart w:id="61" w:name="_Toc1757"/>
      <w:r>
        <w:rPr>
          <w:rFonts w:hint="eastAsia" w:ascii="宋体" w:hAnsi="宋体" w:eastAsia="宋体" w:cs="宋体"/>
          <w:b/>
          <w:bCs/>
          <w:color w:val="auto"/>
          <w:sz w:val="28"/>
          <w:szCs w:val="28"/>
          <w:highlight w:val="none"/>
          <w:lang w:eastAsia="zh-CN"/>
        </w:rPr>
        <w:t>一、</w:t>
      </w:r>
      <w:r>
        <w:rPr>
          <w:rFonts w:hint="eastAsia" w:ascii="宋体" w:hAnsi="宋体" w:eastAsia="宋体" w:cs="宋体"/>
          <w:b/>
          <w:bCs/>
          <w:color w:val="auto"/>
          <w:sz w:val="28"/>
          <w:szCs w:val="28"/>
          <w:highlight w:val="none"/>
        </w:rPr>
        <w:t>商务</w:t>
      </w:r>
      <w:bookmarkEnd w:id="56"/>
      <w:bookmarkEnd w:id="57"/>
      <w:bookmarkEnd w:id="58"/>
      <w:bookmarkEnd w:id="59"/>
      <w:bookmarkEnd w:id="60"/>
      <w:bookmarkEnd w:id="61"/>
      <w:r>
        <w:rPr>
          <w:rFonts w:hint="eastAsia" w:ascii="宋体" w:hAnsi="宋体" w:eastAsia="宋体" w:cs="宋体"/>
          <w:b/>
          <w:bCs/>
          <w:color w:val="auto"/>
          <w:sz w:val="28"/>
          <w:szCs w:val="28"/>
          <w:highlight w:val="none"/>
          <w:lang w:eastAsia="zh-CN"/>
        </w:rPr>
        <w:t>要求</w:t>
      </w:r>
    </w:p>
    <w:p w14:paraId="7D6819E5">
      <w:pPr>
        <w:spacing w:line="360" w:lineRule="auto"/>
        <w:rPr>
          <w:rFonts w:ascii="宋体" w:hAnsi="宋体" w:cs="宋体"/>
          <w:b/>
          <w:bCs/>
          <w:sz w:val="24"/>
        </w:rPr>
      </w:pPr>
      <w:r>
        <w:rPr>
          <w:rFonts w:hint="eastAsia" w:ascii="宋体" w:hAnsi="宋体" w:cs="宋体"/>
          <w:b/>
          <w:bCs/>
          <w:sz w:val="24"/>
          <w:lang w:eastAsia="zh-CN"/>
        </w:rPr>
        <w:t>（一）</w:t>
      </w:r>
      <w:r>
        <w:rPr>
          <w:rFonts w:hint="eastAsia" w:ascii="宋体" w:hAnsi="宋体" w:cs="宋体"/>
          <w:b/>
          <w:bCs/>
          <w:sz w:val="24"/>
        </w:rPr>
        <w:t>服务地点：</w:t>
      </w:r>
      <w:r>
        <w:rPr>
          <w:rFonts w:hint="eastAsia" w:ascii="宋体" w:hAnsi="宋体" w:cs="宋体"/>
          <w:sz w:val="24"/>
        </w:rPr>
        <w:t>采购人指定地点。</w:t>
      </w:r>
    </w:p>
    <w:p w14:paraId="14D0F5C0">
      <w:pPr>
        <w:spacing w:line="360" w:lineRule="auto"/>
        <w:rPr>
          <w:rFonts w:hint="default" w:ascii="宋体" w:hAnsi="宋体" w:eastAsia="宋体" w:cs="宋体"/>
          <w:b w:val="0"/>
          <w:bCs w:val="0"/>
          <w:sz w:val="24"/>
          <w:highlight w:val="none"/>
          <w:lang w:val="en-US" w:eastAsia="zh-CN"/>
        </w:rPr>
      </w:pPr>
      <w:r>
        <w:rPr>
          <w:rFonts w:hint="eastAsia" w:ascii="宋体" w:hAnsi="宋体" w:cs="宋体"/>
          <w:b/>
          <w:bCs/>
          <w:sz w:val="24"/>
          <w:highlight w:val="none"/>
          <w:lang w:eastAsia="zh-CN"/>
        </w:rPr>
        <w:t>（二）服务期：</w:t>
      </w:r>
      <w:r>
        <w:rPr>
          <w:rFonts w:hint="eastAsia" w:ascii="宋体" w:hAnsi="宋体" w:cs="宋体"/>
          <w:b w:val="0"/>
          <w:bCs w:val="0"/>
          <w:sz w:val="24"/>
          <w:highlight w:val="none"/>
          <w:lang w:val="en-US" w:eastAsia="zh-CN"/>
        </w:rPr>
        <w:t>自合同签订之日起一年。</w:t>
      </w:r>
    </w:p>
    <w:p w14:paraId="593CC50F">
      <w:pPr>
        <w:spacing w:line="360" w:lineRule="auto"/>
        <w:rPr>
          <w:rFonts w:hint="eastAsia" w:ascii="宋体" w:hAnsi="宋体" w:eastAsia="宋体" w:cs="宋体"/>
          <w:color w:val="auto"/>
          <w:highlight w:val="none"/>
        </w:rPr>
      </w:pPr>
      <w:r>
        <w:rPr>
          <w:rFonts w:hint="eastAsia" w:ascii="宋体" w:hAnsi="宋体" w:eastAsia="宋体" w:cs="宋体"/>
          <w:b/>
          <w:bCs/>
          <w:sz w:val="24"/>
          <w:highlight w:val="none"/>
          <w:lang w:eastAsia="zh-CN"/>
        </w:rPr>
        <w:t>（三）服务质量：</w:t>
      </w:r>
      <w:r>
        <w:rPr>
          <w:rFonts w:hint="eastAsia" w:ascii="宋体" w:hAnsi="宋体" w:eastAsia="宋体" w:cs="宋体"/>
          <w:color w:val="auto"/>
          <w:sz w:val="24"/>
          <w:highlight w:val="none"/>
        </w:rPr>
        <w:t>符合国家及行业有关现行规范、标准的要求</w:t>
      </w:r>
    </w:p>
    <w:p w14:paraId="3A0902FF">
      <w:pPr>
        <w:spacing w:line="360" w:lineRule="auto"/>
        <w:rPr>
          <w:rFonts w:hint="eastAsia" w:ascii="宋体" w:hAnsi="宋体" w:eastAsia="宋体" w:cs="宋体"/>
          <w:bCs/>
          <w:color w:val="auto"/>
          <w:sz w:val="24"/>
          <w:highlight w:val="none"/>
        </w:rPr>
      </w:pPr>
      <w:r>
        <w:rPr>
          <w:rFonts w:hint="eastAsia" w:ascii="宋体" w:hAnsi="宋体" w:eastAsia="宋体" w:cs="宋体"/>
          <w:b/>
          <w:bCs/>
          <w:sz w:val="24"/>
          <w:highlight w:val="none"/>
          <w:lang w:eastAsia="zh-CN"/>
        </w:rPr>
        <w:t>（四）合同价款：</w:t>
      </w:r>
      <w:r>
        <w:rPr>
          <w:rFonts w:hint="eastAsia" w:ascii="宋体" w:hAnsi="宋体" w:eastAsia="宋体" w:cs="宋体"/>
          <w:color w:val="auto"/>
          <w:sz w:val="24"/>
          <w:highlight w:val="none"/>
        </w:rPr>
        <w:t>合同采用</w:t>
      </w:r>
      <w:r>
        <w:rPr>
          <w:rFonts w:hint="eastAsia" w:ascii="宋体" w:hAnsi="宋体" w:eastAsia="宋体" w:cs="宋体"/>
          <w:bCs/>
          <w:color w:val="auto"/>
          <w:sz w:val="24"/>
          <w:highlight w:val="none"/>
          <w:lang w:val="en-US" w:eastAsia="zh-CN"/>
        </w:rPr>
        <w:t>固定总价</w:t>
      </w:r>
    </w:p>
    <w:p w14:paraId="43003928">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注：本项目计价模式为固定总价，磋商报价包括但不限于指项目完成并经验收合格的所有费用，包括项目费用、国家按现行税收政策征收的一切税费等。</w:t>
      </w:r>
    </w:p>
    <w:p w14:paraId="44B4C375">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lang w:val="en-US" w:eastAsia="zh-CN" w:bidi="ar-SA"/>
        </w:rPr>
        <w:t>（五）</w:t>
      </w:r>
      <w:r>
        <w:rPr>
          <w:rFonts w:hint="eastAsia" w:ascii="宋体" w:hAnsi="宋体" w:eastAsia="宋体" w:cs="宋体"/>
          <w:b/>
          <w:bCs/>
          <w:sz w:val="24"/>
          <w:highlight w:val="none"/>
          <w:lang w:val="en-US" w:eastAsia="zh-CN"/>
        </w:rPr>
        <w:t>付款方式及付款依据</w:t>
      </w:r>
    </w:p>
    <w:p w14:paraId="7B96A0F7">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s="宋体"/>
          <w:color w:val="auto"/>
          <w:sz w:val="24"/>
          <w:highlight w:val="none"/>
        </w:rPr>
        <w:t>付款方式：</w:t>
      </w:r>
      <w:r>
        <w:rPr>
          <w:rFonts w:hint="eastAsia" w:ascii="宋体" w:hAnsi="宋体" w:eastAsia="宋体" w:cs="宋体"/>
          <w:bCs/>
          <w:color w:val="auto"/>
          <w:sz w:val="24"/>
          <w:highlight w:val="none"/>
          <w:lang w:val="en-US" w:eastAsia="en-US"/>
        </w:rPr>
        <w:t>合同签订后，达到付款条件起</w:t>
      </w:r>
      <w:r>
        <w:rPr>
          <w:rFonts w:hint="eastAsia" w:ascii="宋体" w:hAnsi="宋体" w:eastAsia="宋体" w:cs="宋体"/>
          <w:bCs/>
          <w:color w:val="auto"/>
          <w:sz w:val="24"/>
          <w:highlight w:val="none"/>
          <w:lang w:val="en-US" w:eastAsia="zh-CN"/>
        </w:rPr>
        <w:t>30</w:t>
      </w:r>
      <w:r>
        <w:rPr>
          <w:rFonts w:hint="eastAsia" w:ascii="宋体" w:hAnsi="宋体" w:eastAsia="宋体" w:cs="宋体"/>
          <w:bCs/>
          <w:color w:val="auto"/>
          <w:sz w:val="24"/>
          <w:highlight w:val="none"/>
          <w:lang w:val="en-US" w:eastAsia="en-US"/>
        </w:rPr>
        <w:t>日内，支付合同总金额的100.00%。</w:t>
      </w:r>
    </w:p>
    <w:p w14:paraId="72ADBA2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付款依据：</w:t>
      </w:r>
      <w:r>
        <w:rPr>
          <w:rFonts w:hint="eastAsia" w:ascii="宋体" w:hAnsi="宋体" w:cs="宋体"/>
          <w:color w:val="auto"/>
          <w:sz w:val="24"/>
          <w:highlight w:val="none"/>
        </w:rPr>
        <w:t>乙方应向甲方出具符合国家财税规定的增值税发票，否则甲方有权延迟履行付款义务。如因乙方缘故（如开具增值税发票延误等）导致甲方无法按时付款，甲方不承担违约责任。</w:t>
      </w:r>
    </w:p>
    <w:p w14:paraId="5C965DDE">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（六）</w:t>
      </w:r>
      <w:r>
        <w:rPr>
          <w:rFonts w:hint="eastAsia" w:ascii="宋体" w:hAnsi="宋体" w:eastAsia="宋体" w:cs="宋体"/>
          <w:b/>
          <w:bCs/>
          <w:color w:val="auto"/>
          <w:kern w:val="2"/>
          <w:sz w:val="24"/>
          <w:szCs w:val="24"/>
          <w:highlight w:val="none"/>
          <w:lang w:val="en-US" w:eastAsia="zh-CN" w:bidi="ar-SA"/>
        </w:rPr>
        <w:t>安全要求：</w:t>
      </w:r>
    </w:p>
    <w:p w14:paraId="08C6AA7A">
      <w:pPr>
        <w:spacing w:line="360" w:lineRule="auto"/>
        <w:ind w:firstLine="480" w:firstLineChars="200"/>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乙方在运维过程中，必须严格遵守《中华人民共和国保守国家秘</w:t>
      </w:r>
      <w:r>
        <w:rPr>
          <w:rFonts w:hint="default" w:ascii="宋体" w:hAnsi="宋体" w:eastAsia="宋体" w:cs="宋体"/>
          <w:b w:val="0"/>
          <w:bCs w:val="0"/>
          <w:color w:val="auto"/>
          <w:kern w:val="2"/>
          <w:sz w:val="24"/>
          <w:szCs w:val="24"/>
          <w:highlight w:val="none"/>
          <w:lang w:val="en-US" w:eastAsia="zh-CN" w:bidi="ar-SA"/>
        </w:rPr>
        <w:t>密法</w:t>
      </w:r>
      <w:r>
        <w:rPr>
          <w:rFonts w:hint="eastAsia" w:ascii="宋体" w:hAnsi="宋体" w:eastAsia="宋体" w:cs="宋体"/>
          <w:b w:val="0"/>
          <w:bCs w:val="0"/>
          <w:color w:val="auto"/>
          <w:kern w:val="2"/>
          <w:sz w:val="24"/>
          <w:szCs w:val="24"/>
          <w:highlight w:val="none"/>
          <w:lang w:val="en-US" w:eastAsia="zh-CN" w:bidi="ar-SA"/>
        </w:rPr>
        <w:t>》；在寄递数据存储、传输、处理等过程中，必须严格按照《中华人民共和国数据安全法》，保证寄递系统数据安全；如在运维过程中涉及网络安全专用产品，则该产品需具备《计算机信息系统安全专用产品销售许可证》。</w:t>
      </w:r>
    </w:p>
    <w:p w14:paraId="00A9CC36">
      <w:pPr>
        <w:outlineLvl w:val="9"/>
        <w:rPr>
          <w:rFonts w:hint="eastAsia"/>
          <w:highlight w:val="none"/>
        </w:rPr>
      </w:pPr>
    </w:p>
    <w:p w14:paraId="41CF9210">
      <w:pPr>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br w:type="page"/>
      </w:r>
    </w:p>
    <w:p w14:paraId="2DE3ED72">
      <w:pPr>
        <w:tabs>
          <w:tab w:val="left" w:pos="1427"/>
        </w:tabs>
        <w:ind w:firstLine="3640" w:firstLineChars="1300"/>
        <w:jc w:val="left"/>
        <w:rPr>
          <w:rFonts w:ascii="宋体" w:hAnsi="宋体" w:cs="宋体"/>
          <w:color w:val="auto"/>
          <w:sz w:val="32"/>
          <w:szCs w:val="32"/>
          <w:highlight w:val="none"/>
        </w:rPr>
      </w:pPr>
      <w:r>
        <w:rPr>
          <w:rFonts w:hint="eastAsia" w:ascii="宋体" w:hAnsi="宋体" w:cs="宋体"/>
          <w:color w:val="auto"/>
          <w:sz w:val="28"/>
          <w:szCs w:val="28"/>
          <w:highlight w:val="none"/>
        </w:rPr>
        <w:t>二、</w:t>
      </w:r>
      <w:r>
        <w:rPr>
          <w:rFonts w:hint="eastAsia" w:ascii="宋体" w:hAnsi="宋体" w:cs="宋体"/>
          <w:b/>
          <w:bCs/>
          <w:color w:val="auto"/>
          <w:sz w:val="32"/>
          <w:szCs w:val="32"/>
          <w:highlight w:val="none"/>
        </w:rPr>
        <w:t>合同草案条款</w:t>
      </w:r>
    </w:p>
    <w:p w14:paraId="4599BDC2">
      <w:pPr>
        <w:keepNext w:val="0"/>
        <w:keepLines w:val="0"/>
        <w:pageBreakBefore w:val="0"/>
        <w:kinsoku/>
        <w:wordWrap/>
        <w:topLinePunct w:val="0"/>
        <w:bidi w:val="0"/>
        <w:snapToGrid/>
        <w:spacing w:line="360" w:lineRule="auto"/>
        <w:ind w:firstLine="480" w:firstLineChars="200"/>
        <w:textAlignment w:val="auto"/>
        <w:rPr>
          <w:rFonts w:hint="eastAsia" w:ascii="宋体" w:hAnsi="宋体" w:eastAsia="宋体" w:cs="宋体"/>
          <w:color w:val="auto"/>
          <w:sz w:val="24"/>
          <w:szCs w:val="32"/>
          <w:highlight w:val="none"/>
        </w:rPr>
      </w:pPr>
      <w:bookmarkStart w:id="62" w:name="_Toc907"/>
      <w:r>
        <w:rPr>
          <w:rFonts w:hint="eastAsia" w:ascii="宋体" w:hAnsi="宋体" w:eastAsia="宋体" w:cs="宋体"/>
          <w:color w:val="auto"/>
          <w:sz w:val="24"/>
          <w:szCs w:val="32"/>
          <w:highlight w:val="none"/>
        </w:rPr>
        <w:t>采购人（以下简称甲方）：</w:t>
      </w:r>
    </w:p>
    <w:p w14:paraId="339F66FA">
      <w:pPr>
        <w:keepNext w:val="0"/>
        <w:keepLines w:val="0"/>
        <w:pageBreakBefore w:val="0"/>
        <w:kinsoku/>
        <w:wordWrap/>
        <w:topLinePunct w:val="0"/>
        <w:bidi w:val="0"/>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供应商（以下简称乙方）：</w:t>
      </w:r>
    </w:p>
    <w:p w14:paraId="43C74BA6">
      <w:pPr>
        <w:keepNext w:val="0"/>
        <w:keepLines w:val="0"/>
        <w:pageBreakBefore w:val="0"/>
        <w:kinsoku/>
        <w:wordWrap/>
        <w:topLinePunct w:val="0"/>
        <w:bidi w:val="0"/>
        <w:snapToGrid/>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根据《中华人民共和国民法典》、《中华人民共和国政府采购法》及其它有关法律、行政法规，为明确双方在</w:t>
      </w:r>
      <w:r>
        <w:rPr>
          <w:rFonts w:hint="eastAsia" w:ascii="宋体" w:hAnsi="宋体" w:cs="宋体"/>
          <w:bCs/>
          <w:color w:val="auto"/>
          <w:sz w:val="24"/>
          <w:highlight w:val="none"/>
          <w:lang w:eastAsia="zh-CN"/>
        </w:rPr>
        <w:t>实施</w:t>
      </w:r>
      <w:r>
        <w:rPr>
          <w:rFonts w:hint="eastAsia" w:ascii="宋体" w:hAnsi="宋体" w:eastAsia="宋体" w:cs="宋体"/>
          <w:bCs/>
          <w:color w:val="auto"/>
          <w:sz w:val="24"/>
          <w:highlight w:val="none"/>
        </w:rPr>
        <w:t>过程中的权利、义务，经双方协商自愿签订本合同。</w:t>
      </w:r>
    </w:p>
    <w:p w14:paraId="23DADF05">
      <w:pPr>
        <w:keepNext w:val="0"/>
        <w:keepLines w:val="0"/>
        <w:pageBreakBefore w:val="0"/>
        <w:kinsoku/>
        <w:wordWrap/>
        <w:topLinePunct w:val="0"/>
        <w:bidi w:val="0"/>
        <w:snapToGrid/>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一、合同组成</w:t>
      </w:r>
    </w:p>
    <w:p w14:paraId="770EA417">
      <w:pPr>
        <w:keepNext w:val="0"/>
        <w:keepLines w:val="0"/>
        <w:pageBreakBefore w:val="0"/>
        <w:kinsoku/>
        <w:wordWrap/>
        <w:topLinePunct w:val="0"/>
        <w:autoSpaceDE w:val="0"/>
        <w:autoSpaceDN w:val="0"/>
        <w:bidi w:val="0"/>
        <w:adjustRightInd w:val="0"/>
        <w:snapToGrid/>
        <w:spacing w:line="360" w:lineRule="auto"/>
        <w:ind w:left="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下述文件是构成本合同不可分割的部分</w:t>
      </w:r>
      <w:r>
        <w:rPr>
          <w:rFonts w:hint="eastAsia" w:ascii="宋体" w:hAnsi="宋体" w:eastAsia="宋体" w:cs="宋体"/>
          <w:color w:val="auto"/>
          <w:sz w:val="24"/>
          <w:highlight w:val="none"/>
        </w:rPr>
        <w:t>:</w:t>
      </w:r>
    </w:p>
    <w:p w14:paraId="620177EC">
      <w:pPr>
        <w:keepNext w:val="0"/>
        <w:keepLines w:val="0"/>
        <w:pageBreakBefore w:val="0"/>
        <w:kinsoku/>
        <w:wordWrap/>
        <w:topLinePunct w:val="0"/>
        <w:autoSpaceDE w:val="0"/>
        <w:autoSpaceDN w:val="0"/>
        <w:bidi w:val="0"/>
        <w:adjustRightInd w:val="0"/>
        <w:snapToGrid/>
        <w:spacing w:line="360" w:lineRule="auto"/>
        <w:ind w:left="48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本合同条款及其所有附件。</w:t>
      </w:r>
    </w:p>
    <w:p w14:paraId="6A83A7E1">
      <w:pPr>
        <w:keepNext w:val="0"/>
        <w:keepLines w:val="0"/>
        <w:pageBreakBefore w:val="0"/>
        <w:kinsoku/>
        <w:wordWrap/>
        <w:topLinePunct w:val="0"/>
        <w:autoSpaceDE w:val="0"/>
        <w:autoSpaceDN w:val="0"/>
        <w:bidi w:val="0"/>
        <w:adjustRightInd w:val="0"/>
        <w:snapToGrid/>
        <w:spacing w:line="360" w:lineRule="auto"/>
        <w:ind w:firstLine="480"/>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甲方的磋商文件及澄清文件。</w:t>
      </w:r>
    </w:p>
    <w:p w14:paraId="0445AFB2">
      <w:pPr>
        <w:keepNext w:val="0"/>
        <w:keepLines w:val="0"/>
        <w:pageBreakBefore w:val="0"/>
        <w:kinsoku/>
        <w:wordWrap/>
        <w:topLinePunct w:val="0"/>
        <w:autoSpaceDE w:val="0"/>
        <w:autoSpaceDN w:val="0"/>
        <w:bidi w:val="0"/>
        <w:adjustRightInd w:val="0"/>
        <w:snapToGrid/>
        <w:spacing w:line="360" w:lineRule="auto"/>
        <w:ind w:firstLine="480"/>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zh-CN"/>
        </w:rPr>
        <w:t>乙方的磋商响应文件及质疑解答文件。</w:t>
      </w:r>
    </w:p>
    <w:p w14:paraId="6732C543">
      <w:pPr>
        <w:keepNext w:val="0"/>
        <w:keepLines w:val="0"/>
        <w:pageBreakBefore w:val="0"/>
        <w:kinsoku/>
        <w:wordWrap/>
        <w:topLinePunct w:val="0"/>
        <w:autoSpaceDE w:val="0"/>
        <w:autoSpaceDN w:val="0"/>
        <w:bidi w:val="0"/>
        <w:adjustRightInd w:val="0"/>
        <w:snapToGrid/>
        <w:spacing w:line="360" w:lineRule="auto"/>
        <w:ind w:firstLine="48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zh-CN"/>
        </w:rPr>
        <w:t>成交通知书。</w:t>
      </w:r>
    </w:p>
    <w:p w14:paraId="27ACF974">
      <w:pPr>
        <w:keepNext w:val="0"/>
        <w:keepLines w:val="0"/>
        <w:pageBreakBefore w:val="0"/>
        <w:kinsoku/>
        <w:wordWrap/>
        <w:topLinePunct w:val="0"/>
        <w:autoSpaceDE w:val="0"/>
        <w:autoSpaceDN w:val="0"/>
        <w:bidi w:val="0"/>
        <w:adjustRightInd w:val="0"/>
        <w:snapToGrid/>
        <w:spacing w:line="360" w:lineRule="auto"/>
        <w:ind w:firstLine="48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zh-CN"/>
        </w:rPr>
        <w:t>法定代表人授权书。</w:t>
      </w:r>
    </w:p>
    <w:p w14:paraId="42FE08F4">
      <w:pPr>
        <w:keepNext w:val="0"/>
        <w:keepLines w:val="0"/>
        <w:pageBreakBefore w:val="0"/>
        <w:kinsoku/>
        <w:wordWrap/>
        <w:topLinePunct w:val="0"/>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（6）双方与合同有关的往来信函、传真经双方法定代表人或其授权代表签字并加盖单位公章确认后视为本合同的组成部分。</w:t>
      </w:r>
    </w:p>
    <w:p w14:paraId="7170BB53">
      <w:pPr>
        <w:keepNext w:val="0"/>
        <w:keepLines w:val="0"/>
        <w:pageBreakBefore w:val="0"/>
        <w:kinsoku/>
        <w:wordWrap/>
        <w:topLinePunct w:val="0"/>
        <w:autoSpaceDE w:val="0"/>
        <w:autoSpaceDN w:val="0"/>
        <w:bidi w:val="0"/>
        <w:adjustRightInd w:val="0"/>
        <w:snapToGrid/>
        <w:spacing w:line="360" w:lineRule="auto"/>
        <w:ind w:firstLine="48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（7）经双方法定代表人或其授权代表签字并加盖单位公章确认的补充协议。</w:t>
      </w:r>
    </w:p>
    <w:p w14:paraId="429F6C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如果乙方的磋商响应文件及质疑解答文件内容违背或低于甲方磋商文件要求或任何可能导致影响当次采购目的的情形，均应当被视为乙方自动放弃磋商响应文件及质疑解答文件中相应部分而同意以磋商文件相应内容为准。如果乙方的磋商响应文件及质疑解答文件内容高于甲方磋商文件要求，则以乙方的磋商响应文件及质疑解答文件内容为准。如果合同条款与合同附件有矛盾之处，以合同条款内容为准。</w:t>
      </w:r>
      <w:r>
        <w:rPr>
          <w:rFonts w:hint="eastAsia" w:ascii="宋体" w:hAnsi="宋体" w:eastAsia="宋体" w:cs="宋体"/>
          <w:color w:val="auto"/>
          <w:sz w:val="24"/>
          <w:highlight w:val="none"/>
        </w:rPr>
        <w:t>如果合同附件之间有矛盾之处，以有利于甲方的附件内容为准。</w:t>
      </w:r>
    </w:p>
    <w:p w14:paraId="5B23EE77">
      <w:pPr>
        <w:keepNext w:val="0"/>
        <w:keepLines w:val="0"/>
        <w:pageBreakBefore w:val="0"/>
        <w:kinsoku/>
        <w:wordWrap/>
        <w:overflowPunct w:val="0"/>
        <w:topLinePunct w:val="0"/>
        <w:bidi w:val="0"/>
        <w:snapToGrid/>
        <w:spacing w:line="360" w:lineRule="auto"/>
        <w:ind w:firstLine="480"/>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3.上述合同文件应能够相互解释、相互说明。如合同文件之间出现不一致，除本合同另有约定外，第（1）款至（6）款的排列顺序就是合同文件的优先解释顺序。对于第（7）款中双方达成的补充协议与原合同（包括（1）-（6）款中所列的所有文件）存在不一致，以签订日期在后的补充协议为准。</w:t>
      </w:r>
    </w:p>
    <w:p w14:paraId="5CD844DE">
      <w:pPr>
        <w:keepNext w:val="0"/>
        <w:keepLines w:val="0"/>
        <w:pageBreakBefore w:val="0"/>
        <w:kinsoku/>
        <w:wordWrap/>
        <w:topLinePunct w:val="0"/>
        <w:bidi w:val="0"/>
        <w:snapToGrid/>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二、项目概况</w:t>
      </w:r>
    </w:p>
    <w:p w14:paraId="63081B05">
      <w:pPr>
        <w:keepNext w:val="0"/>
        <w:keepLines w:val="0"/>
        <w:pageBreakBefore w:val="0"/>
        <w:kinsoku/>
        <w:wordWrap/>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highlight w:val="none"/>
        </w:rPr>
        <w:t>1.服务内容：</w:t>
      </w:r>
    </w:p>
    <w:p w14:paraId="42CE8A1D">
      <w:pPr>
        <w:keepNext w:val="0"/>
        <w:keepLines w:val="0"/>
        <w:pageBreakBefore w:val="0"/>
        <w:kinsoku/>
        <w:wordWrap/>
        <w:topLinePunct w:val="0"/>
        <w:bidi w:val="0"/>
        <w:snapToGrid/>
        <w:spacing w:line="360" w:lineRule="auto"/>
        <w:ind w:firstLine="48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期：</w:t>
      </w:r>
      <w:r>
        <w:rPr>
          <w:rFonts w:hint="eastAsia" w:ascii="宋体" w:hAnsi="宋体" w:eastAsia="宋体" w:cs="宋体"/>
          <w:color w:val="auto"/>
          <w:sz w:val="24"/>
          <w:highlight w:val="none"/>
          <w:lang w:val="en-US" w:eastAsia="zh-CN"/>
        </w:rPr>
        <w:t>自合同签订之日起</w:t>
      </w:r>
      <w:r>
        <w:rPr>
          <w:rFonts w:hint="eastAsia" w:ascii="宋体" w:hAnsi="宋体" w:cs="宋体"/>
          <w:color w:val="auto"/>
          <w:sz w:val="24"/>
          <w:highlight w:val="none"/>
          <w:u w:val="single"/>
          <w:lang w:val="en-US" w:eastAsia="zh-CN"/>
        </w:rPr>
        <w:t xml:space="preserve"> 1 </w:t>
      </w:r>
      <w:r>
        <w:rPr>
          <w:rFonts w:hint="eastAsia" w:ascii="宋体" w:hAnsi="宋体" w:eastAsia="宋体" w:cs="宋体"/>
          <w:color w:val="auto"/>
          <w:sz w:val="24"/>
          <w:highlight w:val="none"/>
          <w:lang w:val="en-US" w:eastAsia="zh-CN"/>
        </w:rPr>
        <w:t>年。</w:t>
      </w:r>
      <w:r>
        <w:rPr>
          <w:rFonts w:hint="eastAsia" w:ascii="宋体" w:hAnsi="宋体" w:cs="宋体"/>
          <w:color w:val="auto"/>
          <w:sz w:val="24"/>
          <w:highlight w:val="none"/>
          <w:lang w:val="en-US" w:eastAsia="zh-CN"/>
        </w:rPr>
        <w:t xml:space="preserve"> 有效期为第1个年度服务期满为止（12个月）。第1个年度服务期满后，</w:t>
      </w:r>
      <w:r>
        <w:rPr>
          <w:rFonts w:hint="eastAsia" w:ascii="宋体" w:hAnsi="宋体" w:cs="宋体"/>
          <w:color w:val="000000" w:themeColor="text1"/>
          <w:sz w:val="24"/>
          <w:highlight w:val="none"/>
          <w:lang w:val="en-US" w:eastAsia="zh-CN"/>
          <w14:textFill>
            <w14:solidFill>
              <w14:schemeClr w14:val="tx1"/>
            </w14:solidFill>
          </w14:textFill>
        </w:rPr>
        <w:t>系统运行良好，且乙方严格按照《中华人民共和国保守国家秘</w:t>
      </w:r>
      <w:r>
        <w:rPr>
          <w:rFonts w:hint="default" w:ascii="宋体" w:hAnsi="宋体" w:cs="宋体"/>
          <w:color w:val="000000" w:themeColor="text1"/>
          <w:sz w:val="24"/>
          <w:highlight w:val="none"/>
          <w:lang w:val="en-US" w:eastAsia="zh-CN"/>
          <w14:textFill>
            <w14:solidFill>
              <w14:schemeClr w14:val="tx1"/>
            </w14:solidFill>
          </w14:textFill>
        </w:rPr>
        <w:t>密法</w:t>
      </w:r>
      <w:r>
        <w:rPr>
          <w:rFonts w:hint="eastAsia" w:ascii="宋体" w:hAnsi="宋体" w:cs="宋体"/>
          <w:color w:val="000000" w:themeColor="text1"/>
          <w:sz w:val="24"/>
          <w:highlight w:val="none"/>
          <w:lang w:val="en-US" w:eastAsia="zh-CN"/>
          <w14:textFill>
            <w14:solidFill>
              <w14:schemeClr w14:val="tx1"/>
            </w14:solidFill>
          </w14:textFill>
        </w:rPr>
        <w:t>》及《中华人民共和国数据安全法》履行运维合同，则在双方无异议情况下</w:t>
      </w:r>
      <w:r>
        <w:rPr>
          <w:rFonts w:hint="eastAsia" w:ascii="宋体" w:hAnsi="宋体" w:cs="宋体"/>
          <w:color w:val="auto"/>
          <w:sz w:val="24"/>
          <w:highlight w:val="none"/>
          <w:lang w:val="en-US" w:eastAsia="zh-CN"/>
        </w:rPr>
        <w:t>，可以在第2个年度续签合同；第2个年度租服务期满后，双方若无异议，可以在第3个年度续签合同。截止第3个年度合同期满为止。</w:t>
      </w:r>
    </w:p>
    <w:p w14:paraId="37E4A0FE">
      <w:pPr>
        <w:keepNext w:val="0"/>
        <w:keepLines w:val="0"/>
        <w:pageBreakBefore w:val="0"/>
        <w:kinsoku/>
        <w:wordWrap/>
        <w:topLinePunct w:val="0"/>
        <w:bidi w:val="0"/>
        <w:snapToGrid/>
        <w:spacing w:line="360" w:lineRule="auto"/>
        <w:ind w:firstLine="480" w:firstLineChars="200"/>
        <w:textAlignment w:val="auto"/>
        <w:rPr>
          <w:rFonts w:hint="eastAsia" w:ascii="宋体" w:hAnsi="宋体" w:cs="宋体"/>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服务地点：</w:t>
      </w:r>
      <w:r>
        <w:rPr>
          <w:rFonts w:hint="eastAsia" w:ascii="宋体" w:hAnsi="宋体" w:eastAsia="宋体" w:cs="宋体"/>
          <w:sz w:val="24"/>
          <w:highlight w:val="none"/>
          <w:lang w:eastAsia="zh-CN"/>
        </w:rPr>
        <w:t>甲方</w:t>
      </w:r>
      <w:r>
        <w:rPr>
          <w:rFonts w:hint="eastAsia" w:ascii="宋体" w:hAnsi="宋体" w:cs="宋体"/>
          <w:sz w:val="24"/>
          <w:highlight w:val="none"/>
        </w:rPr>
        <w:t>指定地点</w:t>
      </w:r>
    </w:p>
    <w:p w14:paraId="414D69E1">
      <w:pPr>
        <w:keepNext w:val="0"/>
        <w:keepLines w:val="0"/>
        <w:pageBreakBefore w:val="0"/>
        <w:kinsoku/>
        <w:wordWrap/>
        <w:topLinePunct w:val="0"/>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质量要求：符合国家</w:t>
      </w:r>
      <w:r>
        <w:rPr>
          <w:rFonts w:hint="eastAsia" w:ascii="宋体" w:hAnsi="宋体" w:eastAsia="宋体" w:cs="宋体"/>
          <w:color w:val="auto"/>
          <w:sz w:val="24"/>
          <w:highlight w:val="none"/>
          <w:lang w:val="en-US" w:eastAsia="zh-CN"/>
        </w:rPr>
        <w:t>及行业</w:t>
      </w:r>
      <w:r>
        <w:rPr>
          <w:rFonts w:hint="eastAsia" w:ascii="宋体" w:hAnsi="宋体" w:eastAsia="宋体" w:cs="宋体"/>
          <w:color w:val="auto"/>
          <w:sz w:val="24"/>
          <w:highlight w:val="none"/>
        </w:rPr>
        <w:t>有关现行规范、标准的要求</w:t>
      </w:r>
    </w:p>
    <w:p w14:paraId="5E75D8DA">
      <w:pPr>
        <w:keepNext w:val="0"/>
        <w:keepLines w:val="0"/>
        <w:pageBreakBefore w:val="0"/>
        <w:kinsoku/>
        <w:wordWrap/>
        <w:topLinePunct w:val="0"/>
        <w:bidi w:val="0"/>
        <w:snapToGrid/>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w:t>
      </w:r>
      <w:r>
        <w:rPr>
          <w:rFonts w:hint="eastAsia" w:ascii="宋体" w:hAnsi="宋体" w:eastAsia="宋体" w:cs="宋体"/>
          <w:b/>
          <w:bCs/>
          <w:color w:val="auto"/>
          <w:sz w:val="24"/>
          <w:highlight w:val="none"/>
        </w:rPr>
        <w:t>合同价款及付款比例</w:t>
      </w:r>
    </w:p>
    <w:p w14:paraId="3FA7D830">
      <w:pPr>
        <w:keepNext w:val="0"/>
        <w:keepLines w:val="0"/>
        <w:pageBreakBefore w:val="0"/>
        <w:widowControl/>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bCs/>
          <w:color w:val="auto"/>
          <w:sz w:val="24"/>
          <w:highlight w:val="none"/>
        </w:rPr>
        <w:t>1.合同价款：</w:t>
      </w:r>
      <w:r>
        <w:rPr>
          <w:rFonts w:hint="eastAsia" w:ascii="宋体" w:hAnsi="宋体" w:eastAsia="宋体" w:cs="宋体"/>
          <w:color w:val="auto"/>
          <w:sz w:val="24"/>
          <w:highlight w:val="none"/>
        </w:rPr>
        <w:t>合同为固定</w:t>
      </w:r>
      <w:r>
        <w:rPr>
          <w:rFonts w:hint="eastAsia" w:ascii="宋体" w:hAnsi="宋体" w:eastAsia="宋体" w:cs="宋体"/>
          <w:color w:val="auto"/>
          <w:sz w:val="24"/>
          <w:highlight w:val="none"/>
          <w:lang w:eastAsia="zh-CN"/>
        </w:rPr>
        <w:t>总</w:t>
      </w:r>
      <w:r>
        <w:rPr>
          <w:rFonts w:hint="eastAsia" w:ascii="宋体" w:hAnsi="宋体" w:eastAsia="宋体" w:cs="宋体"/>
          <w:color w:val="auto"/>
          <w:sz w:val="24"/>
          <w:highlight w:val="none"/>
        </w:rPr>
        <w:t>价合同</w:t>
      </w:r>
      <w:r>
        <w:rPr>
          <w:rFonts w:hint="eastAsia" w:ascii="宋体" w:hAnsi="宋体" w:eastAsia="宋体" w:cs="宋体"/>
          <w:color w:val="auto"/>
          <w:sz w:val="24"/>
          <w:highlight w:val="none"/>
          <w:lang w:eastAsia="zh-CN"/>
        </w:rPr>
        <w:t>。</w:t>
      </w:r>
    </w:p>
    <w:p w14:paraId="4400DF1E">
      <w:pPr>
        <w:keepNext w:val="0"/>
        <w:keepLines w:val="0"/>
        <w:pageBreakBefore w:val="0"/>
        <w:widowControl/>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Cs/>
          <w:color w:val="auto"/>
          <w:sz w:val="24"/>
          <w:highlight w:val="none"/>
          <w:lang w:val="en-US" w:eastAsia="zh-CN"/>
        </w:rPr>
      </w:pPr>
      <w:r>
        <w:rPr>
          <w:rFonts w:hint="eastAsia" w:ascii="宋体" w:hAnsi="宋体" w:eastAsia="宋体" w:cs="宋体"/>
          <w:color w:val="auto"/>
          <w:sz w:val="24"/>
          <w:szCs w:val="24"/>
          <w:highlight w:val="none"/>
        </w:rPr>
        <w:t>合同总价款</w:t>
      </w:r>
      <w:r>
        <w:rPr>
          <w:rFonts w:hint="eastAsia" w:ascii="宋体" w:hAnsi="宋体" w:eastAsia="宋体" w:cs="宋体"/>
          <w:color w:val="auto"/>
          <w:sz w:val="24"/>
          <w:highlight w:val="none"/>
        </w:rPr>
        <w:t>人民币（大写）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元，（小写）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p>
    <w:p w14:paraId="18A9B29A">
      <w:pPr>
        <w:keepNext w:val="0"/>
        <w:keepLines w:val="0"/>
        <w:pageBreakBefore w:val="0"/>
        <w:widowControl/>
        <w:wordWrap/>
        <w:overflowPunct/>
        <w:topLinePunct w:val="0"/>
        <w:autoSpaceDE w:val="0"/>
        <w:autoSpaceDN w:val="0"/>
        <w:bidi w:val="0"/>
        <w:adjustRightInd w:val="0"/>
        <w:snapToGrid/>
        <w:spacing w:line="360" w:lineRule="auto"/>
        <w:ind w:firstLine="480" w:firstLineChars="200"/>
        <w:textAlignment w:val="baseline"/>
        <w:rPr>
          <w:rFonts w:ascii="宋体" w:hAnsi="宋体" w:cs="宋体"/>
          <w:color w:val="auto"/>
          <w:sz w:val="24"/>
          <w:highlight w:val="none"/>
        </w:rPr>
      </w:pP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rPr>
        <w:t>付款方式：</w:t>
      </w:r>
      <w:r>
        <w:rPr>
          <w:rFonts w:hint="eastAsia" w:ascii="宋体" w:hAnsi="宋体" w:eastAsia="宋体" w:cs="宋体"/>
          <w:bCs/>
          <w:color w:val="auto"/>
          <w:sz w:val="24"/>
          <w:highlight w:val="none"/>
          <w:lang w:val="en-US" w:eastAsia="en-US"/>
        </w:rPr>
        <w:t>合同签订后，达到付款条件起</w:t>
      </w:r>
      <w:r>
        <w:rPr>
          <w:rFonts w:hint="eastAsia" w:ascii="宋体" w:hAnsi="宋体" w:eastAsia="宋体" w:cs="宋体"/>
          <w:bCs/>
          <w:color w:val="auto"/>
          <w:sz w:val="24"/>
          <w:highlight w:val="none"/>
          <w:lang w:val="en-US" w:eastAsia="zh-CN"/>
        </w:rPr>
        <w:t>30</w:t>
      </w:r>
      <w:r>
        <w:rPr>
          <w:rFonts w:hint="eastAsia" w:ascii="宋体" w:hAnsi="宋体" w:eastAsia="宋体" w:cs="宋体"/>
          <w:bCs/>
          <w:color w:val="auto"/>
          <w:sz w:val="24"/>
          <w:highlight w:val="none"/>
          <w:lang w:val="en-US" w:eastAsia="en-US"/>
        </w:rPr>
        <w:t>日内，支付合同总金额的100.00%。</w:t>
      </w:r>
    </w:p>
    <w:p w14:paraId="3857AE7B">
      <w:pPr>
        <w:keepNext w:val="0"/>
        <w:keepLines w:val="0"/>
        <w:pageBreakBefore w:val="0"/>
        <w:widowControl/>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3.乙方开户银行指定账户为：</w:t>
      </w:r>
    </w:p>
    <w:p w14:paraId="08BEAC4D">
      <w:pPr>
        <w:keepNext w:val="0"/>
        <w:keepLines w:val="0"/>
        <w:pageBreakBefore w:val="0"/>
        <w:widowControl/>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收款人：</w:t>
      </w:r>
    </w:p>
    <w:p w14:paraId="1E9D9642">
      <w:pPr>
        <w:keepNext w:val="0"/>
        <w:keepLines w:val="0"/>
        <w:pageBreakBefore w:val="0"/>
        <w:widowControl/>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开户行：</w:t>
      </w:r>
    </w:p>
    <w:p w14:paraId="1306997C">
      <w:pPr>
        <w:keepNext w:val="0"/>
        <w:keepLines w:val="0"/>
        <w:pageBreakBefore w:val="0"/>
        <w:widowControl/>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账号：</w:t>
      </w:r>
    </w:p>
    <w:p w14:paraId="0087CC2F">
      <w:pPr>
        <w:keepNext w:val="0"/>
        <w:keepLines w:val="0"/>
        <w:pageBreakBefore w:val="0"/>
        <w:kinsoku/>
        <w:wordWrap/>
        <w:topLinePunct w:val="0"/>
        <w:bidi w:val="0"/>
        <w:snapToGrid/>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四、</w:t>
      </w:r>
      <w:r>
        <w:rPr>
          <w:rFonts w:hint="eastAsia" w:ascii="宋体" w:hAnsi="宋体" w:eastAsia="宋体" w:cs="宋体"/>
          <w:b/>
          <w:color w:val="auto"/>
          <w:sz w:val="24"/>
          <w:highlight w:val="none"/>
        </w:rPr>
        <w:t>乙方：</w:t>
      </w:r>
      <w:r>
        <w:rPr>
          <w:rFonts w:hint="eastAsia" w:ascii="宋体" w:hAnsi="宋体" w:eastAsia="宋体" w:cs="宋体"/>
          <w:bCs/>
          <w:color w:val="auto"/>
          <w:sz w:val="24"/>
          <w:highlight w:val="none"/>
        </w:rPr>
        <w:t>本项目拟派</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为负责人，联系电话：</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，身份证号：</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w:t>
      </w:r>
    </w:p>
    <w:p w14:paraId="65A2F545">
      <w:pPr>
        <w:pStyle w:val="11"/>
        <w:keepNext w:val="0"/>
        <w:keepLines w:val="0"/>
        <w:pageBreakBefore w:val="0"/>
        <w:kinsoku/>
        <w:wordWrap/>
        <w:topLinePunct w:val="0"/>
        <w:bidi w:val="0"/>
        <w:snapToGrid/>
        <w:spacing w:line="360" w:lineRule="auto"/>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五、甲方的主要责任和权利</w:t>
      </w:r>
    </w:p>
    <w:p w14:paraId="1795CFF0">
      <w:pPr>
        <w:keepNext w:val="0"/>
        <w:keepLines w:val="0"/>
        <w:pageBreakBefore w:val="0"/>
        <w:kinsoku/>
        <w:wordWrap/>
        <w:topLinePunct w:val="0"/>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1.乙方在为甲方提供服务时所形成的成果及成果的知识产权归甲方所有。</w:t>
      </w:r>
    </w:p>
    <w:p w14:paraId="7DFD96A6">
      <w:pPr>
        <w:keepNext w:val="0"/>
        <w:keepLines w:val="0"/>
        <w:pageBreakBefore w:val="0"/>
        <w:kinsoku/>
        <w:wordWrap/>
        <w:topLinePunct w:val="0"/>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2.甲方有权随时了解乙方的工作进展情况，并对</w:t>
      </w:r>
      <w:r>
        <w:rPr>
          <w:rFonts w:hint="eastAsia" w:ascii="宋体" w:hAnsi="宋体" w:eastAsia="宋体" w:cs="宋体"/>
          <w:color w:val="auto"/>
          <w:sz w:val="24"/>
          <w:highlight w:val="none"/>
          <w:lang w:eastAsia="zh-CN"/>
        </w:rPr>
        <w:t>服务过程</w:t>
      </w:r>
      <w:r>
        <w:rPr>
          <w:rFonts w:hint="eastAsia" w:ascii="宋体" w:hAnsi="宋体" w:eastAsia="宋体" w:cs="宋体"/>
          <w:color w:val="auto"/>
          <w:sz w:val="24"/>
          <w:highlight w:val="none"/>
        </w:rPr>
        <w:t>进行监督检查。</w:t>
      </w:r>
    </w:p>
    <w:p w14:paraId="2A72A0E0">
      <w:pPr>
        <w:keepNext w:val="0"/>
        <w:keepLines w:val="0"/>
        <w:pageBreakBefore w:val="0"/>
        <w:kinsoku/>
        <w:wordWrap/>
        <w:topLinePunct w:val="0"/>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3.甲方将向乙方提供为完成服务工作所需要的信息、资料和其他相关协助。</w:t>
      </w:r>
    </w:p>
    <w:p w14:paraId="07A62692">
      <w:pPr>
        <w:keepNext w:val="0"/>
        <w:keepLines w:val="0"/>
        <w:pageBreakBefore w:val="0"/>
        <w:kinsoku/>
        <w:wordWrap/>
        <w:topLinePunct w:val="0"/>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4.甲方若认为乙方履行合同不力严重影响项目服务质量，甲方有权要求更换乙方主要人员，直至终止合同。</w:t>
      </w:r>
    </w:p>
    <w:p w14:paraId="1077B4AC">
      <w:pPr>
        <w:keepNext w:val="0"/>
        <w:keepLines w:val="0"/>
        <w:pageBreakBefore w:val="0"/>
        <w:kinsoku/>
        <w:wordWrap/>
        <w:topLinePunct w:val="0"/>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5.甲方支持乙方的工作，按合同保证乙方责任和权力的统一。</w:t>
      </w:r>
    </w:p>
    <w:p w14:paraId="661F4B81">
      <w:pPr>
        <w:keepNext w:val="0"/>
        <w:keepLines w:val="0"/>
        <w:pageBreakBefore w:val="0"/>
        <w:kinsoku/>
        <w:wordWrap/>
        <w:topLinePunct w:val="0"/>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6.甲方有权阐述对具体问题的意见和建议。</w:t>
      </w:r>
    </w:p>
    <w:p w14:paraId="29A19CC5">
      <w:pPr>
        <w:keepNext w:val="0"/>
        <w:keepLines w:val="0"/>
        <w:pageBreakBefore w:val="0"/>
        <w:kinsoku/>
        <w:wordWrap/>
        <w:topLinePunct w:val="0"/>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7.甲方有权根据项目的具体情况，要求乙方按期到项目现场解决争议。</w:t>
      </w:r>
    </w:p>
    <w:p w14:paraId="2235FD03">
      <w:pPr>
        <w:keepNext w:val="0"/>
        <w:keepLines w:val="0"/>
        <w:pageBreakBefore w:val="0"/>
        <w:kinsoku/>
        <w:wordWrap/>
        <w:topLinePunct w:val="0"/>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8.甲方有权对服务质量进行评估，若服务评估结果不合格，甲方有权扣除不超过10%的合同金额或终止合同。</w:t>
      </w:r>
    </w:p>
    <w:p w14:paraId="22777368">
      <w:pPr>
        <w:keepNext w:val="0"/>
        <w:keepLines w:val="0"/>
        <w:pageBreakBefore w:val="0"/>
        <w:kinsoku/>
        <w:wordWrap/>
        <w:topLinePunct w:val="0"/>
        <w:bidi w:val="0"/>
        <w:snapToGrid/>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六、乙方的主要责任和权利</w:t>
      </w:r>
    </w:p>
    <w:p w14:paraId="5EAAB957">
      <w:pPr>
        <w:keepNext w:val="0"/>
        <w:keepLines w:val="0"/>
        <w:pageBreakBefore w:val="0"/>
        <w:kinsoku/>
        <w:wordWrap/>
        <w:topLinePunct w:val="0"/>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1.乙方必须具有履行本合同书所需的技能，必须按照相关的职业准则完成其全部职责。</w:t>
      </w:r>
    </w:p>
    <w:p w14:paraId="0D140F13">
      <w:pPr>
        <w:keepNext w:val="0"/>
        <w:keepLines w:val="0"/>
        <w:pageBreakBefore w:val="0"/>
        <w:kinsoku/>
        <w:wordWrap/>
        <w:topLinePunct w:val="0"/>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2.乙方应根据本合同的约定提交相关文件、资料。</w:t>
      </w:r>
    </w:p>
    <w:p w14:paraId="157C040E">
      <w:pPr>
        <w:keepNext w:val="0"/>
        <w:keepLines w:val="0"/>
        <w:pageBreakBefore w:val="0"/>
        <w:kinsoku/>
        <w:wordWrap/>
        <w:topLinePunct w:val="0"/>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.对甲方提供的基础资料、数据、信息等严格保密。</w:t>
      </w:r>
    </w:p>
    <w:p w14:paraId="4BBE4922">
      <w:pPr>
        <w:keepNext w:val="0"/>
        <w:keepLines w:val="0"/>
        <w:pageBreakBefore w:val="0"/>
        <w:kinsoku/>
        <w:wordWrap/>
        <w:topLinePunct w:val="0"/>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.解答甲方提出的与项目有关的询问，接受甲方监督和检查，无条件按照甲方要求对成果报告进行整改和完善。</w:t>
      </w:r>
    </w:p>
    <w:p w14:paraId="13B3FB1F">
      <w:pPr>
        <w:keepNext w:val="0"/>
        <w:keepLines w:val="0"/>
        <w:pageBreakBefore w:val="0"/>
        <w:kinsoku/>
        <w:wordWrap/>
        <w:topLinePunct w:val="0"/>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.乙方应根据本合同的约定提供服务并提交工作成果，确保所提交成果的实用质量，具有可借鉴、可操作性。</w:t>
      </w:r>
    </w:p>
    <w:p w14:paraId="5305E9BE">
      <w:pPr>
        <w:keepNext w:val="0"/>
        <w:keepLines w:val="0"/>
        <w:pageBreakBefore w:val="0"/>
        <w:kinsoku/>
        <w:wordWrap/>
        <w:topLinePunct w:val="0"/>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.乙方人员服务期中发生任何安全问题均与甲方无关，乙方应确保项目人员均购买人身保险。</w:t>
      </w:r>
    </w:p>
    <w:p w14:paraId="5E0D37A7">
      <w:pPr>
        <w:pStyle w:val="30"/>
        <w:keepNext w:val="0"/>
        <w:keepLines w:val="0"/>
        <w:pageBreakBefore w:val="0"/>
        <w:tabs>
          <w:tab w:val="left" w:pos="1134"/>
          <w:tab w:val="left" w:pos="1418"/>
        </w:tabs>
        <w:kinsoku/>
        <w:wordWrap/>
        <w:topLinePunct w:val="0"/>
        <w:bidi w:val="0"/>
        <w:adjustRightInd w:val="0"/>
        <w:snapToGrid/>
        <w:spacing w:line="360" w:lineRule="auto"/>
        <w:ind w:left="0" w:leftChars="0" w:firstLine="0" w:firstLineChars="0"/>
        <w:textAlignment w:val="auto"/>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七、</w:t>
      </w:r>
      <w:r>
        <w:rPr>
          <w:rFonts w:hint="eastAsia" w:ascii="宋体" w:hAnsi="宋体" w:eastAsia="宋体" w:cs="宋体"/>
          <w:b/>
          <w:color w:val="auto"/>
          <w:highlight w:val="none"/>
          <w:lang w:val="zh-CN" w:eastAsia="zh-CN"/>
        </w:rPr>
        <w:t>知识产权</w:t>
      </w:r>
    </w:p>
    <w:p w14:paraId="6FD309B0">
      <w:pPr>
        <w:keepNext w:val="0"/>
        <w:keepLines w:val="0"/>
        <w:pageBreakBefore w:val="0"/>
        <w:kinsoku/>
        <w:wordWrap/>
        <w:topLinePunct w:val="0"/>
        <w:bidi w:val="0"/>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在为甲方提供服务时所获得或形成成果的知识产权归甲方所有，未经甲方许可，乙方不得以任何方式使用，亦不得出于任何目的向第三方披露或许可第三方使用。主要以该项目形成的成果参加各类评奖，应经甲方书面同意，与甲方共同申报。</w:t>
      </w:r>
    </w:p>
    <w:p w14:paraId="733AA637">
      <w:pPr>
        <w:keepNext w:val="0"/>
        <w:keepLines w:val="0"/>
        <w:pageBreakBefore w:val="0"/>
        <w:kinsoku/>
        <w:wordWrap/>
        <w:topLinePunct w:val="0"/>
        <w:bidi w:val="0"/>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2.若乙方在为甲方提供服务时侵犯了第三人的权利，致使甲方受到索赔或起诉，由此给甲方造成的一切损失由乙方承担，同时甲方有权解除合同，同时乙方及时消除不良影响。</w:t>
      </w:r>
    </w:p>
    <w:p w14:paraId="44C7BB2B">
      <w:pPr>
        <w:keepNext w:val="0"/>
        <w:keepLines w:val="0"/>
        <w:pageBreakBefore w:val="0"/>
        <w:kinsoku/>
        <w:wordWrap/>
        <w:topLinePunct w:val="0"/>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3.若未经甲方许可，乙方擅自使用或向第三方披露或许可第三方使用在为甲方提供服务时所获得的成果，甲方有权要求乙方或第三方停止侵权，并承担以此带来的所有损失，同时消除不良影响。</w:t>
      </w:r>
    </w:p>
    <w:p w14:paraId="2D3F22FA">
      <w:pPr>
        <w:pStyle w:val="3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ascii="宋体" w:hAnsi="宋体" w:cs="宋体"/>
          <w:sz w:val="24"/>
          <w:lang w:val="en-US" w:eastAsia="zh-CN"/>
        </w:rPr>
        <w:t>4.</w:t>
      </w:r>
      <w:r>
        <w:rPr>
          <w:rFonts w:hint="eastAsia" w:ascii="宋体" w:hAnsi="宋体" w:cs="宋体"/>
          <w:sz w:val="24"/>
        </w:rPr>
        <w:t>本合同条款的规定不因本合同的到期而失效。</w:t>
      </w:r>
    </w:p>
    <w:p w14:paraId="4C27C810">
      <w:pPr>
        <w:pStyle w:val="30"/>
        <w:keepNext w:val="0"/>
        <w:keepLines w:val="0"/>
        <w:pageBreakBefore w:val="0"/>
        <w:tabs>
          <w:tab w:val="left" w:pos="1134"/>
          <w:tab w:val="left" w:pos="1418"/>
        </w:tabs>
        <w:kinsoku/>
        <w:wordWrap/>
        <w:topLinePunct w:val="0"/>
        <w:bidi w:val="0"/>
        <w:adjustRightInd w:val="0"/>
        <w:snapToGrid/>
        <w:spacing w:line="360" w:lineRule="auto"/>
        <w:ind w:left="0" w:leftChars="0" w:firstLine="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color w:val="auto"/>
          <w:highlight w:val="none"/>
          <w:lang w:val="en-US" w:eastAsia="zh-CN"/>
        </w:rPr>
        <w:t>八、</w:t>
      </w:r>
      <w:r>
        <w:rPr>
          <w:rFonts w:hint="eastAsia" w:ascii="宋体" w:hAnsi="宋体" w:eastAsia="宋体" w:cs="宋体"/>
          <w:b/>
          <w:bCs/>
          <w:color w:val="auto"/>
          <w:kern w:val="2"/>
          <w:sz w:val="24"/>
          <w:szCs w:val="24"/>
          <w:highlight w:val="none"/>
          <w:lang w:val="en-US" w:eastAsia="zh-CN" w:bidi="ar-SA"/>
        </w:rPr>
        <w:t>验收</w:t>
      </w:r>
    </w:p>
    <w:p w14:paraId="2D56E8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验收时间：项目完成后</w:t>
      </w:r>
    </w:p>
    <w:p w14:paraId="5D2DFF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质量标准：</w:t>
      </w:r>
      <w:r>
        <w:rPr>
          <w:rFonts w:hint="eastAsia" w:ascii="宋体" w:hAnsi="宋体" w:eastAsia="宋体" w:cs="宋体"/>
          <w:color w:val="auto"/>
          <w:sz w:val="24"/>
          <w:highlight w:val="none"/>
        </w:rPr>
        <w:t>符合国家</w:t>
      </w:r>
      <w:r>
        <w:rPr>
          <w:rFonts w:hint="eastAsia" w:ascii="宋体" w:hAnsi="宋体" w:eastAsia="宋体" w:cs="宋体"/>
          <w:color w:val="auto"/>
          <w:sz w:val="24"/>
          <w:highlight w:val="none"/>
          <w:lang w:val="en-US" w:eastAsia="zh-CN"/>
        </w:rPr>
        <w:t>及行业</w:t>
      </w:r>
      <w:r>
        <w:rPr>
          <w:rFonts w:hint="eastAsia" w:ascii="宋体" w:hAnsi="宋体" w:eastAsia="宋体" w:cs="宋体"/>
          <w:color w:val="auto"/>
          <w:sz w:val="24"/>
          <w:highlight w:val="none"/>
        </w:rPr>
        <w:t>有关现行规范、标准的要求</w:t>
      </w:r>
    </w:p>
    <w:p w14:paraId="5A24DE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验收合格条件：符合国家标准和技术规格书及合同要求，符合竞争性磋商文件、成交供应商的磋商文件、澄清文件和成交通知书的要求等,乙方应严格按照上述及采购人要求实施项目服务，甲方有权对乙方服务质量进行评估，当乙方出现较为严重的服务质量问题时，从乙方服务费中扣除合同总价的10%。</w:t>
      </w:r>
    </w:p>
    <w:p w14:paraId="7F948441">
      <w:pPr>
        <w:pStyle w:val="11"/>
        <w:keepNext w:val="0"/>
        <w:keepLines w:val="0"/>
        <w:pageBreakBefore w:val="0"/>
        <w:kinsoku/>
        <w:wordWrap/>
        <w:topLinePunct w:val="0"/>
        <w:bidi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注：乙方应保证交付的成果文件已参照已有的相关规划，并遵循中华人民共和国及地方的有关法律规范，并符合本项目</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要求。</w:t>
      </w:r>
    </w:p>
    <w:p w14:paraId="4B3D15C9">
      <w:pPr>
        <w:pStyle w:val="30"/>
        <w:keepNext w:val="0"/>
        <w:keepLines w:val="0"/>
        <w:pageBreakBefore w:val="0"/>
        <w:tabs>
          <w:tab w:val="left" w:pos="1134"/>
          <w:tab w:val="left" w:pos="1418"/>
        </w:tabs>
        <w:kinsoku/>
        <w:wordWrap/>
        <w:topLinePunct w:val="0"/>
        <w:bidi w:val="0"/>
        <w:adjustRightInd w:val="0"/>
        <w:snapToGrid/>
        <w:spacing w:line="360" w:lineRule="auto"/>
        <w:ind w:left="0" w:leftChars="0" w:firstLine="0" w:firstLineChars="0"/>
        <w:textAlignment w:val="auto"/>
        <w:rPr>
          <w:rFonts w:hint="eastAsia" w:ascii="宋体" w:hAnsi="宋体" w:eastAsia="宋体" w:cs="宋体"/>
          <w:b/>
          <w:color w:val="auto"/>
          <w:highlight w:val="none"/>
          <w:lang w:val="zh-CN" w:eastAsia="zh-CN"/>
        </w:rPr>
      </w:pPr>
      <w:r>
        <w:rPr>
          <w:rFonts w:hint="eastAsia" w:ascii="宋体" w:hAnsi="宋体" w:eastAsia="宋体" w:cs="宋体"/>
          <w:b/>
          <w:color w:val="auto"/>
          <w:highlight w:val="none"/>
          <w:lang w:val="en-US" w:eastAsia="zh-CN"/>
        </w:rPr>
        <w:t>九</w:t>
      </w:r>
      <w:r>
        <w:rPr>
          <w:rFonts w:hint="eastAsia" w:ascii="宋体" w:hAnsi="宋体" w:eastAsia="宋体" w:cs="宋体"/>
          <w:b/>
          <w:color w:val="auto"/>
          <w:highlight w:val="none"/>
          <w:lang w:val="zh-CN" w:eastAsia="zh-CN"/>
        </w:rPr>
        <w:t>、保密</w:t>
      </w:r>
    </w:p>
    <w:p w14:paraId="63BD287B">
      <w:pPr>
        <w:keepNext w:val="0"/>
        <w:keepLines w:val="0"/>
        <w:pageBreakBefore w:val="0"/>
        <w:kinsoku/>
        <w:wordWrap/>
        <w:topLinePunct w:val="0"/>
        <w:bidi w:val="0"/>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1.在本合同的履行期内，乙方获得与本项目相关的信息（包括获得的资料及成果等），应当采取适当有效的方式保护，不得未经授权使用、传播或公开。</w:t>
      </w:r>
    </w:p>
    <w:p w14:paraId="7CEED137">
      <w:pPr>
        <w:keepNext w:val="0"/>
        <w:keepLines w:val="0"/>
        <w:pageBreakBefore w:val="0"/>
        <w:kinsoku/>
        <w:wordWrap/>
        <w:topLinePunct w:val="0"/>
        <w:bidi w:val="0"/>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2.乙方在项目实施过程中接触或产生涉密数据的，应严格按《中华人民共和国保守国家秘密法》以及其他相关法律法规和制度执行。如由于乙方的原因而导致泄密的，乙方应承担相应法律责任。</w:t>
      </w:r>
    </w:p>
    <w:p w14:paraId="41E94006">
      <w:pPr>
        <w:pStyle w:val="33"/>
        <w:keepNext w:val="0"/>
        <w:keepLines w:val="0"/>
        <w:pageBreakBefore w:val="0"/>
        <w:kinsoku/>
        <w:wordWrap/>
        <w:topLinePunct w:val="0"/>
        <w:bidi w:val="0"/>
        <w:snapToGrid/>
        <w:spacing w:line="360" w:lineRule="auto"/>
        <w:ind w:left="0" w:leftChars="0" w:firstLine="0" w:firstLineChars="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十</w:t>
      </w:r>
      <w:r>
        <w:rPr>
          <w:rFonts w:hint="eastAsia" w:ascii="宋体" w:hAnsi="宋体" w:eastAsia="宋体" w:cs="宋体"/>
          <w:b/>
          <w:bCs/>
          <w:color w:val="auto"/>
          <w:sz w:val="24"/>
          <w:highlight w:val="none"/>
        </w:rPr>
        <w:t>、不可抗力</w:t>
      </w:r>
    </w:p>
    <w:p w14:paraId="647B97F2">
      <w:pPr>
        <w:pStyle w:val="33"/>
        <w:keepNext w:val="0"/>
        <w:keepLines w:val="0"/>
        <w:pageBreakBefore w:val="0"/>
        <w:kinsoku/>
        <w:wordWrap/>
        <w:topLinePunct w:val="0"/>
        <w:bidi w:val="0"/>
        <w:snapToGrid/>
        <w:spacing w:line="360" w:lineRule="auto"/>
        <w:ind w:firstLine="480"/>
        <w:textAlignment w:val="auto"/>
        <w:rPr>
          <w:rFonts w:hint="eastAsia" w:ascii="宋体" w:hAnsi="宋体" w:eastAsia="宋体" w:cs="宋体"/>
          <w:bCs/>
          <w:color w:val="auto"/>
          <w:sz w:val="24"/>
          <w:highlight w:val="none"/>
        </w:rPr>
      </w:pPr>
      <w:r>
        <w:rPr>
          <w:rFonts w:hint="eastAsia" w:ascii="宋体" w:hAnsi="宋体" w:eastAsia="宋体" w:cs="宋体"/>
          <w:color w:val="auto"/>
          <w:sz w:val="24"/>
          <w:highlight w:val="none"/>
        </w:rPr>
        <w:t>1.如果双方任何一方由于遭受诸如战争、严重火灾、洪水、台风、地震等重大自然灾害、以及双方同意的其他不可抗力的事故，致使影响合同履行，履行合同的期限应予以延长，延长的期限应相当于事故所影响的时间。不可抗力事故系指甲乙双方在缔结合同时所不能预见的，并且它的发生及其后果是无法避免和无法克服的事故。</w:t>
      </w:r>
    </w:p>
    <w:p w14:paraId="4CEF8A7F">
      <w:pPr>
        <w:keepNext w:val="0"/>
        <w:keepLines w:val="0"/>
        <w:pageBreakBefore w:val="0"/>
        <w:kinsoku/>
        <w:wordWrap/>
        <w:topLinePunct w:val="0"/>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2.遭受不可抗力一方应在不可抗力事故发生后尽快以书面形式通知另一方；并在事故发生后</w:t>
      </w:r>
      <w:r>
        <w:rPr>
          <w:rFonts w:hint="eastAsia" w:ascii="宋体" w:hAnsi="宋体" w:eastAsia="宋体" w:cs="宋体"/>
          <w:color w:val="auto"/>
          <w:sz w:val="24"/>
          <w:highlight w:val="none"/>
          <w:u w:val="single"/>
        </w:rPr>
        <w:t>十（10）</w:t>
      </w:r>
      <w:r>
        <w:rPr>
          <w:rFonts w:hint="eastAsia" w:ascii="宋体" w:hAnsi="宋体" w:eastAsia="宋体" w:cs="宋体"/>
          <w:color w:val="auto"/>
          <w:sz w:val="24"/>
          <w:highlight w:val="none"/>
        </w:rPr>
        <w:t>个日历日内，将有关部门出具的证明文件、详细情况报告以及不可抗力对合同影响程度的说明用特快专递或挂号信的形式寄给另一方。如果不可抗力影响时间延续</w:t>
      </w:r>
      <w:r>
        <w:rPr>
          <w:rFonts w:hint="eastAsia" w:ascii="宋体" w:hAnsi="宋体" w:eastAsia="宋体" w:cs="宋体"/>
          <w:color w:val="auto"/>
          <w:sz w:val="24"/>
          <w:highlight w:val="none"/>
          <w:u w:val="single"/>
        </w:rPr>
        <w:t>二十（20）</w:t>
      </w:r>
      <w:r>
        <w:rPr>
          <w:rFonts w:hint="eastAsia" w:ascii="宋体" w:hAnsi="宋体" w:eastAsia="宋体" w:cs="宋体"/>
          <w:color w:val="auto"/>
          <w:sz w:val="24"/>
          <w:highlight w:val="none"/>
        </w:rPr>
        <w:t>个日历日以上，双方应通过友好协商在合理的时间内达成进一步履行合同或终止合同的协议。</w:t>
      </w:r>
    </w:p>
    <w:p w14:paraId="30CCD65C">
      <w:pPr>
        <w:keepNext w:val="0"/>
        <w:keepLines w:val="0"/>
        <w:pageBreakBefore w:val="0"/>
        <w:kinsoku/>
        <w:wordWrap/>
        <w:topLinePunct w:val="0"/>
        <w:bidi w:val="0"/>
        <w:snapToGrid/>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w:t>
      </w:r>
      <w:r>
        <w:rPr>
          <w:rFonts w:hint="eastAsia" w:ascii="宋体" w:hAnsi="宋体" w:eastAsia="宋体" w:cs="宋体"/>
          <w:b/>
          <w:bCs/>
          <w:color w:val="auto"/>
          <w:sz w:val="24"/>
          <w:highlight w:val="none"/>
          <w:lang w:val="en-US" w:eastAsia="zh-CN"/>
        </w:rPr>
        <w:t>一</w:t>
      </w:r>
      <w:r>
        <w:rPr>
          <w:rFonts w:hint="eastAsia" w:ascii="宋体" w:hAnsi="宋体" w:eastAsia="宋体" w:cs="宋体"/>
          <w:b/>
          <w:bCs/>
          <w:color w:val="auto"/>
          <w:sz w:val="24"/>
          <w:highlight w:val="none"/>
        </w:rPr>
        <w:t>、破产终止合同</w:t>
      </w:r>
    </w:p>
    <w:p w14:paraId="08217708">
      <w:pPr>
        <w:keepNext w:val="0"/>
        <w:keepLines w:val="0"/>
        <w:pageBreakBefore w:val="0"/>
        <w:kinsoku/>
        <w:wordWrap/>
        <w:topLinePunct w:val="0"/>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当乙方破产或无供货（或提供服务）能力时，甲方可在任何时候以书面形式通知乙方单方解除合同；并且该终止合同不损害或不影响甲方已采取或将采取补救措施的权利。</w:t>
      </w:r>
    </w:p>
    <w:p w14:paraId="43CB621C">
      <w:pPr>
        <w:keepNext w:val="0"/>
        <w:keepLines w:val="0"/>
        <w:pageBreakBefore w:val="0"/>
        <w:kinsoku/>
        <w:wordWrap/>
        <w:topLinePunct w:val="0"/>
        <w:bidi w:val="0"/>
        <w:snapToGrid/>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w:t>
      </w:r>
      <w:r>
        <w:rPr>
          <w:rFonts w:hint="eastAsia" w:ascii="宋体" w:hAnsi="宋体" w:eastAsia="宋体" w:cs="宋体"/>
          <w:b/>
          <w:bCs/>
          <w:color w:val="auto"/>
          <w:sz w:val="24"/>
          <w:highlight w:val="none"/>
          <w:lang w:val="en-US" w:eastAsia="zh-CN"/>
        </w:rPr>
        <w:t>二</w:t>
      </w:r>
      <w:r>
        <w:rPr>
          <w:rFonts w:hint="eastAsia" w:ascii="宋体" w:hAnsi="宋体" w:eastAsia="宋体" w:cs="宋体"/>
          <w:b/>
          <w:bCs/>
          <w:color w:val="auto"/>
          <w:sz w:val="24"/>
          <w:highlight w:val="none"/>
        </w:rPr>
        <w:t>、转让</w:t>
      </w:r>
    </w:p>
    <w:p w14:paraId="57FA07A0">
      <w:pPr>
        <w:keepNext w:val="0"/>
        <w:keepLines w:val="0"/>
        <w:pageBreakBefore w:val="0"/>
        <w:kinsoku/>
        <w:wordWrap/>
        <w:topLinePunct w:val="0"/>
        <w:bidi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未经甲方事先书面同意，乙方不得部分转让或全部转让其应履行的合同义务。乙方擅自转让自身合同义务，甲方有权单方解除合同，并要求乙方赔偿因此产生的一切损失。</w:t>
      </w:r>
    </w:p>
    <w:p w14:paraId="531984E8">
      <w:pPr>
        <w:keepNext w:val="0"/>
        <w:keepLines w:val="0"/>
        <w:pageBreakBefore w:val="0"/>
        <w:kinsoku/>
        <w:wordWrap/>
        <w:topLinePunct w:val="0"/>
        <w:bidi w:val="0"/>
        <w:snapToGrid/>
        <w:spacing w:line="360" w:lineRule="auto"/>
        <w:textAlignment w:val="auto"/>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十</w:t>
      </w:r>
      <w:r>
        <w:rPr>
          <w:rFonts w:hint="eastAsia" w:ascii="宋体" w:hAnsi="宋体" w:eastAsia="宋体" w:cs="宋体"/>
          <w:b/>
          <w:bCs/>
          <w:color w:val="auto"/>
          <w:sz w:val="24"/>
          <w:highlight w:val="none"/>
          <w:lang w:val="en-US" w:eastAsia="zh-CN"/>
        </w:rPr>
        <w:t>三</w:t>
      </w:r>
      <w:r>
        <w:rPr>
          <w:rFonts w:hint="eastAsia" w:ascii="宋体" w:hAnsi="宋体" w:eastAsia="宋体" w:cs="宋体"/>
          <w:b/>
          <w:bCs/>
          <w:color w:val="auto"/>
          <w:sz w:val="24"/>
          <w:highlight w:val="none"/>
          <w:lang w:val="zh-CN"/>
        </w:rPr>
        <w:t>、违约责任</w:t>
      </w:r>
    </w:p>
    <w:p w14:paraId="64B0FFB4">
      <w:pPr>
        <w:pStyle w:val="30"/>
        <w:keepNext w:val="0"/>
        <w:keepLines w:val="0"/>
        <w:pageBreakBefore w:val="0"/>
        <w:widowControl w:val="0"/>
        <w:tabs>
          <w:tab w:val="left" w:pos="1134"/>
          <w:tab w:val="left" w:pos="1418"/>
        </w:tabs>
        <w:kinsoku/>
        <w:wordWrap/>
        <w:topLinePunct w:val="0"/>
        <w:bidi w:val="0"/>
        <w:adjustRightInd w:val="0"/>
        <w:snapToGrid/>
        <w:spacing w:line="360" w:lineRule="auto"/>
        <w:ind w:left="0"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1.按《中华人民共和国民法典》中的相关条款执行。</w:t>
      </w:r>
    </w:p>
    <w:p w14:paraId="4CDA7E0C">
      <w:pPr>
        <w:pStyle w:val="30"/>
        <w:keepNext w:val="0"/>
        <w:keepLines w:val="0"/>
        <w:pageBreakBefore w:val="0"/>
        <w:widowControl w:val="0"/>
        <w:tabs>
          <w:tab w:val="left" w:pos="1134"/>
          <w:tab w:val="left" w:pos="1418"/>
        </w:tabs>
        <w:kinsoku/>
        <w:wordWrap/>
        <w:topLinePunct w:val="0"/>
        <w:bidi w:val="0"/>
        <w:adjustRightInd w:val="0"/>
        <w:snapToGrid/>
        <w:spacing w:line="360" w:lineRule="auto"/>
        <w:ind w:left="0"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2.未按合同或</w:t>
      </w:r>
      <w:r>
        <w:rPr>
          <w:rFonts w:hint="eastAsia" w:ascii="宋体" w:hAnsi="宋体" w:cs="宋体"/>
          <w:color w:val="auto"/>
          <w:highlight w:val="none"/>
          <w:lang w:eastAsia="zh-CN"/>
        </w:rPr>
        <w:t>磋商文件</w:t>
      </w:r>
      <w:r>
        <w:rPr>
          <w:rFonts w:hint="eastAsia" w:ascii="宋体" w:hAnsi="宋体" w:eastAsia="宋体" w:cs="宋体"/>
          <w:color w:val="auto"/>
          <w:highlight w:val="none"/>
          <w:lang w:eastAsia="zh-CN"/>
        </w:rPr>
        <w:t>要求提供服务，质量不能满足采购方技术要求，采购单位有权终止合同，甚至对供方违约行为进行追究。</w:t>
      </w:r>
    </w:p>
    <w:p w14:paraId="12AA73DD">
      <w:pPr>
        <w:pStyle w:val="30"/>
        <w:keepNext w:val="0"/>
        <w:keepLines w:val="0"/>
        <w:pageBreakBefore w:val="0"/>
        <w:widowControl w:val="0"/>
        <w:tabs>
          <w:tab w:val="left" w:pos="1134"/>
          <w:tab w:val="left" w:pos="1418"/>
        </w:tabs>
        <w:kinsoku/>
        <w:wordWrap/>
        <w:topLinePunct w:val="0"/>
        <w:bidi w:val="0"/>
        <w:adjustRightInd w:val="0"/>
        <w:snapToGrid/>
        <w:spacing w:line="360" w:lineRule="auto"/>
        <w:ind w:left="0"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3.乙方由于自身过错，延误按本合同规定的服务成果交付时间，每延误一天，应减收本合同总额的2‰作为延误违约金。</w:t>
      </w:r>
    </w:p>
    <w:p w14:paraId="18777FA4">
      <w:pPr>
        <w:keepNext w:val="0"/>
        <w:keepLines w:val="0"/>
        <w:pageBreakBefore w:val="0"/>
        <w:kinsoku/>
        <w:wordWrap/>
        <w:topLinePunct w:val="0"/>
        <w:bidi w:val="0"/>
        <w:snapToGrid/>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w:t>
      </w:r>
      <w:r>
        <w:rPr>
          <w:rFonts w:hint="eastAsia" w:ascii="宋体" w:hAnsi="宋体" w:eastAsia="宋体" w:cs="宋体"/>
          <w:b/>
          <w:bCs/>
          <w:color w:val="auto"/>
          <w:sz w:val="24"/>
          <w:highlight w:val="none"/>
          <w:lang w:val="en-US" w:eastAsia="zh-CN"/>
        </w:rPr>
        <w:t>四</w:t>
      </w:r>
      <w:r>
        <w:rPr>
          <w:rFonts w:hint="eastAsia" w:ascii="宋体" w:hAnsi="宋体" w:eastAsia="宋体" w:cs="宋体"/>
          <w:b/>
          <w:bCs/>
          <w:color w:val="auto"/>
          <w:sz w:val="24"/>
          <w:highlight w:val="none"/>
        </w:rPr>
        <w:t>、合同争议和解决办法</w:t>
      </w:r>
    </w:p>
    <w:p w14:paraId="5CDFA481">
      <w:pPr>
        <w:keepNext w:val="0"/>
        <w:keepLines w:val="0"/>
        <w:pageBreakBefore w:val="0"/>
        <w:kinsoku/>
        <w:wordWrap/>
        <w:topLinePunct w:val="0"/>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bCs/>
          <w:color w:val="auto"/>
          <w:sz w:val="24"/>
          <w:highlight w:val="none"/>
        </w:rPr>
        <w:t>因本合同产生纠纷，如协商无法解决，双方均有权向有管辖权的人民法院提起诉讼。</w:t>
      </w:r>
    </w:p>
    <w:p w14:paraId="1858A4D7">
      <w:pPr>
        <w:keepNext w:val="0"/>
        <w:keepLines w:val="0"/>
        <w:pageBreakBefore w:val="0"/>
        <w:wordWrap/>
        <w:topLinePunct w:val="0"/>
        <w:autoSpaceDE w:val="0"/>
        <w:autoSpaceDN w:val="0"/>
        <w:bidi w:val="0"/>
        <w:adjustRightInd w:val="0"/>
        <w:spacing w:line="360" w:lineRule="auto"/>
        <w:rPr>
          <w:rFonts w:ascii="宋体"/>
          <w:b/>
          <w:bCs/>
          <w:sz w:val="24"/>
          <w:highlight w:val="none"/>
        </w:rPr>
      </w:pPr>
      <w:r>
        <w:rPr>
          <w:rFonts w:hint="eastAsia" w:ascii="宋体" w:hAnsi="宋体" w:cs="宋体"/>
          <w:b/>
          <w:bCs/>
          <w:sz w:val="24"/>
          <w:highlight w:val="none"/>
        </w:rPr>
        <w:t>十</w:t>
      </w:r>
      <w:r>
        <w:rPr>
          <w:rFonts w:hint="eastAsia" w:ascii="宋体" w:hAnsi="宋体" w:cs="宋体"/>
          <w:b/>
          <w:bCs/>
          <w:sz w:val="24"/>
          <w:highlight w:val="none"/>
          <w:lang w:eastAsia="zh-CN"/>
        </w:rPr>
        <w:t>五</w:t>
      </w:r>
      <w:r>
        <w:rPr>
          <w:rFonts w:hint="eastAsia" w:ascii="宋体" w:hAnsi="宋体" w:cs="宋体"/>
          <w:b/>
          <w:bCs/>
          <w:sz w:val="24"/>
          <w:highlight w:val="none"/>
        </w:rPr>
        <w:t>、合同生效</w:t>
      </w:r>
    </w:p>
    <w:p w14:paraId="3B33E859">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1.政府采购合同履行中，甲方需追加与合同标的相同的货物、工程或者服务的，在不改变合同其他条款的前提下，可以与乙方协商签订补充合同，但所有补充合同的采购金额不得超过原合同采购金额的10%。</w:t>
      </w:r>
    </w:p>
    <w:p w14:paraId="240762BE">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hAnsi="宋体" w:cs="宋体"/>
          <w:sz w:val="24"/>
        </w:rPr>
      </w:pPr>
      <w:r>
        <w:rPr>
          <w:rFonts w:hint="eastAsia" w:ascii="宋体" w:hAnsi="宋体" w:cs="宋体"/>
          <w:sz w:val="24"/>
          <w:highlight w:val="none"/>
          <w:lang w:val="en-US" w:eastAsia="zh-CN"/>
        </w:rPr>
        <w:t>2.</w:t>
      </w:r>
      <w:r>
        <w:rPr>
          <w:rFonts w:hint="eastAsia" w:ascii="宋体" w:hAnsi="宋体" w:cs="宋体"/>
          <w:sz w:val="24"/>
          <w:highlight w:val="none"/>
        </w:rPr>
        <w:t>本合同须经甲、乙双方的法定代表人（委托代理人）在合同书上签字并加盖本单位公章后正式生效。</w:t>
      </w:r>
    </w:p>
    <w:p w14:paraId="12587030">
      <w:pPr>
        <w:keepNext w:val="0"/>
        <w:keepLines w:val="0"/>
        <w:pageBreakBefore w:val="0"/>
        <w:widowControl w:val="0"/>
        <w:kinsoku/>
        <w:wordWrap/>
        <w:overflowPunct/>
        <w:topLinePunct w:val="0"/>
        <w:autoSpaceDE w:val="0"/>
        <w:autoSpaceDN w:val="0"/>
        <w:bidi w:val="0"/>
        <w:adjustRightInd/>
        <w:spacing w:line="360" w:lineRule="auto"/>
        <w:ind w:firstLine="480" w:firstLineChars="200"/>
        <w:textAlignment w:val="auto"/>
        <w:rPr>
          <w:rFonts w:ascii="宋体"/>
          <w:sz w:val="24"/>
        </w:rPr>
      </w:pPr>
      <w:r>
        <w:rPr>
          <w:rFonts w:hint="eastAsia" w:ascii="宋体" w:hAnsi="宋体" w:cs="宋体"/>
          <w:sz w:val="24"/>
          <w:lang w:val="en-US" w:eastAsia="zh-CN"/>
        </w:rPr>
        <w:t>3.</w:t>
      </w:r>
      <w:r>
        <w:rPr>
          <w:rFonts w:hint="eastAsia" w:ascii="宋体" w:hAnsi="宋体" w:cs="宋体"/>
          <w:sz w:val="24"/>
        </w:rPr>
        <w:t>合同生效后，甲、乙双方须严格执行本合同条款的规定，全面履行合同，违者按《中华人民共和国民法典》的有关规定承担相应责任。</w:t>
      </w:r>
    </w:p>
    <w:p w14:paraId="52E63238">
      <w:pPr>
        <w:keepNext w:val="0"/>
        <w:keepLines w:val="0"/>
        <w:pageBreakBefore w:val="0"/>
        <w:widowControl w:val="0"/>
        <w:kinsoku/>
        <w:wordWrap/>
        <w:overflowPunct/>
        <w:topLinePunct w:val="0"/>
        <w:autoSpaceDE w:val="0"/>
        <w:autoSpaceDN w:val="0"/>
        <w:bidi w:val="0"/>
        <w:adjustRightInd/>
        <w:spacing w:line="360" w:lineRule="auto"/>
        <w:ind w:firstLine="480" w:firstLineChars="200"/>
        <w:textAlignment w:val="auto"/>
        <w:rPr>
          <w:rFonts w:ascii="宋体"/>
          <w:sz w:val="24"/>
        </w:rPr>
      </w:pPr>
      <w:r>
        <w:rPr>
          <w:rFonts w:hint="eastAsia" w:ascii="宋体" w:hAnsi="宋体" w:cs="宋体"/>
          <w:sz w:val="24"/>
          <w:lang w:val="en-US" w:eastAsia="zh-CN"/>
        </w:rPr>
        <w:t>4.</w:t>
      </w:r>
      <w:r>
        <w:rPr>
          <w:rFonts w:hint="eastAsia" w:ascii="宋体" w:hAnsi="宋体" w:cs="宋体"/>
          <w:sz w:val="24"/>
        </w:rPr>
        <w:t>本合同一式</w:t>
      </w:r>
      <w:r>
        <w:rPr>
          <w:rFonts w:hint="eastAsia" w:ascii="宋体" w:hAnsi="宋体" w:cs="宋体"/>
          <w:sz w:val="24"/>
          <w:u w:val="single"/>
        </w:rPr>
        <w:t xml:space="preserve">   </w:t>
      </w:r>
      <w:r>
        <w:rPr>
          <w:rFonts w:hint="eastAsia" w:ascii="宋体" w:hAnsi="宋体" w:cs="宋体"/>
          <w:sz w:val="24"/>
        </w:rPr>
        <w:t>份，甲乙双方各执</w:t>
      </w:r>
      <w:r>
        <w:rPr>
          <w:rFonts w:hint="eastAsia" w:ascii="宋体" w:hAnsi="宋体" w:cs="宋体"/>
          <w:sz w:val="24"/>
          <w:u w:val="single"/>
        </w:rPr>
        <w:t xml:space="preserve">   </w:t>
      </w:r>
      <w:r>
        <w:rPr>
          <w:rFonts w:hint="eastAsia" w:ascii="宋体" w:hAnsi="宋体" w:cs="宋体"/>
          <w:sz w:val="24"/>
        </w:rPr>
        <w:t>份。</w:t>
      </w:r>
    </w:p>
    <w:p w14:paraId="14198EA1">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cs="宋体"/>
          <w:b/>
          <w:bCs/>
          <w:color w:val="000000"/>
          <w:sz w:val="36"/>
          <w:szCs w:val="36"/>
        </w:rPr>
      </w:pPr>
      <w:r>
        <w:rPr>
          <w:rFonts w:hint="eastAsia" w:ascii="宋体" w:hAnsi="宋体" w:cs="宋体"/>
          <w:sz w:val="24"/>
          <w:lang w:val="en-US" w:eastAsia="zh-CN"/>
        </w:rPr>
        <w:t>5.</w:t>
      </w:r>
      <w:r>
        <w:rPr>
          <w:rFonts w:hint="eastAsia" w:ascii="宋体" w:hAnsi="宋体" w:cs="宋体"/>
          <w:sz w:val="24"/>
        </w:rPr>
        <w:t>本合同如有未尽事宜，甲、乙双方协商解决。</w:t>
      </w:r>
    </w:p>
    <w:tbl>
      <w:tblPr>
        <w:tblStyle w:val="20"/>
        <w:tblpPr w:leftFromText="180" w:rightFromText="180" w:vertAnchor="text" w:horzAnchor="page" w:tblpX="1937" w:tblpY="99"/>
        <w:tblOverlap w:val="never"/>
        <w:tblW w:w="8403" w:type="dxa"/>
        <w:tblInd w:w="0" w:type="dxa"/>
        <w:tblLayout w:type="fixed"/>
        <w:tblCellMar>
          <w:top w:w="0" w:type="dxa"/>
          <w:left w:w="108" w:type="dxa"/>
          <w:bottom w:w="0" w:type="dxa"/>
          <w:right w:w="108" w:type="dxa"/>
        </w:tblCellMar>
      </w:tblPr>
      <w:tblGrid>
        <w:gridCol w:w="4201"/>
        <w:gridCol w:w="4202"/>
      </w:tblGrid>
      <w:tr w14:paraId="57B8DCB3">
        <w:tblPrEx>
          <w:tblCellMar>
            <w:top w:w="0" w:type="dxa"/>
            <w:left w:w="108" w:type="dxa"/>
            <w:bottom w:w="0" w:type="dxa"/>
            <w:right w:w="108" w:type="dxa"/>
          </w:tblCellMar>
        </w:tblPrEx>
        <w:trPr>
          <w:trHeight w:val="454" w:hRule="atLeast"/>
        </w:trPr>
        <w:tc>
          <w:tcPr>
            <w:tcW w:w="4201" w:type="dxa"/>
            <w:vAlign w:val="center"/>
          </w:tcPr>
          <w:p w14:paraId="56352F1F">
            <w:pPr>
              <w:spacing w:line="240" w:lineRule="auto"/>
              <w:ind w:firstLine="480" w:firstLineChars="200"/>
              <w:rPr>
                <w:rFonts w:ascii="宋体"/>
                <w:sz w:val="24"/>
              </w:rPr>
            </w:pPr>
            <w:r>
              <w:rPr>
                <w:rFonts w:hint="eastAsia" w:ascii="宋体" w:hAnsi="宋体" w:cs="宋体"/>
                <w:sz w:val="24"/>
              </w:rPr>
              <w:t>甲</w:t>
            </w:r>
            <w:r>
              <w:rPr>
                <w:rFonts w:ascii="宋体" w:hAnsi="宋体" w:cs="宋体"/>
                <w:sz w:val="24"/>
              </w:rPr>
              <w:t xml:space="preserve">  </w:t>
            </w:r>
            <w:r>
              <w:rPr>
                <w:rFonts w:hint="eastAsia" w:ascii="宋体" w:hAnsi="宋体" w:cs="宋体"/>
                <w:sz w:val="24"/>
              </w:rPr>
              <w:t>方</w:t>
            </w:r>
          </w:p>
        </w:tc>
        <w:tc>
          <w:tcPr>
            <w:tcW w:w="4202" w:type="dxa"/>
            <w:vAlign w:val="center"/>
          </w:tcPr>
          <w:p w14:paraId="27D62A4A">
            <w:pPr>
              <w:spacing w:line="240" w:lineRule="auto"/>
              <w:ind w:firstLine="480" w:firstLineChars="200"/>
              <w:rPr>
                <w:rFonts w:ascii="宋体"/>
                <w:sz w:val="24"/>
              </w:rPr>
            </w:pPr>
            <w:r>
              <w:rPr>
                <w:rFonts w:hint="eastAsia" w:ascii="宋体" w:hAnsi="宋体" w:cs="宋体"/>
                <w:sz w:val="24"/>
              </w:rPr>
              <w:t>乙</w:t>
            </w:r>
            <w:r>
              <w:rPr>
                <w:rFonts w:ascii="宋体" w:hAnsi="宋体" w:cs="宋体"/>
                <w:sz w:val="24"/>
              </w:rPr>
              <w:t xml:space="preserve">  </w:t>
            </w:r>
            <w:r>
              <w:rPr>
                <w:rFonts w:hint="eastAsia" w:ascii="宋体" w:hAnsi="宋体" w:cs="宋体"/>
                <w:sz w:val="24"/>
              </w:rPr>
              <w:t>方</w:t>
            </w:r>
          </w:p>
        </w:tc>
      </w:tr>
      <w:tr w14:paraId="445E79D0">
        <w:tblPrEx>
          <w:tblCellMar>
            <w:top w:w="0" w:type="dxa"/>
            <w:left w:w="108" w:type="dxa"/>
            <w:bottom w:w="0" w:type="dxa"/>
            <w:right w:w="108" w:type="dxa"/>
          </w:tblCellMar>
        </w:tblPrEx>
        <w:trPr>
          <w:trHeight w:val="454" w:hRule="atLeast"/>
        </w:trPr>
        <w:tc>
          <w:tcPr>
            <w:tcW w:w="4201" w:type="dxa"/>
            <w:vAlign w:val="center"/>
          </w:tcPr>
          <w:p w14:paraId="1ECE1530">
            <w:pPr>
              <w:spacing w:line="240" w:lineRule="auto"/>
              <w:ind w:firstLine="480" w:firstLineChars="200"/>
              <w:rPr>
                <w:rFonts w:ascii="宋体"/>
                <w:sz w:val="24"/>
              </w:rPr>
            </w:pPr>
            <w:r>
              <w:rPr>
                <w:rFonts w:hint="eastAsia" w:ascii="宋体" w:hAnsi="宋体" w:cs="宋体"/>
                <w:sz w:val="24"/>
              </w:rPr>
              <w:t>（盖章）</w:t>
            </w:r>
          </w:p>
        </w:tc>
        <w:tc>
          <w:tcPr>
            <w:tcW w:w="4202" w:type="dxa"/>
            <w:vAlign w:val="center"/>
          </w:tcPr>
          <w:p w14:paraId="52F9C966">
            <w:pPr>
              <w:spacing w:line="240" w:lineRule="auto"/>
              <w:ind w:firstLine="480" w:firstLineChars="200"/>
              <w:rPr>
                <w:rFonts w:ascii="宋体"/>
                <w:sz w:val="24"/>
              </w:rPr>
            </w:pPr>
            <w:r>
              <w:rPr>
                <w:rFonts w:hint="eastAsia" w:ascii="宋体" w:hAnsi="宋体" w:cs="宋体"/>
                <w:sz w:val="24"/>
              </w:rPr>
              <w:t>（盖章）</w:t>
            </w:r>
          </w:p>
        </w:tc>
      </w:tr>
      <w:tr w14:paraId="4C9F99B3">
        <w:tblPrEx>
          <w:tblCellMar>
            <w:top w:w="0" w:type="dxa"/>
            <w:left w:w="108" w:type="dxa"/>
            <w:bottom w:w="0" w:type="dxa"/>
            <w:right w:w="108" w:type="dxa"/>
          </w:tblCellMar>
        </w:tblPrEx>
        <w:trPr>
          <w:trHeight w:val="454" w:hRule="atLeast"/>
        </w:trPr>
        <w:tc>
          <w:tcPr>
            <w:tcW w:w="4201" w:type="dxa"/>
            <w:vAlign w:val="center"/>
          </w:tcPr>
          <w:p w14:paraId="03FCE023">
            <w:pPr>
              <w:spacing w:line="240" w:lineRule="auto"/>
              <w:ind w:firstLine="480" w:firstLineChars="200"/>
              <w:rPr>
                <w:rFonts w:ascii="宋体" w:hAnsi="宋体" w:cs="宋体"/>
                <w:sz w:val="24"/>
              </w:rPr>
            </w:pPr>
            <w:r>
              <w:rPr>
                <w:rFonts w:hint="eastAsia" w:ascii="宋体" w:hAnsi="宋体" w:cs="宋体"/>
                <w:sz w:val="24"/>
              </w:rPr>
              <w:t>地址：</w:t>
            </w:r>
            <w:r>
              <w:rPr>
                <w:rFonts w:ascii="宋体" w:hAnsi="宋体" w:cs="宋体"/>
                <w:sz w:val="24"/>
              </w:rPr>
              <w:t xml:space="preserve"> </w:t>
            </w:r>
          </w:p>
        </w:tc>
        <w:tc>
          <w:tcPr>
            <w:tcW w:w="4202" w:type="dxa"/>
            <w:vAlign w:val="center"/>
          </w:tcPr>
          <w:p w14:paraId="4E5C1280">
            <w:pPr>
              <w:spacing w:line="240" w:lineRule="auto"/>
              <w:ind w:firstLine="480" w:firstLineChars="200"/>
              <w:rPr>
                <w:rFonts w:ascii="宋体"/>
                <w:sz w:val="24"/>
              </w:rPr>
            </w:pPr>
            <w:r>
              <w:rPr>
                <w:rFonts w:hint="eastAsia" w:ascii="宋体" w:hAnsi="宋体" w:cs="宋体"/>
                <w:sz w:val="24"/>
              </w:rPr>
              <w:t>地址：</w:t>
            </w:r>
          </w:p>
        </w:tc>
      </w:tr>
      <w:tr w14:paraId="739699A9">
        <w:tblPrEx>
          <w:tblCellMar>
            <w:top w:w="0" w:type="dxa"/>
            <w:left w:w="108" w:type="dxa"/>
            <w:bottom w:w="0" w:type="dxa"/>
            <w:right w:w="108" w:type="dxa"/>
          </w:tblCellMar>
        </w:tblPrEx>
        <w:trPr>
          <w:trHeight w:val="454" w:hRule="atLeast"/>
        </w:trPr>
        <w:tc>
          <w:tcPr>
            <w:tcW w:w="4201" w:type="dxa"/>
            <w:vAlign w:val="center"/>
          </w:tcPr>
          <w:p w14:paraId="4D962C5A">
            <w:pPr>
              <w:spacing w:line="240" w:lineRule="auto"/>
              <w:ind w:firstLine="480" w:firstLineChars="200"/>
              <w:rPr>
                <w:rFonts w:ascii="宋体"/>
                <w:sz w:val="24"/>
              </w:rPr>
            </w:pPr>
            <w:r>
              <w:rPr>
                <w:rFonts w:hint="eastAsia" w:ascii="宋体" w:hAnsi="宋体" w:cs="宋体"/>
                <w:sz w:val="24"/>
              </w:rPr>
              <w:t>邮编：</w:t>
            </w:r>
          </w:p>
        </w:tc>
        <w:tc>
          <w:tcPr>
            <w:tcW w:w="4202" w:type="dxa"/>
            <w:vAlign w:val="center"/>
          </w:tcPr>
          <w:p w14:paraId="69FA3286">
            <w:pPr>
              <w:spacing w:line="240" w:lineRule="auto"/>
              <w:ind w:firstLine="480" w:firstLineChars="200"/>
              <w:rPr>
                <w:rFonts w:ascii="宋体"/>
                <w:sz w:val="24"/>
              </w:rPr>
            </w:pPr>
            <w:r>
              <w:rPr>
                <w:rFonts w:hint="eastAsia" w:ascii="宋体" w:hAnsi="宋体" w:cs="宋体"/>
                <w:sz w:val="24"/>
              </w:rPr>
              <w:t>邮编：</w:t>
            </w:r>
          </w:p>
        </w:tc>
      </w:tr>
      <w:tr w14:paraId="2B6A9C50">
        <w:tblPrEx>
          <w:tblCellMar>
            <w:top w:w="0" w:type="dxa"/>
            <w:left w:w="108" w:type="dxa"/>
            <w:bottom w:w="0" w:type="dxa"/>
            <w:right w:w="108" w:type="dxa"/>
          </w:tblCellMar>
        </w:tblPrEx>
        <w:trPr>
          <w:trHeight w:val="454" w:hRule="atLeast"/>
        </w:trPr>
        <w:tc>
          <w:tcPr>
            <w:tcW w:w="4201" w:type="dxa"/>
            <w:vAlign w:val="center"/>
          </w:tcPr>
          <w:p w14:paraId="4CB8305C">
            <w:pPr>
              <w:spacing w:line="240" w:lineRule="auto"/>
              <w:ind w:firstLine="480" w:firstLineChars="200"/>
              <w:rPr>
                <w:rFonts w:ascii="宋体" w:hAnsi="宋体" w:cs="宋体"/>
                <w:sz w:val="24"/>
              </w:rPr>
            </w:pPr>
            <w:r>
              <w:rPr>
                <w:rFonts w:hint="eastAsia" w:ascii="宋体" w:hAnsi="宋体" w:cs="宋体"/>
                <w:sz w:val="24"/>
              </w:rPr>
              <w:t>法定代表人：</w:t>
            </w:r>
            <w:r>
              <w:rPr>
                <w:rFonts w:ascii="宋体" w:hAnsi="宋体" w:cs="宋体"/>
                <w:sz w:val="24"/>
              </w:rPr>
              <w:t xml:space="preserve"> </w:t>
            </w:r>
          </w:p>
        </w:tc>
        <w:tc>
          <w:tcPr>
            <w:tcW w:w="4202" w:type="dxa"/>
            <w:vAlign w:val="center"/>
          </w:tcPr>
          <w:p w14:paraId="6E244695">
            <w:pPr>
              <w:spacing w:line="240" w:lineRule="auto"/>
              <w:ind w:firstLine="480" w:firstLineChars="200"/>
              <w:rPr>
                <w:rFonts w:ascii="宋体"/>
                <w:sz w:val="24"/>
              </w:rPr>
            </w:pPr>
            <w:r>
              <w:rPr>
                <w:rFonts w:hint="eastAsia" w:ascii="宋体" w:hAnsi="宋体" w:cs="宋体"/>
                <w:sz w:val="24"/>
              </w:rPr>
              <w:t>法定代表人：</w:t>
            </w:r>
          </w:p>
        </w:tc>
      </w:tr>
      <w:tr w14:paraId="46A0F9AA">
        <w:tblPrEx>
          <w:tblCellMar>
            <w:top w:w="0" w:type="dxa"/>
            <w:left w:w="108" w:type="dxa"/>
            <w:bottom w:w="0" w:type="dxa"/>
            <w:right w:w="108" w:type="dxa"/>
          </w:tblCellMar>
        </w:tblPrEx>
        <w:trPr>
          <w:trHeight w:val="454" w:hRule="atLeast"/>
        </w:trPr>
        <w:tc>
          <w:tcPr>
            <w:tcW w:w="4201" w:type="dxa"/>
            <w:vAlign w:val="center"/>
          </w:tcPr>
          <w:p w14:paraId="3F398C93">
            <w:pPr>
              <w:spacing w:line="240" w:lineRule="auto"/>
              <w:ind w:firstLine="480" w:firstLineChars="200"/>
              <w:rPr>
                <w:rFonts w:ascii="宋体"/>
                <w:sz w:val="24"/>
              </w:rPr>
            </w:pPr>
            <w:r>
              <w:rPr>
                <w:rFonts w:hint="eastAsia" w:ascii="宋体" w:hAnsi="宋体" w:cs="宋体"/>
                <w:sz w:val="24"/>
              </w:rPr>
              <w:t>委托代理人：</w:t>
            </w:r>
          </w:p>
        </w:tc>
        <w:tc>
          <w:tcPr>
            <w:tcW w:w="4202" w:type="dxa"/>
            <w:vAlign w:val="center"/>
          </w:tcPr>
          <w:p w14:paraId="2B4958B2">
            <w:pPr>
              <w:spacing w:line="240" w:lineRule="auto"/>
              <w:ind w:firstLine="480" w:firstLineChars="200"/>
              <w:rPr>
                <w:rFonts w:ascii="宋体"/>
                <w:sz w:val="24"/>
              </w:rPr>
            </w:pPr>
            <w:r>
              <w:rPr>
                <w:rFonts w:hint="eastAsia" w:ascii="宋体" w:hAnsi="宋体" w:cs="宋体"/>
                <w:sz w:val="24"/>
              </w:rPr>
              <w:t>委托代理人：</w:t>
            </w:r>
          </w:p>
        </w:tc>
      </w:tr>
      <w:tr w14:paraId="3D533573">
        <w:tblPrEx>
          <w:tblCellMar>
            <w:top w:w="0" w:type="dxa"/>
            <w:left w:w="108" w:type="dxa"/>
            <w:bottom w:w="0" w:type="dxa"/>
            <w:right w:w="108" w:type="dxa"/>
          </w:tblCellMar>
        </w:tblPrEx>
        <w:trPr>
          <w:trHeight w:val="454" w:hRule="atLeast"/>
        </w:trPr>
        <w:tc>
          <w:tcPr>
            <w:tcW w:w="4201" w:type="dxa"/>
            <w:vAlign w:val="center"/>
          </w:tcPr>
          <w:p w14:paraId="6F37AF30">
            <w:pPr>
              <w:spacing w:line="240" w:lineRule="auto"/>
              <w:ind w:firstLine="480" w:firstLineChars="200"/>
              <w:rPr>
                <w:rFonts w:ascii="宋体"/>
                <w:sz w:val="24"/>
              </w:rPr>
            </w:pPr>
            <w:r>
              <w:rPr>
                <w:rFonts w:hint="eastAsia" w:ascii="宋体" w:hAnsi="宋体" w:cs="宋体"/>
                <w:sz w:val="24"/>
              </w:rPr>
              <w:t>电话：</w:t>
            </w:r>
          </w:p>
        </w:tc>
        <w:tc>
          <w:tcPr>
            <w:tcW w:w="4202" w:type="dxa"/>
            <w:vAlign w:val="center"/>
          </w:tcPr>
          <w:p w14:paraId="4E2D715D">
            <w:pPr>
              <w:spacing w:line="240" w:lineRule="auto"/>
              <w:ind w:firstLine="480" w:firstLineChars="200"/>
              <w:rPr>
                <w:rFonts w:ascii="宋体"/>
                <w:sz w:val="24"/>
              </w:rPr>
            </w:pPr>
            <w:r>
              <w:rPr>
                <w:rFonts w:hint="eastAsia" w:ascii="宋体" w:hAnsi="宋体" w:cs="宋体"/>
                <w:sz w:val="24"/>
              </w:rPr>
              <w:t>电话：</w:t>
            </w:r>
          </w:p>
        </w:tc>
      </w:tr>
      <w:tr w14:paraId="28A7E161">
        <w:tblPrEx>
          <w:tblCellMar>
            <w:top w:w="0" w:type="dxa"/>
            <w:left w:w="108" w:type="dxa"/>
            <w:bottom w:w="0" w:type="dxa"/>
            <w:right w:w="108" w:type="dxa"/>
          </w:tblCellMar>
        </w:tblPrEx>
        <w:trPr>
          <w:trHeight w:val="454" w:hRule="atLeast"/>
        </w:trPr>
        <w:tc>
          <w:tcPr>
            <w:tcW w:w="4201" w:type="dxa"/>
            <w:vAlign w:val="center"/>
          </w:tcPr>
          <w:p w14:paraId="00C2DF55">
            <w:pPr>
              <w:spacing w:line="240" w:lineRule="auto"/>
              <w:ind w:firstLine="480" w:firstLineChars="200"/>
              <w:rPr>
                <w:rFonts w:ascii="宋体"/>
                <w:sz w:val="24"/>
              </w:rPr>
            </w:pPr>
            <w:r>
              <w:rPr>
                <w:rFonts w:hint="eastAsia" w:ascii="宋体" w:hAnsi="宋体" w:cs="宋体"/>
                <w:sz w:val="24"/>
              </w:rPr>
              <w:t>传真：</w:t>
            </w:r>
          </w:p>
        </w:tc>
        <w:tc>
          <w:tcPr>
            <w:tcW w:w="4202" w:type="dxa"/>
            <w:vAlign w:val="center"/>
          </w:tcPr>
          <w:p w14:paraId="1900E5C8">
            <w:pPr>
              <w:spacing w:line="240" w:lineRule="auto"/>
              <w:ind w:firstLine="480" w:firstLineChars="200"/>
              <w:rPr>
                <w:rFonts w:ascii="宋体"/>
                <w:sz w:val="24"/>
              </w:rPr>
            </w:pPr>
            <w:r>
              <w:rPr>
                <w:rFonts w:hint="eastAsia" w:ascii="宋体" w:hAnsi="宋体" w:cs="宋体"/>
                <w:sz w:val="24"/>
              </w:rPr>
              <w:t>传真：</w:t>
            </w:r>
          </w:p>
        </w:tc>
      </w:tr>
      <w:tr w14:paraId="214EBCBC">
        <w:tblPrEx>
          <w:tblCellMar>
            <w:top w:w="0" w:type="dxa"/>
            <w:left w:w="108" w:type="dxa"/>
            <w:bottom w:w="0" w:type="dxa"/>
            <w:right w:w="108" w:type="dxa"/>
          </w:tblCellMar>
        </w:tblPrEx>
        <w:trPr>
          <w:trHeight w:val="454" w:hRule="atLeast"/>
        </w:trPr>
        <w:tc>
          <w:tcPr>
            <w:tcW w:w="4201" w:type="dxa"/>
            <w:vAlign w:val="center"/>
          </w:tcPr>
          <w:p w14:paraId="0135C6D7">
            <w:pPr>
              <w:spacing w:line="240" w:lineRule="auto"/>
              <w:ind w:firstLine="480" w:firstLineChars="200"/>
              <w:rPr>
                <w:rFonts w:ascii="宋体"/>
                <w:sz w:val="24"/>
              </w:rPr>
            </w:pPr>
            <w:r>
              <w:rPr>
                <w:rFonts w:hint="eastAsia" w:ascii="宋体" w:hAnsi="宋体" w:cs="宋体"/>
                <w:sz w:val="24"/>
              </w:rPr>
              <w:t>开户银行：</w:t>
            </w:r>
          </w:p>
        </w:tc>
        <w:tc>
          <w:tcPr>
            <w:tcW w:w="4202" w:type="dxa"/>
            <w:vAlign w:val="center"/>
          </w:tcPr>
          <w:p w14:paraId="031E0955">
            <w:pPr>
              <w:spacing w:line="240" w:lineRule="auto"/>
              <w:ind w:firstLine="480" w:firstLineChars="200"/>
              <w:rPr>
                <w:rFonts w:ascii="宋体"/>
                <w:sz w:val="24"/>
              </w:rPr>
            </w:pPr>
            <w:r>
              <w:rPr>
                <w:rFonts w:hint="eastAsia" w:ascii="宋体" w:hAnsi="宋体" w:cs="宋体"/>
                <w:sz w:val="24"/>
              </w:rPr>
              <w:t>开户银行：</w:t>
            </w:r>
          </w:p>
        </w:tc>
      </w:tr>
      <w:tr w14:paraId="5BEEC20A">
        <w:tblPrEx>
          <w:tblCellMar>
            <w:top w:w="0" w:type="dxa"/>
            <w:left w:w="108" w:type="dxa"/>
            <w:bottom w:w="0" w:type="dxa"/>
            <w:right w:w="108" w:type="dxa"/>
          </w:tblCellMar>
        </w:tblPrEx>
        <w:trPr>
          <w:trHeight w:val="454" w:hRule="atLeast"/>
        </w:trPr>
        <w:tc>
          <w:tcPr>
            <w:tcW w:w="4201" w:type="dxa"/>
            <w:vAlign w:val="center"/>
          </w:tcPr>
          <w:p w14:paraId="10095FC1">
            <w:pPr>
              <w:spacing w:line="240" w:lineRule="auto"/>
              <w:ind w:firstLine="480" w:firstLineChars="200"/>
              <w:rPr>
                <w:rFonts w:ascii="宋体"/>
                <w:sz w:val="24"/>
              </w:rPr>
            </w:pPr>
            <w:r>
              <w:rPr>
                <w:rFonts w:hint="eastAsia" w:ascii="宋体" w:hAnsi="宋体" w:cs="宋体"/>
                <w:sz w:val="24"/>
              </w:rPr>
              <w:t>日期：</w:t>
            </w:r>
          </w:p>
        </w:tc>
        <w:tc>
          <w:tcPr>
            <w:tcW w:w="4202" w:type="dxa"/>
            <w:vAlign w:val="center"/>
          </w:tcPr>
          <w:p w14:paraId="472842EA">
            <w:pPr>
              <w:spacing w:line="240" w:lineRule="auto"/>
              <w:ind w:firstLine="480" w:firstLineChars="200"/>
              <w:rPr>
                <w:rFonts w:ascii="宋体"/>
                <w:sz w:val="24"/>
              </w:rPr>
            </w:pPr>
            <w:r>
              <w:rPr>
                <w:rFonts w:hint="eastAsia" w:ascii="宋体" w:hAnsi="宋体" w:cs="宋体"/>
                <w:sz w:val="24"/>
              </w:rPr>
              <w:t>日期：</w:t>
            </w:r>
          </w:p>
        </w:tc>
      </w:tr>
    </w:tbl>
    <w:p w14:paraId="5A3D146C">
      <w:pPr>
        <w:pStyle w:val="2"/>
        <w:rPr>
          <w:rFonts w:ascii="Lucida Sans Unicode" w:hAnsi="Lucida Sans Unicode" w:eastAsia="Lucida Sans Unicode" w:cs="Lucida Sans Unicode"/>
          <w:sz w:val="19"/>
          <w:szCs w:val="19"/>
        </w:rPr>
      </w:pPr>
    </w:p>
    <w:p w14:paraId="1F009738">
      <w:pPr>
        <w:rPr>
          <w:rFonts w:hint="eastAsia" w:ascii="宋体" w:hAnsi="宋体" w:cs="宋体"/>
          <w:b/>
          <w:bCs/>
          <w:color w:val="000000"/>
          <w:sz w:val="36"/>
          <w:szCs w:val="36"/>
        </w:rPr>
      </w:pPr>
      <w:r>
        <w:rPr>
          <w:rFonts w:hint="eastAsia" w:ascii="宋体" w:hAnsi="宋体" w:cs="宋体"/>
          <w:b/>
          <w:bCs/>
          <w:color w:val="000000"/>
          <w:sz w:val="36"/>
          <w:szCs w:val="36"/>
        </w:rPr>
        <w:br w:type="page"/>
      </w:r>
    </w:p>
    <w:p w14:paraId="6E953EA9">
      <w:pPr>
        <w:spacing w:line="360" w:lineRule="auto"/>
        <w:jc w:val="center"/>
        <w:outlineLvl w:val="0"/>
        <w:rPr>
          <w:rFonts w:ascii="宋体" w:hAnsi="宋体" w:cs="宋体"/>
          <w:b/>
          <w:color w:val="000000"/>
          <w:sz w:val="36"/>
          <w:szCs w:val="36"/>
        </w:rPr>
      </w:pPr>
      <w:r>
        <w:rPr>
          <w:rFonts w:hint="eastAsia" w:ascii="宋体" w:hAnsi="宋体" w:cs="宋体"/>
          <w:b/>
          <w:bCs/>
          <w:color w:val="000000"/>
          <w:sz w:val="36"/>
          <w:szCs w:val="36"/>
        </w:rPr>
        <w:t>第五部分  竞争性磋商响应文件格式</w:t>
      </w:r>
      <w:bookmarkEnd w:id="12"/>
      <w:bookmarkEnd w:id="54"/>
      <w:bookmarkEnd w:id="55"/>
      <w:bookmarkEnd w:id="62"/>
    </w:p>
    <w:p w14:paraId="245A12EE">
      <w:pPr>
        <w:spacing w:line="480" w:lineRule="auto"/>
        <w:ind w:firstLine="723" w:firstLineChars="200"/>
        <w:jc w:val="center"/>
        <w:rPr>
          <w:rFonts w:ascii="宋体" w:hAnsi="宋体" w:cs="宋体"/>
          <w:b/>
          <w:color w:val="000000"/>
          <w:sz w:val="36"/>
          <w:szCs w:val="36"/>
        </w:rPr>
      </w:pPr>
    </w:p>
    <w:p w14:paraId="2DFFD254">
      <w:pPr>
        <w:adjustRightInd w:val="0"/>
        <w:snapToGrid w:val="0"/>
        <w:spacing w:line="360" w:lineRule="auto"/>
        <w:rPr>
          <w:rFonts w:ascii="宋体" w:hAnsi="宋体" w:cs="宋体"/>
          <w:color w:val="000000"/>
          <w:sz w:val="24"/>
        </w:rPr>
      </w:pPr>
    </w:p>
    <w:p w14:paraId="02242D7D">
      <w:pPr>
        <w:adjustRightInd w:val="0"/>
        <w:snapToGrid w:val="0"/>
        <w:spacing w:line="360" w:lineRule="auto"/>
        <w:rPr>
          <w:rFonts w:ascii="宋体" w:hAnsi="宋体" w:cs="宋体"/>
          <w:color w:val="000000"/>
          <w:sz w:val="24"/>
        </w:rPr>
      </w:pPr>
    </w:p>
    <w:p w14:paraId="036FE7A4">
      <w:pPr>
        <w:adjustRightInd w:val="0"/>
        <w:snapToGrid w:val="0"/>
        <w:spacing w:line="360" w:lineRule="auto"/>
        <w:rPr>
          <w:rFonts w:ascii="宋体" w:hAnsi="宋体" w:cs="宋体"/>
          <w:color w:val="000000"/>
          <w:sz w:val="24"/>
        </w:rPr>
      </w:pPr>
    </w:p>
    <w:p w14:paraId="35D37DA7">
      <w:pPr>
        <w:spacing w:line="480" w:lineRule="auto"/>
        <w:ind w:firstLine="482" w:firstLineChars="200"/>
        <w:jc w:val="center"/>
        <w:rPr>
          <w:rFonts w:ascii="宋体" w:hAnsi="宋体" w:cs="宋体"/>
          <w:b/>
          <w:bCs/>
          <w:color w:val="000000"/>
          <w:sz w:val="24"/>
        </w:rPr>
      </w:pPr>
      <w:r>
        <w:rPr>
          <w:rFonts w:hint="eastAsia" w:ascii="宋体" w:hAnsi="宋体" w:cs="宋体"/>
          <w:b/>
          <w:bCs/>
          <w:color w:val="000000"/>
          <w:sz w:val="24"/>
        </w:rPr>
        <w:t>（注：竞争性磋商响应文件应包含此格式但并不限于此格式，其他未提供格式的文件和资料由供应商自行设计编制格式填写。）</w:t>
      </w:r>
    </w:p>
    <w:p w14:paraId="4A0B07E7">
      <w:pPr>
        <w:adjustRightInd w:val="0"/>
        <w:snapToGrid w:val="0"/>
        <w:spacing w:line="360" w:lineRule="auto"/>
        <w:jc w:val="right"/>
        <w:rPr>
          <w:rFonts w:ascii="宋体" w:hAnsi="宋体" w:cs="宋体"/>
          <w:color w:val="000000"/>
          <w:sz w:val="24"/>
        </w:rPr>
      </w:pPr>
    </w:p>
    <w:p w14:paraId="74C2A9AC">
      <w:pPr>
        <w:adjustRightInd w:val="0"/>
        <w:snapToGrid w:val="0"/>
        <w:spacing w:line="360" w:lineRule="auto"/>
        <w:ind w:right="600"/>
        <w:jc w:val="right"/>
        <w:rPr>
          <w:rFonts w:ascii="宋体" w:hAnsi="宋体" w:cs="宋体"/>
          <w:b/>
          <w:color w:val="000000"/>
          <w:sz w:val="28"/>
          <w:szCs w:val="28"/>
        </w:rPr>
      </w:pPr>
      <w:r>
        <w:rPr>
          <w:rFonts w:hint="eastAsia" w:ascii="宋体" w:hAnsi="宋体" w:cs="宋体"/>
          <w:color w:val="000000"/>
          <w:sz w:val="24"/>
        </w:rPr>
        <w:br w:type="page"/>
      </w:r>
      <w:r>
        <w:rPr>
          <w:rFonts w:hint="eastAsia" w:ascii="宋体" w:hAnsi="宋体" w:cs="宋体"/>
          <w:b/>
          <w:color w:val="000000"/>
          <w:sz w:val="28"/>
          <w:szCs w:val="28"/>
        </w:rPr>
        <w:t xml:space="preserve"> （正本或副本）</w:t>
      </w:r>
    </w:p>
    <w:p w14:paraId="4016B504">
      <w:pPr>
        <w:wordWrap w:val="0"/>
        <w:spacing w:line="480" w:lineRule="auto"/>
        <w:ind w:right="980"/>
        <w:rPr>
          <w:rFonts w:hint="default" w:ascii="宋体" w:hAnsi="宋体" w:eastAsia="宋体" w:cs="宋体"/>
          <w:b/>
          <w:color w:val="000000"/>
          <w:sz w:val="28"/>
          <w:szCs w:val="28"/>
          <w:lang w:val="en-US" w:eastAsia="zh-CN"/>
        </w:rPr>
      </w:pPr>
      <w:r>
        <w:rPr>
          <w:rFonts w:hint="eastAsia" w:ascii="宋体" w:hAnsi="宋体" w:cs="宋体"/>
          <w:b/>
          <w:color w:val="000000"/>
          <w:sz w:val="28"/>
          <w:szCs w:val="28"/>
        </w:rPr>
        <w:t>项目编号：</w:t>
      </w:r>
      <w:r>
        <w:rPr>
          <w:rFonts w:hint="eastAsia" w:ascii="宋体" w:hAnsi="宋体" w:cs="宋体"/>
          <w:b/>
          <w:color w:val="000000"/>
          <w:sz w:val="28"/>
          <w:szCs w:val="28"/>
          <w:lang w:eastAsia="zh-CN"/>
        </w:rPr>
        <w:t>HSGJ2025-181</w:t>
      </w:r>
    </w:p>
    <w:p w14:paraId="30D09469">
      <w:pPr>
        <w:spacing w:line="480" w:lineRule="auto"/>
        <w:ind w:right="420"/>
        <w:jc w:val="right"/>
        <w:rPr>
          <w:rFonts w:ascii="宋体" w:hAnsi="宋体" w:cs="宋体"/>
          <w:b/>
          <w:color w:val="000000"/>
          <w:sz w:val="28"/>
          <w:szCs w:val="28"/>
        </w:rPr>
      </w:pPr>
      <w:r>
        <w:rPr>
          <w:rFonts w:hint="eastAsia" w:ascii="宋体" w:hAnsi="宋体" w:cs="宋体"/>
          <w:b/>
          <w:color w:val="000000"/>
          <w:sz w:val="28"/>
          <w:szCs w:val="28"/>
        </w:rPr>
        <w:t xml:space="preserve"> </w:t>
      </w:r>
    </w:p>
    <w:p w14:paraId="1DDB76ED">
      <w:pPr>
        <w:spacing w:line="360" w:lineRule="auto"/>
        <w:rPr>
          <w:rFonts w:ascii="宋体" w:hAnsi="宋体" w:cs="宋体"/>
          <w:b/>
          <w:color w:val="000000"/>
          <w:sz w:val="24"/>
        </w:rPr>
      </w:pPr>
    </w:p>
    <w:p w14:paraId="7CBC043C">
      <w:pPr>
        <w:adjustRightInd w:val="0"/>
        <w:snapToGrid w:val="0"/>
        <w:spacing w:line="360" w:lineRule="auto"/>
        <w:jc w:val="center"/>
        <w:rPr>
          <w:rFonts w:hint="eastAsia" w:asciiTheme="minorEastAsia" w:hAnsiTheme="minorEastAsia" w:eastAsiaTheme="minorEastAsia" w:cstheme="minorEastAsia"/>
          <w:b/>
          <w:bCs/>
          <w:sz w:val="48"/>
          <w:szCs w:val="48"/>
          <w:lang w:eastAsia="zh-CN"/>
        </w:rPr>
      </w:pPr>
      <w:r>
        <w:rPr>
          <w:rFonts w:hint="eastAsia" w:asciiTheme="minorEastAsia" w:hAnsiTheme="minorEastAsia" w:eastAsiaTheme="minorEastAsia" w:cstheme="minorEastAsia"/>
          <w:b/>
          <w:bCs/>
          <w:sz w:val="48"/>
          <w:szCs w:val="48"/>
          <w:lang w:eastAsia="zh-CN"/>
        </w:rPr>
        <w:t>陕西省公安厅寄递物流业治安管理信息</w:t>
      </w:r>
    </w:p>
    <w:p w14:paraId="72D2F956">
      <w:pPr>
        <w:adjustRightInd w:val="0"/>
        <w:snapToGrid w:val="0"/>
        <w:spacing w:line="360" w:lineRule="auto"/>
        <w:jc w:val="center"/>
        <w:rPr>
          <w:rFonts w:hint="eastAsia" w:asciiTheme="minorEastAsia" w:hAnsiTheme="minorEastAsia" w:eastAsiaTheme="minorEastAsia" w:cstheme="minorEastAsia"/>
          <w:b/>
          <w:bCs/>
          <w:sz w:val="48"/>
          <w:szCs w:val="48"/>
          <w:lang w:eastAsia="zh-CN"/>
        </w:rPr>
      </w:pPr>
      <w:r>
        <w:rPr>
          <w:rFonts w:hint="eastAsia" w:asciiTheme="minorEastAsia" w:hAnsiTheme="minorEastAsia" w:eastAsiaTheme="minorEastAsia" w:cstheme="minorEastAsia"/>
          <w:b/>
          <w:bCs/>
          <w:sz w:val="48"/>
          <w:szCs w:val="48"/>
          <w:lang w:eastAsia="zh-CN"/>
        </w:rPr>
        <w:t>系统运维项目</w:t>
      </w:r>
    </w:p>
    <w:p w14:paraId="76B1B67F">
      <w:pPr>
        <w:adjustRightInd w:val="0"/>
        <w:snapToGrid w:val="0"/>
        <w:spacing w:line="360" w:lineRule="auto"/>
        <w:jc w:val="center"/>
        <w:rPr>
          <w:rFonts w:ascii="宋体" w:hAnsi="宋体" w:cs="宋体"/>
          <w:b/>
          <w:color w:val="000000"/>
          <w:sz w:val="48"/>
          <w:szCs w:val="48"/>
        </w:rPr>
      </w:pPr>
    </w:p>
    <w:p w14:paraId="5D8E36F8">
      <w:pPr>
        <w:adjustRightInd w:val="0"/>
        <w:snapToGrid w:val="0"/>
        <w:spacing w:line="360" w:lineRule="auto"/>
        <w:jc w:val="center"/>
        <w:rPr>
          <w:rFonts w:ascii="宋体" w:hAnsi="宋体" w:cs="宋体"/>
          <w:b/>
          <w:color w:val="000000"/>
          <w:sz w:val="48"/>
          <w:szCs w:val="48"/>
        </w:rPr>
      </w:pPr>
    </w:p>
    <w:p w14:paraId="0C080F4E">
      <w:pPr>
        <w:adjustRightInd w:val="0"/>
        <w:snapToGrid w:val="0"/>
        <w:spacing w:line="360" w:lineRule="auto"/>
        <w:jc w:val="center"/>
        <w:rPr>
          <w:rFonts w:ascii="宋体" w:hAnsi="宋体" w:cs="宋体"/>
          <w:b/>
          <w:color w:val="000000"/>
          <w:sz w:val="52"/>
          <w:szCs w:val="52"/>
        </w:rPr>
      </w:pPr>
      <w:r>
        <w:rPr>
          <w:rFonts w:hint="eastAsia" w:ascii="宋体" w:hAnsi="宋体" w:cs="宋体"/>
          <w:b/>
          <w:color w:val="000000"/>
          <w:sz w:val="52"/>
          <w:szCs w:val="52"/>
        </w:rPr>
        <w:t>竞争性磋商响应文件</w:t>
      </w:r>
    </w:p>
    <w:p w14:paraId="210FABF8">
      <w:pPr>
        <w:adjustRightInd w:val="0"/>
        <w:snapToGrid w:val="0"/>
        <w:spacing w:line="360" w:lineRule="auto"/>
        <w:jc w:val="center"/>
        <w:rPr>
          <w:rFonts w:ascii="宋体" w:hAnsi="宋体" w:cs="宋体"/>
          <w:b/>
          <w:color w:val="000000"/>
          <w:sz w:val="32"/>
          <w:szCs w:val="32"/>
        </w:rPr>
      </w:pPr>
    </w:p>
    <w:p w14:paraId="080C6DF1">
      <w:pPr>
        <w:adjustRightInd w:val="0"/>
        <w:snapToGrid w:val="0"/>
        <w:spacing w:line="360" w:lineRule="auto"/>
        <w:jc w:val="center"/>
        <w:rPr>
          <w:rFonts w:ascii="宋体" w:hAnsi="宋体" w:cs="宋体"/>
          <w:b/>
          <w:color w:val="000000"/>
          <w:sz w:val="42"/>
        </w:rPr>
      </w:pPr>
      <w:r>
        <w:rPr>
          <w:rFonts w:hint="eastAsia" w:ascii="宋体" w:hAnsi="宋体" w:cs="宋体"/>
          <w:b/>
          <w:color w:val="000000"/>
          <w:sz w:val="32"/>
          <w:szCs w:val="32"/>
        </w:rPr>
        <w:t>（格式）</w:t>
      </w:r>
    </w:p>
    <w:p w14:paraId="60D6F0EA">
      <w:pPr>
        <w:adjustRightInd w:val="0"/>
        <w:snapToGrid w:val="0"/>
        <w:spacing w:line="360" w:lineRule="auto"/>
        <w:jc w:val="center"/>
        <w:rPr>
          <w:rFonts w:ascii="宋体" w:hAnsi="宋体" w:cs="宋体"/>
          <w:b/>
          <w:color w:val="000000"/>
          <w:sz w:val="30"/>
        </w:rPr>
      </w:pPr>
    </w:p>
    <w:p w14:paraId="36F10F42">
      <w:pPr>
        <w:adjustRightInd w:val="0"/>
        <w:snapToGrid w:val="0"/>
        <w:spacing w:line="360" w:lineRule="auto"/>
        <w:jc w:val="center"/>
        <w:rPr>
          <w:rFonts w:ascii="宋体" w:hAnsi="宋体" w:cs="宋体"/>
          <w:b/>
          <w:color w:val="000000"/>
          <w:sz w:val="30"/>
        </w:rPr>
      </w:pPr>
    </w:p>
    <w:p w14:paraId="0D50FE90">
      <w:pPr>
        <w:adjustRightInd w:val="0"/>
        <w:snapToGrid w:val="0"/>
        <w:spacing w:line="360" w:lineRule="auto"/>
        <w:jc w:val="center"/>
        <w:rPr>
          <w:rFonts w:ascii="宋体" w:hAnsi="宋体" w:cs="宋体"/>
          <w:b/>
          <w:color w:val="000000"/>
          <w:sz w:val="30"/>
        </w:rPr>
      </w:pPr>
    </w:p>
    <w:p w14:paraId="5425FDF8">
      <w:pPr>
        <w:adjustRightInd w:val="0"/>
        <w:snapToGrid w:val="0"/>
        <w:spacing w:line="360" w:lineRule="auto"/>
        <w:jc w:val="center"/>
        <w:rPr>
          <w:rFonts w:ascii="宋体" w:hAnsi="宋体" w:cs="宋体"/>
          <w:b/>
          <w:color w:val="000000"/>
          <w:sz w:val="30"/>
        </w:rPr>
      </w:pPr>
    </w:p>
    <w:p w14:paraId="2ABF151E">
      <w:pPr>
        <w:adjustRightInd w:val="0"/>
        <w:snapToGrid w:val="0"/>
        <w:spacing w:line="360" w:lineRule="auto"/>
        <w:rPr>
          <w:rFonts w:ascii="宋体" w:hAnsi="宋体" w:cs="宋体"/>
          <w:b/>
          <w:color w:val="000000"/>
          <w:sz w:val="30"/>
        </w:rPr>
      </w:pPr>
    </w:p>
    <w:p w14:paraId="215C3750">
      <w:pPr>
        <w:spacing w:line="600" w:lineRule="auto"/>
        <w:ind w:firstLine="1807" w:firstLineChars="600"/>
        <w:rPr>
          <w:rFonts w:ascii="宋体" w:hAnsi="宋体" w:cs="宋体"/>
          <w:b/>
          <w:color w:val="000000"/>
          <w:sz w:val="30"/>
          <w:szCs w:val="30"/>
        </w:rPr>
      </w:pPr>
      <w:r>
        <w:rPr>
          <w:rFonts w:hint="eastAsia" w:ascii="宋体" w:hAnsi="宋体" w:cs="宋体"/>
          <w:b/>
          <w:color w:val="000000"/>
          <w:sz w:val="30"/>
          <w:szCs w:val="30"/>
        </w:rPr>
        <w:t>供 应 商：</w:t>
      </w:r>
      <w:r>
        <w:rPr>
          <w:rFonts w:hint="eastAsia" w:ascii="宋体" w:hAnsi="宋体" w:cs="宋体"/>
          <w:b/>
          <w:color w:val="000000"/>
          <w:sz w:val="30"/>
          <w:szCs w:val="30"/>
          <w:u w:val="single"/>
        </w:rPr>
        <w:t xml:space="preserve">                    （</w:t>
      </w:r>
      <w:r>
        <w:rPr>
          <w:rFonts w:hint="eastAsia" w:ascii="宋体" w:hAnsi="宋体" w:cs="宋体"/>
          <w:b/>
          <w:color w:val="000000"/>
          <w:sz w:val="30"/>
          <w:szCs w:val="30"/>
          <w:u w:val="single"/>
          <w:lang w:eastAsia="zh-CN"/>
        </w:rPr>
        <w:t>公</w:t>
      </w:r>
      <w:r>
        <w:rPr>
          <w:rFonts w:hint="eastAsia" w:ascii="宋体" w:hAnsi="宋体" w:cs="宋体"/>
          <w:b/>
          <w:color w:val="000000"/>
          <w:sz w:val="30"/>
          <w:szCs w:val="30"/>
          <w:u w:val="single"/>
        </w:rPr>
        <w:t>章）</w:t>
      </w:r>
    </w:p>
    <w:p w14:paraId="4B8D507D">
      <w:pPr>
        <w:spacing w:line="600" w:lineRule="auto"/>
        <w:ind w:firstLine="1807" w:firstLineChars="600"/>
        <w:rPr>
          <w:rFonts w:ascii="宋体" w:hAnsi="宋体" w:cs="宋体"/>
          <w:b/>
          <w:color w:val="000000"/>
          <w:sz w:val="30"/>
          <w:szCs w:val="30"/>
        </w:rPr>
      </w:pPr>
      <w:r>
        <w:rPr>
          <w:rFonts w:hint="eastAsia" w:ascii="宋体" w:hAnsi="宋体" w:cs="宋体"/>
          <w:b/>
          <w:color w:val="000000"/>
          <w:sz w:val="30"/>
          <w:szCs w:val="30"/>
        </w:rPr>
        <w:t>日    期：       年  月   日</w:t>
      </w:r>
    </w:p>
    <w:p w14:paraId="1E64A067">
      <w:pPr>
        <w:adjustRightInd w:val="0"/>
        <w:snapToGrid w:val="0"/>
        <w:spacing w:line="360" w:lineRule="auto"/>
        <w:rPr>
          <w:rFonts w:ascii="宋体" w:hAnsi="宋体" w:cs="宋体"/>
          <w:b/>
          <w:color w:val="000000"/>
          <w:sz w:val="19"/>
        </w:rPr>
      </w:pPr>
    </w:p>
    <w:p w14:paraId="29CB1995">
      <w:r>
        <w:rPr>
          <w:rFonts w:ascii="宋体" w:hAnsi="宋体" w:cs="宋体"/>
          <w:b/>
          <w:color w:val="000000"/>
          <w:sz w:val="32"/>
          <w:szCs w:val="32"/>
        </w:rPr>
        <w:br w:type="page"/>
      </w:r>
    </w:p>
    <w:p w14:paraId="56E55E24">
      <w:pPr>
        <w:spacing w:line="360" w:lineRule="auto"/>
        <w:jc w:val="center"/>
        <w:rPr>
          <w:rFonts w:ascii="宋体" w:hAnsi="宋体" w:cs="宋体"/>
          <w:b/>
          <w:color w:val="000000"/>
          <w:sz w:val="32"/>
          <w:szCs w:val="32"/>
        </w:rPr>
      </w:pPr>
      <w:r>
        <w:rPr>
          <w:rFonts w:hint="eastAsia" w:ascii="宋体" w:hAnsi="宋体" w:cs="宋体"/>
          <w:b/>
          <w:color w:val="000000"/>
          <w:sz w:val="32"/>
          <w:szCs w:val="32"/>
        </w:rPr>
        <w:t>竞争性磋商响应文件编制说明</w:t>
      </w:r>
    </w:p>
    <w:p w14:paraId="6F9219DA">
      <w:pPr>
        <w:spacing w:line="360" w:lineRule="auto"/>
        <w:rPr>
          <w:rFonts w:ascii="宋体" w:hAnsi="宋体" w:cs="宋体"/>
          <w:color w:val="000000"/>
          <w:sz w:val="24"/>
        </w:rPr>
      </w:pPr>
    </w:p>
    <w:p w14:paraId="3408533F">
      <w:pPr>
        <w:spacing w:line="480" w:lineRule="auto"/>
        <w:ind w:left="105" w:leftChars="50" w:firstLine="360" w:firstLineChars="150"/>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w:t>
      </w:r>
      <w:r>
        <w:rPr>
          <w:rFonts w:hint="eastAsia" w:ascii="宋体" w:hAnsi="宋体" w:cs="宋体"/>
          <w:color w:val="000000"/>
          <w:sz w:val="24"/>
        </w:rPr>
        <w:t>华晟国际项目管理有限公司提供的竞争性磋商文件格式，起到样式作用，编制竞争性磋商响应文件前，请详细阅读竞争性磋商文件，理解文件中的每一项要求。</w:t>
      </w:r>
    </w:p>
    <w:p w14:paraId="3C8BD09E">
      <w:pPr>
        <w:spacing w:line="480" w:lineRule="auto"/>
        <w:ind w:left="105" w:leftChars="50" w:firstLine="360" w:firstLineChars="150"/>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w:t>
      </w:r>
      <w:r>
        <w:rPr>
          <w:rFonts w:hint="eastAsia" w:ascii="宋体" w:hAnsi="宋体" w:cs="宋体"/>
          <w:color w:val="000000"/>
          <w:sz w:val="24"/>
        </w:rPr>
        <w:t>竞争性磋商响应文件的编制应按照样本格式提供的内容，做出逐一明确的答复；供应商认为有必要，还可以做其它补充说明。</w:t>
      </w:r>
    </w:p>
    <w:p w14:paraId="077A1E01">
      <w:pPr>
        <w:spacing w:line="480" w:lineRule="auto"/>
        <w:ind w:firstLine="482" w:firstLineChars="201"/>
        <w:rPr>
          <w:rFonts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lang w:val="en-US" w:eastAsia="zh-CN"/>
        </w:rPr>
        <w:t>.</w:t>
      </w:r>
      <w:r>
        <w:rPr>
          <w:rFonts w:hint="eastAsia" w:ascii="宋体" w:hAnsi="宋体" w:cs="宋体"/>
          <w:color w:val="000000"/>
          <w:sz w:val="24"/>
        </w:rPr>
        <w:t>全部编制完成，并加盖</w:t>
      </w:r>
      <w:r>
        <w:rPr>
          <w:rFonts w:hint="eastAsia" w:ascii="宋体" w:hAnsi="宋体" w:cs="宋体"/>
          <w:color w:val="000000"/>
          <w:sz w:val="24"/>
          <w:lang w:eastAsia="zh-CN"/>
        </w:rPr>
        <w:t>公</w:t>
      </w:r>
      <w:r>
        <w:rPr>
          <w:rFonts w:hint="eastAsia" w:ascii="宋体" w:hAnsi="宋体" w:cs="宋体"/>
          <w:color w:val="000000"/>
          <w:sz w:val="24"/>
        </w:rPr>
        <w:t>章后，竞争性磋商响应文件正、副本应分别装订成册。</w:t>
      </w:r>
    </w:p>
    <w:p w14:paraId="744305D8">
      <w:pPr>
        <w:spacing w:line="480" w:lineRule="auto"/>
        <w:ind w:left="105" w:hanging="105" w:hangingChars="50"/>
        <w:rPr>
          <w:rFonts w:ascii="宋体" w:hAnsi="宋体" w:cs="宋体"/>
        </w:rPr>
      </w:pPr>
    </w:p>
    <w:p w14:paraId="3C26A0FE">
      <w:pPr>
        <w:spacing w:line="480" w:lineRule="auto"/>
        <w:ind w:left="120" w:hanging="120" w:hangingChars="50"/>
        <w:rPr>
          <w:rFonts w:ascii="宋体" w:hAnsi="宋体" w:cs="宋体"/>
          <w:color w:val="000000"/>
          <w:sz w:val="24"/>
        </w:rPr>
      </w:pPr>
    </w:p>
    <w:p w14:paraId="38510889">
      <w:pPr>
        <w:spacing w:line="480" w:lineRule="auto"/>
        <w:ind w:left="120" w:hanging="120" w:hangingChars="50"/>
        <w:jc w:val="center"/>
        <w:rPr>
          <w:rFonts w:ascii="宋体" w:hAnsi="宋体" w:cs="宋体"/>
          <w:color w:val="000000"/>
          <w:sz w:val="24"/>
        </w:rPr>
      </w:pPr>
      <w:r>
        <w:rPr>
          <w:rFonts w:hint="eastAsia" w:ascii="宋体" w:hAnsi="宋体" w:cs="宋体"/>
          <w:color w:val="000000"/>
          <w:sz w:val="24"/>
        </w:rPr>
        <w:br w:type="page"/>
      </w:r>
    </w:p>
    <w:p w14:paraId="2326EF7B">
      <w:pPr>
        <w:spacing w:line="480" w:lineRule="auto"/>
        <w:ind w:left="220" w:hanging="221" w:hangingChars="50"/>
        <w:jc w:val="center"/>
        <w:rPr>
          <w:rFonts w:ascii="宋体" w:hAnsi="宋体" w:cs="宋体"/>
          <w:b/>
          <w:bCs/>
          <w:color w:val="000000"/>
          <w:sz w:val="44"/>
          <w:szCs w:val="44"/>
        </w:rPr>
      </w:pPr>
      <w:r>
        <w:rPr>
          <w:rFonts w:hint="eastAsia" w:ascii="宋体" w:hAnsi="宋体" w:cs="宋体"/>
          <w:b/>
          <w:bCs/>
          <w:color w:val="000000"/>
          <w:sz w:val="44"/>
          <w:szCs w:val="44"/>
        </w:rPr>
        <w:t>目      录</w:t>
      </w:r>
    </w:p>
    <w:p w14:paraId="4CE34847">
      <w:pPr>
        <w:rPr>
          <w:rFonts w:ascii="宋体" w:hAnsi="宋体" w:cs="宋体"/>
          <w:color w:val="000000"/>
          <w:sz w:val="36"/>
          <w:szCs w:val="36"/>
        </w:rPr>
      </w:pPr>
    </w:p>
    <w:p w14:paraId="65126909">
      <w:pPr>
        <w:keepNext w:val="0"/>
        <w:keepLines w:val="0"/>
        <w:pageBreakBefore w:val="0"/>
        <w:widowControl w:val="0"/>
        <w:kinsoku/>
        <w:wordWrap/>
        <w:overflowPunct/>
        <w:topLinePunct w:val="0"/>
        <w:autoSpaceDE/>
        <w:autoSpaceDN/>
        <w:bidi w:val="0"/>
        <w:adjustRightInd/>
        <w:snapToGrid/>
        <w:spacing w:line="480" w:lineRule="auto"/>
        <w:ind w:firstLine="2250" w:firstLineChars="750"/>
        <w:textAlignment w:val="auto"/>
        <w:rPr>
          <w:rFonts w:ascii="宋体" w:hAnsi="宋体" w:cs="宋体"/>
          <w:bCs/>
          <w:color w:val="000000"/>
          <w:sz w:val="30"/>
          <w:szCs w:val="30"/>
        </w:rPr>
      </w:pPr>
      <w:r>
        <w:rPr>
          <w:rFonts w:hint="eastAsia" w:ascii="宋体" w:hAnsi="宋体" w:cs="宋体"/>
          <w:bCs/>
          <w:color w:val="000000"/>
          <w:sz w:val="30"/>
          <w:szCs w:val="30"/>
        </w:rPr>
        <w:t>一、磋商函</w:t>
      </w:r>
    </w:p>
    <w:p w14:paraId="2804E571">
      <w:pPr>
        <w:keepNext w:val="0"/>
        <w:keepLines w:val="0"/>
        <w:pageBreakBefore w:val="0"/>
        <w:widowControl w:val="0"/>
        <w:kinsoku/>
        <w:wordWrap/>
        <w:overflowPunct/>
        <w:topLinePunct w:val="0"/>
        <w:autoSpaceDE/>
        <w:autoSpaceDN/>
        <w:bidi w:val="0"/>
        <w:adjustRightInd/>
        <w:snapToGrid/>
        <w:spacing w:line="480" w:lineRule="auto"/>
        <w:ind w:firstLine="2250" w:firstLineChars="750"/>
        <w:textAlignment w:val="auto"/>
        <w:rPr>
          <w:rFonts w:ascii="宋体" w:hAnsi="宋体" w:cs="宋体"/>
          <w:bCs/>
          <w:color w:val="000000"/>
          <w:sz w:val="30"/>
          <w:szCs w:val="30"/>
        </w:rPr>
      </w:pPr>
      <w:r>
        <w:rPr>
          <w:rFonts w:hint="eastAsia" w:ascii="宋体" w:hAnsi="宋体" w:cs="宋体"/>
          <w:bCs/>
          <w:color w:val="000000"/>
          <w:sz w:val="30"/>
          <w:szCs w:val="30"/>
        </w:rPr>
        <w:t>二、法定代表人证明书</w:t>
      </w:r>
    </w:p>
    <w:p w14:paraId="621C4247">
      <w:pPr>
        <w:keepNext w:val="0"/>
        <w:keepLines w:val="0"/>
        <w:pageBreakBefore w:val="0"/>
        <w:widowControl w:val="0"/>
        <w:kinsoku/>
        <w:wordWrap/>
        <w:overflowPunct/>
        <w:topLinePunct w:val="0"/>
        <w:autoSpaceDE/>
        <w:autoSpaceDN/>
        <w:bidi w:val="0"/>
        <w:adjustRightInd/>
        <w:snapToGrid/>
        <w:spacing w:line="480" w:lineRule="auto"/>
        <w:ind w:firstLine="2250" w:firstLineChars="750"/>
        <w:textAlignment w:val="auto"/>
        <w:rPr>
          <w:rFonts w:ascii="宋体" w:hAnsi="宋体" w:cs="宋体"/>
          <w:bCs/>
          <w:color w:val="000000"/>
          <w:sz w:val="30"/>
          <w:szCs w:val="30"/>
        </w:rPr>
      </w:pPr>
      <w:r>
        <w:rPr>
          <w:rFonts w:hint="eastAsia" w:ascii="宋体" w:hAnsi="宋体" w:cs="宋体"/>
          <w:bCs/>
          <w:color w:val="000000"/>
          <w:sz w:val="30"/>
          <w:szCs w:val="30"/>
        </w:rPr>
        <w:t>三、法定代表人授权书</w:t>
      </w:r>
    </w:p>
    <w:p w14:paraId="3EA4BB1E">
      <w:pPr>
        <w:keepNext w:val="0"/>
        <w:keepLines w:val="0"/>
        <w:pageBreakBefore w:val="0"/>
        <w:widowControl w:val="0"/>
        <w:kinsoku/>
        <w:wordWrap/>
        <w:overflowPunct/>
        <w:topLinePunct w:val="0"/>
        <w:autoSpaceDE/>
        <w:autoSpaceDN/>
        <w:bidi w:val="0"/>
        <w:adjustRightInd/>
        <w:snapToGrid/>
        <w:spacing w:line="480" w:lineRule="auto"/>
        <w:ind w:firstLine="2250" w:firstLineChars="750"/>
        <w:textAlignment w:val="auto"/>
        <w:rPr>
          <w:rFonts w:ascii="宋体" w:hAnsi="宋体" w:cs="宋体"/>
          <w:bCs/>
          <w:color w:val="000000"/>
          <w:sz w:val="30"/>
          <w:szCs w:val="30"/>
        </w:rPr>
      </w:pPr>
      <w:r>
        <w:rPr>
          <w:rFonts w:hint="eastAsia" w:ascii="宋体" w:hAnsi="宋体" w:cs="宋体"/>
          <w:bCs/>
          <w:color w:val="000000"/>
          <w:sz w:val="30"/>
          <w:szCs w:val="30"/>
        </w:rPr>
        <w:t>四、报价一览表</w:t>
      </w:r>
    </w:p>
    <w:p w14:paraId="07D6CD88">
      <w:pPr>
        <w:keepNext w:val="0"/>
        <w:keepLines w:val="0"/>
        <w:pageBreakBefore w:val="0"/>
        <w:widowControl w:val="0"/>
        <w:kinsoku/>
        <w:wordWrap/>
        <w:overflowPunct/>
        <w:topLinePunct w:val="0"/>
        <w:autoSpaceDE/>
        <w:autoSpaceDN/>
        <w:bidi w:val="0"/>
        <w:adjustRightInd/>
        <w:snapToGrid/>
        <w:spacing w:line="480" w:lineRule="auto"/>
        <w:ind w:firstLine="2250" w:firstLineChars="750"/>
        <w:textAlignment w:val="auto"/>
        <w:rPr>
          <w:rFonts w:ascii="宋体" w:hAnsi="宋体" w:cs="宋体"/>
          <w:bCs/>
          <w:color w:val="000000"/>
          <w:sz w:val="30"/>
          <w:szCs w:val="30"/>
        </w:rPr>
      </w:pPr>
      <w:r>
        <w:rPr>
          <w:rFonts w:hint="eastAsia" w:ascii="宋体" w:hAnsi="宋体" w:cs="宋体"/>
          <w:bCs/>
          <w:color w:val="000000"/>
          <w:sz w:val="30"/>
          <w:szCs w:val="30"/>
        </w:rPr>
        <w:t>五、服务需求响应表</w:t>
      </w:r>
    </w:p>
    <w:p w14:paraId="60C75BA9">
      <w:pPr>
        <w:keepNext w:val="0"/>
        <w:keepLines w:val="0"/>
        <w:pageBreakBefore w:val="0"/>
        <w:widowControl w:val="0"/>
        <w:kinsoku/>
        <w:wordWrap/>
        <w:overflowPunct/>
        <w:topLinePunct w:val="0"/>
        <w:autoSpaceDE/>
        <w:autoSpaceDN/>
        <w:bidi w:val="0"/>
        <w:adjustRightInd/>
        <w:snapToGrid/>
        <w:spacing w:line="480" w:lineRule="auto"/>
        <w:ind w:firstLine="2250" w:firstLineChars="750"/>
        <w:textAlignment w:val="auto"/>
        <w:rPr>
          <w:rFonts w:ascii="宋体" w:hAnsi="宋体" w:cs="宋体"/>
          <w:bCs/>
          <w:color w:val="000000"/>
          <w:sz w:val="30"/>
          <w:szCs w:val="30"/>
        </w:rPr>
      </w:pPr>
      <w:r>
        <w:rPr>
          <w:rFonts w:hint="eastAsia" w:ascii="宋体" w:hAnsi="宋体" w:cs="宋体"/>
          <w:bCs/>
          <w:color w:val="000000"/>
          <w:sz w:val="30"/>
          <w:szCs w:val="30"/>
        </w:rPr>
        <w:t>六、</w:t>
      </w:r>
      <w:r>
        <w:rPr>
          <w:rFonts w:hint="eastAsia" w:ascii="宋体" w:hAnsi="宋体" w:cs="宋体"/>
          <w:bCs/>
          <w:color w:val="000000"/>
          <w:sz w:val="30"/>
          <w:szCs w:val="30"/>
          <w:lang w:eastAsia="zh-CN"/>
        </w:rPr>
        <w:t>商务</w:t>
      </w:r>
      <w:r>
        <w:rPr>
          <w:rFonts w:hint="eastAsia" w:ascii="宋体" w:hAnsi="宋体" w:cs="宋体"/>
          <w:bCs/>
          <w:color w:val="000000"/>
          <w:sz w:val="30"/>
          <w:szCs w:val="30"/>
        </w:rPr>
        <w:t>偏离表</w:t>
      </w:r>
    </w:p>
    <w:p w14:paraId="781D68DD">
      <w:pPr>
        <w:keepNext w:val="0"/>
        <w:keepLines w:val="0"/>
        <w:pageBreakBefore w:val="0"/>
        <w:widowControl w:val="0"/>
        <w:kinsoku/>
        <w:wordWrap/>
        <w:overflowPunct/>
        <w:topLinePunct w:val="0"/>
        <w:autoSpaceDE/>
        <w:autoSpaceDN/>
        <w:bidi w:val="0"/>
        <w:adjustRightInd/>
        <w:snapToGrid/>
        <w:spacing w:line="480" w:lineRule="auto"/>
        <w:ind w:firstLine="2250" w:firstLineChars="750"/>
        <w:textAlignment w:val="auto"/>
        <w:rPr>
          <w:rFonts w:ascii="宋体" w:hAnsi="宋体" w:cs="宋体"/>
          <w:bCs/>
          <w:color w:val="000000"/>
          <w:sz w:val="30"/>
          <w:szCs w:val="30"/>
        </w:rPr>
      </w:pPr>
      <w:r>
        <w:rPr>
          <w:rFonts w:hint="eastAsia" w:ascii="宋体" w:hAnsi="宋体" w:cs="宋体"/>
          <w:bCs/>
          <w:color w:val="000000"/>
          <w:sz w:val="30"/>
          <w:szCs w:val="30"/>
        </w:rPr>
        <w:t>七、资</w:t>
      </w:r>
      <w:r>
        <w:rPr>
          <w:rFonts w:hint="eastAsia" w:ascii="宋体" w:hAnsi="宋体" w:cs="宋体"/>
          <w:bCs/>
          <w:color w:val="000000"/>
          <w:sz w:val="30"/>
          <w:szCs w:val="30"/>
          <w:lang w:eastAsia="zh-CN"/>
        </w:rPr>
        <w:t>格</w:t>
      </w:r>
      <w:r>
        <w:rPr>
          <w:rFonts w:hint="eastAsia" w:ascii="宋体" w:hAnsi="宋体" w:cs="宋体"/>
          <w:bCs/>
          <w:color w:val="000000"/>
          <w:sz w:val="30"/>
          <w:szCs w:val="30"/>
        </w:rPr>
        <w:t>证明文件</w:t>
      </w:r>
    </w:p>
    <w:p w14:paraId="736696A0">
      <w:pPr>
        <w:keepNext w:val="0"/>
        <w:keepLines w:val="0"/>
        <w:pageBreakBefore w:val="0"/>
        <w:widowControl w:val="0"/>
        <w:kinsoku/>
        <w:wordWrap/>
        <w:overflowPunct/>
        <w:topLinePunct w:val="0"/>
        <w:autoSpaceDE/>
        <w:autoSpaceDN/>
        <w:bidi w:val="0"/>
        <w:adjustRightInd/>
        <w:snapToGrid/>
        <w:spacing w:line="480" w:lineRule="auto"/>
        <w:ind w:firstLine="2250" w:firstLineChars="750"/>
        <w:textAlignment w:val="auto"/>
        <w:rPr>
          <w:rFonts w:ascii="宋体" w:hAnsi="宋体" w:cs="宋体"/>
          <w:bCs/>
          <w:color w:val="000000"/>
          <w:sz w:val="30"/>
          <w:szCs w:val="30"/>
        </w:rPr>
      </w:pPr>
      <w:r>
        <w:rPr>
          <w:rFonts w:hint="eastAsia" w:ascii="宋体" w:hAnsi="宋体" w:cs="宋体"/>
          <w:bCs/>
          <w:color w:val="000000"/>
          <w:sz w:val="30"/>
          <w:szCs w:val="30"/>
        </w:rPr>
        <w:t>八、类似项目业绩</w:t>
      </w:r>
    </w:p>
    <w:p w14:paraId="2938BD3B">
      <w:pPr>
        <w:keepNext w:val="0"/>
        <w:keepLines w:val="0"/>
        <w:pageBreakBefore w:val="0"/>
        <w:widowControl w:val="0"/>
        <w:kinsoku/>
        <w:wordWrap/>
        <w:overflowPunct/>
        <w:topLinePunct w:val="0"/>
        <w:autoSpaceDE/>
        <w:autoSpaceDN/>
        <w:bidi w:val="0"/>
        <w:adjustRightInd/>
        <w:snapToGrid/>
        <w:spacing w:line="480" w:lineRule="auto"/>
        <w:ind w:firstLine="2250" w:firstLineChars="750"/>
        <w:textAlignment w:val="auto"/>
        <w:rPr>
          <w:rFonts w:hint="eastAsia" w:ascii="宋体" w:hAnsi="宋体" w:cs="宋体"/>
          <w:bCs/>
          <w:color w:val="000000"/>
          <w:sz w:val="30"/>
          <w:szCs w:val="30"/>
        </w:rPr>
      </w:pPr>
      <w:r>
        <w:rPr>
          <w:rFonts w:hint="eastAsia" w:ascii="宋体" w:hAnsi="宋体" w:cs="宋体"/>
          <w:bCs/>
          <w:color w:val="000000"/>
          <w:sz w:val="30"/>
          <w:szCs w:val="30"/>
        </w:rPr>
        <w:t>九、磋商响应方案说明</w:t>
      </w:r>
    </w:p>
    <w:p w14:paraId="0C68E210">
      <w:pPr>
        <w:keepNext w:val="0"/>
        <w:keepLines w:val="0"/>
        <w:pageBreakBefore w:val="0"/>
        <w:widowControl w:val="0"/>
        <w:kinsoku/>
        <w:wordWrap/>
        <w:overflowPunct/>
        <w:topLinePunct w:val="0"/>
        <w:autoSpaceDE/>
        <w:autoSpaceDN/>
        <w:bidi w:val="0"/>
        <w:adjustRightInd/>
        <w:snapToGrid/>
        <w:spacing w:line="480" w:lineRule="auto"/>
        <w:ind w:firstLine="2250" w:firstLineChars="750"/>
        <w:textAlignment w:val="auto"/>
        <w:rPr>
          <w:rFonts w:hint="eastAsia" w:ascii="宋体" w:hAnsi="宋体" w:cs="宋体"/>
          <w:bCs/>
          <w:color w:val="000000"/>
          <w:sz w:val="30"/>
          <w:szCs w:val="30"/>
        </w:rPr>
      </w:pPr>
      <w:r>
        <w:rPr>
          <w:rFonts w:hint="eastAsia" w:ascii="宋体" w:hAnsi="宋体" w:cs="宋体"/>
          <w:bCs/>
          <w:color w:val="000000"/>
          <w:sz w:val="30"/>
          <w:szCs w:val="30"/>
          <w:lang w:eastAsia="zh-CN"/>
        </w:rPr>
        <w:t>十、供应商认为需要提供的其他证明材料</w:t>
      </w:r>
    </w:p>
    <w:p w14:paraId="61F90C0D">
      <w:pPr>
        <w:keepNext w:val="0"/>
        <w:keepLines w:val="0"/>
        <w:pageBreakBefore w:val="0"/>
        <w:widowControl w:val="0"/>
        <w:kinsoku/>
        <w:wordWrap/>
        <w:overflowPunct/>
        <w:topLinePunct w:val="0"/>
        <w:autoSpaceDE/>
        <w:autoSpaceDN/>
        <w:bidi w:val="0"/>
        <w:adjustRightInd/>
        <w:snapToGrid/>
        <w:spacing w:line="480" w:lineRule="auto"/>
        <w:ind w:firstLine="2250" w:firstLineChars="750"/>
        <w:textAlignment w:val="auto"/>
        <w:rPr>
          <w:rFonts w:hint="eastAsia" w:ascii="宋体" w:hAnsi="宋体" w:eastAsia="宋体" w:cs="宋体"/>
          <w:bCs/>
          <w:color w:val="000000"/>
          <w:sz w:val="30"/>
          <w:szCs w:val="30"/>
          <w:lang w:eastAsia="zh-CN"/>
        </w:rPr>
      </w:pPr>
      <w:r>
        <w:rPr>
          <w:rFonts w:hint="eastAsia" w:ascii="宋体" w:hAnsi="宋体" w:eastAsia="宋体" w:cs="宋体"/>
          <w:bCs/>
          <w:color w:val="000000"/>
          <w:sz w:val="30"/>
          <w:szCs w:val="30"/>
          <w:lang w:eastAsia="zh-CN"/>
        </w:rPr>
        <w:t>十一、磋商响应单位承诺书</w:t>
      </w:r>
    </w:p>
    <w:p w14:paraId="275B700A">
      <w:pPr>
        <w:spacing w:line="480" w:lineRule="auto"/>
        <w:ind w:firstLine="2403" w:firstLineChars="801"/>
        <w:rPr>
          <w:rFonts w:hint="eastAsia" w:ascii="宋体" w:hAnsi="宋体" w:cs="宋体"/>
          <w:bCs/>
          <w:color w:val="000000"/>
          <w:sz w:val="30"/>
          <w:szCs w:val="30"/>
          <w:lang w:eastAsia="zh-CN"/>
        </w:rPr>
      </w:pPr>
    </w:p>
    <w:p w14:paraId="2B11917F">
      <w:pPr>
        <w:spacing w:line="360" w:lineRule="auto"/>
        <w:ind w:firstLine="210"/>
        <w:jc w:val="center"/>
        <w:outlineLvl w:val="1"/>
        <w:rPr>
          <w:rFonts w:ascii="宋体" w:hAnsi="宋体" w:cs="宋体"/>
          <w:b/>
          <w:color w:val="000000"/>
          <w:sz w:val="18"/>
          <w:szCs w:val="18"/>
        </w:rPr>
      </w:pPr>
      <w:r>
        <w:rPr>
          <w:rFonts w:hint="eastAsia" w:ascii="宋体" w:hAnsi="宋体" w:cs="宋体"/>
          <w:bCs/>
          <w:color w:val="000000"/>
          <w:sz w:val="30"/>
          <w:szCs w:val="30"/>
        </w:rPr>
        <w:br w:type="page"/>
      </w:r>
      <w:bookmarkStart w:id="63" w:name="_Toc494096889"/>
      <w:r>
        <w:rPr>
          <w:rFonts w:hint="eastAsia" w:ascii="宋体" w:hAnsi="宋体" w:cs="宋体"/>
          <w:b/>
          <w:color w:val="000000"/>
          <w:sz w:val="32"/>
          <w:szCs w:val="32"/>
        </w:rPr>
        <w:t>一、磋商函</w:t>
      </w:r>
      <w:bookmarkEnd w:id="63"/>
    </w:p>
    <w:p w14:paraId="3A8298F6">
      <w:pPr>
        <w:spacing w:line="500" w:lineRule="exact"/>
        <w:rPr>
          <w:rFonts w:ascii="宋体" w:hAnsi="宋体" w:cs="宋体"/>
          <w:b/>
          <w:color w:val="000000"/>
          <w:sz w:val="24"/>
        </w:rPr>
      </w:pPr>
      <w:r>
        <w:rPr>
          <w:rFonts w:hint="eastAsia" w:ascii="宋体" w:hAnsi="宋体" w:cs="宋体"/>
          <w:b/>
          <w:color w:val="000000"/>
          <w:sz w:val="24"/>
        </w:rPr>
        <w:t>华晟国际项目管理有限公司：</w:t>
      </w:r>
    </w:p>
    <w:p w14:paraId="308C284A">
      <w:pPr>
        <w:spacing w:line="500" w:lineRule="exact"/>
        <w:ind w:firstLine="480" w:firstLineChars="200"/>
        <w:rPr>
          <w:rFonts w:ascii="宋体" w:hAnsi="宋体" w:cs="宋体"/>
          <w:color w:val="000000"/>
          <w:sz w:val="24"/>
        </w:rPr>
      </w:pPr>
      <w:r>
        <w:rPr>
          <w:rFonts w:hint="eastAsia" w:ascii="宋体" w:hAnsi="宋体" w:cs="宋体"/>
          <w:color w:val="000000"/>
          <w:sz w:val="24"/>
        </w:rPr>
        <w:t>我单位收到贵单位项目</w:t>
      </w:r>
      <w:r>
        <w:rPr>
          <w:rFonts w:hint="eastAsia" w:ascii="宋体" w:hAnsi="宋体" w:cs="宋体"/>
          <w:color w:val="000000"/>
          <w:sz w:val="24"/>
          <w:u w:val="single"/>
        </w:rPr>
        <w:t>（项目名称）（项目编号）</w:t>
      </w:r>
      <w:r>
        <w:rPr>
          <w:rFonts w:hint="eastAsia" w:ascii="宋体" w:hAnsi="宋体" w:cs="宋体"/>
          <w:color w:val="000000"/>
          <w:sz w:val="24"/>
        </w:rPr>
        <w:t>竞争性磋商文件，我们决定参加该项目磋商活动，并参与磋商会议。为此，我方郑重声明以下诸点，并负法律责任。</w:t>
      </w:r>
    </w:p>
    <w:p w14:paraId="4889F42A">
      <w:pPr>
        <w:spacing w:line="500" w:lineRule="exact"/>
        <w:ind w:firstLine="480" w:firstLineChars="200"/>
        <w:rPr>
          <w:rFonts w:ascii="宋体" w:hAnsi="宋体" w:cs="宋体"/>
          <w:color w:val="000000"/>
          <w:sz w:val="24"/>
        </w:rPr>
      </w:pPr>
      <w:r>
        <w:rPr>
          <w:rFonts w:hint="eastAsia" w:ascii="宋体" w:hAnsi="宋体" w:cs="宋体"/>
          <w:color w:val="000000"/>
          <w:sz w:val="24"/>
        </w:rPr>
        <w:t>1、愿意按照竞争性磋商文件中的一切要求，总报价为：</w:t>
      </w:r>
    </w:p>
    <w:p w14:paraId="527A87E5">
      <w:pPr>
        <w:spacing w:line="500" w:lineRule="exact"/>
        <w:ind w:firstLine="720" w:firstLineChars="300"/>
        <w:rPr>
          <w:rFonts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元；</w:t>
      </w:r>
      <w:r>
        <w:rPr>
          <w:rFonts w:hint="eastAsia" w:ascii="宋体" w:hAnsi="宋体" w:cs="宋体"/>
          <w:color w:val="000000"/>
          <w:sz w:val="24"/>
          <w:u w:val="single"/>
        </w:rPr>
        <w:t xml:space="preserve">￥           </w:t>
      </w:r>
      <w:r>
        <w:rPr>
          <w:rFonts w:hint="eastAsia" w:ascii="宋体" w:hAnsi="宋体" w:cs="宋体"/>
          <w:color w:val="000000"/>
          <w:sz w:val="24"/>
        </w:rPr>
        <w:t>元。</w:t>
      </w:r>
    </w:p>
    <w:p w14:paraId="1F540492">
      <w:pPr>
        <w:spacing w:line="500" w:lineRule="exact"/>
        <w:ind w:firstLine="480" w:firstLineChars="200"/>
        <w:rPr>
          <w:rFonts w:ascii="宋体" w:hAnsi="宋体" w:cs="宋体"/>
          <w:color w:val="000000"/>
          <w:sz w:val="24"/>
        </w:rPr>
      </w:pPr>
      <w:r>
        <w:rPr>
          <w:rFonts w:hint="eastAsia" w:ascii="宋体" w:hAnsi="宋体" w:cs="宋体"/>
          <w:color w:val="000000"/>
          <w:sz w:val="24"/>
        </w:rPr>
        <w:t>2、我方提交的竞争性磋商响应文件，正本一份，副本</w:t>
      </w:r>
      <w:r>
        <w:rPr>
          <w:rFonts w:hint="eastAsia" w:ascii="宋体" w:hAnsi="宋体" w:cs="宋体"/>
          <w:color w:val="000000"/>
          <w:sz w:val="24"/>
          <w:u w:val="single"/>
        </w:rPr>
        <w:t xml:space="preserve">   </w:t>
      </w:r>
      <w:r>
        <w:rPr>
          <w:rFonts w:hint="eastAsia" w:ascii="宋体" w:hAnsi="宋体" w:cs="宋体"/>
          <w:color w:val="000000"/>
          <w:sz w:val="24"/>
        </w:rPr>
        <w:t>份，电子文件两份。</w:t>
      </w:r>
    </w:p>
    <w:p w14:paraId="3D72C315">
      <w:pPr>
        <w:spacing w:line="500" w:lineRule="exact"/>
        <w:ind w:firstLine="480" w:firstLineChars="200"/>
        <w:rPr>
          <w:rFonts w:ascii="宋体" w:hAnsi="宋体" w:cs="宋体"/>
          <w:color w:val="000000"/>
          <w:sz w:val="24"/>
        </w:rPr>
      </w:pPr>
      <w:r>
        <w:rPr>
          <w:rFonts w:hint="eastAsia" w:ascii="宋体" w:hAnsi="宋体" w:cs="宋体"/>
          <w:color w:val="000000"/>
          <w:sz w:val="24"/>
        </w:rPr>
        <w:t>3、如果我们竞争性磋商响应文件被接受，我们将履行竞争性磋商文件中规定的每一项要求，按期、按质、按量完成任务。</w:t>
      </w:r>
    </w:p>
    <w:p w14:paraId="38165753">
      <w:pPr>
        <w:spacing w:line="500" w:lineRule="exact"/>
        <w:ind w:firstLine="480" w:firstLineChars="200"/>
        <w:rPr>
          <w:rFonts w:ascii="宋体" w:hAnsi="宋体" w:cs="宋体"/>
          <w:color w:val="000000"/>
          <w:sz w:val="24"/>
        </w:rPr>
      </w:pPr>
      <w:r>
        <w:rPr>
          <w:rFonts w:hint="eastAsia" w:ascii="宋体" w:hAnsi="宋体" w:cs="宋体"/>
          <w:color w:val="000000"/>
          <w:sz w:val="24"/>
        </w:rPr>
        <w:t>4、我们理解，最低报价不是成交的唯一条件，你们有选择供应商的权力。</w:t>
      </w:r>
    </w:p>
    <w:p w14:paraId="4D8C24BE">
      <w:pPr>
        <w:spacing w:line="500" w:lineRule="exact"/>
        <w:ind w:firstLine="480" w:firstLineChars="200"/>
        <w:rPr>
          <w:rFonts w:ascii="宋体" w:hAnsi="宋体" w:cs="宋体"/>
          <w:color w:val="000000"/>
          <w:sz w:val="24"/>
        </w:rPr>
      </w:pPr>
      <w:r>
        <w:rPr>
          <w:rFonts w:hint="eastAsia" w:ascii="宋体" w:hAnsi="宋体" w:cs="宋体"/>
          <w:color w:val="000000"/>
          <w:sz w:val="24"/>
        </w:rPr>
        <w:t>5、我们愿按《中华人民共和国民法典》履行自己的全部责任。</w:t>
      </w:r>
    </w:p>
    <w:p w14:paraId="27CFF896">
      <w:pPr>
        <w:spacing w:line="500" w:lineRule="exact"/>
        <w:ind w:firstLine="480" w:firstLineChars="200"/>
        <w:rPr>
          <w:rFonts w:ascii="宋体" w:hAnsi="宋体" w:cs="宋体"/>
          <w:color w:val="000000"/>
          <w:sz w:val="24"/>
        </w:rPr>
      </w:pPr>
      <w:r>
        <w:rPr>
          <w:rFonts w:hint="eastAsia" w:ascii="宋体" w:hAnsi="宋体" w:cs="宋体"/>
          <w:color w:val="000000"/>
          <w:sz w:val="24"/>
        </w:rPr>
        <w:t>6、我们同意按竞争性磋商文件规定，遵守贵公司有关规定和收费标准。</w:t>
      </w:r>
    </w:p>
    <w:p w14:paraId="2CB7A169">
      <w:pPr>
        <w:spacing w:line="500" w:lineRule="exact"/>
        <w:ind w:firstLine="480" w:firstLineChars="200"/>
        <w:rPr>
          <w:rFonts w:ascii="宋体" w:hAnsi="宋体" w:cs="宋体"/>
          <w:color w:val="000000"/>
          <w:sz w:val="24"/>
        </w:rPr>
      </w:pPr>
      <w:r>
        <w:rPr>
          <w:rFonts w:hint="eastAsia" w:ascii="宋体" w:hAnsi="宋体" w:cs="宋体"/>
          <w:color w:val="000000"/>
          <w:sz w:val="24"/>
        </w:rPr>
        <w:t>7、我方的磋商响应文件有效期为</w:t>
      </w:r>
      <w:r>
        <w:rPr>
          <w:rFonts w:hint="eastAsia" w:ascii="宋体" w:hAnsi="宋体" w:cs="宋体"/>
          <w:sz w:val="24"/>
        </w:rPr>
        <w:t>提交磋商响应文件的截止时间起</w:t>
      </w:r>
      <w:r>
        <w:rPr>
          <w:rFonts w:hint="eastAsia" w:ascii="宋体" w:hAnsi="宋体" w:cs="宋体"/>
          <w:sz w:val="24"/>
          <w:u w:val="single"/>
        </w:rPr>
        <w:t xml:space="preserve">    </w:t>
      </w:r>
      <w:r>
        <w:rPr>
          <w:rFonts w:hint="eastAsia" w:ascii="宋体" w:hAnsi="宋体" w:cs="宋体"/>
          <w:sz w:val="24"/>
        </w:rPr>
        <w:t>日历</w:t>
      </w:r>
      <w:r>
        <w:rPr>
          <w:rFonts w:hint="eastAsia" w:ascii="宋体" w:hAnsi="宋体" w:cs="宋体"/>
          <w:color w:val="000000"/>
          <w:sz w:val="24"/>
        </w:rPr>
        <w:t>日。</w:t>
      </w:r>
    </w:p>
    <w:p w14:paraId="3ACECE44">
      <w:pPr>
        <w:spacing w:line="500" w:lineRule="exact"/>
        <w:ind w:firstLine="480" w:firstLineChars="200"/>
        <w:rPr>
          <w:rFonts w:ascii="宋体" w:hAnsi="宋体" w:cs="宋体"/>
          <w:color w:val="000000"/>
          <w:sz w:val="24"/>
        </w:rPr>
      </w:pPr>
      <w:r>
        <w:rPr>
          <w:rFonts w:hint="eastAsia" w:ascii="宋体" w:hAnsi="宋体" w:cs="宋体"/>
          <w:color w:val="000000"/>
          <w:sz w:val="24"/>
        </w:rPr>
        <w:t>8、所有关于本竞争性磋商响应文件的函电，请按下列地址联系。</w:t>
      </w:r>
    </w:p>
    <w:p w14:paraId="6DBF75AB">
      <w:pPr>
        <w:spacing w:line="360" w:lineRule="auto"/>
        <w:ind w:firstLine="211"/>
        <w:rPr>
          <w:rFonts w:ascii="宋体" w:hAnsi="宋体" w:cs="宋体"/>
          <w:color w:val="000000"/>
          <w:sz w:val="24"/>
        </w:rPr>
      </w:pPr>
      <w:r>
        <w:rPr>
          <w:rFonts w:hint="eastAsia" w:ascii="宋体" w:hAnsi="宋体" w:cs="宋体"/>
          <w:color w:val="000000"/>
          <w:sz w:val="24"/>
        </w:rPr>
        <w:t xml:space="preserve">                                          </w:t>
      </w:r>
    </w:p>
    <w:p w14:paraId="33B5CB88">
      <w:pPr>
        <w:spacing w:line="360" w:lineRule="auto"/>
        <w:ind w:firstLine="840"/>
        <w:rPr>
          <w:rFonts w:ascii="宋体" w:hAnsi="宋体" w:cs="宋体"/>
          <w:color w:val="000000"/>
          <w:sz w:val="24"/>
        </w:rPr>
      </w:pPr>
      <w:r>
        <w:rPr>
          <w:rFonts w:hint="eastAsia" w:ascii="宋体" w:hAnsi="宋体" w:cs="宋体"/>
          <w:color w:val="000000"/>
          <w:sz w:val="24"/>
        </w:rPr>
        <w:t>供应商全称（公章）：</w:t>
      </w:r>
      <w:r>
        <w:rPr>
          <w:rFonts w:hint="eastAsia" w:ascii="宋体" w:hAnsi="宋体" w:cs="宋体"/>
          <w:color w:val="000000"/>
          <w:sz w:val="24"/>
          <w:u w:val="single"/>
        </w:rPr>
        <w:t xml:space="preserve">                    </w:t>
      </w:r>
    </w:p>
    <w:p w14:paraId="33B594DE">
      <w:pPr>
        <w:spacing w:line="360" w:lineRule="auto"/>
        <w:ind w:firstLine="840"/>
        <w:rPr>
          <w:rFonts w:ascii="宋体" w:hAnsi="宋体" w:cs="宋体"/>
          <w:color w:val="000000"/>
          <w:sz w:val="24"/>
          <w:u w:val="single"/>
        </w:rPr>
      </w:pPr>
      <w:r>
        <w:rPr>
          <w:rFonts w:hint="eastAsia" w:ascii="宋体" w:hAnsi="宋体" w:cs="宋体"/>
          <w:color w:val="000000"/>
          <w:sz w:val="24"/>
        </w:rPr>
        <w:t>地    址：</w:t>
      </w:r>
      <w:r>
        <w:rPr>
          <w:rFonts w:hint="eastAsia" w:ascii="宋体" w:hAnsi="宋体" w:cs="宋体"/>
          <w:color w:val="000000"/>
          <w:sz w:val="24"/>
          <w:u w:val="single"/>
        </w:rPr>
        <w:t xml:space="preserve">                              </w:t>
      </w:r>
    </w:p>
    <w:p w14:paraId="0227FFE0">
      <w:pPr>
        <w:spacing w:line="360" w:lineRule="auto"/>
        <w:ind w:firstLine="840"/>
        <w:rPr>
          <w:rFonts w:ascii="宋体" w:hAnsi="宋体" w:cs="宋体"/>
          <w:color w:val="000000"/>
          <w:sz w:val="24"/>
          <w:u w:val="single"/>
        </w:rPr>
      </w:pPr>
      <w:r>
        <w:rPr>
          <w:rFonts w:hint="eastAsia" w:ascii="宋体" w:hAnsi="宋体" w:cs="宋体"/>
          <w:color w:val="000000"/>
          <w:sz w:val="24"/>
        </w:rPr>
        <w:t>开 户 行：</w:t>
      </w:r>
      <w:r>
        <w:rPr>
          <w:rFonts w:hint="eastAsia" w:ascii="宋体" w:hAnsi="宋体" w:cs="宋体"/>
          <w:color w:val="000000"/>
          <w:sz w:val="24"/>
          <w:u w:val="single"/>
        </w:rPr>
        <w:t xml:space="preserve">                              </w:t>
      </w:r>
    </w:p>
    <w:p w14:paraId="0149AA25">
      <w:pPr>
        <w:spacing w:line="360" w:lineRule="auto"/>
        <w:ind w:firstLine="840"/>
        <w:rPr>
          <w:rFonts w:ascii="宋体" w:hAnsi="宋体" w:cs="宋体"/>
          <w:color w:val="000000"/>
          <w:sz w:val="24"/>
        </w:rPr>
      </w:pPr>
      <w:r>
        <w:rPr>
          <w:rFonts w:hint="eastAsia" w:ascii="宋体" w:hAnsi="宋体" w:cs="宋体"/>
          <w:color w:val="000000"/>
          <w:sz w:val="24"/>
        </w:rPr>
        <w:t>帐    号：</w:t>
      </w:r>
      <w:r>
        <w:rPr>
          <w:rFonts w:hint="eastAsia" w:ascii="宋体" w:hAnsi="宋体" w:cs="宋体"/>
          <w:color w:val="000000"/>
          <w:sz w:val="24"/>
          <w:u w:val="single"/>
        </w:rPr>
        <w:t xml:space="preserve">                              </w:t>
      </w:r>
    </w:p>
    <w:p w14:paraId="45762BFB">
      <w:pPr>
        <w:spacing w:line="360" w:lineRule="auto"/>
        <w:ind w:firstLine="840"/>
        <w:rPr>
          <w:rFonts w:ascii="宋体" w:hAnsi="宋体" w:cs="宋体"/>
          <w:color w:val="000000"/>
          <w:sz w:val="24"/>
          <w:u w:val="single"/>
        </w:rPr>
      </w:pPr>
      <w:r>
        <w:rPr>
          <w:rFonts w:hint="eastAsia" w:ascii="宋体" w:hAnsi="宋体" w:cs="宋体"/>
          <w:color w:val="000000"/>
          <w:sz w:val="24"/>
        </w:rPr>
        <w:t>电    话：</w:t>
      </w:r>
      <w:r>
        <w:rPr>
          <w:rFonts w:hint="eastAsia" w:ascii="宋体" w:hAnsi="宋体" w:cs="宋体"/>
          <w:color w:val="000000"/>
          <w:sz w:val="24"/>
          <w:u w:val="single"/>
        </w:rPr>
        <w:t xml:space="preserve">                              </w:t>
      </w:r>
    </w:p>
    <w:p w14:paraId="47F66E9F">
      <w:pPr>
        <w:spacing w:line="360" w:lineRule="auto"/>
        <w:ind w:firstLine="840"/>
        <w:rPr>
          <w:rFonts w:ascii="宋体" w:hAnsi="宋体" w:cs="宋体"/>
          <w:color w:val="000000"/>
          <w:sz w:val="24"/>
        </w:rPr>
      </w:pPr>
      <w:r>
        <w:rPr>
          <w:rFonts w:hint="eastAsia" w:ascii="宋体" w:hAnsi="宋体" w:cs="宋体"/>
          <w:color w:val="000000"/>
          <w:sz w:val="24"/>
        </w:rPr>
        <w:t>联 系 人：</w:t>
      </w:r>
      <w:r>
        <w:rPr>
          <w:rFonts w:hint="eastAsia" w:ascii="宋体" w:hAnsi="宋体" w:cs="宋体"/>
          <w:color w:val="000000"/>
          <w:sz w:val="24"/>
          <w:u w:val="single"/>
        </w:rPr>
        <w:t xml:space="preserve">                              </w:t>
      </w:r>
    </w:p>
    <w:p w14:paraId="5F324F69">
      <w:pPr>
        <w:spacing w:line="360" w:lineRule="auto"/>
        <w:ind w:firstLine="840"/>
        <w:rPr>
          <w:rFonts w:ascii="宋体" w:hAnsi="宋体" w:cs="宋体"/>
          <w:color w:val="000000"/>
          <w:sz w:val="24"/>
        </w:rPr>
      </w:pPr>
      <w:r>
        <w:rPr>
          <w:rFonts w:hint="eastAsia" w:ascii="宋体" w:hAnsi="宋体" w:cs="宋体"/>
          <w:color w:val="000000"/>
          <w:sz w:val="24"/>
        </w:rPr>
        <w:t>传    真：</w:t>
      </w:r>
      <w:r>
        <w:rPr>
          <w:rFonts w:hint="eastAsia" w:ascii="宋体" w:hAnsi="宋体" w:cs="宋体"/>
          <w:color w:val="000000"/>
          <w:sz w:val="24"/>
          <w:u w:val="single"/>
        </w:rPr>
        <w:t xml:space="preserve">                              </w:t>
      </w:r>
    </w:p>
    <w:p w14:paraId="70E8E867">
      <w:pPr>
        <w:spacing w:line="360" w:lineRule="auto"/>
        <w:ind w:firstLine="840"/>
        <w:rPr>
          <w:rFonts w:ascii="宋体" w:hAnsi="宋体" w:cs="宋体"/>
          <w:color w:val="000000"/>
          <w:sz w:val="24"/>
          <w:u w:val="single"/>
        </w:rPr>
      </w:pPr>
      <w:r>
        <w:rPr>
          <w:rFonts w:hint="eastAsia" w:ascii="宋体" w:hAnsi="宋体" w:cs="宋体"/>
          <w:color w:val="000000"/>
          <w:sz w:val="24"/>
        </w:rPr>
        <w:t>邮    编：</w:t>
      </w:r>
      <w:r>
        <w:rPr>
          <w:rFonts w:hint="eastAsia" w:ascii="宋体" w:hAnsi="宋体" w:cs="宋体"/>
          <w:color w:val="000000"/>
          <w:sz w:val="24"/>
          <w:u w:val="single"/>
        </w:rPr>
        <w:t xml:space="preserve">                              </w:t>
      </w:r>
    </w:p>
    <w:p w14:paraId="1A706485">
      <w:pPr>
        <w:spacing w:line="360" w:lineRule="auto"/>
        <w:ind w:firstLine="840"/>
        <w:rPr>
          <w:rFonts w:ascii="宋体" w:hAnsi="宋体" w:cs="宋体"/>
          <w:color w:val="000000"/>
          <w:sz w:val="24"/>
          <w:u w:val="single"/>
        </w:rPr>
      </w:pPr>
      <w:r>
        <w:rPr>
          <w:rFonts w:hint="eastAsia" w:ascii="宋体" w:hAnsi="宋体" w:cs="宋体"/>
          <w:color w:val="000000"/>
          <w:sz w:val="24"/>
        </w:rPr>
        <w:t>法定代表人或授权代表:（签字或盖章）</w:t>
      </w:r>
      <w:r>
        <w:rPr>
          <w:rFonts w:hint="eastAsia" w:ascii="宋体" w:hAnsi="宋体" w:cs="宋体"/>
          <w:color w:val="000000"/>
          <w:sz w:val="24"/>
          <w:u w:val="single"/>
        </w:rPr>
        <w:t xml:space="preserve">                              </w:t>
      </w:r>
    </w:p>
    <w:p w14:paraId="7AC7FF15">
      <w:pPr>
        <w:spacing w:line="360" w:lineRule="auto"/>
        <w:rPr>
          <w:rFonts w:ascii="宋体" w:hAnsi="宋体" w:cs="宋体"/>
          <w:color w:val="000000"/>
          <w:sz w:val="24"/>
        </w:rPr>
      </w:pPr>
    </w:p>
    <w:p w14:paraId="4FEDA242">
      <w:pPr>
        <w:spacing w:line="360" w:lineRule="auto"/>
        <w:ind w:firstLine="211"/>
        <w:rPr>
          <w:rFonts w:ascii="宋体" w:hAnsi="宋体" w:cs="宋体"/>
          <w:color w:val="000000"/>
          <w:sz w:val="24"/>
        </w:rPr>
      </w:pP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1E5AA82C">
      <w:pPr>
        <w:rPr>
          <w:rFonts w:ascii="宋体" w:hAnsi="宋体" w:cs="宋体"/>
          <w:color w:val="000000"/>
          <w:sz w:val="24"/>
        </w:rPr>
      </w:pPr>
      <w:r>
        <w:rPr>
          <w:rFonts w:hint="eastAsia" w:ascii="宋体" w:hAnsi="宋体" w:cs="宋体"/>
          <w:color w:val="000000"/>
          <w:sz w:val="24"/>
        </w:rPr>
        <w:br w:type="page"/>
      </w:r>
    </w:p>
    <w:p w14:paraId="40AE80AE">
      <w:pPr>
        <w:spacing w:line="360" w:lineRule="auto"/>
        <w:jc w:val="center"/>
        <w:outlineLvl w:val="1"/>
        <w:rPr>
          <w:rFonts w:ascii="宋体" w:hAnsi="宋体" w:cs="宋体"/>
          <w:b/>
          <w:color w:val="000000"/>
          <w:sz w:val="32"/>
          <w:szCs w:val="32"/>
        </w:rPr>
      </w:pPr>
      <w:bookmarkStart w:id="64" w:name="_Toc491186067"/>
      <w:bookmarkStart w:id="65" w:name="_Toc494096890"/>
      <w:bookmarkStart w:id="66" w:name="_Toc488741081"/>
      <w:r>
        <w:rPr>
          <w:rFonts w:hint="eastAsia" w:ascii="宋体" w:hAnsi="宋体" w:cs="宋体"/>
          <w:b/>
          <w:color w:val="000000"/>
          <w:sz w:val="32"/>
          <w:szCs w:val="32"/>
        </w:rPr>
        <w:t>二、法定代表人证明书</w:t>
      </w:r>
      <w:bookmarkEnd w:id="64"/>
      <w:bookmarkEnd w:id="65"/>
    </w:p>
    <w:p w14:paraId="4C304616">
      <w:pPr>
        <w:pStyle w:val="2"/>
      </w:pPr>
    </w:p>
    <w:tbl>
      <w:tblPr>
        <w:tblStyle w:val="20"/>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086"/>
        <w:gridCol w:w="2081"/>
        <w:gridCol w:w="177"/>
        <w:gridCol w:w="2082"/>
        <w:gridCol w:w="2085"/>
      </w:tblGrid>
      <w:tr w14:paraId="4C6D4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380" w:type="dxa"/>
            <w:gridSpan w:val="6"/>
            <w:vAlign w:val="center"/>
          </w:tcPr>
          <w:p w14:paraId="01B9D74B">
            <w:pPr>
              <w:tabs>
                <w:tab w:val="left" w:pos="210"/>
              </w:tabs>
              <w:spacing w:line="320" w:lineRule="exact"/>
              <w:rPr>
                <w:rFonts w:ascii="宋体" w:hAnsi="宋体" w:cs="宋体"/>
                <w:kern w:val="0"/>
                <w:sz w:val="24"/>
              </w:rPr>
            </w:pPr>
            <w:r>
              <w:rPr>
                <w:rFonts w:hint="eastAsia" w:ascii="宋体" w:hAnsi="宋体" w:cs="宋体"/>
                <w:kern w:val="0"/>
                <w:sz w:val="24"/>
              </w:rPr>
              <w:t>致：华晟国际项目管理有限公司</w:t>
            </w:r>
          </w:p>
        </w:tc>
      </w:tr>
      <w:tr w14:paraId="37B0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69" w:type="dxa"/>
            <w:vMerge w:val="restart"/>
            <w:vAlign w:val="center"/>
          </w:tcPr>
          <w:p w14:paraId="75549656">
            <w:pPr>
              <w:tabs>
                <w:tab w:val="left" w:pos="210"/>
              </w:tabs>
              <w:spacing w:line="320" w:lineRule="exact"/>
              <w:jc w:val="center"/>
              <w:rPr>
                <w:rFonts w:ascii="宋体" w:hAnsi="宋体" w:cs="宋体"/>
                <w:kern w:val="0"/>
                <w:sz w:val="24"/>
              </w:rPr>
            </w:pPr>
            <w:r>
              <w:rPr>
                <w:rFonts w:hint="eastAsia" w:ascii="宋体" w:hAnsi="宋体" w:cs="宋体"/>
                <w:kern w:val="0"/>
                <w:sz w:val="24"/>
              </w:rPr>
              <w:t>企</w:t>
            </w:r>
          </w:p>
          <w:p w14:paraId="32BCADA8">
            <w:pPr>
              <w:tabs>
                <w:tab w:val="left" w:pos="210"/>
              </w:tabs>
              <w:spacing w:line="320" w:lineRule="exact"/>
              <w:jc w:val="center"/>
              <w:rPr>
                <w:rFonts w:ascii="宋体" w:hAnsi="宋体" w:cs="宋体"/>
                <w:kern w:val="0"/>
                <w:sz w:val="24"/>
              </w:rPr>
            </w:pPr>
          </w:p>
          <w:p w14:paraId="618FDD1F">
            <w:pPr>
              <w:tabs>
                <w:tab w:val="left" w:pos="210"/>
              </w:tabs>
              <w:spacing w:line="320" w:lineRule="exact"/>
              <w:jc w:val="center"/>
              <w:rPr>
                <w:rFonts w:ascii="宋体" w:hAnsi="宋体" w:cs="宋体"/>
                <w:kern w:val="0"/>
                <w:sz w:val="24"/>
              </w:rPr>
            </w:pPr>
            <w:r>
              <w:rPr>
                <w:rFonts w:hint="eastAsia" w:ascii="宋体" w:hAnsi="宋体" w:cs="宋体"/>
                <w:kern w:val="0"/>
                <w:sz w:val="24"/>
              </w:rPr>
              <w:t>业</w:t>
            </w:r>
          </w:p>
          <w:p w14:paraId="2B71DBE3">
            <w:pPr>
              <w:tabs>
                <w:tab w:val="left" w:pos="210"/>
              </w:tabs>
              <w:spacing w:line="320" w:lineRule="exact"/>
              <w:jc w:val="center"/>
              <w:rPr>
                <w:rFonts w:ascii="宋体" w:hAnsi="宋体" w:cs="宋体"/>
                <w:kern w:val="0"/>
                <w:sz w:val="24"/>
              </w:rPr>
            </w:pPr>
          </w:p>
          <w:p w14:paraId="15EEE27B">
            <w:pPr>
              <w:tabs>
                <w:tab w:val="left" w:pos="210"/>
              </w:tabs>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基</w:t>
            </w:r>
          </w:p>
          <w:p w14:paraId="5FD43C4C">
            <w:pPr>
              <w:tabs>
                <w:tab w:val="left" w:pos="210"/>
              </w:tabs>
              <w:spacing w:line="320" w:lineRule="exact"/>
              <w:jc w:val="center"/>
              <w:rPr>
                <w:rFonts w:hint="eastAsia" w:ascii="宋体" w:hAnsi="宋体" w:eastAsia="宋体" w:cs="宋体"/>
                <w:kern w:val="0"/>
                <w:sz w:val="24"/>
                <w:lang w:eastAsia="zh-CN"/>
              </w:rPr>
            </w:pPr>
          </w:p>
          <w:p w14:paraId="021B7AF6">
            <w:pPr>
              <w:tabs>
                <w:tab w:val="left" w:pos="210"/>
              </w:tabs>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本</w:t>
            </w:r>
          </w:p>
          <w:p w14:paraId="7D763AA5">
            <w:pPr>
              <w:tabs>
                <w:tab w:val="left" w:pos="210"/>
              </w:tabs>
              <w:spacing w:line="320" w:lineRule="exact"/>
              <w:jc w:val="center"/>
              <w:rPr>
                <w:rFonts w:hint="eastAsia" w:ascii="宋体" w:hAnsi="宋体" w:eastAsia="宋体" w:cs="宋体"/>
                <w:kern w:val="0"/>
                <w:sz w:val="24"/>
                <w:lang w:eastAsia="zh-CN"/>
              </w:rPr>
            </w:pPr>
          </w:p>
          <w:p w14:paraId="25F3E1D8">
            <w:pPr>
              <w:tabs>
                <w:tab w:val="left" w:pos="210"/>
              </w:tabs>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信</w:t>
            </w:r>
          </w:p>
          <w:p w14:paraId="624F6C4F">
            <w:pPr>
              <w:tabs>
                <w:tab w:val="left" w:pos="210"/>
              </w:tabs>
              <w:spacing w:line="320" w:lineRule="exact"/>
              <w:jc w:val="center"/>
              <w:rPr>
                <w:rFonts w:hint="eastAsia" w:ascii="宋体" w:hAnsi="宋体" w:eastAsia="宋体" w:cs="宋体"/>
                <w:kern w:val="0"/>
                <w:sz w:val="24"/>
                <w:lang w:eastAsia="zh-CN"/>
              </w:rPr>
            </w:pPr>
          </w:p>
          <w:p w14:paraId="25F748A6">
            <w:pPr>
              <w:tabs>
                <w:tab w:val="left" w:pos="210"/>
              </w:tabs>
              <w:spacing w:line="320" w:lineRule="exact"/>
              <w:jc w:val="center"/>
              <w:rPr>
                <w:rFonts w:hint="eastAsia" w:eastAsia="黑体"/>
                <w:lang w:eastAsia="zh-CN"/>
              </w:rPr>
            </w:pPr>
            <w:r>
              <w:rPr>
                <w:rFonts w:hint="eastAsia" w:ascii="宋体" w:hAnsi="宋体" w:eastAsia="宋体" w:cs="宋体"/>
                <w:kern w:val="0"/>
                <w:sz w:val="24"/>
                <w:lang w:eastAsia="zh-CN"/>
              </w:rPr>
              <w:t>息</w:t>
            </w:r>
          </w:p>
        </w:tc>
        <w:tc>
          <w:tcPr>
            <w:tcW w:w="2086" w:type="dxa"/>
            <w:vAlign w:val="center"/>
          </w:tcPr>
          <w:p w14:paraId="5CE2BFD5">
            <w:pPr>
              <w:tabs>
                <w:tab w:val="left" w:pos="210"/>
              </w:tabs>
              <w:spacing w:line="320" w:lineRule="exact"/>
              <w:jc w:val="center"/>
              <w:rPr>
                <w:rFonts w:ascii="宋体" w:hAnsi="宋体" w:cs="宋体"/>
                <w:kern w:val="0"/>
                <w:sz w:val="24"/>
              </w:rPr>
            </w:pPr>
            <w:r>
              <w:rPr>
                <w:rFonts w:hint="eastAsia" w:ascii="宋体" w:hAnsi="宋体" w:cs="宋体"/>
                <w:kern w:val="0"/>
                <w:sz w:val="24"/>
              </w:rPr>
              <w:t>企业名称</w:t>
            </w:r>
          </w:p>
        </w:tc>
        <w:tc>
          <w:tcPr>
            <w:tcW w:w="6425" w:type="dxa"/>
            <w:gridSpan w:val="4"/>
            <w:vAlign w:val="center"/>
          </w:tcPr>
          <w:p w14:paraId="572D8474">
            <w:pPr>
              <w:tabs>
                <w:tab w:val="left" w:pos="210"/>
              </w:tabs>
              <w:spacing w:line="320" w:lineRule="exact"/>
              <w:jc w:val="center"/>
              <w:rPr>
                <w:rFonts w:ascii="宋体" w:hAnsi="宋体" w:cs="宋体"/>
                <w:kern w:val="0"/>
                <w:sz w:val="24"/>
              </w:rPr>
            </w:pPr>
          </w:p>
        </w:tc>
      </w:tr>
      <w:tr w14:paraId="55A2F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69" w:type="dxa"/>
            <w:vMerge w:val="continue"/>
            <w:vAlign w:val="center"/>
          </w:tcPr>
          <w:p w14:paraId="58C7B2FB">
            <w:pPr>
              <w:tabs>
                <w:tab w:val="left" w:pos="210"/>
              </w:tabs>
              <w:spacing w:line="320" w:lineRule="exact"/>
              <w:jc w:val="center"/>
              <w:rPr>
                <w:rFonts w:ascii="宋体" w:hAnsi="宋体" w:cs="宋体"/>
                <w:kern w:val="0"/>
                <w:sz w:val="24"/>
              </w:rPr>
            </w:pPr>
          </w:p>
        </w:tc>
        <w:tc>
          <w:tcPr>
            <w:tcW w:w="2086" w:type="dxa"/>
            <w:vAlign w:val="center"/>
          </w:tcPr>
          <w:p w14:paraId="54E611C0">
            <w:pPr>
              <w:tabs>
                <w:tab w:val="left" w:pos="210"/>
              </w:tabs>
              <w:spacing w:line="320" w:lineRule="exact"/>
              <w:jc w:val="center"/>
              <w:rPr>
                <w:rFonts w:ascii="宋体" w:hAnsi="宋体" w:cs="宋体"/>
                <w:kern w:val="0"/>
                <w:sz w:val="24"/>
              </w:rPr>
            </w:pPr>
            <w:r>
              <w:rPr>
                <w:rFonts w:hint="eastAsia" w:ascii="宋体" w:hAnsi="宋体" w:cs="宋体"/>
                <w:kern w:val="0"/>
                <w:sz w:val="24"/>
              </w:rPr>
              <w:t>法定地址</w:t>
            </w:r>
          </w:p>
        </w:tc>
        <w:tc>
          <w:tcPr>
            <w:tcW w:w="6425" w:type="dxa"/>
            <w:gridSpan w:val="4"/>
            <w:vAlign w:val="center"/>
          </w:tcPr>
          <w:p w14:paraId="73541633">
            <w:pPr>
              <w:tabs>
                <w:tab w:val="left" w:pos="210"/>
              </w:tabs>
              <w:spacing w:line="320" w:lineRule="exact"/>
              <w:jc w:val="center"/>
              <w:rPr>
                <w:rFonts w:ascii="宋体" w:hAnsi="宋体" w:cs="宋体"/>
                <w:kern w:val="0"/>
                <w:sz w:val="24"/>
              </w:rPr>
            </w:pPr>
          </w:p>
        </w:tc>
      </w:tr>
      <w:tr w14:paraId="583E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69" w:type="dxa"/>
            <w:vMerge w:val="continue"/>
            <w:vAlign w:val="center"/>
          </w:tcPr>
          <w:p w14:paraId="6D0A95B1">
            <w:pPr>
              <w:tabs>
                <w:tab w:val="left" w:pos="210"/>
              </w:tabs>
              <w:spacing w:line="320" w:lineRule="exact"/>
              <w:jc w:val="center"/>
              <w:rPr>
                <w:rFonts w:ascii="宋体" w:hAnsi="宋体" w:cs="宋体"/>
                <w:kern w:val="0"/>
                <w:sz w:val="24"/>
              </w:rPr>
            </w:pPr>
          </w:p>
        </w:tc>
        <w:tc>
          <w:tcPr>
            <w:tcW w:w="2086" w:type="dxa"/>
            <w:vAlign w:val="center"/>
          </w:tcPr>
          <w:p w14:paraId="4B2D359D">
            <w:pPr>
              <w:tabs>
                <w:tab w:val="left" w:pos="210"/>
              </w:tabs>
              <w:spacing w:line="320" w:lineRule="exact"/>
              <w:jc w:val="center"/>
              <w:rPr>
                <w:rFonts w:ascii="宋体" w:hAnsi="宋体" w:cs="宋体"/>
                <w:kern w:val="0"/>
                <w:sz w:val="24"/>
              </w:rPr>
            </w:pPr>
            <w:r>
              <w:rPr>
                <w:rFonts w:hint="eastAsia" w:ascii="宋体" w:hAnsi="宋体" w:cs="宋体"/>
                <w:kern w:val="0"/>
                <w:sz w:val="24"/>
              </w:rPr>
              <w:t>邮政编码</w:t>
            </w:r>
          </w:p>
        </w:tc>
        <w:tc>
          <w:tcPr>
            <w:tcW w:w="6425" w:type="dxa"/>
            <w:gridSpan w:val="4"/>
            <w:vAlign w:val="center"/>
          </w:tcPr>
          <w:p w14:paraId="56ACC47C">
            <w:pPr>
              <w:tabs>
                <w:tab w:val="left" w:pos="210"/>
              </w:tabs>
              <w:spacing w:line="320" w:lineRule="exact"/>
              <w:jc w:val="center"/>
              <w:rPr>
                <w:rFonts w:ascii="宋体" w:hAnsi="宋体" w:cs="宋体"/>
                <w:kern w:val="0"/>
                <w:sz w:val="24"/>
              </w:rPr>
            </w:pPr>
          </w:p>
        </w:tc>
      </w:tr>
      <w:tr w14:paraId="21CB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69" w:type="dxa"/>
            <w:vMerge w:val="continue"/>
            <w:vAlign w:val="center"/>
          </w:tcPr>
          <w:p w14:paraId="202BBAC7">
            <w:pPr>
              <w:tabs>
                <w:tab w:val="left" w:pos="210"/>
              </w:tabs>
              <w:spacing w:line="320" w:lineRule="exact"/>
              <w:jc w:val="center"/>
              <w:rPr>
                <w:rFonts w:ascii="宋体" w:hAnsi="宋体" w:cs="宋体"/>
                <w:kern w:val="0"/>
                <w:sz w:val="24"/>
              </w:rPr>
            </w:pPr>
          </w:p>
        </w:tc>
        <w:tc>
          <w:tcPr>
            <w:tcW w:w="2086" w:type="dxa"/>
            <w:vAlign w:val="center"/>
          </w:tcPr>
          <w:p w14:paraId="377E5906">
            <w:pPr>
              <w:tabs>
                <w:tab w:val="left" w:pos="210"/>
              </w:tabs>
              <w:spacing w:line="320" w:lineRule="exact"/>
              <w:jc w:val="center"/>
              <w:rPr>
                <w:rFonts w:ascii="宋体" w:hAnsi="宋体" w:cs="宋体"/>
                <w:kern w:val="0"/>
                <w:sz w:val="24"/>
              </w:rPr>
            </w:pPr>
            <w:r>
              <w:rPr>
                <w:rFonts w:hint="eastAsia" w:ascii="宋体" w:hAnsi="宋体" w:cs="宋体"/>
                <w:kern w:val="0"/>
                <w:sz w:val="24"/>
              </w:rPr>
              <w:t>工商登记机关</w:t>
            </w:r>
          </w:p>
        </w:tc>
        <w:tc>
          <w:tcPr>
            <w:tcW w:w="6425" w:type="dxa"/>
            <w:gridSpan w:val="4"/>
            <w:vAlign w:val="center"/>
          </w:tcPr>
          <w:p w14:paraId="5D65D3B7">
            <w:pPr>
              <w:tabs>
                <w:tab w:val="left" w:pos="210"/>
              </w:tabs>
              <w:spacing w:line="320" w:lineRule="exact"/>
              <w:jc w:val="center"/>
              <w:rPr>
                <w:rFonts w:ascii="宋体" w:hAnsi="宋体" w:cs="宋体"/>
                <w:kern w:val="0"/>
                <w:sz w:val="24"/>
              </w:rPr>
            </w:pPr>
          </w:p>
        </w:tc>
      </w:tr>
      <w:tr w14:paraId="65288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69" w:type="dxa"/>
            <w:vMerge w:val="continue"/>
            <w:vAlign w:val="center"/>
          </w:tcPr>
          <w:p w14:paraId="5B95E8CD">
            <w:pPr>
              <w:tabs>
                <w:tab w:val="left" w:pos="210"/>
              </w:tabs>
              <w:spacing w:line="320" w:lineRule="exact"/>
              <w:jc w:val="center"/>
              <w:rPr>
                <w:rFonts w:ascii="宋体" w:hAnsi="宋体" w:cs="宋体"/>
                <w:kern w:val="0"/>
                <w:sz w:val="24"/>
              </w:rPr>
            </w:pPr>
          </w:p>
        </w:tc>
        <w:tc>
          <w:tcPr>
            <w:tcW w:w="2086" w:type="dxa"/>
            <w:vAlign w:val="center"/>
          </w:tcPr>
          <w:p w14:paraId="4C2A514B">
            <w:pPr>
              <w:tabs>
                <w:tab w:val="left" w:pos="210"/>
              </w:tabs>
              <w:spacing w:line="320" w:lineRule="exact"/>
              <w:jc w:val="center"/>
              <w:rPr>
                <w:rFonts w:ascii="宋体" w:hAnsi="宋体" w:cs="宋体"/>
                <w:kern w:val="0"/>
                <w:sz w:val="24"/>
              </w:rPr>
            </w:pPr>
            <w:r>
              <w:rPr>
                <w:rFonts w:hint="eastAsia" w:ascii="宋体" w:hAnsi="宋体" w:cs="宋体"/>
                <w:kern w:val="0"/>
                <w:sz w:val="24"/>
              </w:rPr>
              <w:t>税务登记机关</w:t>
            </w:r>
          </w:p>
        </w:tc>
        <w:tc>
          <w:tcPr>
            <w:tcW w:w="6425" w:type="dxa"/>
            <w:gridSpan w:val="4"/>
            <w:vAlign w:val="center"/>
          </w:tcPr>
          <w:p w14:paraId="35208062">
            <w:pPr>
              <w:tabs>
                <w:tab w:val="left" w:pos="210"/>
              </w:tabs>
              <w:spacing w:line="320" w:lineRule="exact"/>
              <w:ind w:left="0" w:leftChars="0" w:right="0" w:rightChars="0" w:firstLine="0" w:firstLineChars="0"/>
              <w:jc w:val="center"/>
              <w:rPr>
                <w:rFonts w:ascii="宋体" w:hAnsi="宋体" w:cs="宋体"/>
                <w:kern w:val="0"/>
                <w:sz w:val="24"/>
              </w:rPr>
            </w:pPr>
          </w:p>
        </w:tc>
      </w:tr>
      <w:tr w14:paraId="31DD2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69" w:type="dxa"/>
            <w:vMerge w:val="continue"/>
            <w:vAlign w:val="center"/>
          </w:tcPr>
          <w:p w14:paraId="4712FE86">
            <w:pPr>
              <w:tabs>
                <w:tab w:val="left" w:pos="210"/>
              </w:tabs>
              <w:spacing w:line="320" w:lineRule="exact"/>
              <w:jc w:val="center"/>
              <w:rPr>
                <w:rFonts w:ascii="宋体" w:hAnsi="宋体" w:cs="宋体"/>
                <w:kern w:val="0"/>
                <w:sz w:val="24"/>
              </w:rPr>
            </w:pPr>
          </w:p>
        </w:tc>
        <w:tc>
          <w:tcPr>
            <w:tcW w:w="2086" w:type="dxa"/>
            <w:vAlign w:val="center"/>
          </w:tcPr>
          <w:p w14:paraId="7A1082AC">
            <w:pPr>
              <w:tabs>
                <w:tab w:val="left" w:pos="210"/>
              </w:tabs>
              <w:spacing w:line="320" w:lineRule="exact"/>
              <w:jc w:val="center"/>
              <w:rPr>
                <w:rFonts w:ascii="宋体" w:hAnsi="宋体" w:cs="宋体"/>
                <w:kern w:val="0"/>
                <w:sz w:val="24"/>
              </w:rPr>
            </w:pPr>
            <w:r>
              <w:rPr>
                <w:rFonts w:hint="eastAsia" w:ascii="宋体" w:hAnsi="宋体" w:cs="宋体"/>
                <w:kern w:val="0"/>
                <w:sz w:val="24"/>
              </w:rPr>
              <w:t>机构代码证号</w:t>
            </w:r>
          </w:p>
        </w:tc>
        <w:tc>
          <w:tcPr>
            <w:tcW w:w="6425" w:type="dxa"/>
            <w:gridSpan w:val="4"/>
            <w:vAlign w:val="center"/>
          </w:tcPr>
          <w:p w14:paraId="062478F2">
            <w:pPr>
              <w:tabs>
                <w:tab w:val="left" w:pos="210"/>
              </w:tabs>
              <w:spacing w:line="320" w:lineRule="exact"/>
              <w:jc w:val="center"/>
              <w:rPr>
                <w:rFonts w:ascii="宋体" w:hAnsi="宋体" w:cs="宋体"/>
                <w:kern w:val="0"/>
                <w:sz w:val="24"/>
              </w:rPr>
            </w:pPr>
          </w:p>
        </w:tc>
      </w:tr>
      <w:tr w14:paraId="10875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69" w:type="dxa"/>
            <w:vMerge w:val="restart"/>
            <w:vAlign w:val="center"/>
          </w:tcPr>
          <w:p w14:paraId="2450C427">
            <w:pPr>
              <w:tabs>
                <w:tab w:val="left" w:pos="210"/>
              </w:tabs>
              <w:spacing w:line="320" w:lineRule="exact"/>
              <w:jc w:val="center"/>
              <w:rPr>
                <w:rFonts w:ascii="宋体" w:hAnsi="宋体" w:cs="宋体"/>
                <w:kern w:val="0"/>
                <w:sz w:val="24"/>
              </w:rPr>
            </w:pPr>
            <w:r>
              <w:rPr>
                <w:rFonts w:hint="eastAsia" w:ascii="宋体" w:hAnsi="宋体" w:cs="宋体"/>
                <w:kern w:val="0"/>
                <w:sz w:val="24"/>
              </w:rPr>
              <w:t>法定代表人</w:t>
            </w:r>
          </w:p>
        </w:tc>
        <w:tc>
          <w:tcPr>
            <w:tcW w:w="2086" w:type="dxa"/>
            <w:vAlign w:val="center"/>
          </w:tcPr>
          <w:p w14:paraId="6D23F270">
            <w:pPr>
              <w:tabs>
                <w:tab w:val="left" w:pos="210"/>
              </w:tabs>
              <w:spacing w:line="320" w:lineRule="exact"/>
              <w:jc w:val="center"/>
              <w:rPr>
                <w:rFonts w:ascii="宋体" w:hAnsi="宋体" w:cs="宋体"/>
                <w:kern w:val="0"/>
                <w:sz w:val="24"/>
              </w:rPr>
            </w:pPr>
            <w:r>
              <w:rPr>
                <w:rFonts w:hint="eastAsia" w:ascii="宋体" w:hAnsi="宋体" w:cs="宋体"/>
                <w:kern w:val="0"/>
                <w:sz w:val="24"/>
              </w:rPr>
              <w:t>姓名</w:t>
            </w:r>
          </w:p>
        </w:tc>
        <w:tc>
          <w:tcPr>
            <w:tcW w:w="2258" w:type="dxa"/>
            <w:gridSpan w:val="2"/>
            <w:vAlign w:val="center"/>
          </w:tcPr>
          <w:p w14:paraId="48241DF9">
            <w:pPr>
              <w:tabs>
                <w:tab w:val="left" w:pos="210"/>
              </w:tabs>
              <w:spacing w:line="320" w:lineRule="exact"/>
              <w:jc w:val="center"/>
              <w:rPr>
                <w:rFonts w:ascii="宋体" w:hAnsi="宋体" w:cs="宋体"/>
                <w:kern w:val="0"/>
                <w:sz w:val="24"/>
              </w:rPr>
            </w:pPr>
          </w:p>
        </w:tc>
        <w:tc>
          <w:tcPr>
            <w:tcW w:w="2082" w:type="dxa"/>
            <w:vAlign w:val="center"/>
          </w:tcPr>
          <w:p w14:paraId="0F80A47D">
            <w:pPr>
              <w:tabs>
                <w:tab w:val="left" w:pos="210"/>
              </w:tabs>
              <w:spacing w:line="320" w:lineRule="exact"/>
              <w:jc w:val="center"/>
              <w:rPr>
                <w:rFonts w:ascii="宋体" w:hAnsi="宋体" w:cs="宋体"/>
                <w:kern w:val="0"/>
                <w:sz w:val="24"/>
              </w:rPr>
            </w:pPr>
            <w:r>
              <w:rPr>
                <w:rFonts w:hint="eastAsia" w:ascii="宋体" w:hAnsi="宋体" w:cs="宋体"/>
                <w:kern w:val="0"/>
                <w:sz w:val="24"/>
              </w:rPr>
              <w:t>性别</w:t>
            </w:r>
          </w:p>
        </w:tc>
        <w:tc>
          <w:tcPr>
            <w:tcW w:w="2085" w:type="dxa"/>
            <w:vAlign w:val="center"/>
          </w:tcPr>
          <w:p w14:paraId="6E2FF4A6">
            <w:pPr>
              <w:tabs>
                <w:tab w:val="left" w:pos="210"/>
              </w:tabs>
              <w:spacing w:line="320" w:lineRule="exact"/>
              <w:jc w:val="center"/>
              <w:rPr>
                <w:rFonts w:ascii="宋体" w:hAnsi="宋体" w:cs="宋体"/>
                <w:kern w:val="0"/>
                <w:sz w:val="24"/>
              </w:rPr>
            </w:pPr>
          </w:p>
        </w:tc>
      </w:tr>
      <w:tr w14:paraId="12C3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69" w:type="dxa"/>
            <w:vMerge w:val="continue"/>
            <w:vAlign w:val="center"/>
          </w:tcPr>
          <w:p w14:paraId="1C54E2A1">
            <w:pPr>
              <w:tabs>
                <w:tab w:val="left" w:pos="210"/>
              </w:tabs>
              <w:spacing w:line="320" w:lineRule="exact"/>
              <w:jc w:val="center"/>
              <w:rPr>
                <w:rFonts w:ascii="宋体" w:hAnsi="宋体" w:cs="宋体"/>
                <w:kern w:val="0"/>
                <w:sz w:val="24"/>
              </w:rPr>
            </w:pPr>
          </w:p>
        </w:tc>
        <w:tc>
          <w:tcPr>
            <w:tcW w:w="2086" w:type="dxa"/>
            <w:vAlign w:val="center"/>
          </w:tcPr>
          <w:p w14:paraId="5C00D15E">
            <w:pPr>
              <w:tabs>
                <w:tab w:val="left" w:pos="210"/>
              </w:tabs>
              <w:spacing w:line="320" w:lineRule="exact"/>
              <w:jc w:val="center"/>
              <w:rPr>
                <w:rFonts w:ascii="宋体" w:hAnsi="宋体" w:cs="宋体"/>
                <w:kern w:val="0"/>
                <w:sz w:val="24"/>
              </w:rPr>
            </w:pPr>
            <w:r>
              <w:rPr>
                <w:rFonts w:hint="eastAsia" w:ascii="宋体" w:hAnsi="宋体" w:cs="宋体"/>
                <w:kern w:val="0"/>
                <w:sz w:val="24"/>
              </w:rPr>
              <w:t>职务</w:t>
            </w:r>
          </w:p>
        </w:tc>
        <w:tc>
          <w:tcPr>
            <w:tcW w:w="2258" w:type="dxa"/>
            <w:gridSpan w:val="2"/>
            <w:vAlign w:val="center"/>
          </w:tcPr>
          <w:p w14:paraId="79E349AA">
            <w:pPr>
              <w:tabs>
                <w:tab w:val="left" w:pos="210"/>
              </w:tabs>
              <w:spacing w:line="320" w:lineRule="exact"/>
              <w:jc w:val="center"/>
              <w:rPr>
                <w:rFonts w:ascii="宋体" w:hAnsi="宋体" w:cs="宋体"/>
                <w:kern w:val="0"/>
                <w:sz w:val="24"/>
              </w:rPr>
            </w:pPr>
          </w:p>
        </w:tc>
        <w:tc>
          <w:tcPr>
            <w:tcW w:w="2082" w:type="dxa"/>
            <w:vAlign w:val="center"/>
          </w:tcPr>
          <w:p w14:paraId="55AED808">
            <w:pPr>
              <w:tabs>
                <w:tab w:val="left" w:pos="210"/>
              </w:tabs>
              <w:spacing w:line="320" w:lineRule="exact"/>
              <w:jc w:val="center"/>
              <w:rPr>
                <w:rFonts w:ascii="宋体" w:hAnsi="宋体" w:cs="宋体"/>
                <w:kern w:val="0"/>
                <w:sz w:val="24"/>
              </w:rPr>
            </w:pPr>
            <w:r>
              <w:rPr>
                <w:rFonts w:hint="eastAsia" w:ascii="宋体" w:hAnsi="宋体" w:cs="宋体"/>
                <w:kern w:val="0"/>
                <w:sz w:val="24"/>
              </w:rPr>
              <w:t>联系电话</w:t>
            </w:r>
          </w:p>
        </w:tc>
        <w:tc>
          <w:tcPr>
            <w:tcW w:w="2085" w:type="dxa"/>
            <w:vAlign w:val="center"/>
          </w:tcPr>
          <w:p w14:paraId="2DD7FD1D">
            <w:pPr>
              <w:tabs>
                <w:tab w:val="left" w:pos="210"/>
              </w:tabs>
              <w:spacing w:line="320" w:lineRule="exact"/>
              <w:jc w:val="center"/>
              <w:rPr>
                <w:rFonts w:ascii="宋体" w:hAnsi="宋体" w:cs="宋体"/>
                <w:kern w:val="0"/>
                <w:sz w:val="24"/>
              </w:rPr>
            </w:pPr>
          </w:p>
        </w:tc>
      </w:tr>
      <w:tr w14:paraId="61B24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69" w:type="dxa"/>
            <w:vMerge w:val="continue"/>
            <w:vAlign w:val="center"/>
          </w:tcPr>
          <w:p w14:paraId="57B39CE7">
            <w:pPr>
              <w:tabs>
                <w:tab w:val="left" w:pos="210"/>
              </w:tabs>
              <w:spacing w:line="320" w:lineRule="exact"/>
              <w:jc w:val="center"/>
              <w:rPr>
                <w:rFonts w:ascii="宋体" w:hAnsi="宋体" w:cs="宋体"/>
                <w:kern w:val="0"/>
                <w:sz w:val="24"/>
              </w:rPr>
            </w:pPr>
          </w:p>
        </w:tc>
        <w:tc>
          <w:tcPr>
            <w:tcW w:w="2086" w:type="dxa"/>
            <w:vAlign w:val="center"/>
          </w:tcPr>
          <w:p w14:paraId="3F20D041">
            <w:pPr>
              <w:tabs>
                <w:tab w:val="left" w:pos="210"/>
              </w:tabs>
              <w:spacing w:line="320" w:lineRule="exact"/>
              <w:jc w:val="center"/>
              <w:rPr>
                <w:rFonts w:ascii="宋体" w:hAnsi="宋体" w:cs="宋体"/>
                <w:kern w:val="0"/>
                <w:sz w:val="24"/>
              </w:rPr>
            </w:pPr>
            <w:r>
              <w:rPr>
                <w:rFonts w:hint="eastAsia" w:ascii="宋体" w:hAnsi="宋体" w:cs="宋体"/>
                <w:kern w:val="0"/>
                <w:sz w:val="24"/>
              </w:rPr>
              <w:t>传真</w:t>
            </w:r>
          </w:p>
        </w:tc>
        <w:tc>
          <w:tcPr>
            <w:tcW w:w="6425" w:type="dxa"/>
            <w:gridSpan w:val="4"/>
            <w:vAlign w:val="center"/>
          </w:tcPr>
          <w:p w14:paraId="03D2E9A1">
            <w:pPr>
              <w:tabs>
                <w:tab w:val="left" w:pos="210"/>
              </w:tabs>
              <w:spacing w:line="320" w:lineRule="exact"/>
              <w:jc w:val="center"/>
              <w:rPr>
                <w:rFonts w:ascii="宋体" w:hAnsi="宋体" w:cs="宋体"/>
                <w:kern w:val="0"/>
                <w:sz w:val="24"/>
              </w:rPr>
            </w:pPr>
          </w:p>
        </w:tc>
      </w:tr>
      <w:tr w14:paraId="231C3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869" w:type="dxa"/>
            <w:vMerge w:val="restart"/>
            <w:vAlign w:val="center"/>
          </w:tcPr>
          <w:p w14:paraId="4EAC0196">
            <w:pPr>
              <w:tabs>
                <w:tab w:val="left" w:pos="210"/>
              </w:tabs>
              <w:spacing w:line="320" w:lineRule="exact"/>
              <w:jc w:val="center"/>
              <w:rPr>
                <w:rFonts w:ascii="宋体" w:hAnsi="宋体" w:cs="宋体"/>
                <w:kern w:val="0"/>
                <w:sz w:val="24"/>
              </w:rPr>
            </w:pPr>
            <w:r>
              <w:rPr>
                <w:rFonts w:hint="eastAsia" w:ascii="宋体" w:hAnsi="宋体" w:cs="宋体"/>
                <w:kern w:val="0"/>
                <w:sz w:val="24"/>
              </w:rPr>
              <w:t>法定代表人身份证复印件</w:t>
            </w:r>
          </w:p>
        </w:tc>
        <w:tc>
          <w:tcPr>
            <w:tcW w:w="4167" w:type="dxa"/>
            <w:gridSpan w:val="2"/>
            <w:vMerge w:val="restart"/>
            <w:vAlign w:val="center"/>
          </w:tcPr>
          <w:p w14:paraId="3031D082">
            <w:pPr>
              <w:tabs>
                <w:tab w:val="left" w:pos="210"/>
              </w:tabs>
              <w:spacing w:line="320" w:lineRule="exact"/>
              <w:jc w:val="center"/>
              <w:rPr>
                <w:rFonts w:ascii="宋体" w:hAnsi="宋体" w:cs="宋体"/>
                <w:kern w:val="0"/>
                <w:sz w:val="24"/>
              </w:rPr>
            </w:pPr>
            <w:r>
              <w:rPr>
                <w:rFonts w:hint="eastAsia" w:ascii="宋体" w:hAnsi="宋体" w:cs="宋体"/>
                <w:kern w:val="0"/>
                <w:sz w:val="24"/>
              </w:rPr>
              <w:t>（粘贴处）</w:t>
            </w:r>
          </w:p>
        </w:tc>
        <w:tc>
          <w:tcPr>
            <w:tcW w:w="4344" w:type="dxa"/>
            <w:gridSpan w:val="3"/>
            <w:vAlign w:val="center"/>
          </w:tcPr>
          <w:p w14:paraId="0369FA95">
            <w:pPr>
              <w:tabs>
                <w:tab w:val="left" w:pos="210"/>
              </w:tabs>
              <w:spacing w:line="320" w:lineRule="exact"/>
              <w:jc w:val="center"/>
              <w:rPr>
                <w:rFonts w:ascii="宋体" w:hAnsi="宋体" w:cs="宋体"/>
                <w:kern w:val="0"/>
                <w:sz w:val="24"/>
              </w:rPr>
            </w:pPr>
            <w:r>
              <w:rPr>
                <w:rFonts w:hint="eastAsia" w:ascii="宋体" w:hAnsi="宋体" w:cs="宋体"/>
                <w:kern w:val="0"/>
                <w:sz w:val="24"/>
              </w:rPr>
              <w:t>法定代表人（签字或盖章）</w:t>
            </w:r>
          </w:p>
        </w:tc>
      </w:tr>
      <w:tr w14:paraId="12201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jc w:val="center"/>
        </w:trPr>
        <w:tc>
          <w:tcPr>
            <w:tcW w:w="869" w:type="dxa"/>
            <w:vMerge w:val="continue"/>
            <w:vAlign w:val="center"/>
          </w:tcPr>
          <w:p w14:paraId="430FBCC7">
            <w:pPr>
              <w:tabs>
                <w:tab w:val="left" w:pos="210"/>
              </w:tabs>
              <w:spacing w:line="320" w:lineRule="exact"/>
              <w:jc w:val="center"/>
              <w:rPr>
                <w:rFonts w:ascii="宋体" w:hAnsi="宋体" w:cs="宋体"/>
                <w:kern w:val="0"/>
                <w:sz w:val="24"/>
              </w:rPr>
            </w:pPr>
          </w:p>
        </w:tc>
        <w:tc>
          <w:tcPr>
            <w:tcW w:w="4167" w:type="dxa"/>
            <w:gridSpan w:val="2"/>
            <w:vMerge w:val="continue"/>
            <w:vAlign w:val="center"/>
          </w:tcPr>
          <w:p w14:paraId="7BB231BD">
            <w:pPr>
              <w:tabs>
                <w:tab w:val="left" w:pos="210"/>
              </w:tabs>
              <w:spacing w:line="320" w:lineRule="exact"/>
              <w:jc w:val="center"/>
              <w:rPr>
                <w:rFonts w:ascii="宋体" w:hAnsi="宋体" w:cs="宋体"/>
                <w:kern w:val="0"/>
                <w:sz w:val="24"/>
              </w:rPr>
            </w:pPr>
          </w:p>
        </w:tc>
        <w:tc>
          <w:tcPr>
            <w:tcW w:w="4344" w:type="dxa"/>
            <w:gridSpan w:val="3"/>
            <w:vAlign w:val="bottom"/>
          </w:tcPr>
          <w:p w14:paraId="6C788BA5">
            <w:pPr>
              <w:tabs>
                <w:tab w:val="left" w:pos="210"/>
              </w:tabs>
              <w:spacing w:line="320" w:lineRule="exact"/>
              <w:jc w:val="center"/>
              <w:rPr>
                <w:rFonts w:ascii="宋体" w:hAnsi="宋体" w:cs="宋体"/>
                <w:kern w:val="0"/>
                <w:sz w:val="24"/>
              </w:rPr>
            </w:pPr>
            <w:r>
              <w:rPr>
                <w:rFonts w:hint="eastAsia" w:ascii="宋体" w:hAnsi="宋体" w:cs="宋体"/>
                <w:kern w:val="0"/>
                <w:sz w:val="24"/>
              </w:rPr>
              <w:t>（公章）</w:t>
            </w:r>
          </w:p>
          <w:p w14:paraId="3ADB6161">
            <w:pPr>
              <w:tabs>
                <w:tab w:val="left" w:pos="210"/>
              </w:tabs>
              <w:spacing w:line="320" w:lineRule="exact"/>
              <w:jc w:val="center"/>
              <w:rPr>
                <w:rFonts w:ascii="宋体" w:hAnsi="宋体" w:cs="宋体"/>
                <w:kern w:val="0"/>
                <w:sz w:val="24"/>
              </w:rPr>
            </w:pPr>
          </w:p>
          <w:p w14:paraId="5B43BD58">
            <w:pPr>
              <w:tabs>
                <w:tab w:val="left" w:pos="210"/>
              </w:tabs>
              <w:spacing w:line="320" w:lineRule="exact"/>
              <w:jc w:val="center"/>
              <w:rPr>
                <w:rFonts w:ascii="宋体" w:hAnsi="宋体" w:cs="宋体"/>
                <w:kern w:val="0"/>
                <w:sz w:val="24"/>
              </w:rPr>
            </w:pPr>
          </w:p>
          <w:p w14:paraId="4E908434">
            <w:pPr>
              <w:tabs>
                <w:tab w:val="left" w:pos="210"/>
              </w:tabs>
              <w:spacing w:line="320" w:lineRule="exact"/>
              <w:jc w:val="center"/>
              <w:rPr>
                <w:rFonts w:ascii="宋体" w:hAnsi="宋体" w:cs="宋体"/>
                <w:kern w:val="0"/>
                <w:sz w:val="24"/>
              </w:rPr>
            </w:pPr>
          </w:p>
          <w:p w14:paraId="06D5E5ED">
            <w:pPr>
              <w:tabs>
                <w:tab w:val="left" w:pos="210"/>
              </w:tabs>
              <w:spacing w:line="320" w:lineRule="exact"/>
              <w:jc w:val="right"/>
              <w:rPr>
                <w:rFonts w:ascii="宋体" w:hAnsi="宋体" w:cs="宋体"/>
                <w:kern w:val="0"/>
                <w:sz w:val="24"/>
              </w:rPr>
            </w:pPr>
            <w:r>
              <w:rPr>
                <w:rFonts w:hint="eastAsia" w:ascii="宋体" w:hAnsi="宋体" w:cs="宋体"/>
                <w:kern w:val="0"/>
                <w:sz w:val="24"/>
              </w:rPr>
              <w:t xml:space="preserve">年  月  日 </w:t>
            </w:r>
          </w:p>
        </w:tc>
      </w:tr>
    </w:tbl>
    <w:p w14:paraId="474D33A5">
      <w:bookmarkStart w:id="67" w:name="_Toc494096891"/>
      <w:bookmarkStart w:id="68" w:name="_Toc491186068"/>
      <w:r>
        <w:rPr>
          <w:rFonts w:hint="eastAsia"/>
        </w:rPr>
        <w:br w:type="page"/>
      </w:r>
    </w:p>
    <w:p w14:paraId="0487D133">
      <w:pPr>
        <w:spacing w:line="360" w:lineRule="auto"/>
        <w:jc w:val="center"/>
        <w:outlineLvl w:val="1"/>
        <w:rPr>
          <w:rFonts w:ascii="宋体" w:hAnsi="宋体" w:cs="宋体"/>
          <w:b/>
          <w:color w:val="000000"/>
          <w:sz w:val="32"/>
          <w:szCs w:val="32"/>
        </w:rPr>
      </w:pPr>
      <w:r>
        <w:rPr>
          <w:rFonts w:hint="eastAsia" w:ascii="宋体" w:hAnsi="宋体" w:cs="宋体"/>
          <w:b/>
          <w:color w:val="000000"/>
          <w:sz w:val="32"/>
          <w:szCs w:val="32"/>
        </w:rPr>
        <w:t>三、法定代表人授权书</w:t>
      </w:r>
      <w:bookmarkEnd w:id="67"/>
      <w:bookmarkEnd w:id="68"/>
    </w:p>
    <w:p w14:paraId="79024D3C">
      <w:pPr>
        <w:spacing w:line="360" w:lineRule="auto"/>
        <w:rPr>
          <w:rFonts w:ascii="宋体" w:hAnsi="宋体" w:cs="宋体"/>
          <w:b/>
          <w:color w:val="000000"/>
          <w:sz w:val="24"/>
        </w:rPr>
      </w:pPr>
      <w:r>
        <w:rPr>
          <w:rFonts w:hint="eastAsia" w:ascii="宋体" w:hAnsi="宋体" w:cs="宋体"/>
          <w:b/>
          <w:color w:val="000000"/>
          <w:sz w:val="24"/>
        </w:rPr>
        <w:t>致：华晟国际项目管理有限公司：</w:t>
      </w:r>
    </w:p>
    <w:p w14:paraId="30C3D276">
      <w:pPr>
        <w:pStyle w:val="11"/>
        <w:spacing w:line="360" w:lineRule="auto"/>
        <w:ind w:firstLine="480" w:firstLineChars="200"/>
        <w:rPr>
          <w:rFonts w:hint="eastAsia" w:hAnsi="宋体" w:eastAsia="宋体" w:cs="宋体"/>
          <w:sz w:val="10"/>
          <w:szCs w:val="24"/>
          <w:lang w:val="en-US" w:eastAsia="zh-CN"/>
        </w:rPr>
      </w:pPr>
      <w:r>
        <w:rPr>
          <w:rFonts w:hint="eastAsia" w:hAnsi="宋体" w:cs="宋体"/>
          <w:sz w:val="24"/>
          <w:szCs w:val="24"/>
        </w:rPr>
        <w:t>本授权书声明：注册于（</w:t>
      </w:r>
      <w:r>
        <w:rPr>
          <w:rFonts w:hint="eastAsia" w:hAnsi="宋体" w:cs="宋体"/>
          <w:sz w:val="24"/>
          <w:szCs w:val="24"/>
          <w:u w:val="single"/>
        </w:rPr>
        <w:t>工商行政管理局名称）之（委托单位全称）</w:t>
      </w:r>
      <w:r>
        <w:rPr>
          <w:rFonts w:hint="eastAsia" w:hAnsi="宋体" w:cs="宋体"/>
          <w:sz w:val="24"/>
          <w:szCs w:val="24"/>
        </w:rPr>
        <w:t>的法定代表人</w:t>
      </w:r>
      <w:r>
        <w:rPr>
          <w:rFonts w:hint="eastAsia" w:hAnsi="宋体" w:cs="宋体"/>
          <w:sz w:val="24"/>
          <w:szCs w:val="24"/>
          <w:u w:val="single"/>
        </w:rPr>
        <w:t>（姓名、性别）</w:t>
      </w:r>
      <w:r>
        <w:rPr>
          <w:rFonts w:hint="eastAsia" w:hAnsi="宋体" w:cs="宋体"/>
          <w:sz w:val="24"/>
          <w:szCs w:val="24"/>
        </w:rPr>
        <w:t>授权</w:t>
      </w:r>
      <w:r>
        <w:rPr>
          <w:rFonts w:hint="eastAsia" w:hAnsi="宋体" w:cs="宋体"/>
          <w:sz w:val="24"/>
          <w:szCs w:val="24"/>
          <w:u w:val="single"/>
        </w:rPr>
        <w:t>（被授权人姓名、性别、职务）</w:t>
      </w:r>
      <w:r>
        <w:rPr>
          <w:rFonts w:hint="eastAsia" w:hAnsi="宋体" w:cs="宋体"/>
          <w:sz w:val="24"/>
          <w:szCs w:val="24"/>
        </w:rPr>
        <w:t>为本公司合法代理人，就贵方组织的有关</w:t>
      </w:r>
      <w:r>
        <w:rPr>
          <w:rFonts w:hint="eastAsia" w:hAnsi="宋体" w:cs="宋体"/>
          <w:sz w:val="24"/>
          <w:szCs w:val="24"/>
          <w:u w:val="single"/>
        </w:rPr>
        <w:t>（项目名称）</w:t>
      </w:r>
      <w:r>
        <w:rPr>
          <w:rFonts w:hint="eastAsia" w:hAnsi="宋体" w:cs="宋体"/>
          <w:sz w:val="24"/>
          <w:szCs w:val="24"/>
        </w:rPr>
        <w:t>（项目编号：</w:t>
      </w:r>
      <w:r>
        <w:rPr>
          <w:rFonts w:hint="eastAsia" w:hAnsi="宋体" w:cs="宋体"/>
          <w:sz w:val="24"/>
          <w:szCs w:val="24"/>
          <w:u w:val="single"/>
        </w:rPr>
        <w:t xml:space="preserve">          </w:t>
      </w:r>
      <w:r>
        <w:rPr>
          <w:rFonts w:hint="eastAsia" w:hAnsi="宋体" w:cs="宋体"/>
          <w:sz w:val="24"/>
          <w:szCs w:val="24"/>
        </w:rPr>
        <w:t>）的磋商、洽谈、执行等具体事务，签署全部有关文件、文书、协议、合同，本公司对被授权人在本项目中的签名承担全部法律责任。</w:t>
      </w:r>
      <w:r>
        <w:rPr>
          <w:rFonts w:hint="eastAsia" w:ascii="宋体" w:hAnsi="宋体" w:eastAsia="宋体" w:cs="宋体"/>
          <w:color w:val="auto"/>
          <w:sz w:val="24"/>
          <w:szCs w:val="24"/>
          <w:highlight w:val="none"/>
        </w:rPr>
        <w:t>本授权书自</w:t>
      </w:r>
      <w:r>
        <w:rPr>
          <w:rFonts w:hint="eastAsia" w:hAnsi="宋体" w:cs="宋体"/>
          <w:color w:val="auto"/>
          <w:sz w:val="24"/>
          <w:szCs w:val="24"/>
          <w:highlight w:val="none"/>
          <w:lang w:eastAsia="zh-CN"/>
        </w:rPr>
        <w:t>响应</w:t>
      </w:r>
      <w:r>
        <w:rPr>
          <w:rFonts w:hint="eastAsia" w:ascii="宋体" w:hAnsi="宋体" w:eastAsia="宋体" w:cs="宋体"/>
          <w:color w:val="auto"/>
          <w:sz w:val="24"/>
          <w:szCs w:val="24"/>
          <w:highlight w:val="none"/>
        </w:rPr>
        <w:t>文件递交截止之日起计算有效期为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日历日。</w:t>
      </w:r>
    </w:p>
    <w:p w14:paraId="4E5E2519">
      <w:pPr>
        <w:pStyle w:val="11"/>
        <w:spacing w:line="360" w:lineRule="auto"/>
        <w:ind w:firstLine="480" w:firstLineChars="200"/>
        <w:jc w:val="left"/>
        <w:rPr>
          <w:rFonts w:hAnsi="宋体" w:cs="宋体"/>
          <w:sz w:val="24"/>
          <w:szCs w:val="24"/>
        </w:rPr>
      </w:pPr>
      <w:r>
        <w:rPr>
          <w:rFonts w:hint="eastAsia" w:hAnsi="宋体" w:cs="宋体"/>
          <w:sz w:val="24"/>
          <w:szCs w:val="24"/>
        </w:rPr>
        <w:t>供应商名称（公章）：</w:t>
      </w:r>
      <w:r>
        <w:rPr>
          <w:rFonts w:hint="eastAsia" w:hAnsi="宋体" w:cs="宋体"/>
          <w:sz w:val="24"/>
          <w:szCs w:val="24"/>
          <w:u w:val="single"/>
        </w:rPr>
        <w:t xml:space="preserve">                               </w:t>
      </w:r>
    </w:p>
    <w:p w14:paraId="7BFE0EC5">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Ansi="宋体" w:cs="宋体"/>
          <w:sz w:val="24"/>
          <w:szCs w:val="24"/>
          <w:u w:val="single"/>
        </w:rPr>
      </w:pPr>
      <w:r>
        <w:rPr>
          <w:rFonts w:hint="eastAsia" w:hAnsi="宋体" w:cs="宋体"/>
          <w:sz w:val="24"/>
          <w:szCs w:val="24"/>
        </w:rPr>
        <w:t>法定代表人（</w:t>
      </w:r>
      <w:r>
        <w:rPr>
          <w:rFonts w:hint="eastAsia" w:hAnsi="宋体" w:cs="宋体"/>
          <w:color w:val="000000" w:themeColor="text1"/>
          <w:sz w:val="24"/>
          <w:szCs w:val="24"/>
          <w14:textFill>
            <w14:solidFill>
              <w14:schemeClr w14:val="tx1"/>
            </w14:solidFill>
          </w14:textFill>
        </w:rPr>
        <w:t>签字或盖章</w:t>
      </w:r>
      <w:r>
        <w:rPr>
          <w:rFonts w:hint="eastAsia" w:hAnsi="宋体" w:cs="宋体"/>
          <w:sz w:val="24"/>
          <w:szCs w:val="24"/>
        </w:rPr>
        <w:t>）：</w:t>
      </w:r>
      <w:r>
        <w:rPr>
          <w:rFonts w:hint="eastAsia" w:hAnsi="宋体" w:cs="宋体"/>
          <w:sz w:val="24"/>
          <w:szCs w:val="24"/>
          <w:u w:val="single"/>
        </w:rPr>
        <w:t xml:space="preserve">                         </w:t>
      </w:r>
    </w:p>
    <w:p w14:paraId="6FC5AADB">
      <w:pPr>
        <w:pStyle w:val="11"/>
        <w:spacing w:line="360" w:lineRule="auto"/>
        <w:ind w:firstLine="480" w:firstLineChars="200"/>
        <w:jc w:val="left"/>
        <w:rPr>
          <w:rFonts w:hAnsi="宋体" w:cs="宋体"/>
          <w:sz w:val="24"/>
          <w:szCs w:val="24"/>
        </w:rPr>
      </w:pPr>
      <w:r>
        <w:rPr>
          <w:rFonts w:hint="eastAsia" w:ascii="宋体" w:hAnsi="宋体" w:eastAsia="宋体" w:cs="宋体"/>
          <w:color w:val="auto"/>
          <w:sz w:val="24"/>
          <w:szCs w:val="24"/>
          <w:highlight w:val="none"/>
        </w:rPr>
        <w:t>授权日期：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F2D1181">
      <w:pPr>
        <w:pStyle w:val="11"/>
        <w:spacing w:line="360" w:lineRule="auto"/>
        <w:ind w:firstLine="480" w:firstLineChars="200"/>
        <w:jc w:val="left"/>
        <w:rPr>
          <w:rFonts w:hAnsi="宋体" w:cs="宋体"/>
          <w:sz w:val="24"/>
          <w:szCs w:val="24"/>
          <w:u w:val="single"/>
        </w:rPr>
      </w:pPr>
      <w:r>
        <w:rPr>
          <w:rFonts w:hint="eastAsia" w:hAnsi="宋体" w:cs="宋体"/>
          <w:sz w:val="24"/>
          <w:szCs w:val="24"/>
        </w:rPr>
        <w:t>附：被授权人姓名：</w:t>
      </w:r>
      <w:r>
        <w:rPr>
          <w:rFonts w:hint="eastAsia" w:hAnsi="宋体" w:cs="宋体"/>
          <w:sz w:val="24"/>
          <w:szCs w:val="24"/>
          <w:u w:val="single"/>
        </w:rPr>
        <w:t xml:space="preserve">            </w:t>
      </w:r>
      <w:r>
        <w:rPr>
          <w:rFonts w:hint="eastAsia" w:hAnsi="宋体" w:cs="宋体"/>
          <w:sz w:val="24"/>
          <w:szCs w:val="24"/>
        </w:rPr>
        <w:t xml:space="preserve"> 性别：</w:t>
      </w:r>
      <w:r>
        <w:rPr>
          <w:rFonts w:hint="eastAsia" w:hAnsi="宋体" w:cs="宋体"/>
          <w:sz w:val="24"/>
          <w:szCs w:val="24"/>
          <w:u w:val="single"/>
        </w:rPr>
        <w:t xml:space="preserve">          </w:t>
      </w:r>
      <w:r>
        <w:rPr>
          <w:rFonts w:hint="eastAsia" w:hAnsi="宋体" w:cs="宋体"/>
          <w:sz w:val="24"/>
          <w:szCs w:val="24"/>
        </w:rPr>
        <w:t xml:space="preserve"> 职务：</w:t>
      </w:r>
      <w:r>
        <w:rPr>
          <w:rFonts w:hint="eastAsia" w:hAnsi="宋体" w:cs="宋体"/>
          <w:sz w:val="24"/>
          <w:szCs w:val="24"/>
          <w:u w:val="single"/>
        </w:rPr>
        <w:t xml:space="preserve">           </w:t>
      </w:r>
    </w:p>
    <w:p w14:paraId="6B079828">
      <w:pPr>
        <w:pStyle w:val="11"/>
        <w:spacing w:line="360" w:lineRule="auto"/>
        <w:ind w:firstLine="480" w:firstLineChars="200"/>
        <w:jc w:val="left"/>
        <w:rPr>
          <w:rFonts w:hAnsi="宋体" w:cs="宋体"/>
          <w:sz w:val="24"/>
          <w:szCs w:val="24"/>
          <w:u w:val="single"/>
        </w:rPr>
      </w:pPr>
      <w:r>
        <w:rPr>
          <w:rFonts w:hint="eastAsia" w:hAnsi="宋体" w:cs="宋体"/>
          <w:sz w:val="24"/>
          <w:szCs w:val="24"/>
        </w:rPr>
        <w:t>联系地址：</w:t>
      </w:r>
      <w:r>
        <w:rPr>
          <w:rFonts w:hint="eastAsia" w:hAnsi="宋体" w:cs="宋体"/>
          <w:sz w:val="24"/>
          <w:szCs w:val="24"/>
          <w:u w:val="single"/>
        </w:rPr>
        <w:t xml:space="preserve">                                             </w:t>
      </w:r>
      <w:r>
        <w:rPr>
          <w:rFonts w:hint="eastAsia" w:hAnsi="宋体" w:cs="宋体"/>
          <w:sz w:val="24"/>
          <w:szCs w:val="24"/>
        </w:rPr>
        <w:t xml:space="preserve">  </w:t>
      </w:r>
    </w:p>
    <w:p w14:paraId="3311B271">
      <w:pPr>
        <w:pStyle w:val="11"/>
        <w:spacing w:line="360" w:lineRule="auto"/>
        <w:ind w:firstLine="480" w:firstLineChars="200"/>
        <w:jc w:val="left"/>
        <w:rPr>
          <w:rFonts w:hAnsi="宋体" w:cs="宋体"/>
          <w:sz w:val="24"/>
          <w:szCs w:val="24"/>
          <w:u w:val="single"/>
        </w:rPr>
      </w:pPr>
      <w:r>
        <w:rPr>
          <w:rFonts w:hint="eastAsia" w:hAnsi="宋体" w:cs="宋体"/>
          <w:sz w:val="24"/>
          <w:szCs w:val="24"/>
        </w:rPr>
        <w:t>联系电话：</w:t>
      </w:r>
      <w:r>
        <w:rPr>
          <w:rFonts w:hint="eastAsia" w:hAnsi="宋体" w:cs="宋体"/>
          <w:sz w:val="24"/>
          <w:szCs w:val="24"/>
          <w:u w:val="single"/>
        </w:rPr>
        <w:t xml:space="preserve">                </w:t>
      </w:r>
      <w:r>
        <w:rPr>
          <w:rFonts w:hint="eastAsia" w:hAnsi="宋体" w:cs="宋体"/>
          <w:sz w:val="24"/>
          <w:szCs w:val="24"/>
        </w:rPr>
        <w:t xml:space="preserve"> 传真：</w:t>
      </w:r>
      <w:r>
        <w:rPr>
          <w:rFonts w:hint="eastAsia" w:hAnsi="宋体" w:cs="宋体"/>
          <w:sz w:val="24"/>
          <w:szCs w:val="24"/>
          <w:u w:val="single"/>
        </w:rPr>
        <w:t xml:space="preserve">                 </w:t>
      </w:r>
    </w:p>
    <w:p w14:paraId="68EB78BD">
      <w:pPr>
        <w:pStyle w:val="11"/>
        <w:spacing w:line="360" w:lineRule="auto"/>
        <w:ind w:firstLine="480" w:firstLineChars="200"/>
        <w:jc w:val="left"/>
        <w:rPr>
          <w:rFonts w:hAnsi="宋体" w:cs="宋体"/>
          <w:sz w:val="24"/>
          <w:szCs w:val="24"/>
        </w:rPr>
      </w:pPr>
      <w:r>
        <w:rPr>
          <w:rFonts w:hint="eastAsia" w:ascii="宋体" w:hAnsi="宋体" w:cs="宋体"/>
          <w:color w:val="000000" w:themeColor="text1"/>
          <w:sz w:val="24"/>
          <w14:textFill>
            <w14:solidFill>
              <w14:schemeClr w14:val="tx1"/>
            </w14:solidFill>
          </w14:textFill>
        </w:rPr>
        <w:t>法定代表人</w:t>
      </w:r>
      <w:r>
        <w:rPr>
          <w:rFonts w:hint="eastAsia" w:hAnsi="宋体" w:cs="宋体"/>
          <w:sz w:val="24"/>
          <w:szCs w:val="24"/>
        </w:rPr>
        <w:t>、被授权人身份证复印件</w:t>
      </w:r>
    </w:p>
    <w:tbl>
      <w:tblPr>
        <w:tblStyle w:val="20"/>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1"/>
        <w:gridCol w:w="4378"/>
      </w:tblGrid>
      <w:tr w14:paraId="59669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9" w:hRule="atLeast"/>
          <w:jc w:val="center"/>
        </w:trPr>
        <w:tc>
          <w:tcPr>
            <w:tcW w:w="4641" w:type="dxa"/>
            <w:tcBorders>
              <w:top w:val="single" w:color="auto" w:sz="4" w:space="0"/>
              <w:left w:val="single" w:color="auto" w:sz="4" w:space="0"/>
              <w:right w:val="single" w:color="auto" w:sz="4" w:space="0"/>
            </w:tcBorders>
            <w:shd w:val="clear" w:color="auto" w:fill="D9D9D9"/>
            <w:vAlign w:val="center"/>
          </w:tcPr>
          <w:p w14:paraId="754A68F3">
            <w:pPr>
              <w:pStyle w:val="11"/>
              <w:spacing w:line="500" w:lineRule="exact"/>
              <w:jc w:val="center"/>
              <w:rPr>
                <w:rFonts w:hAnsi="宋体" w:cs="宋体"/>
                <w:sz w:val="24"/>
                <w:szCs w:val="24"/>
                <w:shd w:val="clear" w:color="FFFFFF" w:fill="D9D9D9"/>
              </w:rPr>
            </w:pPr>
            <w:r>
              <w:rPr>
                <w:rFonts w:hint="eastAsia" w:hAnsi="宋体" w:cs="宋体"/>
                <w:sz w:val="24"/>
                <w:szCs w:val="24"/>
                <w:shd w:val="clear" w:color="FFFFFF" w:fill="D9D9D9"/>
              </w:rPr>
              <w:t>法定代表人身份证复印件（正、反面）</w:t>
            </w:r>
          </w:p>
        </w:tc>
        <w:tc>
          <w:tcPr>
            <w:tcW w:w="4378" w:type="dxa"/>
            <w:tcBorders>
              <w:top w:val="single" w:color="auto" w:sz="4" w:space="0"/>
              <w:left w:val="single" w:color="auto" w:sz="4" w:space="0"/>
              <w:bottom w:val="single" w:color="auto" w:sz="4" w:space="0"/>
              <w:right w:val="single" w:color="auto" w:sz="4" w:space="0"/>
            </w:tcBorders>
            <w:shd w:val="clear" w:color="auto" w:fill="D9D9D9"/>
            <w:vAlign w:val="center"/>
          </w:tcPr>
          <w:p w14:paraId="613B17A5">
            <w:pPr>
              <w:pStyle w:val="11"/>
              <w:spacing w:line="500" w:lineRule="exact"/>
              <w:jc w:val="center"/>
              <w:rPr>
                <w:rFonts w:hAnsi="宋体" w:cs="宋体"/>
                <w:sz w:val="24"/>
                <w:szCs w:val="24"/>
                <w:shd w:val="clear" w:color="FFFFFF" w:fill="D9D9D9"/>
              </w:rPr>
            </w:pPr>
            <w:r>
              <w:rPr>
                <w:rFonts w:hint="eastAsia" w:hAnsi="宋体" w:cs="宋体"/>
                <w:sz w:val="24"/>
                <w:szCs w:val="24"/>
                <w:shd w:val="clear" w:color="FFFFFF" w:fill="D9D9D9"/>
              </w:rPr>
              <w:t>被授权人身份证复印件（正、反面）</w:t>
            </w:r>
          </w:p>
        </w:tc>
      </w:tr>
    </w:tbl>
    <w:p w14:paraId="34504F40">
      <w:pPr>
        <w:pStyle w:val="11"/>
        <w:spacing w:line="360" w:lineRule="auto"/>
        <w:ind w:firstLine="218" w:firstLineChars="91"/>
        <w:jc w:val="left"/>
        <w:rPr>
          <w:rFonts w:hAnsi="宋体" w:cs="宋体"/>
          <w:sz w:val="24"/>
          <w:szCs w:val="24"/>
        </w:rPr>
      </w:pPr>
      <w:r>
        <w:rPr>
          <w:rFonts w:hint="eastAsia" w:hAnsi="宋体" w:cs="宋体"/>
          <w:sz w:val="24"/>
          <w:szCs w:val="24"/>
        </w:rPr>
        <w:t>说明：</w:t>
      </w:r>
    </w:p>
    <w:p w14:paraId="709860B4">
      <w:pPr>
        <w:pStyle w:val="11"/>
        <w:spacing w:line="360" w:lineRule="auto"/>
        <w:ind w:firstLine="240" w:firstLineChars="100"/>
        <w:jc w:val="left"/>
        <w:rPr>
          <w:rFonts w:hAnsi="宋体" w:cs="宋体"/>
          <w:sz w:val="24"/>
          <w:szCs w:val="24"/>
        </w:rPr>
      </w:pPr>
      <w:r>
        <w:rPr>
          <w:rFonts w:hint="eastAsia" w:hAnsi="宋体" w:cs="宋体"/>
          <w:sz w:val="24"/>
          <w:szCs w:val="24"/>
        </w:rPr>
        <w:t>1.本授权书有效期自</w:t>
      </w:r>
      <w:r>
        <w:rPr>
          <w:rFonts w:hint="eastAsia" w:hAnsi="宋体" w:cs="宋体"/>
          <w:color w:val="000000"/>
          <w:sz w:val="24"/>
          <w:szCs w:val="24"/>
        </w:rPr>
        <w:t>竞争性磋商响应文件递交截止</w:t>
      </w:r>
      <w:r>
        <w:rPr>
          <w:rFonts w:hint="eastAsia" w:hAnsi="宋体" w:cs="宋体"/>
          <w:sz w:val="24"/>
          <w:szCs w:val="24"/>
        </w:rPr>
        <w:t>之日起计算不得少于90日历日。</w:t>
      </w:r>
    </w:p>
    <w:p w14:paraId="4D492C90">
      <w:pPr>
        <w:pStyle w:val="11"/>
        <w:spacing w:line="360" w:lineRule="auto"/>
        <w:ind w:firstLine="240" w:firstLineChars="100"/>
        <w:jc w:val="left"/>
        <w:rPr>
          <w:rFonts w:hAnsi="宋体" w:cs="宋体"/>
          <w:color w:val="000000"/>
          <w:sz w:val="24"/>
        </w:rPr>
      </w:pPr>
      <w:r>
        <w:rPr>
          <w:rFonts w:hint="eastAsia" w:hAnsi="宋体" w:cs="宋体"/>
          <w:sz w:val="24"/>
          <w:szCs w:val="24"/>
        </w:rPr>
        <w:t>2．授权书内容填写要明确，文字要工整清楚，涂改无效。</w:t>
      </w:r>
    </w:p>
    <w:p w14:paraId="1E1F3FD7">
      <w:bookmarkStart w:id="69" w:name="_Toc494096892"/>
      <w:bookmarkStart w:id="70" w:name="_Toc491186069"/>
    </w:p>
    <w:p w14:paraId="7D4E846B">
      <w:r>
        <w:rPr>
          <w:rFonts w:hint="eastAsia"/>
        </w:rPr>
        <w:br w:type="page"/>
      </w:r>
    </w:p>
    <w:p w14:paraId="4D5610C0">
      <w:pPr>
        <w:spacing w:line="360" w:lineRule="auto"/>
        <w:jc w:val="center"/>
        <w:outlineLvl w:val="1"/>
        <w:rPr>
          <w:rFonts w:ascii="宋体" w:hAnsi="宋体" w:cs="宋体"/>
          <w:b/>
          <w:color w:val="000000"/>
          <w:sz w:val="32"/>
          <w:szCs w:val="32"/>
        </w:rPr>
      </w:pPr>
      <w:r>
        <w:rPr>
          <w:rFonts w:hint="eastAsia" w:ascii="宋体" w:hAnsi="宋体" w:cs="宋体"/>
          <w:b/>
          <w:color w:val="000000"/>
          <w:sz w:val="32"/>
          <w:szCs w:val="32"/>
        </w:rPr>
        <w:t>四、报价一览表</w:t>
      </w:r>
      <w:bookmarkEnd w:id="69"/>
      <w:bookmarkEnd w:id="70"/>
    </w:p>
    <w:p w14:paraId="54DA3BB1">
      <w:pPr>
        <w:spacing w:line="360" w:lineRule="auto"/>
        <w:ind w:firstLine="211"/>
        <w:jc w:val="center"/>
        <w:rPr>
          <w:rFonts w:ascii="宋体" w:hAnsi="宋体" w:cs="宋体"/>
          <w:b/>
          <w:sz w:val="24"/>
        </w:rPr>
      </w:pPr>
    </w:p>
    <w:p w14:paraId="51EE6B65">
      <w:pPr>
        <w:spacing w:line="360" w:lineRule="auto"/>
        <w:rPr>
          <w:rFonts w:hint="eastAsia" w:ascii="宋体" w:hAnsi="宋体" w:eastAsia="宋体" w:cs="宋体"/>
          <w:sz w:val="24"/>
          <w:lang w:eastAsia="zh-CN"/>
        </w:rPr>
      </w:pPr>
      <w:r>
        <w:rPr>
          <w:rFonts w:hint="eastAsia" w:ascii="宋体" w:hAnsi="宋体" w:cs="宋体"/>
          <w:sz w:val="24"/>
        </w:rPr>
        <w:t>项目名称：</w:t>
      </w:r>
      <w:r>
        <w:rPr>
          <w:rFonts w:hint="eastAsia" w:asciiTheme="minorEastAsia" w:hAnsiTheme="minorEastAsia" w:eastAsiaTheme="minorEastAsia" w:cstheme="minorEastAsia"/>
          <w:sz w:val="24"/>
          <w:lang w:eastAsia="zh-CN"/>
        </w:rPr>
        <w:t>陕西省公安厅寄递物流业治安管理信息系统运维项目</w:t>
      </w:r>
    </w:p>
    <w:p w14:paraId="474B4BC2">
      <w:pPr>
        <w:spacing w:line="360" w:lineRule="auto"/>
        <w:rPr>
          <w:rFonts w:hint="default" w:ascii="宋体" w:hAnsi="宋体" w:eastAsia="宋体" w:cs="宋体"/>
          <w:sz w:val="24"/>
          <w:lang w:val="en-US" w:eastAsia="zh-CN"/>
        </w:rPr>
      </w:pPr>
      <w:r>
        <w:rPr>
          <w:rFonts w:hint="eastAsia" w:ascii="宋体" w:hAnsi="宋体" w:cs="宋体"/>
          <w:sz w:val="24"/>
        </w:rPr>
        <w:t>项目编号：</w:t>
      </w:r>
      <w:r>
        <w:rPr>
          <w:rFonts w:hint="eastAsia" w:ascii="宋体" w:hAnsi="宋体" w:cs="宋体"/>
          <w:sz w:val="24"/>
          <w:lang w:eastAsia="zh-CN"/>
        </w:rPr>
        <w:t>HSGJ2025-181</w:t>
      </w:r>
    </w:p>
    <w:tbl>
      <w:tblPr>
        <w:tblStyle w:val="20"/>
        <w:tblW w:w="0" w:type="auto"/>
        <w:jc w:val="center"/>
        <w:tblLayout w:type="fixed"/>
        <w:tblCellMar>
          <w:top w:w="0" w:type="dxa"/>
          <w:left w:w="108" w:type="dxa"/>
          <w:bottom w:w="0" w:type="dxa"/>
          <w:right w:w="108" w:type="dxa"/>
        </w:tblCellMar>
      </w:tblPr>
      <w:tblGrid>
        <w:gridCol w:w="3855"/>
        <w:gridCol w:w="5240"/>
      </w:tblGrid>
      <w:tr w14:paraId="1E59D1F9">
        <w:tblPrEx>
          <w:tblCellMar>
            <w:top w:w="0" w:type="dxa"/>
            <w:left w:w="108" w:type="dxa"/>
            <w:bottom w:w="0" w:type="dxa"/>
            <w:right w:w="108" w:type="dxa"/>
          </w:tblCellMar>
        </w:tblPrEx>
        <w:trPr>
          <w:trHeight w:val="1531" w:hRule="atLeast"/>
          <w:jc w:val="center"/>
        </w:trPr>
        <w:tc>
          <w:tcPr>
            <w:tcW w:w="3855" w:type="dxa"/>
            <w:tcBorders>
              <w:top w:val="single" w:color="000000" w:sz="4" w:space="0"/>
              <w:left w:val="single" w:color="000000" w:sz="4" w:space="0"/>
              <w:bottom w:val="single" w:color="000000" w:sz="4" w:space="0"/>
            </w:tcBorders>
            <w:vAlign w:val="center"/>
          </w:tcPr>
          <w:p w14:paraId="14F6C8AF">
            <w:pPr>
              <w:spacing w:line="360" w:lineRule="auto"/>
              <w:jc w:val="center"/>
              <w:rPr>
                <w:rFonts w:ascii="宋体" w:hAnsi="宋体" w:cs="宋体"/>
                <w:sz w:val="24"/>
              </w:rPr>
            </w:pPr>
            <w:r>
              <w:rPr>
                <w:rFonts w:hint="eastAsia" w:ascii="宋体" w:hAnsi="宋体" w:cs="宋体"/>
                <w:sz w:val="24"/>
              </w:rPr>
              <w:t>磋商总报价</w:t>
            </w:r>
          </w:p>
          <w:p w14:paraId="1614EAE5">
            <w:pPr>
              <w:spacing w:line="360" w:lineRule="auto"/>
              <w:jc w:val="center"/>
              <w:rPr>
                <w:rFonts w:ascii="宋体" w:hAnsi="宋体" w:cs="宋体"/>
                <w:sz w:val="24"/>
              </w:rPr>
            </w:pPr>
            <w:r>
              <w:rPr>
                <w:rFonts w:hint="eastAsia" w:ascii="宋体" w:hAnsi="宋体" w:cs="宋体"/>
                <w:sz w:val="24"/>
              </w:rPr>
              <w:t>（单位：元）</w:t>
            </w:r>
          </w:p>
        </w:tc>
        <w:tc>
          <w:tcPr>
            <w:tcW w:w="5240" w:type="dxa"/>
            <w:tcBorders>
              <w:top w:val="single" w:color="000000" w:sz="4" w:space="0"/>
              <w:left w:val="single" w:color="000000" w:sz="4" w:space="0"/>
              <w:bottom w:val="single" w:color="000000" w:sz="4" w:space="0"/>
              <w:right w:val="single" w:color="000000" w:sz="4" w:space="0"/>
            </w:tcBorders>
            <w:vAlign w:val="center"/>
          </w:tcPr>
          <w:p w14:paraId="2DDB4238">
            <w:pPr>
              <w:spacing w:line="360" w:lineRule="auto"/>
              <w:jc w:val="left"/>
              <w:rPr>
                <w:rFonts w:ascii="宋体" w:hAnsi="宋体" w:cs="宋体"/>
                <w:sz w:val="24"/>
                <w:u w:val="single"/>
              </w:rPr>
            </w:pPr>
            <w:r>
              <w:rPr>
                <w:rFonts w:hint="eastAsia" w:ascii="宋体" w:hAnsi="宋体" w:cs="宋体"/>
                <w:sz w:val="24"/>
              </w:rPr>
              <w:t>小写：</w:t>
            </w:r>
            <w:r>
              <w:rPr>
                <w:rFonts w:hint="eastAsia" w:ascii="宋体" w:hAnsi="宋体" w:cs="宋体"/>
                <w:sz w:val="24"/>
                <w:u w:val="single"/>
              </w:rPr>
              <w:t xml:space="preserve">                              </w:t>
            </w:r>
          </w:p>
          <w:p w14:paraId="5FD955BF">
            <w:pPr>
              <w:pStyle w:val="10"/>
              <w:ind w:firstLine="0"/>
              <w:rPr>
                <w:rFonts w:cs="宋体"/>
                <w:sz w:val="24"/>
              </w:rPr>
            </w:pPr>
            <w:r>
              <w:rPr>
                <w:rFonts w:hint="eastAsia" w:ascii="宋体" w:hAnsi="宋体" w:eastAsia="宋体" w:cs="宋体"/>
                <w:sz w:val="24"/>
              </w:rPr>
              <w:t>大写：</w:t>
            </w:r>
            <w:r>
              <w:rPr>
                <w:rFonts w:hint="eastAsia" w:cs="宋体"/>
                <w:sz w:val="24"/>
                <w:u w:val="single"/>
              </w:rPr>
              <w:t xml:space="preserve">                              </w:t>
            </w:r>
          </w:p>
        </w:tc>
      </w:tr>
      <w:tr w14:paraId="1B673A30">
        <w:tblPrEx>
          <w:tblCellMar>
            <w:top w:w="0" w:type="dxa"/>
            <w:left w:w="108" w:type="dxa"/>
            <w:bottom w:w="0" w:type="dxa"/>
            <w:right w:w="108" w:type="dxa"/>
          </w:tblCellMar>
        </w:tblPrEx>
        <w:trPr>
          <w:trHeight w:val="1531" w:hRule="atLeast"/>
          <w:jc w:val="center"/>
        </w:trPr>
        <w:tc>
          <w:tcPr>
            <w:tcW w:w="3855" w:type="dxa"/>
            <w:tcBorders>
              <w:top w:val="single" w:color="000000" w:sz="4" w:space="0"/>
              <w:left w:val="single" w:color="000000" w:sz="4" w:space="0"/>
            </w:tcBorders>
            <w:vAlign w:val="center"/>
          </w:tcPr>
          <w:p w14:paraId="01E439CB">
            <w:pPr>
              <w:spacing w:line="360" w:lineRule="auto"/>
              <w:jc w:val="center"/>
              <w:rPr>
                <w:rFonts w:ascii="宋体" w:hAnsi="宋体" w:cs="宋体"/>
                <w:sz w:val="24"/>
              </w:rPr>
            </w:pP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期</w:t>
            </w:r>
          </w:p>
        </w:tc>
        <w:tc>
          <w:tcPr>
            <w:tcW w:w="5240" w:type="dxa"/>
            <w:tcBorders>
              <w:top w:val="single" w:color="000000" w:sz="4" w:space="0"/>
              <w:left w:val="single" w:color="000000" w:sz="4" w:space="0"/>
              <w:bottom w:val="single" w:color="000000" w:sz="4" w:space="0"/>
              <w:right w:val="single" w:color="000000" w:sz="4" w:space="0"/>
            </w:tcBorders>
            <w:vAlign w:val="center"/>
          </w:tcPr>
          <w:p w14:paraId="1D42C5A1">
            <w:pPr>
              <w:spacing w:line="360" w:lineRule="auto"/>
              <w:jc w:val="center"/>
              <w:rPr>
                <w:rFonts w:ascii="宋体" w:hAnsi="宋体" w:cs="宋体"/>
                <w:sz w:val="24"/>
              </w:rPr>
            </w:pPr>
          </w:p>
        </w:tc>
      </w:tr>
      <w:tr w14:paraId="1CBE3A15">
        <w:tblPrEx>
          <w:tblCellMar>
            <w:top w:w="0" w:type="dxa"/>
            <w:left w:w="108" w:type="dxa"/>
            <w:bottom w:w="0" w:type="dxa"/>
            <w:right w:w="108" w:type="dxa"/>
          </w:tblCellMar>
        </w:tblPrEx>
        <w:trPr>
          <w:trHeight w:val="1531" w:hRule="atLeast"/>
          <w:jc w:val="center"/>
        </w:trPr>
        <w:tc>
          <w:tcPr>
            <w:tcW w:w="3855" w:type="dxa"/>
            <w:tcBorders>
              <w:top w:val="single" w:color="000000" w:sz="4" w:space="0"/>
              <w:left w:val="single" w:color="000000" w:sz="4" w:space="0"/>
              <w:bottom w:val="single" w:color="000000" w:sz="4" w:space="0"/>
            </w:tcBorders>
            <w:vAlign w:val="center"/>
          </w:tcPr>
          <w:p w14:paraId="642AFEB8">
            <w:pPr>
              <w:spacing w:line="360" w:lineRule="auto"/>
              <w:jc w:val="center"/>
              <w:rPr>
                <w:rFonts w:ascii="宋体" w:hAnsi="宋体" w:cs="宋体"/>
                <w:sz w:val="24"/>
              </w:rPr>
            </w:pPr>
            <w:r>
              <w:rPr>
                <w:rFonts w:hint="eastAsia" w:ascii="宋体" w:hAnsi="宋体" w:cs="宋体"/>
                <w:sz w:val="24"/>
              </w:rPr>
              <w:t>备注</w:t>
            </w:r>
          </w:p>
        </w:tc>
        <w:tc>
          <w:tcPr>
            <w:tcW w:w="5240" w:type="dxa"/>
            <w:tcBorders>
              <w:top w:val="single" w:color="000000" w:sz="4" w:space="0"/>
              <w:left w:val="single" w:color="000000" w:sz="4" w:space="0"/>
              <w:bottom w:val="single" w:color="000000" w:sz="4" w:space="0"/>
              <w:right w:val="single" w:color="000000" w:sz="4" w:space="0"/>
            </w:tcBorders>
            <w:vAlign w:val="center"/>
          </w:tcPr>
          <w:p w14:paraId="6F862033">
            <w:pPr>
              <w:spacing w:line="360" w:lineRule="auto"/>
              <w:jc w:val="center"/>
              <w:rPr>
                <w:rFonts w:ascii="宋体" w:hAnsi="宋体" w:cs="宋体"/>
                <w:sz w:val="24"/>
              </w:rPr>
            </w:pPr>
          </w:p>
        </w:tc>
      </w:tr>
    </w:tbl>
    <w:p w14:paraId="0E0EE32E">
      <w:pPr>
        <w:spacing w:line="360" w:lineRule="auto"/>
        <w:rPr>
          <w:rFonts w:ascii="宋体" w:hAnsi="宋体" w:cs="宋体"/>
          <w:sz w:val="24"/>
        </w:rPr>
      </w:pPr>
      <w:r>
        <w:rPr>
          <w:rFonts w:hint="eastAsia" w:ascii="宋体" w:hAnsi="宋体" w:cs="宋体"/>
          <w:sz w:val="24"/>
        </w:rPr>
        <w:t>备注：</w:t>
      </w:r>
    </w:p>
    <w:p w14:paraId="28926C3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磋商</w:t>
      </w:r>
      <w:r>
        <w:rPr>
          <w:rFonts w:hint="eastAsia" w:ascii="宋体" w:hAnsi="宋体" w:cs="宋体"/>
          <w:color w:val="auto"/>
          <w:sz w:val="24"/>
          <w:highlight w:val="none"/>
          <w:lang w:eastAsia="zh-CN"/>
        </w:rPr>
        <w:t>总</w:t>
      </w:r>
      <w:r>
        <w:rPr>
          <w:rFonts w:hint="eastAsia" w:ascii="宋体" w:hAnsi="宋体" w:eastAsia="宋体" w:cs="宋体"/>
          <w:color w:val="auto"/>
          <w:sz w:val="24"/>
          <w:highlight w:val="none"/>
        </w:rPr>
        <w:t>报价包括但不限于指项目完成并经验收合格的所有费用，包括项目费用、国家按现行税收政策征收的一切税费等。以磋商文件的内容和要求作为依据；</w:t>
      </w:r>
    </w:p>
    <w:p w14:paraId="2F1EF51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供应商总报价不得高于项目</w:t>
      </w:r>
      <w:r>
        <w:rPr>
          <w:rFonts w:hint="eastAsia" w:ascii="宋体" w:hAnsi="宋体" w:eastAsia="宋体" w:cs="宋体"/>
          <w:color w:val="auto"/>
          <w:sz w:val="24"/>
          <w:highlight w:val="none"/>
          <w:lang w:eastAsia="zh-CN"/>
        </w:rPr>
        <w:t>预算</w:t>
      </w:r>
      <w:r>
        <w:rPr>
          <w:rFonts w:hint="eastAsia" w:ascii="宋体" w:hAnsi="宋体" w:eastAsia="宋体" w:cs="宋体"/>
          <w:color w:val="auto"/>
          <w:sz w:val="24"/>
          <w:highlight w:val="none"/>
        </w:rPr>
        <w:t>，否则其响应文件将无效。</w:t>
      </w:r>
    </w:p>
    <w:p w14:paraId="6DFDF68E">
      <w:pPr>
        <w:spacing w:line="360" w:lineRule="auto"/>
        <w:rPr>
          <w:rFonts w:hint="eastAsia" w:ascii="宋体" w:hAnsi="宋体" w:cs="宋体"/>
          <w:color w:val="000000"/>
          <w:sz w:val="24"/>
        </w:rPr>
      </w:pPr>
    </w:p>
    <w:bookmarkEnd w:id="66"/>
    <w:p w14:paraId="490CB4E2">
      <w:pPr>
        <w:spacing w:after="480" w:line="200" w:lineRule="atLeast"/>
        <w:ind w:left="1260" w:leftChars="600" w:firstLine="3360" w:firstLineChars="1400"/>
        <w:jc w:val="left"/>
        <w:rPr>
          <w:rFonts w:ascii="宋体" w:hAnsi="宋体" w:cs="宋体"/>
          <w:color w:val="000000" w:themeColor="text1"/>
          <w:sz w:val="24"/>
          <w14:textFill>
            <w14:solidFill>
              <w14:schemeClr w14:val="tx1"/>
            </w14:solidFill>
          </w14:textFill>
        </w:rPr>
      </w:pPr>
      <w:bookmarkStart w:id="71" w:name="_Toc494096893"/>
      <w:r>
        <w:rPr>
          <w:rFonts w:hint="eastAsia" w:ascii="宋体" w:hAnsi="宋体" w:cs="宋体"/>
          <w:color w:val="000000" w:themeColor="text1"/>
          <w:sz w:val="24"/>
          <w14:textFill>
            <w14:solidFill>
              <w14:schemeClr w14:val="tx1"/>
            </w14:solidFill>
          </w14:textFill>
        </w:rPr>
        <w:t>供应商名称：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（公章）</w:t>
      </w:r>
    </w:p>
    <w:p w14:paraId="26EA53DE">
      <w:pPr>
        <w:spacing w:after="480" w:line="200" w:lineRule="atLeast"/>
        <w:ind w:left="1260" w:leftChars="600" w:firstLine="3360" w:firstLineChars="14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w:t>
      </w:r>
    </w:p>
    <w:p w14:paraId="1C89E786">
      <w:pPr>
        <w:spacing w:after="480" w:line="200" w:lineRule="atLeast"/>
        <w:ind w:left="1260" w:leftChars="600" w:firstLine="3360" w:firstLineChars="14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或被授权人：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(签字或盖章)</w:t>
      </w:r>
    </w:p>
    <w:p w14:paraId="52B496E8">
      <w:pPr>
        <w:spacing w:before="480" w:line="200" w:lineRule="atLeast"/>
        <w:ind w:left="1260" w:leftChars="600" w:firstLine="3360" w:firstLineChars="14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039AA6BD">
      <w:pPr>
        <w:rPr>
          <w:rFonts w:ascii="宋体" w:hAnsi="宋体" w:cs="宋体"/>
          <w:b/>
          <w:bCs/>
          <w:color w:val="000000"/>
          <w:sz w:val="32"/>
          <w:szCs w:val="32"/>
        </w:rPr>
      </w:pPr>
      <w:r>
        <w:rPr>
          <w:rFonts w:hint="eastAsia" w:ascii="宋体" w:hAnsi="宋体" w:cs="宋体"/>
          <w:color w:val="000000" w:themeColor="text1"/>
          <w:sz w:val="24"/>
          <w14:textFill>
            <w14:solidFill>
              <w14:schemeClr w14:val="tx1"/>
            </w14:solidFill>
          </w14:textFill>
        </w:rPr>
        <w:br w:type="page"/>
      </w:r>
    </w:p>
    <w:p w14:paraId="6FAC25D7">
      <w:pPr>
        <w:pStyle w:val="2"/>
        <w:jc w:val="center"/>
        <w:rPr>
          <w:rFonts w:hint="eastAsia" w:ascii="宋体" w:hAnsi="宋体" w:cs="宋体"/>
          <w:b/>
          <w:bCs/>
          <w:color w:val="000000"/>
          <w:sz w:val="32"/>
          <w:szCs w:val="32"/>
          <w:highlight w:val="none"/>
        </w:rPr>
      </w:pPr>
      <w:r>
        <w:rPr>
          <w:rFonts w:hint="eastAsia" w:ascii="宋体" w:hAnsi="宋体" w:cs="宋体"/>
          <w:b/>
          <w:bCs/>
          <w:color w:val="000000"/>
          <w:sz w:val="32"/>
          <w:szCs w:val="32"/>
          <w:highlight w:val="none"/>
        </w:rPr>
        <w:t>分项报价表</w:t>
      </w:r>
    </w:p>
    <w:p w14:paraId="5F5E3678">
      <w:pPr>
        <w:pStyle w:val="2"/>
        <w:jc w:val="left"/>
        <w:rPr>
          <w:rFonts w:hint="eastAsia" w:ascii="宋体" w:hAnsi="宋体" w:eastAsia="宋体" w:cs="宋体"/>
          <w:b/>
          <w:bCs/>
          <w:color w:val="000000"/>
          <w:sz w:val="32"/>
          <w:szCs w:val="32"/>
          <w:highlight w:val="none"/>
          <w:lang w:eastAsia="zh-CN"/>
        </w:rPr>
      </w:pPr>
      <w:r>
        <w:rPr>
          <w:rFonts w:hint="eastAsia" w:ascii="宋体" w:hAnsi="宋体" w:cs="宋体"/>
          <w:b/>
          <w:bCs/>
          <w:color w:val="000000"/>
          <w:sz w:val="32"/>
          <w:szCs w:val="32"/>
          <w:highlight w:val="none"/>
          <w:lang w:eastAsia="zh-CN"/>
        </w:rPr>
        <w:t>格式自拟</w:t>
      </w:r>
    </w:p>
    <w:p w14:paraId="3239C985">
      <w:pPr>
        <w:pStyle w:val="2"/>
        <w:jc w:val="center"/>
        <w:rPr>
          <w:rFonts w:hint="eastAsia"/>
          <w:highlight w:val="none"/>
        </w:rPr>
      </w:pPr>
    </w:p>
    <w:p w14:paraId="203A8787">
      <w:pPr>
        <w:pStyle w:val="2"/>
        <w:jc w:val="center"/>
        <w:rPr>
          <w:rFonts w:hint="eastAsia"/>
        </w:rPr>
      </w:pPr>
    </w:p>
    <w:p w14:paraId="30111022">
      <w:pPr>
        <w:pStyle w:val="2"/>
        <w:jc w:val="center"/>
        <w:rPr>
          <w:rFonts w:hint="eastAsia"/>
        </w:rPr>
      </w:pPr>
    </w:p>
    <w:p w14:paraId="016CA212">
      <w:pPr>
        <w:pStyle w:val="2"/>
        <w:jc w:val="center"/>
        <w:rPr>
          <w:rFonts w:hint="eastAsia"/>
        </w:rPr>
      </w:pPr>
    </w:p>
    <w:p w14:paraId="6305241F">
      <w:pPr>
        <w:pStyle w:val="2"/>
        <w:jc w:val="center"/>
        <w:rPr>
          <w:rFonts w:hint="eastAsia"/>
        </w:rPr>
      </w:pPr>
    </w:p>
    <w:p w14:paraId="04530E35">
      <w:pPr>
        <w:pStyle w:val="2"/>
        <w:jc w:val="center"/>
        <w:rPr>
          <w:rFonts w:hint="eastAsia"/>
        </w:rPr>
      </w:pPr>
    </w:p>
    <w:p w14:paraId="2A461C1D">
      <w:pPr>
        <w:pStyle w:val="2"/>
        <w:jc w:val="center"/>
        <w:rPr>
          <w:rFonts w:hint="eastAsia"/>
        </w:rPr>
      </w:pPr>
    </w:p>
    <w:p w14:paraId="6ED78CE9">
      <w:pPr>
        <w:pStyle w:val="2"/>
        <w:jc w:val="center"/>
        <w:rPr>
          <w:rFonts w:hint="eastAsia"/>
        </w:rPr>
      </w:pPr>
    </w:p>
    <w:p w14:paraId="5631A97D">
      <w:pPr>
        <w:pStyle w:val="2"/>
        <w:jc w:val="center"/>
        <w:rPr>
          <w:rFonts w:hint="eastAsia"/>
        </w:rPr>
      </w:pPr>
    </w:p>
    <w:p w14:paraId="734CFEA5">
      <w:pPr>
        <w:pStyle w:val="2"/>
        <w:jc w:val="center"/>
        <w:rPr>
          <w:rFonts w:hint="eastAsia"/>
        </w:rPr>
      </w:pPr>
    </w:p>
    <w:p w14:paraId="18B7A649">
      <w:pPr>
        <w:keepNext w:val="0"/>
        <w:keepLines w:val="0"/>
        <w:pageBreakBefore w:val="0"/>
        <w:widowControl w:val="0"/>
        <w:kinsoku/>
        <w:wordWrap/>
        <w:overflowPunct/>
        <w:topLinePunct w:val="0"/>
        <w:autoSpaceDE/>
        <w:autoSpaceDN/>
        <w:bidi w:val="0"/>
        <w:adjustRightInd/>
        <w:snapToGrid/>
        <w:spacing w:after="480" w:line="200" w:lineRule="atLeast"/>
        <w:ind w:left="1260" w:leftChars="600" w:firstLine="3720" w:firstLineChars="155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（公章）</w:t>
      </w:r>
    </w:p>
    <w:p w14:paraId="7330E12E">
      <w:pPr>
        <w:keepNext w:val="0"/>
        <w:keepLines w:val="0"/>
        <w:pageBreakBefore w:val="0"/>
        <w:widowControl w:val="0"/>
        <w:kinsoku/>
        <w:wordWrap/>
        <w:overflowPunct/>
        <w:topLinePunct w:val="0"/>
        <w:autoSpaceDE/>
        <w:autoSpaceDN/>
        <w:bidi w:val="0"/>
        <w:adjustRightInd/>
        <w:snapToGrid/>
        <w:spacing w:after="480" w:line="200" w:lineRule="atLeast"/>
        <w:ind w:left="1260" w:leftChars="600" w:firstLine="3720" w:firstLineChars="1550"/>
        <w:jc w:val="left"/>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w:t>
      </w:r>
    </w:p>
    <w:p w14:paraId="690AA4B2">
      <w:pPr>
        <w:keepNext w:val="0"/>
        <w:keepLines w:val="0"/>
        <w:pageBreakBefore w:val="0"/>
        <w:widowControl w:val="0"/>
        <w:kinsoku/>
        <w:wordWrap/>
        <w:overflowPunct/>
        <w:topLinePunct w:val="0"/>
        <w:autoSpaceDE/>
        <w:autoSpaceDN/>
        <w:bidi w:val="0"/>
        <w:adjustRightInd/>
        <w:snapToGrid/>
        <w:spacing w:after="480" w:line="200" w:lineRule="atLeast"/>
        <w:ind w:left="1260" w:leftChars="600" w:firstLine="3720" w:firstLineChars="155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或被授权人：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(签字或盖章)</w:t>
      </w:r>
    </w:p>
    <w:p w14:paraId="7BB7CFC4">
      <w:pPr>
        <w:keepNext w:val="0"/>
        <w:keepLines w:val="0"/>
        <w:pageBreakBefore w:val="0"/>
        <w:widowControl w:val="0"/>
        <w:kinsoku/>
        <w:wordWrap/>
        <w:overflowPunct/>
        <w:topLinePunct w:val="0"/>
        <w:autoSpaceDE/>
        <w:autoSpaceDN/>
        <w:bidi w:val="0"/>
        <w:adjustRightInd/>
        <w:snapToGrid/>
        <w:spacing w:before="480" w:line="200" w:lineRule="atLeast"/>
        <w:ind w:left="1260" w:leftChars="600" w:firstLine="3720" w:firstLineChars="1550"/>
        <w:jc w:val="left"/>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302C5BAF">
      <w:pPr>
        <w:pStyle w:val="2"/>
        <w:jc w:val="center"/>
        <w:rPr>
          <w:rFonts w:hint="eastAsia"/>
        </w:rPr>
      </w:pPr>
    </w:p>
    <w:p w14:paraId="33596148">
      <w:pPr>
        <w:pStyle w:val="2"/>
        <w:jc w:val="center"/>
        <w:rPr>
          <w:rFonts w:hint="eastAsia"/>
        </w:rPr>
      </w:pPr>
    </w:p>
    <w:p w14:paraId="2B8C5A63">
      <w:pPr>
        <w:pStyle w:val="2"/>
        <w:jc w:val="center"/>
        <w:rPr>
          <w:rFonts w:hint="eastAsia"/>
        </w:rPr>
      </w:pPr>
    </w:p>
    <w:p w14:paraId="18FFA933">
      <w:pPr>
        <w:pStyle w:val="2"/>
        <w:jc w:val="center"/>
      </w:pPr>
      <w:r>
        <w:rPr>
          <w:rFonts w:hint="eastAsia"/>
        </w:rPr>
        <w:br w:type="page"/>
      </w:r>
    </w:p>
    <w:p w14:paraId="6243169A">
      <w:pPr>
        <w:spacing w:line="360" w:lineRule="auto"/>
        <w:jc w:val="center"/>
        <w:outlineLvl w:val="1"/>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五、</w:t>
      </w:r>
      <w:r>
        <w:rPr>
          <w:rFonts w:hint="eastAsia" w:ascii="宋体" w:hAnsi="宋体" w:eastAsia="宋体" w:cs="宋体"/>
          <w:b/>
          <w:bCs/>
          <w:color w:val="auto"/>
          <w:sz w:val="32"/>
          <w:szCs w:val="32"/>
          <w:highlight w:val="none"/>
        </w:rPr>
        <w:t>服务需求响应表</w:t>
      </w:r>
    </w:p>
    <w:p w14:paraId="55F97D5B">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陕西省公安厅寄递物流业治安管理信息系统运维项目</w:t>
      </w:r>
    </w:p>
    <w:p w14:paraId="584C7D48">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项目编号：</w:t>
      </w:r>
      <w:r>
        <w:rPr>
          <w:rFonts w:hint="eastAsia" w:ascii="宋体" w:hAnsi="宋体" w:cs="宋体"/>
          <w:color w:val="auto"/>
          <w:sz w:val="24"/>
          <w:highlight w:val="none"/>
          <w:lang w:val="en-US" w:eastAsia="zh-CN"/>
        </w:rPr>
        <w:t>HSGJ2025-181</w:t>
      </w:r>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1"/>
        <w:gridCol w:w="2264"/>
        <w:gridCol w:w="2264"/>
        <w:gridCol w:w="2608"/>
        <w:gridCol w:w="1641"/>
      </w:tblGrid>
      <w:tr w14:paraId="19A5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588" w:type="pct"/>
            <w:noWrap w:val="0"/>
            <w:vAlign w:val="center"/>
          </w:tcPr>
          <w:p w14:paraId="7E66E05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137" w:type="pct"/>
            <w:noWrap w:val="0"/>
            <w:vAlign w:val="center"/>
          </w:tcPr>
          <w:p w14:paraId="2FCF8F1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内容</w:t>
            </w:r>
          </w:p>
        </w:tc>
        <w:tc>
          <w:tcPr>
            <w:tcW w:w="1137" w:type="pct"/>
            <w:noWrap w:val="0"/>
            <w:vAlign w:val="center"/>
          </w:tcPr>
          <w:p w14:paraId="3C89F51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竞争性磋商文件的规范要求</w:t>
            </w:r>
          </w:p>
        </w:tc>
        <w:tc>
          <w:tcPr>
            <w:tcW w:w="1310" w:type="pct"/>
            <w:noWrap w:val="0"/>
            <w:vAlign w:val="center"/>
          </w:tcPr>
          <w:p w14:paraId="77422C2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响应文件对应规范</w:t>
            </w:r>
          </w:p>
        </w:tc>
        <w:tc>
          <w:tcPr>
            <w:tcW w:w="824" w:type="pct"/>
            <w:noWrap w:val="0"/>
            <w:vAlign w:val="center"/>
          </w:tcPr>
          <w:p w14:paraId="2CA8638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035A9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88" w:type="pct"/>
            <w:noWrap w:val="0"/>
            <w:vAlign w:val="center"/>
          </w:tcPr>
          <w:p w14:paraId="1E375476">
            <w:pPr>
              <w:pStyle w:val="19"/>
              <w:ind w:firstLine="240"/>
              <w:rPr>
                <w:rFonts w:hint="eastAsia" w:ascii="宋体" w:hAnsi="宋体" w:eastAsia="宋体" w:cs="宋体"/>
                <w:color w:val="auto"/>
                <w:highlight w:val="none"/>
                <w:u w:val="single"/>
              </w:rPr>
            </w:pPr>
          </w:p>
        </w:tc>
        <w:tc>
          <w:tcPr>
            <w:tcW w:w="1137" w:type="pct"/>
            <w:noWrap w:val="0"/>
            <w:vAlign w:val="center"/>
          </w:tcPr>
          <w:p w14:paraId="5E681353">
            <w:pPr>
              <w:pStyle w:val="19"/>
              <w:ind w:firstLine="240"/>
              <w:rPr>
                <w:rFonts w:hint="eastAsia" w:ascii="宋体" w:hAnsi="宋体" w:eastAsia="宋体" w:cs="宋体"/>
                <w:color w:val="auto"/>
                <w:highlight w:val="none"/>
                <w:u w:val="single"/>
              </w:rPr>
            </w:pPr>
          </w:p>
        </w:tc>
        <w:tc>
          <w:tcPr>
            <w:tcW w:w="1137" w:type="pct"/>
            <w:noWrap w:val="0"/>
            <w:vAlign w:val="center"/>
          </w:tcPr>
          <w:p w14:paraId="3A603D0B">
            <w:pPr>
              <w:pStyle w:val="19"/>
              <w:ind w:firstLine="240"/>
              <w:rPr>
                <w:rFonts w:hint="eastAsia" w:ascii="宋体" w:hAnsi="宋体" w:eastAsia="宋体" w:cs="宋体"/>
                <w:color w:val="auto"/>
                <w:highlight w:val="none"/>
                <w:u w:val="single"/>
              </w:rPr>
            </w:pPr>
          </w:p>
        </w:tc>
        <w:tc>
          <w:tcPr>
            <w:tcW w:w="1310" w:type="pct"/>
            <w:noWrap w:val="0"/>
            <w:vAlign w:val="center"/>
          </w:tcPr>
          <w:p w14:paraId="1789A874">
            <w:pPr>
              <w:pStyle w:val="19"/>
              <w:ind w:firstLine="240"/>
              <w:rPr>
                <w:rFonts w:hint="eastAsia" w:ascii="宋体" w:hAnsi="宋体" w:eastAsia="宋体" w:cs="宋体"/>
                <w:color w:val="auto"/>
                <w:highlight w:val="none"/>
                <w:u w:val="single"/>
              </w:rPr>
            </w:pPr>
          </w:p>
        </w:tc>
        <w:tc>
          <w:tcPr>
            <w:tcW w:w="824" w:type="pct"/>
            <w:noWrap w:val="0"/>
            <w:vAlign w:val="center"/>
          </w:tcPr>
          <w:p w14:paraId="46548723">
            <w:pPr>
              <w:pStyle w:val="19"/>
              <w:ind w:firstLine="240"/>
              <w:rPr>
                <w:rFonts w:hint="eastAsia" w:ascii="宋体" w:hAnsi="宋体" w:eastAsia="宋体" w:cs="宋体"/>
                <w:color w:val="auto"/>
                <w:highlight w:val="none"/>
                <w:u w:val="single"/>
              </w:rPr>
            </w:pPr>
          </w:p>
        </w:tc>
      </w:tr>
      <w:tr w14:paraId="4D061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88" w:type="pct"/>
            <w:noWrap w:val="0"/>
            <w:vAlign w:val="center"/>
          </w:tcPr>
          <w:p w14:paraId="5543FE1F">
            <w:pPr>
              <w:pStyle w:val="19"/>
              <w:ind w:firstLine="240"/>
              <w:rPr>
                <w:rFonts w:hint="eastAsia" w:ascii="宋体" w:hAnsi="宋体" w:eastAsia="宋体" w:cs="宋体"/>
                <w:color w:val="auto"/>
                <w:highlight w:val="none"/>
                <w:u w:val="single"/>
              </w:rPr>
            </w:pPr>
          </w:p>
        </w:tc>
        <w:tc>
          <w:tcPr>
            <w:tcW w:w="1137" w:type="pct"/>
            <w:noWrap w:val="0"/>
            <w:vAlign w:val="center"/>
          </w:tcPr>
          <w:p w14:paraId="6E80CE62">
            <w:pPr>
              <w:pStyle w:val="19"/>
              <w:ind w:firstLine="240"/>
              <w:rPr>
                <w:rFonts w:hint="eastAsia" w:ascii="宋体" w:hAnsi="宋体" w:eastAsia="宋体" w:cs="宋体"/>
                <w:color w:val="auto"/>
                <w:highlight w:val="none"/>
                <w:u w:val="single"/>
              </w:rPr>
            </w:pPr>
          </w:p>
        </w:tc>
        <w:tc>
          <w:tcPr>
            <w:tcW w:w="1137" w:type="pct"/>
            <w:noWrap w:val="0"/>
            <w:vAlign w:val="center"/>
          </w:tcPr>
          <w:p w14:paraId="5DC7EBFB">
            <w:pPr>
              <w:pStyle w:val="19"/>
              <w:ind w:firstLine="240"/>
              <w:rPr>
                <w:rFonts w:hint="eastAsia" w:ascii="宋体" w:hAnsi="宋体" w:eastAsia="宋体" w:cs="宋体"/>
                <w:color w:val="auto"/>
                <w:highlight w:val="none"/>
                <w:u w:val="single"/>
              </w:rPr>
            </w:pPr>
          </w:p>
        </w:tc>
        <w:tc>
          <w:tcPr>
            <w:tcW w:w="1310" w:type="pct"/>
            <w:noWrap w:val="0"/>
            <w:vAlign w:val="center"/>
          </w:tcPr>
          <w:p w14:paraId="7A15E62E">
            <w:pPr>
              <w:pStyle w:val="19"/>
              <w:ind w:firstLine="240"/>
              <w:rPr>
                <w:rFonts w:hint="eastAsia" w:ascii="宋体" w:hAnsi="宋体" w:eastAsia="宋体" w:cs="宋体"/>
                <w:color w:val="auto"/>
                <w:highlight w:val="none"/>
                <w:u w:val="single"/>
              </w:rPr>
            </w:pPr>
          </w:p>
        </w:tc>
        <w:tc>
          <w:tcPr>
            <w:tcW w:w="824" w:type="pct"/>
            <w:noWrap w:val="0"/>
            <w:vAlign w:val="center"/>
          </w:tcPr>
          <w:p w14:paraId="7338EB42">
            <w:pPr>
              <w:pStyle w:val="19"/>
              <w:ind w:firstLine="240"/>
              <w:rPr>
                <w:rFonts w:hint="eastAsia" w:ascii="宋体" w:hAnsi="宋体" w:eastAsia="宋体" w:cs="宋体"/>
                <w:color w:val="auto"/>
                <w:highlight w:val="none"/>
                <w:u w:val="single"/>
              </w:rPr>
            </w:pPr>
          </w:p>
        </w:tc>
      </w:tr>
      <w:tr w14:paraId="4EBD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88" w:type="pct"/>
            <w:noWrap w:val="0"/>
            <w:vAlign w:val="center"/>
          </w:tcPr>
          <w:p w14:paraId="34BA7FA5">
            <w:pPr>
              <w:pStyle w:val="19"/>
              <w:ind w:firstLine="240"/>
              <w:rPr>
                <w:rFonts w:hint="eastAsia" w:ascii="宋体" w:hAnsi="宋体" w:eastAsia="宋体" w:cs="宋体"/>
                <w:color w:val="auto"/>
                <w:highlight w:val="none"/>
                <w:u w:val="single"/>
              </w:rPr>
            </w:pPr>
          </w:p>
        </w:tc>
        <w:tc>
          <w:tcPr>
            <w:tcW w:w="1137" w:type="pct"/>
            <w:noWrap w:val="0"/>
            <w:vAlign w:val="center"/>
          </w:tcPr>
          <w:p w14:paraId="787E5F81">
            <w:pPr>
              <w:pStyle w:val="19"/>
              <w:ind w:firstLine="240"/>
              <w:rPr>
                <w:rFonts w:hint="eastAsia" w:ascii="宋体" w:hAnsi="宋体" w:eastAsia="宋体" w:cs="宋体"/>
                <w:color w:val="auto"/>
                <w:highlight w:val="none"/>
                <w:u w:val="single"/>
              </w:rPr>
            </w:pPr>
          </w:p>
        </w:tc>
        <w:tc>
          <w:tcPr>
            <w:tcW w:w="1137" w:type="pct"/>
            <w:noWrap w:val="0"/>
            <w:vAlign w:val="center"/>
          </w:tcPr>
          <w:p w14:paraId="744AF21E">
            <w:pPr>
              <w:pStyle w:val="19"/>
              <w:ind w:firstLine="240"/>
              <w:rPr>
                <w:rFonts w:hint="eastAsia" w:ascii="宋体" w:hAnsi="宋体" w:eastAsia="宋体" w:cs="宋体"/>
                <w:color w:val="auto"/>
                <w:highlight w:val="none"/>
                <w:u w:val="single"/>
              </w:rPr>
            </w:pPr>
          </w:p>
        </w:tc>
        <w:tc>
          <w:tcPr>
            <w:tcW w:w="1310" w:type="pct"/>
            <w:noWrap w:val="0"/>
            <w:vAlign w:val="center"/>
          </w:tcPr>
          <w:p w14:paraId="067DEBC0">
            <w:pPr>
              <w:pStyle w:val="19"/>
              <w:ind w:firstLine="240"/>
              <w:rPr>
                <w:rFonts w:hint="eastAsia" w:ascii="宋体" w:hAnsi="宋体" w:eastAsia="宋体" w:cs="宋体"/>
                <w:color w:val="auto"/>
                <w:highlight w:val="none"/>
                <w:u w:val="single"/>
              </w:rPr>
            </w:pPr>
          </w:p>
        </w:tc>
        <w:tc>
          <w:tcPr>
            <w:tcW w:w="824" w:type="pct"/>
            <w:noWrap w:val="0"/>
            <w:vAlign w:val="center"/>
          </w:tcPr>
          <w:p w14:paraId="1B7358D2">
            <w:pPr>
              <w:pStyle w:val="19"/>
              <w:ind w:firstLine="240"/>
              <w:rPr>
                <w:rFonts w:hint="eastAsia" w:ascii="宋体" w:hAnsi="宋体" w:eastAsia="宋体" w:cs="宋体"/>
                <w:color w:val="auto"/>
                <w:highlight w:val="none"/>
                <w:u w:val="single"/>
              </w:rPr>
            </w:pPr>
          </w:p>
        </w:tc>
      </w:tr>
      <w:tr w14:paraId="7FBA5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88" w:type="pct"/>
            <w:noWrap w:val="0"/>
            <w:vAlign w:val="center"/>
          </w:tcPr>
          <w:p w14:paraId="0A0E36CC">
            <w:pPr>
              <w:pStyle w:val="19"/>
              <w:ind w:firstLine="240"/>
              <w:rPr>
                <w:rFonts w:hint="eastAsia" w:ascii="宋体" w:hAnsi="宋体" w:eastAsia="宋体" w:cs="宋体"/>
                <w:color w:val="auto"/>
                <w:highlight w:val="none"/>
                <w:u w:val="single"/>
              </w:rPr>
            </w:pPr>
          </w:p>
        </w:tc>
        <w:tc>
          <w:tcPr>
            <w:tcW w:w="1137" w:type="pct"/>
            <w:noWrap w:val="0"/>
            <w:vAlign w:val="center"/>
          </w:tcPr>
          <w:p w14:paraId="4E1E9861">
            <w:pPr>
              <w:pStyle w:val="19"/>
              <w:ind w:firstLine="240"/>
              <w:rPr>
                <w:rFonts w:hint="eastAsia" w:ascii="宋体" w:hAnsi="宋体" w:eastAsia="宋体" w:cs="宋体"/>
                <w:color w:val="auto"/>
                <w:highlight w:val="none"/>
                <w:u w:val="single"/>
              </w:rPr>
            </w:pPr>
          </w:p>
        </w:tc>
        <w:tc>
          <w:tcPr>
            <w:tcW w:w="1137" w:type="pct"/>
            <w:noWrap w:val="0"/>
            <w:vAlign w:val="center"/>
          </w:tcPr>
          <w:p w14:paraId="6D5B5DC3">
            <w:pPr>
              <w:pStyle w:val="19"/>
              <w:ind w:firstLine="240"/>
              <w:rPr>
                <w:rFonts w:hint="eastAsia" w:ascii="宋体" w:hAnsi="宋体" w:eastAsia="宋体" w:cs="宋体"/>
                <w:color w:val="auto"/>
                <w:highlight w:val="none"/>
                <w:u w:val="single"/>
              </w:rPr>
            </w:pPr>
          </w:p>
        </w:tc>
        <w:tc>
          <w:tcPr>
            <w:tcW w:w="1310" w:type="pct"/>
            <w:noWrap w:val="0"/>
            <w:vAlign w:val="center"/>
          </w:tcPr>
          <w:p w14:paraId="0AA1EB5E">
            <w:pPr>
              <w:pStyle w:val="19"/>
              <w:ind w:firstLine="240"/>
              <w:rPr>
                <w:rFonts w:hint="eastAsia" w:ascii="宋体" w:hAnsi="宋体" w:eastAsia="宋体" w:cs="宋体"/>
                <w:color w:val="auto"/>
                <w:highlight w:val="none"/>
                <w:u w:val="single"/>
              </w:rPr>
            </w:pPr>
          </w:p>
        </w:tc>
        <w:tc>
          <w:tcPr>
            <w:tcW w:w="824" w:type="pct"/>
            <w:noWrap w:val="0"/>
            <w:vAlign w:val="center"/>
          </w:tcPr>
          <w:p w14:paraId="61EC5D15">
            <w:pPr>
              <w:pStyle w:val="19"/>
              <w:ind w:firstLine="240"/>
              <w:rPr>
                <w:rFonts w:hint="eastAsia" w:ascii="宋体" w:hAnsi="宋体" w:eastAsia="宋体" w:cs="宋体"/>
                <w:color w:val="auto"/>
                <w:highlight w:val="none"/>
                <w:u w:val="single"/>
              </w:rPr>
            </w:pPr>
          </w:p>
        </w:tc>
      </w:tr>
      <w:tr w14:paraId="61BA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88" w:type="pct"/>
            <w:noWrap w:val="0"/>
            <w:vAlign w:val="center"/>
          </w:tcPr>
          <w:p w14:paraId="6AB57F63">
            <w:pPr>
              <w:pStyle w:val="19"/>
              <w:ind w:firstLine="240"/>
              <w:rPr>
                <w:rFonts w:hint="eastAsia" w:ascii="宋体" w:hAnsi="宋体" w:eastAsia="宋体" w:cs="宋体"/>
                <w:color w:val="auto"/>
                <w:highlight w:val="none"/>
                <w:u w:val="single"/>
              </w:rPr>
            </w:pPr>
          </w:p>
        </w:tc>
        <w:tc>
          <w:tcPr>
            <w:tcW w:w="1137" w:type="pct"/>
            <w:noWrap w:val="0"/>
            <w:vAlign w:val="center"/>
          </w:tcPr>
          <w:p w14:paraId="398CCE22">
            <w:pPr>
              <w:pStyle w:val="19"/>
              <w:ind w:firstLine="240"/>
              <w:rPr>
                <w:rFonts w:hint="eastAsia" w:ascii="宋体" w:hAnsi="宋体" w:eastAsia="宋体" w:cs="宋体"/>
                <w:color w:val="auto"/>
                <w:highlight w:val="none"/>
                <w:u w:val="single"/>
              </w:rPr>
            </w:pPr>
          </w:p>
        </w:tc>
        <w:tc>
          <w:tcPr>
            <w:tcW w:w="1137" w:type="pct"/>
            <w:noWrap w:val="0"/>
            <w:vAlign w:val="center"/>
          </w:tcPr>
          <w:p w14:paraId="762AF862">
            <w:pPr>
              <w:pStyle w:val="19"/>
              <w:ind w:firstLine="240"/>
              <w:rPr>
                <w:rFonts w:hint="eastAsia" w:ascii="宋体" w:hAnsi="宋体" w:eastAsia="宋体" w:cs="宋体"/>
                <w:color w:val="auto"/>
                <w:highlight w:val="none"/>
                <w:u w:val="single"/>
              </w:rPr>
            </w:pPr>
          </w:p>
        </w:tc>
        <w:tc>
          <w:tcPr>
            <w:tcW w:w="1310" w:type="pct"/>
            <w:noWrap w:val="0"/>
            <w:vAlign w:val="center"/>
          </w:tcPr>
          <w:p w14:paraId="192B612B">
            <w:pPr>
              <w:pStyle w:val="19"/>
              <w:ind w:firstLine="240"/>
              <w:rPr>
                <w:rFonts w:hint="eastAsia" w:ascii="宋体" w:hAnsi="宋体" w:eastAsia="宋体" w:cs="宋体"/>
                <w:color w:val="auto"/>
                <w:highlight w:val="none"/>
                <w:u w:val="single"/>
              </w:rPr>
            </w:pPr>
          </w:p>
        </w:tc>
        <w:tc>
          <w:tcPr>
            <w:tcW w:w="824" w:type="pct"/>
            <w:noWrap w:val="0"/>
            <w:vAlign w:val="center"/>
          </w:tcPr>
          <w:p w14:paraId="4C9B3100">
            <w:pPr>
              <w:pStyle w:val="19"/>
              <w:ind w:firstLine="240"/>
              <w:rPr>
                <w:rFonts w:hint="eastAsia" w:ascii="宋体" w:hAnsi="宋体" w:eastAsia="宋体" w:cs="宋体"/>
                <w:color w:val="auto"/>
                <w:highlight w:val="none"/>
                <w:u w:val="single"/>
              </w:rPr>
            </w:pPr>
          </w:p>
        </w:tc>
      </w:tr>
    </w:tbl>
    <w:p w14:paraId="4F326DF2">
      <w:pPr>
        <w:pStyle w:val="1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47EEC5D2">
      <w:pPr>
        <w:pStyle w:val="11"/>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1.供应商须按照竞争性磋商文件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第三部分</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磋商</w:t>
      </w:r>
      <w:r>
        <w:rPr>
          <w:rFonts w:hint="eastAsia" w:ascii="宋体" w:hAnsi="宋体" w:eastAsia="宋体" w:cs="宋体"/>
          <w:color w:val="auto"/>
          <w:sz w:val="24"/>
          <w:highlight w:val="none"/>
          <w:lang w:eastAsia="zh-CN"/>
        </w:rPr>
        <w:t>要求及说明</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逐条完整填写响应表。供应商可根据项目情况自行增加内容项完善表格，表格不够用，可按此表复制。如果未完整填写响应表的各项内容则视作供应商已经对磋商文件相关要求和内容完全理解并同意，其报价为在此基础上的完全价格。</w:t>
      </w:r>
    </w:p>
    <w:p w14:paraId="29F35D66">
      <w:pPr>
        <w:pStyle w:val="11"/>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2.在采购人与成交供应商签订合同时，如成交供应商未在响应文件“服务需求响应表”中列出偏离说明，无论即将发生或已发生任何情形，均视为完全符合磋商文件要求，并写入合同。若成交供应商在合同签订前，以上述事项为借口而不履行合同签订手续及执行合同，则视作拒绝与采购人签订合同。</w:t>
      </w:r>
    </w:p>
    <w:p w14:paraId="2650F7F5">
      <w:pPr>
        <w:spacing w:after="480" w:line="360" w:lineRule="auto"/>
        <w:ind w:firstLine="3120" w:firstLineChars="1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公</w:t>
      </w:r>
      <w:r>
        <w:rPr>
          <w:rFonts w:hint="eastAsia" w:ascii="宋体" w:hAnsi="宋体" w:eastAsia="宋体" w:cs="宋体"/>
          <w:color w:val="auto"/>
          <w:sz w:val="24"/>
          <w:highlight w:val="none"/>
        </w:rPr>
        <w:t>章）</w:t>
      </w:r>
    </w:p>
    <w:p w14:paraId="70C8725A">
      <w:pPr>
        <w:spacing w:line="360" w:lineRule="auto"/>
        <w:ind w:firstLine="3120" w:firstLineChars="1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法定代表人或其授权代表：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(签字或盖章)</w:t>
      </w:r>
    </w:p>
    <w:p w14:paraId="1301E4F2">
      <w:pPr>
        <w:spacing w:before="480" w:line="360" w:lineRule="auto"/>
        <w:ind w:firstLine="3120" w:firstLineChars="1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12B9B2C">
      <w:pPr>
        <w:rPr>
          <w:rFonts w:hint="eastAsia" w:ascii="宋体" w:hAnsi="宋体" w:cs="宋体"/>
          <w:b/>
          <w:bCs/>
          <w:color w:val="000000"/>
          <w:sz w:val="32"/>
          <w:szCs w:val="32"/>
        </w:rPr>
      </w:pPr>
      <w:r>
        <w:rPr>
          <w:rFonts w:hint="eastAsia" w:ascii="宋体" w:hAnsi="宋体" w:cs="宋体"/>
          <w:b/>
          <w:bCs/>
          <w:color w:val="000000"/>
          <w:sz w:val="32"/>
          <w:szCs w:val="32"/>
        </w:rPr>
        <w:br w:type="page"/>
      </w:r>
    </w:p>
    <w:p w14:paraId="5F4BC7F0">
      <w:pPr>
        <w:jc w:val="center"/>
        <w:outlineLvl w:val="1"/>
        <w:rPr>
          <w:rFonts w:hint="eastAsia" w:ascii="宋体" w:hAnsi="宋体" w:eastAsia="宋体" w:cs="宋体"/>
          <w:color w:val="auto"/>
          <w:sz w:val="32"/>
          <w:szCs w:val="32"/>
          <w:highlight w:val="none"/>
        </w:rPr>
      </w:pPr>
      <w:r>
        <w:rPr>
          <w:rFonts w:hint="eastAsia" w:ascii="宋体" w:hAnsi="宋体" w:cs="宋体"/>
          <w:b/>
          <w:bCs/>
          <w:color w:val="000000"/>
          <w:sz w:val="32"/>
          <w:szCs w:val="32"/>
          <w:highlight w:val="none"/>
          <w:lang w:eastAsia="zh-CN"/>
        </w:rPr>
        <w:t>六</w:t>
      </w:r>
      <w:r>
        <w:rPr>
          <w:rFonts w:hint="eastAsia" w:ascii="宋体" w:hAnsi="宋体" w:cs="宋体"/>
          <w:b/>
          <w:bCs/>
          <w:color w:val="000000"/>
          <w:sz w:val="32"/>
          <w:szCs w:val="32"/>
          <w:highlight w:val="none"/>
        </w:rPr>
        <w:t>、</w:t>
      </w:r>
      <w:r>
        <w:rPr>
          <w:rFonts w:hint="eastAsia" w:ascii="宋体" w:hAnsi="宋体" w:eastAsia="宋体" w:cs="宋体"/>
          <w:b/>
          <w:bCs/>
          <w:color w:val="auto"/>
          <w:sz w:val="32"/>
          <w:szCs w:val="32"/>
          <w:highlight w:val="none"/>
        </w:rPr>
        <w:t>商务偏离表</w:t>
      </w:r>
    </w:p>
    <w:p w14:paraId="6C1CCC91">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陕西省公安厅寄递物流业治安管理信息系统运维项目</w:t>
      </w:r>
    </w:p>
    <w:p w14:paraId="1AE8BF06">
      <w:pPr>
        <w:spacing w:line="360" w:lineRule="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项目编号：</w:t>
      </w:r>
      <w:r>
        <w:rPr>
          <w:rFonts w:hint="eastAsia" w:ascii="宋体" w:hAnsi="宋体" w:cs="宋体"/>
          <w:color w:val="auto"/>
          <w:sz w:val="24"/>
          <w:highlight w:val="none"/>
          <w:lang w:val="en-US" w:eastAsia="zh-CN"/>
        </w:rPr>
        <w:t>HSGJ2025-181</w:t>
      </w:r>
    </w:p>
    <w:tbl>
      <w:tblPr>
        <w:tblStyle w:val="20"/>
        <w:tblW w:w="5014" w:type="pct"/>
        <w:jc w:val="center"/>
        <w:tblLayout w:type="autofit"/>
        <w:tblCellMar>
          <w:top w:w="0" w:type="dxa"/>
          <w:left w:w="0" w:type="dxa"/>
          <w:bottom w:w="0" w:type="dxa"/>
          <w:right w:w="0" w:type="dxa"/>
        </w:tblCellMar>
      </w:tblPr>
      <w:tblGrid>
        <w:gridCol w:w="1268"/>
        <w:gridCol w:w="3056"/>
        <w:gridCol w:w="2337"/>
        <w:gridCol w:w="1521"/>
        <w:gridCol w:w="1601"/>
      </w:tblGrid>
      <w:tr w14:paraId="720C3229">
        <w:tblPrEx>
          <w:tblCellMar>
            <w:top w:w="0" w:type="dxa"/>
            <w:left w:w="0" w:type="dxa"/>
            <w:bottom w:w="0" w:type="dxa"/>
            <w:right w:w="0" w:type="dxa"/>
          </w:tblCellMar>
        </w:tblPrEx>
        <w:trPr>
          <w:trHeight w:val="635" w:hRule="exact"/>
          <w:jc w:val="center"/>
        </w:trPr>
        <w:tc>
          <w:tcPr>
            <w:tcW w:w="648" w:type="pct"/>
            <w:tcBorders>
              <w:top w:val="single" w:color="000000" w:sz="6" w:space="0"/>
              <w:left w:val="single" w:color="000000" w:sz="6" w:space="0"/>
              <w:bottom w:val="single" w:color="000000" w:sz="6" w:space="0"/>
              <w:right w:val="single" w:color="000000" w:sz="6" w:space="0"/>
            </w:tcBorders>
            <w:noWrap w:val="0"/>
            <w:vAlign w:val="top"/>
          </w:tcPr>
          <w:p w14:paraId="359A5D57">
            <w:pPr>
              <w:pStyle w:val="32"/>
              <w:spacing w:before="161"/>
              <w:ind w:left="369"/>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序号</w:t>
            </w:r>
          </w:p>
        </w:tc>
        <w:tc>
          <w:tcPr>
            <w:tcW w:w="1561" w:type="pct"/>
            <w:tcBorders>
              <w:top w:val="single" w:color="000000" w:sz="6" w:space="0"/>
              <w:left w:val="single" w:color="000000" w:sz="6" w:space="0"/>
              <w:bottom w:val="single" w:color="000000" w:sz="6" w:space="0"/>
              <w:right w:val="single" w:color="000000" w:sz="6" w:space="0"/>
            </w:tcBorders>
            <w:noWrap w:val="0"/>
            <w:vAlign w:val="top"/>
          </w:tcPr>
          <w:p w14:paraId="4073CB05">
            <w:pPr>
              <w:pStyle w:val="32"/>
              <w:spacing w:before="161"/>
              <w:ind w:left="519"/>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磋商文件商务要求</w:t>
            </w:r>
          </w:p>
        </w:tc>
        <w:tc>
          <w:tcPr>
            <w:tcW w:w="1194" w:type="pct"/>
            <w:tcBorders>
              <w:top w:val="single" w:color="000000" w:sz="6" w:space="0"/>
              <w:left w:val="single" w:color="000000" w:sz="6" w:space="0"/>
              <w:bottom w:val="single" w:color="000000" w:sz="6" w:space="0"/>
              <w:right w:val="single" w:color="000000" w:sz="6" w:space="0"/>
            </w:tcBorders>
            <w:noWrap w:val="0"/>
            <w:vAlign w:val="top"/>
          </w:tcPr>
          <w:p w14:paraId="4A14BC87">
            <w:pPr>
              <w:pStyle w:val="32"/>
              <w:spacing w:before="161"/>
              <w:ind w:left="17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响应文件商务响应</w:t>
            </w:r>
          </w:p>
        </w:tc>
        <w:tc>
          <w:tcPr>
            <w:tcW w:w="777" w:type="pct"/>
            <w:tcBorders>
              <w:top w:val="single" w:color="000000" w:sz="6" w:space="0"/>
              <w:left w:val="single" w:color="000000" w:sz="6" w:space="0"/>
              <w:bottom w:val="single" w:color="000000" w:sz="6" w:space="0"/>
              <w:right w:val="single" w:color="000000" w:sz="6" w:space="0"/>
            </w:tcBorders>
            <w:noWrap w:val="0"/>
            <w:vAlign w:val="top"/>
          </w:tcPr>
          <w:p w14:paraId="1C1C5234">
            <w:pPr>
              <w:pStyle w:val="32"/>
              <w:spacing w:before="161"/>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偏离</w:t>
            </w:r>
          </w:p>
        </w:tc>
        <w:tc>
          <w:tcPr>
            <w:tcW w:w="818" w:type="pct"/>
            <w:tcBorders>
              <w:top w:val="single" w:color="000000" w:sz="6" w:space="0"/>
              <w:left w:val="single" w:color="000000" w:sz="6" w:space="0"/>
              <w:bottom w:val="single" w:color="000000" w:sz="6" w:space="0"/>
              <w:right w:val="single" w:color="000000" w:sz="6" w:space="0"/>
            </w:tcBorders>
            <w:noWrap w:val="0"/>
            <w:vAlign w:val="top"/>
          </w:tcPr>
          <w:p w14:paraId="1CC6FE93">
            <w:pPr>
              <w:pStyle w:val="32"/>
              <w:spacing w:before="161"/>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说明</w:t>
            </w:r>
          </w:p>
        </w:tc>
      </w:tr>
      <w:tr w14:paraId="0D207709">
        <w:tblPrEx>
          <w:tblCellMar>
            <w:top w:w="0" w:type="dxa"/>
            <w:left w:w="0" w:type="dxa"/>
            <w:bottom w:w="0" w:type="dxa"/>
            <w:right w:w="0" w:type="dxa"/>
          </w:tblCellMar>
        </w:tblPrEx>
        <w:trPr>
          <w:trHeight w:val="635" w:hRule="exact"/>
          <w:jc w:val="center"/>
        </w:trPr>
        <w:tc>
          <w:tcPr>
            <w:tcW w:w="648" w:type="pct"/>
            <w:tcBorders>
              <w:top w:val="single" w:color="000000" w:sz="6" w:space="0"/>
              <w:left w:val="single" w:color="000000" w:sz="6" w:space="0"/>
              <w:bottom w:val="single" w:color="000000" w:sz="6" w:space="0"/>
              <w:right w:val="single" w:color="000000" w:sz="6" w:space="0"/>
            </w:tcBorders>
            <w:noWrap w:val="0"/>
            <w:vAlign w:val="top"/>
          </w:tcPr>
          <w:p w14:paraId="4E8DA198">
            <w:pPr>
              <w:rPr>
                <w:rFonts w:hint="eastAsia" w:ascii="宋体" w:hAnsi="宋体" w:eastAsia="宋体" w:cs="宋体"/>
                <w:color w:val="auto"/>
                <w:highlight w:val="none"/>
              </w:rPr>
            </w:pPr>
          </w:p>
        </w:tc>
        <w:tc>
          <w:tcPr>
            <w:tcW w:w="1561" w:type="pct"/>
            <w:tcBorders>
              <w:top w:val="single" w:color="000000" w:sz="6" w:space="0"/>
              <w:left w:val="single" w:color="000000" w:sz="6" w:space="0"/>
              <w:bottom w:val="single" w:color="000000" w:sz="6" w:space="0"/>
              <w:right w:val="single" w:color="000000" w:sz="6" w:space="0"/>
            </w:tcBorders>
            <w:noWrap w:val="0"/>
            <w:vAlign w:val="top"/>
          </w:tcPr>
          <w:p w14:paraId="4F08A61F">
            <w:pPr>
              <w:rPr>
                <w:rFonts w:hint="eastAsia" w:ascii="宋体" w:hAnsi="宋体" w:eastAsia="宋体" w:cs="宋体"/>
                <w:color w:val="auto"/>
                <w:highlight w:val="none"/>
              </w:rPr>
            </w:pPr>
          </w:p>
        </w:tc>
        <w:tc>
          <w:tcPr>
            <w:tcW w:w="1194" w:type="pct"/>
            <w:tcBorders>
              <w:top w:val="single" w:color="000000" w:sz="6" w:space="0"/>
              <w:left w:val="single" w:color="000000" w:sz="6" w:space="0"/>
              <w:bottom w:val="single" w:color="000000" w:sz="6" w:space="0"/>
              <w:right w:val="single" w:color="000000" w:sz="6" w:space="0"/>
            </w:tcBorders>
            <w:noWrap w:val="0"/>
            <w:vAlign w:val="top"/>
          </w:tcPr>
          <w:p w14:paraId="555ABD87">
            <w:pPr>
              <w:rPr>
                <w:rFonts w:hint="eastAsia" w:ascii="宋体" w:hAnsi="宋体" w:eastAsia="宋体" w:cs="宋体"/>
                <w:color w:val="auto"/>
                <w:highlight w:val="none"/>
              </w:rPr>
            </w:pPr>
          </w:p>
        </w:tc>
        <w:tc>
          <w:tcPr>
            <w:tcW w:w="777" w:type="pct"/>
            <w:tcBorders>
              <w:top w:val="single" w:color="000000" w:sz="6" w:space="0"/>
              <w:left w:val="single" w:color="000000" w:sz="6" w:space="0"/>
              <w:bottom w:val="single" w:color="000000" w:sz="6" w:space="0"/>
              <w:right w:val="single" w:color="000000" w:sz="6" w:space="0"/>
            </w:tcBorders>
            <w:noWrap w:val="0"/>
            <w:vAlign w:val="top"/>
          </w:tcPr>
          <w:p w14:paraId="7ECF4AEE">
            <w:pPr>
              <w:rPr>
                <w:rFonts w:hint="eastAsia" w:ascii="宋体" w:hAnsi="宋体" w:eastAsia="宋体" w:cs="宋体"/>
                <w:color w:val="auto"/>
                <w:highlight w:val="none"/>
              </w:rPr>
            </w:pPr>
          </w:p>
        </w:tc>
        <w:tc>
          <w:tcPr>
            <w:tcW w:w="818" w:type="pct"/>
            <w:tcBorders>
              <w:top w:val="single" w:color="000000" w:sz="6" w:space="0"/>
              <w:left w:val="single" w:color="000000" w:sz="6" w:space="0"/>
              <w:bottom w:val="single" w:color="000000" w:sz="6" w:space="0"/>
              <w:right w:val="single" w:color="000000" w:sz="6" w:space="0"/>
            </w:tcBorders>
            <w:noWrap w:val="0"/>
            <w:vAlign w:val="top"/>
          </w:tcPr>
          <w:p w14:paraId="355E7514">
            <w:pPr>
              <w:rPr>
                <w:rFonts w:hint="eastAsia" w:ascii="宋体" w:hAnsi="宋体" w:eastAsia="宋体" w:cs="宋体"/>
                <w:color w:val="auto"/>
                <w:highlight w:val="none"/>
              </w:rPr>
            </w:pPr>
          </w:p>
        </w:tc>
      </w:tr>
      <w:tr w14:paraId="1FA812DC">
        <w:tblPrEx>
          <w:tblCellMar>
            <w:top w:w="0" w:type="dxa"/>
            <w:left w:w="0" w:type="dxa"/>
            <w:bottom w:w="0" w:type="dxa"/>
            <w:right w:w="0" w:type="dxa"/>
          </w:tblCellMar>
        </w:tblPrEx>
        <w:trPr>
          <w:trHeight w:val="635" w:hRule="exact"/>
          <w:jc w:val="center"/>
        </w:trPr>
        <w:tc>
          <w:tcPr>
            <w:tcW w:w="648" w:type="pct"/>
            <w:tcBorders>
              <w:top w:val="single" w:color="000000" w:sz="6" w:space="0"/>
              <w:left w:val="single" w:color="000000" w:sz="6" w:space="0"/>
              <w:bottom w:val="single" w:color="000000" w:sz="6" w:space="0"/>
              <w:right w:val="single" w:color="000000" w:sz="6" w:space="0"/>
            </w:tcBorders>
            <w:noWrap w:val="0"/>
            <w:vAlign w:val="top"/>
          </w:tcPr>
          <w:p w14:paraId="5D5832E3">
            <w:pPr>
              <w:rPr>
                <w:rFonts w:hint="eastAsia" w:ascii="宋体" w:hAnsi="宋体" w:eastAsia="宋体" w:cs="宋体"/>
                <w:color w:val="auto"/>
                <w:highlight w:val="none"/>
              </w:rPr>
            </w:pPr>
          </w:p>
        </w:tc>
        <w:tc>
          <w:tcPr>
            <w:tcW w:w="1561" w:type="pct"/>
            <w:tcBorders>
              <w:top w:val="single" w:color="000000" w:sz="6" w:space="0"/>
              <w:left w:val="single" w:color="000000" w:sz="6" w:space="0"/>
              <w:bottom w:val="single" w:color="000000" w:sz="6" w:space="0"/>
              <w:right w:val="single" w:color="000000" w:sz="6" w:space="0"/>
            </w:tcBorders>
            <w:noWrap w:val="0"/>
            <w:vAlign w:val="top"/>
          </w:tcPr>
          <w:p w14:paraId="3729A243">
            <w:pPr>
              <w:rPr>
                <w:rFonts w:hint="eastAsia" w:ascii="宋体" w:hAnsi="宋体" w:eastAsia="宋体" w:cs="宋体"/>
                <w:color w:val="auto"/>
                <w:highlight w:val="none"/>
              </w:rPr>
            </w:pPr>
          </w:p>
        </w:tc>
        <w:tc>
          <w:tcPr>
            <w:tcW w:w="1194" w:type="pct"/>
            <w:tcBorders>
              <w:top w:val="single" w:color="000000" w:sz="6" w:space="0"/>
              <w:left w:val="single" w:color="000000" w:sz="6" w:space="0"/>
              <w:bottom w:val="single" w:color="000000" w:sz="6" w:space="0"/>
              <w:right w:val="single" w:color="000000" w:sz="6" w:space="0"/>
            </w:tcBorders>
            <w:noWrap w:val="0"/>
            <w:vAlign w:val="top"/>
          </w:tcPr>
          <w:p w14:paraId="28B5FB2C">
            <w:pPr>
              <w:rPr>
                <w:rFonts w:hint="eastAsia" w:ascii="宋体" w:hAnsi="宋体" w:eastAsia="宋体" w:cs="宋体"/>
                <w:color w:val="auto"/>
                <w:highlight w:val="none"/>
              </w:rPr>
            </w:pPr>
          </w:p>
        </w:tc>
        <w:tc>
          <w:tcPr>
            <w:tcW w:w="777" w:type="pct"/>
            <w:tcBorders>
              <w:top w:val="single" w:color="000000" w:sz="6" w:space="0"/>
              <w:left w:val="single" w:color="000000" w:sz="6" w:space="0"/>
              <w:bottom w:val="single" w:color="000000" w:sz="6" w:space="0"/>
              <w:right w:val="single" w:color="000000" w:sz="6" w:space="0"/>
            </w:tcBorders>
            <w:noWrap w:val="0"/>
            <w:vAlign w:val="top"/>
          </w:tcPr>
          <w:p w14:paraId="142A747B">
            <w:pPr>
              <w:rPr>
                <w:rFonts w:hint="eastAsia" w:ascii="宋体" w:hAnsi="宋体" w:eastAsia="宋体" w:cs="宋体"/>
                <w:color w:val="auto"/>
                <w:highlight w:val="none"/>
              </w:rPr>
            </w:pPr>
          </w:p>
        </w:tc>
        <w:tc>
          <w:tcPr>
            <w:tcW w:w="818" w:type="pct"/>
            <w:tcBorders>
              <w:top w:val="single" w:color="000000" w:sz="6" w:space="0"/>
              <w:left w:val="single" w:color="000000" w:sz="6" w:space="0"/>
              <w:bottom w:val="single" w:color="000000" w:sz="6" w:space="0"/>
              <w:right w:val="single" w:color="000000" w:sz="6" w:space="0"/>
            </w:tcBorders>
            <w:noWrap w:val="0"/>
            <w:vAlign w:val="top"/>
          </w:tcPr>
          <w:p w14:paraId="45C78210">
            <w:pPr>
              <w:rPr>
                <w:rFonts w:hint="eastAsia" w:ascii="宋体" w:hAnsi="宋体" w:eastAsia="宋体" w:cs="宋体"/>
                <w:color w:val="auto"/>
                <w:highlight w:val="none"/>
              </w:rPr>
            </w:pPr>
          </w:p>
        </w:tc>
      </w:tr>
      <w:tr w14:paraId="4B5A3557">
        <w:tblPrEx>
          <w:tblCellMar>
            <w:top w:w="0" w:type="dxa"/>
            <w:left w:w="0" w:type="dxa"/>
            <w:bottom w:w="0" w:type="dxa"/>
            <w:right w:w="0" w:type="dxa"/>
          </w:tblCellMar>
        </w:tblPrEx>
        <w:trPr>
          <w:trHeight w:val="635" w:hRule="exact"/>
          <w:jc w:val="center"/>
        </w:trPr>
        <w:tc>
          <w:tcPr>
            <w:tcW w:w="648" w:type="pct"/>
            <w:tcBorders>
              <w:top w:val="single" w:color="000000" w:sz="6" w:space="0"/>
              <w:left w:val="single" w:color="000000" w:sz="6" w:space="0"/>
              <w:bottom w:val="single" w:color="000000" w:sz="6" w:space="0"/>
              <w:right w:val="single" w:color="000000" w:sz="6" w:space="0"/>
            </w:tcBorders>
            <w:noWrap w:val="0"/>
            <w:vAlign w:val="top"/>
          </w:tcPr>
          <w:p w14:paraId="25E05B65">
            <w:pPr>
              <w:rPr>
                <w:rFonts w:hint="eastAsia" w:ascii="宋体" w:hAnsi="宋体" w:eastAsia="宋体" w:cs="宋体"/>
                <w:color w:val="auto"/>
                <w:highlight w:val="none"/>
              </w:rPr>
            </w:pPr>
          </w:p>
        </w:tc>
        <w:tc>
          <w:tcPr>
            <w:tcW w:w="1561" w:type="pct"/>
            <w:tcBorders>
              <w:top w:val="single" w:color="000000" w:sz="6" w:space="0"/>
              <w:left w:val="single" w:color="000000" w:sz="6" w:space="0"/>
              <w:bottom w:val="single" w:color="000000" w:sz="6" w:space="0"/>
              <w:right w:val="single" w:color="000000" w:sz="6" w:space="0"/>
            </w:tcBorders>
            <w:noWrap w:val="0"/>
            <w:vAlign w:val="top"/>
          </w:tcPr>
          <w:p w14:paraId="641C2951">
            <w:pPr>
              <w:rPr>
                <w:rFonts w:hint="eastAsia" w:ascii="宋体" w:hAnsi="宋体" w:eastAsia="宋体" w:cs="宋体"/>
                <w:color w:val="auto"/>
                <w:highlight w:val="none"/>
              </w:rPr>
            </w:pPr>
          </w:p>
        </w:tc>
        <w:tc>
          <w:tcPr>
            <w:tcW w:w="1194" w:type="pct"/>
            <w:tcBorders>
              <w:top w:val="single" w:color="000000" w:sz="6" w:space="0"/>
              <w:left w:val="single" w:color="000000" w:sz="6" w:space="0"/>
              <w:bottom w:val="single" w:color="000000" w:sz="6" w:space="0"/>
              <w:right w:val="single" w:color="000000" w:sz="6" w:space="0"/>
            </w:tcBorders>
            <w:noWrap w:val="0"/>
            <w:vAlign w:val="top"/>
          </w:tcPr>
          <w:p w14:paraId="3A268E20">
            <w:pPr>
              <w:rPr>
                <w:rFonts w:hint="eastAsia" w:ascii="宋体" w:hAnsi="宋体" w:eastAsia="宋体" w:cs="宋体"/>
                <w:color w:val="auto"/>
                <w:highlight w:val="none"/>
              </w:rPr>
            </w:pPr>
          </w:p>
        </w:tc>
        <w:tc>
          <w:tcPr>
            <w:tcW w:w="777" w:type="pct"/>
            <w:tcBorders>
              <w:top w:val="single" w:color="000000" w:sz="6" w:space="0"/>
              <w:left w:val="single" w:color="000000" w:sz="6" w:space="0"/>
              <w:bottom w:val="single" w:color="000000" w:sz="6" w:space="0"/>
              <w:right w:val="single" w:color="000000" w:sz="6" w:space="0"/>
            </w:tcBorders>
            <w:noWrap w:val="0"/>
            <w:vAlign w:val="top"/>
          </w:tcPr>
          <w:p w14:paraId="3A9618B2">
            <w:pPr>
              <w:rPr>
                <w:rFonts w:hint="eastAsia" w:ascii="宋体" w:hAnsi="宋体" w:eastAsia="宋体" w:cs="宋体"/>
                <w:color w:val="auto"/>
                <w:highlight w:val="none"/>
              </w:rPr>
            </w:pPr>
          </w:p>
        </w:tc>
        <w:tc>
          <w:tcPr>
            <w:tcW w:w="818" w:type="pct"/>
            <w:tcBorders>
              <w:top w:val="single" w:color="000000" w:sz="6" w:space="0"/>
              <w:left w:val="single" w:color="000000" w:sz="6" w:space="0"/>
              <w:bottom w:val="single" w:color="000000" w:sz="6" w:space="0"/>
              <w:right w:val="single" w:color="000000" w:sz="6" w:space="0"/>
            </w:tcBorders>
            <w:noWrap w:val="0"/>
            <w:vAlign w:val="top"/>
          </w:tcPr>
          <w:p w14:paraId="09E24E63">
            <w:pPr>
              <w:rPr>
                <w:rFonts w:hint="eastAsia" w:ascii="宋体" w:hAnsi="宋体" w:eastAsia="宋体" w:cs="宋体"/>
                <w:color w:val="auto"/>
                <w:highlight w:val="none"/>
              </w:rPr>
            </w:pPr>
          </w:p>
        </w:tc>
      </w:tr>
      <w:tr w14:paraId="1401EA32">
        <w:tblPrEx>
          <w:tblCellMar>
            <w:top w:w="0" w:type="dxa"/>
            <w:left w:w="0" w:type="dxa"/>
            <w:bottom w:w="0" w:type="dxa"/>
            <w:right w:w="0" w:type="dxa"/>
          </w:tblCellMar>
        </w:tblPrEx>
        <w:trPr>
          <w:trHeight w:val="635" w:hRule="exact"/>
          <w:jc w:val="center"/>
        </w:trPr>
        <w:tc>
          <w:tcPr>
            <w:tcW w:w="648" w:type="pct"/>
            <w:tcBorders>
              <w:top w:val="single" w:color="000000" w:sz="6" w:space="0"/>
              <w:left w:val="single" w:color="000000" w:sz="6" w:space="0"/>
              <w:bottom w:val="single" w:color="000000" w:sz="6" w:space="0"/>
              <w:right w:val="single" w:color="000000" w:sz="6" w:space="0"/>
            </w:tcBorders>
            <w:noWrap w:val="0"/>
            <w:vAlign w:val="top"/>
          </w:tcPr>
          <w:p w14:paraId="626893A1">
            <w:pPr>
              <w:rPr>
                <w:rFonts w:hint="eastAsia" w:ascii="宋体" w:hAnsi="宋体" w:eastAsia="宋体" w:cs="宋体"/>
                <w:color w:val="auto"/>
                <w:highlight w:val="none"/>
              </w:rPr>
            </w:pPr>
          </w:p>
        </w:tc>
        <w:tc>
          <w:tcPr>
            <w:tcW w:w="1561" w:type="pct"/>
            <w:tcBorders>
              <w:top w:val="single" w:color="000000" w:sz="6" w:space="0"/>
              <w:left w:val="single" w:color="000000" w:sz="6" w:space="0"/>
              <w:bottom w:val="single" w:color="000000" w:sz="6" w:space="0"/>
              <w:right w:val="single" w:color="000000" w:sz="6" w:space="0"/>
            </w:tcBorders>
            <w:noWrap w:val="0"/>
            <w:vAlign w:val="top"/>
          </w:tcPr>
          <w:p w14:paraId="767388A7">
            <w:pPr>
              <w:rPr>
                <w:rFonts w:hint="eastAsia" w:ascii="宋体" w:hAnsi="宋体" w:eastAsia="宋体" w:cs="宋体"/>
                <w:color w:val="auto"/>
                <w:highlight w:val="none"/>
              </w:rPr>
            </w:pPr>
          </w:p>
        </w:tc>
        <w:tc>
          <w:tcPr>
            <w:tcW w:w="1194" w:type="pct"/>
            <w:tcBorders>
              <w:top w:val="single" w:color="000000" w:sz="6" w:space="0"/>
              <w:left w:val="single" w:color="000000" w:sz="6" w:space="0"/>
              <w:bottom w:val="single" w:color="000000" w:sz="6" w:space="0"/>
              <w:right w:val="single" w:color="000000" w:sz="6" w:space="0"/>
            </w:tcBorders>
            <w:noWrap w:val="0"/>
            <w:vAlign w:val="top"/>
          </w:tcPr>
          <w:p w14:paraId="178818B5">
            <w:pPr>
              <w:rPr>
                <w:rFonts w:hint="eastAsia" w:ascii="宋体" w:hAnsi="宋体" w:eastAsia="宋体" w:cs="宋体"/>
                <w:color w:val="auto"/>
                <w:highlight w:val="none"/>
              </w:rPr>
            </w:pPr>
          </w:p>
        </w:tc>
        <w:tc>
          <w:tcPr>
            <w:tcW w:w="777" w:type="pct"/>
            <w:tcBorders>
              <w:top w:val="single" w:color="000000" w:sz="6" w:space="0"/>
              <w:left w:val="single" w:color="000000" w:sz="6" w:space="0"/>
              <w:bottom w:val="single" w:color="000000" w:sz="6" w:space="0"/>
              <w:right w:val="single" w:color="000000" w:sz="6" w:space="0"/>
            </w:tcBorders>
            <w:noWrap w:val="0"/>
            <w:vAlign w:val="top"/>
          </w:tcPr>
          <w:p w14:paraId="28A8DC8D">
            <w:pPr>
              <w:rPr>
                <w:rFonts w:hint="eastAsia" w:ascii="宋体" w:hAnsi="宋体" w:eastAsia="宋体" w:cs="宋体"/>
                <w:color w:val="auto"/>
                <w:highlight w:val="none"/>
              </w:rPr>
            </w:pPr>
          </w:p>
        </w:tc>
        <w:tc>
          <w:tcPr>
            <w:tcW w:w="818" w:type="pct"/>
            <w:tcBorders>
              <w:top w:val="single" w:color="000000" w:sz="6" w:space="0"/>
              <w:left w:val="single" w:color="000000" w:sz="6" w:space="0"/>
              <w:bottom w:val="single" w:color="000000" w:sz="6" w:space="0"/>
              <w:right w:val="single" w:color="000000" w:sz="6" w:space="0"/>
            </w:tcBorders>
            <w:noWrap w:val="0"/>
            <w:vAlign w:val="top"/>
          </w:tcPr>
          <w:p w14:paraId="4D1C89DB">
            <w:pPr>
              <w:rPr>
                <w:rFonts w:hint="eastAsia" w:ascii="宋体" w:hAnsi="宋体" w:eastAsia="宋体" w:cs="宋体"/>
                <w:color w:val="auto"/>
                <w:highlight w:val="none"/>
              </w:rPr>
            </w:pPr>
          </w:p>
        </w:tc>
      </w:tr>
      <w:tr w14:paraId="2B4DB2C4">
        <w:tblPrEx>
          <w:tblCellMar>
            <w:top w:w="0" w:type="dxa"/>
            <w:left w:w="0" w:type="dxa"/>
            <w:bottom w:w="0" w:type="dxa"/>
            <w:right w:w="0" w:type="dxa"/>
          </w:tblCellMar>
        </w:tblPrEx>
        <w:trPr>
          <w:trHeight w:val="635" w:hRule="exact"/>
          <w:jc w:val="center"/>
        </w:trPr>
        <w:tc>
          <w:tcPr>
            <w:tcW w:w="648" w:type="pct"/>
            <w:tcBorders>
              <w:top w:val="single" w:color="000000" w:sz="6" w:space="0"/>
              <w:left w:val="single" w:color="000000" w:sz="6" w:space="0"/>
              <w:bottom w:val="single" w:color="000000" w:sz="6" w:space="0"/>
              <w:right w:val="single" w:color="000000" w:sz="6" w:space="0"/>
            </w:tcBorders>
            <w:noWrap w:val="0"/>
            <w:vAlign w:val="top"/>
          </w:tcPr>
          <w:p w14:paraId="0541DC0B">
            <w:pPr>
              <w:rPr>
                <w:rFonts w:hint="eastAsia" w:ascii="宋体" w:hAnsi="宋体" w:eastAsia="宋体" w:cs="宋体"/>
                <w:color w:val="auto"/>
                <w:highlight w:val="none"/>
              </w:rPr>
            </w:pPr>
          </w:p>
        </w:tc>
        <w:tc>
          <w:tcPr>
            <w:tcW w:w="1561" w:type="pct"/>
            <w:tcBorders>
              <w:top w:val="single" w:color="000000" w:sz="6" w:space="0"/>
              <w:left w:val="single" w:color="000000" w:sz="6" w:space="0"/>
              <w:bottom w:val="single" w:color="000000" w:sz="6" w:space="0"/>
              <w:right w:val="single" w:color="000000" w:sz="6" w:space="0"/>
            </w:tcBorders>
            <w:noWrap w:val="0"/>
            <w:vAlign w:val="top"/>
          </w:tcPr>
          <w:p w14:paraId="2A718151">
            <w:pPr>
              <w:rPr>
                <w:rFonts w:hint="eastAsia" w:ascii="宋体" w:hAnsi="宋体" w:eastAsia="宋体" w:cs="宋体"/>
                <w:color w:val="auto"/>
                <w:highlight w:val="none"/>
              </w:rPr>
            </w:pPr>
          </w:p>
        </w:tc>
        <w:tc>
          <w:tcPr>
            <w:tcW w:w="1194" w:type="pct"/>
            <w:tcBorders>
              <w:top w:val="single" w:color="000000" w:sz="6" w:space="0"/>
              <w:left w:val="single" w:color="000000" w:sz="6" w:space="0"/>
              <w:bottom w:val="single" w:color="000000" w:sz="6" w:space="0"/>
              <w:right w:val="single" w:color="000000" w:sz="6" w:space="0"/>
            </w:tcBorders>
            <w:noWrap w:val="0"/>
            <w:vAlign w:val="top"/>
          </w:tcPr>
          <w:p w14:paraId="4855846C">
            <w:pPr>
              <w:rPr>
                <w:rFonts w:hint="eastAsia" w:ascii="宋体" w:hAnsi="宋体" w:eastAsia="宋体" w:cs="宋体"/>
                <w:color w:val="auto"/>
                <w:highlight w:val="none"/>
              </w:rPr>
            </w:pPr>
          </w:p>
        </w:tc>
        <w:tc>
          <w:tcPr>
            <w:tcW w:w="777" w:type="pct"/>
            <w:tcBorders>
              <w:top w:val="single" w:color="000000" w:sz="6" w:space="0"/>
              <w:left w:val="single" w:color="000000" w:sz="6" w:space="0"/>
              <w:bottom w:val="single" w:color="000000" w:sz="6" w:space="0"/>
              <w:right w:val="single" w:color="000000" w:sz="6" w:space="0"/>
            </w:tcBorders>
            <w:noWrap w:val="0"/>
            <w:vAlign w:val="top"/>
          </w:tcPr>
          <w:p w14:paraId="655EA878">
            <w:pPr>
              <w:rPr>
                <w:rFonts w:hint="eastAsia" w:ascii="宋体" w:hAnsi="宋体" w:eastAsia="宋体" w:cs="宋体"/>
                <w:color w:val="auto"/>
                <w:highlight w:val="none"/>
              </w:rPr>
            </w:pPr>
          </w:p>
        </w:tc>
        <w:tc>
          <w:tcPr>
            <w:tcW w:w="818" w:type="pct"/>
            <w:tcBorders>
              <w:top w:val="single" w:color="000000" w:sz="6" w:space="0"/>
              <w:left w:val="single" w:color="000000" w:sz="6" w:space="0"/>
              <w:bottom w:val="single" w:color="000000" w:sz="6" w:space="0"/>
              <w:right w:val="single" w:color="000000" w:sz="6" w:space="0"/>
            </w:tcBorders>
            <w:noWrap w:val="0"/>
            <w:vAlign w:val="top"/>
          </w:tcPr>
          <w:p w14:paraId="50B31BB8">
            <w:pPr>
              <w:rPr>
                <w:rFonts w:hint="eastAsia" w:ascii="宋体" w:hAnsi="宋体" w:eastAsia="宋体" w:cs="宋体"/>
                <w:color w:val="auto"/>
                <w:highlight w:val="none"/>
              </w:rPr>
            </w:pPr>
          </w:p>
        </w:tc>
      </w:tr>
      <w:tr w14:paraId="0E83D6C8">
        <w:tblPrEx>
          <w:tblCellMar>
            <w:top w:w="0" w:type="dxa"/>
            <w:left w:w="0" w:type="dxa"/>
            <w:bottom w:w="0" w:type="dxa"/>
            <w:right w:w="0" w:type="dxa"/>
          </w:tblCellMar>
        </w:tblPrEx>
        <w:trPr>
          <w:trHeight w:val="635" w:hRule="exact"/>
          <w:jc w:val="center"/>
        </w:trPr>
        <w:tc>
          <w:tcPr>
            <w:tcW w:w="648" w:type="pct"/>
            <w:tcBorders>
              <w:top w:val="single" w:color="000000" w:sz="6" w:space="0"/>
              <w:left w:val="single" w:color="000000" w:sz="6" w:space="0"/>
              <w:bottom w:val="single" w:color="000000" w:sz="6" w:space="0"/>
              <w:right w:val="single" w:color="000000" w:sz="6" w:space="0"/>
            </w:tcBorders>
            <w:noWrap w:val="0"/>
            <w:vAlign w:val="top"/>
          </w:tcPr>
          <w:p w14:paraId="4F7C1E6C">
            <w:pPr>
              <w:rPr>
                <w:rFonts w:hint="eastAsia" w:ascii="宋体" w:hAnsi="宋体" w:eastAsia="宋体" w:cs="宋体"/>
                <w:color w:val="auto"/>
                <w:highlight w:val="none"/>
              </w:rPr>
            </w:pPr>
          </w:p>
        </w:tc>
        <w:tc>
          <w:tcPr>
            <w:tcW w:w="1561" w:type="pct"/>
            <w:tcBorders>
              <w:top w:val="single" w:color="000000" w:sz="6" w:space="0"/>
              <w:left w:val="single" w:color="000000" w:sz="6" w:space="0"/>
              <w:bottom w:val="single" w:color="000000" w:sz="6" w:space="0"/>
              <w:right w:val="single" w:color="000000" w:sz="6" w:space="0"/>
            </w:tcBorders>
            <w:noWrap w:val="0"/>
            <w:vAlign w:val="top"/>
          </w:tcPr>
          <w:p w14:paraId="12D35200">
            <w:pPr>
              <w:rPr>
                <w:rFonts w:hint="eastAsia" w:ascii="宋体" w:hAnsi="宋体" w:eastAsia="宋体" w:cs="宋体"/>
                <w:color w:val="auto"/>
                <w:highlight w:val="none"/>
              </w:rPr>
            </w:pPr>
          </w:p>
        </w:tc>
        <w:tc>
          <w:tcPr>
            <w:tcW w:w="1194" w:type="pct"/>
            <w:tcBorders>
              <w:top w:val="single" w:color="000000" w:sz="6" w:space="0"/>
              <w:left w:val="single" w:color="000000" w:sz="6" w:space="0"/>
              <w:bottom w:val="single" w:color="000000" w:sz="6" w:space="0"/>
              <w:right w:val="single" w:color="000000" w:sz="6" w:space="0"/>
            </w:tcBorders>
            <w:noWrap w:val="0"/>
            <w:vAlign w:val="top"/>
          </w:tcPr>
          <w:p w14:paraId="7A380D0C">
            <w:pPr>
              <w:rPr>
                <w:rFonts w:hint="eastAsia" w:ascii="宋体" w:hAnsi="宋体" w:eastAsia="宋体" w:cs="宋体"/>
                <w:color w:val="auto"/>
                <w:highlight w:val="none"/>
              </w:rPr>
            </w:pPr>
          </w:p>
        </w:tc>
        <w:tc>
          <w:tcPr>
            <w:tcW w:w="777" w:type="pct"/>
            <w:tcBorders>
              <w:top w:val="single" w:color="000000" w:sz="6" w:space="0"/>
              <w:left w:val="single" w:color="000000" w:sz="6" w:space="0"/>
              <w:bottom w:val="single" w:color="000000" w:sz="6" w:space="0"/>
              <w:right w:val="single" w:color="000000" w:sz="6" w:space="0"/>
            </w:tcBorders>
            <w:noWrap w:val="0"/>
            <w:vAlign w:val="top"/>
          </w:tcPr>
          <w:p w14:paraId="4D9DCB18">
            <w:pPr>
              <w:rPr>
                <w:rFonts w:hint="eastAsia" w:ascii="宋体" w:hAnsi="宋体" w:eastAsia="宋体" w:cs="宋体"/>
                <w:color w:val="auto"/>
                <w:highlight w:val="none"/>
              </w:rPr>
            </w:pPr>
          </w:p>
        </w:tc>
        <w:tc>
          <w:tcPr>
            <w:tcW w:w="818" w:type="pct"/>
            <w:tcBorders>
              <w:top w:val="single" w:color="000000" w:sz="6" w:space="0"/>
              <w:left w:val="single" w:color="000000" w:sz="6" w:space="0"/>
              <w:bottom w:val="single" w:color="000000" w:sz="6" w:space="0"/>
              <w:right w:val="single" w:color="000000" w:sz="6" w:space="0"/>
            </w:tcBorders>
            <w:noWrap w:val="0"/>
            <w:vAlign w:val="top"/>
          </w:tcPr>
          <w:p w14:paraId="044032A9">
            <w:pPr>
              <w:rPr>
                <w:rFonts w:hint="eastAsia" w:ascii="宋体" w:hAnsi="宋体" w:eastAsia="宋体" w:cs="宋体"/>
                <w:color w:val="auto"/>
                <w:highlight w:val="none"/>
              </w:rPr>
            </w:pPr>
          </w:p>
        </w:tc>
      </w:tr>
      <w:tr w14:paraId="209A2A95">
        <w:tblPrEx>
          <w:tblCellMar>
            <w:top w:w="0" w:type="dxa"/>
            <w:left w:w="0" w:type="dxa"/>
            <w:bottom w:w="0" w:type="dxa"/>
            <w:right w:w="0" w:type="dxa"/>
          </w:tblCellMar>
        </w:tblPrEx>
        <w:trPr>
          <w:trHeight w:val="635" w:hRule="exact"/>
          <w:jc w:val="center"/>
        </w:trPr>
        <w:tc>
          <w:tcPr>
            <w:tcW w:w="648" w:type="pct"/>
            <w:tcBorders>
              <w:top w:val="single" w:color="000000" w:sz="6" w:space="0"/>
              <w:left w:val="single" w:color="000000" w:sz="6" w:space="0"/>
              <w:bottom w:val="single" w:color="000000" w:sz="6" w:space="0"/>
              <w:right w:val="single" w:color="000000" w:sz="6" w:space="0"/>
            </w:tcBorders>
            <w:noWrap w:val="0"/>
            <w:vAlign w:val="top"/>
          </w:tcPr>
          <w:p w14:paraId="7A4E2A90">
            <w:pPr>
              <w:rPr>
                <w:rFonts w:hint="eastAsia" w:ascii="宋体" w:hAnsi="宋体" w:eastAsia="宋体" w:cs="宋体"/>
                <w:color w:val="auto"/>
                <w:highlight w:val="none"/>
              </w:rPr>
            </w:pPr>
          </w:p>
        </w:tc>
        <w:tc>
          <w:tcPr>
            <w:tcW w:w="1561" w:type="pct"/>
            <w:tcBorders>
              <w:top w:val="single" w:color="000000" w:sz="6" w:space="0"/>
              <w:left w:val="single" w:color="000000" w:sz="6" w:space="0"/>
              <w:bottom w:val="single" w:color="000000" w:sz="6" w:space="0"/>
              <w:right w:val="single" w:color="000000" w:sz="6" w:space="0"/>
            </w:tcBorders>
            <w:noWrap w:val="0"/>
            <w:vAlign w:val="top"/>
          </w:tcPr>
          <w:p w14:paraId="4BF087CD">
            <w:pPr>
              <w:rPr>
                <w:rFonts w:hint="eastAsia" w:ascii="宋体" w:hAnsi="宋体" w:eastAsia="宋体" w:cs="宋体"/>
                <w:color w:val="auto"/>
                <w:highlight w:val="none"/>
              </w:rPr>
            </w:pPr>
          </w:p>
        </w:tc>
        <w:tc>
          <w:tcPr>
            <w:tcW w:w="1194" w:type="pct"/>
            <w:tcBorders>
              <w:top w:val="single" w:color="000000" w:sz="6" w:space="0"/>
              <w:left w:val="single" w:color="000000" w:sz="6" w:space="0"/>
              <w:bottom w:val="single" w:color="000000" w:sz="6" w:space="0"/>
              <w:right w:val="single" w:color="000000" w:sz="6" w:space="0"/>
            </w:tcBorders>
            <w:noWrap w:val="0"/>
            <w:vAlign w:val="top"/>
          </w:tcPr>
          <w:p w14:paraId="765F3EC4">
            <w:pPr>
              <w:rPr>
                <w:rFonts w:hint="eastAsia" w:ascii="宋体" w:hAnsi="宋体" w:eastAsia="宋体" w:cs="宋体"/>
                <w:color w:val="auto"/>
                <w:highlight w:val="none"/>
              </w:rPr>
            </w:pPr>
          </w:p>
        </w:tc>
        <w:tc>
          <w:tcPr>
            <w:tcW w:w="777" w:type="pct"/>
            <w:tcBorders>
              <w:top w:val="single" w:color="000000" w:sz="6" w:space="0"/>
              <w:left w:val="single" w:color="000000" w:sz="6" w:space="0"/>
              <w:bottom w:val="single" w:color="000000" w:sz="6" w:space="0"/>
              <w:right w:val="single" w:color="000000" w:sz="6" w:space="0"/>
            </w:tcBorders>
            <w:noWrap w:val="0"/>
            <w:vAlign w:val="top"/>
          </w:tcPr>
          <w:p w14:paraId="261C8C16">
            <w:pPr>
              <w:rPr>
                <w:rFonts w:hint="eastAsia" w:ascii="宋体" w:hAnsi="宋体" w:eastAsia="宋体" w:cs="宋体"/>
                <w:color w:val="auto"/>
                <w:highlight w:val="none"/>
              </w:rPr>
            </w:pPr>
          </w:p>
        </w:tc>
        <w:tc>
          <w:tcPr>
            <w:tcW w:w="818" w:type="pct"/>
            <w:tcBorders>
              <w:top w:val="single" w:color="000000" w:sz="6" w:space="0"/>
              <w:left w:val="single" w:color="000000" w:sz="6" w:space="0"/>
              <w:bottom w:val="single" w:color="000000" w:sz="6" w:space="0"/>
              <w:right w:val="single" w:color="000000" w:sz="6" w:space="0"/>
            </w:tcBorders>
            <w:noWrap w:val="0"/>
            <w:vAlign w:val="top"/>
          </w:tcPr>
          <w:p w14:paraId="4C309355">
            <w:pPr>
              <w:rPr>
                <w:rFonts w:hint="eastAsia" w:ascii="宋体" w:hAnsi="宋体" w:eastAsia="宋体" w:cs="宋体"/>
                <w:color w:val="auto"/>
                <w:highlight w:val="none"/>
              </w:rPr>
            </w:pPr>
          </w:p>
        </w:tc>
      </w:tr>
    </w:tbl>
    <w:p w14:paraId="0C614C71">
      <w:pPr>
        <w:pStyle w:val="11"/>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注：1.根据磋商文件中“第四部分  商务及合同草案条款”中的商务要求在“偏离”项中填写“负偏离”或“响应”，供应商须完整填写</w:t>
      </w:r>
      <w:r>
        <w:rPr>
          <w:rFonts w:hint="eastAsia" w:hAnsi="宋体" w:cs="宋体"/>
          <w:color w:val="auto"/>
          <w:sz w:val="24"/>
          <w:highlight w:val="none"/>
          <w:lang w:val="en-US" w:eastAsia="zh-CN"/>
        </w:rPr>
        <w:t>偏离</w:t>
      </w:r>
      <w:r>
        <w:rPr>
          <w:rFonts w:hint="eastAsia" w:ascii="宋体" w:hAnsi="宋体" w:eastAsia="宋体" w:cs="宋体"/>
          <w:color w:val="auto"/>
          <w:sz w:val="24"/>
          <w:highlight w:val="none"/>
          <w:lang w:val="en-US" w:eastAsia="zh-CN"/>
        </w:rPr>
        <w:t>表。如果未完整填写本表的各项内容则视作供应商已经对磋商文件相关要求和内容完全理解并同意，其报价为在此基础上的完全价格。</w:t>
      </w:r>
    </w:p>
    <w:p w14:paraId="7AE3FF92">
      <w:pPr>
        <w:pStyle w:val="1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在采购人与成交供应商签订合同时，如成交供应商未在响应文件“商务偏离表”中列出偏离说明，无论已发生或即将发生任何情形，均视为完全符合磋商文件要求，并写入合同。若成交供应商在合同签订前，以上述事项为借口而不履行合同签订手续及执行合同，则视作拒绝与采购人签订合同。</w:t>
      </w:r>
    </w:p>
    <w:p w14:paraId="556F8EE0">
      <w:pPr>
        <w:pStyle w:val="2"/>
        <w:keepNext w:val="0"/>
        <w:keepLines w:val="0"/>
        <w:pageBreakBefore w:val="0"/>
        <w:widowControl w:val="0"/>
        <w:tabs>
          <w:tab w:val="left" w:pos="5782"/>
        </w:tabs>
        <w:kinsoku/>
        <w:wordWrap/>
        <w:overflowPunct/>
        <w:topLinePunct w:val="0"/>
        <w:autoSpaceDE/>
        <w:autoSpaceDN/>
        <w:bidi w:val="0"/>
        <w:adjustRightInd/>
        <w:snapToGrid/>
        <w:spacing w:line="480" w:lineRule="auto"/>
        <w:ind w:left="130" w:right="948" w:firstLine="3120" w:firstLineChars="13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供应商名称：</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（公章）</w:t>
      </w:r>
    </w:p>
    <w:p w14:paraId="755BBF3B">
      <w:pPr>
        <w:pStyle w:val="2"/>
        <w:keepNext w:val="0"/>
        <w:keepLines w:val="0"/>
        <w:pageBreakBefore w:val="0"/>
        <w:widowControl w:val="0"/>
        <w:tabs>
          <w:tab w:val="left" w:pos="5782"/>
        </w:tabs>
        <w:kinsoku/>
        <w:wordWrap/>
        <w:overflowPunct/>
        <w:topLinePunct w:val="0"/>
        <w:autoSpaceDE/>
        <w:autoSpaceDN/>
        <w:bidi w:val="0"/>
        <w:adjustRightInd/>
        <w:snapToGrid/>
        <w:spacing w:line="480" w:lineRule="auto"/>
        <w:ind w:left="130" w:right="252" w:firstLine="3120" w:firstLineChars="13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法定代表人或其授权代表：</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(签字或盖章)</w:t>
      </w:r>
    </w:p>
    <w:p w14:paraId="31F47D26">
      <w:pPr>
        <w:pStyle w:val="2"/>
        <w:keepNext w:val="0"/>
        <w:keepLines w:val="0"/>
        <w:pageBreakBefore w:val="0"/>
        <w:widowControl w:val="0"/>
        <w:tabs>
          <w:tab w:val="left" w:pos="5782"/>
        </w:tabs>
        <w:kinsoku/>
        <w:wordWrap/>
        <w:overflowPunct/>
        <w:topLinePunct w:val="0"/>
        <w:autoSpaceDE/>
        <w:autoSpaceDN/>
        <w:bidi w:val="0"/>
        <w:adjustRightInd/>
        <w:snapToGrid/>
        <w:spacing w:line="480" w:lineRule="auto"/>
        <w:ind w:left="130" w:right="948" w:firstLine="3120" w:firstLineChars="1300"/>
        <w:textAlignment w:val="auto"/>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日      期：</w:t>
      </w:r>
      <w:r>
        <w:rPr>
          <w:rFonts w:hint="eastAsia" w:ascii="宋体" w:hAnsi="宋体" w:eastAsia="宋体" w:cs="宋体"/>
          <w:color w:val="auto"/>
          <w:kern w:val="0"/>
          <w:highlight w:val="none"/>
          <w:u w:val="single"/>
        </w:rPr>
        <w:t xml:space="preserve">                      </w:t>
      </w:r>
    </w:p>
    <w:p w14:paraId="1632DAA0">
      <w:pPr>
        <w:spacing w:before="480" w:line="200" w:lineRule="atLeast"/>
        <w:ind w:left="1260" w:leftChars="600" w:firstLine="3360" w:firstLineChars="1400"/>
        <w:jc w:val="left"/>
        <w:rPr>
          <w:rFonts w:ascii="宋体" w:hAnsi="宋体" w:cs="宋体"/>
          <w:color w:val="000000" w:themeColor="text1"/>
          <w:sz w:val="24"/>
          <w14:textFill>
            <w14:solidFill>
              <w14:schemeClr w14:val="tx1"/>
            </w14:solidFill>
          </w14:textFill>
        </w:rPr>
      </w:pPr>
    </w:p>
    <w:p w14:paraId="0265EB0D">
      <w:pPr>
        <w:rPr>
          <w:rFonts w:ascii="宋体" w:hAnsi="宋体" w:cs="宋体"/>
          <w:b/>
          <w:bCs/>
          <w:color w:val="000000"/>
          <w:sz w:val="32"/>
          <w:szCs w:val="32"/>
        </w:rPr>
      </w:pPr>
      <w:r>
        <w:rPr>
          <w:rFonts w:hint="eastAsia" w:ascii="宋体" w:hAnsi="宋体" w:cs="宋体"/>
          <w:b/>
          <w:bCs/>
          <w:color w:val="000000"/>
          <w:sz w:val="32"/>
          <w:szCs w:val="32"/>
        </w:rPr>
        <w:br w:type="page"/>
      </w:r>
    </w:p>
    <w:bookmarkEnd w:id="71"/>
    <w:p w14:paraId="53336401">
      <w:pPr>
        <w:spacing w:line="480" w:lineRule="auto"/>
        <w:jc w:val="center"/>
        <w:outlineLvl w:val="1"/>
        <w:rPr>
          <w:rFonts w:ascii="宋体" w:hAnsi="宋体" w:cs="宋体"/>
          <w:b/>
          <w:color w:val="000000"/>
          <w:sz w:val="32"/>
          <w:szCs w:val="32"/>
        </w:rPr>
      </w:pPr>
      <w:r>
        <w:rPr>
          <w:rFonts w:hint="eastAsia" w:ascii="宋体" w:hAnsi="宋体" w:cs="宋体"/>
          <w:b/>
          <w:bCs/>
          <w:color w:val="000000"/>
          <w:sz w:val="32"/>
          <w:szCs w:val="32"/>
        </w:rPr>
        <w:t>七、资</w:t>
      </w:r>
      <w:r>
        <w:rPr>
          <w:rFonts w:hint="eastAsia" w:ascii="宋体" w:hAnsi="宋体" w:cs="宋体"/>
          <w:b/>
          <w:bCs/>
          <w:color w:val="000000"/>
          <w:sz w:val="32"/>
          <w:szCs w:val="32"/>
          <w:lang w:eastAsia="zh-CN"/>
        </w:rPr>
        <w:t>格</w:t>
      </w:r>
      <w:r>
        <w:rPr>
          <w:rFonts w:hint="eastAsia" w:ascii="宋体" w:hAnsi="宋体" w:cs="宋体"/>
          <w:b/>
          <w:bCs/>
          <w:color w:val="000000"/>
          <w:sz w:val="32"/>
          <w:szCs w:val="32"/>
        </w:rPr>
        <w:t>证明文件</w:t>
      </w:r>
    </w:p>
    <w:p w14:paraId="464221E0">
      <w:pPr>
        <w:jc w:val="center"/>
        <w:rPr>
          <w:rFonts w:ascii="宋体" w:hAnsi="宋体" w:cs="宋体"/>
          <w:b/>
          <w:color w:val="000000"/>
          <w:sz w:val="28"/>
          <w:szCs w:val="28"/>
        </w:rPr>
      </w:pPr>
      <w:r>
        <w:rPr>
          <w:rFonts w:hint="eastAsia" w:ascii="宋体" w:hAnsi="宋体" w:cs="宋体"/>
          <w:b/>
          <w:color w:val="000000"/>
          <w:sz w:val="28"/>
          <w:szCs w:val="28"/>
        </w:rPr>
        <w:t>供应商基本情况表</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025"/>
        <w:gridCol w:w="669"/>
        <w:gridCol w:w="1095"/>
        <w:gridCol w:w="1168"/>
        <w:gridCol w:w="295"/>
        <w:gridCol w:w="1019"/>
        <w:gridCol w:w="1035"/>
        <w:gridCol w:w="955"/>
        <w:gridCol w:w="1994"/>
      </w:tblGrid>
      <w:tr w14:paraId="4D518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201" w:type="pct"/>
            <w:gridSpan w:val="3"/>
            <w:vAlign w:val="center"/>
          </w:tcPr>
          <w:p w14:paraId="5CE46A1A">
            <w:pPr>
              <w:jc w:val="center"/>
              <w:rPr>
                <w:rFonts w:ascii="宋体" w:hAnsi="宋体" w:cs="宋体"/>
                <w:color w:val="000000"/>
                <w:sz w:val="24"/>
              </w:rPr>
            </w:pPr>
            <w:r>
              <w:rPr>
                <w:rFonts w:hint="eastAsia" w:ascii="宋体" w:hAnsi="宋体" w:cs="宋体"/>
                <w:color w:val="000000"/>
                <w:sz w:val="24"/>
              </w:rPr>
              <w:t>供应商名称</w:t>
            </w:r>
          </w:p>
        </w:tc>
        <w:tc>
          <w:tcPr>
            <w:tcW w:w="1797" w:type="pct"/>
            <w:gridSpan w:val="4"/>
            <w:vAlign w:val="center"/>
          </w:tcPr>
          <w:p w14:paraId="30DB18CD">
            <w:pPr>
              <w:jc w:val="center"/>
              <w:rPr>
                <w:rFonts w:ascii="宋体" w:hAnsi="宋体" w:cs="宋体"/>
                <w:color w:val="000000"/>
                <w:sz w:val="24"/>
              </w:rPr>
            </w:pPr>
          </w:p>
        </w:tc>
        <w:tc>
          <w:tcPr>
            <w:tcW w:w="1000" w:type="pct"/>
            <w:gridSpan w:val="2"/>
            <w:vAlign w:val="center"/>
          </w:tcPr>
          <w:p w14:paraId="34F7EACB">
            <w:pPr>
              <w:jc w:val="center"/>
              <w:rPr>
                <w:rFonts w:ascii="宋体" w:hAnsi="宋体" w:cs="宋体"/>
                <w:color w:val="000000"/>
                <w:sz w:val="24"/>
              </w:rPr>
            </w:pPr>
            <w:r>
              <w:rPr>
                <w:rFonts w:hint="eastAsia" w:ascii="宋体" w:hAnsi="宋体" w:cs="宋体"/>
                <w:color w:val="000000" w:themeColor="text1"/>
                <w:sz w:val="24"/>
                <w14:textFill>
                  <w14:solidFill>
                    <w14:schemeClr w14:val="tx1"/>
                  </w14:solidFill>
                </w14:textFill>
              </w:rPr>
              <w:t>法定代表人</w:t>
            </w:r>
          </w:p>
        </w:tc>
        <w:tc>
          <w:tcPr>
            <w:tcW w:w="1001" w:type="pct"/>
            <w:vAlign w:val="center"/>
          </w:tcPr>
          <w:p w14:paraId="7B5E1E44">
            <w:pPr>
              <w:jc w:val="center"/>
              <w:rPr>
                <w:rFonts w:ascii="宋体" w:hAnsi="宋体" w:cs="宋体"/>
                <w:color w:val="000000"/>
                <w:sz w:val="24"/>
              </w:rPr>
            </w:pPr>
          </w:p>
        </w:tc>
      </w:tr>
      <w:tr w14:paraId="7BF3A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201" w:type="pct"/>
            <w:gridSpan w:val="3"/>
            <w:vAlign w:val="center"/>
          </w:tcPr>
          <w:p w14:paraId="0494E0EA">
            <w:pPr>
              <w:jc w:val="center"/>
              <w:rPr>
                <w:rFonts w:ascii="宋体" w:hAnsi="宋体" w:cs="宋体"/>
                <w:color w:val="000000"/>
                <w:sz w:val="24"/>
              </w:rPr>
            </w:pPr>
            <w:r>
              <w:rPr>
                <w:rFonts w:hint="eastAsia" w:ascii="宋体" w:hAnsi="宋体" w:cs="宋体"/>
                <w:color w:val="000000"/>
                <w:sz w:val="24"/>
              </w:rPr>
              <w:t>委托代理人</w:t>
            </w:r>
          </w:p>
        </w:tc>
        <w:tc>
          <w:tcPr>
            <w:tcW w:w="1797" w:type="pct"/>
            <w:gridSpan w:val="4"/>
            <w:vAlign w:val="center"/>
          </w:tcPr>
          <w:p w14:paraId="6FAFA5A8">
            <w:pPr>
              <w:jc w:val="center"/>
              <w:rPr>
                <w:rFonts w:ascii="宋体" w:hAnsi="宋体" w:cs="宋体"/>
                <w:color w:val="000000"/>
                <w:sz w:val="24"/>
              </w:rPr>
            </w:pPr>
          </w:p>
        </w:tc>
        <w:tc>
          <w:tcPr>
            <w:tcW w:w="1000" w:type="pct"/>
            <w:gridSpan w:val="2"/>
            <w:vAlign w:val="center"/>
          </w:tcPr>
          <w:p w14:paraId="22462955">
            <w:pPr>
              <w:jc w:val="center"/>
              <w:rPr>
                <w:rFonts w:ascii="宋体" w:hAnsi="宋体" w:cs="宋体"/>
                <w:color w:val="000000"/>
                <w:sz w:val="24"/>
              </w:rPr>
            </w:pPr>
            <w:r>
              <w:rPr>
                <w:rFonts w:hint="eastAsia" w:ascii="宋体" w:hAnsi="宋体" w:cs="宋体"/>
                <w:color w:val="000000"/>
                <w:sz w:val="24"/>
              </w:rPr>
              <w:t>邮政编码</w:t>
            </w:r>
          </w:p>
        </w:tc>
        <w:tc>
          <w:tcPr>
            <w:tcW w:w="1001" w:type="pct"/>
            <w:vAlign w:val="center"/>
          </w:tcPr>
          <w:p w14:paraId="316747FA">
            <w:pPr>
              <w:jc w:val="center"/>
              <w:rPr>
                <w:rFonts w:ascii="宋体" w:hAnsi="宋体" w:cs="宋体"/>
                <w:color w:val="000000"/>
                <w:sz w:val="24"/>
              </w:rPr>
            </w:pPr>
          </w:p>
        </w:tc>
      </w:tr>
      <w:tr w14:paraId="170C2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201" w:type="pct"/>
            <w:gridSpan w:val="3"/>
            <w:vAlign w:val="center"/>
          </w:tcPr>
          <w:p w14:paraId="6475E431">
            <w:pPr>
              <w:jc w:val="center"/>
              <w:rPr>
                <w:rFonts w:ascii="宋体" w:hAnsi="宋体" w:cs="宋体"/>
                <w:color w:val="000000"/>
                <w:sz w:val="24"/>
              </w:rPr>
            </w:pPr>
            <w:r>
              <w:rPr>
                <w:rFonts w:hint="eastAsia" w:ascii="宋体" w:hAnsi="宋体" w:cs="宋体"/>
                <w:color w:val="000000"/>
                <w:sz w:val="24"/>
              </w:rPr>
              <w:t>组织机构代码</w:t>
            </w:r>
          </w:p>
        </w:tc>
        <w:tc>
          <w:tcPr>
            <w:tcW w:w="1797" w:type="pct"/>
            <w:gridSpan w:val="4"/>
            <w:vAlign w:val="center"/>
          </w:tcPr>
          <w:p w14:paraId="454F5B9C">
            <w:pPr>
              <w:jc w:val="center"/>
              <w:rPr>
                <w:rFonts w:ascii="宋体" w:hAnsi="宋体" w:cs="宋体"/>
                <w:color w:val="000000"/>
                <w:sz w:val="24"/>
              </w:rPr>
            </w:pPr>
          </w:p>
        </w:tc>
        <w:tc>
          <w:tcPr>
            <w:tcW w:w="1000" w:type="pct"/>
            <w:gridSpan w:val="2"/>
            <w:vAlign w:val="center"/>
          </w:tcPr>
          <w:p w14:paraId="172FFD8A">
            <w:pPr>
              <w:jc w:val="center"/>
              <w:rPr>
                <w:rFonts w:ascii="宋体" w:hAnsi="宋体" w:cs="宋体"/>
                <w:color w:val="000000"/>
                <w:sz w:val="24"/>
              </w:rPr>
            </w:pPr>
            <w:r>
              <w:rPr>
                <w:rFonts w:hint="eastAsia" w:ascii="宋体" w:hAnsi="宋体" w:cs="宋体"/>
                <w:color w:val="000000"/>
                <w:sz w:val="24"/>
              </w:rPr>
              <w:t>电子邮箱</w:t>
            </w:r>
          </w:p>
        </w:tc>
        <w:tc>
          <w:tcPr>
            <w:tcW w:w="1001" w:type="pct"/>
            <w:vAlign w:val="center"/>
          </w:tcPr>
          <w:p w14:paraId="46932791">
            <w:pPr>
              <w:jc w:val="center"/>
              <w:rPr>
                <w:rFonts w:ascii="宋体" w:hAnsi="宋体" w:cs="宋体"/>
                <w:color w:val="000000"/>
                <w:sz w:val="24"/>
              </w:rPr>
            </w:pPr>
          </w:p>
        </w:tc>
      </w:tr>
      <w:tr w14:paraId="3A4DA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201" w:type="pct"/>
            <w:gridSpan w:val="3"/>
            <w:vAlign w:val="center"/>
          </w:tcPr>
          <w:p w14:paraId="177878B6">
            <w:pPr>
              <w:jc w:val="center"/>
              <w:rPr>
                <w:rFonts w:ascii="宋体" w:hAnsi="宋体" w:cs="宋体"/>
                <w:color w:val="000000"/>
                <w:sz w:val="24"/>
              </w:rPr>
            </w:pPr>
            <w:r>
              <w:rPr>
                <w:rFonts w:hint="eastAsia" w:ascii="宋体" w:hAnsi="宋体" w:cs="宋体"/>
                <w:color w:val="000000"/>
                <w:sz w:val="24"/>
              </w:rPr>
              <w:t>上年营业收入</w:t>
            </w:r>
          </w:p>
        </w:tc>
        <w:tc>
          <w:tcPr>
            <w:tcW w:w="1797" w:type="pct"/>
            <w:gridSpan w:val="4"/>
            <w:vAlign w:val="center"/>
          </w:tcPr>
          <w:p w14:paraId="2EB1A3E8">
            <w:pPr>
              <w:jc w:val="center"/>
              <w:rPr>
                <w:rFonts w:ascii="宋体" w:hAnsi="宋体" w:cs="宋体"/>
                <w:color w:val="000000"/>
                <w:sz w:val="24"/>
              </w:rPr>
            </w:pPr>
          </w:p>
        </w:tc>
        <w:tc>
          <w:tcPr>
            <w:tcW w:w="1000" w:type="pct"/>
            <w:gridSpan w:val="2"/>
            <w:vAlign w:val="center"/>
          </w:tcPr>
          <w:p w14:paraId="2967425B">
            <w:pPr>
              <w:jc w:val="center"/>
              <w:rPr>
                <w:rFonts w:ascii="宋体" w:hAnsi="宋体" w:cs="宋体"/>
                <w:color w:val="000000"/>
                <w:sz w:val="24"/>
              </w:rPr>
            </w:pPr>
            <w:r>
              <w:rPr>
                <w:rFonts w:hint="eastAsia" w:ascii="宋体" w:hAnsi="宋体" w:cs="宋体"/>
                <w:color w:val="000000"/>
                <w:sz w:val="24"/>
              </w:rPr>
              <w:t>员工总人数</w:t>
            </w:r>
          </w:p>
        </w:tc>
        <w:tc>
          <w:tcPr>
            <w:tcW w:w="1001" w:type="pct"/>
            <w:vAlign w:val="center"/>
          </w:tcPr>
          <w:p w14:paraId="2A6ABEE9">
            <w:pPr>
              <w:jc w:val="center"/>
              <w:rPr>
                <w:rFonts w:ascii="宋体" w:hAnsi="宋体" w:cs="宋体"/>
                <w:color w:val="000000"/>
                <w:sz w:val="24"/>
              </w:rPr>
            </w:pPr>
          </w:p>
        </w:tc>
      </w:tr>
      <w:tr w14:paraId="7EAD6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50" w:type="pct"/>
            <w:vMerge w:val="restart"/>
            <w:vAlign w:val="center"/>
          </w:tcPr>
          <w:p w14:paraId="07F415F7">
            <w:pPr>
              <w:jc w:val="center"/>
              <w:rPr>
                <w:rFonts w:ascii="宋体" w:hAnsi="宋体" w:cs="宋体"/>
                <w:color w:val="000000"/>
                <w:sz w:val="24"/>
              </w:rPr>
            </w:pPr>
            <w:r>
              <w:rPr>
                <w:rFonts w:hint="eastAsia" w:ascii="宋体" w:hAnsi="宋体" w:cs="宋体"/>
                <w:color w:val="000000"/>
                <w:sz w:val="24"/>
              </w:rPr>
              <w:t>营业执照</w:t>
            </w:r>
          </w:p>
        </w:tc>
        <w:tc>
          <w:tcPr>
            <w:tcW w:w="850" w:type="pct"/>
            <w:gridSpan w:val="2"/>
            <w:vAlign w:val="center"/>
          </w:tcPr>
          <w:p w14:paraId="472493F4">
            <w:pPr>
              <w:jc w:val="center"/>
              <w:rPr>
                <w:rFonts w:ascii="宋体" w:hAnsi="宋体" w:cs="宋体"/>
                <w:color w:val="000000"/>
                <w:sz w:val="24"/>
              </w:rPr>
            </w:pPr>
            <w:r>
              <w:rPr>
                <w:rFonts w:hint="eastAsia" w:ascii="宋体" w:hAnsi="宋体" w:cs="宋体"/>
                <w:color w:val="000000"/>
                <w:sz w:val="24"/>
              </w:rPr>
              <w:t>信用代码号</w:t>
            </w:r>
          </w:p>
        </w:tc>
        <w:tc>
          <w:tcPr>
            <w:tcW w:w="1137" w:type="pct"/>
            <w:gridSpan w:val="2"/>
            <w:vAlign w:val="center"/>
          </w:tcPr>
          <w:p w14:paraId="79F7F9E7">
            <w:pPr>
              <w:jc w:val="center"/>
              <w:rPr>
                <w:rFonts w:ascii="宋体" w:hAnsi="宋体" w:cs="宋体"/>
                <w:color w:val="000000"/>
                <w:sz w:val="24"/>
              </w:rPr>
            </w:pPr>
          </w:p>
        </w:tc>
        <w:tc>
          <w:tcPr>
            <w:tcW w:w="659" w:type="pct"/>
            <w:gridSpan w:val="2"/>
            <w:vAlign w:val="center"/>
          </w:tcPr>
          <w:p w14:paraId="0D497AFF">
            <w:pPr>
              <w:jc w:val="center"/>
              <w:rPr>
                <w:rFonts w:ascii="宋体" w:hAnsi="宋体" w:cs="宋体"/>
                <w:color w:val="000000"/>
                <w:sz w:val="24"/>
              </w:rPr>
            </w:pPr>
            <w:r>
              <w:rPr>
                <w:rFonts w:hint="eastAsia" w:ascii="宋体" w:hAnsi="宋体" w:cs="宋体"/>
                <w:color w:val="000000"/>
                <w:sz w:val="24"/>
              </w:rPr>
              <w:t>注册地址</w:t>
            </w:r>
          </w:p>
        </w:tc>
        <w:tc>
          <w:tcPr>
            <w:tcW w:w="2001" w:type="pct"/>
            <w:gridSpan w:val="3"/>
            <w:vAlign w:val="center"/>
          </w:tcPr>
          <w:p w14:paraId="48A02480">
            <w:pPr>
              <w:jc w:val="center"/>
              <w:rPr>
                <w:rFonts w:ascii="宋体" w:hAnsi="宋体" w:cs="宋体"/>
                <w:color w:val="000000"/>
                <w:sz w:val="24"/>
              </w:rPr>
            </w:pPr>
          </w:p>
        </w:tc>
      </w:tr>
      <w:tr w14:paraId="6621E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50" w:type="pct"/>
            <w:vMerge w:val="continue"/>
            <w:vAlign w:val="center"/>
          </w:tcPr>
          <w:p w14:paraId="1CC6245A">
            <w:pPr>
              <w:jc w:val="center"/>
              <w:rPr>
                <w:rFonts w:ascii="宋体" w:hAnsi="宋体" w:cs="宋体"/>
                <w:color w:val="000000"/>
                <w:sz w:val="24"/>
              </w:rPr>
            </w:pPr>
          </w:p>
        </w:tc>
        <w:tc>
          <w:tcPr>
            <w:tcW w:w="850" w:type="pct"/>
            <w:gridSpan w:val="2"/>
            <w:vAlign w:val="center"/>
          </w:tcPr>
          <w:p w14:paraId="5B24CC96">
            <w:pPr>
              <w:jc w:val="center"/>
              <w:rPr>
                <w:rFonts w:ascii="宋体" w:hAnsi="宋体" w:cs="宋体"/>
                <w:color w:val="000000"/>
                <w:sz w:val="24"/>
              </w:rPr>
            </w:pPr>
            <w:r>
              <w:rPr>
                <w:rFonts w:hint="eastAsia" w:ascii="宋体" w:hAnsi="宋体" w:cs="宋体"/>
                <w:color w:val="000000"/>
                <w:sz w:val="24"/>
              </w:rPr>
              <w:t>发证机关</w:t>
            </w:r>
          </w:p>
        </w:tc>
        <w:tc>
          <w:tcPr>
            <w:tcW w:w="1137" w:type="pct"/>
            <w:gridSpan w:val="2"/>
            <w:vAlign w:val="center"/>
          </w:tcPr>
          <w:p w14:paraId="367573D1">
            <w:pPr>
              <w:jc w:val="center"/>
              <w:rPr>
                <w:rFonts w:ascii="宋体" w:hAnsi="宋体" w:cs="宋体"/>
                <w:color w:val="000000"/>
                <w:sz w:val="24"/>
              </w:rPr>
            </w:pPr>
          </w:p>
        </w:tc>
        <w:tc>
          <w:tcPr>
            <w:tcW w:w="659" w:type="pct"/>
            <w:gridSpan w:val="2"/>
            <w:vAlign w:val="center"/>
          </w:tcPr>
          <w:p w14:paraId="4543EB69">
            <w:pPr>
              <w:jc w:val="center"/>
              <w:rPr>
                <w:rFonts w:ascii="宋体" w:hAnsi="宋体" w:cs="宋体"/>
                <w:color w:val="000000"/>
                <w:sz w:val="24"/>
              </w:rPr>
            </w:pPr>
            <w:r>
              <w:rPr>
                <w:rFonts w:hint="eastAsia" w:ascii="宋体" w:hAnsi="宋体" w:cs="宋体"/>
                <w:color w:val="000000"/>
                <w:sz w:val="24"/>
                <w:lang w:eastAsia="zh-CN"/>
              </w:rPr>
              <w:t>成立</w:t>
            </w:r>
            <w:r>
              <w:rPr>
                <w:rFonts w:hint="eastAsia" w:ascii="宋体" w:hAnsi="宋体" w:cs="宋体"/>
                <w:color w:val="000000"/>
                <w:sz w:val="24"/>
              </w:rPr>
              <w:t>日期</w:t>
            </w:r>
          </w:p>
        </w:tc>
        <w:tc>
          <w:tcPr>
            <w:tcW w:w="2001" w:type="pct"/>
            <w:gridSpan w:val="3"/>
            <w:vAlign w:val="center"/>
          </w:tcPr>
          <w:p w14:paraId="6BF6785F">
            <w:pPr>
              <w:jc w:val="center"/>
              <w:rPr>
                <w:rFonts w:ascii="宋体" w:hAnsi="宋体" w:cs="宋体"/>
                <w:color w:val="000000"/>
                <w:sz w:val="24"/>
              </w:rPr>
            </w:pPr>
          </w:p>
        </w:tc>
      </w:tr>
      <w:tr w14:paraId="1A74E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50" w:type="pct"/>
            <w:vMerge w:val="continue"/>
            <w:vAlign w:val="center"/>
          </w:tcPr>
          <w:p w14:paraId="6B249743">
            <w:pPr>
              <w:jc w:val="center"/>
              <w:rPr>
                <w:rFonts w:ascii="宋体" w:hAnsi="宋体" w:cs="宋体"/>
                <w:color w:val="000000"/>
                <w:sz w:val="24"/>
              </w:rPr>
            </w:pPr>
          </w:p>
        </w:tc>
        <w:tc>
          <w:tcPr>
            <w:tcW w:w="850" w:type="pct"/>
            <w:gridSpan w:val="2"/>
            <w:vAlign w:val="center"/>
          </w:tcPr>
          <w:p w14:paraId="7FCE3CEB">
            <w:pPr>
              <w:jc w:val="center"/>
              <w:rPr>
                <w:rFonts w:ascii="宋体" w:hAnsi="宋体" w:cs="宋体"/>
                <w:color w:val="000000"/>
                <w:sz w:val="24"/>
              </w:rPr>
            </w:pPr>
            <w:r>
              <w:rPr>
                <w:rFonts w:hint="eastAsia" w:ascii="宋体" w:hAnsi="宋体" w:cs="宋体"/>
                <w:color w:val="000000"/>
                <w:sz w:val="24"/>
              </w:rPr>
              <w:t>营业范围</w:t>
            </w:r>
          </w:p>
        </w:tc>
        <w:tc>
          <w:tcPr>
            <w:tcW w:w="3798" w:type="pct"/>
            <w:gridSpan w:val="7"/>
            <w:vAlign w:val="center"/>
          </w:tcPr>
          <w:p w14:paraId="6D7DB743">
            <w:pPr>
              <w:jc w:val="center"/>
              <w:rPr>
                <w:rFonts w:ascii="宋体" w:hAnsi="宋体" w:cs="宋体"/>
                <w:color w:val="000000"/>
                <w:sz w:val="24"/>
              </w:rPr>
            </w:pPr>
          </w:p>
        </w:tc>
      </w:tr>
      <w:tr w14:paraId="68162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201" w:type="pct"/>
            <w:gridSpan w:val="3"/>
            <w:vAlign w:val="center"/>
          </w:tcPr>
          <w:p w14:paraId="3B06CC17">
            <w:pPr>
              <w:jc w:val="center"/>
              <w:rPr>
                <w:rFonts w:ascii="宋体" w:hAnsi="宋体" w:cs="宋体"/>
                <w:color w:val="000000"/>
                <w:sz w:val="24"/>
              </w:rPr>
            </w:pPr>
            <w:r>
              <w:rPr>
                <w:rFonts w:hint="eastAsia" w:ascii="宋体" w:hAnsi="宋体" w:cs="宋体"/>
                <w:color w:val="000000"/>
                <w:sz w:val="24"/>
              </w:rPr>
              <w:t>基本开户行</w:t>
            </w:r>
          </w:p>
        </w:tc>
        <w:tc>
          <w:tcPr>
            <w:tcW w:w="1137" w:type="pct"/>
            <w:gridSpan w:val="2"/>
            <w:vAlign w:val="center"/>
          </w:tcPr>
          <w:p w14:paraId="26BDA863">
            <w:pPr>
              <w:jc w:val="center"/>
              <w:rPr>
                <w:rFonts w:ascii="宋体" w:hAnsi="宋体" w:cs="宋体"/>
                <w:color w:val="000000"/>
                <w:sz w:val="24"/>
              </w:rPr>
            </w:pPr>
          </w:p>
        </w:tc>
        <w:tc>
          <w:tcPr>
            <w:tcW w:w="659" w:type="pct"/>
            <w:gridSpan w:val="2"/>
            <w:vAlign w:val="center"/>
          </w:tcPr>
          <w:p w14:paraId="0ED44EB8">
            <w:pPr>
              <w:jc w:val="center"/>
              <w:rPr>
                <w:rFonts w:ascii="宋体" w:hAnsi="宋体" w:cs="宋体"/>
                <w:color w:val="000000"/>
                <w:sz w:val="24"/>
              </w:rPr>
            </w:pPr>
            <w:r>
              <w:rPr>
                <w:rFonts w:hint="eastAsia" w:ascii="宋体" w:hAnsi="宋体" w:cs="宋体"/>
                <w:color w:val="000000"/>
                <w:sz w:val="24"/>
              </w:rPr>
              <w:t>账号</w:t>
            </w:r>
          </w:p>
        </w:tc>
        <w:tc>
          <w:tcPr>
            <w:tcW w:w="2001" w:type="pct"/>
            <w:gridSpan w:val="3"/>
            <w:vAlign w:val="center"/>
          </w:tcPr>
          <w:p w14:paraId="2E379A0E">
            <w:pPr>
              <w:jc w:val="center"/>
              <w:rPr>
                <w:rFonts w:ascii="宋体" w:hAnsi="宋体" w:cs="宋体"/>
                <w:color w:val="000000"/>
                <w:sz w:val="24"/>
              </w:rPr>
            </w:pPr>
          </w:p>
        </w:tc>
      </w:tr>
      <w:tr w14:paraId="436FE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201" w:type="pct"/>
            <w:gridSpan w:val="3"/>
            <w:vAlign w:val="center"/>
          </w:tcPr>
          <w:p w14:paraId="7B93F02B">
            <w:pPr>
              <w:jc w:val="center"/>
              <w:rPr>
                <w:rFonts w:ascii="宋体" w:hAnsi="宋体" w:cs="宋体"/>
                <w:color w:val="000000"/>
                <w:sz w:val="24"/>
              </w:rPr>
            </w:pPr>
            <w:r>
              <w:rPr>
                <w:rFonts w:hint="eastAsia" w:ascii="宋体" w:hAnsi="宋体" w:cs="宋体"/>
                <w:color w:val="000000"/>
                <w:sz w:val="24"/>
              </w:rPr>
              <w:t>税务登记机关</w:t>
            </w:r>
          </w:p>
        </w:tc>
        <w:tc>
          <w:tcPr>
            <w:tcW w:w="3798" w:type="pct"/>
            <w:gridSpan w:val="7"/>
            <w:vAlign w:val="center"/>
          </w:tcPr>
          <w:p w14:paraId="283BD41C">
            <w:pPr>
              <w:jc w:val="center"/>
              <w:rPr>
                <w:rFonts w:ascii="宋体" w:hAnsi="宋体" w:cs="宋体"/>
                <w:color w:val="000000"/>
                <w:sz w:val="24"/>
              </w:rPr>
            </w:pPr>
          </w:p>
        </w:tc>
      </w:tr>
      <w:tr w14:paraId="7D9D5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751" w:type="pct"/>
            <w:gridSpan w:val="4"/>
            <w:vAlign w:val="center"/>
          </w:tcPr>
          <w:p w14:paraId="5A40F14E">
            <w:pPr>
              <w:jc w:val="center"/>
              <w:rPr>
                <w:rFonts w:ascii="宋体" w:hAnsi="宋体" w:cs="宋体"/>
                <w:color w:val="000000"/>
                <w:sz w:val="24"/>
              </w:rPr>
            </w:pPr>
            <w:r>
              <w:rPr>
                <w:rFonts w:hint="eastAsia" w:ascii="宋体" w:hAnsi="宋体" w:cs="宋体"/>
                <w:color w:val="000000"/>
                <w:sz w:val="24"/>
              </w:rPr>
              <w:t>资质名称</w:t>
            </w:r>
          </w:p>
        </w:tc>
        <w:tc>
          <w:tcPr>
            <w:tcW w:w="735" w:type="pct"/>
            <w:gridSpan w:val="2"/>
            <w:vAlign w:val="center"/>
          </w:tcPr>
          <w:p w14:paraId="023A743A">
            <w:pPr>
              <w:jc w:val="center"/>
              <w:rPr>
                <w:rFonts w:ascii="宋体" w:hAnsi="宋体" w:cs="宋体"/>
                <w:color w:val="000000"/>
                <w:sz w:val="24"/>
              </w:rPr>
            </w:pPr>
            <w:r>
              <w:rPr>
                <w:rFonts w:hint="eastAsia" w:ascii="宋体" w:hAnsi="宋体" w:cs="宋体"/>
                <w:color w:val="000000"/>
                <w:sz w:val="24"/>
              </w:rPr>
              <w:t>等级</w:t>
            </w:r>
          </w:p>
        </w:tc>
        <w:tc>
          <w:tcPr>
            <w:tcW w:w="1031" w:type="pct"/>
            <w:gridSpan w:val="2"/>
            <w:vAlign w:val="center"/>
          </w:tcPr>
          <w:p w14:paraId="006D6860">
            <w:pPr>
              <w:jc w:val="center"/>
              <w:rPr>
                <w:rFonts w:ascii="宋体" w:hAnsi="宋体" w:cs="宋体"/>
                <w:color w:val="000000"/>
                <w:sz w:val="24"/>
              </w:rPr>
            </w:pPr>
            <w:r>
              <w:rPr>
                <w:rFonts w:hint="eastAsia" w:ascii="宋体" w:hAnsi="宋体" w:cs="宋体"/>
                <w:color w:val="000000"/>
                <w:sz w:val="24"/>
              </w:rPr>
              <w:t>发证机关</w:t>
            </w:r>
          </w:p>
        </w:tc>
        <w:tc>
          <w:tcPr>
            <w:tcW w:w="1481" w:type="pct"/>
            <w:gridSpan w:val="2"/>
            <w:vAlign w:val="center"/>
          </w:tcPr>
          <w:p w14:paraId="084A44B3">
            <w:pPr>
              <w:jc w:val="center"/>
              <w:rPr>
                <w:rFonts w:ascii="宋体" w:hAnsi="宋体" w:cs="宋体"/>
                <w:color w:val="000000"/>
                <w:sz w:val="24"/>
              </w:rPr>
            </w:pPr>
            <w:r>
              <w:rPr>
                <w:rFonts w:hint="eastAsia" w:ascii="宋体" w:hAnsi="宋体" w:cs="宋体"/>
                <w:color w:val="000000"/>
                <w:sz w:val="24"/>
              </w:rPr>
              <w:t>有效期</w:t>
            </w:r>
          </w:p>
        </w:tc>
      </w:tr>
      <w:tr w14:paraId="412BD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751" w:type="pct"/>
            <w:gridSpan w:val="4"/>
            <w:vAlign w:val="center"/>
          </w:tcPr>
          <w:p w14:paraId="0F7C465F">
            <w:pPr>
              <w:jc w:val="center"/>
              <w:rPr>
                <w:rFonts w:ascii="宋体" w:hAnsi="宋体" w:cs="宋体"/>
                <w:color w:val="000000"/>
                <w:sz w:val="24"/>
              </w:rPr>
            </w:pPr>
          </w:p>
        </w:tc>
        <w:tc>
          <w:tcPr>
            <w:tcW w:w="735" w:type="pct"/>
            <w:gridSpan w:val="2"/>
            <w:vAlign w:val="center"/>
          </w:tcPr>
          <w:p w14:paraId="233C8C91">
            <w:pPr>
              <w:jc w:val="center"/>
              <w:rPr>
                <w:rFonts w:ascii="宋体" w:hAnsi="宋体" w:cs="宋体"/>
                <w:color w:val="000000"/>
                <w:sz w:val="24"/>
              </w:rPr>
            </w:pPr>
          </w:p>
        </w:tc>
        <w:tc>
          <w:tcPr>
            <w:tcW w:w="1031" w:type="pct"/>
            <w:gridSpan w:val="2"/>
            <w:vAlign w:val="center"/>
          </w:tcPr>
          <w:p w14:paraId="456A1F23">
            <w:pPr>
              <w:jc w:val="center"/>
              <w:rPr>
                <w:rFonts w:ascii="宋体" w:hAnsi="宋体" w:cs="宋体"/>
                <w:color w:val="000000"/>
                <w:sz w:val="24"/>
              </w:rPr>
            </w:pPr>
          </w:p>
        </w:tc>
        <w:tc>
          <w:tcPr>
            <w:tcW w:w="1481" w:type="pct"/>
            <w:gridSpan w:val="2"/>
            <w:vAlign w:val="center"/>
          </w:tcPr>
          <w:p w14:paraId="579DEC43">
            <w:pPr>
              <w:jc w:val="center"/>
              <w:rPr>
                <w:rFonts w:ascii="宋体" w:hAnsi="宋体" w:cs="宋体"/>
                <w:color w:val="000000"/>
                <w:sz w:val="24"/>
              </w:rPr>
            </w:pPr>
          </w:p>
        </w:tc>
      </w:tr>
      <w:tr w14:paraId="5E295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751" w:type="pct"/>
            <w:gridSpan w:val="4"/>
            <w:vAlign w:val="center"/>
          </w:tcPr>
          <w:p w14:paraId="21EB2593">
            <w:pPr>
              <w:jc w:val="center"/>
              <w:rPr>
                <w:rFonts w:ascii="宋体" w:hAnsi="宋体" w:cs="宋体"/>
                <w:color w:val="000000"/>
                <w:sz w:val="24"/>
              </w:rPr>
            </w:pPr>
          </w:p>
        </w:tc>
        <w:tc>
          <w:tcPr>
            <w:tcW w:w="735" w:type="pct"/>
            <w:gridSpan w:val="2"/>
            <w:vAlign w:val="center"/>
          </w:tcPr>
          <w:p w14:paraId="1918AE28">
            <w:pPr>
              <w:jc w:val="center"/>
              <w:rPr>
                <w:rFonts w:ascii="宋体" w:hAnsi="宋体" w:cs="宋体"/>
                <w:color w:val="000000"/>
                <w:sz w:val="24"/>
              </w:rPr>
            </w:pPr>
          </w:p>
        </w:tc>
        <w:tc>
          <w:tcPr>
            <w:tcW w:w="1031" w:type="pct"/>
            <w:gridSpan w:val="2"/>
            <w:vAlign w:val="center"/>
          </w:tcPr>
          <w:p w14:paraId="02E9FE6E">
            <w:pPr>
              <w:jc w:val="center"/>
              <w:rPr>
                <w:rFonts w:ascii="宋体" w:hAnsi="宋体" w:cs="宋体"/>
                <w:color w:val="000000"/>
                <w:sz w:val="24"/>
              </w:rPr>
            </w:pPr>
          </w:p>
        </w:tc>
        <w:tc>
          <w:tcPr>
            <w:tcW w:w="1481" w:type="pct"/>
            <w:gridSpan w:val="2"/>
            <w:vAlign w:val="center"/>
          </w:tcPr>
          <w:p w14:paraId="06E801F0">
            <w:pPr>
              <w:jc w:val="center"/>
              <w:rPr>
                <w:rFonts w:ascii="宋体" w:hAnsi="宋体" w:cs="宋体"/>
                <w:color w:val="000000"/>
                <w:sz w:val="24"/>
              </w:rPr>
            </w:pPr>
          </w:p>
        </w:tc>
      </w:tr>
      <w:tr w14:paraId="51A58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751" w:type="pct"/>
            <w:gridSpan w:val="4"/>
            <w:vAlign w:val="center"/>
          </w:tcPr>
          <w:p w14:paraId="18F194A8">
            <w:pPr>
              <w:jc w:val="center"/>
              <w:rPr>
                <w:rFonts w:ascii="宋体" w:hAnsi="宋体" w:cs="宋体"/>
                <w:color w:val="000000"/>
                <w:sz w:val="24"/>
              </w:rPr>
            </w:pPr>
          </w:p>
        </w:tc>
        <w:tc>
          <w:tcPr>
            <w:tcW w:w="735" w:type="pct"/>
            <w:gridSpan w:val="2"/>
            <w:vAlign w:val="center"/>
          </w:tcPr>
          <w:p w14:paraId="6543A5C6">
            <w:pPr>
              <w:jc w:val="center"/>
              <w:rPr>
                <w:rFonts w:ascii="宋体" w:hAnsi="宋体" w:cs="宋体"/>
                <w:color w:val="000000"/>
                <w:sz w:val="24"/>
              </w:rPr>
            </w:pPr>
          </w:p>
        </w:tc>
        <w:tc>
          <w:tcPr>
            <w:tcW w:w="1031" w:type="pct"/>
            <w:gridSpan w:val="2"/>
            <w:vAlign w:val="center"/>
          </w:tcPr>
          <w:p w14:paraId="50EDC1C5">
            <w:pPr>
              <w:jc w:val="center"/>
              <w:rPr>
                <w:rFonts w:ascii="宋体" w:hAnsi="宋体" w:cs="宋体"/>
                <w:color w:val="000000"/>
                <w:sz w:val="24"/>
              </w:rPr>
            </w:pPr>
          </w:p>
        </w:tc>
        <w:tc>
          <w:tcPr>
            <w:tcW w:w="1481" w:type="pct"/>
            <w:gridSpan w:val="2"/>
            <w:vAlign w:val="center"/>
          </w:tcPr>
          <w:p w14:paraId="7028538D">
            <w:pPr>
              <w:jc w:val="center"/>
              <w:rPr>
                <w:rFonts w:ascii="宋体" w:hAnsi="宋体" w:cs="宋体"/>
                <w:color w:val="000000"/>
                <w:sz w:val="24"/>
              </w:rPr>
            </w:pPr>
          </w:p>
        </w:tc>
      </w:tr>
      <w:tr w14:paraId="75EC8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751" w:type="pct"/>
            <w:gridSpan w:val="4"/>
            <w:vAlign w:val="center"/>
          </w:tcPr>
          <w:p w14:paraId="4BA4E5DA">
            <w:pPr>
              <w:jc w:val="center"/>
              <w:rPr>
                <w:rFonts w:ascii="宋体" w:hAnsi="宋体" w:cs="宋体"/>
                <w:color w:val="000000"/>
                <w:sz w:val="24"/>
              </w:rPr>
            </w:pPr>
          </w:p>
        </w:tc>
        <w:tc>
          <w:tcPr>
            <w:tcW w:w="735" w:type="pct"/>
            <w:gridSpan w:val="2"/>
            <w:vAlign w:val="center"/>
          </w:tcPr>
          <w:p w14:paraId="5E48F9D0">
            <w:pPr>
              <w:jc w:val="center"/>
              <w:rPr>
                <w:rFonts w:ascii="宋体" w:hAnsi="宋体" w:cs="宋体"/>
                <w:color w:val="000000"/>
                <w:sz w:val="24"/>
              </w:rPr>
            </w:pPr>
          </w:p>
        </w:tc>
        <w:tc>
          <w:tcPr>
            <w:tcW w:w="1031" w:type="pct"/>
            <w:gridSpan w:val="2"/>
            <w:vAlign w:val="center"/>
          </w:tcPr>
          <w:p w14:paraId="08D1178F">
            <w:pPr>
              <w:jc w:val="center"/>
              <w:rPr>
                <w:rFonts w:ascii="宋体" w:hAnsi="宋体" w:cs="宋体"/>
                <w:color w:val="000000"/>
                <w:sz w:val="24"/>
              </w:rPr>
            </w:pPr>
          </w:p>
        </w:tc>
        <w:tc>
          <w:tcPr>
            <w:tcW w:w="1481" w:type="pct"/>
            <w:gridSpan w:val="2"/>
            <w:vAlign w:val="center"/>
          </w:tcPr>
          <w:p w14:paraId="71666C1D">
            <w:pPr>
              <w:jc w:val="center"/>
              <w:rPr>
                <w:rFonts w:ascii="宋体" w:hAnsi="宋体" w:cs="宋体"/>
                <w:color w:val="000000"/>
                <w:sz w:val="24"/>
              </w:rPr>
            </w:pPr>
          </w:p>
        </w:tc>
      </w:tr>
      <w:tr w14:paraId="12F75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751" w:type="pct"/>
            <w:gridSpan w:val="4"/>
            <w:vAlign w:val="center"/>
          </w:tcPr>
          <w:p w14:paraId="7236CCD0">
            <w:pPr>
              <w:jc w:val="center"/>
              <w:rPr>
                <w:rFonts w:ascii="宋体" w:hAnsi="宋体" w:cs="宋体"/>
                <w:color w:val="000000"/>
                <w:sz w:val="24"/>
              </w:rPr>
            </w:pPr>
          </w:p>
        </w:tc>
        <w:tc>
          <w:tcPr>
            <w:tcW w:w="735" w:type="pct"/>
            <w:gridSpan w:val="2"/>
            <w:vAlign w:val="center"/>
          </w:tcPr>
          <w:p w14:paraId="65EA956F">
            <w:pPr>
              <w:jc w:val="center"/>
              <w:rPr>
                <w:rFonts w:ascii="宋体" w:hAnsi="宋体" w:cs="宋体"/>
                <w:color w:val="000000"/>
                <w:sz w:val="24"/>
              </w:rPr>
            </w:pPr>
          </w:p>
        </w:tc>
        <w:tc>
          <w:tcPr>
            <w:tcW w:w="1031" w:type="pct"/>
            <w:gridSpan w:val="2"/>
            <w:vAlign w:val="center"/>
          </w:tcPr>
          <w:p w14:paraId="780E5740">
            <w:pPr>
              <w:jc w:val="center"/>
              <w:rPr>
                <w:rFonts w:ascii="宋体" w:hAnsi="宋体" w:cs="宋体"/>
                <w:color w:val="000000"/>
                <w:sz w:val="24"/>
              </w:rPr>
            </w:pPr>
          </w:p>
        </w:tc>
        <w:tc>
          <w:tcPr>
            <w:tcW w:w="1481" w:type="pct"/>
            <w:gridSpan w:val="2"/>
            <w:vAlign w:val="center"/>
          </w:tcPr>
          <w:p w14:paraId="371F4AA5">
            <w:pPr>
              <w:jc w:val="center"/>
              <w:rPr>
                <w:rFonts w:ascii="宋体" w:hAnsi="宋体" w:cs="宋体"/>
                <w:color w:val="000000"/>
                <w:sz w:val="24"/>
              </w:rPr>
            </w:pPr>
          </w:p>
        </w:tc>
      </w:tr>
      <w:tr w14:paraId="2343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5" w:type="pct"/>
            <w:gridSpan w:val="2"/>
            <w:vAlign w:val="center"/>
          </w:tcPr>
          <w:p w14:paraId="46BB5632">
            <w:pPr>
              <w:jc w:val="center"/>
              <w:rPr>
                <w:rFonts w:ascii="宋体" w:hAnsi="宋体" w:cs="宋体"/>
                <w:color w:val="000000"/>
                <w:sz w:val="24"/>
              </w:rPr>
            </w:pPr>
            <w:r>
              <w:rPr>
                <w:rFonts w:hint="eastAsia" w:ascii="宋体" w:hAnsi="宋体" w:cs="宋体"/>
                <w:color w:val="000000"/>
                <w:sz w:val="24"/>
              </w:rPr>
              <w:t>备注</w:t>
            </w:r>
          </w:p>
        </w:tc>
        <w:tc>
          <w:tcPr>
            <w:tcW w:w="4134" w:type="pct"/>
            <w:gridSpan w:val="8"/>
            <w:vAlign w:val="center"/>
          </w:tcPr>
          <w:p w14:paraId="3D1213DD">
            <w:pPr>
              <w:jc w:val="center"/>
              <w:rPr>
                <w:rFonts w:ascii="宋体" w:hAnsi="宋体" w:cs="宋体"/>
                <w:color w:val="000000"/>
                <w:sz w:val="24"/>
              </w:rPr>
            </w:pPr>
          </w:p>
        </w:tc>
      </w:tr>
    </w:tbl>
    <w:p w14:paraId="7E97026C">
      <w:pPr>
        <w:spacing w:line="480" w:lineRule="auto"/>
        <w:rPr>
          <w:rFonts w:ascii="宋体" w:hAnsi="宋体" w:cs="宋体"/>
          <w:b/>
          <w:color w:val="000000"/>
          <w:sz w:val="24"/>
        </w:rPr>
      </w:pPr>
    </w:p>
    <w:p w14:paraId="7E983A2F">
      <w:pPr>
        <w:rPr>
          <w:rFonts w:ascii="宋体" w:hAnsi="宋体" w:cs="宋体"/>
          <w:b/>
          <w:color w:val="000000"/>
          <w:sz w:val="24"/>
        </w:rPr>
      </w:pPr>
      <w:r>
        <w:rPr>
          <w:rFonts w:hint="eastAsia" w:ascii="宋体" w:hAnsi="宋体" w:cs="宋体"/>
          <w:b/>
          <w:color w:val="000000"/>
          <w:sz w:val="24"/>
        </w:rPr>
        <w:br w:type="page"/>
      </w:r>
    </w:p>
    <w:p w14:paraId="691EB959">
      <w:pPr>
        <w:spacing w:line="480" w:lineRule="auto"/>
        <w:rPr>
          <w:rFonts w:ascii="宋体" w:hAnsi="宋体" w:cs="宋体"/>
          <w:b/>
          <w:color w:val="000000"/>
          <w:sz w:val="24"/>
        </w:rPr>
      </w:pPr>
      <w:r>
        <w:rPr>
          <w:rFonts w:hint="eastAsia" w:ascii="宋体" w:hAnsi="宋体" w:cs="宋体"/>
          <w:b/>
          <w:color w:val="000000"/>
          <w:sz w:val="24"/>
        </w:rPr>
        <w:t>以下相关资料需提供加盖公章的复印件：</w:t>
      </w:r>
    </w:p>
    <w:p w14:paraId="239287C0">
      <w:pPr>
        <w:spacing w:line="360" w:lineRule="auto"/>
        <w:rPr>
          <w:rFonts w:hint="eastAsia" w:ascii="宋体" w:hAnsi="宋体" w:eastAsia="宋体" w:cs="宋体"/>
          <w:b/>
          <w:bCs w:val="0"/>
          <w:color w:val="auto"/>
          <w:sz w:val="24"/>
          <w:highlight w:val="none"/>
        </w:rPr>
      </w:pPr>
      <w:bookmarkStart w:id="72" w:name="_Toc494096894"/>
      <w:r>
        <w:rPr>
          <w:rFonts w:hint="eastAsia" w:ascii="宋体" w:hAnsi="宋体" w:eastAsia="宋体" w:cs="宋体"/>
          <w:b/>
          <w:bCs w:val="0"/>
          <w:color w:val="auto"/>
          <w:sz w:val="24"/>
          <w:highlight w:val="none"/>
        </w:rPr>
        <w:t>（1）提供合格有效的法人或者其他组织的营业执照等证明文件或自然人的身份证明；</w:t>
      </w:r>
    </w:p>
    <w:p w14:paraId="6F8CA250">
      <w:pPr>
        <w:numPr>
          <w:ilvl w:val="255"/>
          <w:numId w:val="0"/>
        </w:numPr>
        <w:spacing w:line="4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41AFF23C">
      <w:pPr>
        <w:numPr>
          <w:ilvl w:val="0"/>
          <w:numId w:val="0"/>
        </w:numPr>
        <w:rPr>
          <w:rFonts w:asciiTheme="minorEastAsia" w:hAnsiTheme="minorEastAsia" w:eastAsiaTheme="minorEastAsia" w:cstheme="minorEastAsia"/>
          <w:sz w:val="24"/>
        </w:rPr>
      </w:pPr>
      <w:r>
        <w:rPr>
          <w:rFonts w:hint="eastAsia" w:ascii="宋体" w:hAnsi="宋体" w:eastAsia="宋体" w:cs="宋体"/>
          <w:b/>
          <w:bCs/>
          <w:color w:val="auto"/>
          <w:kern w:val="2"/>
          <w:sz w:val="24"/>
          <w:szCs w:val="24"/>
          <w:lang w:val="en-US" w:eastAsia="zh-CN" w:bidi="ar-SA"/>
        </w:rPr>
        <w:t>（2）</w:t>
      </w:r>
      <w:r>
        <w:rPr>
          <w:rFonts w:hint="eastAsia" w:ascii="宋体" w:hAnsi="宋体" w:eastAsia="宋体" w:cs="宋体"/>
          <w:b/>
          <w:bCs/>
          <w:color w:val="auto"/>
          <w:sz w:val="24"/>
          <w:highlight w:val="none"/>
        </w:rPr>
        <w:t>财务状况报告：</w:t>
      </w:r>
      <w:r>
        <w:rPr>
          <w:rFonts w:hint="eastAsia" w:ascii="宋体" w:hAnsi="宋体" w:eastAsia="宋体" w:cs="宋体"/>
          <w:b/>
          <w:bCs/>
          <w:color w:val="auto"/>
          <w:sz w:val="24"/>
          <w:highlight w:val="none"/>
          <w:lang w:eastAsia="zh-CN"/>
        </w:rPr>
        <w:t>提供202</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lang w:eastAsia="zh-CN"/>
        </w:rPr>
        <w:t>年度或2024年度的财务审计报告或开标前六个月内其基本存款账户开户银行出具的资信证明（附开户许可证或开户备案证明或基本账户信息）</w:t>
      </w:r>
      <w:r>
        <w:rPr>
          <w:rFonts w:hint="eastAsia" w:ascii="宋体" w:hAnsi="宋体" w:eastAsia="宋体" w:cs="宋体"/>
          <w:b/>
          <w:bCs/>
          <w:color w:val="auto"/>
          <w:sz w:val="24"/>
          <w:highlight w:val="none"/>
        </w:rPr>
        <w:t>；</w:t>
      </w:r>
      <w:r>
        <w:rPr>
          <w:rFonts w:hint="eastAsia" w:asciiTheme="minorEastAsia" w:hAnsiTheme="minorEastAsia" w:eastAsiaTheme="minorEastAsia" w:cstheme="minorEastAsia"/>
          <w:sz w:val="24"/>
        </w:rPr>
        <w:br w:type="page"/>
      </w:r>
    </w:p>
    <w:p w14:paraId="284E70FF">
      <w:pPr>
        <w:numPr>
          <w:ilvl w:val="0"/>
          <w:numId w:val="0"/>
        </w:numPr>
        <w:ind w:left="0" w:leftChars="0" w:firstLine="0" w:firstLineChars="0"/>
        <w:rPr>
          <w:rFonts w:hint="eastAsia" w:ascii="宋体" w:hAnsi="宋体" w:eastAsia="宋体" w:cs="宋体"/>
          <w:b/>
          <w:bCs/>
          <w:color w:val="auto"/>
          <w:sz w:val="24"/>
          <w:highlight w:val="none"/>
        </w:rPr>
      </w:pPr>
      <w:r>
        <w:rPr>
          <w:rFonts w:hint="eastAsia" w:ascii="宋体" w:hAnsi="宋体" w:eastAsia="宋体" w:cs="宋体"/>
          <w:b/>
          <w:bCs/>
          <w:color w:val="auto"/>
          <w:kern w:val="2"/>
          <w:sz w:val="24"/>
          <w:szCs w:val="24"/>
          <w:lang w:val="en-US" w:eastAsia="zh-CN" w:bidi="ar-SA"/>
        </w:rPr>
        <w:t>（</w:t>
      </w:r>
      <w:r>
        <w:rPr>
          <w:rFonts w:hint="eastAsia" w:ascii="宋体" w:hAnsi="宋体" w:cs="宋体"/>
          <w:b/>
          <w:bCs/>
          <w:color w:val="auto"/>
          <w:kern w:val="2"/>
          <w:sz w:val="24"/>
          <w:szCs w:val="24"/>
          <w:lang w:val="en-US" w:eastAsia="zh-CN" w:bidi="ar-SA"/>
        </w:rPr>
        <w:t>3</w:t>
      </w:r>
      <w:r>
        <w:rPr>
          <w:rFonts w:hint="eastAsia" w:ascii="宋体" w:hAnsi="宋体" w:eastAsia="宋体" w:cs="宋体"/>
          <w:b/>
          <w:bCs/>
          <w:color w:val="auto"/>
          <w:kern w:val="2"/>
          <w:sz w:val="24"/>
          <w:szCs w:val="24"/>
          <w:lang w:val="en-US" w:eastAsia="zh-CN" w:bidi="ar-SA"/>
        </w:rPr>
        <w:t>）</w:t>
      </w:r>
      <w:r>
        <w:rPr>
          <w:rFonts w:hint="eastAsia" w:ascii="宋体" w:hAnsi="宋体" w:eastAsia="宋体" w:cs="宋体"/>
          <w:b/>
          <w:bCs/>
          <w:color w:val="auto"/>
          <w:sz w:val="24"/>
          <w:highlight w:val="none"/>
        </w:rPr>
        <w:t>税收缴纳证明：</w:t>
      </w:r>
      <w:r>
        <w:rPr>
          <w:rFonts w:hint="eastAsia" w:ascii="宋体" w:hAnsi="宋体" w:eastAsia="宋体" w:cs="宋体"/>
          <w:b/>
          <w:bCs/>
          <w:color w:val="auto"/>
          <w:sz w:val="24"/>
          <w:highlight w:val="none"/>
          <w:lang w:eastAsia="zh-CN"/>
        </w:rPr>
        <w:t>202</w:t>
      </w: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lang w:eastAsia="zh-CN"/>
        </w:rPr>
        <w:t>年</w:t>
      </w:r>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lang w:eastAsia="zh-CN"/>
        </w:rPr>
        <w:t>月01日至今已缴存的至少一个月的纳税证明或完税证明，依法免税的单位应提供相关证明材料</w:t>
      </w:r>
      <w:r>
        <w:rPr>
          <w:rFonts w:hint="eastAsia" w:ascii="宋体" w:hAnsi="宋体" w:eastAsia="宋体" w:cs="宋体"/>
          <w:b/>
          <w:bCs/>
          <w:color w:val="auto"/>
          <w:sz w:val="24"/>
          <w:highlight w:val="none"/>
        </w:rPr>
        <w:t>；</w:t>
      </w:r>
    </w:p>
    <w:p w14:paraId="3E084C03">
      <w:pPr>
        <w:numPr>
          <w:ilvl w:val="0"/>
          <w:numId w:val="0"/>
        </w:numPr>
        <w:ind w:left="0" w:leftChars="0" w:firstLine="0"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68C2C742">
      <w:pPr>
        <w:numPr>
          <w:ilvl w:val="0"/>
          <w:numId w:val="0"/>
        </w:numPr>
        <w:rPr>
          <w:rFonts w:asciiTheme="minorEastAsia" w:hAnsiTheme="minorEastAsia" w:eastAsiaTheme="minorEastAsia" w:cstheme="minorEastAsia"/>
          <w:sz w:val="24"/>
        </w:rPr>
      </w:pPr>
      <w:r>
        <w:rPr>
          <w:rFonts w:hint="eastAsia" w:ascii="宋体" w:hAnsi="宋体" w:eastAsia="宋体" w:cs="宋体"/>
          <w:b/>
          <w:bCs/>
          <w:color w:val="auto"/>
          <w:kern w:val="2"/>
          <w:sz w:val="24"/>
          <w:szCs w:val="24"/>
          <w:lang w:val="en-US" w:eastAsia="zh-CN" w:bidi="ar-SA"/>
        </w:rPr>
        <w:t>（4）</w:t>
      </w:r>
      <w:r>
        <w:rPr>
          <w:rFonts w:hint="eastAsia" w:ascii="宋体" w:hAnsi="宋体" w:eastAsia="宋体" w:cs="宋体"/>
          <w:b/>
          <w:bCs/>
          <w:color w:val="auto"/>
          <w:sz w:val="24"/>
          <w:highlight w:val="none"/>
        </w:rPr>
        <w:t>社会保障资金缴纳证明：</w:t>
      </w:r>
      <w:r>
        <w:rPr>
          <w:rFonts w:hint="eastAsia" w:ascii="宋体" w:hAnsi="宋体" w:eastAsia="宋体" w:cs="宋体"/>
          <w:b/>
          <w:bCs/>
          <w:color w:val="auto"/>
          <w:sz w:val="24"/>
          <w:highlight w:val="none"/>
          <w:lang w:eastAsia="zh-CN"/>
        </w:rPr>
        <w:t>202</w:t>
      </w: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lang w:eastAsia="zh-CN"/>
        </w:rPr>
        <w:t>年</w:t>
      </w:r>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lang w:eastAsia="zh-CN"/>
        </w:rPr>
        <w:t>月01日至今已缴存的至少一个月的社会保障资金缴存单据或社保机构开具的社会保险参保缴费情况证明，依法不需要缴纳社会保障资金的单位应提供相关证明材料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b/>
          <w:bCs/>
          <w:color w:val="auto"/>
          <w:sz w:val="24"/>
          <w:highlight w:val="none"/>
        </w:rPr>
        <w:t>；</w:t>
      </w:r>
      <w:r>
        <w:rPr>
          <w:rFonts w:hint="eastAsia" w:asciiTheme="minorEastAsia" w:hAnsiTheme="minorEastAsia" w:eastAsiaTheme="minorEastAsia" w:cstheme="minorEastAsia"/>
          <w:sz w:val="24"/>
        </w:rPr>
        <w:br w:type="page"/>
      </w:r>
    </w:p>
    <w:p w14:paraId="07DF685E">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（5）参加政府采购活动前3年内，在经营活动中没有重大违法记录的书面声明；</w:t>
      </w:r>
    </w:p>
    <w:p w14:paraId="790346A0">
      <w:pPr>
        <w:spacing w:line="360" w:lineRule="auto"/>
        <w:ind w:firstLine="843" w:firstLineChars="3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参加政府采购活动前三年内在经营活动中没有重大违法记录的</w:t>
      </w:r>
    </w:p>
    <w:p w14:paraId="76F5CF78">
      <w:pPr>
        <w:spacing w:line="360" w:lineRule="auto"/>
        <w:ind w:firstLine="843" w:firstLineChars="3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书面声明</w:t>
      </w:r>
    </w:p>
    <w:p w14:paraId="5171FA72">
      <w:pPr>
        <w:widowControl/>
        <w:spacing w:line="48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(采购代理机构)</w:t>
      </w:r>
    </w:p>
    <w:p w14:paraId="35C813D3">
      <w:pPr>
        <w:widowControl/>
        <w:spacing w:line="48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我单位在参加采购活动前三年内在经营活动中没有政府采购法第二十二条第一款第(五)项所称重大违法记录，包括：</w:t>
      </w:r>
    </w:p>
    <w:p w14:paraId="7045CDE1">
      <w:pPr>
        <w:widowControl/>
        <w:spacing w:line="480" w:lineRule="auto"/>
        <w:ind w:firstLine="240" w:firstLineChars="1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（一）我单位或者其法定代表人、董事、监事、高级管理人员因经营活动中的违法行为受到</w:t>
      </w:r>
      <w:r>
        <w:rPr>
          <w:rFonts w:hint="eastAsia" w:ascii="宋体" w:hAnsi="宋体" w:eastAsia="宋体" w:cs="宋体"/>
          <w:color w:val="auto"/>
          <w:kern w:val="0"/>
          <w:sz w:val="24"/>
          <w:szCs w:val="24"/>
          <w:highlight w:val="none"/>
          <w:lang w:eastAsia="zh-CN"/>
        </w:rPr>
        <w:t>较大数额</w:t>
      </w:r>
      <w:r>
        <w:rPr>
          <w:rFonts w:hint="eastAsia" w:ascii="宋体" w:hAnsi="宋体" w:eastAsia="宋体" w:cs="宋体"/>
          <w:color w:val="auto"/>
          <w:kern w:val="0"/>
          <w:sz w:val="24"/>
          <w:szCs w:val="24"/>
          <w:highlight w:val="none"/>
        </w:rPr>
        <w:t>行政处罚；</w:t>
      </w:r>
    </w:p>
    <w:p w14:paraId="1556ABC7">
      <w:pPr>
        <w:widowControl/>
        <w:spacing w:line="480" w:lineRule="auto"/>
        <w:ind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（二）我单位或者其法定代表人、董事、监事、高级管理人员因经营活动中的违法行为受到刑事处罚。</w:t>
      </w:r>
    </w:p>
    <w:p w14:paraId="4F7219EB">
      <w:pPr>
        <w:widowControl/>
        <w:spacing w:line="48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特此声明!</w:t>
      </w:r>
    </w:p>
    <w:p w14:paraId="2DB13598">
      <w:pPr>
        <w:widowControl/>
        <w:spacing w:line="480" w:lineRule="auto"/>
        <w:jc w:val="left"/>
        <w:rPr>
          <w:rFonts w:hint="eastAsia" w:ascii="宋体" w:hAnsi="宋体" w:eastAsia="宋体" w:cs="宋体"/>
          <w:color w:val="auto"/>
          <w:kern w:val="0"/>
          <w:sz w:val="24"/>
          <w:highlight w:val="none"/>
        </w:rPr>
      </w:pPr>
    </w:p>
    <w:p w14:paraId="482FC7E1">
      <w:pPr>
        <w:widowControl/>
        <w:spacing w:line="480" w:lineRule="auto"/>
        <w:jc w:val="left"/>
        <w:rPr>
          <w:rFonts w:hint="eastAsia" w:ascii="宋体" w:hAnsi="宋体" w:eastAsia="宋体" w:cs="宋体"/>
          <w:color w:val="auto"/>
          <w:kern w:val="0"/>
          <w:sz w:val="24"/>
          <w:highlight w:val="none"/>
        </w:rPr>
      </w:pPr>
    </w:p>
    <w:p w14:paraId="6738FEF6">
      <w:pPr>
        <w:widowControl/>
        <w:spacing w:line="480"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供应商名称：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公</w:t>
      </w:r>
      <w:r>
        <w:rPr>
          <w:rFonts w:hint="eastAsia" w:ascii="宋体" w:hAnsi="宋体" w:eastAsia="宋体" w:cs="宋体"/>
          <w:color w:val="auto"/>
          <w:kern w:val="0"/>
          <w:sz w:val="24"/>
          <w:highlight w:val="none"/>
        </w:rPr>
        <w:t>章)</w:t>
      </w:r>
    </w:p>
    <w:p w14:paraId="276B8C47">
      <w:pPr>
        <w:widowControl/>
        <w:spacing w:line="48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法定代表人</w:t>
      </w:r>
      <w:r>
        <w:rPr>
          <w:rFonts w:hint="eastAsia" w:ascii="宋体" w:hAnsi="宋体" w:eastAsia="宋体" w:cs="宋体"/>
          <w:color w:val="auto"/>
          <w:sz w:val="24"/>
          <w:highlight w:val="none"/>
        </w:rPr>
        <w:t>或其授权代表</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(签字或盖章)</w:t>
      </w:r>
    </w:p>
    <w:p w14:paraId="0FA0F826">
      <w:pPr>
        <w:widowControl/>
        <w:spacing w:line="480" w:lineRule="auto"/>
        <w:ind w:firstLine="3600" w:firstLineChars="15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      期：</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p>
    <w:p w14:paraId="2517CCBE">
      <w:pPr>
        <w:spacing w:line="360" w:lineRule="auto"/>
        <w:rPr>
          <w:rFonts w:hint="eastAsia" w:ascii="宋体" w:hAnsi="宋体" w:eastAsia="宋体" w:cs="宋体"/>
          <w:b/>
          <w:color w:val="auto"/>
          <w:kern w:val="0"/>
          <w:sz w:val="32"/>
          <w:szCs w:val="32"/>
          <w:highlight w:val="none"/>
        </w:rPr>
      </w:pPr>
    </w:p>
    <w:p w14:paraId="0B0FBC67">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注：成立不足三年的供应商提供自成立之日起至开标之日止的无重大违法记录声明。</w:t>
      </w:r>
    </w:p>
    <w:p w14:paraId="037B1BC4">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4FCAFED1">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（6）具备履行合同所必需的设备和专业技术能力的证明材料(由供应商根据项目需求提供说明材料或者承诺)；</w:t>
      </w:r>
    </w:p>
    <w:p w14:paraId="4D93861D">
      <w:pPr>
        <w:pStyle w:val="11"/>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具备履行合同所必需的设备和专业技术能力的证明材料</w:t>
      </w:r>
    </w:p>
    <w:p w14:paraId="73B3966B">
      <w:pPr>
        <w:pStyle w:val="11"/>
        <w:spacing w:line="360" w:lineRule="auto"/>
        <w:jc w:val="center"/>
        <w:rPr>
          <w:rFonts w:hint="eastAsia" w:ascii="宋体" w:hAnsi="宋体" w:eastAsia="宋体" w:cs="宋体"/>
          <w:b/>
          <w:bCs/>
          <w:color w:val="auto"/>
          <w:sz w:val="28"/>
          <w:szCs w:val="28"/>
          <w:highlight w:val="none"/>
        </w:rPr>
      </w:pPr>
    </w:p>
    <w:p w14:paraId="1FE87F01">
      <w:pPr>
        <w:spacing w:line="360" w:lineRule="auto"/>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u w:val="single"/>
        </w:rPr>
        <w:t xml:space="preserve">               （采购人名称）</w:t>
      </w:r>
      <w:r>
        <w:rPr>
          <w:rFonts w:hint="eastAsia" w:ascii="宋体" w:hAnsi="宋体" w:eastAsia="宋体" w:cs="宋体"/>
          <w:color w:val="auto"/>
          <w:spacing w:val="4"/>
          <w:sz w:val="24"/>
          <w:highlight w:val="none"/>
        </w:rPr>
        <w:t>：</w:t>
      </w:r>
    </w:p>
    <w:p w14:paraId="629A1454">
      <w:pPr>
        <w:pStyle w:val="2"/>
        <w:spacing w:line="480" w:lineRule="auto"/>
        <w:rPr>
          <w:rFonts w:hint="eastAsia" w:ascii="宋体" w:hAnsi="宋体" w:eastAsia="宋体" w:cs="宋体"/>
          <w:color w:val="auto"/>
          <w:highlight w:val="none"/>
        </w:rPr>
      </w:pPr>
    </w:p>
    <w:p w14:paraId="1E346EA1">
      <w:pPr>
        <w:keepNext w:val="0"/>
        <w:keepLines w:val="0"/>
        <w:pageBreakBefore w:val="0"/>
        <w:widowControl/>
        <w:kinsoku/>
        <w:wordWrap/>
        <w:overflowPunct/>
        <w:topLinePunct w:val="0"/>
        <w:autoSpaceDE/>
        <w:autoSpaceDN/>
        <w:bidi w:val="0"/>
        <w:adjustRightInd/>
        <w:snapToGrid/>
        <w:spacing w:line="480" w:lineRule="auto"/>
        <w:ind w:firstLine="496"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pacing w:val="4"/>
          <w:sz w:val="24"/>
          <w:highlight w:val="none"/>
          <w:u w:val="single"/>
        </w:rPr>
        <w:t xml:space="preserve">         （供应商名称）</w:t>
      </w:r>
      <w:r>
        <w:rPr>
          <w:rFonts w:hint="eastAsia" w:ascii="宋体" w:hAnsi="宋体" w:eastAsia="宋体" w:cs="宋体"/>
          <w:color w:val="auto"/>
          <w:spacing w:val="4"/>
          <w:sz w:val="24"/>
          <w:highlight w:val="none"/>
        </w:rPr>
        <w:t>于</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rPr>
        <w:t>年</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rPr>
        <w:t>月</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rPr>
        <w:t>日在中华人民共和国境内</w:t>
      </w:r>
      <w:r>
        <w:rPr>
          <w:rFonts w:hint="eastAsia" w:ascii="宋体" w:hAnsi="宋体" w:eastAsia="宋体" w:cs="宋体"/>
          <w:color w:val="auto"/>
          <w:spacing w:val="4"/>
          <w:sz w:val="24"/>
          <w:highlight w:val="none"/>
          <w:u w:val="single"/>
        </w:rPr>
        <w:t xml:space="preserve">    （详细注册地址）</w:t>
      </w:r>
      <w:r>
        <w:rPr>
          <w:rFonts w:hint="eastAsia" w:ascii="宋体" w:hAnsi="宋体" w:eastAsia="宋体" w:cs="宋体"/>
          <w:color w:val="auto"/>
          <w:spacing w:val="4"/>
          <w:sz w:val="24"/>
          <w:highlight w:val="none"/>
        </w:rPr>
        <w:t>合法注册并经营，公司主营业务为</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rPr>
        <w:t>，营业（生产经营）面积为</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rPr>
        <w:t>，现有员工数量为</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rPr>
        <w:t>，</w:t>
      </w:r>
      <w:r>
        <w:rPr>
          <w:rFonts w:hint="eastAsia" w:ascii="宋体" w:hAnsi="宋体" w:eastAsia="宋体" w:cs="宋体"/>
          <w:color w:val="auto"/>
          <w:kern w:val="0"/>
          <w:sz w:val="24"/>
          <w:highlight w:val="none"/>
        </w:rPr>
        <w:t>其中与履行本合同相关的专业技术人员有（</w:t>
      </w:r>
      <w:r>
        <w:rPr>
          <w:rFonts w:hint="eastAsia" w:ascii="宋体" w:hAnsi="宋体" w:eastAsia="宋体" w:cs="宋体"/>
          <w:color w:val="auto"/>
          <w:kern w:val="0"/>
          <w:sz w:val="24"/>
          <w:highlight w:val="none"/>
          <w:u w:val="single"/>
        </w:rPr>
        <w:t xml:space="preserve">    专业能力、数量     </w:t>
      </w:r>
      <w:r>
        <w:rPr>
          <w:rFonts w:hint="eastAsia" w:ascii="宋体" w:hAnsi="宋体" w:eastAsia="宋体" w:cs="宋体"/>
          <w:color w:val="auto"/>
          <w:kern w:val="0"/>
          <w:sz w:val="24"/>
          <w:highlight w:val="none"/>
        </w:rPr>
        <w:t>），本公司郑重承诺，具有履行本合同所必需的设备和专业技术能力。</w:t>
      </w:r>
    </w:p>
    <w:p w14:paraId="7D264A39">
      <w:pPr>
        <w:spacing w:line="480" w:lineRule="auto"/>
        <w:ind w:firstLine="496" w:firstLineChars="200"/>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本公司郑重承诺，具有履行本合同所必需的设备和专业技术能力。</w:t>
      </w:r>
    </w:p>
    <w:p w14:paraId="1BA27ABD">
      <w:pPr>
        <w:spacing w:line="360" w:lineRule="auto"/>
        <w:rPr>
          <w:rFonts w:hint="eastAsia" w:ascii="宋体" w:hAnsi="宋体" w:eastAsia="宋体" w:cs="宋体"/>
          <w:color w:val="auto"/>
          <w:spacing w:val="4"/>
          <w:sz w:val="24"/>
          <w:highlight w:val="none"/>
        </w:rPr>
      </w:pPr>
    </w:p>
    <w:p w14:paraId="6529C9D1">
      <w:pPr>
        <w:pStyle w:val="11"/>
        <w:adjustRightInd w:val="0"/>
        <w:snapToGrid w:val="0"/>
        <w:spacing w:line="360" w:lineRule="auto"/>
        <w:rPr>
          <w:rFonts w:hint="eastAsia" w:ascii="宋体" w:hAnsi="宋体" w:eastAsia="宋体" w:cs="宋体"/>
          <w:color w:val="auto"/>
          <w:spacing w:val="4"/>
          <w:sz w:val="32"/>
          <w:szCs w:val="32"/>
          <w:highlight w:val="none"/>
        </w:rPr>
      </w:pPr>
    </w:p>
    <w:p w14:paraId="105503B8">
      <w:pPr>
        <w:pStyle w:val="11"/>
        <w:adjustRightInd w:val="0"/>
        <w:snapToGrid w:val="0"/>
        <w:spacing w:line="360" w:lineRule="auto"/>
        <w:rPr>
          <w:rFonts w:hint="eastAsia" w:ascii="宋体" w:hAnsi="宋体" w:eastAsia="宋体" w:cs="宋体"/>
          <w:color w:val="auto"/>
          <w:spacing w:val="4"/>
          <w:sz w:val="32"/>
          <w:szCs w:val="32"/>
          <w:highlight w:val="none"/>
        </w:rPr>
      </w:pPr>
    </w:p>
    <w:p w14:paraId="0B23D0B5">
      <w:pPr>
        <w:spacing w:after="480" w:afterLines="200" w:line="360" w:lineRule="auto"/>
        <w:ind w:firstLine="3120" w:firstLineChars="1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公</w:t>
      </w:r>
      <w:r>
        <w:rPr>
          <w:rFonts w:hint="eastAsia" w:ascii="宋体" w:hAnsi="宋体" w:eastAsia="宋体" w:cs="宋体"/>
          <w:color w:val="auto"/>
          <w:sz w:val="24"/>
          <w:highlight w:val="none"/>
        </w:rPr>
        <w:t>章）</w:t>
      </w:r>
    </w:p>
    <w:p w14:paraId="5EB7C462">
      <w:pPr>
        <w:spacing w:line="360" w:lineRule="auto"/>
        <w:ind w:firstLine="3120" w:firstLineChars="1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法定代表人或其授权代表：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(签字或盖章)</w:t>
      </w:r>
    </w:p>
    <w:p w14:paraId="771D8232">
      <w:pPr>
        <w:spacing w:before="480" w:beforeLines="200" w:line="360" w:lineRule="auto"/>
        <w:ind w:firstLine="3120" w:firstLineChars="1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3104941C">
      <w:pPr>
        <w:pStyle w:val="11"/>
        <w:spacing w:line="288" w:lineRule="auto"/>
        <w:jc w:val="left"/>
        <w:rPr>
          <w:rFonts w:hint="eastAsia" w:ascii="宋体" w:hAnsi="宋体" w:eastAsia="宋体" w:cs="宋体"/>
          <w:color w:val="auto"/>
          <w:sz w:val="24"/>
          <w:szCs w:val="24"/>
          <w:highlight w:val="none"/>
        </w:rPr>
      </w:pPr>
    </w:p>
    <w:p w14:paraId="572D5072">
      <w:pPr>
        <w:pStyle w:val="11"/>
        <w:spacing w:line="288" w:lineRule="auto"/>
        <w:jc w:val="left"/>
        <w:rPr>
          <w:rFonts w:hint="eastAsia" w:ascii="宋体" w:hAnsi="宋体" w:eastAsia="宋体" w:cs="宋体"/>
          <w:color w:val="auto"/>
          <w:sz w:val="24"/>
          <w:szCs w:val="24"/>
          <w:highlight w:val="none"/>
        </w:rPr>
      </w:pPr>
    </w:p>
    <w:p w14:paraId="0E1A61D4">
      <w:pPr>
        <w:pStyle w:val="11"/>
        <w:spacing w:line="288" w:lineRule="auto"/>
        <w:jc w:val="left"/>
        <w:rPr>
          <w:rFonts w:hint="eastAsia" w:ascii="宋体" w:hAnsi="宋体" w:eastAsia="宋体" w:cs="宋体"/>
          <w:color w:val="auto"/>
          <w:sz w:val="24"/>
          <w:szCs w:val="24"/>
          <w:highlight w:val="none"/>
        </w:rPr>
      </w:pPr>
    </w:p>
    <w:p w14:paraId="718542E0">
      <w:pPr>
        <w:pStyle w:val="11"/>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rPr>
        <w:t>如有其它证明材料，可后附</w:t>
      </w:r>
    </w:p>
    <w:p w14:paraId="2F88982C"/>
    <w:p w14:paraId="498E5983">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73808841">
      <w:pPr>
        <w:numPr>
          <w:ilvl w:val="0"/>
          <w:numId w:val="0"/>
        </w:numPr>
        <w:ind w:left="0" w:leftChars="0" w:firstLine="0" w:firstLineChars="0"/>
        <w:rPr>
          <w:rFonts w:hint="eastAsia" w:ascii="宋体" w:hAnsi="宋体" w:eastAsia="宋体" w:cs="宋体"/>
          <w:b/>
          <w:bCs/>
          <w:color w:val="auto"/>
          <w:sz w:val="24"/>
          <w:highlight w:val="none"/>
        </w:rPr>
      </w:pPr>
      <w:r>
        <w:rPr>
          <w:rFonts w:hint="eastAsia" w:ascii="宋体" w:hAnsi="宋体" w:eastAsia="宋体" w:cs="宋体"/>
          <w:b/>
          <w:bCs/>
          <w:color w:val="auto"/>
          <w:kern w:val="2"/>
          <w:sz w:val="24"/>
          <w:szCs w:val="24"/>
          <w:lang w:val="en-US" w:eastAsia="zh-CN" w:bidi="ar-SA"/>
        </w:rPr>
        <w:t>（</w:t>
      </w:r>
      <w:r>
        <w:rPr>
          <w:rFonts w:hint="eastAsia" w:ascii="宋体" w:hAnsi="宋体" w:cs="宋体"/>
          <w:b/>
          <w:bCs/>
          <w:color w:val="auto"/>
          <w:kern w:val="2"/>
          <w:sz w:val="24"/>
          <w:szCs w:val="24"/>
          <w:lang w:val="en-US" w:eastAsia="zh-CN" w:bidi="ar-SA"/>
        </w:rPr>
        <w:t>7</w:t>
      </w:r>
      <w:r>
        <w:rPr>
          <w:rFonts w:hint="eastAsia" w:ascii="宋体" w:hAnsi="宋体" w:eastAsia="宋体" w:cs="宋体"/>
          <w:b/>
          <w:bCs/>
          <w:color w:val="auto"/>
          <w:kern w:val="2"/>
          <w:sz w:val="24"/>
          <w:szCs w:val="24"/>
          <w:lang w:val="en-US" w:eastAsia="zh-CN" w:bidi="ar-SA"/>
        </w:rPr>
        <w:t>）</w:t>
      </w:r>
      <w:r>
        <w:rPr>
          <w:rFonts w:hint="eastAsia" w:ascii="宋体" w:hAnsi="宋体" w:eastAsia="宋体" w:cs="宋体"/>
          <w:b/>
          <w:bCs/>
          <w:color w:val="auto"/>
          <w:sz w:val="24"/>
          <w:highlight w:val="none"/>
        </w:rPr>
        <w:t>磋商供应商应授权合法的人员参加磋商全过程，其中法定代表人直接参加磋商的，须出具法定代表人身份证，并与营业执照上信息一致。法定代表人授权代表参加磋商的，须出具法定代表人授权书及授权代表身份证；</w:t>
      </w:r>
    </w:p>
    <w:p w14:paraId="248C818F">
      <w:pPr>
        <w:numPr>
          <w:ilvl w:val="0"/>
          <w:numId w:val="0"/>
        </w:numPr>
        <w:ind w:left="0" w:leftChars="0" w:firstLine="0"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42E2AF3A">
      <w:pPr>
        <w:numPr>
          <w:ilvl w:val="0"/>
          <w:numId w:val="0"/>
        </w:numPr>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lang w:eastAsia="zh-CN"/>
        </w:rPr>
        <w:t>）在“信用中国”网站（www.creditchina.gov.cn）和“中国政府采购网”（ccgp.gov.cn）对响应单位信用信息进行查询，如果响应单位被查实在开标前已列入失信被执行人、重大税收违法失信主体、政府采购严重违法失信行为记录名单，其响应为无效；</w:t>
      </w:r>
    </w:p>
    <w:p w14:paraId="3C730CBD">
      <w:pPr>
        <w:numPr>
          <w:ilvl w:val="0"/>
          <w:numId w:val="0"/>
        </w:num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eastAsia="zh-CN"/>
        </w:rPr>
        <w:t>（以磋商当天代理机构核查为准，供应商无需提供)</w:t>
      </w:r>
    </w:p>
    <w:p w14:paraId="257AA619">
      <w:pPr>
        <w:spacing w:line="460" w:lineRule="exact"/>
        <w:rPr>
          <w:rFonts w:asciiTheme="minorEastAsia" w:hAnsiTheme="minorEastAsia" w:eastAsiaTheme="minorEastAsia" w:cstheme="minorEastAsia"/>
          <w:sz w:val="24"/>
        </w:rPr>
      </w:pPr>
    </w:p>
    <w:p w14:paraId="26F78892">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3B69E04D">
      <w:pPr>
        <w:spacing w:line="430" w:lineRule="atLeas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9</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单位负责人为同一人或者存在直接控股、管理关系的不同供应商，不得参加同一合同项下的政府采购活动。</w:t>
      </w:r>
    </w:p>
    <w:p w14:paraId="237867D5">
      <w:pPr>
        <w:bidi w:val="0"/>
        <w:ind w:left="0" w:leftChars="0" w:right="0" w:rightChars="0" w:firstLine="0" w:firstLineChars="0"/>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lang w:val="en-US" w:eastAsia="zh-CN"/>
        </w:rPr>
        <w:t>供应商</w:t>
      </w:r>
      <w:r>
        <w:rPr>
          <w:rFonts w:hint="eastAsia" w:ascii="宋体" w:hAnsi="宋体" w:eastAsia="宋体" w:cs="宋体"/>
          <w:b/>
          <w:bCs/>
          <w:color w:val="auto"/>
          <w:sz w:val="24"/>
          <w:szCs w:val="32"/>
          <w:highlight w:val="none"/>
        </w:rPr>
        <w:t>关联关系</w:t>
      </w:r>
    </w:p>
    <w:p w14:paraId="2AB4AF31">
      <w:pPr>
        <w:spacing w:line="500" w:lineRule="exact"/>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供应商</w:t>
      </w:r>
      <w:r>
        <w:rPr>
          <w:rFonts w:hint="eastAsia" w:ascii="宋体" w:hAnsi="宋体" w:eastAsia="宋体" w:cs="宋体"/>
          <w:color w:val="auto"/>
          <w:sz w:val="24"/>
          <w:szCs w:val="24"/>
          <w:highlight w:val="none"/>
        </w:rPr>
        <w:t>单位负责人在其他单位任职情况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p>
    <w:p w14:paraId="28FBBFC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控股关系说明</w:t>
      </w:r>
    </w:p>
    <w:p w14:paraId="0EBF7232">
      <w:pPr>
        <w:spacing w:line="500" w:lineRule="exact"/>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下属控股单位：</w:t>
      </w:r>
      <w:r>
        <w:rPr>
          <w:rFonts w:hint="eastAsia" w:ascii="宋体" w:hAnsi="宋体" w:eastAsia="宋体" w:cs="宋体"/>
          <w:color w:val="auto"/>
          <w:sz w:val="24"/>
          <w:szCs w:val="24"/>
          <w:highlight w:val="none"/>
          <w:u w:val="single"/>
          <w:lang w:val="en-US" w:eastAsia="zh-CN"/>
        </w:rPr>
        <w:t xml:space="preserve">                    </w:t>
      </w:r>
    </w:p>
    <w:p w14:paraId="739C4BCA">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上属被控股单位：</w:t>
      </w:r>
      <w:r>
        <w:rPr>
          <w:rFonts w:hint="eastAsia" w:ascii="宋体" w:hAnsi="宋体" w:eastAsia="宋体" w:cs="宋体"/>
          <w:color w:val="auto"/>
          <w:sz w:val="24"/>
          <w:szCs w:val="24"/>
          <w:highlight w:val="none"/>
          <w:u w:val="single"/>
          <w:lang w:val="en-US" w:eastAsia="zh-CN"/>
        </w:rPr>
        <w:t xml:space="preserve">                  </w:t>
      </w:r>
    </w:p>
    <w:p w14:paraId="314A62F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供应商</w:t>
      </w:r>
      <w:r>
        <w:rPr>
          <w:rFonts w:hint="eastAsia" w:ascii="宋体" w:hAnsi="宋体" w:eastAsia="宋体" w:cs="宋体"/>
          <w:color w:val="auto"/>
          <w:sz w:val="24"/>
          <w:szCs w:val="24"/>
          <w:highlight w:val="none"/>
        </w:rPr>
        <w:t>管理关系说明</w:t>
      </w:r>
    </w:p>
    <w:p w14:paraId="64D8C131">
      <w:pPr>
        <w:spacing w:line="500" w:lineRule="exact"/>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b w:val="0"/>
          <w:bCs/>
          <w:color w:val="auto"/>
          <w:sz w:val="24"/>
          <w:szCs w:val="24"/>
          <w:highlight w:val="none"/>
          <w:lang w:val="en-US" w:eastAsia="zh-CN"/>
        </w:rPr>
        <w:t>供应商</w:t>
      </w:r>
      <w:r>
        <w:rPr>
          <w:rFonts w:hint="eastAsia" w:ascii="宋体" w:hAnsi="宋体" w:eastAsia="宋体" w:cs="宋体"/>
          <w:color w:val="auto"/>
          <w:sz w:val="24"/>
          <w:szCs w:val="24"/>
          <w:highlight w:val="none"/>
        </w:rPr>
        <w:t>下属管理单位：</w:t>
      </w:r>
      <w:r>
        <w:rPr>
          <w:rFonts w:hint="eastAsia" w:ascii="宋体" w:hAnsi="宋体" w:eastAsia="宋体" w:cs="宋体"/>
          <w:color w:val="auto"/>
          <w:sz w:val="24"/>
          <w:szCs w:val="24"/>
          <w:highlight w:val="none"/>
          <w:u w:val="single"/>
          <w:lang w:val="en-US" w:eastAsia="zh-CN"/>
        </w:rPr>
        <w:t xml:space="preserve">                    </w:t>
      </w:r>
    </w:p>
    <w:p w14:paraId="6ECEDB48">
      <w:pPr>
        <w:spacing w:line="500" w:lineRule="exact"/>
        <w:ind w:firstLine="1080" w:firstLineChars="45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管理职责（行政、人事等）：</w:t>
      </w:r>
      <w:r>
        <w:rPr>
          <w:rFonts w:hint="eastAsia" w:ascii="宋体" w:hAnsi="宋体" w:eastAsia="宋体" w:cs="宋体"/>
          <w:color w:val="auto"/>
          <w:sz w:val="24"/>
          <w:szCs w:val="24"/>
          <w:highlight w:val="none"/>
          <w:u w:val="single"/>
          <w:lang w:val="en-US" w:eastAsia="zh-CN"/>
        </w:rPr>
        <w:t xml:space="preserve">              </w:t>
      </w:r>
    </w:p>
    <w:p w14:paraId="41A1BD01">
      <w:pPr>
        <w:spacing w:line="500" w:lineRule="exact"/>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b w:val="0"/>
          <w:bCs/>
          <w:color w:val="auto"/>
          <w:sz w:val="24"/>
          <w:szCs w:val="24"/>
          <w:highlight w:val="none"/>
          <w:lang w:val="en-US" w:eastAsia="zh-CN"/>
        </w:rPr>
        <w:t>供应商</w:t>
      </w:r>
      <w:r>
        <w:rPr>
          <w:rFonts w:hint="eastAsia" w:ascii="宋体" w:hAnsi="宋体" w:eastAsia="宋体" w:cs="宋体"/>
          <w:color w:val="auto"/>
          <w:sz w:val="24"/>
          <w:szCs w:val="24"/>
          <w:highlight w:val="none"/>
        </w:rPr>
        <w:t>上属被管理</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p>
    <w:p w14:paraId="2010F86A">
      <w:pPr>
        <w:spacing w:line="500" w:lineRule="exact"/>
        <w:ind w:firstLine="1080" w:firstLine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管理职责（行政、人事等）：</w:t>
      </w:r>
      <w:r>
        <w:rPr>
          <w:rFonts w:hint="eastAsia" w:ascii="宋体" w:hAnsi="宋体" w:eastAsia="宋体" w:cs="宋体"/>
          <w:color w:val="auto"/>
          <w:sz w:val="24"/>
          <w:szCs w:val="24"/>
          <w:highlight w:val="none"/>
          <w:u w:val="single"/>
          <w:lang w:val="en-US" w:eastAsia="zh-CN"/>
        </w:rPr>
        <w:t xml:space="preserve">              </w:t>
      </w:r>
    </w:p>
    <w:p w14:paraId="2B56FA0E">
      <w:pPr>
        <w:pStyle w:val="13"/>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我单位承诺以上说明真实有效，无虛假内容或隐瞒。</w:t>
      </w:r>
    </w:p>
    <w:p w14:paraId="25B2706C">
      <w:pPr>
        <w:pStyle w:val="13"/>
        <w:rPr>
          <w:rFonts w:hint="eastAsia" w:ascii="宋体" w:hAnsi="宋体" w:eastAsia="宋体" w:cs="宋体"/>
          <w:color w:val="auto"/>
          <w:highlight w:val="none"/>
        </w:rPr>
      </w:pPr>
    </w:p>
    <w:p w14:paraId="535B0E06">
      <w:pPr>
        <w:pStyle w:val="13"/>
        <w:rPr>
          <w:rFonts w:hint="eastAsia" w:ascii="宋体" w:hAnsi="宋体" w:eastAsia="宋体" w:cs="宋体"/>
          <w:color w:val="auto"/>
          <w:highlight w:val="none"/>
        </w:rPr>
      </w:pPr>
    </w:p>
    <w:p w14:paraId="260BD579">
      <w:pPr>
        <w:spacing w:before="480" w:beforeLines="200" w:line="360" w:lineRule="auto"/>
        <w:ind w:firstLine="3120" w:firstLineChars="1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（公章）</w:t>
      </w:r>
    </w:p>
    <w:p w14:paraId="5B0D3368">
      <w:pPr>
        <w:spacing w:before="480" w:beforeLines="200" w:line="360" w:lineRule="auto"/>
        <w:ind w:firstLine="3120" w:firstLineChars="1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法定代表人或其授权代表：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14:paraId="3105665B">
      <w:pPr>
        <w:spacing w:before="480" w:beforeLines="200" w:line="360" w:lineRule="auto"/>
        <w:ind w:firstLine="3120" w:firstLineChars="13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日</w:t>
      </w:r>
    </w:p>
    <w:p w14:paraId="3A711799">
      <w:pPr>
        <w:bidi w:val="0"/>
        <w:rPr>
          <w:rFonts w:hint="eastAsia" w:ascii="宋体" w:hAnsi="宋体" w:eastAsia="宋体" w:cs="宋体"/>
          <w:color w:val="auto"/>
          <w:highlight w:val="none"/>
          <w:lang w:eastAsia="zh-CN"/>
        </w:rPr>
      </w:pPr>
    </w:p>
    <w:p w14:paraId="43684E85">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color w:val="auto"/>
          <w:highlight w:val="none"/>
        </w:rPr>
      </w:pPr>
      <w:r>
        <w:rPr>
          <w:rFonts w:hint="eastAsia" w:ascii="宋体" w:hAnsi="宋体" w:eastAsia="宋体" w:cs="宋体"/>
          <w:b/>
          <w:bCs/>
          <w:color w:val="auto"/>
          <w:sz w:val="24"/>
          <w:szCs w:val="24"/>
          <w:highlight w:val="none"/>
          <w:lang w:eastAsia="zh-CN"/>
        </w:rPr>
        <w:t>注：请如实填写，若未如实填写则视为虚假材料应标，造成的后果由</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eastAsia="zh-CN"/>
        </w:rPr>
        <w:t>自行承担。</w:t>
      </w:r>
    </w:p>
    <w:p w14:paraId="3F7CDA24">
      <w:pPr>
        <w:rPr>
          <w:rFonts w:hint="default"/>
          <w:lang w:val="en-US" w:eastAsia="zh-CN"/>
        </w:rPr>
      </w:pPr>
    </w:p>
    <w:p w14:paraId="6E7F4123">
      <w:pPr>
        <w:rPr>
          <w:spacing w:val="-6"/>
          <w:sz w:val="18"/>
          <w:szCs w:val="18"/>
        </w:rPr>
      </w:pPr>
      <w:r>
        <w:rPr>
          <w:rFonts w:hint="eastAsia" w:asciiTheme="minorEastAsia" w:hAnsiTheme="minorEastAsia" w:eastAsiaTheme="minorEastAsia" w:cstheme="minorEastAsia"/>
          <w:sz w:val="24"/>
        </w:rPr>
        <w:br w:type="page"/>
      </w:r>
    </w:p>
    <w:p w14:paraId="1A9B7CB9">
      <w:pPr>
        <w:numPr>
          <w:ilvl w:val="0"/>
          <w:numId w:val="0"/>
        </w:numPr>
        <w:bidi w:val="0"/>
        <w:spacing w:line="360" w:lineRule="auto"/>
        <w:rPr>
          <w:rFonts w:hint="default"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（1</w:t>
      </w:r>
      <w:r>
        <w:rPr>
          <w:rFonts w:hint="eastAsia" w:ascii="宋体" w:hAnsi="宋体" w:cs="宋体"/>
          <w:b/>
          <w:bCs/>
          <w:kern w:val="2"/>
          <w:sz w:val="24"/>
          <w:szCs w:val="32"/>
          <w:lang w:val="en-US" w:eastAsia="zh-CN" w:bidi="ar-SA"/>
        </w:rPr>
        <w:t>0</w:t>
      </w:r>
      <w:r>
        <w:rPr>
          <w:rFonts w:hint="eastAsia" w:ascii="宋体" w:hAnsi="宋体" w:eastAsia="宋体" w:cs="宋体"/>
          <w:b/>
          <w:bCs/>
          <w:kern w:val="2"/>
          <w:sz w:val="24"/>
          <w:szCs w:val="32"/>
          <w:lang w:val="en-US" w:eastAsia="zh-CN" w:bidi="ar-SA"/>
        </w:rPr>
        <w:t>）本项目属于专门面向中小企业采购，供应商应为中小微企业【中型或小型或微型】或监狱企业或残疾人福利性单位；</w:t>
      </w:r>
    </w:p>
    <w:p w14:paraId="7D3495AF">
      <w:pPr>
        <w:pStyle w:val="11"/>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中小企业声明函（格式）</w:t>
      </w:r>
    </w:p>
    <w:p w14:paraId="6CE4E30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highlight w:val="none"/>
          <w:u w:val="single"/>
        </w:rPr>
        <w:t>（单位名称）的（项目名称）</w:t>
      </w:r>
      <w:r>
        <w:rPr>
          <w:rFonts w:hint="eastAsia" w:ascii="宋体" w:hAnsi="宋体" w:eastAsia="宋体" w:cs="宋体"/>
          <w:color w:val="auto"/>
          <w:sz w:val="24"/>
          <w:highlight w:val="none"/>
        </w:rPr>
        <w:t>采购活动，服务全部由符合政策要求的中小企业承接（或者：工程的施工单位全部为符合政策要求的中小企业）。相关企业（含联合体中的中小企业、签订分包意向协议的中小企业）的具体情况如下：</w:t>
      </w:r>
    </w:p>
    <w:p w14:paraId="4E16FFF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软件和信息技术服务业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；承接（承建）企业为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eastAsia="宋体" w:cs="宋体"/>
          <w:color w:val="auto"/>
          <w:sz w:val="24"/>
          <w:highlight w:val="none"/>
          <w:vertAlign w:val="superscript"/>
        </w:rPr>
        <w:fldChar w:fldCharType="begin"/>
      </w:r>
      <w:r>
        <w:rPr>
          <w:rFonts w:hint="eastAsia" w:ascii="宋体" w:hAnsi="宋体" w:eastAsia="宋体" w:cs="宋体"/>
          <w:color w:val="auto"/>
          <w:sz w:val="24"/>
          <w:highlight w:val="none"/>
          <w:vertAlign w:val="superscript"/>
        </w:rPr>
        <w:instrText xml:space="preserve"> HYPERLINK \l "_bookmark1" </w:instrText>
      </w:r>
      <w:r>
        <w:rPr>
          <w:rFonts w:hint="eastAsia" w:ascii="宋体" w:hAnsi="宋体" w:eastAsia="宋体" w:cs="宋体"/>
          <w:color w:val="auto"/>
          <w:sz w:val="24"/>
          <w:highlight w:val="none"/>
          <w:vertAlign w:val="superscript"/>
        </w:rPr>
        <w:fldChar w:fldCharType="separate"/>
      </w:r>
      <w:r>
        <w:rPr>
          <w:rFonts w:hint="eastAsia" w:ascii="宋体" w:hAnsi="宋体" w:eastAsia="宋体" w:cs="宋体"/>
          <w:color w:val="auto"/>
          <w:sz w:val="24"/>
          <w:highlight w:val="none"/>
          <w:vertAlign w:val="superscript"/>
        </w:rPr>
        <w:t>1</w:t>
      </w:r>
      <w:r>
        <w:rPr>
          <w:rFonts w:hint="eastAsia" w:ascii="宋体" w:hAnsi="宋体" w:eastAsia="宋体" w:cs="宋体"/>
          <w:color w:val="auto"/>
          <w:sz w:val="24"/>
          <w:highlight w:val="none"/>
          <w:vertAlign w:val="superscript"/>
        </w:rPr>
        <w:fldChar w:fldCharType="end"/>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2332B20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软件和信息技术服务业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；承接（承建）企业为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1D5D14E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16832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以上企业，不属于大企业的分支机构，不存在控股股东为大企业的情形，也不存在与大企业的负责人为同一人的情形。本企业对上述声明内容的真实性负责。如有虚假，将依法承担相应责任。</w:t>
      </w:r>
    </w:p>
    <w:p w14:paraId="3ADD9CCA">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备注：</w:t>
      </w:r>
      <w:r>
        <w:rPr>
          <w:rFonts w:hint="eastAsia" w:ascii="宋体" w:hAnsi="宋体" w:eastAsia="宋体" w:cs="宋体"/>
          <w:color w:val="auto"/>
          <w:sz w:val="24"/>
          <w:szCs w:val="24"/>
          <w:highlight w:val="none"/>
        </w:rPr>
        <w:t>1.填写前请认真阅读《工业和信息化部 国家统计局 国家发展和改革委员会 财政部关于印发中小企业划型标准规定的通知》(工信部联企业〔2011〕300 号)和《财政部、工业和信息化部关于印发〈政府采购促进中小企业发展管理办法〉的通知》(财库〔2020〕46 号)相关规定。</w:t>
      </w:r>
    </w:p>
    <w:p w14:paraId="6C6D63A9">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2.从业人员、营业收入、资产总额填报上一年度数据；无上一年度数据的新成立企业可不填报相关数据，参照国务院批准的中小企业划分标准，根据企业自身情况如实判断。</w:t>
      </w:r>
    </w:p>
    <w:p w14:paraId="0F637381">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eastAsia"/>
          <w:color w:val="auto"/>
        </w:rPr>
      </w:pPr>
      <w:r>
        <w:rPr>
          <w:rFonts w:hint="eastAsia" w:ascii="宋体" w:hAnsi="宋体" w:eastAsia="宋体" w:cs="宋体"/>
          <w:color w:val="auto"/>
          <w:sz w:val="24"/>
          <w:szCs w:val="24"/>
          <w:highlight w:val="none"/>
        </w:rPr>
        <w:t>3.《中小企业声明函》随成交结果同时公开。</w:t>
      </w:r>
    </w:p>
    <w:p w14:paraId="0A6D071C">
      <w:pPr>
        <w:keepNext w:val="0"/>
        <w:keepLines w:val="0"/>
        <w:pageBreakBefore w:val="0"/>
        <w:widowControl w:val="0"/>
        <w:kinsoku/>
        <w:wordWrap/>
        <w:overflowPunct/>
        <w:topLinePunct w:val="0"/>
        <w:autoSpaceDE/>
        <w:autoSpaceDN/>
        <w:bidi w:val="0"/>
        <w:adjustRightInd/>
        <w:snapToGrid/>
        <w:spacing w:before="157" w:beforeLines="50" w:line="480" w:lineRule="auto"/>
        <w:ind w:firstLine="4080" w:firstLineChars="1700"/>
        <w:textAlignment w:val="auto"/>
        <w:rPr>
          <w:rFonts w:hint="eastAsia" w:ascii="宋体" w:hAnsi="宋体" w:eastAsia="宋体" w:cs="宋体"/>
          <w:b w:val="0"/>
          <w:bCs w:val="0"/>
          <w:color w:val="auto"/>
          <w:sz w:val="24"/>
          <w:highlight w:val="none"/>
        </w:rPr>
      </w:pPr>
    </w:p>
    <w:p w14:paraId="4414045E">
      <w:pPr>
        <w:keepNext w:val="0"/>
        <w:keepLines w:val="0"/>
        <w:pageBreakBefore w:val="0"/>
        <w:widowControl w:val="0"/>
        <w:kinsoku/>
        <w:wordWrap/>
        <w:overflowPunct/>
        <w:topLinePunct w:val="0"/>
        <w:autoSpaceDE/>
        <w:autoSpaceDN/>
        <w:bidi w:val="0"/>
        <w:adjustRightInd/>
        <w:snapToGrid/>
        <w:spacing w:before="157" w:beforeLines="50" w:line="480" w:lineRule="auto"/>
        <w:ind w:firstLine="4080" w:firstLineChars="17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企业名称（公章）：</w:t>
      </w:r>
    </w:p>
    <w:p w14:paraId="3387527D">
      <w:pPr>
        <w:keepNext w:val="0"/>
        <w:keepLines w:val="0"/>
        <w:pageBreakBefore w:val="0"/>
        <w:widowControl w:val="0"/>
        <w:kinsoku/>
        <w:wordWrap/>
        <w:overflowPunct/>
        <w:topLinePunct w:val="0"/>
        <w:autoSpaceDE/>
        <w:autoSpaceDN/>
        <w:bidi w:val="0"/>
        <w:adjustRightInd/>
        <w:snapToGrid/>
        <w:spacing w:line="360" w:lineRule="auto"/>
        <w:ind w:firstLine="4080" w:firstLineChars="1700"/>
        <w:textAlignment w:val="auto"/>
        <w:outlineLvl w:val="9"/>
        <w:rPr>
          <w:rFonts w:hint="eastAsia" w:ascii="宋体" w:hAnsi="宋体" w:cs="宋体"/>
          <w:b/>
          <w:color w:val="000000"/>
          <w:sz w:val="32"/>
          <w:szCs w:val="32"/>
          <w:highlight w:val="none"/>
        </w:rPr>
      </w:pPr>
      <w:r>
        <w:rPr>
          <w:rFonts w:hint="eastAsia" w:ascii="宋体" w:hAnsi="宋体" w:eastAsia="宋体" w:cs="宋体"/>
          <w:b w:val="0"/>
          <w:bCs w:val="0"/>
          <w:color w:val="auto"/>
          <w:sz w:val="24"/>
          <w:highlight w:val="none"/>
        </w:rPr>
        <w:t>日期</w:t>
      </w:r>
      <w:r>
        <w:rPr>
          <w:rFonts w:hint="eastAsia" w:ascii="宋体" w:hAnsi="宋体" w:eastAsia="宋体" w:cs="宋体"/>
          <w:b w:val="0"/>
          <w:bCs w:val="0"/>
          <w:color w:val="auto"/>
          <w:sz w:val="24"/>
          <w:highlight w:val="none"/>
          <w:lang w:eastAsia="zh-CN"/>
        </w:rPr>
        <w:t>：</w:t>
      </w:r>
    </w:p>
    <w:p w14:paraId="24FF5D43">
      <w:pPr>
        <w:rPr>
          <w:rFonts w:hint="eastAsia" w:ascii="宋体" w:hAnsi="宋体" w:cs="宋体"/>
          <w:color w:val="000000"/>
          <w:sz w:val="24"/>
        </w:rPr>
      </w:pPr>
      <w:r>
        <w:rPr>
          <w:rFonts w:hint="eastAsia" w:ascii="宋体" w:hAnsi="宋体" w:cs="宋体"/>
          <w:color w:val="000000"/>
          <w:sz w:val="24"/>
        </w:rPr>
        <w:br w:type="page"/>
      </w:r>
    </w:p>
    <w:p w14:paraId="0210FAA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s="宋体"/>
          <w:b/>
          <w:color w:val="000000"/>
          <w:sz w:val="32"/>
          <w:szCs w:val="32"/>
          <w:highlight w:val="none"/>
        </w:rPr>
      </w:pPr>
    </w:p>
    <w:p w14:paraId="29B7C23A">
      <w:pPr>
        <w:widowControl/>
        <w:spacing w:after="240"/>
        <w:jc w:val="center"/>
        <w:rPr>
          <w:rFonts w:ascii="宋体" w:hAnsi="宋体" w:cs="宋体"/>
          <w:b/>
          <w:kern w:val="0"/>
          <w:sz w:val="32"/>
          <w:szCs w:val="32"/>
          <w:highlight w:val="none"/>
        </w:rPr>
      </w:pPr>
      <w:r>
        <w:rPr>
          <w:rFonts w:hint="eastAsia" w:ascii="宋体" w:hAnsi="宋体" w:cs="宋体"/>
          <w:b/>
          <w:kern w:val="0"/>
          <w:sz w:val="32"/>
          <w:szCs w:val="32"/>
          <w:highlight w:val="none"/>
        </w:rPr>
        <w:t>监狱企业证明文件</w:t>
      </w:r>
    </w:p>
    <w:p w14:paraId="0EC269A4">
      <w:pPr>
        <w:widowControl/>
        <w:spacing w:before="100" w:beforeAutospacing="1" w:after="100" w:afterAutospacing="1"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说明：根据《关于政府采购支持监狱企业发展有关问题的通知》(财库[2014]68号)规定，监狱企业参加政府采购活动时，应当提供由省级以上监狱管理局、戒毒管理局(含新疆生产建设兵团)出具的属于监狱企业的证明文件。</w:t>
      </w:r>
    </w:p>
    <w:p w14:paraId="5559A96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000000"/>
          <w:sz w:val="32"/>
          <w:szCs w:val="32"/>
          <w:highlight w:val="none"/>
        </w:rPr>
      </w:pPr>
      <w:r>
        <w:rPr>
          <w:rFonts w:hint="eastAsia"/>
          <w:b/>
          <w:bCs/>
          <w:sz w:val="24"/>
          <w:highlight w:val="none"/>
        </w:rPr>
        <w:t>注：如供应商不符合要求无需提供此表。</w:t>
      </w:r>
    </w:p>
    <w:p w14:paraId="6FD0F8B4">
      <w:pPr>
        <w:snapToGrid w:val="0"/>
        <w:spacing w:line="480" w:lineRule="auto"/>
        <w:rPr>
          <w:rFonts w:ascii="宋体" w:hAnsi="宋体" w:cs="宋体"/>
          <w:color w:val="000000"/>
          <w:sz w:val="32"/>
          <w:szCs w:val="32"/>
          <w:highlight w:val="none"/>
        </w:rPr>
      </w:pPr>
    </w:p>
    <w:p w14:paraId="79F189A3">
      <w:pPr>
        <w:spacing w:line="360" w:lineRule="auto"/>
        <w:rPr>
          <w:rFonts w:ascii="宋体" w:hAnsi="宋体" w:cs="宋体"/>
          <w:b/>
          <w:color w:val="000000"/>
          <w:sz w:val="32"/>
          <w:szCs w:val="32"/>
          <w:highlight w:val="none"/>
        </w:rPr>
      </w:pPr>
    </w:p>
    <w:p w14:paraId="75B7B695">
      <w:pPr>
        <w:widowControl/>
        <w:spacing w:after="240"/>
        <w:jc w:val="center"/>
        <w:rPr>
          <w:rFonts w:ascii="宋体" w:hAnsi="宋体" w:cs="宋体"/>
          <w:b/>
          <w:kern w:val="0"/>
          <w:sz w:val="32"/>
          <w:szCs w:val="32"/>
          <w:highlight w:val="none"/>
        </w:rPr>
      </w:pPr>
      <w:r>
        <w:rPr>
          <w:rFonts w:hint="eastAsia" w:ascii="宋体" w:hAnsi="宋体" w:cs="宋体"/>
          <w:b/>
          <w:kern w:val="0"/>
          <w:sz w:val="32"/>
          <w:szCs w:val="32"/>
          <w:highlight w:val="none"/>
        </w:rPr>
        <w:t>福利企业证明文件</w:t>
      </w:r>
    </w:p>
    <w:p w14:paraId="2E8636CB">
      <w:pPr>
        <w:widowControl/>
        <w:spacing w:before="100" w:beforeAutospacing="1" w:after="100" w:afterAutospacing="1" w:line="360" w:lineRule="auto"/>
        <w:jc w:val="left"/>
        <w:rPr>
          <w:rFonts w:hint="eastAsia" w:ascii="宋体" w:hAnsi="宋体" w:eastAsia="宋体" w:cs="宋体"/>
          <w:kern w:val="0"/>
          <w:sz w:val="24"/>
          <w:highlight w:val="none"/>
          <w:lang w:eastAsia="zh-CN"/>
        </w:rPr>
      </w:pPr>
    </w:p>
    <w:p w14:paraId="17BA4419">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jc w:val="left"/>
        <w:textAlignment w:val="auto"/>
        <w:rPr>
          <w:rFonts w:hint="eastAsia"/>
          <w:b/>
          <w:highlight w:val="none"/>
        </w:rPr>
      </w:pPr>
      <w:r>
        <w:rPr>
          <w:rFonts w:hint="eastAsia" w:ascii="宋体" w:hAnsi="宋体" w:cs="宋体"/>
          <w:kern w:val="0"/>
          <w:sz w:val="24"/>
          <w:highlight w:val="none"/>
        </w:rPr>
        <w:t>说明：根据《财政部 民政部 中国残疾人联合会关于促进残疾人就业政府采购政策的通知》（财库〔2017〕141号）的规定，本单位为符合条件的残疾人福利性单位，应当提供规定中满足条件的相关证明文件及《残疾人福利性单位声明函》。</w:t>
      </w:r>
    </w:p>
    <w:p w14:paraId="2664948D">
      <w:pPr>
        <w:pStyle w:val="17"/>
        <w:spacing w:line="360" w:lineRule="auto"/>
        <w:ind w:firstLine="482" w:firstLineChars="200"/>
        <w:rPr>
          <w:b/>
        </w:rPr>
      </w:pPr>
      <w:r>
        <w:rPr>
          <w:rFonts w:hint="eastAsia"/>
          <w:b/>
          <w:highlight w:val="none"/>
        </w:rPr>
        <w:t>注：非残疾人福利性单位不填写此声明函。</w:t>
      </w:r>
    </w:p>
    <w:p w14:paraId="3577556F">
      <w:pPr>
        <w:rPr>
          <w:rFonts w:ascii="宋体" w:hAnsi="宋体" w:cs="宋体"/>
          <w:b/>
        </w:rPr>
      </w:pPr>
      <w:r>
        <w:rPr>
          <w:rFonts w:hint="eastAsia" w:ascii="宋体" w:hAnsi="宋体" w:cs="宋体"/>
          <w:b/>
        </w:rPr>
        <w:br w:type="page"/>
      </w:r>
    </w:p>
    <w:p w14:paraId="5137A51C">
      <w:pPr>
        <w:keepNext w:val="0"/>
        <w:keepLines w:val="0"/>
        <w:pageBreakBefore w:val="0"/>
        <w:widowControl w:val="0"/>
        <w:kinsoku/>
        <w:wordWrap/>
        <w:overflowPunct/>
        <w:topLinePunct w:val="0"/>
        <w:autoSpaceDE/>
        <w:autoSpaceDN/>
        <w:bidi w:val="0"/>
        <w:adjustRightInd/>
        <w:snapToGrid/>
        <w:jc w:val="center"/>
        <w:textAlignment w:val="auto"/>
        <w:outlineLvl w:val="1"/>
        <w:rPr>
          <w:rFonts w:ascii="宋体" w:hAnsi="宋体" w:cs="宋体"/>
          <w:szCs w:val="21"/>
        </w:rPr>
      </w:pPr>
      <w:r>
        <w:rPr>
          <w:rFonts w:hint="eastAsia" w:ascii="宋体" w:hAnsi="宋体" w:cs="宋体"/>
          <w:b/>
          <w:bCs/>
          <w:color w:val="000000"/>
          <w:sz w:val="32"/>
          <w:szCs w:val="32"/>
        </w:rPr>
        <w:t>八、</w:t>
      </w:r>
      <w:r>
        <w:rPr>
          <w:rFonts w:hint="eastAsia" w:hAnsi="宋体" w:cs="宋体"/>
          <w:b/>
          <w:sz w:val="32"/>
          <w:szCs w:val="32"/>
        </w:rPr>
        <w:t>类似项目业绩</w:t>
      </w:r>
      <w:r>
        <w:rPr>
          <w:rFonts w:hint="eastAsia" w:hAnsi="宋体" w:cs="宋体"/>
          <w:b/>
          <w:bCs/>
          <w:sz w:val="24"/>
        </w:rPr>
        <w:t>（复印件加盖公章）</w:t>
      </w:r>
    </w:p>
    <w:p w14:paraId="6F1CB02C">
      <w:pPr>
        <w:spacing w:line="360" w:lineRule="auto"/>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p>
    <w:p w14:paraId="4C8EAC69">
      <w:pPr>
        <w:spacing w:line="360" w:lineRule="auto"/>
        <w:rPr>
          <w:rFonts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3873"/>
        <w:gridCol w:w="2247"/>
        <w:gridCol w:w="2240"/>
      </w:tblGrid>
      <w:tr w14:paraId="1BF3F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244" w:type="dxa"/>
            <w:vAlign w:val="center"/>
          </w:tcPr>
          <w:p w14:paraId="526CB822">
            <w:pPr>
              <w:spacing w:line="360" w:lineRule="auto"/>
              <w:jc w:val="center"/>
              <w:rPr>
                <w:rFonts w:ascii="宋体" w:hAnsi="宋体" w:cs="宋体"/>
                <w:b/>
                <w:sz w:val="24"/>
              </w:rPr>
            </w:pPr>
            <w:r>
              <w:rPr>
                <w:rFonts w:hint="eastAsia" w:ascii="宋体" w:hAnsi="宋体" w:cs="宋体"/>
                <w:b/>
                <w:sz w:val="24"/>
              </w:rPr>
              <w:t>序号</w:t>
            </w:r>
          </w:p>
        </w:tc>
        <w:tc>
          <w:tcPr>
            <w:tcW w:w="3873" w:type="dxa"/>
            <w:vAlign w:val="center"/>
          </w:tcPr>
          <w:p w14:paraId="6BE5D404">
            <w:pPr>
              <w:spacing w:line="360" w:lineRule="auto"/>
              <w:jc w:val="center"/>
              <w:rPr>
                <w:rFonts w:ascii="宋体" w:hAnsi="宋体" w:cs="宋体"/>
                <w:b/>
                <w:sz w:val="24"/>
              </w:rPr>
            </w:pPr>
            <w:r>
              <w:rPr>
                <w:rFonts w:hint="eastAsia" w:ascii="宋体" w:hAnsi="宋体" w:cs="宋体"/>
                <w:b/>
                <w:sz w:val="24"/>
              </w:rPr>
              <w:t>项目名称</w:t>
            </w:r>
          </w:p>
        </w:tc>
        <w:tc>
          <w:tcPr>
            <w:tcW w:w="2247" w:type="dxa"/>
            <w:vAlign w:val="center"/>
          </w:tcPr>
          <w:p w14:paraId="3AEC371B">
            <w:pPr>
              <w:spacing w:line="360" w:lineRule="auto"/>
              <w:jc w:val="center"/>
              <w:rPr>
                <w:rFonts w:ascii="宋体" w:hAnsi="宋体" w:cs="宋体"/>
                <w:b/>
                <w:sz w:val="24"/>
              </w:rPr>
            </w:pPr>
            <w:r>
              <w:rPr>
                <w:rFonts w:hint="eastAsia" w:ascii="宋体" w:hAnsi="宋体" w:cs="宋体"/>
                <w:b/>
                <w:sz w:val="24"/>
              </w:rPr>
              <w:t>合同金额（元）</w:t>
            </w:r>
          </w:p>
        </w:tc>
        <w:tc>
          <w:tcPr>
            <w:tcW w:w="2240" w:type="dxa"/>
            <w:vAlign w:val="center"/>
          </w:tcPr>
          <w:p w14:paraId="6DA71D4E">
            <w:pPr>
              <w:spacing w:line="360" w:lineRule="auto"/>
              <w:jc w:val="center"/>
              <w:rPr>
                <w:rFonts w:ascii="宋体" w:hAnsi="宋体" w:cs="宋体"/>
                <w:b/>
                <w:sz w:val="24"/>
              </w:rPr>
            </w:pPr>
            <w:r>
              <w:rPr>
                <w:rFonts w:hint="eastAsia" w:ascii="宋体" w:hAnsi="宋体" w:cs="宋体"/>
                <w:b/>
                <w:sz w:val="24"/>
              </w:rPr>
              <w:t>完成日期</w:t>
            </w:r>
          </w:p>
        </w:tc>
      </w:tr>
      <w:tr w14:paraId="59FA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244" w:type="dxa"/>
            <w:vAlign w:val="center"/>
          </w:tcPr>
          <w:p w14:paraId="69CC460E">
            <w:pPr>
              <w:spacing w:line="360" w:lineRule="auto"/>
              <w:jc w:val="center"/>
              <w:rPr>
                <w:rFonts w:ascii="宋体" w:hAnsi="宋体" w:cs="宋体"/>
                <w:sz w:val="24"/>
              </w:rPr>
            </w:pPr>
            <w:r>
              <w:rPr>
                <w:rFonts w:hint="eastAsia" w:ascii="宋体" w:hAnsi="宋体" w:cs="宋体"/>
                <w:sz w:val="24"/>
              </w:rPr>
              <w:t>1</w:t>
            </w:r>
          </w:p>
        </w:tc>
        <w:tc>
          <w:tcPr>
            <w:tcW w:w="3873" w:type="dxa"/>
            <w:vAlign w:val="center"/>
          </w:tcPr>
          <w:p w14:paraId="7C2737A7">
            <w:pPr>
              <w:spacing w:line="360" w:lineRule="auto"/>
              <w:rPr>
                <w:rFonts w:ascii="宋体" w:hAnsi="宋体" w:cs="宋体"/>
                <w:sz w:val="24"/>
              </w:rPr>
            </w:pPr>
          </w:p>
        </w:tc>
        <w:tc>
          <w:tcPr>
            <w:tcW w:w="2247" w:type="dxa"/>
            <w:vAlign w:val="center"/>
          </w:tcPr>
          <w:p w14:paraId="1504FD3D">
            <w:pPr>
              <w:spacing w:line="360" w:lineRule="auto"/>
              <w:rPr>
                <w:rFonts w:ascii="宋体" w:hAnsi="宋体" w:cs="宋体"/>
                <w:sz w:val="24"/>
              </w:rPr>
            </w:pPr>
          </w:p>
        </w:tc>
        <w:tc>
          <w:tcPr>
            <w:tcW w:w="2240" w:type="dxa"/>
            <w:vAlign w:val="center"/>
          </w:tcPr>
          <w:p w14:paraId="5A81544F">
            <w:pPr>
              <w:spacing w:line="360" w:lineRule="auto"/>
              <w:rPr>
                <w:rFonts w:ascii="宋体" w:hAnsi="宋体" w:cs="宋体"/>
                <w:sz w:val="24"/>
              </w:rPr>
            </w:pPr>
          </w:p>
        </w:tc>
      </w:tr>
      <w:tr w14:paraId="6192F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44" w:type="dxa"/>
            <w:vAlign w:val="center"/>
          </w:tcPr>
          <w:p w14:paraId="5ACCEEE1">
            <w:pPr>
              <w:spacing w:line="360" w:lineRule="auto"/>
              <w:jc w:val="center"/>
              <w:rPr>
                <w:rFonts w:ascii="宋体" w:hAnsi="宋体" w:cs="宋体"/>
                <w:sz w:val="24"/>
              </w:rPr>
            </w:pPr>
            <w:r>
              <w:rPr>
                <w:rFonts w:hint="eastAsia" w:ascii="宋体" w:hAnsi="宋体" w:cs="宋体"/>
                <w:sz w:val="24"/>
              </w:rPr>
              <w:t>2</w:t>
            </w:r>
          </w:p>
        </w:tc>
        <w:tc>
          <w:tcPr>
            <w:tcW w:w="3873" w:type="dxa"/>
            <w:vAlign w:val="center"/>
          </w:tcPr>
          <w:p w14:paraId="66F38BD5">
            <w:pPr>
              <w:spacing w:line="360" w:lineRule="auto"/>
              <w:rPr>
                <w:rFonts w:ascii="宋体" w:hAnsi="宋体" w:cs="宋体"/>
                <w:sz w:val="24"/>
              </w:rPr>
            </w:pPr>
          </w:p>
        </w:tc>
        <w:tc>
          <w:tcPr>
            <w:tcW w:w="2247" w:type="dxa"/>
            <w:vAlign w:val="center"/>
          </w:tcPr>
          <w:p w14:paraId="372E3334">
            <w:pPr>
              <w:spacing w:line="360" w:lineRule="auto"/>
              <w:rPr>
                <w:rFonts w:ascii="宋体" w:hAnsi="宋体" w:cs="宋体"/>
                <w:sz w:val="24"/>
              </w:rPr>
            </w:pPr>
          </w:p>
        </w:tc>
        <w:tc>
          <w:tcPr>
            <w:tcW w:w="2240" w:type="dxa"/>
            <w:vAlign w:val="center"/>
          </w:tcPr>
          <w:p w14:paraId="24C4A23C">
            <w:pPr>
              <w:spacing w:line="360" w:lineRule="auto"/>
              <w:rPr>
                <w:rFonts w:ascii="宋体" w:hAnsi="宋体" w:cs="宋体"/>
                <w:sz w:val="24"/>
              </w:rPr>
            </w:pPr>
          </w:p>
        </w:tc>
      </w:tr>
      <w:tr w14:paraId="01DD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44" w:type="dxa"/>
            <w:vAlign w:val="center"/>
          </w:tcPr>
          <w:p w14:paraId="5C3E2561">
            <w:pPr>
              <w:spacing w:line="360" w:lineRule="auto"/>
              <w:jc w:val="center"/>
              <w:rPr>
                <w:rFonts w:ascii="宋体" w:hAnsi="宋体" w:cs="宋体"/>
                <w:sz w:val="24"/>
              </w:rPr>
            </w:pPr>
            <w:r>
              <w:rPr>
                <w:rFonts w:hint="eastAsia" w:ascii="宋体" w:hAnsi="宋体" w:cs="宋体"/>
                <w:sz w:val="24"/>
              </w:rPr>
              <w:t>3</w:t>
            </w:r>
          </w:p>
        </w:tc>
        <w:tc>
          <w:tcPr>
            <w:tcW w:w="3873" w:type="dxa"/>
            <w:vAlign w:val="center"/>
          </w:tcPr>
          <w:p w14:paraId="0839E384">
            <w:pPr>
              <w:spacing w:line="360" w:lineRule="auto"/>
              <w:ind w:firstLine="1200" w:firstLineChars="500"/>
              <w:rPr>
                <w:rFonts w:ascii="宋体" w:hAnsi="宋体" w:cs="宋体"/>
                <w:sz w:val="24"/>
              </w:rPr>
            </w:pPr>
          </w:p>
        </w:tc>
        <w:tc>
          <w:tcPr>
            <w:tcW w:w="2247" w:type="dxa"/>
            <w:vAlign w:val="center"/>
          </w:tcPr>
          <w:p w14:paraId="6883601A">
            <w:pPr>
              <w:spacing w:line="360" w:lineRule="auto"/>
              <w:ind w:firstLine="1200" w:firstLineChars="500"/>
              <w:rPr>
                <w:rFonts w:ascii="宋体" w:hAnsi="宋体" w:cs="宋体"/>
                <w:sz w:val="24"/>
              </w:rPr>
            </w:pPr>
          </w:p>
        </w:tc>
        <w:tc>
          <w:tcPr>
            <w:tcW w:w="2240" w:type="dxa"/>
            <w:vAlign w:val="center"/>
          </w:tcPr>
          <w:p w14:paraId="744F1594">
            <w:pPr>
              <w:spacing w:line="360" w:lineRule="auto"/>
              <w:ind w:firstLine="1200" w:firstLineChars="500"/>
              <w:rPr>
                <w:rFonts w:ascii="宋体" w:hAnsi="宋体" w:cs="宋体"/>
                <w:sz w:val="24"/>
              </w:rPr>
            </w:pPr>
          </w:p>
        </w:tc>
      </w:tr>
      <w:tr w14:paraId="024E4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44" w:type="dxa"/>
            <w:vAlign w:val="center"/>
          </w:tcPr>
          <w:p w14:paraId="5C24E353">
            <w:pPr>
              <w:spacing w:line="360" w:lineRule="auto"/>
              <w:jc w:val="center"/>
              <w:rPr>
                <w:rFonts w:ascii="宋体" w:hAnsi="宋体" w:cs="宋体"/>
                <w:sz w:val="24"/>
              </w:rPr>
            </w:pPr>
            <w:r>
              <w:rPr>
                <w:rFonts w:hint="eastAsia" w:ascii="宋体" w:hAnsi="宋体" w:cs="宋体"/>
                <w:sz w:val="24"/>
              </w:rPr>
              <w:t>4</w:t>
            </w:r>
          </w:p>
        </w:tc>
        <w:tc>
          <w:tcPr>
            <w:tcW w:w="3873" w:type="dxa"/>
            <w:vAlign w:val="center"/>
          </w:tcPr>
          <w:p w14:paraId="279A47F3">
            <w:pPr>
              <w:spacing w:line="360" w:lineRule="auto"/>
              <w:rPr>
                <w:rFonts w:ascii="宋体" w:hAnsi="宋体" w:cs="宋体"/>
                <w:sz w:val="24"/>
              </w:rPr>
            </w:pPr>
          </w:p>
        </w:tc>
        <w:tc>
          <w:tcPr>
            <w:tcW w:w="2247" w:type="dxa"/>
            <w:vAlign w:val="center"/>
          </w:tcPr>
          <w:p w14:paraId="21769BEC">
            <w:pPr>
              <w:spacing w:line="360" w:lineRule="auto"/>
              <w:rPr>
                <w:rFonts w:ascii="宋体" w:hAnsi="宋体" w:cs="宋体"/>
                <w:sz w:val="24"/>
              </w:rPr>
            </w:pPr>
          </w:p>
        </w:tc>
        <w:tc>
          <w:tcPr>
            <w:tcW w:w="2240" w:type="dxa"/>
            <w:vAlign w:val="center"/>
          </w:tcPr>
          <w:p w14:paraId="04D9AC13">
            <w:pPr>
              <w:spacing w:line="360" w:lineRule="auto"/>
              <w:rPr>
                <w:rFonts w:ascii="宋体" w:hAnsi="宋体" w:cs="宋体"/>
                <w:sz w:val="24"/>
              </w:rPr>
            </w:pPr>
          </w:p>
        </w:tc>
      </w:tr>
      <w:tr w14:paraId="47849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44" w:type="dxa"/>
            <w:vAlign w:val="center"/>
          </w:tcPr>
          <w:p w14:paraId="7694894F">
            <w:pPr>
              <w:spacing w:line="360" w:lineRule="auto"/>
              <w:jc w:val="center"/>
              <w:rPr>
                <w:rFonts w:ascii="宋体" w:hAnsi="宋体" w:cs="宋体"/>
                <w:sz w:val="24"/>
              </w:rPr>
            </w:pPr>
            <w:r>
              <w:rPr>
                <w:rFonts w:hint="eastAsia" w:ascii="宋体" w:hAnsi="宋体" w:cs="宋体"/>
                <w:sz w:val="24"/>
              </w:rPr>
              <w:t>5</w:t>
            </w:r>
          </w:p>
        </w:tc>
        <w:tc>
          <w:tcPr>
            <w:tcW w:w="3873" w:type="dxa"/>
            <w:vAlign w:val="center"/>
          </w:tcPr>
          <w:p w14:paraId="1C29A265">
            <w:pPr>
              <w:spacing w:line="360" w:lineRule="auto"/>
              <w:rPr>
                <w:rFonts w:ascii="宋体" w:hAnsi="宋体" w:cs="宋体"/>
                <w:sz w:val="24"/>
              </w:rPr>
            </w:pPr>
          </w:p>
        </w:tc>
        <w:tc>
          <w:tcPr>
            <w:tcW w:w="2247" w:type="dxa"/>
            <w:vAlign w:val="center"/>
          </w:tcPr>
          <w:p w14:paraId="4CCCD60D">
            <w:pPr>
              <w:spacing w:line="360" w:lineRule="auto"/>
              <w:rPr>
                <w:rFonts w:ascii="宋体" w:hAnsi="宋体" w:cs="宋体"/>
                <w:sz w:val="24"/>
              </w:rPr>
            </w:pPr>
          </w:p>
        </w:tc>
        <w:tc>
          <w:tcPr>
            <w:tcW w:w="2240" w:type="dxa"/>
            <w:vAlign w:val="center"/>
          </w:tcPr>
          <w:p w14:paraId="56869BB8">
            <w:pPr>
              <w:spacing w:line="360" w:lineRule="auto"/>
              <w:rPr>
                <w:rFonts w:ascii="宋体" w:hAnsi="宋体" w:cs="宋体"/>
                <w:sz w:val="24"/>
              </w:rPr>
            </w:pPr>
          </w:p>
        </w:tc>
      </w:tr>
      <w:tr w14:paraId="3A8F2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244" w:type="dxa"/>
            <w:vAlign w:val="center"/>
          </w:tcPr>
          <w:p w14:paraId="4B794BB1">
            <w:pPr>
              <w:spacing w:line="360" w:lineRule="auto"/>
              <w:jc w:val="center"/>
              <w:rPr>
                <w:rFonts w:ascii="宋体" w:hAnsi="宋体" w:cs="宋体"/>
                <w:sz w:val="24"/>
              </w:rPr>
            </w:pPr>
          </w:p>
        </w:tc>
        <w:tc>
          <w:tcPr>
            <w:tcW w:w="3873" w:type="dxa"/>
            <w:vAlign w:val="center"/>
          </w:tcPr>
          <w:p w14:paraId="1BE9F6FD">
            <w:pPr>
              <w:spacing w:line="360" w:lineRule="auto"/>
              <w:rPr>
                <w:rFonts w:ascii="宋体" w:hAnsi="宋体" w:cs="宋体"/>
                <w:sz w:val="24"/>
              </w:rPr>
            </w:pPr>
          </w:p>
        </w:tc>
        <w:tc>
          <w:tcPr>
            <w:tcW w:w="2247" w:type="dxa"/>
            <w:vAlign w:val="center"/>
          </w:tcPr>
          <w:p w14:paraId="5F323D82">
            <w:pPr>
              <w:spacing w:line="360" w:lineRule="auto"/>
              <w:rPr>
                <w:rFonts w:ascii="宋体" w:hAnsi="宋体" w:cs="宋体"/>
                <w:sz w:val="24"/>
              </w:rPr>
            </w:pPr>
          </w:p>
        </w:tc>
        <w:tc>
          <w:tcPr>
            <w:tcW w:w="2240" w:type="dxa"/>
            <w:vAlign w:val="center"/>
          </w:tcPr>
          <w:p w14:paraId="499B6E89">
            <w:pPr>
              <w:spacing w:line="360" w:lineRule="auto"/>
              <w:rPr>
                <w:rFonts w:ascii="宋体" w:hAnsi="宋体" w:cs="宋体"/>
                <w:sz w:val="24"/>
              </w:rPr>
            </w:pPr>
          </w:p>
        </w:tc>
      </w:tr>
      <w:tr w14:paraId="2843B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244" w:type="dxa"/>
            <w:vAlign w:val="center"/>
          </w:tcPr>
          <w:p w14:paraId="5D6549CA">
            <w:pPr>
              <w:spacing w:line="360" w:lineRule="auto"/>
              <w:jc w:val="center"/>
              <w:rPr>
                <w:rFonts w:ascii="宋体" w:hAnsi="宋体" w:cs="宋体"/>
                <w:sz w:val="24"/>
              </w:rPr>
            </w:pPr>
          </w:p>
        </w:tc>
        <w:tc>
          <w:tcPr>
            <w:tcW w:w="3873" w:type="dxa"/>
            <w:vAlign w:val="center"/>
          </w:tcPr>
          <w:p w14:paraId="244127F5">
            <w:pPr>
              <w:spacing w:line="360" w:lineRule="auto"/>
              <w:rPr>
                <w:rFonts w:ascii="宋体" w:hAnsi="宋体" w:cs="宋体"/>
                <w:sz w:val="24"/>
              </w:rPr>
            </w:pPr>
          </w:p>
        </w:tc>
        <w:tc>
          <w:tcPr>
            <w:tcW w:w="2247" w:type="dxa"/>
            <w:vAlign w:val="center"/>
          </w:tcPr>
          <w:p w14:paraId="4F93F4B3">
            <w:pPr>
              <w:spacing w:line="360" w:lineRule="auto"/>
              <w:rPr>
                <w:rFonts w:ascii="宋体" w:hAnsi="宋体" w:cs="宋体"/>
                <w:sz w:val="24"/>
              </w:rPr>
            </w:pPr>
          </w:p>
        </w:tc>
        <w:tc>
          <w:tcPr>
            <w:tcW w:w="2240" w:type="dxa"/>
            <w:vAlign w:val="center"/>
          </w:tcPr>
          <w:p w14:paraId="54F928E1">
            <w:pPr>
              <w:spacing w:line="360" w:lineRule="auto"/>
              <w:rPr>
                <w:rFonts w:ascii="宋体" w:hAnsi="宋体" w:cs="宋体"/>
                <w:sz w:val="24"/>
              </w:rPr>
            </w:pPr>
          </w:p>
        </w:tc>
      </w:tr>
      <w:tr w14:paraId="1FBEF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244" w:type="dxa"/>
            <w:vAlign w:val="center"/>
          </w:tcPr>
          <w:p w14:paraId="3ED93E0A">
            <w:pPr>
              <w:spacing w:line="360" w:lineRule="auto"/>
              <w:jc w:val="center"/>
              <w:rPr>
                <w:rFonts w:ascii="宋体" w:hAnsi="宋体" w:cs="宋体"/>
                <w:sz w:val="24"/>
              </w:rPr>
            </w:pPr>
          </w:p>
        </w:tc>
        <w:tc>
          <w:tcPr>
            <w:tcW w:w="3873" w:type="dxa"/>
            <w:vAlign w:val="center"/>
          </w:tcPr>
          <w:p w14:paraId="730E5EDF">
            <w:pPr>
              <w:spacing w:line="360" w:lineRule="auto"/>
              <w:rPr>
                <w:rFonts w:ascii="宋体" w:hAnsi="宋体" w:cs="宋体"/>
                <w:sz w:val="24"/>
              </w:rPr>
            </w:pPr>
          </w:p>
        </w:tc>
        <w:tc>
          <w:tcPr>
            <w:tcW w:w="2247" w:type="dxa"/>
            <w:vAlign w:val="center"/>
          </w:tcPr>
          <w:p w14:paraId="099AF753">
            <w:pPr>
              <w:spacing w:line="360" w:lineRule="auto"/>
              <w:rPr>
                <w:rFonts w:ascii="宋体" w:hAnsi="宋体" w:cs="宋体"/>
                <w:sz w:val="24"/>
              </w:rPr>
            </w:pPr>
          </w:p>
        </w:tc>
        <w:tc>
          <w:tcPr>
            <w:tcW w:w="2240" w:type="dxa"/>
            <w:vAlign w:val="center"/>
          </w:tcPr>
          <w:p w14:paraId="21DC77A8">
            <w:pPr>
              <w:spacing w:line="360" w:lineRule="auto"/>
              <w:rPr>
                <w:rFonts w:ascii="宋体" w:hAnsi="宋体" w:cs="宋体"/>
                <w:sz w:val="24"/>
              </w:rPr>
            </w:pPr>
          </w:p>
        </w:tc>
      </w:tr>
      <w:tr w14:paraId="61413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4" w:type="dxa"/>
            <w:vAlign w:val="center"/>
          </w:tcPr>
          <w:p w14:paraId="0729A363">
            <w:pPr>
              <w:spacing w:line="360" w:lineRule="auto"/>
              <w:jc w:val="center"/>
              <w:rPr>
                <w:rFonts w:ascii="宋体" w:hAnsi="宋体" w:cs="宋体"/>
                <w:sz w:val="24"/>
              </w:rPr>
            </w:pPr>
          </w:p>
        </w:tc>
        <w:tc>
          <w:tcPr>
            <w:tcW w:w="3873" w:type="dxa"/>
            <w:vAlign w:val="center"/>
          </w:tcPr>
          <w:p w14:paraId="0410E7D8">
            <w:pPr>
              <w:spacing w:line="360" w:lineRule="auto"/>
              <w:rPr>
                <w:rFonts w:ascii="宋体" w:hAnsi="宋体" w:cs="宋体"/>
                <w:sz w:val="24"/>
              </w:rPr>
            </w:pPr>
          </w:p>
        </w:tc>
        <w:tc>
          <w:tcPr>
            <w:tcW w:w="2247" w:type="dxa"/>
            <w:vAlign w:val="center"/>
          </w:tcPr>
          <w:p w14:paraId="043F73C6">
            <w:pPr>
              <w:spacing w:line="360" w:lineRule="auto"/>
              <w:rPr>
                <w:rFonts w:ascii="宋体" w:hAnsi="宋体" w:cs="宋体"/>
                <w:sz w:val="24"/>
              </w:rPr>
            </w:pPr>
          </w:p>
        </w:tc>
        <w:tc>
          <w:tcPr>
            <w:tcW w:w="2240" w:type="dxa"/>
            <w:vAlign w:val="center"/>
          </w:tcPr>
          <w:p w14:paraId="4D5D809F">
            <w:pPr>
              <w:spacing w:line="360" w:lineRule="auto"/>
              <w:rPr>
                <w:rFonts w:ascii="宋体" w:hAnsi="宋体" w:cs="宋体"/>
                <w:sz w:val="24"/>
              </w:rPr>
            </w:pPr>
          </w:p>
        </w:tc>
      </w:tr>
      <w:tr w14:paraId="135F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44" w:type="dxa"/>
            <w:vAlign w:val="center"/>
          </w:tcPr>
          <w:p w14:paraId="3285A035">
            <w:pPr>
              <w:spacing w:line="360" w:lineRule="auto"/>
              <w:jc w:val="center"/>
              <w:rPr>
                <w:rFonts w:ascii="宋体" w:hAnsi="宋体" w:cs="宋体"/>
                <w:sz w:val="24"/>
              </w:rPr>
            </w:pPr>
          </w:p>
        </w:tc>
        <w:tc>
          <w:tcPr>
            <w:tcW w:w="3873" w:type="dxa"/>
            <w:vAlign w:val="center"/>
          </w:tcPr>
          <w:p w14:paraId="1224B3F4">
            <w:pPr>
              <w:spacing w:line="360" w:lineRule="auto"/>
              <w:rPr>
                <w:rFonts w:ascii="宋体" w:hAnsi="宋体" w:cs="宋体"/>
                <w:sz w:val="24"/>
              </w:rPr>
            </w:pPr>
          </w:p>
        </w:tc>
        <w:tc>
          <w:tcPr>
            <w:tcW w:w="2247" w:type="dxa"/>
            <w:vAlign w:val="center"/>
          </w:tcPr>
          <w:p w14:paraId="20D166C6">
            <w:pPr>
              <w:spacing w:line="360" w:lineRule="auto"/>
              <w:rPr>
                <w:rFonts w:ascii="宋体" w:hAnsi="宋体" w:cs="宋体"/>
                <w:sz w:val="24"/>
              </w:rPr>
            </w:pPr>
          </w:p>
        </w:tc>
        <w:tc>
          <w:tcPr>
            <w:tcW w:w="2240" w:type="dxa"/>
            <w:vAlign w:val="center"/>
          </w:tcPr>
          <w:p w14:paraId="729C2EDF">
            <w:pPr>
              <w:spacing w:line="360" w:lineRule="auto"/>
              <w:rPr>
                <w:rFonts w:ascii="宋体" w:hAnsi="宋体" w:cs="宋体"/>
                <w:sz w:val="24"/>
              </w:rPr>
            </w:pPr>
          </w:p>
        </w:tc>
      </w:tr>
    </w:tbl>
    <w:p w14:paraId="776DC7C4">
      <w:pPr>
        <w:spacing w:line="360" w:lineRule="auto"/>
        <w:rPr>
          <w:rFonts w:ascii="宋体" w:hAnsi="宋体" w:cs="宋体"/>
          <w:sz w:val="24"/>
        </w:rPr>
      </w:pPr>
    </w:p>
    <w:p w14:paraId="1134FAA5">
      <w:pPr>
        <w:spacing w:line="360" w:lineRule="auto"/>
        <w:rPr>
          <w:rFonts w:ascii="宋体" w:hAnsi="宋体" w:cs="宋体"/>
          <w:sz w:val="24"/>
        </w:rPr>
      </w:pPr>
      <w:r>
        <w:rPr>
          <w:rFonts w:hint="eastAsia" w:ascii="宋体" w:hAnsi="宋体" w:cs="宋体"/>
          <w:sz w:val="24"/>
        </w:rPr>
        <w:t>注：1.供应商应如实列出以上情况，如有隐瞒，一经查实将导致其磋商被拒绝。</w:t>
      </w:r>
    </w:p>
    <w:p w14:paraId="30EA560F">
      <w:pPr>
        <w:spacing w:line="360" w:lineRule="auto"/>
        <w:rPr>
          <w:rFonts w:ascii="宋体" w:hAnsi="宋体" w:cs="宋体"/>
          <w:sz w:val="24"/>
        </w:rPr>
      </w:pPr>
      <w:r>
        <w:rPr>
          <w:rFonts w:hint="eastAsia" w:ascii="宋体" w:hAnsi="宋体" w:cs="宋体"/>
          <w:sz w:val="24"/>
        </w:rPr>
        <w:t xml:space="preserve">    2.该表是对下列附件类似项目情况及案例的汇总表。</w:t>
      </w:r>
    </w:p>
    <w:p w14:paraId="0CA819BB">
      <w:pPr>
        <w:spacing w:after="120" w:afterLines="50" w:line="360" w:lineRule="auto"/>
        <w:ind w:firstLine="3120" w:firstLineChars="1300"/>
        <w:jc w:val="left"/>
        <w:rPr>
          <w:rFonts w:ascii="宋体" w:hAnsi="宋体" w:cs="宋体"/>
          <w:sz w:val="24"/>
        </w:rPr>
      </w:pPr>
    </w:p>
    <w:p w14:paraId="4B5D5B98">
      <w:pPr>
        <w:spacing w:after="480" w:line="200" w:lineRule="atLeast"/>
        <w:ind w:left="1260" w:leftChars="600" w:firstLine="3360" w:firstLineChars="14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（公章）</w:t>
      </w:r>
    </w:p>
    <w:p w14:paraId="68542FAB">
      <w:pPr>
        <w:spacing w:after="480" w:line="200" w:lineRule="atLeast"/>
        <w:ind w:left="1260" w:leftChars="600" w:firstLine="3360" w:firstLineChars="14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w:t>
      </w:r>
    </w:p>
    <w:p w14:paraId="4D307666">
      <w:pPr>
        <w:spacing w:after="480" w:line="200" w:lineRule="atLeast"/>
        <w:ind w:left="1260" w:leftChars="600" w:firstLine="3360" w:firstLineChars="14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或被授权人：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(签字或盖章)</w:t>
      </w:r>
    </w:p>
    <w:p w14:paraId="6765CFCA">
      <w:pPr>
        <w:spacing w:before="480" w:line="200" w:lineRule="atLeast"/>
        <w:ind w:left="1260" w:leftChars="600" w:firstLine="3360" w:firstLineChars="1400"/>
        <w:jc w:val="left"/>
        <w:rPr>
          <w:rFonts w:hint="eastAsia" w:ascii="宋体" w:hAnsi="宋体" w:eastAsia="宋体" w:cs="宋体"/>
          <w:color w:val="auto"/>
          <w:sz w:val="24"/>
          <w:highlight w:val="none"/>
          <w:u w:val="none"/>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3D1D75E8">
      <w:pPr>
        <w:autoSpaceDE w:val="0"/>
        <w:autoSpaceDN w:val="0"/>
        <w:adjustRightInd w:val="0"/>
        <w:spacing w:line="360" w:lineRule="auto"/>
        <w:ind w:left="402"/>
        <w:rPr>
          <w:rFonts w:hAnsi="宋体"/>
          <w:szCs w:val="21"/>
        </w:rPr>
      </w:pPr>
    </w:p>
    <w:p w14:paraId="0B2570B3">
      <w:pPr>
        <w:spacing w:before="480" w:line="360" w:lineRule="exact"/>
        <w:jc w:val="center"/>
        <w:rPr>
          <w:rFonts w:ascii="宋体" w:hAnsi="宋体" w:cs="宋体"/>
          <w:sz w:val="28"/>
          <w:szCs w:val="28"/>
        </w:rPr>
      </w:pPr>
      <w:r>
        <w:rPr>
          <w:rFonts w:asciiTheme="minorEastAsia" w:hAnsiTheme="minorEastAsia" w:cstheme="minorEastAsia"/>
          <w:b/>
          <w:bCs/>
          <w:szCs w:val="21"/>
          <w:u w:val="single"/>
        </w:rPr>
        <w:br w:type="page"/>
      </w:r>
      <w:r>
        <w:rPr>
          <w:rFonts w:hint="eastAsia" w:ascii="宋体" w:hAnsi="宋体" w:cs="宋体"/>
          <w:b/>
          <w:sz w:val="28"/>
          <w:szCs w:val="28"/>
        </w:rPr>
        <w:t>类似项目情况及案例</w:t>
      </w:r>
    </w:p>
    <w:p w14:paraId="6E2081BE">
      <w:pPr>
        <w:spacing w:line="360" w:lineRule="auto"/>
        <w:rPr>
          <w:rFonts w:ascii="宋体" w:hAnsi="宋体" w:cs="宋体"/>
          <w:b/>
          <w:bCs/>
          <w:szCs w:val="21"/>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7640"/>
      </w:tblGrid>
      <w:tr w14:paraId="76990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37" w:type="dxa"/>
            <w:vAlign w:val="center"/>
          </w:tcPr>
          <w:p w14:paraId="62372D35">
            <w:pPr>
              <w:spacing w:line="360" w:lineRule="auto"/>
              <w:jc w:val="center"/>
              <w:rPr>
                <w:rFonts w:ascii="宋体" w:hAnsi="宋体" w:cs="宋体"/>
                <w:b/>
                <w:sz w:val="24"/>
              </w:rPr>
            </w:pPr>
            <w:r>
              <w:rPr>
                <w:rFonts w:hint="eastAsia" w:ascii="宋体" w:hAnsi="宋体" w:cs="宋体"/>
                <w:b/>
                <w:sz w:val="24"/>
              </w:rPr>
              <w:t>序号</w:t>
            </w:r>
          </w:p>
        </w:tc>
        <w:tc>
          <w:tcPr>
            <w:tcW w:w="7640" w:type="dxa"/>
            <w:vAlign w:val="center"/>
          </w:tcPr>
          <w:p w14:paraId="765E6CA6">
            <w:pPr>
              <w:spacing w:line="360" w:lineRule="auto"/>
              <w:rPr>
                <w:rFonts w:ascii="宋体" w:hAnsi="宋体" w:cs="宋体"/>
                <w:b/>
                <w:sz w:val="24"/>
              </w:rPr>
            </w:pPr>
            <w:r>
              <w:rPr>
                <w:rFonts w:hint="eastAsia" w:ascii="宋体" w:hAnsi="宋体" w:cs="宋体"/>
                <w:b/>
                <w:sz w:val="24"/>
              </w:rPr>
              <w:t>内容</w:t>
            </w:r>
          </w:p>
        </w:tc>
      </w:tr>
      <w:tr w14:paraId="60B2F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37" w:type="dxa"/>
            <w:vMerge w:val="restart"/>
            <w:vAlign w:val="center"/>
          </w:tcPr>
          <w:p w14:paraId="18C30145">
            <w:pPr>
              <w:spacing w:line="360" w:lineRule="auto"/>
              <w:jc w:val="center"/>
              <w:rPr>
                <w:rFonts w:ascii="宋体" w:hAnsi="宋体" w:cs="宋体"/>
                <w:sz w:val="24"/>
              </w:rPr>
            </w:pPr>
            <w:r>
              <w:rPr>
                <w:rFonts w:hint="eastAsia" w:ascii="宋体" w:hAnsi="宋体" w:cs="宋体"/>
                <w:sz w:val="24"/>
              </w:rPr>
              <w:t>1</w:t>
            </w:r>
          </w:p>
        </w:tc>
        <w:tc>
          <w:tcPr>
            <w:tcW w:w="7640" w:type="dxa"/>
            <w:vAlign w:val="center"/>
          </w:tcPr>
          <w:p w14:paraId="724A270D">
            <w:pPr>
              <w:spacing w:line="360" w:lineRule="auto"/>
              <w:rPr>
                <w:rFonts w:ascii="宋体" w:hAnsi="宋体" w:cs="宋体"/>
                <w:sz w:val="24"/>
              </w:rPr>
            </w:pPr>
            <w:r>
              <w:rPr>
                <w:rFonts w:hint="eastAsia" w:ascii="宋体" w:hAnsi="宋体" w:cs="宋体"/>
                <w:sz w:val="24"/>
              </w:rPr>
              <w:t>合同号：</w:t>
            </w:r>
          </w:p>
        </w:tc>
      </w:tr>
      <w:tr w14:paraId="1C62D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37" w:type="dxa"/>
            <w:vMerge w:val="continue"/>
            <w:vAlign w:val="center"/>
          </w:tcPr>
          <w:p w14:paraId="709DCBC6">
            <w:pPr>
              <w:spacing w:line="360" w:lineRule="auto"/>
              <w:jc w:val="center"/>
              <w:rPr>
                <w:rFonts w:ascii="宋体" w:hAnsi="宋体" w:cs="宋体"/>
                <w:sz w:val="24"/>
              </w:rPr>
            </w:pPr>
          </w:p>
        </w:tc>
        <w:tc>
          <w:tcPr>
            <w:tcW w:w="7640" w:type="dxa"/>
            <w:vAlign w:val="center"/>
          </w:tcPr>
          <w:p w14:paraId="487EA413">
            <w:pPr>
              <w:spacing w:line="360" w:lineRule="auto"/>
              <w:rPr>
                <w:rFonts w:ascii="宋体" w:hAnsi="宋体" w:cs="宋体"/>
                <w:sz w:val="24"/>
              </w:rPr>
            </w:pPr>
            <w:r>
              <w:rPr>
                <w:rFonts w:hint="eastAsia" w:ascii="宋体" w:hAnsi="宋体" w:cs="宋体"/>
                <w:sz w:val="24"/>
              </w:rPr>
              <w:t>合同名称：</w:t>
            </w:r>
          </w:p>
        </w:tc>
      </w:tr>
      <w:tr w14:paraId="1B233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7" w:type="dxa"/>
            <w:vMerge w:val="restart"/>
            <w:vAlign w:val="center"/>
          </w:tcPr>
          <w:p w14:paraId="44D60AD7">
            <w:pPr>
              <w:spacing w:line="360" w:lineRule="auto"/>
              <w:jc w:val="center"/>
              <w:rPr>
                <w:rFonts w:ascii="宋体" w:hAnsi="宋体" w:cs="宋体"/>
                <w:sz w:val="24"/>
              </w:rPr>
            </w:pPr>
            <w:r>
              <w:rPr>
                <w:rFonts w:hint="eastAsia" w:ascii="宋体" w:hAnsi="宋体" w:cs="宋体"/>
                <w:sz w:val="24"/>
              </w:rPr>
              <w:t>2</w:t>
            </w:r>
          </w:p>
        </w:tc>
        <w:tc>
          <w:tcPr>
            <w:tcW w:w="7640" w:type="dxa"/>
            <w:vAlign w:val="center"/>
          </w:tcPr>
          <w:p w14:paraId="0AAA679B">
            <w:pPr>
              <w:spacing w:line="360" w:lineRule="auto"/>
              <w:rPr>
                <w:rFonts w:ascii="宋体" w:hAnsi="宋体" w:cs="宋体"/>
                <w:sz w:val="24"/>
              </w:rPr>
            </w:pPr>
            <w:r>
              <w:rPr>
                <w:rFonts w:hint="eastAsia" w:ascii="宋体" w:hAnsi="宋体" w:cs="宋体"/>
                <w:sz w:val="24"/>
              </w:rPr>
              <w:t>采购人名称：</w:t>
            </w:r>
          </w:p>
        </w:tc>
      </w:tr>
      <w:tr w14:paraId="6DB3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7" w:type="dxa"/>
            <w:vMerge w:val="continue"/>
            <w:vAlign w:val="center"/>
          </w:tcPr>
          <w:p w14:paraId="1665FC7B">
            <w:pPr>
              <w:spacing w:line="360" w:lineRule="auto"/>
              <w:jc w:val="center"/>
              <w:rPr>
                <w:rFonts w:ascii="宋体" w:hAnsi="宋体" w:cs="宋体"/>
                <w:sz w:val="24"/>
              </w:rPr>
            </w:pPr>
          </w:p>
        </w:tc>
        <w:tc>
          <w:tcPr>
            <w:tcW w:w="7640" w:type="dxa"/>
            <w:vAlign w:val="center"/>
          </w:tcPr>
          <w:p w14:paraId="5604C668">
            <w:pPr>
              <w:spacing w:line="360" w:lineRule="auto"/>
              <w:rPr>
                <w:rFonts w:ascii="宋体" w:hAnsi="宋体" w:cs="宋体"/>
                <w:sz w:val="24"/>
              </w:rPr>
            </w:pPr>
            <w:r>
              <w:rPr>
                <w:rFonts w:hint="eastAsia" w:ascii="宋体" w:hAnsi="宋体" w:cs="宋体"/>
                <w:sz w:val="24"/>
              </w:rPr>
              <w:t>采购人地址：</w:t>
            </w:r>
          </w:p>
        </w:tc>
      </w:tr>
      <w:tr w14:paraId="0CF2B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37" w:type="dxa"/>
            <w:vAlign w:val="center"/>
          </w:tcPr>
          <w:p w14:paraId="1FFDB78E">
            <w:pPr>
              <w:spacing w:line="360" w:lineRule="auto"/>
              <w:jc w:val="center"/>
              <w:rPr>
                <w:rFonts w:ascii="宋体" w:hAnsi="宋体" w:cs="宋体"/>
                <w:sz w:val="24"/>
              </w:rPr>
            </w:pPr>
            <w:r>
              <w:rPr>
                <w:rFonts w:hint="eastAsia" w:ascii="宋体" w:hAnsi="宋体" w:cs="宋体"/>
                <w:sz w:val="24"/>
              </w:rPr>
              <w:t>3</w:t>
            </w:r>
          </w:p>
        </w:tc>
        <w:tc>
          <w:tcPr>
            <w:tcW w:w="7640" w:type="dxa"/>
            <w:vAlign w:val="center"/>
          </w:tcPr>
          <w:p w14:paraId="5AFF0737">
            <w:pPr>
              <w:spacing w:line="360" w:lineRule="auto"/>
              <w:rPr>
                <w:rFonts w:ascii="宋体" w:hAnsi="宋体" w:cs="宋体"/>
                <w:sz w:val="24"/>
              </w:rPr>
            </w:pPr>
            <w:r>
              <w:rPr>
                <w:rFonts w:hint="eastAsia" w:ascii="宋体" w:hAnsi="宋体" w:cs="宋体"/>
                <w:sz w:val="24"/>
              </w:rPr>
              <w:t>与本项目项类似性质和特点</w:t>
            </w:r>
          </w:p>
        </w:tc>
      </w:tr>
      <w:tr w14:paraId="66C8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137" w:type="dxa"/>
            <w:vAlign w:val="center"/>
          </w:tcPr>
          <w:p w14:paraId="63D65F60">
            <w:pPr>
              <w:spacing w:line="360" w:lineRule="auto"/>
              <w:jc w:val="center"/>
              <w:rPr>
                <w:rFonts w:ascii="宋体" w:hAnsi="宋体" w:cs="宋体"/>
                <w:sz w:val="24"/>
              </w:rPr>
            </w:pPr>
            <w:r>
              <w:rPr>
                <w:rFonts w:hint="eastAsia" w:ascii="宋体" w:hAnsi="宋体" w:cs="宋体"/>
                <w:sz w:val="24"/>
              </w:rPr>
              <w:t>4</w:t>
            </w:r>
          </w:p>
        </w:tc>
        <w:tc>
          <w:tcPr>
            <w:tcW w:w="7640" w:type="dxa"/>
            <w:vAlign w:val="center"/>
          </w:tcPr>
          <w:p w14:paraId="65A4D90A">
            <w:pPr>
              <w:spacing w:line="360" w:lineRule="auto"/>
              <w:jc w:val="center"/>
              <w:rPr>
                <w:rFonts w:ascii="宋体" w:hAnsi="宋体" w:cs="宋体"/>
                <w:sz w:val="24"/>
              </w:rPr>
            </w:pPr>
            <w:r>
              <w:rPr>
                <w:rFonts w:hint="eastAsia" w:ascii="宋体" w:hAnsi="宋体" w:cs="宋体"/>
                <w:sz w:val="24"/>
              </w:rPr>
              <w:t>合同身份（注明之一）</w:t>
            </w:r>
          </w:p>
          <w:p w14:paraId="2F60AE89">
            <w:pPr>
              <w:spacing w:line="360" w:lineRule="auto"/>
              <w:jc w:val="center"/>
              <w:rPr>
                <w:rFonts w:ascii="宋体" w:hAnsi="宋体" w:cs="宋体"/>
                <w:sz w:val="24"/>
              </w:rPr>
            </w:pPr>
            <w:r>
              <w:rPr>
                <w:rFonts w:hint="eastAsia" w:ascii="宋体" w:hAnsi="宋体" w:cs="宋体"/>
                <w:sz w:val="24"/>
              </w:rPr>
              <w:t>□独立承包人          □分包人          □联合体成员</w:t>
            </w:r>
          </w:p>
        </w:tc>
      </w:tr>
      <w:tr w14:paraId="519B6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37" w:type="dxa"/>
            <w:vAlign w:val="center"/>
          </w:tcPr>
          <w:p w14:paraId="0E24C341">
            <w:pPr>
              <w:spacing w:line="360" w:lineRule="auto"/>
              <w:jc w:val="center"/>
              <w:rPr>
                <w:rFonts w:ascii="宋体" w:hAnsi="宋体" w:cs="宋体"/>
                <w:sz w:val="24"/>
              </w:rPr>
            </w:pPr>
            <w:r>
              <w:rPr>
                <w:rFonts w:hint="eastAsia" w:ascii="宋体" w:hAnsi="宋体" w:cs="宋体"/>
                <w:sz w:val="24"/>
              </w:rPr>
              <w:t>5</w:t>
            </w:r>
          </w:p>
        </w:tc>
        <w:tc>
          <w:tcPr>
            <w:tcW w:w="7640" w:type="dxa"/>
            <w:vAlign w:val="center"/>
          </w:tcPr>
          <w:p w14:paraId="3284DC48">
            <w:pPr>
              <w:spacing w:line="360" w:lineRule="auto"/>
              <w:rPr>
                <w:rFonts w:ascii="宋体" w:hAnsi="宋体" w:cs="宋体"/>
                <w:sz w:val="24"/>
              </w:rPr>
            </w:pPr>
            <w:r>
              <w:rPr>
                <w:rFonts w:hint="eastAsia" w:ascii="宋体" w:hAnsi="宋体" w:cs="宋体"/>
                <w:sz w:val="24"/>
              </w:rPr>
              <w:t>合同总价：</w:t>
            </w:r>
          </w:p>
        </w:tc>
      </w:tr>
      <w:tr w14:paraId="40414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137" w:type="dxa"/>
            <w:vAlign w:val="center"/>
          </w:tcPr>
          <w:p w14:paraId="70145202">
            <w:pPr>
              <w:spacing w:line="360" w:lineRule="auto"/>
              <w:jc w:val="center"/>
              <w:rPr>
                <w:rFonts w:ascii="宋体" w:hAnsi="宋体" w:cs="宋体"/>
                <w:sz w:val="24"/>
              </w:rPr>
            </w:pPr>
            <w:r>
              <w:rPr>
                <w:rFonts w:hint="eastAsia" w:ascii="宋体" w:hAnsi="宋体" w:cs="宋体"/>
                <w:sz w:val="24"/>
              </w:rPr>
              <w:t>6</w:t>
            </w:r>
          </w:p>
        </w:tc>
        <w:tc>
          <w:tcPr>
            <w:tcW w:w="7640" w:type="dxa"/>
            <w:vAlign w:val="center"/>
          </w:tcPr>
          <w:p w14:paraId="71A1DEE0">
            <w:pPr>
              <w:spacing w:line="360" w:lineRule="auto"/>
              <w:rPr>
                <w:rFonts w:ascii="宋体" w:hAnsi="宋体" w:cs="宋体"/>
                <w:sz w:val="24"/>
              </w:rPr>
            </w:pPr>
            <w:r>
              <w:rPr>
                <w:rFonts w:hint="eastAsia" w:ascii="宋体" w:hAnsi="宋体" w:cs="宋体"/>
                <w:sz w:val="24"/>
              </w:rPr>
              <w:t>合同签订时间：</w:t>
            </w:r>
          </w:p>
        </w:tc>
      </w:tr>
      <w:tr w14:paraId="5F2C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37" w:type="dxa"/>
            <w:vAlign w:val="center"/>
          </w:tcPr>
          <w:p w14:paraId="0A41BE2E">
            <w:pPr>
              <w:spacing w:line="360" w:lineRule="auto"/>
              <w:jc w:val="center"/>
              <w:rPr>
                <w:rFonts w:ascii="宋体" w:hAnsi="宋体" w:cs="宋体"/>
                <w:sz w:val="24"/>
              </w:rPr>
            </w:pPr>
            <w:r>
              <w:rPr>
                <w:rFonts w:hint="eastAsia" w:ascii="宋体" w:hAnsi="宋体" w:cs="宋体"/>
                <w:sz w:val="24"/>
              </w:rPr>
              <w:t>7</w:t>
            </w:r>
          </w:p>
        </w:tc>
        <w:tc>
          <w:tcPr>
            <w:tcW w:w="7640" w:type="dxa"/>
            <w:vAlign w:val="center"/>
          </w:tcPr>
          <w:p w14:paraId="680B3D50">
            <w:pPr>
              <w:spacing w:line="360" w:lineRule="auto"/>
              <w:rPr>
                <w:rFonts w:ascii="宋体" w:hAnsi="宋体" w:cs="宋体"/>
                <w:sz w:val="24"/>
              </w:rPr>
            </w:pPr>
            <w:r>
              <w:rPr>
                <w:rFonts w:hint="eastAsia" w:ascii="宋体" w:hAnsi="宋体" w:cs="宋体"/>
                <w:sz w:val="24"/>
              </w:rPr>
              <w:t>项目完成时间：</w:t>
            </w:r>
          </w:p>
        </w:tc>
      </w:tr>
      <w:tr w14:paraId="50686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37" w:type="dxa"/>
            <w:vAlign w:val="center"/>
          </w:tcPr>
          <w:p w14:paraId="606B333C">
            <w:pPr>
              <w:spacing w:line="360" w:lineRule="auto"/>
              <w:jc w:val="center"/>
              <w:rPr>
                <w:rFonts w:ascii="宋体" w:hAnsi="宋体" w:cs="宋体"/>
                <w:sz w:val="24"/>
              </w:rPr>
            </w:pPr>
            <w:r>
              <w:rPr>
                <w:rFonts w:hint="eastAsia" w:ascii="宋体" w:hAnsi="宋体" w:cs="宋体"/>
                <w:sz w:val="24"/>
              </w:rPr>
              <w:t>8</w:t>
            </w:r>
          </w:p>
        </w:tc>
        <w:tc>
          <w:tcPr>
            <w:tcW w:w="7640" w:type="dxa"/>
            <w:vAlign w:val="center"/>
          </w:tcPr>
          <w:p w14:paraId="43CAC20E">
            <w:pPr>
              <w:spacing w:line="360" w:lineRule="auto"/>
              <w:rPr>
                <w:rFonts w:ascii="宋体" w:hAnsi="宋体" w:cs="宋体"/>
                <w:sz w:val="24"/>
              </w:rPr>
            </w:pPr>
            <w:r>
              <w:rPr>
                <w:rFonts w:hint="eastAsia" w:ascii="宋体" w:hAnsi="宋体" w:cs="宋体"/>
                <w:sz w:val="24"/>
              </w:rPr>
              <w:t>合同服务期：</w:t>
            </w:r>
          </w:p>
        </w:tc>
      </w:tr>
      <w:tr w14:paraId="10BB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37" w:type="dxa"/>
            <w:vAlign w:val="center"/>
          </w:tcPr>
          <w:p w14:paraId="026B5EA9">
            <w:pPr>
              <w:spacing w:line="360" w:lineRule="auto"/>
              <w:jc w:val="center"/>
              <w:rPr>
                <w:rFonts w:ascii="宋体" w:hAnsi="宋体" w:cs="宋体"/>
                <w:sz w:val="24"/>
              </w:rPr>
            </w:pPr>
            <w:r>
              <w:rPr>
                <w:rFonts w:hint="eastAsia" w:ascii="宋体" w:hAnsi="宋体" w:cs="宋体"/>
                <w:sz w:val="24"/>
              </w:rPr>
              <w:t>9</w:t>
            </w:r>
          </w:p>
        </w:tc>
        <w:tc>
          <w:tcPr>
            <w:tcW w:w="7640" w:type="dxa"/>
            <w:vAlign w:val="center"/>
          </w:tcPr>
          <w:p w14:paraId="2F243004">
            <w:pPr>
              <w:spacing w:line="360" w:lineRule="auto"/>
              <w:rPr>
                <w:rFonts w:ascii="宋体" w:hAnsi="宋体" w:cs="宋体"/>
                <w:sz w:val="24"/>
              </w:rPr>
            </w:pPr>
            <w:r>
              <w:rPr>
                <w:rFonts w:hint="eastAsia" w:ascii="宋体" w:hAnsi="宋体" w:cs="宋体"/>
                <w:sz w:val="24"/>
              </w:rPr>
              <w:t>案例介绍：</w:t>
            </w:r>
          </w:p>
        </w:tc>
      </w:tr>
    </w:tbl>
    <w:p w14:paraId="508AAC35">
      <w:pPr>
        <w:spacing w:line="360" w:lineRule="auto"/>
        <w:rPr>
          <w:rFonts w:ascii="宋体" w:hAnsi="宋体" w:cs="宋体"/>
          <w:sz w:val="24"/>
        </w:rPr>
      </w:pPr>
    </w:p>
    <w:p w14:paraId="0D300D80">
      <w:pPr>
        <w:spacing w:after="480" w:line="280" w:lineRule="exact"/>
        <w:ind w:firstLine="3600" w:firstLineChars="1500"/>
        <w:jc w:val="left"/>
        <w:rPr>
          <w:rFonts w:ascii="宋体" w:hAnsi="宋体" w:cs="宋体"/>
          <w:sz w:val="24"/>
        </w:rPr>
      </w:pPr>
    </w:p>
    <w:p w14:paraId="3EBBD5A3">
      <w:pPr>
        <w:spacing w:after="480" w:line="200" w:lineRule="atLeast"/>
        <w:ind w:left="1260" w:leftChars="600" w:firstLine="3360" w:firstLineChars="14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（公章）</w:t>
      </w:r>
    </w:p>
    <w:p w14:paraId="4AFF90CF">
      <w:pPr>
        <w:spacing w:after="480" w:line="200" w:lineRule="atLeast"/>
        <w:ind w:left="1260" w:leftChars="600" w:firstLine="3360" w:firstLineChars="14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w:t>
      </w:r>
    </w:p>
    <w:p w14:paraId="5D9B366C">
      <w:pPr>
        <w:spacing w:after="480" w:line="200" w:lineRule="atLeast"/>
        <w:ind w:left="1260" w:leftChars="600" w:firstLine="3360" w:firstLineChars="14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或被授权人：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(签字或盖章)</w:t>
      </w:r>
    </w:p>
    <w:p w14:paraId="1EC7235D">
      <w:pPr>
        <w:spacing w:before="480" w:line="200" w:lineRule="atLeast"/>
        <w:ind w:left="1260" w:leftChars="600" w:firstLine="3360" w:firstLineChars="1400"/>
        <w:jc w:val="left"/>
        <w:rPr>
          <w:rFonts w:hint="eastAsia" w:ascii="宋体" w:hAnsi="宋体" w:eastAsia="宋体" w:cs="宋体"/>
          <w:color w:val="auto"/>
          <w:sz w:val="24"/>
          <w:highlight w:val="none"/>
          <w:u w:val="none"/>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679B6DB9">
      <w:pPr>
        <w:spacing w:line="360" w:lineRule="auto"/>
        <w:rPr>
          <w:rFonts w:ascii="宋体" w:hAnsi="宋体" w:cs="宋体"/>
          <w:sz w:val="24"/>
        </w:rPr>
      </w:pPr>
    </w:p>
    <w:p w14:paraId="34129BE0">
      <w:pPr>
        <w:rPr>
          <w:rFonts w:asciiTheme="minorEastAsia" w:hAnsiTheme="minorEastAsia" w:cstheme="minorEastAsia"/>
          <w:b/>
          <w:bCs/>
          <w:szCs w:val="21"/>
          <w:u w:val="single"/>
        </w:rPr>
      </w:pPr>
      <w:r>
        <w:rPr>
          <w:rFonts w:asciiTheme="minorEastAsia" w:hAnsiTheme="minorEastAsia" w:cstheme="minorEastAsia"/>
          <w:b/>
          <w:bCs/>
          <w:szCs w:val="21"/>
          <w:u w:val="single"/>
        </w:rPr>
        <w:br w:type="page"/>
      </w:r>
    </w:p>
    <w:p w14:paraId="1F33E294">
      <w:pPr>
        <w:spacing w:line="348" w:lineRule="auto"/>
        <w:jc w:val="center"/>
        <w:outlineLvl w:val="1"/>
        <w:rPr>
          <w:rFonts w:ascii="宋体" w:hAnsi="宋体" w:cs="宋体"/>
          <w:b/>
          <w:bCs/>
          <w:color w:val="000000"/>
          <w:sz w:val="32"/>
          <w:szCs w:val="32"/>
        </w:rPr>
      </w:pPr>
      <w:r>
        <w:rPr>
          <w:rFonts w:hint="eastAsia" w:ascii="宋体" w:hAnsi="宋体" w:cs="宋体"/>
          <w:b/>
          <w:bCs/>
          <w:color w:val="000000"/>
          <w:sz w:val="32"/>
          <w:szCs w:val="32"/>
        </w:rPr>
        <w:t>九、</w:t>
      </w:r>
      <w:bookmarkEnd w:id="72"/>
      <w:r>
        <w:rPr>
          <w:rFonts w:hint="eastAsia" w:ascii="宋体" w:hAnsi="宋体" w:cs="宋体"/>
          <w:b/>
          <w:bCs/>
          <w:color w:val="000000"/>
          <w:sz w:val="32"/>
          <w:szCs w:val="32"/>
        </w:rPr>
        <w:t>磋商响应方案说明（格式自拟）</w:t>
      </w:r>
    </w:p>
    <w:p w14:paraId="1EE0C694">
      <w:pPr>
        <w:spacing w:line="480" w:lineRule="auto"/>
        <w:ind w:firstLine="482" w:firstLineChars="200"/>
        <w:rPr>
          <w:rFonts w:ascii="宋体" w:hAnsi="宋体"/>
          <w:b/>
          <w:sz w:val="24"/>
          <w:szCs w:val="22"/>
        </w:rPr>
      </w:pPr>
      <w:r>
        <w:rPr>
          <w:rFonts w:hint="eastAsia" w:ascii="宋体" w:hAnsi="宋体" w:cs="宋体"/>
          <w:b/>
          <w:kern w:val="0"/>
          <w:sz w:val="24"/>
        </w:rPr>
        <w:t>供应商应按照磋商文件要求，根据磋商文件第二部分中《评审方法及内容》和第三部分分各条款作出全面</w:t>
      </w:r>
      <w:r>
        <w:rPr>
          <w:rFonts w:hint="eastAsia" w:ascii="宋体" w:hAnsi="宋体"/>
          <w:b/>
          <w:sz w:val="24"/>
          <w:szCs w:val="22"/>
        </w:rPr>
        <w:t>响应。</w:t>
      </w:r>
    </w:p>
    <w:p w14:paraId="27582EBE">
      <w:pPr>
        <w:rPr>
          <w:rFonts w:ascii="宋体" w:hAnsi="宋体" w:cs="宋体"/>
          <w:b/>
          <w:color w:val="000000"/>
          <w:sz w:val="28"/>
          <w:szCs w:val="28"/>
        </w:rPr>
      </w:pPr>
      <w:r>
        <w:rPr>
          <w:rFonts w:hint="eastAsia" w:ascii="宋体" w:hAnsi="宋体" w:cs="宋体"/>
          <w:b/>
          <w:color w:val="000000"/>
          <w:sz w:val="28"/>
          <w:szCs w:val="28"/>
        </w:rPr>
        <w:br w:type="page"/>
      </w:r>
    </w:p>
    <w:p w14:paraId="122C77E3">
      <w:pPr>
        <w:pStyle w:val="5"/>
        <w:rPr>
          <w:rFonts w:hint="eastAsia" w:ascii="宋体" w:hAnsi="宋体" w:eastAsia="宋体" w:cs="宋体"/>
          <w:b w:val="0"/>
          <w:bCs w:val="0"/>
          <w:color w:val="auto"/>
          <w:sz w:val="32"/>
          <w:highlight w:val="none"/>
        </w:rPr>
      </w:pPr>
      <w:r>
        <w:rPr>
          <w:rFonts w:hint="eastAsia" w:ascii="宋体" w:hAnsi="宋体" w:cs="宋体"/>
          <w:color w:val="auto"/>
          <w:sz w:val="32"/>
          <w:highlight w:val="none"/>
          <w:lang w:eastAsia="zh-CN"/>
        </w:rPr>
        <w:t>十</w:t>
      </w:r>
      <w:r>
        <w:rPr>
          <w:rFonts w:hint="eastAsia" w:ascii="宋体" w:hAnsi="宋体" w:eastAsia="宋体" w:cs="宋体"/>
          <w:color w:val="auto"/>
          <w:sz w:val="32"/>
          <w:highlight w:val="none"/>
        </w:rPr>
        <w:t>、供应商认为需要提供的其他证明材料</w:t>
      </w:r>
    </w:p>
    <w:p w14:paraId="4F1C0B23">
      <w:pPr>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（格式自拟）</w:t>
      </w:r>
    </w:p>
    <w:p w14:paraId="30354258">
      <w:pPr>
        <w:kinsoku w:val="0"/>
        <w:spacing w:line="500" w:lineRule="exact"/>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供应商按照磋商文件的要求，提供认为有必要，有利于磋商的证明文件及材料，格式自拟。</w:t>
      </w:r>
    </w:p>
    <w:p w14:paraId="57DA8693">
      <w:pPr>
        <w:rPr>
          <w:rFonts w:hint="eastAsia" w:ascii="宋体" w:hAnsi="宋体" w:eastAsia="宋体" w:cs="宋体"/>
          <w:color w:val="auto"/>
          <w:highlight w:val="none"/>
        </w:rPr>
      </w:pPr>
    </w:p>
    <w:p w14:paraId="5A514864">
      <w:pPr>
        <w:rPr>
          <w:rFonts w:hint="eastAsia" w:ascii="宋体" w:hAnsi="宋体" w:cs="宋体"/>
          <w:b/>
          <w:color w:val="000000"/>
          <w:sz w:val="28"/>
          <w:szCs w:val="28"/>
        </w:rPr>
      </w:pPr>
    </w:p>
    <w:p w14:paraId="6CDFFB8C">
      <w:pPr>
        <w:rPr>
          <w:rFonts w:hint="eastAsia" w:ascii="宋体" w:hAnsi="宋体" w:cs="宋体"/>
          <w:b/>
          <w:color w:val="000000"/>
          <w:sz w:val="28"/>
          <w:szCs w:val="28"/>
        </w:rPr>
      </w:pPr>
      <w:r>
        <w:rPr>
          <w:rFonts w:hint="eastAsia" w:ascii="宋体" w:hAnsi="宋体" w:cs="宋体"/>
          <w:b/>
          <w:color w:val="000000"/>
          <w:sz w:val="28"/>
          <w:szCs w:val="28"/>
        </w:rPr>
        <w:br w:type="page"/>
      </w:r>
    </w:p>
    <w:p w14:paraId="4DBBFFB0">
      <w:pPr>
        <w:pStyle w:val="5"/>
        <w:rPr>
          <w:rFonts w:hint="eastAsia" w:ascii="宋体" w:hAnsi="宋体" w:eastAsia="宋体" w:cs="宋体"/>
          <w:color w:val="auto"/>
          <w:sz w:val="32"/>
          <w:highlight w:val="none"/>
        </w:rPr>
      </w:pPr>
      <w:r>
        <w:rPr>
          <w:rFonts w:hint="eastAsia" w:ascii="宋体" w:hAnsi="宋体" w:cs="宋体"/>
          <w:color w:val="auto"/>
          <w:sz w:val="32"/>
          <w:highlight w:val="none"/>
          <w:lang w:eastAsia="zh-CN"/>
        </w:rPr>
        <w:t>十一、</w:t>
      </w:r>
      <w:r>
        <w:rPr>
          <w:rFonts w:hint="eastAsia" w:ascii="宋体" w:hAnsi="宋体" w:eastAsia="宋体" w:cs="宋体"/>
          <w:color w:val="auto"/>
          <w:sz w:val="32"/>
          <w:highlight w:val="none"/>
        </w:rPr>
        <w:t>磋商响应单位承诺书</w:t>
      </w:r>
    </w:p>
    <w:p w14:paraId="60D11EEA">
      <w:pPr>
        <w:jc w:val="left"/>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附件1</w:t>
      </w:r>
    </w:p>
    <w:p w14:paraId="5E16E66F">
      <w:pPr>
        <w:jc w:val="center"/>
        <w:rPr>
          <w:rFonts w:hint="eastAsia"/>
        </w:rPr>
      </w:pPr>
      <w:r>
        <w:rPr>
          <w:rFonts w:hint="eastAsia" w:ascii="宋体" w:hAnsi="宋体" w:eastAsia="宋体" w:cs="宋体"/>
          <w:b/>
          <w:color w:val="auto"/>
          <w:sz w:val="28"/>
          <w:szCs w:val="28"/>
          <w:highlight w:val="none"/>
        </w:rPr>
        <w:t>陕西省政府采购供应商拒绝政府采购领域商业贿赂承诺书</w:t>
      </w:r>
    </w:p>
    <w:p w14:paraId="5635876B">
      <w:pPr>
        <w:snapToGrid w:val="0"/>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为响应党中央、国务院关于治理采购领域商业贿赂行为的号召，我公司再次承诺：</w:t>
      </w:r>
    </w:p>
    <w:p w14:paraId="4DB7E13A">
      <w:pPr>
        <w:suppressAutoHyphens/>
        <w:snapToGrid w:val="0"/>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1.在参与采购活动中遵纪守法、诚信经营、公平竞标。</w:t>
      </w:r>
    </w:p>
    <w:p w14:paraId="7A80705C">
      <w:pPr>
        <w:suppressAutoHyphens/>
        <w:snapToGrid w:val="0"/>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2.不向采购人、采购代理机构和采购评审专家进行任何形式的商业贿赂以谋取交易机会。</w:t>
      </w:r>
    </w:p>
    <w:p w14:paraId="027EE620">
      <w:pPr>
        <w:suppressAutoHyphens/>
        <w:snapToGrid w:val="0"/>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3.不向采购代理机构和采购人提供虚假资质文件或采用虚假应标方式参与采购市场竞争并谋取中标、成交。</w:t>
      </w:r>
    </w:p>
    <w:p w14:paraId="3AFA4AA1">
      <w:pPr>
        <w:suppressAutoHyphens/>
        <w:snapToGrid w:val="0"/>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4.不采取“围标、陪标”等商业欺诈手段获取采购订单。</w:t>
      </w:r>
    </w:p>
    <w:p w14:paraId="6F28A5B5">
      <w:pPr>
        <w:suppressAutoHyphens/>
        <w:snapToGrid w:val="0"/>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5.不采取不正当手段诋毁、排挤其他供应商。</w:t>
      </w:r>
    </w:p>
    <w:p w14:paraId="3712550E">
      <w:pPr>
        <w:suppressAutoHyphens/>
        <w:snapToGrid w:val="0"/>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6.不在提供商品和服务时“偷梁换柱、以次充好”损害采购人的合法权益。</w:t>
      </w:r>
    </w:p>
    <w:p w14:paraId="064402AB">
      <w:pPr>
        <w:suppressAutoHyphens/>
        <w:snapToGrid w:val="0"/>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7.不与采购人、采购代理机构、采购评审专家或其他供应商恶意串通，进行质疑和投诉，维护采购市场秩序。</w:t>
      </w:r>
    </w:p>
    <w:p w14:paraId="3139BADF">
      <w:pPr>
        <w:suppressAutoHyphens/>
        <w:snapToGrid w:val="0"/>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8.尊重和接受采购监督管理部门的监督和采购代理机构采购要求，承担因违约行为给采购人造成的损失。</w:t>
      </w:r>
    </w:p>
    <w:p w14:paraId="0D39BCA6">
      <w:pPr>
        <w:suppressAutoHyphens/>
        <w:snapToGrid w:val="0"/>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9.不发生其他有悖于政府采购公开、公平、公正和诚信原则的行为。</w:t>
      </w:r>
    </w:p>
    <w:p w14:paraId="41685B40">
      <w:pPr>
        <w:snapToGrid w:val="0"/>
        <w:spacing w:line="480" w:lineRule="auto"/>
        <w:ind w:left="482"/>
        <w:rPr>
          <w:rFonts w:hint="eastAsia" w:ascii="宋体" w:hAnsi="宋体" w:eastAsia="宋体" w:cs="宋体"/>
          <w:color w:val="auto"/>
          <w:sz w:val="24"/>
          <w:highlight w:val="none"/>
        </w:rPr>
      </w:pPr>
      <w:r>
        <w:rPr>
          <w:rFonts w:hint="eastAsia" w:ascii="宋体" w:hAnsi="宋体" w:eastAsia="宋体" w:cs="宋体"/>
          <w:color w:val="auto"/>
          <w:sz w:val="24"/>
          <w:highlight w:val="none"/>
        </w:rPr>
        <w:t>承诺单位：（</w:t>
      </w:r>
      <w:r>
        <w:rPr>
          <w:rFonts w:hint="eastAsia" w:ascii="宋体" w:hAnsi="宋体" w:eastAsia="宋体" w:cs="宋体"/>
          <w:color w:val="auto"/>
          <w:sz w:val="24"/>
          <w:highlight w:val="none"/>
          <w:lang w:eastAsia="zh-CN"/>
        </w:rPr>
        <w:t>公</w:t>
      </w:r>
      <w:r>
        <w:rPr>
          <w:rFonts w:hint="eastAsia" w:ascii="宋体" w:hAnsi="宋体" w:eastAsia="宋体" w:cs="宋体"/>
          <w:color w:val="auto"/>
          <w:sz w:val="24"/>
          <w:highlight w:val="none"/>
        </w:rPr>
        <w:t>章）                  全权代表：（签字）</w:t>
      </w:r>
    </w:p>
    <w:p w14:paraId="2BA03819">
      <w:pPr>
        <w:snapToGrid w:val="0"/>
        <w:spacing w:line="480" w:lineRule="auto"/>
        <w:ind w:left="482"/>
        <w:rPr>
          <w:rFonts w:hint="eastAsia" w:ascii="宋体" w:hAnsi="宋体" w:eastAsia="宋体" w:cs="宋体"/>
          <w:color w:val="auto"/>
          <w:sz w:val="24"/>
          <w:highlight w:val="none"/>
        </w:rPr>
      </w:pPr>
      <w:r>
        <w:rPr>
          <w:rFonts w:hint="eastAsia" w:ascii="宋体" w:hAnsi="宋体" w:eastAsia="宋体" w:cs="宋体"/>
          <w:color w:val="auto"/>
          <w:sz w:val="24"/>
          <w:highlight w:val="none"/>
        </w:rPr>
        <w:t>地址：                              邮编：</w:t>
      </w:r>
    </w:p>
    <w:p w14:paraId="58204280">
      <w:pPr>
        <w:snapToGrid w:val="0"/>
        <w:spacing w:line="480" w:lineRule="auto"/>
        <w:ind w:left="482"/>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电话：       </w:t>
      </w:r>
    </w:p>
    <w:p w14:paraId="12B7622C">
      <w:pPr>
        <w:jc w:val="lef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 xml:space="preserve">                                                       年    月    日</w:t>
      </w:r>
      <w:r>
        <w:rPr>
          <w:rFonts w:hint="eastAsia" w:ascii="宋体" w:hAnsi="宋体" w:eastAsia="宋体" w:cs="宋体"/>
          <w:b/>
          <w:color w:val="auto"/>
          <w:sz w:val="32"/>
          <w:szCs w:val="32"/>
          <w:highlight w:val="none"/>
        </w:rPr>
        <w:br w:type="page"/>
      </w:r>
      <w:r>
        <w:rPr>
          <w:rFonts w:hint="eastAsia" w:ascii="宋体" w:hAnsi="宋体" w:eastAsia="宋体" w:cs="宋体"/>
          <w:b/>
          <w:bCs/>
          <w:color w:val="auto"/>
          <w:sz w:val="28"/>
          <w:szCs w:val="28"/>
          <w:highlight w:val="none"/>
        </w:rPr>
        <w:t>附件2</w:t>
      </w:r>
    </w:p>
    <w:p w14:paraId="25AA9731">
      <w:pPr>
        <w:pStyle w:val="11"/>
        <w:spacing w:line="360" w:lineRule="auto"/>
        <w:jc w:val="center"/>
        <w:rPr>
          <w:rFonts w:hint="eastAsia" w:ascii="宋体" w:hAnsi="宋体" w:eastAsia="宋体" w:cs="宋体"/>
          <w:b/>
          <w:bCs/>
          <w:color w:val="auto"/>
          <w:sz w:val="24"/>
          <w:szCs w:val="24"/>
          <w:highlight w:val="none"/>
        </w:rPr>
      </w:pPr>
      <w:bookmarkStart w:id="73" w:name="_Toc19524"/>
      <w:r>
        <w:rPr>
          <w:rFonts w:hint="eastAsia" w:ascii="宋体" w:hAnsi="宋体" w:eastAsia="宋体" w:cs="宋体"/>
          <w:b/>
          <w:bCs/>
          <w:color w:val="auto"/>
          <w:sz w:val="24"/>
          <w:szCs w:val="24"/>
          <w:highlight w:val="none"/>
        </w:rPr>
        <w:t>承诺书</w:t>
      </w:r>
      <w:bookmarkEnd w:id="73"/>
    </w:p>
    <w:p w14:paraId="4CFBC245">
      <w:pPr>
        <w:wordWrap w:val="0"/>
        <w:ind w:right="240"/>
        <w:jc w:val="left"/>
        <w:rPr>
          <w:rFonts w:hint="eastAsia" w:ascii="宋体" w:hAnsi="宋体" w:eastAsia="宋体" w:cs="宋体"/>
          <w:color w:val="auto"/>
          <w:sz w:val="24"/>
          <w:highlight w:val="none"/>
          <w:u w:val="single"/>
        </w:rPr>
      </w:pPr>
      <w:r>
        <w:rPr>
          <w:rFonts w:hint="eastAsia" w:ascii="宋体" w:hAnsi="宋体" w:eastAsia="宋体" w:cs="宋体"/>
          <w:color w:val="auto"/>
          <w:sz w:val="24"/>
          <w:szCs w:val="28"/>
          <w:highlight w:val="none"/>
        </w:rPr>
        <w:t>致:</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szCs w:val="28"/>
          <w:highlight w:val="none"/>
          <w:u w:val="single"/>
        </w:rPr>
        <w:t xml:space="preserve">   </w:t>
      </w:r>
    </w:p>
    <w:p w14:paraId="0D9930EC">
      <w:pPr>
        <w:spacing w:line="360" w:lineRule="auto"/>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36FA7504">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我单位作为</w:t>
      </w:r>
      <w:r>
        <w:rPr>
          <w:rFonts w:hint="eastAsia" w:ascii="宋体" w:hAnsi="宋体" w:eastAsia="宋体" w:cs="宋体"/>
          <w:color w:val="auto"/>
          <w:sz w:val="24"/>
          <w:szCs w:val="28"/>
          <w:highlight w:val="none"/>
          <w:u w:val="single"/>
          <w:lang w:val="en-US" w:eastAsia="zh-CN"/>
        </w:rPr>
        <w:t xml:space="preserve">                                     </w:t>
      </w:r>
      <w:r>
        <w:rPr>
          <w:rFonts w:hint="eastAsia" w:ascii="宋体" w:hAnsi="宋体" w:eastAsia="宋体" w:cs="宋体"/>
          <w:color w:val="auto"/>
          <w:sz w:val="24"/>
          <w:szCs w:val="28"/>
          <w:highlight w:val="none"/>
          <w:u w:val="single"/>
          <w:lang w:eastAsia="zh-CN"/>
        </w:rPr>
        <w:t>项目</w:t>
      </w:r>
      <w:r>
        <w:rPr>
          <w:rFonts w:hint="eastAsia" w:ascii="宋体" w:hAnsi="宋体" w:eastAsia="宋体" w:cs="宋体"/>
          <w:color w:val="auto"/>
          <w:sz w:val="24"/>
          <w:szCs w:val="28"/>
          <w:highlight w:val="none"/>
        </w:rPr>
        <w:t>的供应商，在此郑重承诺：我公司将完全响应竞争性磋商文件中的全部内容及条款，如果在本次磋商过程中，采购人或采购代理单位发现并查实我公司在所填报的响应文件中存在提供虚假或不真实的信息或者伪造数据、资料及证书等情况，我公司将无条件地自动放弃成交（成交）资格。</w:t>
      </w:r>
    </w:p>
    <w:p w14:paraId="7EB6074B">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若我公司最终成为成交单位，将严格遵守国家相关法律法规的规定，完成用户委托的工作项目。如未达到上述准则及规定的要求，我单位愿接受有关处罚并将无条件地自动放弃成交资格。本承诺书是我单位响应文件的有效组成部分，是我单位真实意思的表示，对我单位在与项目有关的任何行为中始终具有优先的法律约束力。</w:t>
      </w:r>
    </w:p>
    <w:p w14:paraId="3E7A3E8D">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需要我们提供任何进一步资料，请与下述人员联系：</w:t>
      </w:r>
    </w:p>
    <w:p w14:paraId="388C0AF2">
      <w:pPr>
        <w:spacing w:line="360" w:lineRule="auto"/>
        <w:ind w:firstLine="361" w:firstLineChars="150"/>
        <w:jc w:val="left"/>
        <w:rPr>
          <w:rFonts w:hint="eastAsia" w:ascii="宋体" w:hAnsi="宋体" w:eastAsia="宋体" w:cs="宋体"/>
          <w:b/>
          <w:color w:val="auto"/>
          <w:sz w:val="24"/>
          <w:szCs w:val="28"/>
          <w:highlight w:val="none"/>
        </w:rPr>
      </w:pPr>
      <w:r>
        <w:rPr>
          <w:rFonts w:hint="eastAsia" w:ascii="宋体" w:hAnsi="宋体" w:eastAsia="宋体" w:cs="宋体"/>
          <w:b/>
          <w:color w:val="auto"/>
          <w:sz w:val="24"/>
          <w:szCs w:val="28"/>
          <w:highlight w:val="none"/>
        </w:rPr>
        <w:t>注：特别服务承诺说明可后续补充。</w:t>
      </w:r>
    </w:p>
    <w:p w14:paraId="533DE625">
      <w:pPr>
        <w:rPr>
          <w:rFonts w:hint="eastAsia" w:ascii="宋体" w:hAnsi="宋体" w:eastAsia="宋体" w:cs="宋体"/>
          <w:color w:val="auto"/>
          <w:highlight w:val="none"/>
        </w:rPr>
      </w:pPr>
    </w:p>
    <w:p w14:paraId="1A9CB16D">
      <w:pPr>
        <w:ind w:firstLine="4080" w:firstLineChars="1700"/>
        <w:rPr>
          <w:rFonts w:hint="eastAsia" w:ascii="宋体" w:hAnsi="宋体" w:eastAsia="宋体" w:cs="宋体"/>
          <w:color w:val="auto"/>
          <w:sz w:val="24"/>
          <w:highlight w:val="none"/>
        </w:rPr>
      </w:pPr>
    </w:p>
    <w:p w14:paraId="3776BB3E">
      <w:pPr>
        <w:ind w:firstLine="4080" w:firstLineChars="1700"/>
        <w:rPr>
          <w:rFonts w:hint="eastAsia" w:ascii="宋体" w:hAnsi="宋体" w:eastAsia="宋体" w:cs="宋体"/>
          <w:color w:val="auto"/>
          <w:sz w:val="24"/>
          <w:highlight w:val="none"/>
        </w:rPr>
      </w:pPr>
    </w:p>
    <w:p w14:paraId="0FED912D">
      <w:pPr>
        <w:ind w:firstLine="4080" w:firstLineChars="1700"/>
        <w:rPr>
          <w:rFonts w:hint="eastAsia" w:ascii="宋体" w:hAnsi="宋体" w:eastAsia="宋体" w:cs="宋体"/>
          <w:color w:val="auto"/>
          <w:sz w:val="24"/>
          <w:highlight w:val="none"/>
        </w:rPr>
      </w:pPr>
    </w:p>
    <w:p w14:paraId="6E267E0C">
      <w:pPr>
        <w:ind w:firstLine="4080" w:firstLineChars="1700"/>
        <w:rPr>
          <w:rFonts w:hint="eastAsia" w:ascii="宋体" w:hAnsi="宋体" w:eastAsia="宋体" w:cs="宋体"/>
          <w:color w:val="auto"/>
          <w:sz w:val="24"/>
          <w:highlight w:val="none"/>
        </w:rPr>
      </w:pPr>
    </w:p>
    <w:p w14:paraId="6A940D08">
      <w:pPr>
        <w:rPr>
          <w:rFonts w:hint="eastAsia" w:ascii="宋体" w:hAnsi="宋体" w:eastAsia="宋体" w:cs="宋体"/>
          <w:color w:val="auto"/>
          <w:highlight w:val="none"/>
        </w:rPr>
      </w:pPr>
    </w:p>
    <w:p w14:paraId="2B5EC8BC">
      <w:pPr>
        <w:spacing w:after="480" w:afterLines="200" w:line="360" w:lineRule="auto"/>
        <w:ind w:firstLine="3120" w:firstLineChars="1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公</w:t>
      </w:r>
      <w:r>
        <w:rPr>
          <w:rFonts w:hint="eastAsia" w:ascii="宋体" w:hAnsi="宋体" w:eastAsia="宋体" w:cs="宋体"/>
          <w:color w:val="auto"/>
          <w:sz w:val="24"/>
          <w:highlight w:val="none"/>
        </w:rPr>
        <w:t>章）</w:t>
      </w:r>
    </w:p>
    <w:p w14:paraId="37A9435B">
      <w:pPr>
        <w:spacing w:line="360" w:lineRule="auto"/>
        <w:ind w:firstLine="3120" w:firstLineChars="1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法定代表人或其授权代表：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(签字或盖章)</w:t>
      </w:r>
    </w:p>
    <w:p w14:paraId="21B0F7CE">
      <w:pPr>
        <w:spacing w:before="480" w:beforeLines="200" w:line="360" w:lineRule="auto"/>
        <w:ind w:firstLine="3120" w:firstLineChars="1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807BC54">
      <w:pPr>
        <w:rPr>
          <w:rFonts w:hint="default"/>
          <w:lang w:val="en-US" w:eastAsia="zh-CN"/>
        </w:rPr>
      </w:pPr>
    </w:p>
    <w:p w14:paraId="64BA423B">
      <w:r>
        <w:br w:type="page"/>
      </w:r>
    </w:p>
    <w:p w14:paraId="15F8DD01">
      <w:pPr>
        <w:spacing w:line="360" w:lineRule="auto"/>
        <w:jc w:val="center"/>
        <w:rPr>
          <w:rFonts w:ascii="宋体" w:hAnsi="宋体" w:cs="宋体"/>
          <w:b/>
          <w:color w:val="000000"/>
          <w:sz w:val="24"/>
        </w:rPr>
      </w:pPr>
      <w:r>
        <w:rPr>
          <w:rFonts w:hint="eastAsia" w:ascii="宋体" w:hAnsi="宋体" w:cs="宋体"/>
          <w:b/>
          <w:color w:val="000000"/>
          <w:sz w:val="32"/>
          <w:szCs w:val="32"/>
        </w:rPr>
        <w:t>二次（最终）报价表</w:t>
      </w:r>
    </w:p>
    <w:p w14:paraId="6C081A09">
      <w:pPr>
        <w:spacing w:line="360" w:lineRule="auto"/>
        <w:ind w:firstLine="211"/>
        <w:jc w:val="center"/>
        <w:rPr>
          <w:rFonts w:ascii="宋体" w:hAnsi="宋体" w:cs="宋体"/>
          <w:b/>
          <w:color w:val="000000"/>
          <w:sz w:val="24"/>
        </w:rPr>
      </w:pPr>
    </w:p>
    <w:p w14:paraId="214DCAE8">
      <w:pPr>
        <w:spacing w:line="360" w:lineRule="auto"/>
        <w:rPr>
          <w:rFonts w:hint="eastAsia" w:ascii="宋体" w:hAnsi="宋体" w:eastAsia="宋体" w:cs="宋体"/>
          <w:sz w:val="24"/>
          <w:lang w:eastAsia="zh-CN"/>
        </w:rPr>
      </w:pPr>
      <w:r>
        <w:rPr>
          <w:rFonts w:hint="eastAsia" w:ascii="宋体" w:hAnsi="宋体" w:cs="宋体"/>
          <w:sz w:val="24"/>
        </w:rPr>
        <w:t>项目名称：</w:t>
      </w:r>
      <w:r>
        <w:rPr>
          <w:rFonts w:hint="eastAsia" w:asciiTheme="minorEastAsia" w:hAnsiTheme="minorEastAsia" w:eastAsiaTheme="minorEastAsia" w:cstheme="minorEastAsia"/>
          <w:sz w:val="24"/>
          <w:lang w:eastAsia="zh-CN"/>
        </w:rPr>
        <w:t>陕西省公安厅寄递物流业治安管理信息系统运维项目</w:t>
      </w:r>
    </w:p>
    <w:p w14:paraId="00405723">
      <w:pPr>
        <w:spacing w:line="360" w:lineRule="auto"/>
        <w:rPr>
          <w:rFonts w:hint="default" w:ascii="宋体" w:hAnsi="宋体" w:eastAsia="宋体" w:cs="宋体"/>
          <w:sz w:val="24"/>
          <w:lang w:val="en-US" w:eastAsia="zh-CN"/>
        </w:rPr>
      </w:pPr>
      <w:r>
        <w:rPr>
          <w:rFonts w:hint="eastAsia" w:ascii="宋体" w:hAnsi="宋体" w:cs="宋体"/>
          <w:sz w:val="24"/>
        </w:rPr>
        <w:t>项目编号：</w:t>
      </w:r>
      <w:r>
        <w:rPr>
          <w:rFonts w:hint="eastAsia" w:ascii="宋体" w:hAnsi="宋体" w:cs="宋体"/>
          <w:sz w:val="24"/>
          <w:lang w:eastAsia="zh-CN"/>
        </w:rPr>
        <w:t>HSGJ2025-181</w:t>
      </w:r>
    </w:p>
    <w:tbl>
      <w:tblPr>
        <w:tblStyle w:val="20"/>
        <w:tblW w:w="0" w:type="auto"/>
        <w:jc w:val="center"/>
        <w:tblLayout w:type="fixed"/>
        <w:tblCellMar>
          <w:top w:w="0" w:type="dxa"/>
          <w:left w:w="108" w:type="dxa"/>
          <w:bottom w:w="0" w:type="dxa"/>
          <w:right w:w="108" w:type="dxa"/>
        </w:tblCellMar>
      </w:tblPr>
      <w:tblGrid>
        <w:gridCol w:w="3855"/>
        <w:gridCol w:w="5240"/>
      </w:tblGrid>
      <w:tr w14:paraId="1B247D48">
        <w:tblPrEx>
          <w:tblCellMar>
            <w:top w:w="0" w:type="dxa"/>
            <w:left w:w="108" w:type="dxa"/>
            <w:bottom w:w="0" w:type="dxa"/>
            <w:right w:w="108" w:type="dxa"/>
          </w:tblCellMar>
        </w:tblPrEx>
        <w:trPr>
          <w:trHeight w:val="1701" w:hRule="atLeast"/>
          <w:jc w:val="center"/>
        </w:trPr>
        <w:tc>
          <w:tcPr>
            <w:tcW w:w="3855" w:type="dxa"/>
            <w:tcBorders>
              <w:top w:val="single" w:color="000000" w:sz="4" w:space="0"/>
              <w:left w:val="single" w:color="000000" w:sz="4" w:space="0"/>
              <w:bottom w:val="single" w:color="000000" w:sz="4" w:space="0"/>
            </w:tcBorders>
            <w:vAlign w:val="center"/>
          </w:tcPr>
          <w:p w14:paraId="2B02C76F">
            <w:pPr>
              <w:spacing w:line="360" w:lineRule="auto"/>
              <w:jc w:val="center"/>
              <w:rPr>
                <w:rFonts w:ascii="宋体" w:hAnsi="宋体" w:cs="宋体"/>
                <w:sz w:val="24"/>
              </w:rPr>
            </w:pPr>
            <w:r>
              <w:rPr>
                <w:rFonts w:hint="eastAsia" w:ascii="宋体" w:hAnsi="宋体" w:cs="宋体"/>
                <w:sz w:val="24"/>
              </w:rPr>
              <w:t>磋商总报价</w:t>
            </w:r>
          </w:p>
          <w:p w14:paraId="39AD9503">
            <w:pPr>
              <w:spacing w:line="360" w:lineRule="auto"/>
              <w:jc w:val="center"/>
              <w:rPr>
                <w:rFonts w:ascii="宋体" w:hAnsi="宋体" w:cs="宋体"/>
                <w:sz w:val="24"/>
              </w:rPr>
            </w:pPr>
            <w:r>
              <w:rPr>
                <w:rFonts w:hint="eastAsia" w:ascii="宋体" w:hAnsi="宋体" w:cs="宋体"/>
                <w:sz w:val="24"/>
              </w:rPr>
              <w:t>（单位：元）</w:t>
            </w:r>
          </w:p>
        </w:tc>
        <w:tc>
          <w:tcPr>
            <w:tcW w:w="5240" w:type="dxa"/>
            <w:tcBorders>
              <w:top w:val="single" w:color="000000" w:sz="4" w:space="0"/>
              <w:left w:val="single" w:color="000000" w:sz="4" w:space="0"/>
              <w:bottom w:val="single" w:color="000000" w:sz="4" w:space="0"/>
              <w:right w:val="single" w:color="000000" w:sz="4" w:space="0"/>
            </w:tcBorders>
            <w:vAlign w:val="center"/>
          </w:tcPr>
          <w:p w14:paraId="4AE18107">
            <w:pPr>
              <w:spacing w:line="360" w:lineRule="auto"/>
              <w:jc w:val="left"/>
              <w:rPr>
                <w:rFonts w:ascii="宋体" w:hAnsi="宋体" w:cs="宋体"/>
                <w:sz w:val="24"/>
                <w:u w:val="single"/>
              </w:rPr>
            </w:pPr>
            <w:r>
              <w:rPr>
                <w:rFonts w:hint="eastAsia" w:ascii="宋体" w:hAnsi="宋体" w:cs="宋体"/>
                <w:sz w:val="24"/>
              </w:rPr>
              <w:t>小写：</w:t>
            </w:r>
            <w:r>
              <w:rPr>
                <w:rFonts w:hint="eastAsia" w:ascii="宋体" w:hAnsi="宋体" w:cs="宋体"/>
                <w:sz w:val="24"/>
                <w:u w:val="single"/>
              </w:rPr>
              <w:t xml:space="preserve">                              </w:t>
            </w:r>
          </w:p>
          <w:p w14:paraId="0B4812DA">
            <w:pPr>
              <w:pStyle w:val="10"/>
              <w:ind w:firstLine="0"/>
              <w:rPr>
                <w:rFonts w:cs="宋体"/>
                <w:sz w:val="24"/>
              </w:rPr>
            </w:pPr>
            <w:r>
              <w:rPr>
                <w:rFonts w:hint="eastAsia" w:ascii="宋体" w:hAnsi="宋体" w:eastAsia="宋体" w:cs="宋体"/>
                <w:sz w:val="24"/>
              </w:rPr>
              <w:t>大写</w:t>
            </w:r>
            <w:r>
              <w:rPr>
                <w:rFonts w:hint="eastAsia" w:cs="宋体"/>
                <w:sz w:val="24"/>
              </w:rPr>
              <w:t>：</w:t>
            </w:r>
            <w:r>
              <w:rPr>
                <w:rFonts w:hint="eastAsia" w:cs="宋体"/>
                <w:sz w:val="24"/>
                <w:u w:val="single"/>
              </w:rPr>
              <w:t xml:space="preserve">                              </w:t>
            </w:r>
          </w:p>
        </w:tc>
      </w:tr>
      <w:tr w14:paraId="6CC6E25A">
        <w:tblPrEx>
          <w:tblCellMar>
            <w:top w:w="0" w:type="dxa"/>
            <w:left w:w="108" w:type="dxa"/>
            <w:bottom w:w="0" w:type="dxa"/>
            <w:right w:w="108" w:type="dxa"/>
          </w:tblCellMar>
        </w:tblPrEx>
        <w:trPr>
          <w:trHeight w:val="1644" w:hRule="atLeast"/>
          <w:jc w:val="center"/>
        </w:trPr>
        <w:tc>
          <w:tcPr>
            <w:tcW w:w="3855" w:type="dxa"/>
            <w:tcBorders>
              <w:top w:val="single" w:color="000000" w:sz="4" w:space="0"/>
              <w:left w:val="single" w:color="000000" w:sz="4" w:space="0"/>
            </w:tcBorders>
            <w:vAlign w:val="center"/>
          </w:tcPr>
          <w:p w14:paraId="3C8E7787">
            <w:pPr>
              <w:spacing w:line="360" w:lineRule="auto"/>
              <w:jc w:val="center"/>
              <w:rPr>
                <w:rFonts w:ascii="宋体" w:hAnsi="宋体" w:cs="宋体"/>
                <w:sz w:val="24"/>
              </w:rPr>
            </w:pP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期</w:t>
            </w:r>
          </w:p>
        </w:tc>
        <w:tc>
          <w:tcPr>
            <w:tcW w:w="5240" w:type="dxa"/>
            <w:tcBorders>
              <w:top w:val="single" w:color="000000" w:sz="4" w:space="0"/>
              <w:left w:val="single" w:color="000000" w:sz="4" w:space="0"/>
              <w:bottom w:val="single" w:color="000000" w:sz="4" w:space="0"/>
              <w:right w:val="single" w:color="000000" w:sz="4" w:space="0"/>
            </w:tcBorders>
            <w:vAlign w:val="center"/>
          </w:tcPr>
          <w:p w14:paraId="59C73A93">
            <w:pPr>
              <w:spacing w:line="360" w:lineRule="auto"/>
              <w:jc w:val="center"/>
              <w:rPr>
                <w:rFonts w:ascii="宋体" w:hAnsi="宋体" w:cs="宋体"/>
                <w:sz w:val="24"/>
              </w:rPr>
            </w:pPr>
          </w:p>
        </w:tc>
      </w:tr>
      <w:tr w14:paraId="1828A0D9">
        <w:tblPrEx>
          <w:tblCellMar>
            <w:top w:w="0" w:type="dxa"/>
            <w:left w:w="108" w:type="dxa"/>
            <w:bottom w:w="0" w:type="dxa"/>
            <w:right w:w="108" w:type="dxa"/>
          </w:tblCellMar>
        </w:tblPrEx>
        <w:trPr>
          <w:trHeight w:val="1644" w:hRule="atLeast"/>
          <w:jc w:val="center"/>
        </w:trPr>
        <w:tc>
          <w:tcPr>
            <w:tcW w:w="3855" w:type="dxa"/>
            <w:tcBorders>
              <w:top w:val="single" w:color="000000" w:sz="4" w:space="0"/>
              <w:left w:val="single" w:color="000000" w:sz="4" w:space="0"/>
              <w:bottom w:val="single" w:color="000000" w:sz="4" w:space="0"/>
            </w:tcBorders>
            <w:vAlign w:val="center"/>
          </w:tcPr>
          <w:p w14:paraId="4E2AC9FC">
            <w:pPr>
              <w:spacing w:line="360" w:lineRule="auto"/>
              <w:jc w:val="center"/>
              <w:rPr>
                <w:rFonts w:ascii="宋体" w:hAnsi="宋体" w:cs="宋体"/>
                <w:sz w:val="24"/>
              </w:rPr>
            </w:pPr>
            <w:r>
              <w:rPr>
                <w:rFonts w:hint="eastAsia" w:ascii="宋体" w:hAnsi="宋体" w:cs="宋体"/>
                <w:sz w:val="24"/>
              </w:rPr>
              <w:t>备注</w:t>
            </w:r>
          </w:p>
        </w:tc>
        <w:tc>
          <w:tcPr>
            <w:tcW w:w="5240" w:type="dxa"/>
            <w:tcBorders>
              <w:top w:val="single" w:color="000000" w:sz="4" w:space="0"/>
              <w:left w:val="single" w:color="000000" w:sz="4" w:space="0"/>
              <w:bottom w:val="single" w:color="000000" w:sz="4" w:space="0"/>
              <w:right w:val="single" w:color="000000" w:sz="4" w:space="0"/>
            </w:tcBorders>
            <w:vAlign w:val="center"/>
          </w:tcPr>
          <w:p w14:paraId="4AC5BC48">
            <w:pPr>
              <w:spacing w:line="360" w:lineRule="auto"/>
              <w:jc w:val="center"/>
              <w:rPr>
                <w:rFonts w:ascii="宋体" w:hAnsi="宋体" w:cs="宋体"/>
                <w:sz w:val="24"/>
              </w:rPr>
            </w:pPr>
          </w:p>
        </w:tc>
      </w:tr>
    </w:tbl>
    <w:p w14:paraId="47A2A6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磋商</w:t>
      </w:r>
      <w:r>
        <w:rPr>
          <w:rFonts w:hint="eastAsia" w:ascii="宋体" w:hAnsi="宋体" w:eastAsia="宋体" w:cs="宋体"/>
          <w:color w:val="auto"/>
          <w:sz w:val="24"/>
          <w:highlight w:val="none"/>
          <w:lang w:eastAsia="zh-CN"/>
        </w:rPr>
        <w:t>总</w:t>
      </w:r>
      <w:r>
        <w:rPr>
          <w:rFonts w:hint="eastAsia" w:ascii="宋体" w:hAnsi="宋体" w:eastAsia="宋体" w:cs="宋体"/>
          <w:color w:val="auto"/>
          <w:sz w:val="24"/>
          <w:highlight w:val="none"/>
        </w:rPr>
        <w:t>价包括但不限于指项目完成并经验收合格的所有费用，包括项目费用、国家按现行税收政策征收的一切税费等。以磋商文件的内容和要求作为依据；</w:t>
      </w:r>
    </w:p>
    <w:p w14:paraId="77977E2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本表不装在响应文件中，磋商时需要二次（最终）报价时现场填写。</w:t>
      </w:r>
    </w:p>
    <w:p w14:paraId="64FF47B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 w:val="0"/>
          <w:bCs w:val="0"/>
          <w:color w:val="auto"/>
          <w:sz w:val="24"/>
          <w:lang w:val="en-US" w:eastAsia="zh-CN"/>
        </w:rPr>
        <w:t>3.</w:t>
      </w:r>
      <w:r>
        <w:rPr>
          <w:rFonts w:hint="eastAsia" w:ascii="宋体" w:hAnsi="宋体" w:eastAsia="宋体" w:cs="宋体"/>
          <w:b w:val="0"/>
          <w:bCs w:val="0"/>
          <w:color w:val="auto"/>
          <w:sz w:val="24"/>
        </w:rPr>
        <w:t>考虑磋商报价的方便，供应商在填写最终报价后，(第一次报价－最终报价)除以第一次报价后得出的优惠率视同为需求表中全部分项设备或服务的优惠浮动值(特定分项优惠除外)。此优惠率调整原则适用于合同内价格的计算及项目增减、变更时价格的计算。</w:t>
      </w:r>
    </w:p>
    <w:p w14:paraId="2D41188E">
      <w:pPr>
        <w:spacing w:line="360" w:lineRule="auto"/>
        <w:ind w:firstLine="3998" w:firstLineChars="1666"/>
        <w:rPr>
          <w:rFonts w:asciiTheme="minorEastAsia" w:hAnsiTheme="minorEastAsia" w:eastAsiaTheme="minorEastAsia" w:cstheme="minorEastAsia"/>
          <w:sz w:val="24"/>
        </w:rPr>
      </w:pPr>
    </w:p>
    <w:p w14:paraId="19FB5FBF">
      <w:pPr>
        <w:spacing w:line="360" w:lineRule="auto"/>
        <w:ind w:firstLine="3998" w:firstLineChars="1666"/>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sz w:val="24"/>
          <w:u w:val="single"/>
        </w:rPr>
        <w:t xml:space="preserve">                       </w:t>
      </w:r>
    </w:p>
    <w:p w14:paraId="1A2183D2">
      <w:pPr>
        <w:spacing w:line="360" w:lineRule="auto"/>
        <w:ind w:firstLine="3998" w:firstLineChars="166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w:t>
      </w:r>
    </w:p>
    <w:p w14:paraId="6A4AEAAE">
      <w:pPr>
        <w:spacing w:line="360" w:lineRule="auto"/>
        <w:ind w:firstLine="3998" w:firstLineChars="1666"/>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或被授权人：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(签字)</w:t>
      </w:r>
    </w:p>
    <w:p w14:paraId="71730529">
      <w:pPr>
        <w:spacing w:line="360" w:lineRule="auto"/>
        <w:ind w:firstLine="3998" w:firstLineChars="1666"/>
      </w:pPr>
      <w:r>
        <w:rPr>
          <w:rFonts w:hint="eastAsia" w:asciiTheme="minorEastAsia" w:hAnsiTheme="minorEastAsia" w:eastAsiaTheme="minorEastAsia" w:cstheme="minorEastAsia"/>
          <w:sz w:val="24"/>
        </w:rPr>
        <w:t>日      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14:paraId="439A9FE2">
      <w:pPr>
        <w:rPr>
          <w:sz w:val="36"/>
          <w:szCs w:val="36"/>
        </w:rPr>
      </w:pPr>
      <w:bookmarkStart w:id="74" w:name="_Toc9030"/>
      <w:bookmarkStart w:id="75" w:name="_Toc11941"/>
      <w:bookmarkStart w:id="76" w:name="_Toc29306"/>
      <w:bookmarkStart w:id="77" w:name="_Toc6314"/>
      <w:bookmarkStart w:id="78" w:name="_Toc491186072"/>
      <w:r>
        <w:rPr>
          <w:rFonts w:hint="eastAsia"/>
          <w:sz w:val="36"/>
          <w:szCs w:val="36"/>
        </w:rPr>
        <w:br w:type="page"/>
      </w:r>
    </w:p>
    <w:p w14:paraId="0485EB9E">
      <w:pPr>
        <w:pStyle w:val="3"/>
        <w:rPr>
          <w:sz w:val="36"/>
          <w:szCs w:val="36"/>
        </w:rPr>
      </w:pPr>
      <w:r>
        <w:rPr>
          <w:rFonts w:hint="eastAsia"/>
          <w:sz w:val="36"/>
          <w:szCs w:val="36"/>
        </w:rPr>
        <w:t>第六部分  封袋正面标识式样</w:t>
      </w:r>
      <w:bookmarkEnd w:id="74"/>
      <w:bookmarkEnd w:id="75"/>
      <w:bookmarkEnd w:id="76"/>
      <w:bookmarkEnd w:id="77"/>
    </w:p>
    <w:p w14:paraId="3E9EF9E4">
      <w:pPr>
        <w:spacing w:line="460" w:lineRule="exact"/>
        <w:ind w:firstLine="482" w:firstLineChars="200"/>
        <w:rPr>
          <w:rFonts w:ascii="宋体" w:hAnsi="宋体" w:cs="宋体"/>
          <w:b/>
          <w:color w:val="000000"/>
          <w:sz w:val="24"/>
        </w:rPr>
      </w:pPr>
      <w:r>
        <w:rPr>
          <w:rFonts w:hint="eastAsia" w:ascii="宋体" w:hAnsi="宋体" w:cs="宋体"/>
          <w:b/>
          <w:color w:val="000000"/>
          <w:sz w:val="24"/>
        </w:rPr>
        <w:t>格式A：磋商响应文件封袋正面标识式样</w:t>
      </w:r>
    </w:p>
    <w:p w14:paraId="42A5EBBD">
      <w:pPr>
        <w:spacing w:line="460" w:lineRule="exact"/>
        <w:ind w:firstLine="482" w:firstLineChars="200"/>
        <w:rPr>
          <w:rFonts w:ascii="宋体" w:hAnsi="宋体" w:cs="宋体"/>
          <w:b/>
          <w:color w:val="000000"/>
          <w:sz w:val="24"/>
        </w:rPr>
      </w:pPr>
      <w:r>
        <w:rPr>
          <w:rFonts w:hint="eastAsia" w:ascii="宋体" w:hAnsi="宋体" w:cs="宋体"/>
          <w:b/>
          <w:color w:val="00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153035</wp:posOffset>
                </wp:positionV>
                <wp:extent cx="5715000" cy="6562725"/>
                <wp:effectExtent l="4445" t="5080" r="14605" b="4445"/>
                <wp:wrapNone/>
                <wp:docPr id="8" name="文本框 8"/>
                <wp:cNvGraphicFramePr/>
                <a:graphic xmlns:a="http://schemas.openxmlformats.org/drawingml/2006/main">
                  <a:graphicData uri="http://schemas.microsoft.com/office/word/2010/wordprocessingShape">
                    <wps:wsp>
                      <wps:cNvSpPr txBox="1"/>
                      <wps:spPr>
                        <a:xfrm>
                          <a:off x="0" y="0"/>
                          <a:ext cx="5715000" cy="6562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0DC3A0D">
                            <w:pPr>
                              <w:rPr>
                                <w:sz w:val="28"/>
                                <w:szCs w:val="28"/>
                              </w:rPr>
                            </w:pPr>
                            <w:r>
                              <w:rPr>
                                <w:rFonts w:hint="eastAsia"/>
                                <w:sz w:val="28"/>
                                <w:szCs w:val="28"/>
                              </w:rPr>
                              <w:t>致：华晟国际项目管理有限公司</w:t>
                            </w:r>
                          </w:p>
                          <w:p w14:paraId="2AAD7B43">
                            <w:pPr>
                              <w:rPr>
                                <w:color w:val="FF0000"/>
                                <w:sz w:val="28"/>
                                <w:szCs w:val="28"/>
                              </w:rPr>
                            </w:pPr>
                            <w:r>
                              <w:rPr>
                                <w:rFonts w:hint="eastAsia"/>
                                <w:sz w:val="28"/>
                                <w:szCs w:val="28"/>
                              </w:rPr>
                              <w:t xml:space="preserve">项目编号：                                       </w:t>
                            </w:r>
                            <w:r>
                              <w:rPr>
                                <w:rFonts w:hint="eastAsia"/>
                                <w:color w:val="FF0000"/>
                                <w:sz w:val="28"/>
                                <w:szCs w:val="28"/>
                              </w:rPr>
                              <w:t xml:space="preserve">  </w:t>
                            </w:r>
                          </w:p>
                          <w:p w14:paraId="070B0FC3">
                            <w:pPr>
                              <w:rPr>
                                <w:sz w:val="28"/>
                                <w:szCs w:val="28"/>
                              </w:rPr>
                            </w:pPr>
                            <w:r>
                              <w:rPr>
                                <w:rFonts w:hint="eastAsia"/>
                                <w:sz w:val="28"/>
                                <w:szCs w:val="28"/>
                              </w:rPr>
                              <w:t>项目名称：</w:t>
                            </w:r>
                          </w:p>
                          <w:p w14:paraId="0E0DFCA8">
                            <w:pPr>
                              <w:rPr>
                                <w:color w:val="FF0000"/>
                                <w:sz w:val="28"/>
                                <w:szCs w:val="28"/>
                              </w:rPr>
                            </w:pPr>
                            <w:r>
                              <w:rPr>
                                <w:rFonts w:hint="eastAsia"/>
                                <w:sz w:val="28"/>
                                <w:szCs w:val="28"/>
                              </w:rPr>
                              <w:t xml:space="preserve">                           </w:t>
                            </w:r>
                          </w:p>
                          <w:p w14:paraId="345EF22C">
                            <w:pPr>
                              <w:jc w:val="center"/>
                              <w:rPr>
                                <w:b/>
                                <w:sz w:val="44"/>
                                <w:szCs w:val="44"/>
                              </w:rPr>
                            </w:pPr>
                          </w:p>
                          <w:p w14:paraId="54892C89">
                            <w:pPr>
                              <w:jc w:val="center"/>
                              <w:rPr>
                                <w:b/>
                                <w:sz w:val="44"/>
                                <w:szCs w:val="44"/>
                              </w:rPr>
                            </w:pPr>
                          </w:p>
                          <w:p w14:paraId="44153915">
                            <w:pPr>
                              <w:jc w:val="center"/>
                              <w:rPr>
                                <w:b/>
                                <w:sz w:val="44"/>
                                <w:szCs w:val="44"/>
                              </w:rPr>
                            </w:pPr>
                          </w:p>
                          <w:p w14:paraId="418FAFAE">
                            <w:pPr>
                              <w:jc w:val="center"/>
                              <w:rPr>
                                <w:b/>
                                <w:sz w:val="44"/>
                                <w:szCs w:val="44"/>
                              </w:rPr>
                            </w:pPr>
                            <w:r>
                              <w:rPr>
                                <w:rFonts w:hint="eastAsia"/>
                                <w:b/>
                                <w:sz w:val="44"/>
                                <w:szCs w:val="44"/>
                              </w:rPr>
                              <w:t>磋商响应文件正本（副本）</w:t>
                            </w:r>
                          </w:p>
                          <w:p w14:paraId="27F4D637">
                            <w:pPr>
                              <w:ind w:firstLine="280" w:firstLineChars="100"/>
                              <w:rPr>
                                <w:sz w:val="28"/>
                                <w:szCs w:val="28"/>
                              </w:rPr>
                            </w:pPr>
                            <w:r>
                              <w:rPr>
                                <w:rFonts w:hint="eastAsia" w:ascii="宋体" w:hAnsi="宋体" w:cs="宋体"/>
                                <w:sz w:val="28"/>
                                <w:szCs w:val="28"/>
                              </w:rPr>
                              <w:t>（磋商响应文件在202</w:t>
                            </w:r>
                            <w:r>
                              <w:rPr>
                                <w:rFonts w:hint="eastAsia" w:ascii="宋体" w:hAnsi="宋体" w:cs="宋体"/>
                                <w:sz w:val="28"/>
                                <w:szCs w:val="28"/>
                                <w:lang w:val="en-US" w:eastAsia="zh-CN"/>
                              </w:rPr>
                              <w:t>5</w:t>
                            </w:r>
                            <w:r>
                              <w:rPr>
                                <w:rFonts w:hint="eastAsia" w:ascii="宋体" w:hAnsi="宋体" w:cs="宋体"/>
                                <w:sz w:val="28"/>
                                <w:szCs w:val="28"/>
                              </w:rPr>
                              <w:t>年  月    日       时前不得开启）</w:t>
                            </w:r>
                          </w:p>
                          <w:p w14:paraId="78D5CCB8">
                            <w:pPr>
                              <w:ind w:firstLine="280" w:firstLineChars="100"/>
                              <w:rPr>
                                <w:sz w:val="28"/>
                                <w:szCs w:val="28"/>
                              </w:rPr>
                            </w:pPr>
                          </w:p>
                          <w:p w14:paraId="45ED8772">
                            <w:pPr>
                              <w:ind w:firstLine="280" w:firstLineChars="100"/>
                              <w:rPr>
                                <w:sz w:val="28"/>
                                <w:szCs w:val="28"/>
                              </w:rPr>
                            </w:pPr>
                          </w:p>
                          <w:p w14:paraId="0C0C918C">
                            <w:pPr>
                              <w:ind w:firstLine="280" w:firstLineChars="100"/>
                              <w:rPr>
                                <w:sz w:val="28"/>
                                <w:szCs w:val="28"/>
                              </w:rPr>
                            </w:pPr>
                          </w:p>
                          <w:p w14:paraId="67779877">
                            <w:pPr>
                              <w:ind w:firstLine="280" w:firstLineChars="100"/>
                              <w:rPr>
                                <w:sz w:val="28"/>
                                <w:szCs w:val="28"/>
                              </w:rPr>
                            </w:pPr>
                          </w:p>
                          <w:p w14:paraId="09B6CF2A">
                            <w:pPr>
                              <w:ind w:firstLine="280" w:firstLineChars="100"/>
                              <w:rPr>
                                <w:sz w:val="28"/>
                                <w:szCs w:val="28"/>
                              </w:rPr>
                            </w:pPr>
                          </w:p>
                          <w:p w14:paraId="7220C062">
                            <w:pPr>
                              <w:ind w:firstLine="280" w:firstLineChars="100"/>
                              <w:rPr>
                                <w:sz w:val="28"/>
                                <w:szCs w:val="28"/>
                              </w:rPr>
                            </w:pPr>
                          </w:p>
                          <w:p w14:paraId="73CEC54C">
                            <w:pPr>
                              <w:ind w:firstLine="280" w:firstLineChars="100"/>
                              <w:rPr>
                                <w:sz w:val="28"/>
                                <w:szCs w:val="28"/>
                              </w:rPr>
                            </w:pPr>
                          </w:p>
                          <w:p w14:paraId="5BF5073D">
                            <w:pPr>
                              <w:ind w:firstLine="280" w:firstLineChars="100"/>
                              <w:rPr>
                                <w:sz w:val="28"/>
                                <w:szCs w:val="28"/>
                              </w:rPr>
                            </w:pPr>
                          </w:p>
                          <w:p w14:paraId="58699F2F">
                            <w:pPr>
                              <w:ind w:firstLine="280" w:firstLineChars="100"/>
                              <w:rPr>
                                <w:sz w:val="28"/>
                                <w:szCs w:val="28"/>
                              </w:rPr>
                            </w:pPr>
                            <w:r>
                              <w:rPr>
                                <w:rFonts w:hint="eastAsia"/>
                                <w:sz w:val="28"/>
                                <w:szCs w:val="28"/>
                              </w:rPr>
                              <w:t>供应商名称：            （公章）</w:t>
                            </w:r>
                          </w:p>
                          <w:p w14:paraId="392FAFC2">
                            <w:pPr>
                              <w:rPr>
                                <w:sz w:val="28"/>
                                <w:szCs w:val="28"/>
                              </w:rPr>
                            </w:pPr>
                            <w:r>
                              <w:rPr>
                                <w:rFonts w:hint="eastAsia"/>
                                <w:sz w:val="28"/>
                                <w:szCs w:val="28"/>
                              </w:rPr>
                              <w:t xml:space="preserve">                                </w:t>
                            </w:r>
                          </w:p>
                        </w:txbxContent>
                      </wps:txbx>
                      <wps:bodyPr upright="1"/>
                    </wps:wsp>
                  </a:graphicData>
                </a:graphic>
              </wp:anchor>
            </w:drawing>
          </mc:Choice>
          <mc:Fallback>
            <w:pict>
              <v:shape id="_x0000_s1026" o:spid="_x0000_s1026" o:spt="202" type="#_x0000_t202" style="position:absolute;left:0pt;margin-left:0pt;margin-top:12.05pt;height:516.75pt;width:450pt;z-index:251659264;mso-width-relative:page;mso-height-relative:page;" fillcolor="#FFFFFF" filled="t" stroked="t" coordsize="21600,21600" o:gfxdata="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rL5L/XAAAACAEAAA8AAAAAAAAA&#10;AQAgAAAAIgAAAGRycy9kb3ducmV2LnhtbFBLAQIUABQAAAAIAIdO4kBAk/0pEgIAAEUEAAAOAAAA&#10;AAAAAAEAIAAAACYBAABkcnMvZTJvRG9jLnhtbFBLBQYAAAAABgAGAFkBAACqBQAAAAA=&#10;">
                <v:fill on="t" focussize="0,0"/>
                <v:stroke color="#000000" joinstyle="miter"/>
                <v:imagedata o:title=""/>
                <o:lock v:ext="edit" aspectratio="f"/>
                <v:textbox>
                  <w:txbxContent>
                    <w:p w14:paraId="10DC3A0D">
                      <w:pPr>
                        <w:rPr>
                          <w:sz w:val="28"/>
                          <w:szCs w:val="28"/>
                        </w:rPr>
                      </w:pPr>
                      <w:r>
                        <w:rPr>
                          <w:rFonts w:hint="eastAsia"/>
                          <w:sz w:val="28"/>
                          <w:szCs w:val="28"/>
                        </w:rPr>
                        <w:t>致：华晟国际项目管理有限公司</w:t>
                      </w:r>
                    </w:p>
                    <w:p w14:paraId="2AAD7B43">
                      <w:pPr>
                        <w:rPr>
                          <w:color w:val="FF0000"/>
                          <w:sz w:val="28"/>
                          <w:szCs w:val="28"/>
                        </w:rPr>
                      </w:pPr>
                      <w:r>
                        <w:rPr>
                          <w:rFonts w:hint="eastAsia"/>
                          <w:sz w:val="28"/>
                          <w:szCs w:val="28"/>
                        </w:rPr>
                        <w:t xml:space="preserve">项目编号：                                       </w:t>
                      </w:r>
                      <w:r>
                        <w:rPr>
                          <w:rFonts w:hint="eastAsia"/>
                          <w:color w:val="FF0000"/>
                          <w:sz w:val="28"/>
                          <w:szCs w:val="28"/>
                        </w:rPr>
                        <w:t xml:space="preserve">  </w:t>
                      </w:r>
                    </w:p>
                    <w:p w14:paraId="070B0FC3">
                      <w:pPr>
                        <w:rPr>
                          <w:sz w:val="28"/>
                          <w:szCs w:val="28"/>
                        </w:rPr>
                      </w:pPr>
                      <w:r>
                        <w:rPr>
                          <w:rFonts w:hint="eastAsia"/>
                          <w:sz w:val="28"/>
                          <w:szCs w:val="28"/>
                        </w:rPr>
                        <w:t>项目名称：</w:t>
                      </w:r>
                    </w:p>
                    <w:p w14:paraId="0E0DFCA8">
                      <w:pPr>
                        <w:rPr>
                          <w:color w:val="FF0000"/>
                          <w:sz w:val="28"/>
                          <w:szCs w:val="28"/>
                        </w:rPr>
                      </w:pPr>
                      <w:r>
                        <w:rPr>
                          <w:rFonts w:hint="eastAsia"/>
                          <w:sz w:val="28"/>
                          <w:szCs w:val="28"/>
                        </w:rPr>
                        <w:t xml:space="preserve">                           </w:t>
                      </w:r>
                    </w:p>
                    <w:p w14:paraId="345EF22C">
                      <w:pPr>
                        <w:jc w:val="center"/>
                        <w:rPr>
                          <w:b/>
                          <w:sz w:val="44"/>
                          <w:szCs w:val="44"/>
                        </w:rPr>
                      </w:pPr>
                    </w:p>
                    <w:p w14:paraId="54892C89">
                      <w:pPr>
                        <w:jc w:val="center"/>
                        <w:rPr>
                          <w:b/>
                          <w:sz w:val="44"/>
                          <w:szCs w:val="44"/>
                        </w:rPr>
                      </w:pPr>
                    </w:p>
                    <w:p w14:paraId="44153915">
                      <w:pPr>
                        <w:jc w:val="center"/>
                        <w:rPr>
                          <w:b/>
                          <w:sz w:val="44"/>
                          <w:szCs w:val="44"/>
                        </w:rPr>
                      </w:pPr>
                    </w:p>
                    <w:p w14:paraId="418FAFAE">
                      <w:pPr>
                        <w:jc w:val="center"/>
                        <w:rPr>
                          <w:b/>
                          <w:sz w:val="44"/>
                          <w:szCs w:val="44"/>
                        </w:rPr>
                      </w:pPr>
                      <w:r>
                        <w:rPr>
                          <w:rFonts w:hint="eastAsia"/>
                          <w:b/>
                          <w:sz w:val="44"/>
                          <w:szCs w:val="44"/>
                        </w:rPr>
                        <w:t>磋商响应文件正本（副本）</w:t>
                      </w:r>
                    </w:p>
                    <w:p w14:paraId="27F4D637">
                      <w:pPr>
                        <w:ind w:firstLine="280" w:firstLineChars="100"/>
                        <w:rPr>
                          <w:sz w:val="28"/>
                          <w:szCs w:val="28"/>
                        </w:rPr>
                      </w:pPr>
                      <w:r>
                        <w:rPr>
                          <w:rFonts w:hint="eastAsia" w:ascii="宋体" w:hAnsi="宋体" w:cs="宋体"/>
                          <w:sz w:val="28"/>
                          <w:szCs w:val="28"/>
                        </w:rPr>
                        <w:t>（磋商响应文件在202</w:t>
                      </w:r>
                      <w:r>
                        <w:rPr>
                          <w:rFonts w:hint="eastAsia" w:ascii="宋体" w:hAnsi="宋体" w:cs="宋体"/>
                          <w:sz w:val="28"/>
                          <w:szCs w:val="28"/>
                          <w:lang w:val="en-US" w:eastAsia="zh-CN"/>
                        </w:rPr>
                        <w:t>5</w:t>
                      </w:r>
                      <w:r>
                        <w:rPr>
                          <w:rFonts w:hint="eastAsia" w:ascii="宋体" w:hAnsi="宋体" w:cs="宋体"/>
                          <w:sz w:val="28"/>
                          <w:szCs w:val="28"/>
                        </w:rPr>
                        <w:t>年  月    日       时前不得开启）</w:t>
                      </w:r>
                    </w:p>
                    <w:p w14:paraId="78D5CCB8">
                      <w:pPr>
                        <w:ind w:firstLine="280" w:firstLineChars="100"/>
                        <w:rPr>
                          <w:sz w:val="28"/>
                          <w:szCs w:val="28"/>
                        </w:rPr>
                      </w:pPr>
                    </w:p>
                    <w:p w14:paraId="45ED8772">
                      <w:pPr>
                        <w:ind w:firstLine="280" w:firstLineChars="100"/>
                        <w:rPr>
                          <w:sz w:val="28"/>
                          <w:szCs w:val="28"/>
                        </w:rPr>
                      </w:pPr>
                    </w:p>
                    <w:p w14:paraId="0C0C918C">
                      <w:pPr>
                        <w:ind w:firstLine="280" w:firstLineChars="100"/>
                        <w:rPr>
                          <w:sz w:val="28"/>
                          <w:szCs w:val="28"/>
                        </w:rPr>
                      </w:pPr>
                    </w:p>
                    <w:p w14:paraId="67779877">
                      <w:pPr>
                        <w:ind w:firstLine="280" w:firstLineChars="100"/>
                        <w:rPr>
                          <w:sz w:val="28"/>
                          <w:szCs w:val="28"/>
                        </w:rPr>
                      </w:pPr>
                    </w:p>
                    <w:p w14:paraId="09B6CF2A">
                      <w:pPr>
                        <w:ind w:firstLine="280" w:firstLineChars="100"/>
                        <w:rPr>
                          <w:sz w:val="28"/>
                          <w:szCs w:val="28"/>
                        </w:rPr>
                      </w:pPr>
                    </w:p>
                    <w:p w14:paraId="7220C062">
                      <w:pPr>
                        <w:ind w:firstLine="280" w:firstLineChars="100"/>
                        <w:rPr>
                          <w:sz w:val="28"/>
                          <w:szCs w:val="28"/>
                        </w:rPr>
                      </w:pPr>
                    </w:p>
                    <w:p w14:paraId="73CEC54C">
                      <w:pPr>
                        <w:ind w:firstLine="280" w:firstLineChars="100"/>
                        <w:rPr>
                          <w:sz w:val="28"/>
                          <w:szCs w:val="28"/>
                        </w:rPr>
                      </w:pPr>
                    </w:p>
                    <w:p w14:paraId="5BF5073D">
                      <w:pPr>
                        <w:ind w:firstLine="280" w:firstLineChars="100"/>
                        <w:rPr>
                          <w:sz w:val="28"/>
                          <w:szCs w:val="28"/>
                        </w:rPr>
                      </w:pPr>
                    </w:p>
                    <w:p w14:paraId="58699F2F">
                      <w:pPr>
                        <w:ind w:firstLine="280" w:firstLineChars="100"/>
                        <w:rPr>
                          <w:sz w:val="28"/>
                          <w:szCs w:val="28"/>
                        </w:rPr>
                      </w:pPr>
                      <w:r>
                        <w:rPr>
                          <w:rFonts w:hint="eastAsia"/>
                          <w:sz w:val="28"/>
                          <w:szCs w:val="28"/>
                        </w:rPr>
                        <w:t>供应商名称：            （公章）</w:t>
                      </w:r>
                    </w:p>
                    <w:p w14:paraId="392FAFC2">
                      <w:pPr>
                        <w:rPr>
                          <w:sz w:val="28"/>
                          <w:szCs w:val="28"/>
                        </w:rPr>
                      </w:pPr>
                      <w:r>
                        <w:rPr>
                          <w:rFonts w:hint="eastAsia"/>
                          <w:sz w:val="28"/>
                          <w:szCs w:val="28"/>
                        </w:rPr>
                        <w:t xml:space="preserve">                                </w:t>
                      </w:r>
                    </w:p>
                  </w:txbxContent>
                </v:textbox>
              </v:shape>
            </w:pict>
          </mc:Fallback>
        </mc:AlternateContent>
      </w:r>
    </w:p>
    <w:p w14:paraId="417B7B85">
      <w:pPr>
        <w:spacing w:line="460" w:lineRule="exact"/>
        <w:ind w:firstLine="482" w:firstLineChars="200"/>
        <w:rPr>
          <w:rFonts w:ascii="宋体" w:hAnsi="宋体" w:cs="宋体"/>
          <w:b/>
          <w:color w:val="000000"/>
          <w:sz w:val="24"/>
        </w:rPr>
      </w:pPr>
    </w:p>
    <w:p w14:paraId="5B3B6963">
      <w:pPr>
        <w:spacing w:line="460" w:lineRule="exact"/>
        <w:ind w:firstLine="482" w:firstLineChars="200"/>
        <w:rPr>
          <w:rFonts w:ascii="宋体" w:hAnsi="宋体" w:cs="宋体"/>
          <w:b/>
          <w:color w:val="000000"/>
          <w:sz w:val="24"/>
        </w:rPr>
      </w:pPr>
    </w:p>
    <w:p w14:paraId="0B327357">
      <w:pPr>
        <w:spacing w:line="360" w:lineRule="atLeast"/>
        <w:ind w:firstLine="2108" w:firstLineChars="500"/>
        <w:rPr>
          <w:rFonts w:ascii="宋体" w:hAnsi="宋体" w:cs="宋体"/>
          <w:b/>
          <w:color w:val="000000"/>
          <w:sz w:val="42"/>
          <w:szCs w:val="42"/>
        </w:rPr>
      </w:pPr>
    </w:p>
    <w:p w14:paraId="7D0DDBA0">
      <w:pPr>
        <w:spacing w:line="360" w:lineRule="atLeast"/>
        <w:ind w:firstLine="2108" w:firstLineChars="500"/>
        <w:rPr>
          <w:rFonts w:ascii="宋体" w:hAnsi="宋体" w:cs="宋体"/>
          <w:b/>
          <w:color w:val="000000"/>
          <w:sz w:val="42"/>
          <w:szCs w:val="42"/>
        </w:rPr>
      </w:pPr>
    </w:p>
    <w:p w14:paraId="652BC551">
      <w:pPr>
        <w:spacing w:line="360" w:lineRule="atLeast"/>
        <w:ind w:firstLine="2108" w:firstLineChars="500"/>
        <w:rPr>
          <w:rFonts w:ascii="宋体" w:hAnsi="宋体" w:cs="宋体"/>
          <w:b/>
          <w:color w:val="000000"/>
          <w:sz w:val="42"/>
          <w:szCs w:val="42"/>
        </w:rPr>
      </w:pPr>
    </w:p>
    <w:p w14:paraId="573FE473">
      <w:pPr>
        <w:spacing w:line="360" w:lineRule="atLeast"/>
        <w:ind w:firstLine="2108" w:firstLineChars="500"/>
        <w:rPr>
          <w:rFonts w:ascii="宋体" w:hAnsi="宋体" w:cs="宋体"/>
          <w:b/>
          <w:color w:val="000000"/>
          <w:sz w:val="42"/>
          <w:szCs w:val="42"/>
        </w:rPr>
      </w:pPr>
    </w:p>
    <w:p w14:paraId="1A138021">
      <w:pPr>
        <w:spacing w:line="360" w:lineRule="atLeast"/>
        <w:ind w:firstLine="2108" w:firstLineChars="500"/>
        <w:rPr>
          <w:rFonts w:ascii="宋体" w:hAnsi="宋体" w:cs="宋体"/>
          <w:b/>
          <w:color w:val="000000"/>
          <w:sz w:val="42"/>
          <w:szCs w:val="42"/>
        </w:rPr>
      </w:pPr>
    </w:p>
    <w:p w14:paraId="3DE2479F">
      <w:pPr>
        <w:spacing w:line="360" w:lineRule="atLeast"/>
        <w:ind w:firstLine="2108" w:firstLineChars="500"/>
        <w:rPr>
          <w:rFonts w:ascii="宋体" w:hAnsi="宋体" w:cs="宋体"/>
          <w:b/>
          <w:color w:val="000000"/>
          <w:sz w:val="42"/>
          <w:szCs w:val="42"/>
        </w:rPr>
      </w:pPr>
    </w:p>
    <w:p w14:paraId="30EBD91C">
      <w:pPr>
        <w:spacing w:line="360" w:lineRule="atLeast"/>
        <w:ind w:firstLine="2108" w:firstLineChars="500"/>
        <w:rPr>
          <w:rFonts w:ascii="宋体" w:hAnsi="宋体" w:cs="宋体"/>
          <w:b/>
          <w:color w:val="000000"/>
          <w:sz w:val="42"/>
          <w:szCs w:val="42"/>
        </w:rPr>
      </w:pPr>
    </w:p>
    <w:p w14:paraId="7D3CCA29">
      <w:pPr>
        <w:spacing w:line="360" w:lineRule="atLeast"/>
        <w:rPr>
          <w:rFonts w:ascii="宋体" w:hAnsi="宋体" w:cs="宋体"/>
          <w:b/>
          <w:color w:val="000000"/>
          <w:sz w:val="24"/>
        </w:rPr>
      </w:pPr>
    </w:p>
    <w:bookmarkEnd w:id="78"/>
    <w:p w14:paraId="6C32AB8B">
      <w:pPr>
        <w:spacing w:line="360" w:lineRule="auto"/>
        <w:rPr>
          <w:rFonts w:ascii="宋体" w:hAnsi="宋体" w:cs="宋体"/>
          <w:b/>
          <w:color w:val="000000"/>
          <w:sz w:val="32"/>
          <w:szCs w:val="32"/>
        </w:rPr>
      </w:pPr>
    </w:p>
    <w:p w14:paraId="13E248BB">
      <w:pPr>
        <w:spacing w:line="360" w:lineRule="auto"/>
        <w:rPr>
          <w:rFonts w:ascii="宋体" w:hAnsi="宋体" w:cs="宋体"/>
          <w:b/>
          <w:color w:val="000000"/>
          <w:sz w:val="32"/>
          <w:szCs w:val="32"/>
        </w:rPr>
      </w:pPr>
    </w:p>
    <w:p w14:paraId="18E9EF78">
      <w:pPr>
        <w:spacing w:line="360" w:lineRule="auto"/>
        <w:rPr>
          <w:rFonts w:ascii="宋体" w:hAnsi="宋体" w:cs="宋体"/>
          <w:b/>
          <w:color w:val="000000"/>
          <w:sz w:val="32"/>
          <w:szCs w:val="32"/>
        </w:rPr>
      </w:pPr>
    </w:p>
    <w:p w14:paraId="24358937">
      <w:pPr>
        <w:spacing w:line="360" w:lineRule="auto"/>
        <w:rPr>
          <w:rFonts w:ascii="宋体" w:hAnsi="宋体" w:cs="宋体"/>
          <w:b/>
          <w:color w:val="000000"/>
          <w:sz w:val="32"/>
          <w:szCs w:val="32"/>
        </w:rPr>
      </w:pPr>
    </w:p>
    <w:p w14:paraId="3188DC3D">
      <w:pPr>
        <w:spacing w:line="360" w:lineRule="auto"/>
        <w:rPr>
          <w:rFonts w:ascii="宋体" w:hAnsi="宋体" w:cs="宋体"/>
          <w:b/>
          <w:color w:val="000000"/>
          <w:sz w:val="32"/>
          <w:szCs w:val="32"/>
        </w:rPr>
      </w:pPr>
    </w:p>
    <w:p w14:paraId="71C8C627">
      <w:pPr>
        <w:spacing w:line="360" w:lineRule="auto"/>
        <w:rPr>
          <w:rFonts w:ascii="宋体" w:hAnsi="宋体" w:cs="宋体"/>
          <w:b/>
          <w:color w:val="000000"/>
          <w:sz w:val="32"/>
          <w:szCs w:val="32"/>
        </w:rPr>
      </w:pPr>
    </w:p>
    <w:p w14:paraId="7B375948">
      <w:pPr>
        <w:spacing w:line="360" w:lineRule="auto"/>
        <w:rPr>
          <w:rFonts w:ascii="宋体" w:hAnsi="宋体" w:cs="宋体"/>
          <w:b/>
          <w:color w:val="000000"/>
          <w:sz w:val="32"/>
          <w:szCs w:val="32"/>
        </w:rPr>
      </w:pPr>
    </w:p>
    <w:p w14:paraId="4C5260C4">
      <w:pPr>
        <w:spacing w:line="360" w:lineRule="auto"/>
        <w:rPr>
          <w:rFonts w:ascii="宋体" w:hAnsi="宋体" w:cs="宋体"/>
          <w:b/>
          <w:color w:val="000000"/>
          <w:sz w:val="32"/>
          <w:szCs w:val="32"/>
        </w:rPr>
      </w:pPr>
    </w:p>
    <w:p w14:paraId="42E9593B">
      <w:pPr>
        <w:spacing w:line="360" w:lineRule="auto"/>
        <w:rPr>
          <w:rFonts w:ascii="宋体" w:hAnsi="宋体" w:cs="宋体"/>
          <w:b/>
          <w:color w:val="000000"/>
          <w:sz w:val="32"/>
          <w:szCs w:val="32"/>
        </w:rPr>
      </w:pPr>
    </w:p>
    <w:p w14:paraId="1B890CD6">
      <w:pPr>
        <w:spacing w:line="360" w:lineRule="auto"/>
        <w:rPr>
          <w:rFonts w:ascii="宋体" w:hAnsi="宋体" w:cs="宋体"/>
          <w:b/>
          <w:color w:val="000000"/>
          <w:sz w:val="32"/>
          <w:szCs w:val="32"/>
        </w:rPr>
      </w:pPr>
    </w:p>
    <w:p w14:paraId="3347BF2B"/>
    <w:sectPr>
      <w:headerReference r:id="rId10" w:type="default"/>
      <w:footerReference r:id="rId11" w:type="default"/>
      <w:pgSz w:w="11906" w:h="16838"/>
      <w:pgMar w:top="1440" w:right="1083" w:bottom="1440" w:left="1083" w:header="851" w:footer="992" w:gutter="0"/>
      <w:pgBorders>
        <w:top w:val="none" w:sz="0" w:space="0"/>
        <w:left w:val="none" w:sz="0" w:space="0"/>
        <w:bottom w:val="none" w:sz="0" w:space="0"/>
        <w:right w:val="none" w:sz="0" w:space="0"/>
      </w:pgBorders>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3FDC1">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23C49">
    <w:pPr>
      <w:pStyle w:val="1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DBE10">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1B2C3">
    <w:pPr>
      <w:pBdr>
        <w:top w:val="double" w:color="auto" w:sz="4" w:space="1"/>
      </w:pBdr>
      <w:tabs>
        <w:tab w:val="center" w:pos="4685"/>
      </w:tabs>
      <w:rPr>
        <w:rFonts w:ascii="宋体" w:hAnsi="宋体" w:cs="宋体"/>
        <w:szCs w:val="21"/>
      </w:rPr>
    </w:pP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margin">
                <wp:posOffset>2771775</wp:posOffset>
              </wp:positionH>
              <wp:positionV relativeFrom="paragraph">
                <wp:posOffset>203200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FD1BE3">
                          <w:pPr>
                            <w:pStyle w:val="1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8.25pt;margin-top:16pt;height:144pt;width:144pt;mso-position-horizontal-relative:margin;mso-wrap-style:none;z-index:251662336;mso-width-relative:page;mso-height-relative:page;" filled="f" stroked="f" coordsize="21600,21600" o:gfxdata="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4Is2ZZ2Oqd&#10;5RE6Kubt6hggYKdrFKVXYtAK09Z1ZngZcZz/3HdRj3+D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mLCNo1QAAAAoBAAAPAAAAAAAAAAEAIAAAACIAAABkcnMvZG93bnJldi54bWxQSwECFAAUAAAA&#10;CACHTuJAjNcOfCoCAABVBAAADgAAAAAAAAABACAAAAAkAQAAZHJzL2Uyb0RvYy54bWxQSwUGAAAA&#10;AAYABgBZAQAAwAUAAAAA&#10;">
              <v:fill on="f" focussize="0,0"/>
              <v:stroke on="f" weight="0.5pt"/>
              <v:imagedata o:title=""/>
              <o:lock v:ext="edit" aspectratio="f"/>
              <v:textbox inset="0mm,0mm,0mm,0mm" style="mso-fit-shape-to-text:t;">
                <w:txbxContent>
                  <w:p w14:paraId="28FD1BE3">
                    <w:pPr>
                      <w:pStyle w:val="13"/>
                    </w:pPr>
                    <w:r>
                      <w:fldChar w:fldCharType="begin"/>
                    </w:r>
                    <w:r>
                      <w:instrText xml:space="preserve"> PAGE  \* MERGEFORMAT </w:instrText>
                    </w:r>
                    <w:r>
                      <w:fldChar w:fldCharType="separate"/>
                    </w:r>
                    <w:r>
                      <w:t>37</w:t>
                    </w:r>
                    <w:r>
                      <w:fldChar w:fldCharType="end"/>
                    </w:r>
                  </w:p>
                </w:txbxContent>
              </v:textbox>
            </v:shape>
          </w:pict>
        </mc:Fallback>
      </mc:AlternateContent>
    </w:r>
    <w:r>
      <w:rPr>
        <w:rFonts w:hint="eastAsia" w:ascii="宋体" w:hAnsi="宋体" w:eastAsia="宋体" w:cs="宋体"/>
      </w:rPr>
      <mc:AlternateContent>
        <mc:Choice Requires="wps">
          <w:drawing>
            <wp:anchor distT="0" distB="0" distL="114300" distR="114300" simplePos="0" relativeHeight="251661312" behindDoc="0" locked="0" layoutInCell="1" allowOverlap="1">
              <wp:simplePos x="0" y="0"/>
              <wp:positionH relativeFrom="margin">
                <wp:posOffset>2802255</wp:posOffset>
              </wp:positionH>
              <wp:positionV relativeFrom="paragraph">
                <wp:posOffset>186690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2DB79571">
                          <w:pPr>
                            <w:snapToGrid w:val="0"/>
                            <w:rPr>
                              <w:sz w:val="1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220.65pt;margin-top:14.7pt;height:10.35pt;width:9.05pt;mso-position-horizontal-relative:margin;mso-wrap-style:none;z-index:251661312;mso-width-relative:page;mso-height-relative:page;" filled="f" stroked="f" coordsize="21600,21600" o:gfxdata="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kB40dYAAAAJAQAADwAAAAAAAAABACAA&#10;AAAiAAAAZHJzL2Rvd25yZXYueG1sUEsBAhQAFAAAAAgAh07iQAghI9UPAgAAEAQAAA4AAAAAAAAA&#10;AQAgAAAAJQEAAGRycy9lMm9Eb2MueG1sUEsFBgAAAAAGAAYAWQEAAKYFAAAAAA==&#10;">
              <v:fill on="f" focussize="0,0"/>
              <v:stroke on="f"/>
              <v:imagedata o:title=""/>
              <o:lock v:ext="edit" aspectratio="f"/>
              <v:textbox inset="0mm,0mm,0mm,0mm" style="mso-fit-shape-to-text:t;">
                <w:txbxContent>
                  <w:p w14:paraId="2DB79571">
                    <w:pPr>
                      <w:snapToGrid w:val="0"/>
                      <w:rPr>
                        <w:sz w:val="18"/>
                      </w:rPr>
                    </w:pPr>
                  </w:p>
                </w:txbxContent>
              </v:textbox>
            </v:shape>
          </w:pict>
        </mc:Fallback>
      </mc:AlternateContent>
    </w:r>
    <w:r>
      <w:rPr>
        <w:rFonts w:hint="eastAsia" w:ascii="宋体" w:hAnsi="宋体" w:eastAsia="宋体" w:cs="宋体"/>
      </w:rPr>
      <w:t xml:space="preserve">华晟国际项目管理有限公司 </w:t>
    </w:r>
    <w:r>
      <w:rPr>
        <w:rFonts w:hint="eastAsia" w:ascii="宋体" w:hAnsi="宋体" w:eastAsia="宋体" w:cs="宋体"/>
      </w:rPr>
      <w:tab/>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西安市高新路88号尚品国际B幢25层     </w:t>
    </w:r>
    <w:r>
      <w:rPr>
        <w:rFonts w:hint="eastAsia" w:ascii="宋体" w:hAnsi="宋体" w:eastAsia="宋体" w:cs="宋体"/>
        <w:lang w:val="en-US" w:eastAsia="zh-CN"/>
      </w:rPr>
      <w:t xml:space="preserve">  </w:t>
    </w:r>
    <w:r>
      <w:rPr>
        <w:rFonts w:hint="eastAsia" w:ascii="宋体" w:hAnsi="宋体" w:eastAsia="宋体" w:cs="宋体"/>
      </w:rPr>
      <w:t xml:space="preserve">   </w:t>
    </w:r>
    <w:r>
      <w:rPr>
        <w:rFonts w:hint="eastAsia" w:ascii="宋体" w:hAnsi="宋体" w:eastAsia="宋体" w:cs="宋体"/>
        <w:szCs w:val="21"/>
      </w:rPr>
      <w:t xml:space="preserve"> </w:t>
    </w:r>
    <w:r>
      <w:rPr>
        <w:rFonts w:hint="eastAsia" w:ascii="宋体" w:hAnsi="宋体" w:cs="宋体"/>
        <w:szCs w:val="21"/>
        <w:lang w:eastAsia="zh-CN"/>
      </w:rPr>
      <w:t>029-82665555</w:t>
    </w:r>
    <w:r>
      <w:rPr>
        <w:rFonts w:hint="eastAsia" w:ascii="宋体" w:hAnsi="宋体" w:cs="宋体"/>
      </w:rPr>
      <mc:AlternateContent>
        <mc:Choice Requires="wps">
          <w:drawing>
            <wp:anchor distT="0" distB="0" distL="114300" distR="114300" simplePos="0" relativeHeight="251660288" behindDoc="0" locked="0" layoutInCell="1" allowOverlap="1">
              <wp:simplePos x="0" y="0"/>
              <wp:positionH relativeFrom="margin">
                <wp:posOffset>2802255</wp:posOffset>
              </wp:positionH>
              <wp:positionV relativeFrom="paragraph">
                <wp:posOffset>186690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793A7315"/>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220.65pt;margin-top:14.7pt;height:10.35pt;width:9.05pt;mso-position-horizontal-relative:margin;mso-wrap-style:none;z-index:251660288;mso-width-relative:page;mso-height-relative:page;" filled="f" stroked="f" coordsize="21600,21600" o:gfxdata="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kB40dYAAAAJAQAADwAAAAAAAAABACAA&#10;AAAiAAAAZHJzL2Rvd25yZXYueG1sUEsBAhQAFAAAAAgAh07iQGrcfTsPAgAAEAQAAA4AAAAAAAAA&#10;AQAgAAAAJQEAAGRycy9lMm9Eb2MueG1sUEsFBgAAAAAGAAYAWQEAAKYFAAAAAA==&#10;">
              <v:fill on="f" focussize="0,0"/>
              <v:stroke on="f"/>
              <v:imagedata o:title=""/>
              <o:lock v:ext="edit" aspectratio="f"/>
              <v:textbox inset="0mm,0mm,0mm,0mm" style="mso-fit-shape-to-text:t;">
                <w:txbxContent>
                  <w:p w14:paraId="793A7315"/>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C33D5">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42310">
    <w:pPr>
      <w:pStyle w:val="14"/>
      <w:pBdr>
        <w:bottom w:val="none" w:color="auto" w:sz="0" w:space="1"/>
      </w:pBdr>
      <w:spacing w:before="100" w:beforeAutospacing="1" w:after="100" w:afterAutospacing="1"/>
      <w:jc w:val="both"/>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4594D">
    <w:pPr>
      <w:pStyle w:val="14"/>
      <w:rPr>
        <w:rFonts w:hint="default"/>
        <w:lang w:val="en-US" w:eastAsia="zh-CN"/>
      </w:rPr>
    </w:pPr>
    <w:r>
      <w:rPr>
        <w:rFonts w:hint="eastAsia" w:ascii="宋体" w:hAnsi="宋体" w:cs="宋体"/>
        <w:sz w:val="21"/>
        <w:szCs w:val="21"/>
        <w:lang w:eastAsia="zh-CN"/>
      </w:rPr>
      <w:t>项目名称：陕西省公安厅寄递物流业治安管理信息系统运维项目</w:t>
    </w:r>
    <w:r>
      <w:rPr>
        <w:rFonts w:hint="eastAsia" w:ascii="宋体" w:hAnsi="宋体" w:cs="宋体"/>
        <w:sz w:val="21"/>
        <w:szCs w:val="21"/>
        <w:lang w:val="en-US" w:eastAsia="zh-CN"/>
      </w:rPr>
      <w:t xml:space="preserve">               项目编号：</w:t>
    </w:r>
    <w:r>
      <w:rPr>
        <w:rFonts w:hint="eastAsia" w:ascii="宋体" w:hAnsi="宋体" w:cs="宋体"/>
        <w:sz w:val="21"/>
        <w:szCs w:val="21"/>
        <w:lang w:eastAsia="zh-CN"/>
      </w:rPr>
      <w:t>HSGJ2025-181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033D70"/>
    <w:multiLevelType w:val="multilevel"/>
    <w:tmpl w:val="0E033D70"/>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ODA1ZTJlYTc2ZWY4NWFlMzYxZWRmMjEzMjE4NTUifQ=="/>
  </w:docVars>
  <w:rsids>
    <w:rsidRoot w:val="003C6CDC"/>
    <w:rsid w:val="000570E6"/>
    <w:rsid w:val="0007753A"/>
    <w:rsid w:val="000A38DE"/>
    <w:rsid w:val="000B4C1B"/>
    <w:rsid w:val="000E48F1"/>
    <w:rsid w:val="001025F2"/>
    <w:rsid w:val="00134360"/>
    <w:rsid w:val="00146447"/>
    <w:rsid w:val="001759F4"/>
    <w:rsid w:val="001D34E2"/>
    <w:rsid w:val="00262DE5"/>
    <w:rsid w:val="00302FCA"/>
    <w:rsid w:val="00314B67"/>
    <w:rsid w:val="0034350E"/>
    <w:rsid w:val="0036268B"/>
    <w:rsid w:val="00385177"/>
    <w:rsid w:val="003909F3"/>
    <w:rsid w:val="003A6B0A"/>
    <w:rsid w:val="003B44C8"/>
    <w:rsid w:val="003C6CDC"/>
    <w:rsid w:val="003C724C"/>
    <w:rsid w:val="003E2E74"/>
    <w:rsid w:val="004418EC"/>
    <w:rsid w:val="004460D6"/>
    <w:rsid w:val="004538CC"/>
    <w:rsid w:val="00475503"/>
    <w:rsid w:val="00500D54"/>
    <w:rsid w:val="00590E72"/>
    <w:rsid w:val="005B77EB"/>
    <w:rsid w:val="005E0876"/>
    <w:rsid w:val="005E2BB0"/>
    <w:rsid w:val="005E6F7A"/>
    <w:rsid w:val="00647040"/>
    <w:rsid w:val="00664C5E"/>
    <w:rsid w:val="00676679"/>
    <w:rsid w:val="0068300F"/>
    <w:rsid w:val="00686583"/>
    <w:rsid w:val="00687364"/>
    <w:rsid w:val="006920EB"/>
    <w:rsid w:val="006B378F"/>
    <w:rsid w:val="006F3E0D"/>
    <w:rsid w:val="00711675"/>
    <w:rsid w:val="00712C12"/>
    <w:rsid w:val="00763421"/>
    <w:rsid w:val="007729A7"/>
    <w:rsid w:val="007A32DF"/>
    <w:rsid w:val="008034D7"/>
    <w:rsid w:val="008471E6"/>
    <w:rsid w:val="008C544F"/>
    <w:rsid w:val="009138B5"/>
    <w:rsid w:val="00930ED7"/>
    <w:rsid w:val="00946C4A"/>
    <w:rsid w:val="00957BBC"/>
    <w:rsid w:val="009760BB"/>
    <w:rsid w:val="00996AEA"/>
    <w:rsid w:val="009A7ABA"/>
    <w:rsid w:val="009C6046"/>
    <w:rsid w:val="009E45B5"/>
    <w:rsid w:val="00A532FD"/>
    <w:rsid w:val="00A91FE8"/>
    <w:rsid w:val="00AA4058"/>
    <w:rsid w:val="00AA6191"/>
    <w:rsid w:val="00AC4DB1"/>
    <w:rsid w:val="00AD33AA"/>
    <w:rsid w:val="00B1686A"/>
    <w:rsid w:val="00B4011B"/>
    <w:rsid w:val="00C104A8"/>
    <w:rsid w:val="00C14FF5"/>
    <w:rsid w:val="00C54E96"/>
    <w:rsid w:val="00CE67EB"/>
    <w:rsid w:val="00CE706A"/>
    <w:rsid w:val="00E305C7"/>
    <w:rsid w:val="00E3560B"/>
    <w:rsid w:val="00E361CE"/>
    <w:rsid w:val="00E57DBA"/>
    <w:rsid w:val="00E71C5E"/>
    <w:rsid w:val="00E83FB2"/>
    <w:rsid w:val="00EB5F8F"/>
    <w:rsid w:val="00EF2FEB"/>
    <w:rsid w:val="00F33360"/>
    <w:rsid w:val="00F60521"/>
    <w:rsid w:val="00F67CF3"/>
    <w:rsid w:val="00F85DAD"/>
    <w:rsid w:val="00F9547F"/>
    <w:rsid w:val="01E01518"/>
    <w:rsid w:val="024D61B5"/>
    <w:rsid w:val="024E0ADE"/>
    <w:rsid w:val="02894026"/>
    <w:rsid w:val="02B27E47"/>
    <w:rsid w:val="037202CF"/>
    <w:rsid w:val="03AC773F"/>
    <w:rsid w:val="04565E07"/>
    <w:rsid w:val="04916985"/>
    <w:rsid w:val="0514006D"/>
    <w:rsid w:val="05213A01"/>
    <w:rsid w:val="05BA5E20"/>
    <w:rsid w:val="05E05ABA"/>
    <w:rsid w:val="07D653C6"/>
    <w:rsid w:val="080F08D8"/>
    <w:rsid w:val="08F05ECB"/>
    <w:rsid w:val="08F33D56"/>
    <w:rsid w:val="09167234"/>
    <w:rsid w:val="09464993"/>
    <w:rsid w:val="099873DE"/>
    <w:rsid w:val="099E1F14"/>
    <w:rsid w:val="09C75C91"/>
    <w:rsid w:val="0A0C3321"/>
    <w:rsid w:val="0A4D56E8"/>
    <w:rsid w:val="0A5B3CD2"/>
    <w:rsid w:val="0A62511E"/>
    <w:rsid w:val="0A6A629A"/>
    <w:rsid w:val="0A736651"/>
    <w:rsid w:val="0AB3253F"/>
    <w:rsid w:val="0ABE12C6"/>
    <w:rsid w:val="0B0F2138"/>
    <w:rsid w:val="0BA92DF2"/>
    <w:rsid w:val="0BAA5E29"/>
    <w:rsid w:val="0C0339B8"/>
    <w:rsid w:val="0C2E4EAB"/>
    <w:rsid w:val="0C342C91"/>
    <w:rsid w:val="0C542D5E"/>
    <w:rsid w:val="0D241AFF"/>
    <w:rsid w:val="0D462A1D"/>
    <w:rsid w:val="0D671DC3"/>
    <w:rsid w:val="0D8B27AF"/>
    <w:rsid w:val="0E252C04"/>
    <w:rsid w:val="0F9D3FE8"/>
    <w:rsid w:val="0FAB6E12"/>
    <w:rsid w:val="0FDA7A1E"/>
    <w:rsid w:val="101C3033"/>
    <w:rsid w:val="108C492E"/>
    <w:rsid w:val="117B2B3A"/>
    <w:rsid w:val="11E3099C"/>
    <w:rsid w:val="12A61195"/>
    <w:rsid w:val="12D469A6"/>
    <w:rsid w:val="13047632"/>
    <w:rsid w:val="13AB129C"/>
    <w:rsid w:val="13ED6472"/>
    <w:rsid w:val="146975C2"/>
    <w:rsid w:val="14C01F6E"/>
    <w:rsid w:val="14FA4C13"/>
    <w:rsid w:val="15A303A0"/>
    <w:rsid w:val="164F35B6"/>
    <w:rsid w:val="1657124D"/>
    <w:rsid w:val="175400B6"/>
    <w:rsid w:val="17836AE6"/>
    <w:rsid w:val="178C3CF3"/>
    <w:rsid w:val="18756535"/>
    <w:rsid w:val="18D94D16"/>
    <w:rsid w:val="190F0FBB"/>
    <w:rsid w:val="194F322A"/>
    <w:rsid w:val="1AC403B5"/>
    <w:rsid w:val="1B5221C9"/>
    <w:rsid w:val="1B5763C6"/>
    <w:rsid w:val="1B5D56F1"/>
    <w:rsid w:val="1B6034CD"/>
    <w:rsid w:val="1B745C80"/>
    <w:rsid w:val="1BCA3093"/>
    <w:rsid w:val="1C222C7C"/>
    <w:rsid w:val="1D0C4F8F"/>
    <w:rsid w:val="1DC12354"/>
    <w:rsid w:val="1E933BB9"/>
    <w:rsid w:val="1E9B0CC0"/>
    <w:rsid w:val="1EF71968"/>
    <w:rsid w:val="1EFF4E59"/>
    <w:rsid w:val="1F4471AB"/>
    <w:rsid w:val="1F5E17F3"/>
    <w:rsid w:val="1F6F0182"/>
    <w:rsid w:val="20062169"/>
    <w:rsid w:val="200D39F7"/>
    <w:rsid w:val="20146634"/>
    <w:rsid w:val="205D1ED0"/>
    <w:rsid w:val="20F85F56"/>
    <w:rsid w:val="213A031C"/>
    <w:rsid w:val="22031056"/>
    <w:rsid w:val="226C301E"/>
    <w:rsid w:val="22883C87"/>
    <w:rsid w:val="22BB6F08"/>
    <w:rsid w:val="22EF3388"/>
    <w:rsid w:val="236B1633"/>
    <w:rsid w:val="23CB5BA3"/>
    <w:rsid w:val="24115EF7"/>
    <w:rsid w:val="2426102C"/>
    <w:rsid w:val="243E6375"/>
    <w:rsid w:val="24F1163A"/>
    <w:rsid w:val="25413615"/>
    <w:rsid w:val="25C170FD"/>
    <w:rsid w:val="25D0124F"/>
    <w:rsid w:val="25D3577B"/>
    <w:rsid w:val="25E567FA"/>
    <w:rsid w:val="26250AF0"/>
    <w:rsid w:val="2648049B"/>
    <w:rsid w:val="266C126C"/>
    <w:rsid w:val="26DE5BEE"/>
    <w:rsid w:val="26E060BA"/>
    <w:rsid w:val="275F25CF"/>
    <w:rsid w:val="277E25E2"/>
    <w:rsid w:val="278B6531"/>
    <w:rsid w:val="27D56FF1"/>
    <w:rsid w:val="28FB3ED4"/>
    <w:rsid w:val="294601F2"/>
    <w:rsid w:val="29D86924"/>
    <w:rsid w:val="2A18755E"/>
    <w:rsid w:val="2A3904F9"/>
    <w:rsid w:val="2A40248D"/>
    <w:rsid w:val="2A550A13"/>
    <w:rsid w:val="2AFA14EB"/>
    <w:rsid w:val="2C4505EA"/>
    <w:rsid w:val="2CEA709A"/>
    <w:rsid w:val="2DE264CF"/>
    <w:rsid w:val="2ECD27D0"/>
    <w:rsid w:val="2EF04710"/>
    <w:rsid w:val="2F9D2FAA"/>
    <w:rsid w:val="2FBE7790"/>
    <w:rsid w:val="300F3261"/>
    <w:rsid w:val="309878E3"/>
    <w:rsid w:val="316E41F4"/>
    <w:rsid w:val="31E7004C"/>
    <w:rsid w:val="32B64511"/>
    <w:rsid w:val="32DB3798"/>
    <w:rsid w:val="33244988"/>
    <w:rsid w:val="335911E8"/>
    <w:rsid w:val="339670E9"/>
    <w:rsid w:val="33BB6E2E"/>
    <w:rsid w:val="342B34CF"/>
    <w:rsid w:val="34B47F8E"/>
    <w:rsid w:val="34DF21B5"/>
    <w:rsid w:val="34F128C2"/>
    <w:rsid w:val="36732099"/>
    <w:rsid w:val="36940C76"/>
    <w:rsid w:val="37B8061E"/>
    <w:rsid w:val="393613E5"/>
    <w:rsid w:val="3A4067FF"/>
    <w:rsid w:val="3A781C6B"/>
    <w:rsid w:val="3BD50490"/>
    <w:rsid w:val="3BFB0FB0"/>
    <w:rsid w:val="3C0D69C2"/>
    <w:rsid w:val="3C4C171C"/>
    <w:rsid w:val="3C9E1C4F"/>
    <w:rsid w:val="3EC750B7"/>
    <w:rsid w:val="3F283A52"/>
    <w:rsid w:val="3F3E6CDA"/>
    <w:rsid w:val="3F8421BF"/>
    <w:rsid w:val="3FAA4467"/>
    <w:rsid w:val="3FCC5DAB"/>
    <w:rsid w:val="40E079E8"/>
    <w:rsid w:val="41390199"/>
    <w:rsid w:val="415369F6"/>
    <w:rsid w:val="417C1104"/>
    <w:rsid w:val="41DC3477"/>
    <w:rsid w:val="42617724"/>
    <w:rsid w:val="43847470"/>
    <w:rsid w:val="43870B84"/>
    <w:rsid w:val="43B1148F"/>
    <w:rsid w:val="43B1349B"/>
    <w:rsid w:val="449F2927"/>
    <w:rsid w:val="44CE0806"/>
    <w:rsid w:val="450D0C9B"/>
    <w:rsid w:val="46F016B6"/>
    <w:rsid w:val="46F46154"/>
    <w:rsid w:val="479623B1"/>
    <w:rsid w:val="484B1521"/>
    <w:rsid w:val="48834795"/>
    <w:rsid w:val="48EE7ABB"/>
    <w:rsid w:val="495C057F"/>
    <w:rsid w:val="4A072B52"/>
    <w:rsid w:val="4A2E6EAD"/>
    <w:rsid w:val="4ABA78B9"/>
    <w:rsid w:val="4B0964E2"/>
    <w:rsid w:val="4B375E99"/>
    <w:rsid w:val="4BA44657"/>
    <w:rsid w:val="4D1B69A4"/>
    <w:rsid w:val="4D985213"/>
    <w:rsid w:val="4DB83CA5"/>
    <w:rsid w:val="4E5B79A0"/>
    <w:rsid w:val="4E956958"/>
    <w:rsid w:val="4EB0040C"/>
    <w:rsid w:val="4F1F00A4"/>
    <w:rsid w:val="4F2D5BDB"/>
    <w:rsid w:val="4F652F43"/>
    <w:rsid w:val="4FC92B59"/>
    <w:rsid w:val="501E2A33"/>
    <w:rsid w:val="50483F54"/>
    <w:rsid w:val="5051105B"/>
    <w:rsid w:val="506616A5"/>
    <w:rsid w:val="506B66EE"/>
    <w:rsid w:val="517A4292"/>
    <w:rsid w:val="51F53573"/>
    <w:rsid w:val="525D35A2"/>
    <w:rsid w:val="526A7A3F"/>
    <w:rsid w:val="52AB4326"/>
    <w:rsid w:val="52AC4F94"/>
    <w:rsid w:val="52CF6267"/>
    <w:rsid w:val="52EF536A"/>
    <w:rsid w:val="541A6A5D"/>
    <w:rsid w:val="54720A9F"/>
    <w:rsid w:val="54866DF9"/>
    <w:rsid w:val="548E3F00"/>
    <w:rsid w:val="54E56216"/>
    <w:rsid w:val="551B0875"/>
    <w:rsid w:val="558C4D04"/>
    <w:rsid w:val="55B856D8"/>
    <w:rsid w:val="55FD6E2D"/>
    <w:rsid w:val="562B5EAA"/>
    <w:rsid w:val="562E3589"/>
    <w:rsid w:val="5641016C"/>
    <w:rsid w:val="568A5E43"/>
    <w:rsid w:val="56B92E85"/>
    <w:rsid w:val="574A6804"/>
    <w:rsid w:val="58DF4C05"/>
    <w:rsid w:val="58F07036"/>
    <w:rsid w:val="59626C1D"/>
    <w:rsid w:val="5966544B"/>
    <w:rsid w:val="59A815C0"/>
    <w:rsid w:val="59AB4168"/>
    <w:rsid w:val="59AE1215"/>
    <w:rsid w:val="59EC40FE"/>
    <w:rsid w:val="5A8738CB"/>
    <w:rsid w:val="5AD51461"/>
    <w:rsid w:val="5AFC39CF"/>
    <w:rsid w:val="5B182472"/>
    <w:rsid w:val="5B681FB2"/>
    <w:rsid w:val="5BB95D06"/>
    <w:rsid w:val="5C1318BA"/>
    <w:rsid w:val="5C277198"/>
    <w:rsid w:val="5C5E240A"/>
    <w:rsid w:val="5C757E7F"/>
    <w:rsid w:val="5CDE17A2"/>
    <w:rsid w:val="5DF16AC1"/>
    <w:rsid w:val="5EB52ACB"/>
    <w:rsid w:val="5EC073AC"/>
    <w:rsid w:val="5F1E4970"/>
    <w:rsid w:val="5F9F5213"/>
    <w:rsid w:val="5FD17C62"/>
    <w:rsid w:val="600F61D2"/>
    <w:rsid w:val="60BB7314"/>
    <w:rsid w:val="61502C69"/>
    <w:rsid w:val="61903065"/>
    <w:rsid w:val="61EF165A"/>
    <w:rsid w:val="61F06E47"/>
    <w:rsid w:val="62C0774E"/>
    <w:rsid w:val="630B0739"/>
    <w:rsid w:val="63207834"/>
    <w:rsid w:val="633B40D9"/>
    <w:rsid w:val="639257BA"/>
    <w:rsid w:val="63F637EB"/>
    <w:rsid w:val="641C7AE8"/>
    <w:rsid w:val="655E27A6"/>
    <w:rsid w:val="66A03152"/>
    <w:rsid w:val="66E83852"/>
    <w:rsid w:val="66F739A5"/>
    <w:rsid w:val="671B1D7A"/>
    <w:rsid w:val="67254EEB"/>
    <w:rsid w:val="67D7706E"/>
    <w:rsid w:val="68684CB1"/>
    <w:rsid w:val="68771BF1"/>
    <w:rsid w:val="6879656C"/>
    <w:rsid w:val="68924801"/>
    <w:rsid w:val="68D74CD0"/>
    <w:rsid w:val="68E8408F"/>
    <w:rsid w:val="6906359E"/>
    <w:rsid w:val="6A88372C"/>
    <w:rsid w:val="6B930322"/>
    <w:rsid w:val="6BA047ED"/>
    <w:rsid w:val="6C563172"/>
    <w:rsid w:val="6C7A3290"/>
    <w:rsid w:val="6D6B4986"/>
    <w:rsid w:val="6DC20A4A"/>
    <w:rsid w:val="6DC36570"/>
    <w:rsid w:val="6DC67492"/>
    <w:rsid w:val="6E223BFA"/>
    <w:rsid w:val="6E712470"/>
    <w:rsid w:val="6E851A78"/>
    <w:rsid w:val="6E865F1C"/>
    <w:rsid w:val="6EAC23B7"/>
    <w:rsid w:val="6EB74327"/>
    <w:rsid w:val="6EC50EBA"/>
    <w:rsid w:val="6EC645D9"/>
    <w:rsid w:val="6F6A1ADA"/>
    <w:rsid w:val="6FAC286E"/>
    <w:rsid w:val="703970A5"/>
    <w:rsid w:val="704E6A36"/>
    <w:rsid w:val="70607638"/>
    <w:rsid w:val="70721C4D"/>
    <w:rsid w:val="70C52BE5"/>
    <w:rsid w:val="717C7162"/>
    <w:rsid w:val="718F31F0"/>
    <w:rsid w:val="71D2364B"/>
    <w:rsid w:val="71ED1E0E"/>
    <w:rsid w:val="720647B7"/>
    <w:rsid w:val="720F6D7C"/>
    <w:rsid w:val="72165809"/>
    <w:rsid w:val="7363682B"/>
    <w:rsid w:val="738F0E5E"/>
    <w:rsid w:val="73D40C39"/>
    <w:rsid w:val="74C0380A"/>
    <w:rsid w:val="75551DF1"/>
    <w:rsid w:val="75823F55"/>
    <w:rsid w:val="75914B13"/>
    <w:rsid w:val="75952EE8"/>
    <w:rsid w:val="759B26D6"/>
    <w:rsid w:val="75A75FFD"/>
    <w:rsid w:val="769603F2"/>
    <w:rsid w:val="76E61C4D"/>
    <w:rsid w:val="77421ADF"/>
    <w:rsid w:val="77906117"/>
    <w:rsid w:val="785E75C1"/>
    <w:rsid w:val="78A61B87"/>
    <w:rsid w:val="78B605DA"/>
    <w:rsid w:val="790F7210"/>
    <w:rsid w:val="793331D2"/>
    <w:rsid w:val="79ED752C"/>
    <w:rsid w:val="7A3251AA"/>
    <w:rsid w:val="7A3D36A7"/>
    <w:rsid w:val="7A710BF6"/>
    <w:rsid w:val="7B9A22C4"/>
    <w:rsid w:val="7C0E7CDF"/>
    <w:rsid w:val="7C280612"/>
    <w:rsid w:val="7C513199"/>
    <w:rsid w:val="7CAA1027"/>
    <w:rsid w:val="7CED7166"/>
    <w:rsid w:val="7D241585"/>
    <w:rsid w:val="7D6513F2"/>
    <w:rsid w:val="7E1A02DA"/>
    <w:rsid w:val="7EF343DB"/>
    <w:rsid w:val="7EF944E8"/>
    <w:rsid w:val="7F570463"/>
    <w:rsid w:val="7FE25719"/>
    <w:rsid w:val="7FE4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4"/>
    <w:autoRedefine/>
    <w:qFormat/>
    <w:uiPriority w:val="0"/>
    <w:pPr>
      <w:keepNext/>
      <w:keepLines/>
      <w:spacing w:before="120" w:after="120" w:line="360" w:lineRule="auto"/>
      <w:jc w:val="center"/>
      <w:outlineLvl w:val="0"/>
    </w:pPr>
    <w:rPr>
      <w:b/>
      <w:bCs/>
      <w:kern w:val="44"/>
      <w:sz w:val="30"/>
      <w:szCs w:val="44"/>
    </w:rPr>
  </w:style>
  <w:style w:type="paragraph" w:styleId="5">
    <w:name w:val="heading 2"/>
    <w:basedOn w:val="1"/>
    <w:next w:val="6"/>
    <w:autoRedefine/>
    <w:qFormat/>
    <w:uiPriority w:val="0"/>
    <w:pPr>
      <w:keepNext/>
      <w:keepLines/>
      <w:spacing w:before="120" w:beforeLines="0" w:after="120" w:afterLines="0" w:line="360" w:lineRule="auto"/>
      <w:jc w:val="center"/>
      <w:outlineLvl w:val="1"/>
    </w:pPr>
    <w:rPr>
      <w:rFonts w:ascii="Arial" w:hAnsi="Arial"/>
      <w:b/>
      <w:bCs/>
      <w:kern w:val="0"/>
      <w:sz w:val="28"/>
      <w:szCs w:val="32"/>
    </w:rPr>
  </w:style>
  <w:style w:type="paragraph" w:styleId="7">
    <w:name w:val="heading 4"/>
    <w:basedOn w:val="1"/>
    <w:next w:val="1"/>
    <w:autoRedefine/>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8">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rPr>
      <w:color w:val="993300"/>
      <w:sz w:val="24"/>
    </w:rPr>
  </w:style>
  <w:style w:type="paragraph" w:customStyle="1" w:styleId="4">
    <w:name w:val="文档正文"/>
    <w:basedOn w:val="1"/>
    <w:autoRedefine/>
    <w:qFormat/>
    <w:uiPriority w:val="11"/>
    <w:pPr>
      <w:ind w:firstLine="482"/>
    </w:pPr>
    <w:rPr>
      <w:rFonts w:ascii="微软雅黑" w:hAnsi="微软雅黑" w:eastAsia="微软雅黑"/>
      <w:sz w:val="24"/>
    </w:rPr>
  </w:style>
  <w:style w:type="paragraph" w:styleId="6">
    <w:name w:val="Normal Indent"/>
    <w:basedOn w:val="1"/>
    <w:next w:val="1"/>
    <w:autoRedefine/>
    <w:qFormat/>
    <w:uiPriority w:val="0"/>
    <w:pPr>
      <w:autoSpaceDE w:val="0"/>
      <w:autoSpaceDN w:val="0"/>
      <w:adjustRightInd w:val="0"/>
      <w:spacing w:line="640" w:lineRule="exact"/>
      <w:ind w:firstLine="585"/>
    </w:pPr>
    <w:rPr>
      <w:rFonts w:ascii="楷体_GB2312" w:hAnsi="Times New Roman" w:eastAsia="楷体_GB2312"/>
      <w:kern w:val="0"/>
      <w:sz w:val="32"/>
      <w:szCs w:val="32"/>
    </w:rPr>
  </w:style>
  <w:style w:type="paragraph" w:styleId="9">
    <w:name w:val="annotation text"/>
    <w:basedOn w:val="1"/>
    <w:link w:val="35"/>
    <w:autoRedefine/>
    <w:qFormat/>
    <w:uiPriority w:val="0"/>
    <w:pPr>
      <w:jc w:val="left"/>
    </w:pPr>
  </w:style>
  <w:style w:type="paragraph" w:styleId="10">
    <w:name w:val="Body Text Indent"/>
    <w:basedOn w:val="1"/>
    <w:autoRedefine/>
    <w:unhideWhenUsed/>
    <w:qFormat/>
    <w:uiPriority w:val="99"/>
    <w:pPr>
      <w:spacing w:line="640" w:lineRule="exact"/>
      <w:ind w:firstLine="585"/>
    </w:pPr>
    <w:rPr>
      <w:rFonts w:ascii="楷体_GB2312" w:eastAsia="楷体_GB2312"/>
      <w:sz w:val="32"/>
    </w:rPr>
  </w:style>
  <w:style w:type="paragraph" w:styleId="11">
    <w:name w:val="Plain Text"/>
    <w:basedOn w:val="1"/>
    <w:next w:val="1"/>
    <w:autoRedefine/>
    <w:qFormat/>
    <w:uiPriority w:val="0"/>
    <w:rPr>
      <w:rFonts w:ascii="宋体" w:hAnsi="Courier New" w:cs="Courier New"/>
      <w:szCs w:val="21"/>
    </w:rPr>
  </w:style>
  <w:style w:type="paragraph" w:styleId="12">
    <w:name w:val="Balloon Text"/>
    <w:basedOn w:val="1"/>
    <w:link w:val="37"/>
    <w:autoRedefine/>
    <w:qFormat/>
    <w:uiPriority w:val="0"/>
    <w:pPr>
      <w:spacing w:line="240" w:lineRule="auto"/>
    </w:pPr>
    <w:rPr>
      <w:sz w:val="18"/>
      <w:szCs w:val="18"/>
    </w:rPr>
  </w:style>
  <w:style w:type="paragraph" w:styleId="13">
    <w:name w:val="footer"/>
    <w:basedOn w:val="1"/>
    <w:autoRedefine/>
    <w:qFormat/>
    <w:uiPriority w:val="99"/>
    <w:pPr>
      <w:tabs>
        <w:tab w:val="center" w:pos="4153"/>
        <w:tab w:val="right" w:pos="8306"/>
      </w:tabs>
      <w:snapToGrid w:val="0"/>
      <w:jc w:val="left"/>
    </w:pPr>
    <w:rPr>
      <w:sz w:val="18"/>
      <w:szCs w:val="18"/>
    </w:rPr>
  </w:style>
  <w:style w:type="paragraph" w:styleId="14">
    <w:name w:val="header"/>
    <w:basedOn w:val="1"/>
    <w:autoRedefine/>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5">
    <w:name w:val="toc 1"/>
    <w:basedOn w:val="1"/>
    <w:next w:val="1"/>
    <w:autoRedefine/>
    <w:qFormat/>
    <w:uiPriority w:val="39"/>
    <w:pPr>
      <w:tabs>
        <w:tab w:val="right" w:leader="middleDot" w:pos="8760"/>
      </w:tabs>
      <w:spacing w:line="700" w:lineRule="exact"/>
    </w:pPr>
  </w:style>
  <w:style w:type="paragraph" w:styleId="16">
    <w:name w:val="Body Text Indent 3"/>
    <w:basedOn w:val="1"/>
    <w:autoRedefine/>
    <w:qFormat/>
    <w:uiPriority w:val="0"/>
    <w:pPr>
      <w:spacing w:after="120"/>
      <w:ind w:left="420" w:leftChars="200"/>
    </w:pPr>
    <w:rPr>
      <w:sz w:val="16"/>
      <w:szCs w:val="16"/>
    </w:rPr>
  </w:style>
  <w:style w:type="paragraph" w:styleId="17">
    <w:name w:val="Normal (Web)"/>
    <w:basedOn w:val="1"/>
    <w:autoRedefine/>
    <w:qFormat/>
    <w:uiPriority w:val="0"/>
    <w:pPr>
      <w:widowControl/>
      <w:spacing w:before="100" w:beforeAutospacing="1" w:after="100" w:afterAutospacing="1" w:line="240" w:lineRule="auto"/>
      <w:jc w:val="left"/>
    </w:pPr>
    <w:rPr>
      <w:rFonts w:ascii="宋体" w:hAnsi="宋体" w:cs="宋体"/>
      <w:kern w:val="0"/>
      <w:sz w:val="24"/>
    </w:rPr>
  </w:style>
  <w:style w:type="paragraph" w:styleId="18">
    <w:name w:val="annotation subject"/>
    <w:basedOn w:val="9"/>
    <w:next w:val="9"/>
    <w:link w:val="36"/>
    <w:autoRedefine/>
    <w:qFormat/>
    <w:uiPriority w:val="0"/>
    <w:rPr>
      <w:b/>
      <w:bCs/>
    </w:rPr>
  </w:style>
  <w:style w:type="paragraph" w:styleId="19">
    <w:name w:val="Body Text First Indent"/>
    <w:basedOn w:val="2"/>
    <w:autoRedefine/>
    <w:unhideWhenUsed/>
    <w:qFormat/>
    <w:uiPriority w:val="99"/>
    <w:pPr>
      <w:ind w:firstLine="420" w:firstLineChars="100"/>
    </w:pPr>
    <w:rPr>
      <w:szCs w:val="24"/>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rPr>
      <w:b/>
      <w:bCs/>
    </w:rPr>
  </w:style>
  <w:style w:type="character" w:styleId="24">
    <w:name w:val="Hyperlink"/>
    <w:basedOn w:val="22"/>
    <w:autoRedefine/>
    <w:unhideWhenUsed/>
    <w:qFormat/>
    <w:uiPriority w:val="99"/>
    <w:rPr>
      <w:color w:val="0000FF"/>
      <w:u w:val="single"/>
    </w:rPr>
  </w:style>
  <w:style w:type="character" w:styleId="25">
    <w:name w:val="annotation reference"/>
    <w:basedOn w:val="22"/>
    <w:autoRedefine/>
    <w:qFormat/>
    <w:uiPriority w:val="0"/>
    <w:rPr>
      <w:sz w:val="21"/>
      <w:szCs w:val="21"/>
    </w:rPr>
  </w:style>
  <w:style w:type="paragraph" w:customStyle="1" w:styleId="26">
    <w:name w:val="HTML 预设格式1"/>
    <w:basedOn w:val="1"/>
    <w:autoRedefine/>
    <w:qFormat/>
    <w:uiPriority w:val="0"/>
    <w:rPr>
      <w:rFonts w:ascii="Courier New" w:hAnsi="Courier New"/>
      <w:sz w:val="20"/>
    </w:rPr>
  </w:style>
  <w:style w:type="paragraph" w:customStyle="1" w:styleId="27">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p15"/>
    <w:basedOn w:val="1"/>
    <w:autoRedefine/>
    <w:qFormat/>
    <w:uiPriority w:val="0"/>
    <w:pPr>
      <w:widowControl/>
      <w:spacing w:line="360" w:lineRule="auto"/>
      <w:jc w:val="left"/>
    </w:pPr>
    <w:rPr>
      <w:kern w:val="0"/>
      <w:sz w:val="24"/>
    </w:rPr>
  </w:style>
  <w:style w:type="paragraph" w:customStyle="1" w:styleId="29">
    <w:name w:val="09正文_wh"/>
    <w:autoRedefine/>
    <w:qFormat/>
    <w:uiPriority w:val="0"/>
    <w:pPr>
      <w:spacing w:line="300" w:lineRule="auto"/>
      <w:ind w:firstLine="200" w:firstLineChars="200"/>
      <w:jc w:val="both"/>
    </w:pPr>
    <w:rPr>
      <w:rFonts w:ascii="Times New Roman" w:hAnsi="Times New Roman" w:eastAsia="宋体" w:cs="Times New Roman"/>
      <w:sz w:val="28"/>
      <w:lang w:val="en-US" w:eastAsia="zh-CN" w:bidi="ar-SA"/>
    </w:rPr>
  </w:style>
  <w:style w:type="paragraph" w:styleId="30">
    <w:name w:val="List Paragraph"/>
    <w:basedOn w:val="1"/>
    <w:autoRedefine/>
    <w:qFormat/>
    <w:uiPriority w:val="0"/>
    <w:pPr>
      <w:widowControl/>
      <w:spacing w:line="240" w:lineRule="auto"/>
      <w:ind w:left="720"/>
      <w:contextualSpacing/>
      <w:jc w:val="left"/>
    </w:pPr>
    <w:rPr>
      <w:rFonts w:ascii="Calibri" w:hAnsi="Calibri"/>
      <w:kern w:val="0"/>
      <w:sz w:val="24"/>
      <w:lang w:eastAsia="en-US" w:bidi="en-US"/>
    </w:rPr>
  </w:style>
  <w:style w:type="paragraph" w:customStyle="1" w:styleId="31">
    <w:name w:val="样式2"/>
    <w:basedOn w:val="1"/>
    <w:autoRedefine/>
    <w:qFormat/>
    <w:uiPriority w:val="0"/>
    <w:pPr>
      <w:adjustRightInd w:val="0"/>
      <w:spacing w:before="120" w:after="120" w:line="312" w:lineRule="atLeast"/>
      <w:jc w:val="center"/>
      <w:textAlignment w:val="baseline"/>
    </w:pPr>
    <w:rPr>
      <w:kern w:val="0"/>
      <w:sz w:val="24"/>
      <w:szCs w:val="20"/>
    </w:rPr>
  </w:style>
  <w:style w:type="paragraph" w:customStyle="1" w:styleId="32">
    <w:name w:val="Table Paragraph"/>
    <w:basedOn w:val="1"/>
    <w:autoRedefine/>
    <w:qFormat/>
    <w:uiPriority w:val="1"/>
  </w:style>
  <w:style w:type="paragraph" w:customStyle="1" w:styleId="33">
    <w:name w:val="列出段落1"/>
    <w:basedOn w:val="1"/>
    <w:autoRedefine/>
    <w:qFormat/>
    <w:uiPriority w:val="0"/>
    <w:pPr>
      <w:ind w:firstLine="420" w:firstLineChars="200"/>
    </w:pPr>
    <w:rPr>
      <w:rFonts w:ascii="Calibri" w:hAnsi="Calibri"/>
    </w:rPr>
  </w:style>
  <w:style w:type="paragraph" w:customStyle="1" w:styleId="34">
    <w:name w:val="正文（缩进）"/>
    <w:basedOn w:val="1"/>
    <w:autoRedefine/>
    <w:qFormat/>
    <w:uiPriority w:val="0"/>
    <w:pPr>
      <w:spacing w:before="156" w:after="156" w:line="360" w:lineRule="auto"/>
      <w:ind w:firstLine="480" w:firstLineChars="200"/>
    </w:pPr>
    <w:rPr>
      <w:rFonts w:ascii="Calibri" w:hAnsi="Calibri"/>
      <w:szCs w:val="21"/>
    </w:rPr>
  </w:style>
  <w:style w:type="character" w:customStyle="1" w:styleId="35">
    <w:name w:val="批注文字 字符"/>
    <w:basedOn w:val="22"/>
    <w:link w:val="9"/>
    <w:autoRedefine/>
    <w:qFormat/>
    <w:uiPriority w:val="0"/>
    <w:rPr>
      <w:kern w:val="2"/>
      <w:sz w:val="21"/>
      <w:szCs w:val="24"/>
    </w:rPr>
  </w:style>
  <w:style w:type="character" w:customStyle="1" w:styleId="36">
    <w:name w:val="批注主题 字符"/>
    <w:basedOn w:val="35"/>
    <w:link w:val="18"/>
    <w:autoRedefine/>
    <w:qFormat/>
    <w:uiPriority w:val="0"/>
    <w:rPr>
      <w:b/>
      <w:bCs/>
      <w:kern w:val="2"/>
      <w:sz w:val="21"/>
      <w:szCs w:val="24"/>
    </w:rPr>
  </w:style>
  <w:style w:type="character" w:customStyle="1" w:styleId="37">
    <w:name w:val="批注框文本 字符"/>
    <w:basedOn w:val="22"/>
    <w:link w:val="12"/>
    <w:autoRedefine/>
    <w:qFormat/>
    <w:uiPriority w:val="0"/>
    <w:rPr>
      <w:kern w:val="2"/>
      <w:sz w:val="18"/>
      <w:szCs w:val="18"/>
    </w:rPr>
  </w:style>
  <w:style w:type="paragraph" w:customStyle="1" w:styleId="38">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9">
    <w:name w:val="Table Text"/>
    <w:basedOn w:val="1"/>
    <w:semiHidden/>
    <w:qFormat/>
    <w:uiPriority w:val="0"/>
    <w:rPr>
      <w:rFonts w:ascii="宋体" w:hAnsi="宋体" w:eastAsia="宋体" w:cs="宋体"/>
      <w:sz w:val="19"/>
      <w:szCs w:val="19"/>
      <w:lang w:val="en-US" w:eastAsia="en-US" w:bidi="ar-SA"/>
    </w:rPr>
  </w:style>
  <w:style w:type="table" w:customStyle="1" w:styleId="40">
    <w:name w:val="Table Normal"/>
    <w:semiHidden/>
    <w:unhideWhenUsed/>
    <w:qFormat/>
    <w:uiPriority w:val="0"/>
    <w:tblPr>
      <w:tblCellMar>
        <w:top w:w="0" w:type="dxa"/>
        <w:left w:w="0" w:type="dxa"/>
        <w:bottom w:w="0" w:type="dxa"/>
        <w:right w:w="0" w:type="dxa"/>
      </w:tblCellMar>
    </w:tblPr>
  </w:style>
  <w:style w:type="paragraph" w:customStyle="1" w:styleId="41">
    <w:name w:val="样式 仿宋_GB2312 四号 行距: 1.5 倍行距"/>
    <w:basedOn w:val="1"/>
    <w:qFormat/>
    <w:uiPriority w:val="0"/>
    <w:pPr>
      <w:spacing w:line="360" w:lineRule="auto"/>
      <w:ind w:firstLine="560" w:firstLineChars="200"/>
    </w:pPr>
    <w:rPr>
      <w:rFonts w:ascii="仿宋_GB2312" w:eastAsia="仿宋_GB2312" w:cs="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9483</Words>
  <Characters>10217</Characters>
  <Lines>270</Lines>
  <Paragraphs>76</Paragraphs>
  <TotalTime>0</TotalTime>
  <ScaleCrop>false</ScaleCrop>
  <LinksUpToDate>false</LinksUpToDate>
  <CharactersWithSpaces>10412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YIN</cp:lastModifiedBy>
  <cp:lastPrinted>2025-08-15T01:02:00Z</cp:lastPrinted>
  <dcterms:modified xsi:type="dcterms:W3CDTF">2025-08-15T01:14:15Z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9CF5AF3A9F464CCCB78F432EF400B8E9_13</vt:lpwstr>
  </property>
  <property fmtid="{D5CDD505-2E9C-101B-9397-08002B2CF9AE}" pid="4" name="KSOTemplateDocerSaveRecord">
    <vt:lpwstr>eyJoZGlkIjoiZjVmMDA1NTM1N2VlYTBlZDI4ZWZkYmQ2Zjg1NzU5NDQiLCJ1c2VySWQiOiIyODQ1NzA0OTAifQ==</vt:lpwstr>
  </property>
</Properties>
</file>