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eastAsia="zh-CN"/>
        </w:rPr>
        <w:t>古城镇集镇古城段人居环境综合整治及基础设施建设项目</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5C0F7DCD">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古城镇集镇古城段人居环境综合整治及基础设施建设项目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eastAsia="zh-CN"/>
        </w:rPr>
        <w:t>3155498.00</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60日历天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：府谷县古城镇</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古城镇集镇古城段人居环境综合整治及基础设施建设项目，建设地点位于府谷县古城镇,属于新建工程主要工程内容为:硬化入户道路长3.2km，宽3m，新建小型蓄水塘土坝两座，总库容量为7.24万m³，其中1号土坝坝高6m，坝顶宽4m，坝底宽22m，坝长68m;2号土坝坝高2m，坝顶宽4m，坝底宽8.5m，坝长97m;配套溢洪道62m、混凝土引水涵管 10m、混凝土排洪涵管 66m。</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4EFE532B">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古城镇集镇古城段人居环境综合整治及基础设施建设项目</w:t>
      </w:r>
    </w:p>
    <w:p w14:paraId="2441B0AA">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hAnsi="宋体" w:cs="宋体"/>
          <w:snapToGrid w:val="0"/>
          <w:color w:val="auto"/>
          <w:kern w:val="0"/>
          <w:sz w:val="28"/>
          <w:szCs w:val="28"/>
          <w:lang w:val="en-US" w:eastAsia="zh-CN"/>
        </w:rPr>
        <w:t>古城镇集镇古城段人居环境综合整治及基础设施建设项目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snapToGrid w:val="0"/>
          <w:color w:val="auto"/>
          <w:kern w:val="0"/>
          <w:sz w:val="28"/>
          <w:szCs w:val="28"/>
          <w:lang w:val="en-US" w:eastAsia="zh-CN"/>
        </w:rPr>
        <w:t>由采购人负责结算。签订合同开工前预付40%，工程竣工后付40%，审计后付20%。</w:t>
      </w:r>
      <w:r>
        <w:rPr>
          <w:rFonts w:hint="eastAsia" w:ascii="Calibri" w:hAnsi="宋体" w:eastAsia="宋体" w:cs="宋体"/>
          <w:color w:val="0000FF"/>
          <w:kern w:val="2"/>
          <w:sz w:val="28"/>
          <w:szCs w:val="28"/>
          <w:lang w:val="en-US" w:eastAsia="zh-CN" w:bidi="ar-SA"/>
        </w:rPr>
        <w:t>。</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56066561"/>
      <w:bookmarkStart w:id="2" w:name="_Toc31057"/>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府谷县古城镇人民政府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w:t>
      </w:r>
      <w:r>
        <w:rPr>
          <w:rFonts w:hint="eastAsia" w:ascii="宋体" w:hAnsi="宋体" w:cs="宋体"/>
          <w:kern w:val="2"/>
          <w:sz w:val="28"/>
          <w:szCs w:val="28"/>
          <w:lang w:val="en-US" w:eastAsia="zh-CN" w:bidi="ar-SA"/>
        </w:rPr>
        <w:t>由采购人负责结算。签订合同开工前预付40%，工程竣工后付40%，审计后付20%。</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府谷县古城镇人民政府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府谷县古城镇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王谦</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联系电话：13720486810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府谷县古城镇人民政府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08</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14</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bookmarkStart w:id="6" w:name="_GoBack"/>
      <w:bookmarkEnd w:id="6"/>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4AF66E3"/>
    <w:rsid w:val="171C747D"/>
    <w:rsid w:val="187F5CB7"/>
    <w:rsid w:val="1AD90AEC"/>
    <w:rsid w:val="1C8B27CB"/>
    <w:rsid w:val="1F2D571E"/>
    <w:rsid w:val="26F70A5D"/>
    <w:rsid w:val="2BC449E0"/>
    <w:rsid w:val="36502174"/>
    <w:rsid w:val="3AD969A0"/>
    <w:rsid w:val="3ADC590C"/>
    <w:rsid w:val="3B6A1905"/>
    <w:rsid w:val="45373C51"/>
    <w:rsid w:val="54AD73A8"/>
    <w:rsid w:val="57A203EE"/>
    <w:rsid w:val="59C562A9"/>
    <w:rsid w:val="5BA153B0"/>
    <w:rsid w:val="5ECA5839"/>
    <w:rsid w:val="5EE975A9"/>
    <w:rsid w:val="64531993"/>
    <w:rsid w:val="65564184"/>
    <w:rsid w:val="67E30BB6"/>
    <w:rsid w:val="68A50CD3"/>
    <w:rsid w:val="6B4B758C"/>
    <w:rsid w:val="78B6160F"/>
    <w:rsid w:val="78F5312B"/>
    <w:rsid w:val="7A403C72"/>
    <w:rsid w:val="7A8648AA"/>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1868</Words>
  <Characters>1970</Characters>
  <Lines>0</Lines>
  <Paragraphs>0</Paragraphs>
  <TotalTime>5</TotalTime>
  <ScaleCrop>false</ScaleCrop>
  <LinksUpToDate>false</LinksUpToDate>
  <CharactersWithSpaces>2072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那条逆流而上的鱼</cp:lastModifiedBy>
  <dcterms:modified xsi:type="dcterms:W3CDTF">2025-08-14T06:19:42Z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AE4F94540CB7454487FA9F0CCF98F4E9_13</vt:lpwstr>
  </property>
  <property fmtid="{D5CDD505-2E9C-101B-9397-08002B2CF9AE}" pid="4" name="KSOTemplateDocerSaveRecord">
    <vt:lpwstr>eyJoZGlkIjoiNjRlNmFlM2YzOTgxZjNhMDIyNTc3YTY3NGI5N2JiNTkiLCJ1c2VySWQiOiI2NDUxNjkyOTIifQ==</vt:lpwstr>
  </property>
</Properties>
</file>