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left"/>
        <w:outlineLvl w:val="9"/>
        <w:rPr>
          <w:rFonts w:hint="eastAsia" w:ascii="宋体" w:hAnsi="宋体" w:eastAsia="宋体" w:cs="宋体"/>
          <w:b/>
          <w:color w:val="auto"/>
          <w:sz w:val="32"/>
          <w:szCs w:val="32"/>
          <w:highlight w:val="none"/>
          <w:lang w:val="en-US" w:eastAsia="zh-CN"/>
        </w:rPr>
      </w:pPr>
      <w:bookmarkStart w:id="52" w:name="_GoBack"/>
      <w:bookmarkStart w:id="0" w:name="_Toc15068"/>
      <w:bookmarkStart w:id="1" w:name="_Toc13471"/>
      <w:bookmarkStart w:id="2" w:name="_Toc13625"/>
      <w:r>
        <w:rPr>
          <w:rFonts w:hint="eastAsia" w:ascii="宋体" w:hAnsi="宋体" w:eastAsia="宋体" w:cs="宋体"/>
          <w:b/>
          <w:color w:val="auto"/>
          <w:sz w:val="32"/>
          <w:szCs w:val="32"/>
          <w:highlight w:val="none"/>
        </w:rPr>
        <w:t>项目编号:</w:t>
      </w:r>
      <w:bookmarkEnd w:id="0"/>
      <w:bookmarkEnd w:id="1"/>
      <w:bookmarkEnd w:id="2"/>
      <w:r>
        <w:rPr>
          <w:rFonts w:hint="eastAsia" w:ascii="宋体" w:hAnsi="宋体" w:eastAsia="宋体" w:cs="宋体"/>
          <w:b/>
          <w:color w:val="auto"/>
          <w:sz w:val="32"/>
          <w:szCs w:val="32"/>
          <w:highlight w:val="none"/>
          <w:lang w:eastAsia="zh-CN"/>
        </w:rPr>
        <w:t>CGZC-2025-076（HSGJ2025-165）</w:t>
      </w:r>
    </w:p>
    <w:p>
      <w:pPr>
        <w:pStyle w:val="16"/>
        <w:rPr>
          <w:rFonts w:hint="eastAsia" w:ascii="宋体" w:hAnsi="宋体" w:eastAsia="宋体" w:cs="宋体"/>
          <w:b/>
          <w:color w:val="auto"/>
          <w:sz w:val="28"/>
          <w:szCs w:val="28"/>
          <w:highlight w:val="none"/>
        </w:rPr>
      </w:pPr>
    </w:p>
    <w:p>
      <w:pPr>
        <w:pStyle w:val="16"/>
        <w:rPr>
          <w:rFonts w:hint="eastAsia" w:ascii="宋体" w:hAnsi="宋体" w:eastAsia="宋体" w:cs="宋体"/>
          <w:color w:val="auto"/>
          <w:sz w:val="28"/>
          <w:szCs w:val="28"/>
          <w:highlight w:val="none"/>
          <w:lang w:val="en-US" w:eastAsia="zh-CN"/>
        </w:rPr>
      </w:pPr>
    </w:p>
    <w:p>
      <w:pPr>
        <w:pStyle w:val="16"/>
        <w:rPr>
          <w:rFonts w:hint="eastAsia" w:ascii="宋体" w:hAnsi="宋体" w:eastAsia="宋体" w:cs="宋体"/>
          <w:b/>
          <w:color w:val="auto"/>
          <w:sz w:val="52"/>
          <w:szCs w:val="52"/>
          <w:highlight w:val="none"/>
          <w:lang w:val="en-US" w:eastAsia="zh-CN"/>
        </w:rPr>
      </w:pPr>
    </w:p>
    <w:p>
      <w:pPr>
        <w:ind w:left="0" w:leftChars="0" w:right="0" w:rightChars="0" w:firstLine="0" w:firstLineChars="0"/>
        <w:jc w:val="center"/>
        <w:outlineLvl w:val="9"/>
        <w:rPr>
          <w:rFonts w:hint="eastAsia" w:ascii="宋体" w:hAnsi="宋体" w:eastAsia="宋体" w:cs="宋体"/>
          <w:b/>
          <w:bCs/>
          <w:color w:val="auto"/>
          <w:sz w:val="52"/>
          <w:szCs w:val="52"/>
          <w:highlight w:val="none"/>
          <w:lang w:val="en-US" w:eastAsia="zh-CN"/>
        </w:rPr>
      </w:pPr>
      <w:bookmarkStart w:id="3" w:name="OLE_LINK3"/>
      <w:r>
        <w:rPr>
          <w:rFonts w:hint="eastAsia" w:ascii="宋体" w:hAnsi="宋体" w:eastAsia="宋体" w:cs="宋体"/>
          <w:b/>
          <w:bCs/>
          <w:color w:val="auto"/>
          <w:sz w:val="52"/>
          <w:szCs w:val="52"/>
          <w:highlight w:val="none"/>
          <w:lang w:val="en-US" w:eastAsia="zh-CN"/>
        </w:rPr>
        <w:t>CB2-1-568宗地发掘土方配合</w:t>
      </w:r>
    </w:p>
    <w:bookmarkEnd w:id="3"/>
    <w:p>
      <w:pPr>
        <w:tabs>
          <w:tab w:val="left" w:pos="5145"/>
        </w:tabs>
        <w:spacing w:line="1400" w:lineRule="atLeast"/>
        <w:jc w:val="center"/>
        <w:rPr>
          <w:rFonts w:hint="eastAsia" w:ascii="宋体" w:hAnsi="宋体" w:eastAsia="宋体" w:cs="宋体"/>
          <w:b/>
          <w:color w:val="auto"/>
          <w:sz w:val="64"/>
          <w:szCs w:val="56"/>
          <w:highlight w:val="none"/>
        </w:rPr>
      </w:pPr>
    </w:p>
    <w:p>
      <w:pPr>
        <w:tabs>
          <w:tab w:val="left" w:pos="5145"/>
        </w:tabs>
        <w:spacing w:line="1400" w:lineRule="atLeast"/>
        <w:jc w:val="center"/>
        <w:outlineLvl w:val="9"/>
        <w:rPr>
          <w:rFonts w:hint="eastAsia" w:ascii="宋体" w:hAnsi="宋体" w:eastAsia="宋体" w:cs="宋体"/>
          <w:b/>
          <w:color w:val="auto"/>
          <w:sz w:val="64"/>
          <w:szCs w:val="56"/>
          <w:highlight w:val="none"/>
        </w:rPr>
      </w:pPr>
      <w:bookmarkStart w:id="4" w:name="_Toc15337"/>
      <w:bookmarkStart w:id="5" w:name="_Toc26953"/>
      <w:bookmarkStart w:id="6" w:name="_Toc14588"/>
      <w:bookmarkStart w:id="7" w:name="_Toc6865"/>
      <w:r>
        <w:rPr>
          <w:rFonts w:hint="eastAsia" w:ascii="宋体" w:hAnsi="宋体" w:eastAsia="宋体" w:cs="宋体"/>
          <w:b/>
          <w:color w:val="auto"/>
          <w:sz w:val="64"/>
          <w:szCs w:val="56"/>
          <w:highlight w:val="none"/>
          <w:lang w:eastAsia="zh-CN"/>
        </w:rPr>
        <w:t>公开招标</w:t>
      </w:r>
      <w:r>
        <w:rPr>
          <w:rFonts w:hint="eastAsia" w:ascii="宋体" w:hAnsi="宋体" w:eastAsia="宋体" w:cs="宋体"/>
          <w:b/>
          <w:color w:val="auto"/>
          <w:sz w:val="64"/>
          <w:szCs w:val="56"/>
          <w:highlight w:val="none"/>
        </w:rPr>
        <w:t>文件</w:t>
      </w:r>
      <w:bookmarkEnd w:id="4"/>
      <w:bookmarkEnd w:id="5"/>
      <w:bookmarkEnd w:id="6"/>
    </w:p>
    <w:p>
      <w:pPr>
        <w:pStyle w:val="22"/>
        <w:rPr>
          <w:rFonts w:hint="eastAsia" w:ascii="宋体" w:hAnsi="宋体" w:eastAsia="宋体" w:cs="宋体"/>
          <w:b/>
          <w:color w:val="auto"/>
          <w:sz w:val="52"/>
          <w:szCs w:val="52"/>
          <w:highlight w:val="none"/>
        </w:rPr>
      </w:pPr>
    </w:p>
    <w:p>
      <w:pPr>
        <w:pStyle w:val="22"/>
        <w:rPr>
          <w:rFonts w:hint="eastAsia" w:ascii="宋体" w:hAnsi="宋体" w:eastAsia="宋体" w:cs="宋体"/>
          <w:b/>
          <w:color w:val="auto"/>
          <w:sz w:val="52"/>
          <w:szCs w:val="52"/>
          <w:highlight w:val="none"/>
        </w:rPr>
      </w:pPr>
    </w:p>
    <w:p>
      <w:pPr>
        <w:pStyle w:val="22"/>
        <w:rPr>
          <w:rFonts w:hint="eastAsia" w:ascii="宋体" w:hAnsi="宋体" w:eastAsia="宋体" w:cs="宋体"/>
          <w:b/>
          <w:color w:val="auto"/>
          <w:sz w:val="52"/>
          <w:szCs w:val="52"/>
          <w:highlight w:val="none"/>
        </w:rPr>
      </w:pPr>
    </w:p>
    <w:p>
      <w:pPr>
        <w:pStyle w:val="22"/>
        <w:rPr>
          <w:rFonts w:hint="eastAsia" w:ascii="宋体" w:hAnsi="宋体" w:eastAsia="宋体" w:cs="宋体"/>
          <w:b/>
          <w:color w:val="auto"/>
          <w:sz w:val="52"/>
          <w:szCs w:val="52"/>
          <w:highlight w:val="none"/>
        </w:rPr>
      </w:pPr>
    </w:p>
    <w:p>
      <w:pPr>
        <w:spacing w:line="480" w:lineRule="auto"/>
        <w:ind w:firstLine="1280" w:firstLineChars="400"/>
        <w:outlineLvl w:val="9"/>
        <w:rPr>
          <w:rFonts w:hint="eastAsia" w:ascii="宋体" w:hAnsi="宋体" w:eastAsia="宋体" w:cs="宋体"/>
          <w:b/>
          <w:color w:val="auto"/>
          <w:sz w:val="32"/>
          <w:szCs w:val="32"/>
          <w:highlight w:val="none"/>
          <w:lang w:eastAsia="zh-CN"/>
        </w:rPr>
      </w:pPr>
      <w:bookmarkStart w:id="8" w:name="_Toc2655"/>
      <w:bookmarkStart w:id="9" w:name="_Toc12262"/>
      <w:r>
        <w:rPr>
          <w:rFonts w:hint="eastAsia" w:ascii="宋体" w:hAnsi="宋体" w:eastAsia="宋体" w:cs="宋体"/>
          <w:b/>
          <w:color w:val="auto"/>
          <w:sz w:val="32"/>
          <w:szCs w:val="32"/>
          <w:highlight w:val="none"/>
        </w:rPr>
        <w:t>采</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购</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人：</w:t>
      </w:r>
      <w:bookmarkEnd w:id="8"/>
      <w:bookmarkEnd w:id="9"/>
      <w:r>
        <w:rPr>
          <w:rFonts w:hint="eastAsia" w:ascii="宋体" w:hAnsi="宋体" w:eastAsia="宋体" w:cs="宋体"/>
          <w:b/>
          <w:color w:val="auto"/>
          <w:sz w:val="32"/>
          <w:szCs w:val="32"/>
          <w:highlight w:val="none"/>
          <w:lang w:eastAsia="zh-CN"/>
        </w:rPr>
        <w:t>西安浐灞国际港自然资源和规划局</w:t>
      </w:r>
    </w:p>
    <w:p>
      <w:pPr>
        <w:spacing w:line="480" w:lineRule="auto"/>
        <w:ind w:firstLine="1280" w:firstLineChars="400"/>
        <w:outlineLvl w:val="9"/>
        <w:rPr>
          <w:rFonts w:hint="eastAsia" w:ascii="宋体" w:hAnsi="宋体" w:eastAsia="宋体" w:cs="宋体"/>
          <w:b/>
          <w:color w:val="auto"/>
          <w:sz w:val="32"/>
          <w:szCs w:val="32"/>
          <w:highlight w:val="none"/>
        </w:rPr>
      </w:pPr>
      <w:bookmarkStart w:id="10" w:name="_Toc9269"/>
      <w:bookmarkStart w:id="11" w:name="_Toc2128"/>
      <w:bookmarkStart w:id="12" w:name="_Toc16289"/>
      <w:r>
        <w:rPr>
          <w:rFonts w:hint="eastAsia" w:ascii="宋体" w:hAnsi="宋体" w:eastAsia="宋体" w:cs="宋体"/>
          <w:b/>
          <w:color w:val="auto"/>
          <w:sz w:val="32"/>
          <w:szCs w:val="32"/>
          <w:highlight w:val="none"/>
        </w:rPr>
        <w:t>采购代理机构：</w:t>
      </w:r>
      <w:bookmarkEnd w:id="10"/>
      <w:r>
        <w:rPr>
          <w:rFonts w:hint="eastAsia" w:ascii="宋体" w:hAnsi="宋体" w:eastAsia="宋体" w:cs="宋体"/>
          <w:b/>
          <w:color w:val="auto"/>
          <w:sz w:val="32"/>
          <w:szCs w:val="32"/>
          <w:highlight w:val="none"/>
        </w:rPr>
        <w:t>华晟国际项目管理有限公司</w:t>
      </w:r>
      <w:bookmarkEnd w:id="11"/>
      <w:bookmarkEnd w:id="12"/>
    </w:p>
    <w:p>
      <w:pPr>
        <w:spacing w:line="480" w:lineRule="auto"/>
        <w:ind w:firstLine="1280" w:firstLineChars="400"/>
        <w:outlineLvl w:val="9"/>
        <w:rPr>
          <w:rFonts w:hint="eastAsia" w:ascii="宋体" w:hAnsi="宋体" w:eastAsia="宋体" w:cs="宋体"/>
          <w:b/>
          <w:color w:val="auto"/>
          <w:sz w:val="32"/>
          <w:szCs w:val="32"/>
          <w:highlight w:val="none"/>
        </w:rPr>
      </w:pPr>
      <w:bookmarkStart w:id="13" w:name="_Toc2766"/>
      <w:bookmarkStart w:id="14" w:name="_Toc221"/>
      <w:r>
        <w:rPr>
          <w:rFonts w:hint="eastAsia" w:ascii="宋体" w:hAnsi="宋体" w:eastAsia="宋体" w:cs="宋体"/>
          <w:b/>
          <w:color w:val="auto"/>
          <w:sz w:val="32"/>
          <w:szCs w:val="32"/>
          <w:highlight w:val="none"/>
        </w:rPr>
        <w:t>日        期：二〇二</w:t>
      </w: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月</w:t>
      </w:r>
      <w:bookmarkEnd w:id="13"/>
      <w:bookmarkEnd w:id="14"/>
    </w:p>
    <w:p>
      <w:pPr>
        <w:pStyle w:val="16"/>
        <w:rPr>
          <w:rFonts w:hint="eastAsia"/>
          <w:color w:val="auto"/>
          <w:highlight w:val="none"/>
        </w:rPr>
      </w:pPr>
    </w:p>
    <w:p>
      <w:pPr>
        <w:pStyle w:val="24"/>
        <w:tabs>
          <w:tab w:val="right" w:leader="dot" w:pos="9304"/>
        </w:tabs>
        <w:jc w:val="center"/>
        <w:rPr>
          <w:rFonts w:hint="eastAsia" w:ascii="宋体" w:hAnsi="宋体" w:eastAsia="宋体" w:cs="宋体"/>
          <w:color w:val="auto"/>
          <w:sz w:val="21"/>
          <w:szCs w:val="24"/>
          <w:highlight w:val="none"/>
          <w:lang w:val="en-US" w:eastAsia="zh-CN" w:bidi="ar-SA"/>
        </w:rPr>
        <w:sectPr>
          <w:headerReference r:id="rId3" w:type="default"/>
          <w:headerReference r:id="rId4" w:type="even"/>
          <w:pgSz w:w="11906" w:h="16838"/>
          <w:pgMar w:top="1417" w:right="1417" w:bottom="1417" w:left="1417" w:header="851" w:footer="992" w:gutter="0"/>
          <w:pgNumType w:fmt="decimal" w:start="1"/>
          <w:cols w:space="0" w:num="1"/>
          <w:rtlGutter w:val="0"/>
          <w:docGrid w:type="linesAndChars" w:linePitch="420" w:charSpace="0"/>
        </w:sectPr>
      </w:pPr>
    </w:p>
    <w:sdt>
      <w:sdtPr>
        <w:rPr>
          <w:rFonts w:hint="eastAsia" w:ascii="宋体" w:hAnsi="宋体" w:eastAsia="宋体" w:cs="宋体"/>
          <w:color w:val="auto"/>
          <w:sz w:val="21"/>
          <w:szCs w:val="24"/>
          <w:highlight w:val="none"/>
          <w:lang w:val="en-US" w:eastAsia="zh-CN" w:bidi="ar-SA"/>
        </w:rPr>
        <w:id w:val="147470118"/>
        <w15:color w:val="DBDBDB"/>
        <w:docPartObj>
          <w:docPartGallery w:val="Table of Contents"/>
          <w:docPartUnique/>
        </w:docPartObj>
      </w:sdtPr>
      <w:sdtEndPr>
        <w:rPr>
          <w:rFonts w:hint="eastAsia" w:ascii="宋体" w:hAnsi="宋体" w:eastAsia="宋体" w:cs="宋体"/>
          <w:color w:val="auto"/>
          <w:sz w:val="21"/>
          <w:szCs w:val="24"/>
          <w:highlight w:val="none"/>
          <w:lang w:val="en-US" w:eastAsia="zh-CN" w:bidi="ar-SA"/>
        </w:rPr>
      </w:sdtEndPr>
      <w:sdtContent>
        <w:p>
          <w:pPr>
            <w:pStyle w:val="24"/>
            <w:tabs>
              <w:tab w:val="right" w:leader="dot" w:pos="9304"/>
            </w:tabs>
            <w:jc w:val="center"/>
            <w:rPr>
              <w:rFonts w:hint="eastAsia" w:eastAsia="宋体"/>
              <w:b/>
              <w:bCs/>
              <w:color w:val="auto"/>
              <w:sz w:val="44"/>
              <w:szCs w:val="44"/>
              <w:highlight w:val="none"/>
              <w:lang w:val="en-US" w:eastAsia="zh-CN"/>
            </w:rPr>
          </w:pPr>
          <w:r>
            <w:rPr>
              <w:rFonts w:hint="eastAsia" w:ascii="宋体" w:hAnsi="宋体" w:eastAsia="宋体" w:cs="宋体"/>
              <w:color w:val="auto"/>
              <w:sz w:val="21"/>
              <w:szCs w:val="24"/>
              <w:highlight w:val="none"/>
              <w:lang w:val="en-US" w:eastAsia="zh-CN" w:bidi="ar-SA"/>
            </w:rPr>
            <w:fldChar w:fldCharType="begin"/>
          </w:r>
          <w:r>
            <w:rPr>
              <w:rFonts w:hint="eastAsia" w:ascii="宋体" w:hAnsi="宋体" w:eastAsia="宋体" w:cs="宋体"/>
              <w:color w:val="auto"/>
              <w:sz w:val="21"/>
              <w:szCs w:val="24"/>
              <w:highlight w:val="none"/>
              <w:lang w:val="en-US" w:eastAsia="zh-CN" w:bidi="ar-SA"/>
            </w:rPr>
            <w:instrText xml:space="preserve">TOC \o "1-1" \h \u </w:instrText>
          </w:r>
          <w:r>
            <w:rPr>
              <w:rFonts w:hint="eastAsia" w:ascii="宋体" w:hAnsi="宋体" w:eastAsia="宋体" w:cs="宋体"/>
              <w:color w:val="auto"/>
              <w:sz w:val="21"/>
              <w:szCs w:val="24"/>
              <w:highlight w:val="none"/>
              <w:lang w:val="en-US" w:eastAsia="zh-CN" w:bidi="ar-SA"/>
            </w:rPr>
            <w:fldChar w:fldCharType="separate"/>
          </w:r>
          <w:r>
            <w:rPr>
              <w:rFonts w:hint="eastAsia" w:ascii="宋体" w:hAnsi="宋体" w:cs="宋体"/>
              <w:b/>
              <w:bCs/>
              <w:color w:val="auto"/>
              <w:sz w:val="44"/>
              <w:szCs w:val="44"/>
              <w:highlight w:val="none"/>
              <w:lang w:val="en-US" w:eastAsia="zh-CN" w:bidi="ar-SA"/>
            </w:rPr>
            <w:t>目录</w:t>
          </w:r>
        </w:p>
        <w:p>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_Toc6865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第一章</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 xml:space="preserve"> 招标公告</w:t>
          </w:r>
          <w:r>
            <w:rPr>
              <w:rFonts w:hint="eastAsia" w:ascii="宋体" w:hAnsi="宋体" w:eastAsia="宋体" w:cs="宋体"/>
              <w:b/>
              <w:bCs/>
              <w:color w:val="auto"/>
              <w:sz w:val="36"/>
              <w:szCs w:val="36"/>
              <w:highlight w:val="none"/>
            </w:rPr>
            <w:tab/>
          </w:r>
          <w:r>
            <w:rPr>
              <w:rFonts w:hint="eastAsia" w:ascii="宋体" w:hAnsi="宋体" w:cs="宋体"/>
              <w:b/>
              <w:bCs/>
              <w:color w:val="auto"/>
              <w:sz w:val="36"/>
              <w:szCs w:val="36"/>
              <w:highlight w:val="none"/>
              <w:lang w:val="en-US" w:eastAsia="zh-CN"/>
            </w:rPr>
            <w:t>3</w:t>
          </w:r>
          <w:r>
            <w:rPr>
              <w:rFonts w:hint="eastAsia" w:ascii="宋体" w:hAnsi="宋体" w:eastAsia="宋体" w:cs="宋体"/>
              <w:b/>
              <w:bCs/>
              <w:color w:val="auto"/>
              <w:sz w:val="36"/>
              <w:szCs w:val="36"/>
              <w:highlight w:val="none"/>
              <w:lang w:val="en-US" w:eastAsia="zh-CN" w:bidi="ar-SA"/>
            </w:rPr>
            <w:fldChar w:fldCharType="end"/>
          </w:r>
        </w:p>
        <w:p>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_Toc3870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第二章  供应商须知</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_Toc3870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7</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_Toc12152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第三章  招标内容及要求</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_Toc12152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52</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_Toc20186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第四章  商务及合同文本</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_Toc20186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52</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_Toc18135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rPr>
            <w:t>第五章  投标文件构成及格式</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_Toc18135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56</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pPr>
            <w:rPr>
              <w:color w:val="auto"/>
              <w:highlight w:val="none"/>
            </w:rPr>
          </w:pPr>
          <w:r>
            <w:rPr>
              <w:rFonts w:hint="eastAsia" w:ascii="宋体" w:hAnsi="宋体" w:eastAsia="宋体" w:cs="宋体"/>
              <w:color w:val="auto"/>
              <w:szCs w:val="24"/>
              <w:highlight w:val="none"/>
              <w:lang w:val="en-US" w:eastAsia="zh-CN" w:bidi="ar-SA"/>
            </w:rPr>
            <w:fldChar w:fldCharType="end"/>
          </w:r>
        </w:p>
      </w:sdtContent>
    </w:sdt>
    <w:p>
      <w:pPr>
        <w:rPr>
          <w:rFonts w:ascii="宋体" w:hAnsi="宋体" w:eastAsia="宋体" w:cstheme="minorBidi"/>
          <w:b/>
          <w:bCs/>
          <w:color w:val="auto"/>
          <w:sz w:val="32"/>
          <w:szCs w:val="32"/>
          <w:highlight w:val="none"/>
          <w:lang w:eastAsia="zh-CN"/>
        </w:rPr>
      </w:pPr>
      <w:r>
        <w:rPr>
          <w:rFonts w:ascii="宋体" w:hAnsi="宋体" w:eastAsia="宋体" w:cstheme="minorBidi"/>
          <w:b/>
          <w:bCs/>
          <w:color w:val="auto"/>
          <w:sz w:val="32"/>
          <w:szCs w:val="32"/>
          <w:highlight w:val="none"/>
          <w:lang w:eastAsia="zh-CN"/>
        </w:rPr>
        <w:br w:type="page"/>
      </w:r>
    </w:p>
    <w:p>
      <w:pPr>
        <w:pStyle w:val="2"/>
        <w:tabs>
          <w:tab w:val="left" w:pos="4631"/>
        </w:tabs>
        <w:ind w:right="113"/>
        <w:jc w:val="center"/>
        <w:rPr>
          <w:rFonts w:cs="宋体"/>
          <w:color w:val="auto"/>
          <w:sz w:val="30"/>
          <w:szCs w:val="30"/>
          <w:highlight w:val="none"/>
          <w:lang w:eastAsia="zh-CN"/>
        </w:rPr>
      </w:pPr>
      <w:r>
        <w:rPr>
          <w:rFonts w:hint="eastAsia" w:ascii="宋体" w:hAnsi="宋体" w:eastAsia="宋体" w:cs="宋体"/>
          <w:b/>
          <w:bCs/>
          <w:color w:val="auto"/>
          <w:sz w:val="32"/>
          <w:szCs w:val="32"/>
          <w:highlight w:val="none"/>
          <w:lang w:eastAsia="zh-CN"/>
        </w:rPr>
        <w:t>第一章</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 xml:space="preserve"> 招标公告</w:t>
      </w:r>
      <w:bookmarkEnd w:id="7"/>
    </w:p>
    <w:p>
      <w:pPr>
        <w:keepNext w:val="0"/>
        <w:keepLines w:val="0"/>
        <w:pageBreakBefore w:val="0"/>
        <w:widowControl/>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项目概况</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CB2-1-568宗地发掘土方配合的潜在投标人应在</w:t>
      </w:r>
      <w:r>
        <w:rPr>
          <w:rFonts w:hint="eastAsia" w:ascii="宋体" w:hAnsi="宋体" w:cs="宋体"/>
          <w:color w:val="auto"/>
          <w:highlight w:val="none"/>
        </w:rPr>
        <w:t>全国公共资源交易平台（陕西省·西安市）网站〖首页〉电子交易平台〉陕西政府采购交易系统〉企业端〗（</w:t>
      </w:r>
      <w:r>
        <w:rPr>
          <w:rFonts w:ascii="宋体" w:hAnsi="宋体" w:cs="宋体"/>
          <w:color w:val="auto"/>
          <w:highlight w:val="none"/>
        </w:rPr>
        <w:t>http://sxggzyjy.xa.gov.cn/</w:t>
      </w:r>
      <w:r>
        <w:rPr>
          <w:rFonts w:hint="eastAsia" w:ascii="宋体" w:hAnsi="宋体" w:cs="宋体"/>
          <w:color w:val="auto"/>
          <w:highlight w:val="none"/>
        </w:rPr>
        <w:t>）</w:t>
      </w:r>
      <w:r>
        <w:rPr>
          <w:rFonts w:hint="eastAsia" w:ascii="宋体" w:hAnsi="宋体" w:eastAsia="宋体" w:cs="宋体"/>
          <w:color w:val="auto"/>
          <w:sz w:val="24"/>
          <w:szCs w:val="24"/>
          <w:highlight w:val="none"/>
          <w:lang w:val="en-US" w:eastAsia="zh-CN"/>
        </w:rPr>
        <w:t>获取招标文件，并于2025年8月26日9点00分（北京时间）前递交投标文件。</w:t>
      </w:r>
    </w:p>
    <w:p>
      <w:pPr>
        <w:keepNext w:val="0"/>
        <w:keepLines w:val="0"/>
        <w:pageBreakBefore w:val="0"/>
        <w:widowControl/>
        <w:kinsoku/>
        <w:wordWrap/>
        <w:overflowPunct/>
        <w:topLinePunct w:val="0"/>
        <w:autoSpaceDE/>
        <w:autoSpaceDN/>
        <w:bidi w:val="0"/>
        <w:adjustRightInd/>
        <w:spacing w:line="360" w:lineRule="auto"/>
        <w:jc w:val="both"/>
        <w:textAlignment w:val="auto"/>
        <w:rPr>
          <w:rFonts w:ascii="宋体" w:cs="宋体"/>
          <w:b/>
          <w:bCs/>
          <w:color w:val="auto"/>
          <w:highlight w:val="none"/>
        </w:rPr>
      </w:pPr>
      <w:r>
        <w:rPr>
          <w:rFonts w:hint="eastAsia" w:ascii="宋体" w:hAnsi="宋体" w:eastAsia="宋体" w:cs="宋体"/>
          <w:color w:val="auto"/>
          <w:sz w:val="24"/>
          <w:szCs w:val="24"/>
          <w:highlight w:val="none"/>
          <w:lang w:val="en-US" w:eastAsia="zh-CN"/>
        </w:rPr>
        <w:t>一、</w:t>
      </w:r>
      <w:r>
        <w:rPr>
          <w:rFonts w:hint="eastAsia" w:ascii="宋体" w:hAnsi="宋体" w:cs="宋体"/>
          <w:b/>
          <w:bCs/>
          <w:color w:val="auto"/>
          <w:highlight w:val="none"/>
        </w:rPr>
        <w:t>项目基本情况</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项目编号：CGZC-2025-076（HSGJ2025-165）</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项目名称：CB2-1-568宗地发掘土方配合</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采购方式：公开招标</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预算金额：5000000.00元</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采购需求：</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合同包1（CB2-1-568宗地发掘土方配合）</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合同包预算金额：5000000.00元</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合同包最高限价：5000000.00元</w:t>
      </w:r>
    </w:p>
    <w:tbl>
      <w:tblPr>
        <w:tblStyle w:val="31"/>
        <w:tblW w:w="5282"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796"/>
        <w:gridCol w:w="1326"/>
        <w:gridCol w:w="1906"/>
        <w:gridCol w:w="1115"/>
        <w:gridCol w:w="1482"/>
        <w:gridCol w:w="1573"/>
        <w:gridCol w:w="163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品目号</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品目名称</w:t>
            </w:r>
          </w:p>
        </w:tc>
        <w:tc>
          <w:tcPr>
            <w:tcW w:w="96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采购标的</w:t>
            </w:r>
          </w:p>
        </w:tc>
        <w:tc>
          <w:tcPr>
            <w:tcW w:w="56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数量</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（单位）</w:t>
            </w:r>
          </w:p>
        </w:tc>
        <w:tc>
          <w:tcPr>
            <w:tcW w:w="7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技术规格、参数及要求</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品目预算(元)</w:t>
            </w:r>
          </w:p>
        </w:tc>
        <w:tc>
          <w:tcPr>
            <w:tcW w:w="8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1-1</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其他服务</w:t>
            </w:r>
          </w:p>
        </w:tc>
        <w:tc>
          <w:tcPr>
            <w:tcW w:w="96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CB2-1-568宗地发掘土方配合</w:t>
            </w:r>
          </w:p>
        </w:tc>
        <w:tc>
          <w:tcPr>
            <w:tcW w:w="56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1(批)</w:t>
            </w:r>
          </w:p>
        </w:tc>
        <w:tc>
          <w:tcPr>
            <w:tcW w:w="7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详见采购</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文件</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5000000.00</w:t>
            </w:r>
          </w:p>
        </w:tc>
        <w:tc>
          <w:tcPr>
            <w:tcW w:w="8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5000000.00</w:t>
            </w:r>
          </w:p>
        </w:tc>
      </w:tr>
    </w:tbl>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本合同包不接受联合体投标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合同履行期限：自合同签订之日起三个月</w:t>
      </w:r>
      <w:r>
        <w:rPr>
          <w:rFonts w:hint="eastAsia" w:ascii="宋体" w:hAnsi="宋体" w:eastAsia="宋体" w:cs="宋体"/>
          <w:i w:val="0"/>
          <w:iCs w:val="0"/>
          <w:caps w:val="0"/>
          <w:color w:val="auto"/>
          <w:spacing w:val="0"/>
          <w:kern w:val="0"/>
          <w:sz w:val="24"/>
          <w:szCs w:val="24"/>
          <w:highlight w:val="none"/>
          <w:u w:val="none"/>
          <w:lang w:val="en-US" w:eastAsia="zh-CN" w:bidi="ar-SA"/>
        </w:rPr>
        <w:t>。</w:t>
      </w:r>
    </w:p>
    <w:p>
      <w:pPr>
        <w:spacing w:line="240" w:lineRule="auto"/>
        <w:jc w:val="both"/>
        <w:outlineLvl w:val="9"/>
        <w:rPr>
          <w:rFonts w:hint="eastAsia" w:ascii="宋体" w:hAnsi="宋体" w:eastAsia="宋体" w:cs="宋体"/>
          <w:color w:val="auto"/>
          <w:sz w:val="24"/>
          <w:szCs w:val="24"/>
          <w:highlight w:val="none"/>
          <w:lang w:val="en-US" w:eastAsia="zh-CN"/>
        </w:rPr>
      </w:pPr>
      <w:r>
        <w:rPr>
          <w:rFonts w:hint="eastAsia" w:ascii="宋体" w:hAnsi="宋体" w:cs="宋体"/>
          <w:b/>
          <w:bCs/>
          <w:color w:val="auto"/>
          <w:highlight w:val="none"/>
        </w:rPr>
        <w:t>二、申请人的资格要求</w:t>
      </w:r>
      <w:r>
        <w:rPr>
          <w:rFonts w:hint="eastAsia" w:ascii="宋体" w:hAnsi="宋体" w:cs="宋体"/>
          <w:b/>
          <w:bCs/>
          <w:color w:val="auto"/>
          <w:highlight w:val="none"/>
          <w:lang w:eastAsia="zh-CN"/>
        </w:rPr>
        <w:t>：</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1、满足《中华人民共和国政府采购法》第二十二条规定</w:t>
      </w:r>
      <w:r>
        <w:rPr>
          <w:rFonts w:hint="eastAsia" w:ascii="宋体" w:hAnsi="宋体" w:cs="宋体"/>
          <w:color w:val="auto"/>
          <w:highlight w:val="none"/>
        </w:rPr>
        <w:t>；</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2、落实政府采购政策需满足的资格要求：</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w:t>
      </w:r>
      <w:r>
        <w:rPr>
          <w:rFonts w:hint="eastAsia" w:ascii="宋体" w:hAnsi="宋体" w:eastAsia="宋体" w:cs="宋体"/>
          <w:i w:val="0"/>
          <w:iCs w:val="0"/>
          <w:caps w:val="0"/>
          <w:color w:val="auto"/>
          <w:spacing w:val="0"/>
          <w:kern w:val="0"/>
          <w:sz w:val="24"/>
          <w:szCs w:val="24"/>
          <w:highlight w:val="none"/>
          <w:u w:val="none"/>
          <w:lang w:val="en-US" w:eastAsia="zh-CN" w:bidi="ar-SA"/>
        </w:rPr>
        <w:t>CB2-1-568宗地发掘土方配合</w:t>
      </w:r>
      <w:r>
        <w:rPr>
          <w:rFonts w:hint="eastAsia" w:ascii="宋体" w:hAnsi="宋体" w:eastAsia="宋体" w:cs="宋体"/>
          <w:color w:val="auto"/>
          <w:sz w:val="24"/>
          <w:szCs w:val="24"/>
          <w:highlight w:val="none"/>
          <w:lang w:val="en-US" w:eastAsia="zh-CN"/>
        </w:rPr>
        <w:t>):</w:t>
      </w:r>
    </w:p>
    <w:p>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1)</w:t>
      </w:r>
      <w:r>
        <w:rPr>
          <w:rFonts w:hint="eastAsia" w:ascii="宋体" w:hAnsi="宋体" w:cs="宋体"/>
          <w:color w:val="auto"/>
          <w:highlight w:val="none"/>
        </w:rPr>
        <w:t>《政府采购促进中小企业发展管理办法》（财库﹝</w:t>
      </w:r>
      <w:r>
        <w:rPr>
          <w:rFonts w:ascii="宋体" w:hAnsi="宋体" w:cs="宋体"/>
          <w:color w:val="auto"/>
          <w:highlight w:val="none"/>
        </w:rPr>
        <w:t>2020</w:t>
      </w:r>
      <w:r>
        <w:rPr>
          <w:rFonts w:hint="eastAsia" w:ascii="宋体" w:hAnsi="宋体" w:cs="宋体"/>
          <w:color w:val="auto"/>
          <w:highlight w:val="none"/>
        </w:rPr>
        <w:t>﹞</w:t>
      </w:r>
      <w:r>
        <w:rPr>
          <w:rFonts w:ascii="宋体" w:hAnsi="宋体" w:cs="宋体"/>
          <w:color w:val="auto"/>
          <w:highlight w:val="none"/>
        </w:rPr>
        <w:t>46</w:t>
      </w:r>
      <w:r>
        <w:rPr>
          <w:rFonts w:hint="eastAsia" w:ascii="宋体" w:hAnsi="宋体" w:cs="宋体"/>
          <w:color w:val="auto"/>
          <w:highlight w:val="none"/>
        </w:rPr>
        <w:t>号）；</w:t>
      </w:r>
    </w:p>
    <w:p>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2)</w:t>
      </w:r>
      <w:r>
        <w:rPr>
          <w:rFonts w:hint="eastAsia" w:ascii="宋体" w:hAnsi="宋体" w:cs="宋体"/>
          <w:color w:val="auto"/>
          <w:highlight w:val="none"/>
        </w:rPr>
        <w:t>《财政部司法部关于政府采购支持监狱企业发展有关问题的通知》（财库〔</w:t>
      </w:r>
      <w:r>
        <w:rPr>
          <w:rFonts w:ascii="宋体" w:hAnsi="宋体" w:cs="宋体"/>
          <w:color w:val="auto"/>
          <w:highlight w:val="none"/>
        </w:rPr>
        <w:t>2014</w:t>
      </w:r>
      <w:r>
        <w:rPr>
          <w:rFonts w:hint="eastAsia" w:ascii="宋体" w:hAnsi="宋体" w:cs="宋体"/>
          <w:color w:val="auto"/>
          <w:highlight w:val="none"/>
        </w:rPr>
        <w:t>〕</w:t>
      </w:r>
      <w:r>
        <w:rPr>
          <w:rFonts w:ascii="宋体" w:hAnsi="宋体" w:cs="宋体"/>
          <w:color w:val="auto"/>
          <w:highlight w:val="none"/>
        </w:rPr>
        <w:t>68</w:t>
      </w:r>
      <w:r>
        <w:rPr>
          <w:rFonts w:hint="eastAsia" w:ascii="宋体" w:hAnsi="宋体" w:cs="宋体"/>
          <w:color w:val="auto"/>
          <w:highlight w:val="none"/>
        </w:rPr>
        <w:t>号）；</w:t>
      </w:r>
    </w:p>
    <w:p>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《国务院办公厅关于建立政府强制采购节能产品制度的通知》（国办发〔</w:t>
      </w:r>
      <w:r>
        <w:rPr>
          <w:rFonts w:ascii="宋体" w:hAnsi="宋体" w:cs="宋体"/>
          <w:color w:val="auto"/>
          <w:highlight w:val="none"/>
        </w:rPr>
        <w:t>2007</w:t>
      </w:r>
      <w:r>
        <w:rPr>
          <w:rFonts w:hint="eastAsia" w:ascii="宋体" w:hAnsi="宋体" w:cs="宋体"/>
          <w:color w:val="auto"/>
          <w:highlight w:val="none"/>
        </w:rPr>
        <w:t>〕</w:t>
      </w:r>
      <w:r>
        <w:rPr>
          <w:rFonts w:ascii="宋体" w:hAnsi="宋体" w:cs="宋体"/>
          <w:color w:val="auto"/>
          <w:highlight w:val="none"/>
        </w:rPr>
        <w:t>51</w:t>
      </w:r>
      <w:r>
        <w:rPr>
          <w:rFonts w:hint="eastAsia" w:ascii="宋体" w:hAnsi="宋体" w:cs="宋体"/>
          <w:color w:val="auto"/>
          <w:highlight w:val="none"/>
        </w:rPr>
        <w:t>号）；</w:t>
      </w:r>
    </w:p>
    <w:p>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《三部门联合发布关于促进残疾人就业政府采购政策的通知》（财库〔</w:t>
      </w:r>
      <w:r>
        <w:rPr>
          <w:rFonts w:ascii="宋体" w:hAnsi="宋体" w:cs="宋体"/>
          <w:color w:val="auto"/>
          <w:highlight w:val="none"/>
        </w:rPr>
        <w:t>2017</w:t>
      </w:r>
      <w:r>
        <w:rPr>
          <w:rFonts w:hint="eastAsia" w:ascii="宋体" w:hAnsi="宋体" w:cs="宋体"/>
          <w:color w:val="auto"/>
          <w:highlight w:val="none"/>
        </w:rPr>
        <w:t>〕</w:t>
      </w:r>
      <w:r>
        <w:rPr>
          <w:rFonts w:ascii="宋体" w:hAnsi="宋体" w:cs="宋体"/>
          <w:color w:val="auto"/>
          <w:highlight w:val="none"/>
        </w:rPr>
        <w:t>141</w:t>
      </w:r>
      <w:r>
        <w:rPr>
          <w:rFonts w:hint="eastAsia" w:ascii="宋体" w:hAnsi="宋体" w:cs="宋体"/>
          <w:color w:val="auto"/>
          <w:highlight w:val="none"/>
        </w:rPr>
        <w:t>号）；</w:t>
      </w:r>
    </w:p>
    <w:p>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《财政部发展改革委生态环境部市场监管总局关于调整优化节能产品、环境标志产品政府采购执行机制的通知》（财库〔</w:t>
      </w:r>
      <w:r>
        <w:rPr>
          <w:rFonts w:ascii="宋体" w:hAnsi="宋体" w:cs="宋体"/>
          <w:color w:val="auto"/>
          <w:highlight w:val="none"/>
        </w:rPr>
        <w:t>2019</w:t>
      </w:r>
      <w:r>
        <w:rPr>
          <w:rFonts w:hint="eastAsia" w:ascii="宋体" w:hAnsi="宋体" w:cs="宋体"/>
          <w:color w:val="auto"/>
          <w:highlight w:val="none"/>
        </w:rPr>
        <w:t>〕</w:t>
      </w:r>
      <w:r>
        <w:rPr>
          <w:rFonts w:ascii="宋体" w:hAnsi="宋体" w:cs="宋体"/>
          <w:color w:val="auto"/>
          <w:highlight w:val="none"/>
        </w:rPr>
        <w:t>9</w:t>
      </w:r>
      <w:r>
        <w:rPr>
          <w:rFonts w:hint="eastAsia" w:ascii="宋体" w:hAnsi="宋体" w:cs="宋体"/>
          <w:color w:val="auto"/>
          <w:highlight w:val="none"/>
        </w:rPr>
        <w:t>号）；</w:t>
      </w:r>
    </w:p>
    <w:p>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《关于运用政府采购政策支持乡村产业振兴的通知》财库〔</w:t>
      </w:r>
      <w:r>
        <w:rPr>
          <w:rFonts w:ascii="宋体" w:hAnsi="宋体" w:cs="宋体"/>
          <w:color w:val="auto"/>
          <w:highlight w:val="none"/>
        </w:rPr>
        <w:t>2021</w:t>
      </w:r>
      <w:r>
        <w:rPr>
          <w:rFonts w:hint="eastAsia" w:ascii="宋体" w:hAnsi="宋体" w:cs="宋体"/>
          <w:color w:val="auto"/>
          <w:highlight w:val="none"/>
        </w:rPr>
        <w:t>〕</w:t>
      </w:r>
      <w:r>
        <w:rPr>
          <w:rFonts w:ascii="宋体" w:hAnsi="宋体" w:cs="宋体"/>
          <w:color w:val="auto"/>
          <w:highlight w:val="none"/>
        </w:rPr>
        <w:t>19</w:t>
      </w:r>
      <w:r>
        <w:rPr>
          <w:rFonts w:hint="eastAsia" w:ascii="宋体" w:hAnsi="宋体" w:cs="宋体"/>
          <w:color w:val="auto"/>
          <w:highlight w:val="none"/>
        </w:rPr>
        <w:t>号；</w:t>
      </w:r>
    </w:p>
    <w:p>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《陕西省中小企业政府采购信用融资办法》（陕财办采〔</w:t>
      </w:r>
      <w:r>
        <w:rPr>
          <w:rFonts w:ascii="宋体" w:hAnsi="宋体" w:cs="宋体"/>
          <w:color w:val="auto"/>
          <w:highlight w:val="none"/>
        </w:rPr>
        <w:t>2018</w:t>
      </w:r>
      <w:r>
        <w:rPr>
          <w:rFonts w:hint="eastAsia" w:ascii="宋体" w:hAnsi="宋体" w:cs="宋体"/>
          <w:color w:val="auto"/>
          <w:highlight w:val="none"/>
        </w:rPr>
        <w:t>〕</w:t>
      </w:r>
      <w:r>
        <w:rPr>
          <w:rFonts w:ascii="宋体" w:hAnsi="宋体" w:cs="宋体"/>
          <w:color w:val="auto"/>
          <w:highlight w:val="none"/>
        </w:rPr>
        <w:t>23</w:t>
      </w:r>
      <w:r>
        <w:rPr>
          <w:rFonts w:hint="eastAsia" w:ascii="宋体" w:hAnsi="宋体" w:cs="宋体"/>
          <w:color w:val="auto"/>
          <w:highlight w:val="none"/>
        </w:rPr>
        <w:t>号）；</w:t>
      </w:r>
    </w:p>
    <w:p>
      <w:pPr>
        <w:spacing w:line="240" w:lineRule="auto"/>
        <w:ind w:firstLine="480" w:firstLineChars="200"/>
        <w:jc w:val="both"/>
        <w:rPr>
          <w:rFonts w:hint="eastAsia" w:ascii="宋体" w:hAnsi="宋体" w:cs="宋体"/>
          <w:color w:val="auto"/>
          <w:highlight w:val="none"/>
        </w:rPr>
      </w:pPr>
      <w:r>
        <w:rPr>
          <w:rFonts w:hint="eastAsia" w:ascii="宋体" w:hAnsi="宋体" w:cs="宋体"/>
          <w:color w:val="auto"/>
          <w:highlight w:val="none"/>
          <w:lang w:val="en-US" w:eastAsia="zh-CN"/>
        </w:rPr>
        <w:t>8)</w:t>
      </w:r>
      <w:r>
        <w:rPr>
          <w:rFonts w:hint="eastAsia" w:ascii="宋体" w:hAnsi="宋体" w:cs="宋体"/>
          <w:color w:val="auto"/>
          <w:highlight w:val="none"/>
        </w:rPr>
        <w:t>《财政部</w:t>
      </w:r>
      <w:r>
        <w:rPr>
          <w:rFonts w:ascii="宋体" w:hAnsi="宋体" w:cs="宋体"/>
          <w:color w:val="auto"/>
          <w:highlight w:val="none"/>
        </w:rPr>
        <w:t xml:space="preserve"> </w:t>
      </w:r>
      <w:r>
        <w:rPr>
          <w:rFonts w:hint="eastAsia" w:ascii="宋体" w:hAnsi="宋体" w:cs="宋体"/>
          <w:color w:val="auto"/>
          <w:highlight w:val="none"/>
        </w:rPr>
        <w:t>农业</w:t>
      </w:r>
      <w:r>
        <w:rPr>
          <w:rFonts w:hint="eastAsia" w:ascii="宋体" w:hAnsi="宋体" w:cs="宋体"/>
          <w:color w:val="auto"/>
          <w:highlight w:val="none"/>
          <w:lang w:eastAsia="zh-CN"/>
        </w:rPr>
        <w:t>农村</w:t>
      </w:r>
      <w:r>
        <w:rPr>
          <w:rFonts w:hint="eastAsia" w:ascii="宋体" w:hAnsi="宋体" w:cs="宋体"/>
          <w:color w:val="auto"/>
          <w:highlight w:val="none"/>
        </w:rPr>
        <w:t>部</w:t>
      </w:r>
      <w:r>
        <w:rPr>
          <w:rFonts w:ascii="宋体" w:hAnsi="宋体" w:cs="宋体"/>
          <w:color w:val="auto"/>
          <w:highlight w:val="none"/>
        </w:rPr>
        <w:t xml:space="preserve"> </w:t>
      </w:r>
      <w:r>
        <w:rPr>
          <w:rFonts w:hint="eastAsia" w:ascii="宋体" w:hAnsi="宋体" w:cs="宋体"/>
          <w:color w:val="auto"/>
          <w:highlight w:val="none"/>
        </w:rPr>
        <w:t>国家乡村振兴局</w:t>
      </w:r>
      <w:r>
        <w:rPr>
          <w:rFonts w:ascii="宋体" w:hAnsi="宋体" w:cs="宋体"/>
          <w:color w:val="auto"/>
          <w:highlight w:val="none"/>
        </w:rPr>
        <w:t xml:space="preserve"> </w:t>
      </w:r>
      <w:r>
        <w:rPr>
          <w:rFonts w:hint="eastAsia" w:ascii="宋体" w:hAnsi="宋体" w:cs="宋体"/>
          <w:color w:val="auto"/>
          <w:highlight w:val="none"/>
        </w:rPr>
        <w:t>中华全国供销合作总社关于印发</w:t>
      </w:r>
      <w:r>
        <w:rPr>
          <w:rFonts w:ascii="宋体" w:hAnsi="宋体" w:cs="宋体"/>
          <w:color w:val="auto"/>
          <w:highlight w:val="none"/>
        </w:rPr>
        <w:t>&lt;</w:t>
      </w:r>
      <w:r>
        <w:rPr>
          <w:rFonts w:hint="eastAsia" w:ascii="宋体" w:hAnsi="宋体" w:cs="宋体"/>
          <w:color w:val="auto"/>
          <w:highlight w:val="none"/>
        </w:rPr>
        <w:t>关于深入开展政府采购脱贫地区农副产品工作推进乡村产业振兴的实施意见</w:t>
      </w:r>
      <w:r>
        <w:rPr>
          <w:rFonts w:ascii="宋体" w:hAnsi="宋体" w:cs="宋体"/>
          <w:color w:val="auto"/>
          <w:highlight w:val="none"/>
        </w:rPr>
        <w:t>&gt;</w:t>
      </w:r>
      <w:r>
        <w:rPr>
          <w:rFonts w:hint="eastAsia" w:ascii="宋体" w:hAnsi="宋体" w:cs="宋体"/>
          <w:color w:val="auto"/>
          <w:highlight w:val="none"/>
        </w:rPr>
        <w:t>的通知》（财库〔</w:t>
      </w:r>
      <w:r>
        <w:rPr>
          <w:rFonts w:ascii="宋体" w:hAnsi="宋体" w:cs="宋体"/>
          <w:color w:val="auto"/>
          <w:highlight w:val="none"/>
        </w:rPr>
        <w:t>2021</w:t>
      </w:r>
      <w:r>
        <w:rPr>
          <w:rFonts w:hint="eastAsia" w:ascii="宋体" w:hAnsi="宋体" w:cs="宋体"/>
          <w:color w:val="auto"/>
          <w:highlight w:val="none"/>
        </w:rPr>
        <w:t>〕</w:t>
      </w:r>
      <w:r>
        <w:rPr>
          <w:rFonts w:ascii="宋体" w:hAnsi="宋体" w:cs="宋体"/>
          <w:color w:val="auto"/>
          <w:highlight w:val="none"/>
        </w:rPr>
        <w:t xml:space="preserve">20 </w:t>
      </w:r>
      <w:r>
        <w:rPr>
          <w:rFonts w:hint="eastAsia" w:ascii="宋体" w:hAnsi="宋体" w:cs="宋体"/>
          <w:color w:val="auto"/>
          <w:highlight w:val="none"/>
        </w:rPr>
        <w:t>号）；</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9)如有最新颁布的政府采购政策，按最新的文件执行。</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w:t>
      </w:r>
      <w:r>
        <w:rPr>
          <w:rFonts w:hint="eastAsia" w:ascii="宋体" w:hAnsi="宋体" w:eastAsia="宋体" w:cs="宋体"/>
          <w:i w:val="0"/>
          <w:iCs w:val="0"/>
          <w:caps w:val="0"/>
          <w:color w:val="auto"/>
          <w:spacing w:val="0"/>
          <w:kern w:val="0"/>
          <w:sz w:val="24"/>
          <w:szCs w:val="24"/>
          <w:highlight w:val="none"/>
          <w:u w:val="none"/>
          <w:lang w:val="en-US" w:eastAsia="zh-CN" w:bidi="ar-SA"/>
        </w:rPr>
        <w:t>CB2-1-568宗地发掘土方配合</w:t>
      </w:r>
      <w:r>
        <w:rPr>
          <w:rFonts w:hint="eastAsia" w:ascii="宋体" w:hAnsi="宋体" w:eastAsia="宋体" w:cs="宋体"/>
          <w:color w:val="auto"/>
          <w:sz w:val="24"/>
          <w:szCs w:val="24"/>
          <w:highlight w:val="none"/>
          <w:lang w:val="en-US" w:eastAsia="zh-CN"/>
        </w:rPr>
        <w:t>)特定资格要求如下: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1）有效的主体资格证明：提供合格有效的法人或者其他组织的营业执照等证明文件或自然人的身份证明；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2）基本资格条件：符合《中华人民共和国政府采购法》第二十二条的规定；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3）供应商应授权合法的人员参加投标全过程，其中法定代表人直接参加投标的，须出具法定代表人身份证明，并与营业执照上信息一致。法定代表人授权代表参加投标的，须出具法定代表人授权书及授权代表身份证明</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，授权代表须提供近六个月中任一个月缴纳社保证明复印件并加盖单位公章</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4）中小企业声明函：本项目专门面向中小微企业采购，须符合《政府采购促进中小企业发展管理办法》（财库〔2020〕46号）规定的中小微企业参加，符合要求的监狱企业或残疾人福利单位视同小微企业，并按要求提供声明函；</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default"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5）单位负责人为同一人或者存在直接控股、管理关系的不同供应商，不得参加同一合同项下的政府采购活动。</w:t>
      </w:r>
    </w:p>
    <w:p>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三、获取采购文件</w:t>
      </w:r>
    </w:p>
    <w:p>
      <w:pPr>
        <w:spacing w:line="240" w:lineRule="auto"/>
        <w:ind w:firstLine="480" w:firstLineChars="200"/>
        <w:jc w:val="both"/>
        <w:rPr>
          <w:rFonts w:ascii="宋体" w:cs="宋体"/>
          <w:color w:val="auto"/>
          <w:highlight w:val="none"/>
        </w:rPr>
      </w:pPr>
      <w:r>
        <w:rPr>
          <w:rFonts w:hint="eastAsia" w:ascii="宋体" w:hAnsi="宋体" w:eastAsia="宋体" w:cs="宋体"/>
          <w:color w:val="auto"/>
          <w:sz w:val="24"/>
          <w:szCs w:val="24"/>
          <w:highlight w:val="none"/>
          <w:lang w:val="en-US" w:eastAsia="zh-CN"/>
        </w:rPr>
        <w:t>时间：2025年8月4日至2025年8月8日，</w:t>
      </w:r>
      <w:r>
        <w:rPr>
          <w:rFonts w:hint="eastAsia" w:ascii="宋体" w:hAnsi="宋体" w:cs="宋体"/>
          <w:color w:val="auto"/>
          <w:highlight w:val="none"/>
        </w:rPr>
        <w:t>每天上午 00:00:00 至 12:00:00 ，下午12:00:00至23:59:59（北京时间）</w:t>
      </w:r>
    </w:p>
    <w:p>
      <w:pPr>
        <w:spacing w:line="240" w:lineRule="auto"/>
        <w:ind w:firstLine="480" w:firstLineChars="200"/>
        <w:jc w:val="both"/>
        <w:rPr>
          <w:rFonts w:ascii="宋体" w:hAnsi="宋体" w:eastAsia="宋体" w:cs="宋体"/>
          <w:color w:val="auto"/>
          <w:highlight w:val="none"/>
        </w:rPr>
      </w:pPr>
      <w:r>
        <w:rPr>
          <w:rFonts w:hint="eastAsia" w:ascii="宋体" w:hAnsi="宋体" w:eastAsia="宋体" w:cs="宋体"/>
          <w:color w:val="auto"/>
          <w:sz w:val="24"/>
          <w:szCs w:val="24"/>
          <w:highlight w:val="none"/>
          <w:lang w:val="en-US" w:eastAsia="zh-CN"/>
        </w:rPr>
        <w:t>途径：</w:t>
      </w:r>
      <w:r>
        <w:rPr>
          <w:rFonts w:hint="eastAsia" w:ascii="宋体" w:hAnsi="宋体" w:cs="宋体"/>
          <w:color w:val="auto"/>
          <w:highlight w:val="none"/>
        </w:rPr>
        <w:t>全国公共资源交易平台（陕西省·西安市）网站〖首页〉电子交易平台〉陕西政府采购交易系统〉企业端〗（</w:t>
      </w:r>
      <w:r>
        <w:rPr>
          <w:rFonts w:ascii="宋体" w:hAnsi="宋体" w:cs="宋体"/>
          <w:color w:val="auto"/>
          <w:highlight w:val="none"/>
        </w:rPr>
        <w:t>http://sxggzyjy.xa.gov.cn/</w:t>
      </w:r>
      <w:r>
        <w:rPr>
          <w:rFonts w:hint="eastAsia" w:ascii="宋体" w:hAnsi="宋体" w:cs="宋体"/>
          <w:color w:val="auto"/>
          <w:highlight w:val="none"/>
        </w:rPr>
        <w:t>）</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方式：在线获取</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售价：0元</w:t>
      </w:r>
    </w:p>
    <w:p>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四、提交投标文件截止时间、开标时间和地点</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时间：2025年8月26</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日</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09</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时</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00</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分00秒</w:t>
      </w:r>
      <w:r>
        <w:rPr>
          <w:rFonts w:hint="eastAsia" w:ascii="宋体" w:hAnsi="宋体" w:eastAsia="宋体" w:cs="宋体"/>
          <w:color w:val="auto"/>
          <w:sz w:val="24"/>
          <w:szCs w:val="24"/>
          <w:highlight w:val="none"/>
          <w:lang w:val="en-US" w:eastAsia="zh-CN"/>
        </w:rPr>
        <w:t>（北京时间）</w:t>
      </w:r>
    </w:p>
    <w:p>
      <w:pPr>
        <w:spacing w:line="24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提交投标文件地点：从西安市公共资源交易中心首页【首页·&gt;电子交易平台·&gt;陕西省政府采购系统·&gt;企业端】登录，登录后切换到【我的项目】模块，依次点选【项目流程·&gt;项目管理·&gt;上传投标文件】上传加密后的电子投标文件。</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cs="宋体"/>
          <w:color w:val="auto"/>
          <w:highlight w:val="none"/>
        </w:rPr>
      </w:pPr>
      <w:r>
        <w:rPr>
          <w:rFonts w:hint="eastAsia" w:ascii="宋体" w:hAnsi="宋体" w:cs="宋体"/>
          <w:color w:val="auto"/>
          <w:highlight w:val="none"/>
        </w:rPr>
        <w:t>开标地点：全国公共资源交易平台（陕西省.西安市）.不见面开标大厅。</w:t>
      </w:r>
    </w:p>
    <w:p>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五、公告期限</w:t>
      </w:r>
    </w:p>
    <w:p>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自本公告发布之日起5个工作日。</w:t>
      </w:r>
    </w:p>
    <w:p>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六、其他补充事宜</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w:t>
      </w:r>
      <w:bookmarkStart w:id="15" w:name="OLE_LINK5"/>
      <w:r>
        <w:rPr>
          <w:rFonts w:hint="eastAsia" w:ascii="宋体" w:hAnsi="宋体" w:eastAsia="宋体" w:cs="宋体"/>
          <w:i w:val="0"/>
          <w:iCs w:val="0"/>
          <w:caps w:val="0"/>
          <w:color w:val="auto"/>
          <w:spacing w:val="0"/>
          <w:kern w:val="0"/>
          <w:sz w:val="24"/>
          <w:szCs w:val="24"/>
          <w:highlight w:val="none"/>
          <w:u w:val="none"/>
          <w:lang w:val="en-US" w:eastAsia="zh-CN" w:bidi="ar-SA"/>
        </w:rPr>
        <w:t>陕西省政府采购网】、【全国公共资源交易平台（陕西省·西安市）】</w:t>
      </w:r>
      <w:bookmarkEnd w:id="15"/>
      <w:r>
        <w:rPr>
          <w:rFonts w:hint="eastAsia" w:ascii="宋体" w:hAnsi="宋体" w:eastAsia="宋体" w:cs="宋体"/>
          <w:i w:val="0"/>
          <w:iCs w:val="0"/>
          <w:caps w:val="0"/>
          <w:color w:val="auto"/>
          <w:spacing w:val="0"/>
          <w:kern w:val="0"/>
          <w:sz w:val="24"/>
          <w:szCs w:val="24"/>
          <w:highlight w:val="none"/>
          <w:u w:val="none"/>
          <w:lang w:val="en-US" w:eastAsia="zh-CN" w:bidi="ar-SA"/>
        </w:rPr>
        <w:t>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8.最高单价限价：最高综合控制单价为800元/㎡。</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9.其他事项见本项目招标文件。</w:t>
      </w:r>
    </w:p>
    <w:p>
      <w:pPr>
        <w:pStyle w:val="22"/>
        <w:keepNext w:val="0"/>
        <w:keepLines w:val="0"/>
        <w:pageBreakBefore w:val="0"/>
        <w:widowControl/>
        <w:kinsoku/>
        <w:wordWrap/>
        <w:overflowPunct/>
        <w:topLinePunct w:val="0"/>
        <w:autoSpaceDE/>
        <w:autoSpaceDN/>
        <w:bidi w:val="0"/>
        <w:adjustRightInd/>
        <w:spacing w:line="360" w:lineRule="auto"/>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七、对本次招标提出询问，请按以下方式联系。</w:t>
      </w:r>
      <w:r>
        <w:rPr>
          <w:rFonts w:hint="eastAsia" w:ascii="宋体" w:hAnsi="宋体" w:eastAsia="宋体" w:cs="宋体"/>
          <w:color w:val="auto"/>
          <w:sz w:val="24"/>
          <w:szCs w:val="24"/>
          <w:highlight w:val="none"/>
          <w:lang w:val="en-US" w:eastAsia="zh-CN" w:bidi="ar-SA"/>
        </w:rPr>
        <w:t xml:space="preserve"> </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1、采购人信息</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名  称：西安浐灞国际港自然资源和规划局</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地  址：西安市浐灞国际港港务大道6号</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联系方式：陈翔  029-83332319</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2、采购代理机构信息</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名  称：华晟国际项目管理有限公司</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地  址：西安市高新路88号尚品国际B幢25层</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联系方式：029-81779899</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3、项目联系方式</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项目联系人：曹美奇、杨阳</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SA"/>
        </w:rPr>
        <w:t>电 话：029-81779899-8013</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jc w:val="righ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华晟国际项目管理有限公司</w:t>
      </w:r>
    </w:p>
    <w:p>
      <w:pPr>
        <w:pStyle w:val="22"/>
        <w:keepNext w:val="0"/>
        <w:keepLines w:val="0"/>
        <w:pageBreakBefore w:val="0"/>
        <w:widowControl/>
        <w:kinsoku/>
        <w:wordWrap/>
        <w:overflowPunct/>
        <w:topLinePunct w:val="0"/>
        <w:autoSpaceDE/>
        <w:autoSpaceDN/>
        <w:bidi w:val="0"/>
        <w:adjustRightInd/>
        <w:spacing w:line="360" w:lineRule="auto"/>
        <w:ind w:firstLine="480" w:firstLineChars="200"/>
        <w:jc w:val="right"/>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lang w:val="en-US" w:eastAsia="zh-CN" w:bidi="ar-SA"/>
        </w:rPr>
        <w:t>2025年8月1日</w:t>
      </w:r>
    </w:p>
    <w:p>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pPr>
        <w:pStyle w:val="2"/>
        <w:tabs>
          <w:tab w:val="left" w:pos="4631"/>
        </w:tabs>
        <w:ind w:right="113"/>
        <w:jc w:val="center"/>
        <w:rPr>
          <w:rFonts w:hint="eastAsia" w:ascii="宋体" w:hAnsi="宋体" w:eastAsia="宋体" w:cs="宋体"/>
          <w:b/>
          <w:bCs/>
          <w:color w:val="auto"/>
          <w:sz w:val="32"/>
          <w:szCs w:val="32"/>
          <w:highlight w:val="none"/>
          <w:lang w:eastAsia="zh-CN"/>
        </w:rPr>
      </w:pPr>
      <w:bookmarkStart w:id="16" w:name="_Toc6230"/>
      <w:bookmarkStart w:id="17" w:name="_Toc3870"/>
      <w:bookmarkStart w:id="18" w:name="_Toc31718"/>
      <w:r>
        <w:rPr>
          <w:rFonts w:hint="eastAsia" w:ascii="宋体" w:hAnsi="宋体" w:eastAsia="宋体" w:cs="宋体"/>
          <w:b/>
          <w:bCs/>
          <w:color w:val="auto"/>
          <w:sz w:val="32"/>
          <w:szCs w:val="32"/>
          <w:highlight w:val="none"/>
          <w:lang w:eastAsia="zh-CN"/>
        </w:rPr>
        <w:t>第二章  供应商须知</w:t>
      </w:r>
      <w:bookmarkEnd w:id="16"/>
      <w:bookmarkEnd w:id="17"/>
      <w:bookmarkEnd w:id="18"/>
    </w:p>
    <w:p>
      <w:pPr>
        <w:spacing w:line="24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〖前附表〗</w:t>
      </w:r>
    </w:p>
    <w:tbl>
      <w:tblPr>
        <w:tblStyle w:val="32"/>
        <w:tblW w:w="4992"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7"/>
        <w:gridCol w:w="1287"/>
        <w:gridCol w:w="75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697"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4062"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tcBorders>
              <w:top w:val="single" w:color="auto" w:sz="2" w:space="0"/>
            </w:tcBorders>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697" w:type="pct"/>
            <w:tcBorders>
              <w:top w:val="single" w:color="auto" w:sz="2" w:space="0"/>
            </w:tcBorders>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4062" w:type="pct"/>
            <w:tcBorders>
              <w:top w:val="single" w:color="auto" w:sz="2" w:space="0"/>
            </w:tcBorders>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CB2-1-568宗地发掘土方配合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4062"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CGZC-2025-076（HSGJ2025-165）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预算执行书编号</w:t>
            </w:r>
          </w:p>
        </w:tc>
        <w:tc>
          <w:tcPr>
            <w:tcW w:w="4062" w:type="pc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YS-西安市港务区-2025-00143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restar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是否预留份额专门面向中小企业采购</w:t>
            </w:r>
          </w:p>
        </w:tc>
        <w:tc>
          <w:tcPr>
            <w:tcW w:w="4062" w:type="pct"/>
            <w:shd w:val="clear" w:color="auto" w:fill="auto"/>
            <w:vAlign w:val="center"/>
          </w:tcPr>
          <w:p>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2139916130"/>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MS Gothic" w:hAnsi="MS Gothic"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2072024220"/>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MS Gothic" w:hAnsi="MS Gothic"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0" w:hRule="atLeast"/>
          <w:jc w:val="center"/>
        </w:trPr>
        <w:tc>
          <w:tcPr>
            <w:tcW w:w="240" w:type="pct"/>
            <w:vMerge w:val="continue"/>
            <w:shd w:val="clear" w:color="auto" w:fill="auto"/>
            <w:vAlign w:val="center"/>
          </w:tcPr>
          <w:p>
            <w:pPr>
              <w:jc w:val="center"/>
              <w:rPr>
                <w:rFonts w:hint="eastAsia" w:ascii="宋体" w:hAnsi="宋体" w:eastAsia="宋体" w:cs="宋体"/>
                <w:color w:val="auto"/>
                <w:sz w:val="24"/>
                <w:szCs w:val="24"/>
                <w:highlight w:val="none"/>
                <w:lang w:val="en-US" w:eastAsia="zh-CN"/>
              </w:rPr>
            </w:pPr>
          </w:p>
        </w:tc>
        <w:tc>
          <w:tcPr>
            <w:tcW w:w="697" w:type="pct"/>
            <w:vMerge w:val="restart"/>
            <w:shd w:val="clear" w:color="auto" w:fill="auto"/>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支持中小企业发展</w:t>
            </w:r>
          </w:p>
        </w:tc>
        <w:tc>
          <w:tcPr>
            <w:tcW w:w="4062" w:type="pct"/>
            <w:shd w:val="clear" w:color="auto" w:fill="auto"/>
            <w:vAlign w:val="center"/>
          </w:tcPr>
          <w:p>
            <w:pPr>
              <w:spacing w:line="360" w:lineRule="auto"/>
              <w:ind w:firstLine="480" w:firstLineChars="200"/>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政府采购促进中小企业发展管理办法》（财库〔2020〕46号）、《关于进一步加大政府采购支持中小企业力度的通知》财库〔2022〕19号文件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0%（工程项目3%~5%）的扣除，用扣除后的价格参加评审。同时，依据该办法第四条第二款规定在货物采购项目中，供应商提供的货物既有中小企业制造货物，也有大型企业制造货物的，不享受中小企业扶持政策。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0" w:type="pct"/>
            <w:vMerge w:val="continue"/>
            <w:shd w:val="clear" w:color="auto" w:fill="auto"/>
            <w:vAlign w:val="center"/>
          </w:tcPr>
          <w:p>
            <w:pPr>
              <w:jc w:val="center"/>
              <w:rPr>
                <w:rFonts w:hint="eastAsia" w:ascii="宋体" w:hAnsi="宋体" w:eastAsia="宋体" w:cs="宋体"/>
                <w:color w:val="auto"/>
                <w:sz w:val="24"/>
                <w:szCs w:val="24"/>
                <w:highlight w:val="none"/>
                <w:lang w:val="en-US" w:eastAsia="zh-CN"/>
              </w:rPr>
            </w:pPr>
          </w:p>
        </w:tc>
        <w:tc>
          <w:tcPr>
            <w:tcW w:w="697" w:type="pct"/>
            <w:vMerge w:val="continue"/>
            <w:shd w:val="clear" w:color="auto" w:fill="auto"/>
            <w:vAlign w:val="center"/>
          </w:tcPr>
          <w:p>
            <w:pPr>
              <w:jc w:val="center"/>
              <w:rPr>
                <w:rFonts w:hint="eastAsia" w:ascii="宋体" w:hAnsi="宋体" w:eastAsia="宋体" w:cs="宋体"/>
                <w:color w:val="auto"/>
                <w:sz w:val="24"/>
                <w:szCs w:val="24"/>
                <w:highlight w:val="none"/>
                <w:lang w:eastAsia="zh-CN"/>
              </w:rPr>
            </w:pPr>
          </w:p>
        </w:tc>
        <w:tc>
          <w:tcPr>
            <w:tcW w:w="4062" w:type="pct"/>
            <w:shd w:val="clear" w:color="auto" w:fill="auto"/>
            <w:vAlign w:val="center"/>
          </w:tcPr>
          <w:p>
            <w:pPr>
              <w:spacing w:line="360" w:lineRule="auto"/>
              <w:jc w:val="both"/>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本项目专门面向中小企业采购，本项目所属行业为</w:t>
            </w:r>
            <w:r>
              <w:rPr>
                <w:rFonts w:hint="eastAsia" w:ascii="宋体" w:hAnsi="宋体" w:eastAsia="宋体" w:cs="宋体"/>
                <w:b/>
                <w:bCs/>
                <w:color w:val="auto"/>
                <w:sz w:val="24"/>
                <w:szCs w:val="24"/>
                <w:highlight w:val="none"/>
                <w:lang w:val="en-US" w:eastAsia="zh-CN"/>
              </w:rPr>
              <w:t>其他未列明行业</w:t>
            </w:r>
            <w:r>
              <w:rPr>
                <w:rFonts w:hint="eastAsia" w:ascii="宋体" w:hAnsi="宋体" w:eastAsia="宋体" w:cs="宋体"/>
                <w:b/>
                <w:bCs/>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支持监狱企业发展</w:t>
            </w:r>
          </w:p>
        </w:tc>
        <w:tc>
          <w:tcPr>
            <w:tcW w:w="4062" w:type="pct"/>
            <w:shd w:val="clear" w:color="auto" w:fill="auto"/>
            <w:vAlign w:val="center"/>
          </w:tcPr>
          <w:p>
            <w:pP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根据财政部、司法部联合下发的《关于政府采购支持监狱企业发展有关问题的通知》（财库〔2014〕68号）的规定，监狱企业视同小型、微型企业。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510" w:hRule="atLeast"/>
          <w:jc w:val="center"/>
        </w:trPr>
        <w:tc>
          <w:tcPr>
            <w:tcW w:w="240" w:type="pct"/>
            <w:vMerge w:val="continue"/>
            <w:shd w:val="clear" w:color="auto" w:fill="auto"/>
            <w:vAlign w:val="center"/>
          </w:tcPr>
          <w:p>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其他法律法规强制性规定的</w:t>
            </w:r>
          </w:p>
        </w:tc>
        <w:tc>
          <w:tcPr>
            <w:tcW w:w="4062" w:type="pct"/>
            <w:shd w:val="clear" w:color="auto" w:fill="auto"/>
            <w:vAlign w:val="center"/>
          </w:tcPr>
          <w:p>
            <w:pP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其他政策</w:t>
            </w:r>
          </w:p>
        </w:tc>
        <w:tc>
          <w:tcPr>
            <w:tcW w:w="4062" w:type="pct"/>
            <w:shd w:val="clear" w:color="auto" w:fill="auto"/>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参加政府采购活动的中小企业、监狱企业、残疾人福利性单位应根据企业性质分别提供《中小企业声明函》\《监狱企业证明函》\《残疾</w:t>
            </w:r>
            <w:r>
              <w:rPr>
                <w:rFonts w:hint="eastAsia" w:ascii="宋体" w:hAnsi="宋体" w:eastAsia="宋体" w:cs="宋体"/>
                <w:color w:val="auto"/>
                <w:sz w:val="24"/>
                <w:szCs w:val="24"/>
                <w:highlight w:val="none"/>
              </w:rPr>
              <w:t>人福利性单位声明函》。未提供上述声明函\证明函的，不能享受招标文件规定</w:t>
            </w:r>
            <w:r>
              <w:rPr>
                <w:rFonts w:hint="eastAsia" w:ascii="宋体" w:hAnsi="宋体" w:eastAsia="宋体" w:cs="宋体"/>
                <w:color w:val="auto"/>
                <w:sz w:val="24"/>
                <w:szCs w:val="24"/>
                <w:highlight w:val="none"/>
                <w:lang w:eastAsia="zh-CN"/>
              </w:rPr>
              <w:t>政策。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697" w:type="pct"/>
            <w:shd w:val="clear" w:color="auto" w:fill="auto"/>
            <w:vAlign w:val="center"/>
          </w:tcPr>
          <w:p>
            <w:pPr>
              <w:spacing w:line="36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项目预算</w:t>
            </w:r>
          </w:p>
        </w:tc>
        <w:tc>
          <w:tcPr>
            <w:tcW w:w="4062" w:type="pct"/>
            <w:shd w:val="clear" w:color="auto" w:fill="auto"/>
            <w:vAlign w:val="center"/>
          </w:tcPr>
          <w:p>
            <w:pPr>
              <w:jc w:val="both"/>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eastAsia="zh-CN"/>
              </w:rPr>
              <w:t>合同包</w:t>
            </w:r>
            <w:r>
              <w:rPr>
                <w:rFonts w:hint="eastAsia" w:ascii="宋体" w:hAnsi="宋体" w:eastAsia="宋体" w:cs="宋体"/>
                <w:color w:val="auto"/>
                <w:sz w:val="24"/>
                <w:szCs w:val="24"/>
                <w:highlight w:val="none"/>
                <w:lang w:eastAsia="zh-CN"/>
              </w:rPr>
              <w:t>项目预算：</w:t>
            </w:r>
            <w:r>
              <w:rPr>
                <w:rFonts w:hint="eastAsia" w:ascii="宋体" w:hAnsi="宋体" w:eastAsia="宋体" w:cs="宋体"/>
                <w:color w:val="auto"/>
                <w:sz w:val="24"/>
                <w:szCs w:val="24"/>
                <w:highlight w:val="none"/>
                <w:lang w:val="en-US" w:eastAsia="zh-CN"/>
              </w:rPr>
              <w:t>5000000.00</w:t>
            </w:r>
            <w:r>
              <w:rPr>
                <w:rFonts w:hint="eastAsia" w:ascii="宋体" w:hAnsi="宋体" w:eastAsia="宋体" w:cs="宋体"/>
                <w:color w:val="auto"/>
                <w:sz w:val="24"/>
                <w:szCs w:val="24"/>
                <w:highlight w:val="none"/>
                <w:lang w:eastAsia="zh-CN"/>
              </w:rPr>
              <w:t>元；</w:t>
            </w:r>
          </w:p>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超过项目预算的投标报价为无效投标</w:t>
            </w:r>
            <w:r>
              <w:rPr>
                <w:rFonts w:hint="eastAsia" w:ascii="宋体" w:hAnsi="宋体" w:eastAsia="宋体" w:cs="宋体"/>
                <w:color w:val="auto"/>
                <w:sz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697" w:type="pct"/>
            <w:shd w:val="clear" w:color="auto" w:fill="auto"/>
            <w:vAlign w:val="center"/>
          </w:tcPr>
          <w:p>
            <w:pPr>
              <w:spacing w:line="420" w:lineRule="exac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最高限价</w:t>
            </w:r>
          </w:p>
        </w:tc>
        <w:tc>
          <w:tcPr>
            <w:tcW w:w="4062" w:type="pct"/>
            <w:shd w:val="clear" w:color="auto" w:fill="auto"/>
            <w:vAlign w:val="center"/>
          </w:tcPr>
          <w:p>
            <w:pPr>
              <w:rPr>
                <w:rFonts w:hint="eastAsia" w:ascii="宋体" w:hAnsi="宋体" w:eastAsia="宋体" w:cs="宋体"/>
                <w:color w:val="auto"/>
                <w:sz w:val="24"/>
                <w:szCs w:val="24"/>
                <w:highlight w:val="none"/>
                <w:lang w:eastAsia="zh-CN"/>
              </w:rPr>
            </w:pPr>
            <w:r>
              <w:rPr>
                <w:rFonts w:ascii="宋体" w:hAnsi="宋体" w:eastAsia="宋体" w:cs="宋体"/>
                <w:sz w:val="24"/>
                <w:szCs w:val="24"/>
                <w:highlight w:val="none"/>
              </w:rPr>
              <w:t>最高单价限价：最高综合控制单价为800元/㎡。 人工土方配合费计算公式=每平方米单价*深度系数*发掘面积(深度系数、发掘面积依据发掘技术单位的技术决算)。 本项目采取单价报价制，</w:t>
            </w:r>
            <w:r>
              <w:rPr>
                <w:rFonts w:hint="eastAsia" w:ascii="宋体" w:hAnsi="宋体" w:eastAsia="宋体" w:cs="宋体"/>
                <w:sz w:val="24"/>
                <w:szCs w:val="24"/>
                <w:highlight w:val="none"/>
                <w:lang w:val="en-US" w:eastAsia="zh-CN"/>
              </w:rPr>
              <w:t>供应商</w:t>
            </w:r>
            <w:r>
              <w:rPr>
                <w:rFonts w:ascii="宋体" w:hAnsi="宋体" w:eastAsia="宋体" w:cs="宋体"/>
                <w:sz w:val="24"/>
                <w:szCs w:val="24"/>
                <w:highlight w:val="none"/>
              </w:rPr>
              <w:t>报价超出最高单价限价，作为不实质性响应</w:t>
            </w:r>
            <w:r>
              <w:rPr>
                <w:rFonts w:hint="eastAsia" w:ascii="宋体" w:hAnsi="宋体" w:eastAsia="宋体" w:cs="宋体"/>
                <w:sz w:val="24"/>
                <w:szCs w:val="24"/>
                <w:highlight w:val="none"/>
                <w:lang w:val="en-US" w:eastAsia="zh-CN"/>
              </w:rPr>
              <w:t>投标</w:t>
            </w:r>
            <w:r>
              <w:rPr>
                <w:rFonts w:ascii="宋体" w:hAnsi="宋体" w:eastAsia="宋体" w:cs="宋体"/>
                <w:sz w:val="24"/>
                <w:szCs w:val="24"/>
                <w:highlight w:val="none"/>
              </w:rPr>
              <w:t>文件，按无效</w:t>
            </w:r>
            <w:r>
              <w:rPr>
                <w:rFonts w:hint="eastAsia" w:ascii="宋体" w:hAnsi="宋体" w:eastAsia="宋体" w:cs="宋体"/>
                <w:sz w:val="24"/>
                <w:szCs w:val="24"/>
                <w:highlight w:val="none"/>
              </w:rPr>
              <w:t>投标</w:t>
            </w:r>
            <w:r>
              <w:rPr>
                <w:rFonts w:ascii="宋体" w:hAnsi="宋体" w:eastAsia="宋体" w:cs="宋体"/>
                <w:sz w:val="24"/>
                <w:szCs w:val="24"/>
                <w:highlight w:val="none"/>
              </w:rPr>
              <w:t>处理。</w:t>
            </w:r>
          </w:p>
          <w:p>
            <w:pPr>
              <w:pStyle w:val="27"/>
              <w:spacing w:before="0" w:beforeAutospacing="0" w:after="0" w:afterAutospacing="0" w:line="420" w:lineRule="exact"/>
              <w:rPr>
                <w:rFonts w:hint="eastAsia" w:ascii="宋体" w:hAnsi="宋体" w:eastAsia="宋体" w:cs="宋体"/>
                <w:color w:val="auto"/>
                <w:sz w:val="24"/>
                <w:szCs w:val="24"/>
                <w:highlight w:val="none"/>
                <w:lang w:eastAsia="zh-CN"/>
              </w:rPr>
            </w:pPr>
            <w:r>
              <w:rPr>
                <w:rFonts w:hint="eastAsia"/>
                <w:color w:val="auto"/>
                <w:kern w:val="2"/>
                <w:sz w:val="24"/>
                <w:szCs w:val="24"/>
                <w:highlight w:val="none"/>
              </w:rPr>
              <w:t>（投标单位所报</w:t>
            </w:r>
            <w:r>
              <w:rPr>
                <w:rFonts w:hint="eastAsia"/>
                <w:color w:val="auto"/>
                <w:kern w:val="2"/>
                <w:sz w:val="24"/>
                <w:szCs w:val="24"/>
                <w:highlight w:val="none"/>
                <w:lang w:val="en-US" w:eastAsia="zh-CN"/>
              </w:rPr>
              <w:t>投标综合单价</w:t>
            </w:r>
            <w:r>
              <w:rPr>
                <w:rFonts w:hint="eastAsia"/>
                <w:color w:val="auto"/>
                <w:kern w:val="2"/>
                <w:sz w:val="24"/>
                <w:szCs w:val="24"/>
                <w:highlight w:val="none"/>
              </w:rPr>
              <w:t>不得超出最高限价，否则视为无效报价）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697" w:type="pct"/>
            <w:shd w:val="clear" w:color="auto" w:fill="auto"/>
            <w:vAlign w:val="center"/>
          </w:tcPr>
          <w:p>
            <w:pPr>
              <w:pStyle w:val="19"/>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hAnsi="宋体" w:eastAsia="宋体" w:cs="宋体"/>
                <w:color w:val="auto"/>
                <w:sz w:val="24"/>
                <w:szCs w:val="24"/>
                <w:highlight w:val="none"/>
                <w:lang w:val="en-US" w:eastAsia="zh-CN"/>
              </w:rPr>
              <w:t>服务期</w:t>
            </w:r>
          </w:p>
        </w:tc>
        <w:tc>
          <w:tcPr>
            <w:tcW w:w="4062" w:type="pct"/>
            <w:shd w:val="clear" w:color="auto" w:fill="auto"/>
            <w:vAlign w:val="center"/>
          </w:tcPr>
          <w:p>
            <w:pPr>
              <w:pStyle w:val="19"/>
              <w:spacing w:line="360" w:lineRule="auto"/>
              <w:jc w:val="left"/>
              <w:rPr>
                <w:rFonts w:hint="default"/>
                <w:color w:val="auto"/>
                <w:kern w:val="2"/>
                <w:sz w:val="24"/>
                <w:szCs w:val="24"/>
                <w:highlight w:val="none"/>
                <w:lang w:val="en-US"/>
              </w:rPr>
            </w:pPr>
            <w:r>
              <w:rPr>
                <w:rFonts w:hint="default"/>
                <w:color w:val="auto"/>
                <w:kern w:val="2"/>
                <w:sz w:val="24"/>
                <w:szCs w:val="24"/>
                <w:highlight w:val="none"/>
                <w:lang w:val="en-US"/>
              </w:rPr>
              <w:t>自合同签订之日起三个月。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697" w:type="pct"/>
            <w:shd w:val="clear" w:color="auto" w:fill="auto"/>
            <w:vAlign w:val="center"/>
          </w:tcPr>
          <w:p>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lang w:eastAsia="zh-CN"/>
              </w:rPr>
              <w:t>服务地点</w:t>
            </w:r>
          </w:p>
        </w:tc>
        <w:tc>
          <w:tcPr>
            <w:tcW w:w="4062" w:type="pct"/>
            <w:shd w:val="clear" w:color="auto" w:fill="auto"/>
            <w:vAlign w:val="center"/>
          </w:tcPr>
          <w:p>
            <w:pPr>
              <w:spacing w:line="360" w:lineRule="auto"/>
              <w:jc w:val="left"/>
              <w:rPr>
                <w:rFonts w:hint="eastAsia"/>
                <w:color w:val="auto"/>
                <w:kern w:val="2"/>
                <w:sz w:val="24"/>
                <w:szCs w:val="24"/>
                <w:highlight w:val="none"/>
              </w:rPr>
            </w:pPr>
            <w:r>
              <w:rPr>
                <w:rFonts w:hint="eastAsia" w:ascii="宋体" w:hAnsi="宋体" w:eastAsia="宋体" w:cs="宋体"/>
                <w:color w:val="auto"/>
                <w:sz w:val="24"/>
                <w:highlight w:val="none"/>
                <w:lang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9</w:t>
            </w:r>
          </w:p>
        </w:tc>
        <w:tc>
          <w:tcPr>
            <w:tcW w:w="697" w:type="pct"/>
            <w:shd w:val="clear" w:color="auto" w:fill="auto"/>
            <w:vAlign w:val="center"/>
          </w:tcPr>
          <w:p>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lang w:eastAsia="zh-CN"/>
              </w:rPr>
              <w:t>服务质量标准</w:t>
            </w:r>
          </w:p>
        </w:tc>
        <w:tc>
          <w:tcPr>
            <w:tcW w:w="4062" w:type="pct"/>
            <w:shd w:val="clear" w:color="auto" w:fill="auto"/>
            <w:vAlign w:val="center"/>
          </w:tcPr>
          <w:p>
            <w:pPr>
              <w:spacing w:line="360" w:lineRule="auto"/>
              <w:jc w:val="left"/>
              <w:rPr>
                <w:rFonts w:hint="eastAsia"/>
                <w:color w:val="auto"/>
                <w:kern w:val="2"/>
                <w:sz w:val="24"/>
                <w:szCs w:val="24"/>
                <w:highlight w:val="none"/>
              </w:rPr>
            </w:pPr>
            <w:r>
              <w:rPr>
                <w:rFonts w:hint="eastAsia"/>
                <w:color w:val="auto"/>
                <w:kern w:val="2"/>
                <w:sz w:val="24"/>
                <w:szCs w:val="24"/>
                <w:highlight w:val="none"/>
              </w:rPr>
              <w:t>符合现行的国家标准或国家行政部门颁布的法律法规、规章制度。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97" w:type="pct"/>
            <w:shd w:val="clear" w:color="auto" w:fill="auto"/>
            <w:vAlign w:val="center"/>
          </w:tcPr>
          <w:p>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rPr>
              <w:t>付款方式</w:t>
            </w:r>
          </w:p>
        </w:tc>
        <w:tc>
          <w:tcPr>
            <w:tcW w:w="4062"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eastAsiaTheme="minorEastAsia"/>
                <w:color w:val="auto"/>
                <w:kern w:val="2"/>
                <w:sz w:val="24"/>
                <w:szCs w:val="24"/>
                <w:highlight w:val="none"/>
                <w:lang w:eastAsia="zh-CN"/>
              </w:rPr>
            </w:pPr>
            <w:r>
              <w:rPr>
                <w:rFonts w:hint="eastAsia" w:eastAsiaTheme="minorEastAsia"/>
                <w:color w:val="auto"/>
                <w:kern w:val="2"/>
                <w:sz w:val="24"/>
                <w:szCs w:val="24"/>
                <w:highlight w:val="none"/>
                <w:lang w:eastAsia="zh-CN"/>
              </w:rPr>
              <w:t>完成考古发掘工作，通过甲方验收，乙方须协助甲方在15日历日内取得考古发 掘报告后，甲方30日历日内一次性支付该结算价款。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w:t>
            </w:r>
          </w:p>
        </w:tc>
        <w:tc>
          <w:tcPr>
            <w:tcW w:w="697" w:type="pct"/>
            <w:shd w:val="clear" w:color="auto" w:fill="auto"/>
            <w:vAlign w:val="center"/>
          </w:tcPr>
          <w:p>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rPr>
              <w:t>合同价款</w:t>
            </w:r>
          </w:p>
        </w:tc>
        <w:tc>
          <w:tcPr>
            <w:tcW w:w="4062" w:type="pct"/>
            <w:shd w:val="clear" w:color="auto" w:fill="auto"/>
            <w:vAlign w:val="center"/>
          </w:tcPr>
          <w:p>
            <w:pPr>
              <w:spacing w:line="360" w:lineRule="auto"/>
              <w:jc w:val="left"/>
              <w:rPr>
                <w:rFonts w:hint="eastAsia" w:eastAsiaTheme="minorEastAsia"/>
                <w:color w:val="auto"/>
                <w:kern w:val="2"/>
                <w:sz w:val="24"/>
                <w:szCs w:val="24"/>
                <w:highlight w:val="none"/>
                <w:lang w:eastAsia="zh-CN"/>
              </w:rPr>
            </w:pPr>
            <w:r>
              <w:rPr>
                <w:rFonts w:hint="eastAsia" w:ascii="宋体" w:hAnsi="宋体" w:eastAsia="宋体" w:cs="宋体"/>
                <w:color w:val="auto"/>
                <w:sz w:val="24"/>
                <w:highlight w:val="none"/>
                <w:lang w:eastAsia="zh-CN"/>
              </w:rPr>
              <w:t>针对本项目发生的所有价款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w:t>
            </w:r>
          </w:p>
        </w:tc>
        <w:tc>
          <w:tcPr>
            <w:tcW w:w="4062" w:type="pct"/>
            <w:shd w:val="clear" w:color="auto" w:fill="auto"/>
            <w:vAlign w:val="center"/>
          </w:tcPr>
          <w:p>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是否允许进口产品</w:t>
            </w:r>
          </w:p>
        </w:tc>
        <w:tc>
          <w:tcPr>
            <w:tcW w:w="4062" w:type="pct"/>
            <w:shd w:val="clear" w:color="auto" w:fill="auto"/>
            <w:vAlign w:val="center"/>
          </w:tcPr>
          <w:p>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是否允许大中企业向小微企业分包</w:t>
            </w:r>
          </w:p>
        </w:tc>
        <w:tc>
          <w:tcPr>
            <w:tcW w:w="4062" w:type="pct"/>
            <w:shd w:val="clear" w:color="auto" w:fill="auto"/>
            <w:vAlign w:val="center"/>
          </w:tcPr>
          <w:p>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36572508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54473539"/>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4062" w:type="pct"/>
            <w:shd w:val="clear" w:color="auto" w:fill="auto"/>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4062" w:type="pct"/>
            <w:shd w:val="clear" w:color="auto" w:fill="auto"/>
            <w:vAlign w:val="center"/>
          </w:tcPr>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供应商应在领取中标通知书后5个工作日内将履约保证金足额交纳至以下账户，其数额（或担保金额）为合同金额的</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%，履约保证金由采购代理机构代收和退还\采购人自行收取和退还。</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名：_____________________________</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账</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号：_____________________________</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开户行：_____________________________</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业务咨询电话：_______________________</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本项目无</w:t>
            </w:r>
            <w:r>
              <w:rPr>
                <w:rFonts w:hint="eastAsia" w:ascii="宋体" w:hAnsi="宋体" w:eastAsia="宋体" w:cs="宋体"/>
                <w:color w:val="auto"/>
                <w:sz w:val="24"/>
                <w:szCs w:val="24"/>
                <w:highlight w:val="none"/>
              </w:rPr>
              <w:t>履约保证金</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投标文件份数</w:t>
            </w:r>
          </w:p>
        </w:tc>
        <w:tc>
          <w:tcPr>
            <w:tcW w:w="4062" w:type="pct"/>
            <w:shd w:val="clear" w:color="auto" w:fill="auto"/>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投标供应商无需提供；</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中标供应商在领取中标通知书时</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正本壹份、副本贰份，电子版壹份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现场踏勘和集中答疑</w:t>
            </w:r>
          </w:p>
        </w:tc>
        <w:tc>
          <w:tcPr>
            <w:tcW w:w="4062" w:type="pct"/>
            <w:shd w:val="clear" w:color="auto" w:fill="auto"/>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不统一组织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政府采购信息发布媒体</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（采购公告、采购结果公告、变更公告）</w:t>
            </w:r>
          </w:p>
        </w:tc>
        <w:tc>
          <w:tcPr>
            <w:tcW w:w="4062" w:type="pct"/>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1．陕西省政府采购网：仅提供项目公告，官网地址：http://ccgp-shaanxi.gov.cn/。</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2．全国公共资源交易平台（陕西省·西安市）：即西安市公共资源交易平台，提供项目公告和采购文件下载。</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询问和质疑</w:t>
            </w:r>
          </w:p>
        </w:tc>
        <w:tc>
          <w:tcPr>
            <w:tcW w:w="4062" w:type="pct"/>
            <w:shd w:val="clear" w:color="auto" w:fill="auto"/>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招标公告</w:t>
            </w:r>
            <w:r>
              <w:rPr>
                <w:rFonts w:hint="eastAsia" w:ascii="宋体" w:hAnsi="宋体" w:eastAsia="宋体" w:cs="宋体"/>
                <w:color w:val="auto"/>
                <w:sz w:val="24"/>
                <w:szCs w:val="24"/>
                <w:highlight w:val="none"/>
              </w:rPr>
              <w:t>中的“联系方式”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投诉受理</w:t>
            </w:r>
          </w:p>
        </w:tc>
        <w:tc>
          <w:tcPr>
            <w:tcW w:w="4062" w:type="pct"/>
            <w:shd w:val="clear" w:color="auto" w:fill="auto"/>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1．受理单位：西安浐灞</w:t>
            </w:r>
            <w:r>
              <w:rPr>
                <w:rFonts w:hint="eastAsia" w:ascii="宋体" w:hAnsi="宋体" w:eastAsia="宋体" w:cs="宋体"/>
                <w:color w:val="auto"/>
                <w:sz w:val="24"/>
                <w:szCs w:val="24"/>
                <w:highlight w:val="none"/>
                <w:lang w:eastAsia="zh-CN"/>
              </w:rPr>
              <w:t>国际港</w:t>
            </w:r>
            <w:r>
              <w:rPr>
                <w:rFonts w:hint="eastAsia" w:ascii="宋体" w:hAnsi="宋体" w:eastAsia="宋体" w:cs="宋体"/>
                <w:color w:val="auto"/>
                <w:sz w:val="24"/>
                <w:szCs w:val="24"/>
                <w:highlight w:val="none"/>
              </w:rPr>
              <w:t>财政金融局</w:t>
            </w:r>
          </w:p>
          <w:p>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2．联系电话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029-</w:t>
            </w:r>
            <w:r>
              <w:rPr>
                <w:rFonts w:hint="eastAsia" w:ascii="宋体" w:hAnsi="宋体" w:eastAsia="宋体" w:cs="宋体"/>
                <w:color w:val="auto"/>
                <w:sz w:val="24"/>
                <w:szCs w:val="24"/>
                <w:highlight w:val="none"/>
                <w:lang w:val="en-US" w:eastAsia="zh-CN"/>
              </w:rPr>
              <w:t>83521198</w:t>
            </w:r>
          </w:p>
          <w:p>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3．地址：西安浐灞</w:t>
            </w:r>
            <w:r>
              <w:rPr>
                <w:rFonts w:hint="eastAsia" w:ascii="宋体" w:hAnsi="宋体" w:eastAsia="宋体" w:cs="宋体"/>
                <w:color w:val="auto"/>
                <w:sz w:val="24"/>
                <w:szCs w:val="24"/>
                <w:highlight w:val="none"/>
                <w:lang w:val="en-US" w:eastAsia="zh-CN"/>
              </w:rPr>
              <w:t>国际港港务大道6号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信用信息查询截至时点</w:t>
            </w:r>
          </w:p>
        </w:tc>
        <w:tc>
          <w:tcPr>
            <w:tcW w:w="4062" w:type="pct"/>
            <w:shd w:val="clear" w:color="auto" w:fill="auto"/>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同提交投标文件截止时间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开标形式</w:t>
            </w:r>
          </w:p>
        </w:tc>
        <w:tc>
          <w:tcPr>
            <w:tcW w:w="4062" w:type="pct"/>
            <w:shd w:val="clear" w:color="auto" w:fill="auto"/>
            <w:vAlign w:val="center"/>
          </w:tcPr>
          <w:p>
            <w:pPr>
              <w:jc w:val="both"/>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077786224"/>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不见面开标  </w:t>
            </w:r>
            <w:sdt>
              <w:sdtPr>
                <w:rPr>
                  <w:rFonts w:hint="eastAsia" w:ascii="宋体" w:hAnsi="宋体" w:eastAsia="宋体" w:cs="宋体"/>
                  <w:color w:val="auto"/>
                  <w:sz w:val="24"/>
                  <w:szCs w:val="24"/>
                  <w:highlight w:val="none"/>
                </w:rPr>
                <w:id w:val="155357503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见面开标</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详见本章“开标程序”有关内容。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是否允许递交多个备选投标方案</w:t>
            </w:r>
          </w:p>
        </w:tc>
        <w:tc>
          <w:tcPr>
            <w:tcW w:w="4062" w:type="pct"/>
            <w:shd w:val="clear" w:color="auto" w:fill="auto"/>
            <w:vAlign w:val="center"/>
          </w:tcPr>
          <w:p>
            <w:pPr>
              <w:jc w:val="both"/>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608857843"/>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618331253"/>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w:t>
            </w:r>
          </w:p>
        </w:tc>
        <w:tc>
          <w:tcPr>
            <w:tcW w:w="4062" w:type="pct"/>
            <w:shd w:val="clear" w:color="auto" w:fill="auto"/>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1．领取地点：西安市高新路88号尚品国际B幢25层</w:t>
            </w:r>
          </w:p>
          <w:p>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2．联系电话：</w:t>
            </w:r>
            <w:r>
              <w:rPr>
                <w:rFonts w:hint="eastAsia" w:ascii="宋体" w:hAnsi="宋体" w:eastAsia="宋体" w:cs="宋体"/>
                <w:color w:val="auto"/>
                <w:sz w:val="24"/>
                <w:szCs w:val="24"/>
                <w:highlight w:val="none"/>
                <w:lang w:eastAsia="zh-CN"/>
              </w:rPr>
              <w:t>029-81779899转80</w:t>
            </w:r>
            <w:r>
              <w:rPr>
                <w:rFonts w:hint="eastAsia" w:ascii="宋体" w:hAnsi="宋体" w:eastAsia="宋体" w:cs="宋体"/>
                <w:color w:val="auto"/>
                <w:sz w:val="24"/>
                <w:szCs w:val="24"/>
                <w:highlight w:val="none"/>
                <w:lang w:val="en-US" w:eastAsia="zh-CN"/>
              </w:rPr>
              <w:t>13</w:t>
            </w:r>
          </w:p>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697" w:type="pct"/>
            <w:shd w:val="clear" w:color="auto" w:fill="auto"/>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中标服务费</w:t>
            </w:r>
          </w:p>
        </w:tc>
        <w:tc>
          <w:tcPr>
            <w:tcW w:w="4062" w:type="pct"/>
            <w:shd w:val="clear" w:color="auto" w:fill="auto"/>
            <w:vAlign w:val="center"/>
          </w:tcPr>
          <w:p>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中标单位应向采购代理机构交纳招标代理服务费。招标代理服务费收取按照国家计委颁布的《招标代理服务收费管理暂行办法》（计价格[2002]1980号）和（发改办价格[2003]857号）按服务收费标准计取。此服务费应计入投标报价中，但不需要单独开列。</w:t>
            </w:r>
          </w:p>
          <w:p>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 w:val="24"/>
                <w:highlight w:val="none"/>
              </w:rPr>
              <w:t>代理服务费账户：</w:t>
            </w:r>
          </w:p>
          <w:p>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收款单位：华晟国际项目管理有限公司</w:t>
            </w:r>
          </w:p>
          <w:p>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开户行名称：建设银行西安劳动路支行</w:t>
            </w:r>
          </w:p>
          <w:p>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账    号：610501 740015 00000 427</w:t>
            </w:r>
          </w:p>
          <w:p>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转账事由：CGZC-2025-076（HSGJ2025-165）中标服务费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西安市公共资源交易中心电子化政府采购系统技术支持（软件开发商）</w:t>
            </w:r>
          </w:p>
        </w:tc>
        <w:tc>
          <w:tcPr>
            <w:tcW w:w="4062" w:type="pct"/>
            <w:shd w:val="clear" w:color="auto" w:fill="auto"/>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国泰新点软件股份有限公司</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1．技术支持热线：400-998-0000/400-928-0095</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2．驻场技术人员：029-86510166/86510167转80310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697" w:type="pct"/>
            <w:shd w:val="clear" w:color="auto" w:fill="auto"/>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CA业务网点</w:t>
            </w:r>
          </w:p>
        </w:tc>
        <w:tc>
          <w:tcPr>
            <w:tcW w:w="4062" w:type="pct"/>
            <w:shd w:val="clear" w:color="auto" w:fill="auto"/>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陕西省数字证书认证中心股份有限公司</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网点1：西安市高新三路信息港大厦1楼客服中心</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客服电话：4006-369-888</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网点2：西安市长安北路14号省体育公寓B座一楼</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咨询电话：029-88661241</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网点3：西安市文景北路16号白桦林国际B座2楼11#窗口</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咨询电话：029-86510073转80211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697" w:type="pct"/>
            <w:shd w:val="clear" w:color="auto" w:fill="auto"/>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政府采购</w:t>
            </w:r>
            <w:r>
              <w:rPr>
                <w:rFonts w:hint="eastAsia" w:ascii="宋体" w:hAnsi="宋体" w:eastAsia="宋体" w:cs="宋体"/>
                <w:color w:val="auto"/>
                <w:sz w:val="24"/>
                <w:szCs w:val="24"/>
                <w:highlight w:val="none"/>
                <w:lang w:eastAsia="zh-CN"/>
              </w:rPr>
              <w:t>信用担保及信用融资政策</w:t>
            </w:r>
          </w:p>
        </w:tc>
        <w:tc>
          <w:tcPr>
            <w:tcW w:w="4062" w:type="pct"/>
            <w:shd w:val="clear" w:color="auto" w:fill="auto"/>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西安市政府采购信用担保及信用融资政策</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tc>
      </w:tr>
    </w:tbl>
    <w:p>
      <w:pPr>
        <w:jc w:val="both"/>
        <w:rPr>
          <w:rFonts w:hint="eastAsia" w:ascii="宋体" w:hAnsi="宋体" w:eastAsia="宋体" w:cs="宋体"/>
          <w:color w:val="auto"/>
          <w:sz w:val="32"/>
          <w:szCs w:val="32"/>
          <w:highlight w:val="none"/>
        </w:rPr>
      </w:pPr>
      <w:r>
        <w:rPr>
          <w:rFonts w:hint="eastAsia" w:ascii="宋体" w:hAnsi="宋体" w:eastAsia="宋体" w:cs="宋体"/>
          <w:color w:val="auto"/>
          <w:sz w:val="24"/>
          <w:szCs w:val="24"/>
          <w:highlight w:val="none"/>
        </w:rPr>
        <w:br w:type="page"/>
      </w:r>
    </w:p>
    <w:p>
      <w:pPr>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一、有关定义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w:t>
      </w:r>
      <w:r>
        <w:rPr>
          <w:rFonts w:hint="eastAsia" w:ascii="宋体" w:hAnsi="宋体" w:eastAsia="宋体" w:cs="宋体"/>
          <w:color w:val="auto"/>
          <w:sz w:val="24"/>
          <w:szCs w:val="24"/>
          <w:highlight w:val="none"/>
          <w:lang w:eastAsia="zh-CN"/>
        </w:rPr>
        <w:t>西安浐灞国际港自然资源和规划局</w:t>
      </w:r>
      <w:r>
        <w:rPr>
          <w:rFonts w:hint="eastAsia" w:ascii="宋体" w:hAnsi="宋体" w:eastAsia="宋体" w:cs="宋体"/>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2．供应商：指向采购人提供货物、工程或者服务的法人、其他组织或者自然人。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3．同级政府采购监管部门：西安浐灞</w:t>
      </w:r>
      <w:r>
        <w:rPr>
          <w:rFonts w:hint="eastAsia" w:ascii="宋体" w:hAnsi="宋体" w:eastAsia="宋体" w:cs="宋体"/>
          <w:color w:val="auto"/>
          <w:sz w:val="24"/>
          <w:szCs w:val="24"/>
          <w:highlight w:val="none"/>
          <w:lang w:val="en-US" w:eastAsia="zh-CN"/>
        </w:rPr>
        <w:t>国际港</w:t>
      </w:r>
      <w:r>
        <w:rPr>
          <w:rFonts w:hint="eastAsia" w:ascii="宋体" w:hAnsi="宋体" w:eastAsia="宋体" w:cs="宋体"/>
          <w:color w:val="auto"/>
          <w:sz w:val="24"/>
          <w:szCs w:val="24"/>
          <w:highlight w:val="none"/>
        </w:rPr>
        <w:t>财政金融局。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4．西安市公共资源交易平台：即【全国公共资源交易平台（陕西省·西安市）】的简称，官网地址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5．企业端：指西安市公共资源交易平台〖首页·〉电子交易平台·〉陕西政府采购交易系统·〉企业端〗，快捷登录网址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"http://www.sxggzyjy.cn:9002/TPBidder/memberLogin"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http://www.sxggzyjy.cn:9002/TPBidder/memberLogin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pPr>
        <w:pStyle w:val="107"/>
        <w:spacing w:before="210" w:after="210"/>
        <w:ind w:firstLine="64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二、供应商注意事项</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（一）供应商投标流程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使用电子交易系统的采购项目（即线上项目），将同时提供WORD\PDF格式（仅用于预览）和SXSZF格式（用于制作电子投标文件）两个版本，文件内容一致。</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1．预览采购文件：打开西安市公共资源交易平台〖首页·〉交易大厅·〉政府采购〗栏目，下载和阅读本项目采购文件的预览版本（WORD\PDF格式）；</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2．办理注册登记（针对初次使用电子交易系统的用户）：</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（1）办理诚信入库注册：在决定参加本项目采购活动后，供应商应先在西安市公共资源交易平台上完成“诚信入库登记”；</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widowControl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办理须知：</w:t>
      </w:r>
    </w:p>
    <w:p>
      <w:pPr>
        <w:widowControl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"http://www.snca.com.cn/channel/show/27.html"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www.snca.com.cn/channel/show/27.html</w:t>
      </w:r>
      <w:r>
        <w:rPr>
          <w:rStyle w:val="42"/>
          <w:rFonts w:hint="eastAsia" w:ascii="宋体" w:hAnsi="宋体" w:eastAsia="宋体" w:cs="宋体"/>
          <w:color w:val="auto"/>
          <w:sz w:val="24"/>
          <w:szCs w:val="24"/>
          <w:highlight w:val="none"/>
          <w:u w:val="none"/>
        </w:rPr>
        <w:fldChar w:fldCharType="end"/>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（3）绑定和激活CA：将数字证书与诚信库中的供应商账户进行绑定。</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4．制作电子投标文件：需要使用专用制作软件“新点投 标文件制作软件（陕西公共资源）”进行编制，编制完成后使用CA锁对电子投标文件进行签章、加密。详见本章中的“投标文件”相关内容。</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5．提交电子投标文件：在提交投标文件截止时间前及时提交加密后电子投标文件，逾期提交的，系统将会拒收；</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6．在线参加开标大会：开标当日，供应商法定代表人或其授权代表需提前登录“不见面开 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7．等待专家评审：评审期间，可能需要对评审专家提出的问题进行澄清或答复。在主持人宣布评审结束前，供应商请勿擅自离席，否则由此造成的不利后果，由供应商自行承担。</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8．中标供应商注册：按照陕西省政府采购监管部门的要求，采购代理机构在发布中标公告前，应由中标供应商在陕西省政府采购网上完成注册。</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（二）关于询问、质疑和投诉</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1．询问</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供应商对政府采购活动事项有疑问的，可以向采购人或采购代理机构提出询问。采购人或采购代理机构将在3个工作日内对供应商依法提出的询问作出答复。</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2．质疑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（1）供应商认为采购文件、采购过程、成交结果使自己的权益受到损害的，可以在知道或应知其权益受到损害之日起7个工作日内以书面形式向采购人、采购代理机构提出。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（2）质疑方式：</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在线质疑：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登录西安市公共资源交易平台〖首页·〉电子交易平台·〉企业端〗，在〖我的项目〗中点击“项目流程·〉提出质疑”，填写表单并提交质疑。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书面质疑：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书面质疑函应按照财政部国库司制定的《政府采购供应商质疑函范本》（见下方链接）进行填写，签字、盖章后提交至采购人、采购代理机构。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质疑函范本地址：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"http://download.ccgp.gov.cn/2018/zhiyihanfanben.zip"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http://download.ccgp.gov.cn/2018/zhiyihanfanben.zip</w:t>
      </w:r>
      <w:r>
        <w:rPr>
          <w:rStyle w:val="42"/>
          <w:rFonts w:hint="eastAsia" w:ascii="宋体" w:hAnsi="宋体" w:eastAsia="宋体" w:cs="宋体"/>
          <w:color w:val="auto"/>
          <w:sz w:val="24"/>
          <w:szCs w:val="24"/>
          <w:highlight w:val="none"/>
          <w:u w:val="none"/>
        </w:rPr>
        <w:fldChar w:fldCharType="end"/>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（5）有下列情形之一的，属于无效质疑：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对采购文件提出质疑的质疑人不是依法获取采购文件的潜在供应商；对采购过程、中标结果提出质疑的质疑人不是参与本次政府采购项目的供应商；</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超过法定期限或未以书面形式提出的；</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缺乏必要的证明材料，或捏造事实、提供虚假材料，或以非法手段取得证明材料的；</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质疑函没有合法有效的签字、盖章或委托授权书的（代理人提出质疑和投诉，应当提交供应商签署的授权委托书）；</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针对同一采购程序环节又提出其他质疑事项的，或质疑答复后就同一事项再次提出质疑的；</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不符合法律、法规、规章和政府采购监管机构规定的其他条件的。</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3．投诉</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color w:val="auto"/>
          <w:sz w:val="24"/>
          <w:szCs w:val="24"/>
          <w:highlight w:val="none"/>
          <w:lang w:val="en-US" w:eastAsia="zh-CN"/>
        </w:rPr>
        <w:t>西安</w:t>
      </w:r>
      <w:r>
        <w:rPr>
          <w:rFonts w:hint="eastAsia" w:ascii="宋体" w:hAnsi="宋体" w:eastAsia="宋体" w:cs="宋体"/>
          <w:color w:val="auto"/>
          <w:sz w:val="24"/>
          <w:highlight w:val="none"/>
          <w:lang w:eastAsia="zh-CN"/>
        </w:rPr>
        <w:t>浐灞国际港财政金融局</w:t>
      </w:r>
      <w:r>
        <w:rPr>
          <w:rFonts w:hint="eastAsia" w:ascii="宋体" w:hAnsi="宋体" w:eastAsia="宋体" w:cs="宋体"/>
          <w:color w:val="auto"/>
          <w:sz w:val="24"/>
          <w:szCs w:val="24"/>
          <w:highlight w:val="none"/>
        </w:rPr>
        <w:t>提出投诉。</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（2）供应商投诉的事项不得超出已质疑事项的范围。供应商提出投诉时，应当提交投诉书和必要的证明材料，并按财政部《投诉书范本》给定的格式进行填写。</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投诉书范本地址：</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"http://download.ccgp.gov.cn/2018/tousushufanben.zip"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rPr>
        <w:t>http://download.ccgp.gov.cn/2018/tousushufanben.zip</w:t>
      </w:r>
      <w:r>
        <w:rPr>
          <w:rStyle w:val="42"/>
          <w:rFonts w:hint="eastAsia" w:ascii="宋体" w:hAnsi="宋体" w:eastAsia="宋体" w:cs="宋体"/>
          <w:color w:val="auto"/>
          <w:sz w:val="24"/>
          <w:szCs w:val="24"/>
          <w:highlight w:val="none"/>
        </w:rPr>
        <w:fldChar w:fldCharType="end"/>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4．恶意质疑、投诉的法律后果</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（1）对捏造事实、提供虚假材料进行质疑、投诉的行为予以严肃处理：</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（2）对捏造事实诬告陷害他人、诽谤他人的法律适用：</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《中华人民共和国刑法》第246条【侮辱罪、诽谤罪】以暴力或者其他方法公然侮辱他人或者捏造事实诽谤他人，情节严重的，处三年以下有期徒刑、拘役、管制或者剥夺政治权利。</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（三）关于保证金</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1．西安市政府采购信用担保及信用融资政策</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《实施方案》链接地址：</w:t>
      </w:r>
    </w:p>
    <w:p>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"http://xaczj.xa.gov.cn/zfcg/cgfg/5db90552fd850863a9e4594d.html" </w:instrText>
      </w:r>
      <w:r>
        <w:rPr>
          <w:rFonts w:hint="eastAsia" w:ascii="宋体" w:hAnsi="宋体" w:eastAsia="宋体" w:cs="宋体"/>
          <w:color w:val="auto"/>
          <w:highlight w:val="none"/>
        </w:rPr>
        <w:fldChar w:fldCharType="separate"/>
      </w:r>
      <w:r>
        <w:rPr>
          <w:rStyle w:val="42"/>
          <w:rFonts w:hint="eastAsia" w:ascii="宋体" w:hAnsi="宋体" w:eastAsia="宋体" w:cs="宋体"/>
          <w:color w:val="auto"/>
          <w:highlight w:val="none"/>
        </w:rPr>
        <w:t>http://xaczj.xa.gov.cn/zfcg/cgfg/5db90552fd850863a9e4594d.html</w:t>
      </w:r>
      <w:r>
        <w:rPr>
          <w:rStyle w:val="42"/>
          <w:rFonts w:hint="eastAsia" w:ascii="宋体" w:hAnsi="宋体" w:eastAsia="宋体" w:cs="宋体"/>
          <w:color w:val="auto"/>
          <w:highlight w:val="none"/>
        </w:rPr>
        <w:fldChar w:fldCharType="end"/>
      </w:r>
    </w:p>
    <w:p>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《合作机构名单》链接地址：</w:t>
      </w:r>
    </w:p>
    <w:p>
      <w:pPr>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"http://xaczj.xa.gov.cn/zfcg/cgfg/5db9054565cbd804f69e97e0.html" </w:instrText>
      </w:r>
      <w:r>
        <w:rPr>
          <w:rFonts w:hint="eastAsia" w:ascii="宋体" w:hAnsi="宋体" w:eastAsia="宋体" w:cs="宋体"/>
          <w:color w:val="auto"/>
          <w:highlight w:val="none"/>
        </w:rPr>
        <w:fldChar w:fldCharType="separate"/>
      </w:r>
      <w:r>
        <w:rPr>
          <w:rStyle w:val="42"/>
          <w:rFonts w:hint="eastAsia" w:ascii="宋体" w:hAnsi="宋体" w:eastAsia="宋体" w:cs="宋体"/>
          <w:color w:val="auto"/>
          <w:highlight w:val="none"/>
        </w:rPr>
        <w:t>http://xaczj.xa.gov.cn/zfcg/cgfg/5db9054565cbd804f69e97e0.html</w:t>
      </w:r>
      <w:r>
        <w:rPr>
          <w:rStyle w:val="42"/>
          <w:rFonts w:hint="eastAsia" w:ascii="宋体" w:hAnsi="宋体" w:eastAsia="宋体" w:cs="宋体"/>
          <w:color w:val="auto"/>
          <w:highlight w:val="none"/>
        </w:rPr>
        <w:fldChar w:fldCharType="end"/>
      </w:r>
    </w:p>
    <w:p>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color w:val="auto"/>
          <w:sz w:val="24"/>
          <w:szCs w:val="24"/>
          <w:highlight w:val="none"/>
          <w:lang w:eastAsia="zh-CN"/>
        </w:rPr>
        <w:t>。</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2．投标保证金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按照西安市财政局《关于促进政府采购公平竞争优化营商环境的通知》第三条规定，供应商参与西安市政府采购活动时，免交投标保证金。</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3．履约保证金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（1）交纳履约保证金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（2）采用履约保函形式时应注意以下事项：</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履约保函的受益人为采购人，供应商未能按合同规定履行其义务时，采购人有权从履约保证金中取得补偿。</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担保金额不少于《投标邀请函》中规定的履约保证金交纳金额；</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（3）退还履约保证金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（四）关于联合体</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政府采购促进中小企业发展管理办法》（财库〔2020〕46号）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30%以上的，对联合体或者大中型企业的报价给予</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%（工程项目为1%~2%）的扣除，用扣除后的价格参加评审。</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4．供应商以联合体形式参加政府采购活动时，遵循以下规则：</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采用资格前审的项目，联合体应当在提交资格前审申请文件前组成。资格前审后联合体不得增减、更换成员。</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资格审查阶段，采购人将对所有联合体成员进行信用记录查询，联合体成员存在不良信用记录的，视同联合体存在不良信用记录。</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招标文件要求供应商交纳保证金的，可以由联合体中的一方或者多方共同交纳保证金，其交纳的保证金对联合体各方均具有约束力。</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招标文件要求供应商提供履约人员和设备情况的，联合体各方均应提供，以说明其作为独立供应商所具有的能有效执行合同的能力和资源。</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 招标文件要求供应商提供同类或类似项目业绩的，联合体各方符合招标文件要求的同类或类似业绩可以累计，但联合体一方或多方共同参与的同一业绩不重复计算。</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⑨ 对采购项目提出投诉时，应当由组成联合体的所有供应商共同提出。</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（5）联合体出现下列情形之一的，联合体投标无效：</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没有提交有效的联合体协议的；</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组成联合体的大中型企业和其他自然人、法人或者其他组织，与小型、微型企业之间存在投资关系的；</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联合体协议签订后，联合体成员单独参加或者与其他供应商另外组成联合体参加同一合同项下的政府采购活动的；</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资格前审后联合体增减、更换成员的；</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联合体成员因存在不良信用记录，被拒绝其参与政府采购活动的。</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（五）关于进口产品</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（六）关于政府采购政策</w:t>
      </w:r>
    </w:p>
    <w:p>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1．对中小企业、监狱企业、残疾人福利性单位的优惠政策</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工程项目3%~5%）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（2）根据财政部、司法部联合下发的《关于政府采购支持监狱企业发展有关问题的通知》（财库〔2014〕68号）的规定，监狱企业视同小型、微型企业。</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2．节能、环保产品采购政策</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（3）《节能产品政府采购品目清单》见财政部、发展改革委《关于印发节能产品政府采购品目清单的通知》（财库〔2019〕19号）附件。</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（4）《环境标志产品政府采购品目清单》见财政部、生态环境部《关于印发环境标志产品政府采购品目清单的通知》（财库〔2019〕18号）附件。</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（5）“国家确定的认证机构”名单见市场监管总局《关于发布参与实施政府采购节能产品、环境标志产品认证机构名录的公告》（2019年第16号）。</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3．陕西省中小企业政府采购信用融资办法</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pPr>
        <w:pStyle w:val="1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链接地址：http://www.ccgp-shaanxi.gov.cn/zcdservice/zcd/shanxi/article/zcdt/1390497710741917696</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（七）关于现场踏勘和集中答疑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采购人可以根据项目实际情况决定是否组织现场踏勘\标前集中答疑。投标邀请函中明确载明安排上述活动的，各供应商应派出技术、预算等相关人员，在招标文件约定的时间、地点参加现场踏勘\标前集中答疑。</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凡未参加现场踏勘和集中答疑的供应商，由此带来的不利后果由该供应商自行承担。</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（八）关于同一品牌产品的处理</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（九）关于知识产权和保密事项</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2．由采购人向供应商提供的用户需求书、图纸、样品、模型、模件和所有资料，供应商获得后，应对其保密。除非采购人同意，供应商不得向第三方透露或将其用于本次投 标以外的任何用途。开标后，若采购人有要求，供应商人须归还采购人认为需保密的文件和资料，并销毁所有相应的备份文件及资料。</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（十）关于信用记录的查询和使用</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"https://www.creditchina.gov.cn"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https://www.creditchina.gov.cn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/）和【中国政府采购网】（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对供应商的信用情况进行甄别。</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、政府采购严重违法失信行为记录名单及其他不符合《中华人民共和国政府采购法》第二十二条规定条件的供应商，将拒绝其参与政府采购活动。</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3．供应商在参加政府采购活动前3年内因违法经营被禁止在一定期限内参加政府采购活动，期限届满的，可以参加政府采购活动的，但供应商应提供相关证明材料。</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4．信用记录查询结果打印后，将与其他采购文件一并保存。</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（十一）其他重要事项</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1．招标文件内所附网络链接仅供参考，不保证其长期有效性。</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2．供应商的投标费用自理。</w:t>
      </w:r>
    </w:p>
    <w:p>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三、招标文件</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（一）招标文件的解释权</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本项目招标文件的解释权归采购代理机构，评标委员会成员应根据政府采购法律法规和招标文件所载明的评审方法、标准进行评审。</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（二）招标文件主要内容</w:t>
      </w:r>
    </w:p>
    <w:p>
      <w:pPr>
        <w:spacing w:line="360" w:lineRule="auto"/>
        <w:ind w:firstLine="480" w:firstLineChars="200"/>
        <w:jc w:val="both"/>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公开招标公告</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第2章  供应商须知</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第3章  招标内容及要求</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第4章  合同文本</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第5章  投标文件构成及格式</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（三）招标文件的检查及阅读</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供应商应认真阅读和充分理解招标文件中所有的事项、格式条款和规范要求，在投标文件中对招标文件做出全面响应，并按招标文件的要求提交全部资料。</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项目废标后重新组织招标的，采购代理机构将重新编制、发布新版招标文件，供应商应按新版招标文件重新编制投标文件。原招标文件及投标文件失效。</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（四）招标文件的修改、澄清</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1．提交投标文件截止之日前，采购人或采购代理机构可能对已发出的招标文件进行澄清或者修改，澄清或者修改的内容为招标文件的组成部分。</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陕西省政府采购网</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http://www.ccgp-shaanxi.gov.cn/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）中的〖首页·〉信息公告·〉市级·〉西安市〗；</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"http://xa.sxggzyjy.cn/"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全国公共资源交易网（陕西省·西安市）</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）中的〖首页·〉交易大厅·〉政府采购〗。</w:t>
      </w:r>
    </w:p>
    <w:p>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四、投标文件</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（一）投标文件的式样</w:t>
      </w:r>
    </w:p>
    <w:p>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1．组成及格式</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供应商依照招标文件第五章《投标文件构成及格式》给定形式进行编制投标文件。项目分标段的，应按所投标段分别准备投标文件。</w:t>
      </w:r>
    </w:p>
    <w:p>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2．语言</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招标活动的所有文件、资料、函电文字均使用简体中文，确需提交用其他语言形成的资料，必须翻译成简体中文，如有差异，以简体中文为准。</w:t>
      </w:r>
    </w:p>
    <w:p>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3．计量单位</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投标文件的计量单位应使用中华人民共和国法定计量单位，但招标文件另有规定的除外。</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（二）投标文件的有效期</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投标文件有效期为自开标之日起不少于90个日历日。如中标，延长至合同执行完毕时止。</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（三）投标报价</w:t>
      </w:r>
    </w:p>
    <w:p>
      <w:pPr>
        <w:spacing w:line="360" w:lineRule="auto"/>
        <w:ind w:firstLine="480" w:firstLineChars="200"/>
        <w:jc w:val="both"/>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本项目计价模式为</w:t>
      </w:r>
      <w:r>
        <w:rPr>
          <w:rFonts w:hint="eastAsia" w:ascii="宋体" w:hAnsi="宋体" w:eastAsia="宋体" w:cs="宋体"/>
          <w:color w:val="auto"/>
          <w:sz w:val="24"/>
          <w:szCs w:val="24"/>
          <w:highlight w:val="none"/>
          <w:lang w:val="en-US" w:eastAsia="zh-CN"/>
        </w:rPr>
        <w:t>固定单价</w:t>
      </w:r>
      <w:r>
        <w:rPr>
          <w:rFonts w:hint="eastAsia" w:ascii="宋体" w:hAnsi="宋体" w:eastAsia="宋体" w:cs="宋体"/>
          <w:color w:val="auto"/>
          <w:sz w:val="24"/>
          <w:szCs w:val="24"/>
          <w:highlight w:val="none"/>
        </w:rPr>
        <w:t>。投标报价是供应商响应采购项目要求的全部工作内容的价格体现，包括完成采购内容所需的直接费、间接费、利润、税金及其它相关的一切费用。</w:t>
      </w:r>
      <w:r>
        <w:rPr>
          <w:rFonts w:hint="eastAsia" w:ascii="宋体" w:hAnsi="宋体" w:eastAsia="宋体" w:cs="宋体"/>
          <w:color w:val="auto"/>
          <w:sz w:val="24"/>
          <w:szCs w:val="24"/>
          <w:highlight w:val="none"/>
          <w:lang w:val="en-US" w:eastAsia="zh-CN"/>
        </w:rPr>
        <w:t xml:space="preserve">                   </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1．供应商在报价时应充分考虑所有可能发生的费用，招标文件未列明，而供应商认为应当计取的费用均应列入报价中。报价时不论是否计取，采购人均按已计取对待。</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3．投标报价货币：人民币；单位：元。</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4．投标文件报价出现前后不一致的，除招标文件另有规定外，按照下列规则修正：</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（1）投标文件中开标一览表内容与投标文件中其他位置相应内容表述不一致的，以开标一览表为准；</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（3）单价金额小数点或者百分比有明显错位的，以开标一览表的总价为准，并修改单价；</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同时出现两种以上不一致的，按照前款规定的顺序修正。修正后的报价经供应商确认后产生约束力，供应商不确认的，其投标无效。</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5．因供应商对招标文件理解不透、误解、疏漏或对市场行情了解不清造成的后果和风险，均由供应商自己负责。</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（四）投标文件的制作和签章</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color w:val="auto"/>
          <w:sz w:val="24"/>
          <w:szCs w:val="24"/>
          <w:highlight w:val="none"/>
        </w:rPr>
        <w:t>政府采购项目投标文件制作软件及操作手册</w:t>
      </w:r>
      <w:r>
        <w:rPr>
          <w:rFonts w:hint="eastAsia" w:ascii="宋体" w:hAnsi="宋体" w:eastAsia="宋体" w:cs="宋体"/>
          <w:color w:val="auto"/>
          <w:sz w:val="24"/>
          <w:szCs w:val="24"/>
          <w:highlight w:val="none"/>
        </w:rPr>
        <w:t>》。</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"http://sxggzyjy.xa.gov.cn/fwzn/004003/20181115/4d59c184-e8f6-4d5a-a416-c2f6b0601e66.html"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rPr>
        <w:t>http://sxggzyjy.xa.gov.cn/fwzn/004003/20181115/4d59c184-e8f6-4d5a-a416-c2f6b0601e66.html</w:t>
      </w:r>
      <w:r>
        <w:rPr>
          <w:rStyle w:val="42"/>
          <w:rFonts w:hint="eastAsia" w:ascii="宋体" w:hAnsi="宋体" w:eastAsia="宋体" w:cs="宋体"/>
          <w:color w:val="auto"/>
          <w:sz w:val="24"/>
          <w:szCs w:val="24"/>
          <w:highlight w:val="none"/>
        </w:rPr>
        <w:fldChar w:fldCharType="end"/>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2．编制电子投标文件前，</w:t>
      </w:r>
      <w:r>
        <w:rPr>
          <w:rFonts w:hint="eastAsia" w:ascii="宋体" w:hAnsi="宋体" w:eastAsia="宋体" w:cs="宋体"/>
          <w:b/>
          <w:bCs/>
          <w:color w:val="auto"/>
          <w:sz w:val="24"/>
          <w:szCs w:val="24"/>
          <w:highlight w:val="none"/>
        </w:rPr>
        <w:t>务必先做好电子招标文件的备份工作</w:t>
      </w:r>
      <w:r>
        <w:rPr>
          <w:rFonts w:hint="eastAsia" w:ascii="宋体" w:hAnsi="宋体" w:eastAsia="宋体" w:cs="宋体"/>
          <w:color w:val="auto"/>
          <w:sz w:val="24"/>
          <w:szCs w:val="24"/>
          <w:highlight w:val="none"/>
        </w:rPr>
        <w:t>。然后按操作手册中给出的方法将电子招标文件（*.SXSZF）或答疑文件（*.SXSCF，即更新后的电子招标文件）导入制作软件，最后按照章节分别编制投标文件各个部分。</w:t>
      </w:r>
    </w:p>
    <w:p>
      <w:pPr>
        <w:spacing w:line="360" w:lineRule="auto"/>
        <w:ind w:firstLine="480"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再次提醒</w:t>
      </w:r>
      <w:r>
        <w:rPr>
          <w:rFonts w:hint="eastAsia" w:ascii="宋体" w:hAnsi="宋体" w:eastAsia="宋体" w:cs="宋体"/>
          <w:color w:val="auto"/>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color w:val="auto"/>
          <w:sz w:val="24"/>
          <w:szCs w:val="24"/>
          <w:highlight w:val="none"/>
        </w:rPr>
        <w:t>使用旧版电子招标文件制作的电子投标文件（*.SXSTF），系统将拒绝接收。</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3．电子投标文件制作过程中，需要法定代表人签字或盖章的地方，请使用“法人CA锁”进行签章；需要加盖供应商公章的地方，请使用“企业CA锁”进行签章。</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（五）投标文件的加密和提交</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1．在生成电子投标文件时，需要使用CA锁对投标文件进行加密。</w:t>
      </w:r>
    </w:p>
    <w:p>
      <w:pPr>
        <w:spacing w:line="360" w:lineRule="auto"/>
        <w:ind w:firstLine="480"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注意：加密投标文件和开标时解密投标文件应当使用同一CA，否则将会导致解密失败。</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3．上传文件有误或需要重新提交的，可先撤销已经上传的文件，然后重新上传新文件。</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（六）投标文件的补充、修改和撤回</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2．供应商在提交投标文件截止时间后，撤回投标文件的，投标保证金不予退还。</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（七）关于投标文件的雷同性分析</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若“文件创建标识码”一致，则表示不同投标供应商使用投标文件制作软件时，使用同一源工程文件，该情形建议由评标委员会结合项目情况综合判定。</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（八）投标文件被拒绝接收的情形</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1．误投的或采用旧版电子招标文件制作的；</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2．逾期提交电子投标文件的。</w:t>
      </w:r>
    </w:p>
    <w:p>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五、开标程序</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开标工作由采购代理机构组织实施，整个过程受同级政府采购监管机构的监督、管理。</w:t>
      </w:r>
    </w:p>
    <w:p>
      <w:pPr>
        <w:pStyle w:val="107"/>
        <w:spacing w:before="210" w:after="210" w:line="360" w:lineRule="auto"/>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[适用于不见面开标项目]</w:t>
      </w:r>
    </w:p>
    <w:p>
      <w:pPr>
        <w:pStyle w:val="107"/>
        <w:spacing w:before="210" w:after="210" w:line="360" w:lineRule="auto"/>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（一）“不见面开标”基本流程</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“不见面开标”是依托政府采购云平台实现的供应商在线参与开标的一种组织形式。供应商无需抵达开标现场，即可在线实现开标、解密、澄清等操作。</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1．供应商登录：开标前，请各供应商至少提前半小时登录西安市公共资源交易平台〖首页·〉不见面开标〗系统。</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2．主持人宣布开标：提交投标文件截止时间过后，系统将不再接收任何投标文件。</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3．解密投标文件：供应商在收到主持人“开始解密”指令后，应使用“加密该投标文件的CA锁（</w:t>
      </w:r>
      <w:r>
        <w:rPr>
          <w:rFonts w:hint="eastAsia" w:ascii="宋体" w:hAnsi="宋体" w:eastAsia="宋体" w:cs="宋体"/>
          <w:b/>
          <w:bCs/>
          <w:color w:val="auto"/>
          <w:sz w:val="24"/>
          <w:szCs w:val="24"/>
          <w:highlight w:val="none"/>
        </w:rPr>
        <w:t>必须是同一把锁</w:t>
      </w:r>
      <w:r>
        <w:rPr>
          <w:rFonts w:hint="eastAsia" w:ascii="宋体" w:hAnsi="宋体" w:eastAsia="宋体" w:cs="宋体"/>
          <w:color w:val="auto"/>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4．唱标：对于公开招标项目，“不见面开标”系统将自动展示供应商名单及其投标报价。</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5．开标结束：进入评审环节。供应商请保持在线，评审期间评标委员会可能会要求供应商做相应的澄清。因供应商擅自离席造成的不利后果，由供应商自行承担。</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“不见面开标”系统操作说明：详见西安市公共资源交易平台〖首页·〉服务指南·〉下载专区〗中的《</w:t>
      </w:r>
      <w:r>
        <w:rPr>
          <w:rFonts w:hint="eastAsia" w:ascii="宋体" w:hAnsi="宋体" w:eastAsia="宋体" w:cs="宋体"/>
          <w:b/>
          <w:bCs/>
          <w:color w:val="auto"/>
          <w:sz w:val="24"/>
          <w:szCs w:val="24"/>
          <w:highlight w:val="none"/>
        </w:rPr>
        <w:t>西安公共资源交易不见面开标大厅供应商操作手册</w:t>
      </w:r>
      <w:r>
        <w:rPr>
          <w:rFonts w:hint="eastAsia" w:ascii="宋体" w:hAnsi="宋体" w:eastAsia="宋体" w:cs="宋体"/>
          <w:color w:val="auto"/>
          <w:sz w:val="24"/>
          <w:szCs w:val="24"/>
          <w:highlight w:val="none"/>
        </w:rPr>
        <w:t>》。</w:t>
      </w:r>
    </w:p>
    <w:p>
      <w:pPr>
        <w:spacing w:line="360" w:lineRule="auto"/>
        <w:ind w:firstLine="480" w:firstLineChars="200"/>
        <w:outlineLvl w:val="9"/>
        <w:rPr>
          <w:rStyle w:val="42"/>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链接地址：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"http://sxggzyjy.xa.gov.cn/fwzn/004003/20200426/bc8b2c1e-abe2-4168-913c-68ff93345faf.html"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http://sxggzyjy.xa.gov.cn/fwzn/004003/20200426/bc8b2c1e-abe2-4168-913c-68ff93345faf.html</w:t>
      </w:r>
      <w:r>
        <w:rPr>
          <w:rStyle w:val="42"/>
          <w:rFonts w:hint="eastAsia" w:ascii="宋体" w:hAnsi="宋体" w:eastAsia="宋体" w:cs="宋体"/>
          <w:color w:val="auto"/>
          <w:sz w:val="24"/>
          <w:szCs w:val="24"/>
          <w:highlight w:val="none"/>
          <w:u w:val="none"/>
        </w:rPr>
        <w:fldChar w:fldCharType="end"/>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（二）开标环节投标文件视为无效的情形</w:t>
      </w:r>
    </w:p>
    <w:p>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（三）开标环节投标文件视为无效的情形</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1．供应商放弃或拒绝对电子投标文件进行解密的；</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2．因供应商自身原因，导致未在规定的解密时限内完整解密的，如忘带CA锁、或携带的CA锁与加密文件的CA锁不同、或使用旧版招标文件编制投标文件等情形；</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3．上传的电子投标文件无法正常打开的；</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4．政府采购法律法规规定的其他无效情形。</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（四）突发状况的应急处置</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在开评标过程中，如因停电、断网、电子化系统故障等特殊原因导致电子化开、评标工作无法正常进行时，采购代理机构将及时汇报政府采购监管部门，并等待或中止后续活动。</w:t>
      </w:r>
    </w:p>
    <w:p>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六、资格审查</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资格审查结束后，资格审查小组成员应当对审查结果进行签字确认；对未通过资格审查的供应商，资格审查小组应当场告知其未通过的原因。</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合格供应商不足3家的，不得评标。</w:t>
      </w:r>
    </w:p>
    <w:p>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〖资格性审查表〗</w:t>
      </w:r>
    </w:p>
    <w:tbl>
      <w:tblPr>
        <w:tblStyle w:val="31"/>
        <w:tblW w:w="898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6"/>
        <w:gridCol w:w="2336"/>
        <w:gridCol w:w="581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tcBorders>
              <w:top w:val="single" w:color="auto" w:sz="12" w:space="0"/>
              <w:bottom w:val="single" w:color="auto" w:sz="2" w:space="0"/>
            </w:tcBorders>
            <w:shd w:val="clear" w:color="auto" w:fill="F1F1F1" w:themeFill="background1" w:themeFillShade="F2"/>
            <w:vAlign w:val="center"/>
          </w:tcPr>
          <w:p>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336" w:type="dxa"/>
            <w:tcBorders>
              <w:top w:val="single" w:color="auto" w:sz="12" w:space="0"/>
              <w:bottom w:val="single" w:color="auto" w:sz="2" w:space="0"/>
            </w:tcBorders>
            <w:shd w:val="clear" w:color="auto" w:fill="F1F1F1" w:themeFill="background1" w:themeFillShade="F2"/>
            <w:vAlign w:val="center"/>
          </w:tcPr>
          <w:p>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资格项</w:t>
            </w:r>
          </w:p>
        </w:tc>
        <w:tc>
          <w:tcPr>
            <w:tcW w:w="5810" w:type="dxa"/>
            <w:tcBorders>
              <w:top w:val="single" w:color="auto" w:sz="12" w:space="0"/>
              <w:bottom w:val="single" w:color="auto" w:sz="2" w:space="0"/>
            </w:tcBorders>
            <w:shd w:val="clear" w:color="auto" w:fill="F1F1F1" w:themeFill="background1" w:themeFillShade="F2"/>
            <w:vAlign w:val="center"/>
          </w:tcPr>
          <w:p>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33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有效的主体资格证明</w:t>
            </w:r>
          </w:p>
        </w:tc>
        <w:tc>
          <w:tcPr>
            <w:tcW w:w="5810" w:type="dxa"/>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33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5810" w:type="dxa"/>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233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法定代表人委托授权书\身份证明</w:t>
            </w:r>
          </w:p>
        </w:tc>
        <w:tc>
          <w:tcPr>
            <w:tcW w:w="5810"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授权代表须提供近六个月中任一个月缴纳社保证明复印件并加盖单位公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33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中小企业声明函</w:t>
            </w:r>
          </w:p>
        </w:tc>
        <w:tc>
          <w:tcPr>
            <w:tcW w:w="5810" w:type="dxa"/>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233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关联关系</w:t>
            </w:r>
          </w:p>
        </w:tc>
        <w:tc>
          <w:tcPr>
            <w:tcW w:w="5810"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单位负责人为同一人或者存在直接控股、管理关系的不同供应商，不得参加同一合同项下的政府采购活动；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982" w:type="dxa"/>
            <w:gridSpan w:val="3"/>
            <w:vAlign w:val="center"/>
          </w:tcPr>
          <w:p>
            <w:pPr>
              <w:spacing w:line="360" w:lineRule="auto"/>
              <w:jc w:val="left"/>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3．以联合体形式参与投标时，应提供有效的《联合体协议书》，并遵循招标文件第二章中“关于联合体”的相关规定。</w:t>
            </w:r>
          </w:p>
          <w:p>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4．《法定代表人委托授权书》、《法定代表人身份证明书》应按第五章《投标文件构成及格式》中给定的格式填写，并按要求签字、盖章。</w:t>
            </w:r>
          </w:p>
          <w:p>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pPr>
        <w:spacing w:line="360" w:lineRule="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七、评审方法和程序</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（一）评标方法</w:t>
      </w:r>
    </w:p>
    <w:p>
      <w:pPr>
        <w:pStyle w:val="107"/>
        <w:spacing w:before="210" w:after="210"/>
        <w:ind w:firstLine="640"/>
        <w:outlineLvl w:val="9"/>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本项目采用综合评分法，即投标文件满足招标文件全部实质性要求，且按照评审因素的量化指标评审得分最高的供应商为中标候选人。</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（二）评标程序</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1．组建评标委员会</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由采购代理机构组织评标委员会推选评标组长，采购人代表不得担任组长。</w:t>
      </w:r>
    </w:p>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2．投标文件的符合性审查</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供应商资格性审查通过后，评标委员会对符合资格的投标人的投标文件进行符合性审查，以确定其是否满足招标文件的实质性要求。</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〖符合性审查表〗</w:t>
      </w:r>
    </w:p>
    <w:tbl>
      <w:tblPr>
        <w:tblStyle w:val="31"/>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78"/>
        <w:gridCol w:w="2392"/>
        <w:gridCol w:w="549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12" w:space="0"/>
              <w:bottom w:val="single" w:color="auto" w:sz="2" w:space="0"/>
            </w:tcBorders>
            <w:shd w:val="clear" w:color="auto" w:fill="F1F1F1" w:themeFill="background1" w:themeFillShade="F2"/>
            <w:vAlign w:val="center"/>
          </w:tcPr>
          <w:p>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392" w:type="dxa"/>
            <w:tcBorders>
              <w:top w:val="single" w:color="auto" w:sz="12" w:space="0"/>
              <w:bottom w:val="single" w:color="auto" w:sz="2" w:space="0"/>
            </w:tcBorders>
            <w:shd w:val="clear" w:color="auto" w:fill="F1F1F1" w:themeFill="background1" w:themeFillShade="F2"/>
            <w:vAlign w:val="center"/>
          </w:tcPr>
          <w:p>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符合性审查项</w:t>
            </w:r>
          </w:p>
        </w:tc>
        <w:tc>
          <w:tcPr>
            <w:tcW w:w="5498" w:type="dxa"/>
            <w:tcBorders>
              <w:top w:val="single" w:color="auto" w:sz="12" w:space="0"/>
              <w:bottom w:val="single" w:color="auto" w:sz="2" w:space="0"/>
            </w:tcBorders>
            <w:shd w:val="clear" w:color="auto" w:fill="F1F1F1" w:themeFill="background1" w:themeFillShade="F2"/>
            <w:vAlign w:val="center"/>
          </w:tcPr>
          <w:p>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2" w:space="0"/>
            </w:tcBorders>
            <w:vAlign w:val="center"/>
          </w:tcPr>
          <w:p>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392" w:type="dxa"/>
            <w:tcBorders>
              <w:top w:val="single" w:color="auto" w:sz="2" w:space="0"/>
            </w:tcBorders>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与项目的一致性</w:t>
            </w:r>
          </w:p>
        </w:tc>
        <w:tc>
          <w:tcPr>
            <w:tcW w:w="5498" w:type="dxa"/>
            <w:tcBorders>
              <w:top w:val="single" w:color="auto" w:sz="2" w:space="0"/>
            </w:tcBorders>
            <w:vAlign w:val="center"/>
          </w:tcPr>
          <w:p>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投标内容</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出现漏项或数量与要求不符，</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出现重大负偏差</w:t>
            </w:r>
            <w:r>
              <w:rPr>
                <w:rFonts w:hint="eastAsia" w:ascii="宋体" w:hAnsi="宋体" w:cs="宋体"/>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392" w:type="dxa"/>
            <w:vAlign w:val="center"/>
          </w:tcPr>
          <w:p>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签章</w:t>
            </w:r>
          </w:p>
        </w:tc>
        <w:tc>
          <w:tcPr>
            <w:tcW w:w="5498" w:type="dxa"/>
            <w:vAlign w:val="center"/>
          </w:tcPr>
          <w:p>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sz w:val="24"/>
                <w:highlight w:val="none"/>
              </w:rPr>
              <w:t>投标文件的签署、加盖</w:t>
            </w:r>
            <w:r>
              <w:rPr>
                <w:rFonts w:hint="eastAsia" w:ascii="宋体" w:hAnsi="宋体" w:cs="宋体"/>
                <w:color w:val="auto"/>
                <w:sz w:val="24"/>
                <w:highlight w:val="none"/>
                <w:lang w:eastAsia="zh-CN"/>
              </w:rPr>
              <w:t>公章</w:t>
            </w:r>
            <w:r>
              <w:rPr>
                <w:rFonts w:hint="eastAsia" w:ascii="宋体" w:hAnsi="宋体" w:cs="宋体"/>
                <w:color w:val="auto"/>
                <w:sz w:val="24"/>
                <w:highlight w:val="none"/>
              </w:rPr>
              <w:t>有效；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392" w:type="dxa"/>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w:t>
            </w:r>
          </w:p>
        </w:tc>
        <w:tc>
          <w:tcPr>
            <w:tcW w:w="5498" w:type="dxa"/>
            <w:vAlign w:val="center"/>
          </w:tcPr>
          <w:p>
            <w:pPr>
              <w:spacing w:line="360" w:lineRule="auto"/>
              <w:jc w:val="both"/>
              <w:outlineLvl w:val="9"/>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投标文件有效期达到招标文件的要求</w:t>
            </w:r>
            <w:r>
              <w:rPr>
                <w:rFonts w:hint="eastAsia" w:ascii="宋体" w:hAnsi="宋体" w:cs="宋体"/>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392" w:type="dxa"/>
            <w:vAlign w:val="center"/>
          </w:tcPr>
          <w:p>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投标报价</w:t>
            </w:r>
          </w:p>
        </w:tc>
        <w:tc>
          <w:tcPr>
            <w:tcW w:w="5498" w:type="dxa"/>
            <w:vAlign w:val="center"/>
          </w:tcPr>
          <w:p>
            <w:pPr>
              <w:spacing w:line="440" w:lineRule="atLeast"/>
              <w:outlineLvl w:val="9"/>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投标报价不高于采购预算或最高限价</w:t>
            </w:r>
          </w:p>
          <w:p>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sz w:val="24"/>
                <w:highlight w:val="none"/>
              </w:rPr>
              <w:t>投标报价</w:t>
            </w:r>
            <w:r>
              <w:rPr>
                <w:rFonts w:hint="eastAsia" w:ascii="宋体" w:hAnsi="宋体" w:cs="宋体"/>
                <w:color w:val="auto"/>
                <w:sz w:val="24"/>
                <w:highlight w:val="none"/>
                <w:lang w:eastAsia="zh-CN"/>
              </w:rPr>
              <w:t>未</w:t>
            </w:r>
            <w:r>
              <w:rPr>
                <w:rFonts w:hint="eastAsia" w:ascii="宋体" w:hAnsi="宋体" w:cs="宋体"/>
                <w:color w:val="auto"/>
                <w:sz w:val="24"/>
                <w:highlight w:val="none"/>
              </w:rPr>
              <w:t>低于成本价，</w:t>
            </w:r>
            <w:r>
              <w:rPr>
                <w:rFonts w:hint="eastAsia" w:ascii="宋体" w:hAnsi="宋体" w:cs="宋体"/>
                <w:color w:val="auto"/>
                <w:sz w:val="24"/>
                <w:highlight w:val="none"/>
                <w:lang w:eastAsia="zh-CN"/>
              </w:rPr>
              <w:t>未</w:t>
            </w:r>
            <w:r>
              <w:rPr>
                <w:rFonts w:hint="eastAsia" w:ascii="宋体" w:hAnsi="宋体" w:cs="宋体"/>
                <w:color w:val="auto"/>
                <w:sz w:val="24"/>
                <w:highlight w:val="none"/>
              </w:rPr>
              <w:t>涉嫌不正当竞争；（如果评标委员会认为某投标报价明显不合理或者低于成本，应当要求该投标人在合理时间内作出书面说明并提供相关证明材料；投标人不能证明其报价合理性的，评标委员会应当将其作为无效标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392" w:type="dxa"/>
            <w:vAlign w:val="center"/>
          </w:tcPr>
          <w:p>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电子投标文件雷同性分析</w:t>
            </w:r>
          </w:p>
        </w:tc>
        <w:tc>
          <w:tcPr>
            <w:tcW w:w="5498" w:type="dxa"/>
            <w:vAlign w:val="center"/>
          </w:tcPr>
          <w:p>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392" w:type="dxa"/>
            <w:vAlign w:val="center"/>
          </w:tcPr>
          <w:p>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5498" w:type="dxa"/>
            <w:vAlign w:val="center"/>
          </w:tcPr>
          <w:p>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完全理解并接受法律法规和招标文件对供应商合法经营的各类规约和责任义务要求，没有出现法律法规或招标文件规定的其他无效情形。</w:t>
            </w:r>
          </w:p>
        </w:tc>
      </w:tr>
    </w:tbl>
    <w:p>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3．综合比较与评价</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评标委员会按《评审要素及分值一览表》中规定的评标方法和标准，对通过符合性审查的投标文件进行商务和技术评估，综合比较与评价。</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出现下列情形的，供应商投标无效：</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（1）投标文件报价出现本章第五小节“投标报价”所列需要修正情形，但供应商对修正后的报价不予确认的；</w:t>
      </w:r>
    </w:p>
    <w:p>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spacing w:line="560" w:lineRule="exact"/>
        <w:jc w:val="center"/>
        <w:outlineLvl w:val="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〖评审要素及分值一览表〗</w:t>
      </w:r>
    </w:p>
    <w:tbl>
      <w:tblPr>
        <w:tblStyle w:val="31"/>
        <w:tblW w:w="53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743"/>
        <w:gridCol w:w="6307"/>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653" w:type="pct"/>
            <w:tcBorders>
              <w:top w:val="single" w:color="auto" w:sz="4" w:space="0"/>
              <w:left w:val="single" w:color="auto" w:sz="4" w:space="0"/>
              <w:bottom w:val="single" w:color="auto" w:sz="4" w:space="0"/>
              <w:right w:val="single" w:color="auto" w:sz="4" w:space="0"/>
            </w:tcBorders>
            <w:vAlign w:val="center"/>
          </w:tcPr>
          <w:p>
            <w:pPr>
              <w:pStyle w:val="20"/>
              <w:ind w:left="6000"/>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评审因素</w:t>
            </w:r>
          </w:p>
        </w:tc>
        <w:tc>
          <w:tcPr>
            <w:tcW w:w="4052"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内容及赋分标准</w:t>
            </w:r>
          </w:p>
        </w:tc>
        <w:tc>
          <w:tcPr>
            <w:tcW w:w="29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b/>
                <w:bCs/>
                <w:color w:val="auto"/>
                <w:szCs w:val="21"/>
                <w:highlight w:val="none"/>
              </w:rPr>
            </w:pPr>
            <w:r>
              <w:rPr>
                <w:rFonts w:hint="eastAsia" w:ascii="宋体" w:hAnsi="宋体"/>
                <w:b/>
                <w:bCs/>
                <w:color w:val="auto"/>
                <w:szCs w:val="21"/>
                <w:highlight w:val="none"/>
              </w:rPr>
              <w:t>权值</w:t>
            </w:r>
            <w:r>
              <w:rPr>
                <w:rFonts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0" w:hRule="atLeast"/>
        </w:trPr>
        <w:tc>
          <w:tcPr>
            <w:tcW w:w="65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投标报价</w:t>
            </w:r>
          </w:p>
        </w:tc>
        <w:tc>
          <w:tcPr>
            <w:tcW w:w="4052"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满足招标文件内容及技术要求且投标价格最低的投标价为评标基准价，其价格分为满分。</w:t>
            </w:r>
          </w:p>
          <w:p>
            <w:pPr>
              <w:spacing w:line="3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投标报价得分=（评标基准价／投标报价）×价格权值×100。</w:t>
            </w:r>
          </w:p>
          <w:p>
            <w:pPr>
              <w:spacing w:line="3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本项目专门面向中小企业。</w:t>
            </w:r>
          </w:p>
        </w:tc>
        <w:tc>
          <w:tcPr>
            <w:tcW w:w="294"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4" w:hRule="exact"/>
        </w:trPr>
        <w:tc>
          <w:tcPr>
            <w:tcW w:w="653" w:type="pct"/>
            <w:vMerge w:val="restart"/>
            <w:tcBorders>
              <w:top w:val="single" w:color="auto" w:sz="4" w:space="0"/>
              <w:left w:val="single" w:color="auto" w:sz="4" w:space="0"/>
              <w:right w:val="single" w:color="auto" w:sz="4" w:space="0"/>
            </w:tcBorders>
            <w:vAlign w:val="center"/>
          </w:tcPr>
          <w:p>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详细评审</w:t>
            </w:r>
          </w:p>
        </w:tc>
        <w:tc>
          <w:tcPr>
            <w:tcW w:w="87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1、考古发掘土方施工方案</w:t>
            </w:r>
          </w:p>
          <w:p>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考古发掘土方施工方案：</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符合国家规范标准，内容完整、合理，且针对性、可行性强得10分；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方案符合国家规范标准，</w:t>
            </w:r>
            <w:r>
              <w:rPr>
                <w:rFonts w:hint="eastAsia" w:asciiTheme="minorEastAsia" w:hAnsiTheme="minorEastAsia" w:eastAsiaTheme="minorEastAsia" w:cstheme="minorEastAsia"/>
                <w:sz w:val="24"/>
                <w:szCs w:val="24"/>
                <w:highlight w:val="none"/>
                <w:lang w:val="en-US" w:eastAsia="zh-CN"/>
              </w:rPr>
              <w:t>可行性较强</w:t>
            </w:r>
            <w:r>
              <w:rPr>
                <w:rFonts w:hint="eastAsia" w:asciiTheme="minorEastAsia" w:hAnsiTheme="minorEastAsia" w:eastAsiaTheme="minorEastAsia" w:cstheme="minorEastAsia"/>
                <w:sz w:val="24"/>
                <w:szCs w:val="24"/>
                <w:highlight w:val="none"/>
              </w:rPr>
              <w:t>得8分；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方案符合国家规范标准，内容简单，具有一定的可行性得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xml:space="preserve"> 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方案符合国家规范标准，内容简单，可行性一般得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分；</w:t>
            </w:r>
          </w:p>
          <w:p>
            <w:pPr>
              <w:autoSpaceDE w:val="0"/>
              <w:autoSpaceDN w:val="0"/>
              <w:adjustRightInd w:val="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sz w:val="24"/>
                <w:szCs w:val="24"/>
                <w:highlight w:val="none"/>
              </w:rPr>
              <w:t>方案内容不齐全，没有可行性得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 xml:space="preserve"> 分</w:t>
            </w:r>
            <w:r>
              <w:rPr>
                <w:rFonts w:hint="eastAsia" w:asciiTheme="minorEastAsia" w:hAnsiTheme="minorEastAsia" w:cstheme="minorEastAsia"/>
                <w:sz w:val="24"/>
                <w:szCs w:val="24"/>
                <w:highlight w:val="none"/>
                <w:lang w:eastAsia="zh-CN"/>
              </w:rPr>
              <w:t>；</w:t>
            </w:r>
          </w:p>
          <w:p>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缺项不得分。</w:t>
            </w:r>
          </w:p>
        </w:tc>
        <w:tc>
          <w:tcPr>
            <w:tcW w:w="294" w:type="pct"/>
            <w:vMerge w:val="restart"/>
            <w:tcBorders>
              <w:top w:val="single" w:color="auto" w:sz="4" w:space="0"/>
              <w:left w:val="single" w:color="auto" w:sz="4" w:space="0"/>
              <w:right w:val="single" w:color="auto" w:sz="4" w:space="0"/>
            </w:tcBorders>
            <w:vAlign w:val="center"/>
          </w:tcPr>
          <w:p>
            <w:pPr>
              <w:tabs>
                <w:tab w:val="right" w:leader="dot" w:pos="9060"/>
              </w:tabs>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1" w:hRule="exact"/>
        </w:trPr>
        <w:tc>
          <w:tcPr>
            <w:tcW w:w="653" w:type="pct"/>
            <w:vMerge w:val="continue"/>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2、服务质量保证措施</w:t>
            </w:r>
          </w:p>
          <w:p>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服务质量保证措施</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包括但不限于田野工作、整理工作</w:t>
            </w:r>
            <w:r>
              <w:rPr>
                <w:rFonts w:hint="eastAsia" w:asciiTheme="minorEastAsia" w:hAnsiTheme="minorEastAsia" w:eastAsiaTheme="minorEastAsia" w:cstheme="minorEastAsia"/>
                <w:color w:val="auto"/>
                <w:sz w:val="24"/>
                <w:szCs w:val="24"/>
                <w:highlight w:val="none"/>
                <w:lang w:eastAsia="zh-CN"/>
              </w:rPr>
              <w:t>）：</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措施内容详细、合理，实施性强</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针对性强</w:t>
            </w:r>
            <w:r>
              <w:rPr>
                <w:rFonts w:hint="eastAsia" w:asciiTheme="minorEastAsia" w:hAnsiTheme="minorEastAsia" w:eastAsiaTheme="minorEastAsia" w:cstheme="minorEastAsia"/>
                <w:sz w:val="24"/>
                <w:szCs w:val="24"/>
                <w:highlight w:val="none"/>
              </w:rPr>
              <w:t>得 10 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措施内容较详细、较合理，具有</w:t>
            </w:r>
            <w:r>
              <w:rPr>
                <w:rFonts w:hint="eastAsia" w:asciiTheme="minorEastAsia" w:hAnsiTheme="minorEastAsia" w:eastAsiaTheme="minorEastAsia" w:cstheme="minorEastAsia"/>
                <w:sz w:val="24"/>
                <w:szCs w:val="24"/>
                <w:highlight w:val="none"/>
                <w:lang w:val="en-US" w:eastAsia="zh-CN"/>
              </w:rPr>
              <w:t>较强的</w:t>
            </w:r>
            <w:r>
              <w:rPr>
                <w:rFonts w:hint="eastAsia" w:asciiTheme="minorEastAsia" w:hAnsiTheme="minorEastAsia" w:eastAsiaTheme="minorEastAsia" w:cstheme="minorEastAsia"/>
                <w:sz w:val="24"/>
                <w:szCs w:val="24"/>
                <w:highlight w:val="none"/>
              </w:rPr>
              <w:t>实施性得8 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措施内容简单，具有一定的实施性得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措施内容简单，实施性一般得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分；</w:t>
            </w:r>
          </w:p>
          <w:p>
            <w:pPr>
              <w:autoSpaceDE w:val="0"/>
              <w:autoSpaceDN w:val="0"/>
              <w:adjustRightInd w:val="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措施内容不全，不合理，不具备实施性得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分</w:t>
            </w:r>
            <w:r>
              <w:rPr>
                <w:rFonts w:hint="eastAsia" w:asciiTheme="minorEastAsia" w:hAnsiTheme="minorEastAsia" w:cstheme="minorEastAsia"/>
                <w:sz w:val="24"/>
                <w:szCs w:val="24"/>
                <w:highlight w:val="none"/>
                <w:lang w:eastAsia="zh-CN"/>
              </w:rPr>
              <w:t>；</w:t>
            </w:r>
          </w:p>
          <w:p>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缺项不得分。</w:t>
            </w:r>
          </w:p>
        </w:tc>
        <w:tc>
          <w:tcPr>
            <w:tcW w:w="294" w:type="pct"/>
            <w:vMerge w:val="continue"/>
            <w:tcBorders>
              <w:left w:val="single" w:color="auto" w:sz="4" w:space="0"/>
              <w:right w:val="single" w:color="auto" w:sz="4" w:space="0"/>
            </w:tcBorders>
            <w:vAlign w:val="center"/>
          </w:tcPr>
          <w:p>
            <w:pPr>
              <w:tabs>
                <w:tab w:val="right" w:leader="dot" w:pos="9060"/>
              </w:tabs>
              <w:spacing w:line="3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653" w:type="pct"/>
            <w:vMerge w:val="continue"/>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3</w:t>
            </w:r>
            <w:r>
              <w:rPr>
                <w:rFonts w:hint="eastAsia" w:asciiTheme="minorEastAsia" w:hAnsiTheme="minorEastAsia" w:eastAsiaTheme="minorEastAsia" w:cstheme="minorEastAsia"/>
                <w:color w:val="auto"/>
                <w:sz w:val="24"/>
                <w:szCs w:val="24"/>
                <w:highlight w:val="none"/>
              </w:rPr>
              <w:t>、进度计划保证措施</w:t>
            </w:r>
          </w:p>
          <w:p>
            <w:pPr>
              <w:spacing w:line="320" w:lineRule="exact"/>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进度计划保证措施</w:t>
            </w:r>
            <w:r>
              <w:rPr>
                <w:rFonts w:hint="eastAsia" w:asciiTheme="minorEastAsia" w:hAnsiTheme="minorEastAsia" w:cstheme="minorEastAsia"/>
                <w:color w:val="auto"/>
                <w:sz w:val="24"/>
                <w:szCs w:val="24"/>
                <w:highlight w:val="none"/>
                <w:lang w:eastAsia="zh-CN"/>
              </w:rPr>
              <w:t>：</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措施内容详细、合理，实施性强</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针对性强</w:t>
            </w:r>
            <w:r>
              <w:rPr>
                <w:rFonts w:hint="eastAsia" w:asciiTheme="minorEastAsia" w:hAnsiTheme="minorEastAsia" w:eastAsiaTheme="minorEastAsia" w:cstheme="minorEastAsia"/>
                <w:sz w:val="24"/>
                <w:szCs w:val="24"/>
                <w:highlight w:val="none"/>
              </w:rPr>
              <w:t>得 10 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措施内容较详细、较合理，具有</w:t>
            </w:r>
            <w:r>
              <w:rPr>
                <w:rFonts w:hint="eastAsia" w:asciiTheme="minorEastAsia" w:hAnsiTheme="minorEastAsia" w:eastAsiaTheme="minorEastAsia" w:cstheme="minorEastAsia"/>
                <w:sz w:val="24"/>
                <w:szCs w:val="24"/>
                <w:highlight w:val="none"/>
                <w:lang w:val="en-US" w:eastAsia="zh-CN"/>
              </w:rPr>
              <w:t>较强的</w:t>
            </w:r>
            <w:r>
              <w:rPr>
                <w:rFonts w:hint="eastAsia" w:asciiTheme="minorEastAsia" w:hAnsiTheme="minorEastAsia" w:eastAsiaTheme="minorEastAsia" w:cstheme="minorEastAsia"/>
                <w:sz w:val="24"/>
                <w:szCs w:val="24"/>
                <w:highlight w:val="none"/>
              </w:rPr>
              <w:t>实施性得8 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措施内容简单，具有一定的实施性得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措施内容简单，实施性一般得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分；</w:t>
            </w:r>
          </w:p>
          <w:p>
            <w:pPr>
              <w:autoSpaceDE w:val="0"/>
              <w:autoSpaceDN w:val="0"/>
              <w:adjustRightInd w:val="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措施内容不全，不合理，不具备实施性得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分</w:t>
            </w:r>
            <w:r>
              <w:rPr>
                <w:rFonts w:hint="eastAsia" w:asciiTheme="minorEastAsia" w:hAnsiTheme="minorEastAsia" w:cstheme="minorEastAsia"/>
                <w:sz w:val="24"/>
                <w:szCs w:val="24"/>
                <w:highlight w:val="none"/>
                <w:lang w:eastAsia="zh-CN"/>
              </w:rPr>
              <w:t>；</w:t>
            </w:r>
          </w:p>
          <w:p>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缺项不得分。</w:t>
            </w:r>
          </w:p>
        </w:tc>
        <w:tc>
          <w:tcPr>
            <w:tcW w:w="294" w:type="pct"/>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0" w:hRule="atLeast"/>
        </w:trPr>
        <w:tc>
          <w:tcPr>
            <w:tcW w:w="653" w:type="pct"/>
            <w:vMerge w:val="continue"/>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4</w:t>
            </w:r>
            <w:r>
              <w:rPr>
                <w:rFonts w:hint="eastAsia" w:asciiTheme="minorEastAsia" w:hAnsiTheme="minorEastAsia" w:eastAsiaTheme="minorEastAsia" w:cstheme="minorEastAsia"/>
                <w:color w:val="auto"/>
                <w:sz w:val="24"/>
                <w:szCs w:val="24"/>
                <w:highlight w:val="none"/>
              </w:rPr>
              <w:t>、应急预案措施</w:t>
            </w:r>
          </w:p>
          <w:p>
            <w:pPr>
              <w:spacing w:line="320" w:lineRule="exact"/>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据项目工作特点（包括但不限于季节天气防洪防汛等）提供完善的的应急预案措施</w:t>
            </w:r>
            <w:r>
              <w:rPr>
                <w:rFonts w:hint="eastAsia" w:asciiTheme="minorEastAsia" w:hAnsiTheme="minorEastAsia" w:cstheme="minorEastAsia"/>
                <w:color w:val="auto"/>
                <w:sz w:val="24"/>
                <w:szCs w:val="24"/>
                <w:highlight w:val="none"/>
                <w:lang w:eastAsia="zh-CN"/>
              </w:rPr>
              <w:t>：</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应急预案措施科学合理、全面，实施性强，针对性</w:t>
            </w:r>
            <w:r>
              <w:rPr>
                <w:rFonts w:hint="eastAsia" w:asciiTheme="minorEastAsia" w:hAnsiTheme="minorEastAsia" w:eastAsiaTheme="minorEastAsia" w:cstheme="minorEastAsia"/>
                <w:sz w:val="24"/>
                <w:szCs w:val="24"/>
                <w:highlight w:val="none"/>
                <w:lang w:val="en-US" w:eastAsia="zh-CN"/>
              </w:rPr>
              <w:t>强</w:t>
            </w:r>
            <w:r>
              <w:rPr>
                <w:rFonts w:hint="eastAsia" w:asciiTheme="minorEastAsia" w:hAnsiTheme="minorEastAsia" w:eastAsiaTheme="minorEastAsia" w:cstheme="minorEastAsia"/>
                <w:sz w:val="24"/>
                <w:szCs w:val="24"/>
                <w:highlight w:val="none"/>
              </w:rPr>
              <w:t>得10分；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应急预案措施较科学合理、较全面，实施性</w:t>
            </w:r>
            <w:r>
              <w:rPr>
                <w:rFonts w:hint="eastAsia" w:asciiTheme="minorEastAsia" w:hAnsiTheme="minorEastAsia" w:eastAsiaTheme="minorEastAsia" w:cstheme="minorEastAsia"/>
                <w:sz w:val="24"/>
                <w:szCs w:val="24"/>
                <w:highlight w:val="none"/>
                <w:lang w:val="en-US" w:eastAsia="zh-CN"/>
              </w:rPr>
              <w:t>较强</w:t>
            </w:r>
            <w:r>
              <w:rPr>
                <w:rFonts w:hint="eastAsia" w:asciiTheme="minorEastAsia" w:hAnsiTheme="minorEastAsia" w:eastAsiaTheme="minorEastAsia" w:cstheme="minorEastAsia"/>
                <w:sz w:val="24"/>
                <w:szCs w:val="24"/>
                <w:highlight w:val="none"/>
              </w:rPr>
              <w:t>得8 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应急预案措施较科学合理、较全面，有一定实施性得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xml:space="preserve"> 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应急预案措施基本合理、全面，实施性一般得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分；</w:t>
            </w:r>
          </w:p>
          <w:p>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有应急预案，实施性较差得 2 分</w:t>
            </w:r>
            <w:r>
              <w:rPr>
                <w:rFonts w:hint="eastAsia" w:asciiTheme="minorEastAsia" w:hAnsiTheme="minorEastAsia" w:cstheme="minorEastAsia"/>
                <w:sz w:val="24"/>
                <w:szCs w:val="24"/>
                <w:highlight w:val="none"/>
                <w:lang w:eastAsia="zh-CN"/>
              </w:rPr>
              <w:t>；</w:t>
            </w:r>
          </w:p>
          <w:p>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sz w:val="24"/>
                <w:szCs w:val="24"/>
                <w:highlight w:val="none"/>
              </w:rPr>
              <w:t>缺项不得分。</w:t>
            </w:r>
          </w:p>
        </w:tc>
        <w:tc>
          <w:tcPr>
            <w:tcW w:w="294" w:type="pct"/>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6" w:hRule="atLeast"/>
        </w:trPr>
        <w:tc>
          <w:tcPr>
            <w:tcW w:w="653" w:type="pct"/>
            <w:vMerge w:val="continue"/>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5、安全保障方案（</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安全保障方案</w:t>
            </w:r>
            <w:r>
              <w:rPr>
                <w:rFonts w:hint="eastAsia" w:asciiTheme="minorEastAsia" w:hAnsiTheme="minorEastAsia" w:cstheme="minorEastAsia"/>
                <w:color w:val="auto"/>
                <w:sz w:val="24"/>
                <w:szCs w:val="24"/>
                <w:highlight w:val="none"/>
                <w:lang w:eastAsia="zh-CN"/>
              </w:rPr>
              <w:t>：</w:t>
            </w:r>
          </w:p>
          <w:p>
            <w:pPr>
              <w:numPr>
                <w:ilvl w:val="0"/>
                <w:numId w:val="2"/>
              </w:num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有针对本项目文物、人身安全保障方案，完全满足项目实施需求且确保文物、人身安全保护方案明确、</w:t>
            </w:r>
            <w:r>
              <w:rPr>
                <w:rFonts w:hint="eastAsia" w:asciiTheme="minorEastAsia" w:hAnsiTheme="minorEastAsia" w:eastAsiaTheme="minorEastAsia" w:cstheme="minorEastAsia"/>
                <w:sz w:val="24"/>
                <w:szCs w:val="24"/>
                <w:highlight w:val="none"/>
                <w:lang w:val="en-US" w:eastAsia="zh-CN"/>
              </w:rPr>
              <w:t>针对性强</w:t>
            </w:r>
            <w:r>
              <w:rPr>
                <w:rFonts w:hint="eastAsia" w:asciiTheme="minorEastAsia" w:hAnsiTheme="minorEastAsia" w:eastAsiaTheme="minorEastAsia" w:cstheme="minorEastAsia"/>
                <w:sz w:val="24"/>
                <w:szCs w:val="24"/>
                <w:highlight w:val="none"/>
              </w:rPr>
              <w:t>得10分；</w:t>
            </w:r>
          </w:p>
          <w:p>
            <w:pPr>
              <w:numPr>
                <w:ilvl w:val="0"/>
                <w:numId w:val="2"/>
              </w:num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有针对本项目文物、人身安全保障方案，能够基本满足项目实施需要，且确保文物、人身安全保护方案基本明确、</w:t>
            </w:r>
            <w:r>
              <w:rPr>
                <w:rFonts w:hint="eastAsia" w:asciiTheme="minorEastAsia" w:hAnsiTheme="minorEastAsia" w:eastAsiaTheme="minorEastAsia" w:cstheme="minorEastAsia"/>
                <w:sz w:val="24"/>
                <w:szCs w:val="24"/>
                <w:highlight w:val="none"/>
                <w:lang w:val="en-US" w:eastAsia="zh-CN"/>
              </w:rPr>
              <w:t>合理可</w:t>
            </w:r>
            <w:r>
              <w:rPr>
                <w:rFonts w:hint="eastAsia" w:asciiTheme="minorEastAsia" w:hAnsiTheme="minorEastAsia" w:eastAsiaTheme="minorEastAsia" w:cstheme="minorEastAsia"/>
                <w:sz w:val="24"/>
                <w:szCs w:val="24"/>
                <w:highlight w:val="none"/>
              </w:rPr>
              <w:t>行得8分；</w:t>
            </w:r>
          </w:p>
          <w:p>
            <w:pPr>
              <w:numPr>
                <w:ilvl w:val="0"/>
                <w:numId w:val="2"/>
              </w:num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有针对本项目文物、人身安全保障方案，能够基本满足项目实施需要，且确保文物、人身安全保护方案基本明确、</w:t>
            </w:r>
            <w:r>
              <w:rPr>
                <w:rFonts w:hint="eastAsia" w:asciiTheme="minorEastAsia" w:hAnsiTheme="minorEastAsia" w:eastAsiaTheme="minorEastAsia" w:cstheme="minorEastAsia"/>
                <w:sz w:val="24"/>
                <w:szCs w:val="24"/>
                <w:highlight w:val="none"/>
                <w:lang w:val="en-US" w:eastAsia="zh-CN"/>
              </w:rPr>
              <w:t>有一定的可行性</w:t>
            </w:r>
            <w:r>
              <w:rPr>
                <w:rFonts w:hint="eastAsia" w:asciiTheme="minorEastAsia" w:hAnsiTheme="minorEastAsia" w:eastAsiaTheme="minorEastAsia" w:cstheme="minorEastAsia"/>
                <w:sz w:val="24"/>
                <w:szCs w:val="24"/>
                <w:highlight w:val="none"/>
              </w:rPr>
              <w:t>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分；</w:t>
            </w:r>
          </w:p>
          <w:p>
            <w:pPr>
              <w:numPr>
                <w:ilvl w:val="0"/>
                <w:numId w:val="2"/>
              </w:num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有针对本项目文物、人身安全保障方案，可行性一般得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分；</w:t>
            </w:r>
          </w:p>
          <w:p>
            <w:pPr>
              <w:numPr>
                <w:ilvl w:val="0"/>
                <w:numId w:val="0"/>
              </w:num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安全保障措施内容不全，不合理，不具备实施性得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分</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缺项不得分。</w:t>
            </w:r>
          </w:p>
        </w:tc>
        <w:tc>
          <w:tcPr>
            <w:tcW w:w="294" w:type="pct"/>
            <w:vMerge w:val="continue"/>
            <w:tcBorders>
              <w:left w:val="single" w:color="auto" w:sz="4" w:space="0"/>
              <w:right w:val="single" w:color="auto" w:sz="4" w:space="0"/>
            </w:tcBorders>
            <w:vAlign w:val="center"/>
          </w:tcPr>
          <w:p>
            <w:pPr>
              <w:spacing w:line="3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atLeast"/>
        </w:trPr>
        <w:tc>
          <w:tcPr>
            <w:tcW w:w="653" w:type="pct"/>
            <w:vMerge w:val="continue"/>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、工具设备配备</w:t>
            </w:r>
          </w:p>
          <w:p>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拟投入本项目工具设备配备</w:t>
            </w:r>
            <w:r>
              <w:rPr>
                <w:rFonts w:hint="eastAsia" w:asciiTheme="minorEastAsia" w:hAnsiTheme="minorEastAsia" w:cstheme="minorEastAsia"/>
                <w:color w:val="auto"/>
                <w:sz w:val="24"/>
                <w:szCs w:val="24"/>
                <w:highlight w:val="none"/>
                <w:lang w:eastAsia="zh-CN"/>
              </w:rPr>
              <w:t>：</w:t>
            </w:r>
          </w:p>
          <w:p>
            <w:pPr>
              <w:adjustRightInd w:val="0"/>
              <w:snapToGrid w:val="0"/>
              <w:spacing w:line="276"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配置</w:t>
            </w:r>
            <w:r>
              <w:rPr>
                <w:rFonts w:hint="eastAsia" w:asciiTheme="minorEastAsia" w:hAnsiTheme="minorEastAsia" w:eastAsiaTheme="minorEastAsia" w:cstheme="minorEastAsia"/>
                <w:color w:val="auto"/>
                <w:sz w:val="24"/>
                <w:szCs w:val="24"/>
                <w:highlight w:val="none"/>
                <w:lang w:val="en-US" w:eastAsia="zh-CN"/>
              </w:rPr>
              <w:t>完全</w:t>
            </w:r>
            <w:r>
              <w:rPr>
                <w:rFonts w:hint="eastAsia" w:asciiTheme="minorEastAsia" w:hAnsiTheme="minorEastAsia" w:eastAsiaTheme="minorEastAsia" w:cstheme="minorEastAsia"/>
                <w:color w:val="auto"/>
                <w:sz w:val="24"/>
                <w:szCs w:val="24"/>
                <w:highlight w:val="none"/>
              </w:rPr>
              <w:t>满足采购需求，配置合理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方案全面</w:t>
            </w:r>
            <w:r>
              <w:rPr>
                <w:rFonts w:hint="eastAsia" w:asciiTheme="minorEastAsia" w:hAnsiTheme="minorEastAsia" w:eastAsiaTheme="minorEastAsia" w:cstheme="minorEastAsia"/>
                <w:color w:val="auto"/>
                <w:sz w:val="24"/>
                <w:szCs w:val="24"/>
                <w:highlight w:val="none"/>
              </w:rPr>
              <w:t>针对性强、证明材料</w:t>
            </w:r>
            <w:r>
              <w:rPr>
                <w:rFonts w:hint="eastAsia" w:asciiTheme="minorEastAsia" w:hAnsiTheme="minorEastAsia" w:eastAsiaTheme="minorEastAsia" w:cstheme="minorEastAsia"/>
                <w:color w:val="auto"/>
                <w:sz w:val="24"/>
                <w:szCs w:val="24"/>
                <w:highlight w:val="none"/>
                <w:lang w:val="en-US" w:eastAsia="zh-CN"/>
              </w:rPr>
              <w:t>完整</w:t>
            </w:r>
            <w:r>
              <w:rPr>
                <w:rFonts w:hint="eastAsia" w:asciiTheme="minorEastAsia" w:hAnsiTheme="minorEastAsia" w:eastAsiaTheme="minorEastAsia" w:cstheme="minorEastAsia"/>
                <w:color w:val="auto"/>
                <w:sz w:val="24"/>
                <w:szCs w:val="24"/>
                <w:highlight w:val="none"/>
              </w:rPr>
              <w:t>齐全计</w:t>
            </w:r>
            <w:r>
              <w:rPr>
                <w:rFonts w:hint="eastAsia" w:asciiTheme="minorEastAsia" w:hAnsiTheme="minorEastAsia" w:eastAsiaTheme="minorEastAsia" w:cstheme="minorEastAsia"/>
                <w:bCs/>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p>
            <w:pPr>
              <w:adjustRightInd w:val="0"/>
              <w:snapToGrid w:val="0"/>
              <w:spacing w:line="276"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配置</w:t>
            </w:r>
            <w:r>
              <w:rPr>
                <w:rFonts w:hint="eastAsia" w:asciiTheme="minorEastAsia" w:hAnsiTheme="minorEastAsia" w:eastAsiaTheme="minorEastAsia" w:cstheme="minorEastAsia"/>
                <w:color w:val="auto"/>
                <w:sz w:val="24"/>
                <w:szCs w:val="24"/>
                <w:highlight w:val="none"/>
                <w:lang w:val="en-US" w:eastAsia="zh-CN"/>
              </w:rPr>
              <w:t>完全</w:t>
            </w:r>
            <w:r>
              <w:rPr>
                <w:rFonts w:hint="eastAsia" w:asciiTheme="minorEastAsia" w:hAnsiTheme="minorEastAsia" w:eastAsiaTheme="minorEastAsia" w:cstheme="minorEastAsia"/>
                <w:color w:val="auto"/>
                <w:sz w:val="24"/>
                <w:szCs w:val="24"/>
                <w:highlight w:val="none"/>
              </w:rPr>
              <w:t>满足采购需求，配置合理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方案较全面，</w:t>
            </w:r>
            <w:r>
              <w:rPr>
                <w:rFonts w:hint="eastAsia" w:asciiTheme="minorEastAsia" w:hAnsiTheme="minorEastAsia" w:eastAsiaTheme="minorEastAsia" w:cstheme="minorEastAsia"/>
                <w:color w:val="auto"/>
                <w:sz w:val="24"/>
                <w:szCs w:val="24"/>
                <w:highlight w:val="none"/>
              </w:rPr>
              <w:t>针对</w:t>
            </w:r>
            <w:r>
              <w:rPr>
                <w:rFonts w:hint="eastAsia" w:asciiTheme="minorEastAsia" w:hAnsiTheme="minorEastAsia" w:eastAsiaTheme="minorEastAsia" w:cstheme="minorEastAsia"/>
                <w:color w:val="auto"/>
                <w:sz w:val="24"/>
                <w:szCs w:val="24"/>
                <w:highlight w:val="none"/>
                <w:lang w:val="en-US" w:eastAsia="zh-CN"/>
              </w:rPr>
              <w:t>性合理可行</w:t>
            </w:r>
            <w:r>
              <w:rPr>
                <w:rFonts w:hint="eastAsia" w:asciiTheme="minorEastAsia" w:hAnsiTheme="minorEastAsia" w:eastAsiaTheme="minorEastAsia" w:cstheme="minorEastAsia"/>
                <w:color w:val="auto"/>
                <w:sz w:val="24"/>
                <w:szCs w:val="24"/>
                <w:highlight w:val="none"/>
              </w:rPr>
              <w:t>、证明材料齐全计</w:t>
            </w:r>
            <w:r>
              <w:rPr>
                <w:rFonts w:hint="eastAsia" w:asciiTheme="minorEastAsia" w:hAnsiTheme="minorEastAsia" w:eastAsiaTheme="minorEastAsia" w:cstheme="minorEastAsia"/>
                <w:bCs/>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分；</w:t>
            </w:r>
          </w:p>
          <w:p>
            <w:pPr>
              <w:adjustRightInd w:val="0"/>
              <w:snapToGrid w:val="0"/>
              <w:spacing w:line="276"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配置</w:t>
            </w:r>
            <w:r>
              <w:rPr>
                <w:rFonts w:hint="eastAsia" w:asciiTheme="minorEastAsia" w:hAnsiTheme="minorEastAsia" w:eastAsiaTheme="minorEastAsia" w:cstheme="minorEastAsia"/>
                <w:color w:val="auto"/>
                <w:sz w:val="24"/>
                <w:szCs w:val="24"/>
                <w:highlight w:val="none"/>
                <w:lang w:val="en-US" w:eastAsia="zh-CN"/>
              </w:rPr>
              <w:t>较好</w:t>
            </w:r>
            <w:r>
              <w:rPr>
                <w:rFonts w:hint="eastAsia" w:asciiTheme="minorEastAsia" w:hAnsiTheme="minorEastAsia" w:eastAsiaTheme="minorEastAsia" w:cstheme="minorEastAsia"/>
                <w:color w:val="auto"/>
                <w:sz w:val="24"/>
                <w:szCs w:val="24"/>
                <w:highlight w:val="none"/>
              </w:rPr>
              <w:t>满足采购需求，</w:t>
            </w:r>
            <w:r>
              <w:rPr>
                <w:rFonts w:hint="eastAsia" w:asciiTheme="minorEastAsia" w:hAnsiTheme="minorEastAsia" w:eastAsiaTheme="minorEastAsia" w:cstheme="minorEastAsia"/>
                <w:color w:val="auto"/>
                <w:sz w:val="24"/>
                <w:szCs w:val="24"/>
                <w:highlight w:val="none"/>
                <w:lang w:val="en-US" w:eastAsia="zh-CN"/>
              </w:rPr>
              <w:t>较</w:t>
            </w:r>
            <w:r>
              <w:rPr>
                <w:rFonts w:hint="eastAsia" w:asciiTheme="minorEastAsia" w:hAnsiTheme="minorEastAsia" w:eastAsiaTheme="minorEastAsia" w:cstheme="minorEastAsia"/>
                <w:color w:val="auto"/>
                <w:sz w:val="24"/>
                <w:szCs w:val="24"/>
                <w:highlight w:val="none"/>
              </w:rPr>
              <w:t>合理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方案有</w:t>
            </w:r>
            <w:r>
              <w:rPr>
                <w:rFonts w:hint="eastAsia" w:asciiTheme="minorEastAsia" w:hAnsiTheme="minorEastAsia" w:eastAsiaTheme="minorEastAsia" w:cstheme="minorEastAsia"/>
                <w:color w:val="auto"/>
                <w:sz w:val="24"/>
                <w:szCs w:val="24"/>
                <w:highlight w:val="none"/>
              </w:rPr>
              <w:t>针对性、证明材料齐全计</w:t>
            </w:r>
            <w:r>
              <w:rPr>
                <w:rFonts w:hint="eastAsia" w:asciiTheme="minorEastAsia" w:hAnsiTheme="minorEastAsia" w:eastAsiaTheme="minorEastAsia" w:cstheme="minorEastAsia"/>
                <w:bCs/>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eastAsiaTheme="minorEastAsia" w:cstheme="minorEastAsia"/>
                <w:color w:val="auto"/>
                <w:sz w:val="24"/>
                <w:szCs w:val="24"/>
                <w:highlight w:val="none"/>
                <w:lang w:eastAsia="zh-CN"/>
              </w:rPr>
              <w:t>；</w:t>
            </w:r>
          </w:p>
          <w:p>
            <w:pPr>
              <w:adjustRightInd w:val="0"/>
              <w:snapToGrid w:val="0"/>
              <w:spacing w:line="276"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4.配置</w:t>
            </w:r>
            <w:r>
              <w:rPr>
                <w:rFonts w:hint="eastAsia" w:asciiTheme="minorEastAsia" w:hAnsiTheme="minorEastAsia" w:eastAsiaTheme="minorEastAsia" w:cstheme="minorEastAsia"/>
                <w:color w:val="auto"/>
                <w:sz w:val="24"/>
                <w:szCs w:val="24"/>
                <w:highlight w:val="none"/>
              </w:rPr>
              <w:t>基本合理、</w:t>
            </w:r>
            <w:r>
              <w:rPr>
                <w:rFonts w:hint="eastAsia" w:asciiTheme="minorEastAsia" w:hAnsiTheme="minorEastAsia" w:eastAsiaTheme="minorEastAsia" w:cstheme="minorEastAsia"/>
                <w:color w:val="auto"/>
                <w:sz w:val="24"/>
                <w:szCs w:val="24"/>
                <w:highlight w:val="none"/>
                <w:lang w:val="en-US" w:eastAsia="zh-CN"/>
              </w:rPr>
              <w:t>方案内容宽泛，</w:t>
            </w:r>
            <w:r>
              <w:rPr>
                <w:rFonts w:hint="eastAsia" w:asciiTheme="minorEastAsia" w:hAnsiTheme="minorEastAsia" w:eastAsiaTheme="minorEastAsia" w:cstheme="minorEastAsia"/>
                <w:color w:val="auto"/>
                <w:sz w:val="24"/>
                <w:szCs w:val="24"/>
                <w:highlight w:val="none"/>
              </w:rPr>
              <w:t>证明材料基本齐全计</w:t>
            </w: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分；</w:t>
            </w:r>
          </w:p>
          <w:p>
            <w:pPr>
              <w:adjustRightInd w:val="0"/>
              <w:snapToGrid w:val="0"/>
              <w:spacing w:line="276"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配置一般、针对性</w:t>
            </w:r>
            <w:r>
              <w:rPr>
                <w:rFonts w:hint="eastAsia" w:asciiTheme="minorEastAsia" w:hAnsiTheme="minorEastAsia" w:eastAsiaTheme="minorEastAsia" w:cstheme="minorEastAsia"/>
                <w:color w:val="auto"/>
                <w:sz w:val="24"/>
                <w:szCs w:val="24"/>
                <w:highlight w:val="none"/>
                <w:lang w:val="en-US" w:eastAsia="zh-CN"/>
              </w:rPr>
              <w:t>一般、证明材料缺失</w:t>
            </w:r>
            <w:r>
              <w:rPr>
                <w:rFonts w:hint="eastAsia" w:asciiTheme="minorEastAsia" w:hAnsiTheme="minorEastAsia" w:eastAsiaTheme="minorEastAsia" w:cstheme="minorEastAsia"/>
                <w:color w:val="auto"/>
                <w:sz w:val="24"/>
                <w:szCs w:val="24"/>
                <w:highlight w:val="none"/>
              </w:rPr>
              <w:t>计</w:t>
            </w:r>
            <w:r>
              <w:rPr>
                <w:rFonts w:hint="eastAsia" w:asciiTheme="minorEastAsia" w:hAnsiTheme="minorEastAsia" w:eastAsiaTheme="minorEastAsia" w:cstheme="minorEastAsia"/>
                <w:bCs/>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cstheme="minorEastAsia"/>
                <w:color w:val="auto"/>
                <w:sz w:val="24"/>
                <w:szCs w:val="24"/>
                <w:highlight w:val="none"/>
                <w:lang w:eastAsia="zh-CN"/>
              </w:rPr>
              <w:t>；</w:t>
            </w:r>
          </w:p>
          <w:p>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缺项不得分。</w:t>
            </w:r>
          </w:p>
        </w:tc>
        <w:tc>
          <w:tcPr>
            <w:tcW w:w="294" w:type="pct"/>
            <w:vMerge w:val="continue"/>
            <w:tcBorders>
              <w:left w:val="single" w:color="auto" w:sz="4" w:space="0"/>
              <w:right w:val="single" w:color="auto" w:sz="4" w:space="0"/>
            </w:tcBorders>
            <w:vAlign w:val="center"/>
          </w:tcPr>
          <w:p>
            <w:pPr>
              <w:spacing w:line="38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7" w:hRule="atLeast"/>
        </w:trPr>
        <w:tc>
          <w:tcPr>
            <w:tcW w:w="653" w:type="pct"/>
            <w:vMerge w:val="continue"/>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、项目团队</w:t>
            </w:r>
          </w:p>
          <w:p>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拟投入本项目人员</w:t>
            </w:r>
            <w:r>
              <w:rPr>
                <w:rFonts w:hint="eastAsia" w:asciiTheme="minorEastAsia" w:hAnsiTheme="minorEastAsia" w:cstheme="minorEastAsia"/>
                <w:color w:val="auto"/>
                <w:sz w:val="24"/>
                <w:szCs w:val="24"/>
                <w:highlight w:val="none"/>
                <w:lang w:eastAsia="zh-CN"/>
              </w:rPr>
              <w:t>：</w:t>
            </w:r>
          </w:p>
          <w:p>
            <w:pPr>
              <w:numPr>
                <w:ilvl w:val="0"/>
                <w:numId w:val="3"/>
              </w:num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有针对本项目的专业服务团队，</w:t>
            </w:r>
            <w:r>
              <w:rPr>
                <w:rFonts w:hint="eastAsia" w:asciiTheme="minorEastAsia" w:hAnsiTheme="minorEastAsia" w:eastAsiaTheme="minorEastAsia" w:cstheme="minorEastAsia"/>
                <w:sz w:val="24"/>
                <w:szCs w:val="24"/>
                <w:highlight w:val="none"/>
                <w:lang w:val="en-US" w:eastAsia="zh-CN"/>
              </w:rPr>
              <w:t>人员经验丰富、</w:t>
            </w:r>
            <w:r>
              <w:rPr>
                <w:rFonts w:hint="eastAsia" w:asciiTheme="minorEastAsia" w:hAnsiTheme="minorEastAsia" w:eastAsiaTheme="minorEastAsia" w:cstheme="minorEastAsia"/>
                <w:sz w:val="24"/>
                <w:szCs w:val="24"/>
                <w:highlight w:val="none"/>
              </w:rPr>
              <w:t>专业配置齐全，完全满足项目实施需求</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针对性强</w:t>
            </w:r>
            <w:r>
              <w:rPr>
                <w:rFonts w:hint="eastAsia" w:asciiTheme="minorEastAsia" w:hAnsiTheme="minorEastAsia" w:eastAsiaTheme="minorEastAsia" w:cstheme="minorEastAsia"/>
                <w:sz w:val="24"/>
                <w:szCs w:val="24"/>
                <w:highlight w:val="none"/>
              </w:rPr>
              <w:t>得 10 分；</w:t>
            </w:r>
          </w:p>
          <w:p>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有针对本项目的专业服务团队，人员配备数量充足，专业人员配备能够满足项目实施需要，分工有一定的合理性，专业配置齐全、</w:t>
            </w:r>
            <w:r>
              <w:rPr>
                <w:rFonts w:hint="eastAsia" w:asciiTheme="minorEastAsia" w:hAnsiTheme="minorEastAsia" w:eastAsiaTheme="minorEastAsia" w:cstheme="minorEastAsia"/>
                <w:sz w:val="24"/>
                <w:szCs w:val="24"/>
                <w:highlight w:val="none"/>
                <w:lang w:val="en-US" w:eastAsia="zh-CN"/>
              </w:rPr>
              <w:t>较</w:t>
            </w:r>
            <w:r>
              <w:rPr>
                <w:rFonts w:hint="eastAsia" w:asciiTheme="minorEastAsia" w:hAnsiTheme="minorEastAsia" w:eastAsiaTheme="minorEastAsia" w:cstheme="minorEastAsia"/>
                <w:sz w:val="24"/>
                <w:szCs w:val="24"/>
                <w:highlight w:val="none"/>
              </w:rPr>
              <w:t xml:space="preserve">满足项目需求得8分； </w:t>
            </w:r>
          </w:p>
          <w:p>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有</w:t>
            </w:r>
            <w:r>
              <w:rPr>
                <w:rFonts w:hint="eastAsia" w:asciiTheme="minorEastAsia" w:hAnsiTheme="minorEastAsia" w:eastAsiaTheme="minorEastAsia" w:cstheme="minorEastAsia"/>
                <w:sz w:val="24"/>
                <w:szCs w:val="24"/>
                <w:highlight w:val="none"/>
              </w:rPr>
              <w:t>专业服务团队，人员配备数量较充足、专业配置基本能够满足项目实施需要</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分工</w:t>
            </w:r>
            <w:r>
              <w:rPr>
                <w:rFonts w:hint="eastAsia" w:asciiTheme="minorEastAsia" w:hAnsiTheme="minorEastAsia" w:eastAsiaTheme="minorEastAsia" w:cstheme="minorEastAsia"/>
                <w:sz w:val="24"/>
                <w:szCs w:val="24"/>
                <w:highlight w:val="none"/>
                <w:lang w:val="en-US" w:eastAsia="zh-CN"/>
              </w:rPr>
              <w:t>基本</w:t>
            </w:r>
            <w:r>
              <w:rPr>
                <w:rFonts w:hint="eastAsia" w:asciiTheme="minorEastAsia" w:hAnsiTheme="minorEastAsia" w:eastAsiaTheme="minorEastAsia" w:cstheme="minorEastAsia"/>
                <w:sz w:val="24"/>
                <w:szCs w:val="24"/>
                <w:highlight w:val="none"/>
              </w:rPr>
              <w:t>明确得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xml:space="preserve">分； </w:t>
            </w:r>
          </w:p>
          <w:p>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有</w:t>
            </w:r>
            <w:r>
              <w:rPr>
                <w:rFonts w:hint="eastAsia" w:asciiTheme="minorEastAsia" w:hAnsiTheme="minorEastAsia" w:eastAsiaTheme="minorEastAsia" w:cstheme="minorEastAsia"/>
                <w:sz w:val="24"/>
                <w:szCs w:val="24"/>
                <w:highlight w:val="none"/>
              </w:rPr>
              <w:t>服务团队，人员配备数量</w:t>
            </w:r>
            <w:r>
              <w:rPr>
                <w:rFonts w:hint="eastAsia" w:asciiTheme="minorEastAsia" w:hAnsiTheme="minorEastAsia" w:eastAsiaTheme="minorEastAsia" w:cstheme="minorEastAsia"/>
                <w:sz w:val="24"/>
                <w:szCs w:val="24"/>
                <w:highlight w:val="none"/>
                <w:lang w:val="en-US" w:eastAsia="zh-CN"/>
              </w:rPr>
              <w:t>基本满足</w:t>
            </w:r>
            <w:r>
              <w:rPr>
                <w:rFonts w:hint="eastAsia" w:asciiTheme="minorEastAsia" w:hAnsiTheme="minorEastAsia" w:eastAsiaTheme="minorEastAsia" w:cstheme="minorEastAsia"/>
                <w:sz w:val="24"/>
                <w:szCs w:val="24"/>
                <w:highlight w:val="none"/>
              </w:rPr>
              <w:t>、专业配置基本能够满足项目实施需要</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分工</w:t>
            </w:r>
            <w:r>
              <w:rPr>
                <w:rFonts w:hint="eastAsia" w:asciiTheme="minorEastAsia" w:hAnsiTheme="minorEastAsia" w:eastAsiaTheme="minorEastAsia" w:cstheme="minorEastAsia"/>
                <w:sz w:val="24"/>
                <w:szCs w:val="24"/>
                <w:highlight w:val="none"/>
                <w:lang w:val="en-US" w:eastAsia="zh-CN"/>
              </w:rPr>
              <w:t>一般</w:t>
            </w:r>
            <w:r>
              <w:rPr>
                <w:rFonts w:hint="eastAsia" w:asciiTheme="minorEastAsia" w:hAnsiTheme="minorEastAsia" w:eastAsiaTheme="minorEastAsia" w:cstheme="minorEastAsia"/>
                <w:sz w:val="24"/>
                <w:szCs w:val="24"/>
                <w:highlight w:val="none"/>
              </w:rPr>
              <w:t>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分； </w:t>
            </w:r>
          </w:p>
          <w:p>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z w:val="24"/>
                <w:szCs w:val="24"/>
                <w:highlight w:val="none"/>
              </w:rPr>
              <w:t>有服务团队配置，但不能满足项目需求得2 分</w:t>
            </w:r>
            <w:r>
              <w:rPr>
                <w:rFonts w:hint="eastAsia" w:asciiTheme="minorEastAsia" w:hAnsiTheme="minorEastAsia" w:cstheme="minorEastAsia"/>
                <w:sz w:val="24"/>
                <w:szCs w:val="24"/>
                <w:highlight w:val="none"/>
                <w:lang w:eastAsia="zh-CN"/>
              </w:rPr>
              <w:t>；</w:t>
            </w:r>
          </w:p>
          <w:p>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缺项不得分。</w:t>
            </w:r>
          </w:p>
        </w:tc>
        <w:tc>
          <w:tcPr>
            <w:tcW w:w="294" w:type="pct"/>
            <w:vMerge w:val="continue"/>
            <w:tcBorders>
              <w:left w:val="single" w:color="auto" w:sz="4" w:space="0"/>
              <w:right w:val="single" w:color="auto" w:sz="4" w:space="0"/>
            </w:tcBorders>
            <w:vAlign w:val="center"/>
          </w:tcPr>
          <w:p>
            <w:pPr>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3" w:hRule="atLeast"/>
        </w:trPr>
        <w:tc>
          <w:tcPr>
            <w:tcW w:w="653" w:type="pct"/>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8、保密措施</w:t>
            </w:r>
          </w:p>
          <w:p>
            <w:pPr>
              <w:autoSpaceDE w:val="0"/>
              <w:autoSpaceDN w:val="0"/>
              <w:adjustRightInd w:val="0"/>
              <w:ind w:firstLine="240" w:firstLineChars="100"/>
              <w:rPr>
                <w:rFonts w:hint="eastAsia" w:ascii="宋体" w:hAnsi="宋体" w:eastAsia="宋体" w:cs="宋体"/>
                <w:color w:val="auto"/>
                <w:sz w:val="21"/>
                <w:szCs w:val="21"/>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工作保密措施</w:t>
            </w:r>
            <w:r>
              <w:rPr>
                <w:rFonts w:hint="eastAsia" w:asciiTheme="minorEastAsia" w:hAnsiTheme="minorEastAsia" w:cstheme="minorEastAsia"/>
                <w:sz w:val="24"/>
                <w:szCs w:val="24"/>
                <w:highlight w:val="none"/>
                <w:lang w:eastAsia="zh-CN"/>
              </w:rPr>
              <w:t>：</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保密措施合理性、可行性强，奖罚机制明确，保密培训</w:t>
            </w:r>
            <w:r>
              <w:rPr>
                <w:rFonts w:hint="eastAsia" w:asciiTheme="minorEastAsia" w:hAnsiTheme="minorEastAsia" w:cstheme="minorEastAsia"/>
                <w:sz w:val="24"/>
                <w:szCs w:val="24"/>
                <w:highlight w:val="none"/>
                <w:lang w:val="en-US" w:eastAsia="zh-CN"/>
              </w:rPr>
              <w:t>方案针对性强</w:t>
            </w:r>
            <w:r>
              <w:rPr>
                <w:rFonts w:hint="eastAsia" w:asciiTheme="minorEastAsia" w:hAnsiTheme="minorEastAsia" w:eastAsiaTheme="minorEastAsia" w:cstheme="minorEastAsia"/>
                <w:sz w:val="24"/>
                <w:szCs w:val="24"/>
                <w:highlight w:val="none"/>
              </w:rPr>
              <w:t>得5分；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保密措施内容基本合理、可行，奖罚机制明确，保密培训</w:t>
            </w:r>
            <w:r>
              <w:rPr>
                <w:rFonts w:hint="eastAsia" w:asciiTheme="minorEastAsia" w:hAnsiTheme="minorEastAsia" w:cstheme="minorEastAsia"/>
                <w:sz w:val="24"/>
                <w:szCs w:val="24"/>
                <w:highlight w:val="none"/>
                <w:lang w:val="en-US" w:eastAsia="zh-CN"/>
              </w:rPr>
              <w:t>方案可行</w:t>
            </w:r>
            <w:r>
              <w:rPr>
                <w:rFonts w:hint="eastAsia" w:asciiTheme="minorEastAsia" w:hAnsiTheme="minorEastAsia" w:eastAsiaTheme="minorEastAsia" w:cstheme="minorEastAsia"/>
                <w:sz w:val="24"/>
                <w:szCs w:val="24"/>
                <w:highlight w:val="none"/>
              </w:rPr>
              <w:t>得4分；</w:t>
            </w:r>
          </w:p>
          <w:p>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有保密措施，内容简单，可行性一般，奖罚机制</w:t>
            </w:r>
            <w:r>
              <w:rPr>
                <w:rFonts w:hint="eastAsia" w:asciiTheme="minorEastAsia" w:hAnsiTheme="minorEastAsia" w:cstheme="minorEastAsia"/>
                <w:sz w:val="24"/>
                <w:szCs w:val="24"/>
                <w:highlight w:val="none"/>
                <w:lang w:val="en-US" w:eastAsia="zh-CN"/>
              </w:rPr>
              <w:t>不明确</w:t>
            </w:r>
            <w:r>
              <w:rPr>
                <w:rFonts w:hint="eastAsia" w:asciiTheme="minorEastAsia" w:hAnsiTheme="minorEastAsia" w:eastAsiaTheme="minorEastAsia" w:cstheme="minorEastAsia"/>
                <w:sz w:val="24"/>
                <w:szCs w:val="24"/>
                <w:highlight w:val="none"/>
              </w:rPr>
              <w:t>，保密培训</w:t>
            </w:r>
            <w:r>
              <w:rPr>
                <w:rFonts w:hint="eastAsia" w:asciiTheme="minorEastAsia" w:hAnsiTheme="minorEastAsia" w:cstheme="minorEastAsia"/>
                <w:sz w:val="24"/>
                <w:szCs w:val="24"/>
                <w:highlight w:val="none"/>
                <w:lang w:val="en-US" w:eastAsia="zh-CN"/>
              </w:rPr>
              <w:t>方案一般</w:t>
            </w:r>
            <w:r>
              <w:rPr>
                <w:rFonts w:hint="eastAsia" w:asciiTheme="minorEastAsia" w:hAnsiTheme="minorEastAsia" w:eastAsiaTheme="minorEastAsia" w:cstheme="minorEastAsia"/>
                <w:sz w:val="24"/>
                <w:szCs w:val="24"/>
                <w:highlight w:val="none"/>
              </w:rPr>
              <w:t xml:space="preserve">得3分； </w:t>
            </w:r>
          </w:p>
          <w:p>
            <w:pPr>
              <w:autoSpaceDE w:val="0"/>
              <w:autoSpaceDN w:val="0"/>
              <w:adjustRightInd w:val="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措施内容不全，不合理，不具备实施性得1分</w:t>
            </w:r>
            <w:r>
              <w:rPr>
                <w:rFonts w:hint="eastAsia" w:asciiTheme="minorEastAsia" w:hAnsiTheme="minorEastAsia" w:eastAsiaTheme="minorEastAsia" w:cstheme="minorEastAsia"/>
                <w:sz w:val="24"/>
                <w:szCs w:val="24"/>
                <w:highlight w:val="none"/>
                <w:lang w:eastAsia="zh-CN"/>
              </w:rPr>
              <w:t>；</w:t>
            </w:r>
          </w:p>
          <w:p>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缺项不得分。</w:t>
            </w:r>
          </w:p>
        </w:tc>
        <w:tc>
          <w:tcPr>
            <w:tcW w:w="294" w:type="pct"/>
            <w:vMerge w:val="continue"/>
            <w:tcBorders>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653" w:type="pct"/>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sz w:val="24"/>
                <w:szCs w:val="24"/>
                <w:highlight w:val="none"/>
              </w:rPr>
              <w:t>类似业绩</w:t>
            </w:r>
          </w:p>
        </w:tc>
        <w:tc>
          <w:tcPr>
            <w:tcW w:w="4052"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color w:val="auto"/>
                <w:sz w:val="21"/>
                <w:szCs w:val="21"/>
                <w:highlight w:val="none"/>
              </w:rPr>
            </w:pPr>
            <w:r>
              <w:rPr>
                <w:rFonts w:hint="eastAsia" w:ascii="宋体" w:hAnsi="宋体" w:eastAsia="宋体" w:cs="宋体"/>
                <w:sz w:val="24"/>
                <w:szCs w:val="24"/>
                <w:highlight w:val="none"/>
              </w:rPr>
              <w:t>以供应商</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文件中所提供的近三年（指2022年1月1日至</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文件递交截止时间，以合同签订时间为准）类似项目业绩合同复印件（加盖公章）为准进行评审打分，每提供一项业绩合同得1分，本项最高得分为5分。响应文件中未提供业绩合同复印件者不得分。</w:t>
            </w:r>
          </w:p>
        </w:tc>
        <w:tc>
          <w:tcPr>
            <w:tcW w:w="294" w:type="pct"/>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3"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注：</w:t>
            </w:r>
          </w:p>
          <w:p>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1）各评委独立打分。</w:t>
            </w:r>
          </w:p>
          <w:p>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2）评委打分超过得分界限或未按本表规定赋分时，该评委的打分无效，不计入汇总分。</w:t>
            </w:r>
          </w:p>
          <w:p>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3）若出现综合得分相同的并列。</w:t>
            </w:r>
          </w:p>
          <w:p>
            <w:pPr>
              <w:spacing w:line="38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4）各种计算采用插入法，最终结果数字保留二位小数，第三位“四舍五入”。</w:t>
            </w:r>
          </w:p>
        </w:tc>
      </w:tr>
    </w:tbl>
    <w:p>
      <w:pPr>
        <w:pStyle w:val="106"/>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4．推荐中标候选人</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pPr>
        <w:pStyle w:val="106"/>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5．编写评审报告</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评审报告是评标委员会根据全体评标成员签字的原始评标记录和评标结果编写的报告，其主要内容包括：</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（1）招标公告刊登的媒体名称、开标日期和地点；</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（2）投标供应商名单和评标委员会成员名单；</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（3）评标方法；</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（4）开标记录和评标情况及说明，包括投标无效供应商名单及原因；</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（5）评标结果，确定的中标候选人名单或者经采购人委托直接确定的中标供应商；</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（6）其他需要说明的情况，包括评标过程中投标供应商根据评标委员会要求进行的澄清、说明或者补正，评标委员会成员的更换等。</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（三）评标争议处理规则</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（四）评审现场人员的保密责任</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（五）视同供应商串通投标的情形，其投标无效：</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1．不同供应商的投标文件由同一单位或者个人编制；</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2．不同供应商委托同一单位或者个人办理投标事宜；</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3．不同供应商的投标文件载明的项目管理成员或者联系人员为同一人；</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4．不同供应商的投标文件异常一致或者投标报价呈规律性差异。</w:t>
      </w:r>
    </w:p>
    <w:p>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八、中标</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1．采购代理机构在评标工作结束后2个工作日内将评审报告送采购人。</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3．采购代理机构将在中标供应商确定之日起2个工作日内，在【</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陕西省政府采购网</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http://www.ccgp-shaanxi.gov.cn/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）上公布中标结果。中标公告期限为1个工作日。</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4．在公告中标结果的同时，采购代理机构将向中标供应商发出中标通知书，中标供应商在领取中标通知书时提供一正两副纸质投标文件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6．采购代理机构按照相关规定将评审报告送监管机构备案。</w:t>
      </w:r>
    </w:p>
    <w:p>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九、合同签订、履行及验收</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招标文件、投标文件、澄清、补充合同等为政府采购合同的组成部分，具有同等法律效力。</w:t>
      </w:r>
    </w:p>
    <w:p>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（一）签订政府采购合同</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1．自中标通知书发出之日起</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日内，采购人与中标供应商应按招标文件和中标供应商投标文件的约定，签订书面合同。</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2．中标供应商拒绝与采购人签订合同的，采购人可以按照《政府采购法实施条例》第四十九条规定，确定下一候选人为中标供应商，也可以重新开展政府采购活动。</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4．质疑或者投诉事项可能影响中标、成交结果的，采购人应当暂停签订合同，已经签订合同的，应当中止履行合同。</w:t>
      </w:r>
    </w:p>
    <w:p>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（二）合同公告及备案</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1．采购人应当自政府采购合同签订之日起2个工作日内，在陕西省政府采购网对合同进行公示，但政府采购合同中涉及国家秘密、商业秘密的内容除外。</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2．采购人应自合同签订之日起7个工作日内将政府采购合同报送监管机构备案。</w:t>
      </w:r>
    </w:p>
    <w:p>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（三）履行合同</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1．合同一经签订，双方应严格履行合同规定的义务。</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2．在合同履行过程中，如发生合同纠纷，合同双方应按照《中华人民共和国民法典》及合同条款的有关规定进行处理。</w:t>
      </w:r>
    </w:p>
    <w:p>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（四）验收或考核</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1．采购人严格按照国家相关法律法规的要求及招标文件的要求组织验收或考核。</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2．采购人按《关于促进政府采购公平竞争优化营商环境的通知》（财库〔2019〕38号）、《保障中小企业款项支付条例》（国务院令第728号）等规定及采购合同的约定进行支付合同款项。</w:t>
      </w:r>
    </w:p>
    <w:p>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十、废标及重新招标</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2．根据《政府采购法》第三十六条规定，在招标采购中，出现下列情形之一的，本项目按废标处理：</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（1）出现影响采购公正的违法、违规行为的；</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（2）供应商的报价均超过了采购预算，采购人不能支付的；</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（3）因重大变故，采购任务取消的。</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废标后，除采购任务取消外，本项目将重新组织招标。</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4．招标文件未明确的其他事项，按《政府采购法》及其相关法律法规执行。</w:t>
      </w:r>
    </w:p>
    <w:p>
      <w:pPr>
        <w:outlineLvl w:val="9"/>
        <w:rPr>
          <w:rFonts w:hint="eastAsia" w:ascii="宋体" w:hAnsi="宋体" w:eastAsia="宋体" w:cs="宋体"/>
          <w:color w:val="auto"/>
          <w:sz w:val="32"/>
          <w:szCs w:val="32"/>
          <w:highlight w:val="none"/>
        </w:rPr>
      </w:pPr>
      <w:bookmarkStart w:id="19" w:name="_Toc100219614"/>
      <w:r>
        <w:rPr>
          <w:rFonts w:hint="eastAsia" w:ascii="宋体" w:hAnsi="宋体" w:eastAsia="宋体" w:cs="宋体"/>
          <w:color w:val="auto"/>
          <w:sz w:val="32"/>
          <w:szCs w:val="32"/>
          <w:highlight w:val="none"/>
        </w:rPr>
        <w:br w:type="page"/>
      </w:r>
    </w:p>
    <w:p>
      <w:pPr>
        <w:spacing w:line="360" w:lineRule="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highlight w:val="none"/>
          <w:lang w:eastAsia="zh-CN"/>
        </w:rPr>
        <w:t>附件一</w:t>
      </w:r>
    </w:p>
    <w:p>
      <w:pPr>
        <w:spacing w:before="90" w:after="0" w:line="360" w:lineRule="auto"/>
        <w:ind w:left="3157"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8"/>
          <w:sz w:val="24"/>
          <w:szCs w:val="24"/>
          <w:highlight w:val="none"/>
        </w:rPr>
        <w:t>“政采贷”业务介绍</w:t>
      </w:r>
    </w:p>
    <w:p>
      <w:pPr>
        <w:spacing w:before="279" w:after="0" w:line="360" w:lineRule="auto"/>
        <w:ind w:left="48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政采贷，即政府采购合同融资，是银行机构以政府采购诚信考核和信用审查</w:t>
      </w:r>
    </w:p>
    <w:p>
      <w:pPr>
        <w:spacing w:before="312"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为基础，凭借中小企业取得并提供的政府采购合同，按优于一般中小企业贷款的</w:t>
      </w:r>
    </w:p>
    <w:p>
      <w:pPr>
        <w:spacing w:before="309"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利率直接向申请贷款的中小企业发放贷款的一种新融资方式。政府采购贷特点政</w:t>
      </w:r>
    </w:p>
    <w:p>
      <w:pPr>
        <w:spacing w:before="309"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5"/>
          <w:sz w:val="24"/>
          <w:szCs w:val="24"/>
          <w:highlight w:val="none"/>
        </w:rPr>
        <w:t>采贷以中小企业的政府采购信用和国库集中支付作为履约保障的政府采购合同</w:t>
      </w:r>
    </w:p>
    <w:p>
      <w:pPr>
        <w:pStyle w:val="113"/>
        <w:spacing w:before="40"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为基础，借力政府采购诚信保障，提供了银企对接的机会和相关的服务支持。</w:t>
      </w:r>
    </w:p>
    <w:p>
      <w:pPr>
        <w:spacing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br w:type="page"/>
      </w:r>
    </w:p>
    <w:p>
      <w:pPr>
        <w:pStyle w:val="113"/>
        <w:spacing w:before="40" w:line="420" w:lineRule="exact"/>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附件二</w:t>
      </w:r>
    </w:p>
    <w:p>
      <w:pPr>
        <w:spacing w:before="281" w:after="0" w:line="360" w:lineRule="auto"/>
        <w:ind w:left="480" w:right="0" w:firstLine="0"/>
        <w:jc w:val="center"/>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陕西政府采购供应商信用融资信息服务平台操作手册</w:t>
      </w:r>
    </w:p>
    <w:p>
      <w:pPr>
        <w:keepNext w:val="0"/>
        <w:keepLines w:val="0"/>
        <w:pageBreakBefore w:val="0"/>
        <w:widowControl w:val="0"/>
        <w:kinsoku/>
        <w:wordWrap/>
        <w:overflowPunct/>
        <w:topLinePunct w:val="0"/>
        <w:autoSpaceDE/>
        <w:autoSpaceDN/>
        <w:bidi w:val="0"/>
        <w:adjustRightInd/>
        <w:snapToGrid/>
        <w:spacing w:before="281"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陕西政府采购供应商信用融资信息服务平台主要功能为：供应商凭中标项目</w:t>
      </w:r>
    </w:p>
    <w:p>
      <w:pPr>
        <w:keepNext w:val="0"/>
        <w:keepLines w:val="0"/>
        <w:pageBreakBefore w:val="0"/>
        <w:widowControl w:val="0"/>
        <w:kinsoku/>
        <w:wordWrap/>
        <w:overflowPunct/>
        <w:topLinePunct w:val="0"/>
        <w:autoSpaceDE/>
        <w:autoSpaceDN/>
        <w:bidi w:val="0"/>
        <w:adjustRightInd/>
        <w:snapToGrid/>
        <w:spacing w:before="309"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或成交合提交融资意向，查看融资申请进度等功能，本操作手册将详细说明这些</w:t>
      </w:r>
    </w:p>
    <w:p>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功能。</w:t>
      </w:r>
    </w:p>
    <w:p>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1、首页</w:t>
      </w:r>
    </w:p>
    <w:p>
      <w:pPr>
        <w:keepNext w:val="0"/>
        <w:keepLines w:val="0"/>
        <w:pageBreakBefore w:val="0"/>
        <w:widowControl w:val="0"/>
        <w:kinsoku/>
        <w:wordWrap/>
        <w:overflowPunct/>
        <w:topLinePunct w:val="0"/>
        <w:autoSpaceDE/>
        <w:autoSpaceDN/>
        <w:bidi w:val="0"/>
        <w:adjustRightInd/>
        <w:snapToGrid/>
        <w:spacing w:before="310"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平台首页主要呈现陕西政府采购信用融资相关政策法规、基本操作流程及供</w:t>
      </w:r>
    </w:p>
    <w:p>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应商帮助内容，供应商企业可由登录注册模块登录平台。</w:t>
      </w:r>
    </w:p>
    <w:p>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2、登录</w:t>
      </w:r>
    </w:p>
    <w:p>
      <w:pPr>
        <w:keepNext w:val="0"/>
        <w:keepLines w:val="0"/>
        <w:pageBreakBefore w:val="0"/>
        <w:widowControl w:val="0"/>
        <w:kinsoku/>
        <w:wordWrap/>
        <w:overflowPunct/>
        <w:topLinePunct w:val="0"/>
        <w:autoSpaceDE/>
        <w:autoSpaceDN/>
        <w:bidi w:val="0"/>
        <w:adjustRightInd/>
        <w:snapToGrid/>
        <w:spacing w:before="309" w:after="0" w:line="240" w:lineRule="auto"/>
        <w:ind w:left="96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陕西政府采购网的中标企业可用手机号注册用户，注册时需要填写企业</w:t>
      </w:r>
    </w:p>
    <w:p>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b/>
          <w:color w:val="auto"/>
          <w:sz w:val="24"/>
          <w:highlight w:val="none"/>
          <w:lang w:eastAsia="zh-CN"/>
        </w:rPr>
      </w:pPr>
      <w:r>
        <w:rPr>
          <w:rFonts w:hint="eastAsia" w:ascii="宋体" w:hAnsi="宋体" w:eastAsia="宋体" w:cs="宋体"/>
          <w:color w:val="auto"/>
          <w:spacing w:val="0"/>
          <w:sz w:val="24"/>
          <w:highlight w:val="none"/>
        </w:rPr>
        <w:t>名称及社会统一信用代码等信息，如下图：</w:t>
      </w:r>
    </w:p>
    <w:p>
      <w:pPr>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drawing>
          <wp:inline distT="0" distB="0" distL="114300" distR="114300">
            <wp:extent cx="5502910" cy="3246755"/>
            <wp:effectExtent l="0" t="0" r="254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8"/>
                    <a:stretch>
                      <a:fillRect/>
                    </a:stretch>
                  </pic:blipFill>
                  <pic:spPr>
                    <a:xfrm>
                      <a:off x="0" y="0"/>
                      <a:ext cx="5502910" cy="3246755"/>
                    </a:xfrm>
                    <a:prstGeom prst="rect">
                      <a:avLst/>
                    </a:prstGeom>
                  </pic:spPr>
                </pic:pic>
              </a:graphicData>
            </a:graphic>
          </wp:inline>
        </w:drawing>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rPr>
          <w:rFonts w:hint="eastAsia" w:ascii="宋体" w:hAnsi="宋体" w:eastAsia="宋体" w:cs="宋体"/>
          <w:color w:val="auto"/>
          <w:spacing w:val="0"/>
          <w:sz w:val="24"/>
          <w:highlight w:val="none"/>
        </w:rPr>
      </w:pPr>
      <w:bookmarkStart w:id="20" w:name="OLE_LINK2"/>
      <w:r>
        <w:rPr>
          <w:rFonts w:hint="eastAsia" w:ascii="宋体" w:hAnsi="宋体" w:eastAsia="宋体" w:cs="宋体"/>
          <w:color w:val="auto"/>
          <w:spacing w:val="0"/>
          <w:sz w:val="24"/>
          <w:highlight w:val="none"/>
        </w:rPr>
        <w:t>注册成功后，凭手机登录平台，如下图，点击首页：</w:t>
      </w:r>
    </w:p>
    <w:bookmarkEnd w:id="20"/>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9"/>
                    <a:stretch>
                      <a:fillRect/>
                    </a:stretch>
                  </pic:blipFill>
                  <pic:spPr>
                    <a:xfrm>
                      <a:off x="0" y="0"/>
                      <a:ext cx="5502910" cy="3104515"/>
                    </a:xfrm>
                    <a:prstGeom prst="rect">
                      <a:avLst/>
                    </a:prstGeom>
                  </pic:spPr>
                </pic:pic>
              </a:graphicData>
            </a:graphic>
          </wp:inline>
        </w:drawing>
      </w:r>
    </w:p>
    <w:p>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3.点击“可融资项目/合同”，再点击申请贷款：</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0"/>
                    <a:stretch>
                      <a:fillRect/>
                    </a:stretch>
                  </pic:blipFill>
                  <pic:spPr>
                    <a:xfrm>
                      <a:off x="0" y="0"/>
                      <a:ext cx="5490845" cy="3096260"/>
                    </a:xfrm>
                    <a:prstGeom prst="rect">
                      <a:avLst/>
                    </a:prstGeom>
                  </pic:spPr>
                </pic:pic>
              </a:graphicData>
            </a:graphic>
          </wp:inline>
        </w:drawing>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4.勾选融资意向书：</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1"/>
                    <a:stretch>
                      <a:fillRect/>
                    </a:stretch>
                  </pic:blipFill>
                  <pic:spPr>
                    <a:xfrm>
                      <a:off x="0" y="0"/>
                      <a:ext cx="5490845" cy="3096260"/>
                    </a:xfrm>
                    <a:prstGeom prst="rect">
                      <a:avLst/>
                    </a:prstGeom>
                  </pic:spPr>
                </pic:pic>
              </a:graphicData>
            </a:graphic>
          </wp:inline>
        </w:drawing>
      </w:r>
    </w:p>
    <w:p>
      <w:pPr>
        <w:spacing w:before="0" w:after="0" w:line="360" w:lineRule="auto"/>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5.</w:t>
      </w:r>
      <w:r>
        <w:rPr>
          <w:rFonts w:hint="eastAsia" w:ascii="宋体" w:hAnsi="宋体" w:eastAsia="宋体" w:cs="宋体"/>
          <w:color w:val="auto"/>
          <w:spacing w:val="-3"/>
          <w:sz w:val="24"/>
          <w:highlight w:val="none"/>
        </w:rPr>
        <w:t>页面下拉，输入贷款金额、预计用款周期、可接受利率、贷款资金用途，点击</w:t>
      </w:r>
      <w:r>
        <w:rPr>
          <w:rFonts w:hint="eastAsia" w:ascii="宋体" w:hAnsi="宋体" w:eastAsia="宋体" w:cs="宋体"/>
          <w:color w:val="auto"/>
          <w:spacing w:val="0"/>
          <w:sz w:val="24"/>
          <w:highlight w:val="none"/>
        </w:rPr>
        <w:t>保存，选择办理贷款机构所在地，然后点击下一步。</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2"/>
                    <a:stretch>
                      <a:fillRect/>
                    </a:stretch>
                  </pic:blipFill>
                  <pic:spPr>
                    <a:xfrm>
                      <a:off x="0" y="0"/>
                      <a:ext cx="5502910" cy="3104515"/>
                    </a:xfrm>
                    <a:prstGeom prst="rect">
                      <a:avLst/>
                    </a:prstGeom>
                  </pic:spPr>
                </pic:pic>
              </a:graphicData>
            </a:graphic>
          </wp:inline>
        </w:drawing>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6.在意向银行列点击提交贷款意向并确定：</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3"/>
                    <a:stretch>
                      <a:fillRect/>
                    </a:stretch>
                  </pic:blipFill>
                  <pic:spPr>
                    <a:xfrm>
                      <a:off x="0" y="0"/>
                      <a:ext cx="5502910" cy="3104515"/>
                    </a:xfrm>
                    <a:prstGeom prst="rect">
                      <a:avLst/>
                    </a:prstGeom>
                  </pic:spPr>
                </pic:pic>
              </a:graphicData>
            </a:graphic>
          </wp:inline>
        </w:drawing>
      </w:r>
    </w:p>
    <w:p>
      <w:pP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7.在申请进度栏即可查看本笔融资进度：</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4"/>
                    <a:stretch>
                      <a:fillRect/>
                    </a:stretch>
                  </pic:blipFill>
                  <pic:spPr>
                    <a:xfrm>
                      <a:off x="0" y="0"/>
                      <a:ext cx="5490845" cy="3096260"/>
                    </a:xfrm>
                    <a:prstGeom prst="rect">
                      <a:avLst/>
                    </a:prstGeom>
                  </pic:spPr>
                </pic:pic>
              </a:graphicData>
            </a:graphic>
          </wp:inline>
        </w:drawing>
      </w:r>
    </w:p>
    <w:p>
      <w:pPr>
        <w:rPr>
          <w:rFonts w:hint="eastAsia" w:ascii="宋体" w:hAnsi="宋体" w:eastAsia="宋体" w:cs="宋体"/>
          <w:color w:val="auto"/>
          <w:highlight w:val="none"/>
          <w:lang w:eastAsia="zh-CN"/>
        </w:rPr>
      </w:pPr>
    </w:p>
    <w:p>
      <w:pPr>
        <w:rPr>
          <w:rFonts w:hint="eastAsia" w:ascii="宋体" w:hAnsi="宋体" w:eastAsia="宋体" w:cs="宋体"/>
          <w:color w:val="auto"/>
          <w:sz w:val="32"/>
          <w:szCs w:val="32"/>
          <w:highlight w:val="none"/>
        </w:rPr>
      </w:pPr>
    </w:p>
    <w:p>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pPr>
        <w:pStyle w:val="2"/>
        <w:tabs>
          <w:tab w:val="left" w:pos="4631"/>
        </w:tabs>
        <w:ind w:right="113"/>
        <w:jc w:val="center"/>
        <w:rPr>
          <w:rFonts w:hint="eastAsia" w:ascii="宋体" w:hAnsi="宋体" w:eastAsia="宋体" w:cs="宋体"/>
          <w:b/>
          <w:bCs/>
          <w:color w:val="auto"/>
          <w:sz w:val="32"/>
          <w:szCs w:val="32"/>
          <w:highlight w:val="none"/>
          <w:lang w:eastAsia="zh-CN"/>
        </w:rPr>
      </w:pPr>
      <w:bookmarkStart w:id="21" w:name="_Toc12152"/>
      <w:bookmarkStart w:id="22" w:name="_Toc30053"/>
      <w:bookmarkStart w:id="23" w:name="_Toc12670"/>
      <w:r>
        <w:rPr>
          <w:rFonts w:hint="eastAsia" w:ascii="宋体" w:hAnsi="宋体" w:eastAsia="宋体" w:cs="宋体"/>
          <w:b/>
          <w:bCs/>
          <w:color w:val="auto"/>
          <w:sz w:val="32"/>
          <w:szCs w:val="32"/>
          <w:highlight w:val="none"/>
          <w:lang w:eastAsia="zh-CN"/>
        </w:rPr>
        <w:t>第三章  招标内容及要求</w:t>
      </w:r>
      <w:bookmarkEnd w:id="19"/>
      <w:bookmarkEnd w:id="21"/>
      <w:bookmarkEnd w:id="22"/>
      <w:bookmarkEnd w:id="23"/>
    </w:p>
    <w:p>
      <w:pPr>
        <w:pStyle w:val="16"/>
        <w:spacing w:line="560" w:lineRule="exact"/>
        <w:rPr>
          <w:rFonts w:hint="eastAsia" w:ascii="宋体" w:hAnsi="宋体" w:eastAsia="宋体" w:cs="宋体"/>
          <w:b/>
          <w:bCs/>
          <w:color w:val="auto"/>
          <w:sz w:val="28"/>
          <w:szCs w:val="28"/>
          <w:highlight w:val="none"/>
        </w:rPr>
      </w:pPr>
      <w:bookmarkStart w:id="24" w:name="_Toc627"/>
      <w:bookmarkStart w:id="25" w:name="_Toc20186"/>
      <w:bookmarkStart w:id="26" w:name="_Toc5471"/>
      <w:bookmarkStart w:id="27" w:name="_Toc100219615"/>
      <w:r>
        <w:rPr>
          <w:rFonts w:hint="eastAsia" w:ascii="宋体" w:hAnsi="宋体" w:eastAsia="宋体" w:cs="宋体"/>
          <w:b/>
          <w:bCs/>
          <w:color w:val="auto"/>
          <w:sz w:val="28"/>
          <w:szCs w:val="28"/>
          <w:highlight w:val="none"/>
        </w:rPr>
        <w:t>一、项目概况</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CB2-1-568 宗地位于广运潭大道以东，欧亚六路以北，该宗地面积 25.349 亩。</w:t>
      </w:r>
    </w:p>
    <w:p>
      <w:pPr>
        <w:pStyle w:val="16"/>
        <w:spacing w:line="560" w:lineRule="exact"/>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二、服务内容</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配合CB2-1-568宗地区域内考古发掘单位按时完成土方工作及倒运工作、现场安全管理、支护加固等内容。</w:t>
      </w:r>
    </w:p>
    <w:p>
      <w:pPr>
        <w:pStyle w:val="16"/>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三、技术要求</w:t>
      </w:r>
    </w:p>
    <w:p>
      <w:pPr>
        <w:pStyle w:val="16"/>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1、供应商应根据国家和省、市有关法律法规及招标人的有关规定，配合考古发掘单位按时完成土方工作及倒运工作、现场安全管理、支护加固等。</w:t>
      </w:r>
    </w:p>
    <w:p>
      <w:pPr>
        <w:pStyle w:val="16"/>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2、供应商的服务方案符合相关要求并切实可行。</w:t>
      </w:r>
    </w:p>
    <w:p>
      <w:pPr>
        <w:pStyle w:val="16"/>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3、供应商应拥有足够的人力、财力、物力和专业技术能力等资源保证按时按质按量完成委托业务。</w:t>
      </w:r>
    </w:p>
    <w:p>
      <w:pPr>
        <w:pStyle w:val="16"/>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4、供应商应对自身安全负责，并给项目人员提供相应的保险保障。</w:t>
      </w:r>
    </w:p>
    <w:p>
      <w:pPr>
        <w:pStyle w:val="16"/>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5、供应商应有健全的组织机构和内部管理制度，有完善的质量保证体系和安全管理制度。定期对人员进行相关文物、考古知识的培训。</w:t>
      </w:r>
    </w:p>
    <w:p>
      <w:pPr>
        <w:pStyle w:val="16"/>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四、服务要求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1、如被确认中标，则供应商于投标文件中承诺配备的人员必须配备到位，若需更换人员应先征得招标人同意，且替换的人员不低于被替换的人员的资质等级及工作能力。</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2、中标单位应独立完成工作任务，不得以任何形式将工作任务再委托其他个人和机构。</w:t>
      </w:r>
    </w:p>
    <w:p>
      <w:pPr>
        <w:pStyle w:val="16"/>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五、商务要求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1、服务期:自合同签订之日起三个月。</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2、付款方式:完成考古发掘工作，通过省考古院验收，乙方须协助甲方在15日历日内取得考古发掘报告后，甲方30日历日内一次性支付该结算价款。</w:t>
      </w:r>
    </w:p>
    <w:p>
      <w:pPr>
        <w:pStyle w:val="16"/>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六、其他</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1、质量验收标准或规范</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符合现行的国家标准或国家行政部门颁布的法律法规、规章制度。</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2、违约责任</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乙方未能按时完工的，每延期一日应按结算总价款的3‰/天向甲方支付违约金(甲方有权从未支付款项中扣除);无故延期15日以上视为根本性违约，甲方有权解除本合同，乙方除应全额退还甲方已支付的工程款外，还应向甲方支付违约金。</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(2)工程出现质量问题视为乙方严重违约，视情节轻重乙方应按工程款的10%-30%向甲方支付违约金(甲方有权从未支付款项中扣除)，此外应赔偿因此给甲方造成的损失。</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(3)乙方擅自解除或终止本合同的，乙方应按结算总价款的20%向甲方支付违约金。</w:t>
      </w:r>
    </w:p>
    <w:p>
      <w:pPr>
        <w:pStyle w:val="2"/>
        <w:tabs>
          <w:tab w:val="left" w:pos="4631"/>
        </w:tabs>
        <w:ind w:right="113" w:firstLine="560" w:firstLineChars="200"/>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最高单价限价：最高综合控制单价为800元/㎡。 人工土方配合费计算公式=每平方米单价*深度系数*发掘面积(深度系数、发掘面积依据发掘技术单位的技术决算)。 本项目采取单价报价制，供应商报价超出最高单价限价，作为不实质性响应</w:t>
      </w:r>
      <w:r>
        <w:rPr>
          <w:rFonts w:hint="eastAsia" w:ascii="宋体" w:hAnsi="宋体" w:eastAsia="宋体" w:cs="宋体"/>
          <w:b/>
          <w:bCs/>
          <w:color w:val="auto"/>
          <w:sz w:val="28"/>
          <w:szCs w:val="28"/>
          <w:highlight w:val="none"/>
          <w:lang w:val="en-US" w:eastAsia="zh-CN"/>
        </w:rPr>
        <w:t>投标</w:t>
      </w:r>
      <w:r>
        <w:rPr>
          <w:rFonts w:hint="eastAsia" w:ascii="宋体" w:hAnsi="宋体" w:eastAsia="宋体" w:cs="宋体"/>
          <w:b/>
          <w:bCs/>
          <w:color w:val="auto"/>
          <w:sz w:val="28"/>
          <w:szCs w:val="28"/>
          <w:highlight w:val="none"/>
        </w:rPr>
        <w:t>文件，按无效</w:t>
      </w:r>
      <w:r>
        <w:rPr>
          <w:rFonts w:hint="eastAsia" w:ascii="宋体" w:hAnsi="宋体" w:eastAsia="宋体" w:cs="宋体"/>
          <w:b/>
          <w:bCs/>
          <w:color w:val="auto"/>
          <w:sz w:val="28"/>
          <w:szCs w:val="28"/>
          <w:highlight w:val="none"/>
          <w:lang w:val="en-US" w:eastAsia="zh-CN"/>
        </w:rPr>
        <w:t>投标</w:t>
      </w:r>
      <w:r>
        <w:rPr>
          <w:rFonts w:hint="eastAsia" w:ascii="宋体" w:hAnsi="宋体" w:eastAsia="宋体" w:cs="宋体"/>
          <w:b/>
          <w:bCs/>
          <w:color w:val="auto"/>
          <w:sz w:val="28"/>
          <w:szCs w:val="28"/>
          <w:highlight w:val="none"/>
        </w:rPr>
        <w:t>处理。</w:t>
      </w:r>
    </w:p>
    <w:p>
      <w:pPr>
        <w:rPr>
          <w:rFonts w:hint="eastAsia" w:ascii="宋体" w:hAnsi="宋体" w:eastAsia="宋体" w:cs="宋体"/>
          <w:color w:val="auto"/>
          <w:highlight w:val="none"/>
        </w:rPr>
      </w:pPr>
    </w:p>
    <w:p>
      <w:pPr>
        <w:pStyle w:val="2"/>
        <w:tabs>
          <w:tab w:val="left" w:pos="4631"/>
        </w:tabs>
        <w:ind w:right="113"/>
        <w:jc w:val="center"/>
        <w:rPr>
          <w:rFonts w:hint="eastAsia" w:ascii="宋体" w:hAnsi="宋体" w:eastAsia="宋体" w:cs="宋体"/>
          <w:b/>
          <w:bCs/>
          <w:color w:val="auto"/>
          <w:sz w:val="32"/>
          <w:szCs w:val="32"/>
          <w:highlight w:val="none"/>
          <w:lang w:eastAsia="zh-CN"/>
        </w:rPr>
      </w:pPr>
    </w:p>
    <w:p>
      <w:pPr>
        <w:pStyle w:val="2"/>
        <w:tabs>
          <w:tab w:val="left" w:pos="4631"/>
        </w:tabs>
        <w:ind w:right="113"/>
        <w:jc w:val="both"/>
        <w:rPr>
          <w:rFonts w:hint="eastAsia" w:ascii="宋体" w:hAnsi="宋体" w:eastAsia="宋体" w:cs="宋体"/>
          <w:b/>
          <w:bCs/>
          <w:color w:val="auto"/>
          <w:sz w:val="32"/>
          <w:szCs w:val="32"/>
          <w:highlight w:val="none"/>
          <w:lang w:eastAsia="zh-CN"/>
        </w:rPr>
      </w:pPr>
    </w:p>
    <w:p>
      <w:pP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br w:type="page"/>
      </w:r>
    </w:p>
    <w:p>
      <w:pPr>
        <w:pStyle w:val="2"/>
        <w:tabs>
          <w:tab w:val="left" w:pos="4631"/>
        </w:tabs>
        <w:ind w:right="113"/>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 xml:space="preserve">第四章  </w:t>
      </w:r>
      <w:r>
        <w:rPr>
          <w:rFonts w:hint="eastAsia" w:ascii="宋体" w:hAnsi="宋体" w:eastAsia="宋体"/>
          <w:b/>
          <w:color w:val="auto"/>
          <w:sz w:val="32"/>
          <w:szCs w:val="32"/>
          <w:highlight w:val="none"/>
          <w:lang w:val="en-US" w:eastAsia="zh-CN"/>
        </w:rPr>
        <w:t>商务及</w:t>
      </w:r>
      <w:r>
        <w:rPr>
          <w:rFonts w:hint="eastAsia" w:ascii="宋体" w:hAnsi="宋体" w:eastAsia="宋体" w:cs="宋体"/>
          <w:b/>
          <w:bCs/>
          <w:color w:val="auto"/>
          <w:sz w:val="32"/>
          <w:szCs w:val="32"/>
          <w:highlight w:val="none"/>
          <w:lang w:eastAsia="zh-CN"/>
        </w:rPr>
        <w:t>合同文本</w:t>
      </w:r>
      <w:bookmarkEnd w:id="24"/>
      <w:bookmarkEnd w:id="25"/>
      <w:bookmarkEnd w:id="26"/>
      <w:bookmarkEnd w:id="27"/>
    </w:p>
    <w:p>
      <w:pPr>
        <w:jc w:val="center"/>
        <w:rPr>
          <w:rFonts w:hint="eastAsia" w:ascii="Calibri" w:hAnsi="Calibri" w:eastAsia="宋体"/>
          <w:b/>
          <w:bCs/>
          <w:color w:val="auto"/>
          <w:sz w:val="28"/>
          <w:szCs w:val="28"/>
          <w:highlight w:val="none"/>
          <w:lang w:eastAsia="zh-CN"/>
        </w:rPr>
      </w:pPr>
      <w:bookmarkStart w:id="28" w:name="_Toc100219616"/>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商务要求：</w:t>
      </w:r>
    </w:p>
    <w:p>
      <w:pPr>
        <w:widowControl w:val="0"/>
        <w:spacing w:line="360" w:lineRule="auto"/>
        <w:ind w:firstLine="840" w:firstLineChars="3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1、服务期:自合同签订之日起三个月。</w:t>
      </w:r>
    </w:p>
    <w:p>
      <w:pPr>
        <w:widowControl w:val="0"/>
        <w:spacing w:line="360" w:lineRule="auto"/>
        <w:ind w:firstLine="840" w:firstLineChars="300"/>
        <w:rPr>
          <w:rFonts w:hint="eastAsia" w:ascii="宋体" w:hAnsi="宋体" w:eastAsia="宋体" w:cs="宋体"/>
          <w:color w:val="auto"/>
          <w:highlight w:val="none"/>
        </w:rPr>
      </w:pPr>
      <w:r>
        <w:rPr>
          <w:rFonts w:hint="eastAsia" w:ascii="宋体" w:hAnsi="宋体" w:eastAsia="宋体" w:cs="宋体"/>
          <w:color w:val="auto"/>
          <w:sz w:val="28"/>
          <w:szCs w:val="28"/>
          <w:highlight w:val="none"/>
        </w:rPr>
        <w:t>2、付款方式:完成考古发掘工作，通过省考古院验收，乙方须协助甲方在15日历日内取得考古发掘报告后，甲方30日历日内一次性支付该结算价款。</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highlight w:val="none"/>
        </w:rPr>
      </w:pPr>
      <w:r>
        <w:rPr>
          <w:rFonts w:hint="eastAsia"/>
          <w:color w:val="auto"/>
          <w:highlight w:val="none"/>
        </w:rPr>
        <w:br w:type="page"/>
      </w:r>
    </w:p>
    <w:p>
      <w:pPr>
        <w:widowControl w:val="0"/>
        <w:spacing w:line="240" w:lineRule="exact"/>
        <w:jc w:val="both"/>
        <w:rPr>
          <w:rFonts w:hint="eastAsia" w:ascii="仿宋_GB2312" w:hAnsi="Times New Roman" w:eastAsia="仿宋_GB2312" w:cs="Times New Roman"/>
          <w:color w:val="auto"/>
          <w:kern w:val="2"/>
          <w:sz w:val="28"/>
          <w:szCs w:val="28"/>
          <w:highlight w:val="none"/>
        </w:rPr>
      </w:pPr>
    </w:p>
    <w:p>
      <w:pPr>
        <w:pStyle w:val="18"/>
        <w:ind w:left="0" w:leftChars="0" w:firstLine="0" w:firstLineChars="0"/>
        <w:rPr>
          <w:rFonts w:hint="eastAsia"/>
          <w:color w:val="auto"/>
          <w:highlight w:val="none"/>
          <w:lang w:eastAsia="zh-CN"/>
        </w:rPr>
      </w:pPr>
    </w:p>
    <w:p>
      <w:pPr>
        <w:jc w:val="center"/>
        <w:rPr>
          <w:rFonts w:hint="eastAsia" w:eastAsiaTheme="minorEastAsia"/>
          <w:b/>
          <w:bCs/>
          <w:color w:val="auto"/>
          <w:sz w:val="48"/>
          <w:szCs w:val="48"/>
          <w:highlight w:val="none"/>
          <w:lang w:eastAsia="zh-CN"/>
        </w:rPr>
      </w:pPr>
      <w:r>
        <w:rPr>
          <w:rFonts w:hint="eastAsia"/>
          <w:b/>
          <w:bCs/>
          <w:color w:val="auto"/>
          <w:sz w:val="48"/>
          <w:szCs w:val="48"/>
          <w:highlight w:val="none"/>
          <w:lang w:eastAsia="zh-CN"/>
        </w:rPr>
        <w:t>CB2-1-568宗地发掘土方配合</w:t>
      </w:r>
    </w:p>
    <w:p>
      <w:pPr>
        <w:widowControl w:val="0"/>
        <w:kinsoku/>
        <w:autoSpaceDE/>
        <w:autoSpaceDN/>
        <w:adjustRightInd/>
        <w:snapToGrid/>
        <w:spacing w:before="120" w:beforeLines="10" w:afterLines="10" w:line="360" w:lineRule="auto"/>
        <w:jc w:val="center"/>
        <w:textAlignment w:val="auto"/>
        <w:outlineLvl w:val="1"/>
        <w:rPr>
          <w:rFonts w:hint="eastAsia" w:ascii="仿宋" w:hAnsi="仿宋" w:eastAsia="仿宋" w:cs="仿宋"/>
          <w:b/>
          <w:bCs/>
          <w:snapToGrid/>
          <w:color w:val="auto"/>
          <w:kern w:val="2"/>
          <w:sz w:val="44"/>
          <w:szCs w:val="44"/>
          <w:highlight w:val="none"/>
          <w:lang w:eastAsia="zh-CN"/>
        </w:rPr>
      </w:pPr>
    </w:p>
    <w:p>
      <w:pPr>
        <w:widowControl w:val="0"/>
        <w:spacing w:beforeLines="10" w:afterLines="10" w:line="360" w:lineRule="auto"/>
        <w:jc w:val="both"/>
        <w:rPr>
          <w:rFonts w:hint="eastAsia" w:ascii="仿宋" w:hAnsi="仿宋" w:eastAsia="仿宋" w:cs="仿宋"/>
          <w:color w:val="auto"/>
          <w:kern w:val="2"/>
          <w:sz w:val="24"/>
          <w:highlight w:val="none"/>
          <w:lang w:val="en-US" w:eastAsia="zh-CN" w:bidi="ar-SA"/>
        </w:rPr>
      </w:pPr>
    </w:p>
    <w:p>
      <w:pPr>
        <w:pStyle w:val="124"/>
        <w:rPr>
          <w:rFonts w:hint="eastAsia" w:ascii="仿宋" w:hAnsi="仿宋" w:eastAsia="仿宋" w:cs="仿宋"/>
          <w:color w:val="auto"/>
          <w:kern w:val="2"/>
          <w:sz w:val="24"/>
          <w:highlight w:val="none"/>
          <w:lang w:val="en-US" w:eastAsia="zh-CN" w:bidi="ar-SA"/>
        </w:rPr>
      </w:pPr>
    </w:p>
    <w:p>
      <w:pPr>
        <w:pStyle w:val="124"/>
        <w:rPr>
          <w:rFonts w:hint="eastAsia" w:ascii="仿宋" w:hAnsi="仿宋" w:eastAsia="仿宋" w:cs="仿宋"/>
          <w:color w:val="auto"/>
          <w:kern w:val="2"/>
          <w:sz w:val="24"/>
          <w:highlight w:val="none"/>
          <w:lang w:val="en-US" w:eastAsia="zh-CN" w:bidi="ar-SA"/>
        </w:rPr>
      </w:pPr>
    </w:p>
    <w:p>
      <w:pPr>
        <w:keepLines w:val="0"/>
        <w:pageBreakBefore w:val="0"/>
        <w:widowControl/>
        <w:kinsoku w:val="0"/>
        <w:wordWrap/>
        <w:overflowPunct/>
        <w:topLinePunct w:val="0"/>
        <w:autoSpaceDE/>
        <w:autoSpaceDN/>
        <w:bidi w:val="0"/>
        <w:adjustRightInd w:val="0"/>
        <w:snapToGrid w:val="0"/>
        <w:spacing w:line="336" w:lineRule="auto"/>
        <w:jc w:val="center"/>
        <w:textAlignment w:val="baseline"/>
        <w:rPr>
          <w:rFonts w:hint="eastAsia" w:asciiTheme="minorEastAsia" w:hAnsiTheme="minorEastAsia" w:eastAsiaTheme="minorEastAsia" w:cstheme="minorEastAsia"/>
          <w:b/>
          <w:bCs/>
          <w:snapToGrid w:val="0"/>
          <w:color w:val="auto"/>
          <w:sz w:val="24"/>
          <w:szCs w:val="24"/>
          <w:highlight w:val="none"/>
          <w:lang w:val="en-US" w:eastAsia="zh-CN" w:bidi="ar-SA"/>
        </w:rPr>
      </w:pPr>
      <w:r>
        <w:rPr>
          <w:rFonts w:hint="eastAsia" w:asciiTheme="minorEastAsia" w:hAnsiTheme="minorEastAsia" w:eastAsiaTheme="minorEastAsia" w:cstheme="minorEastAsia"/>
          <w:b/>
          <w:bCs/>
          <w:snapToGrid w:val="0"/>
          <w:color w:val="auto"/>
          <w:sz w:val="24"/>
          <w:szCs w:val="24"/>
          <w:highlight w:val="none"/>
          <w:lang w:val="en-US" w:eastAsia="zh-CN" w:bidi="ar-SA"/>
        </w:rPr>
        <w:t>（本合同为参考合同，具体以最终签订版本为准）</w:t>
      </w:r>
    </w:p>
    <w:p>
      <w:pPr>
        <w:widowControl w:val="0"/>
        <w:spacing w:before="120" w:beforeLines="10" w:afterLines="10" w:line="360" w:lineRule="auto"/>
        <w:ind w:firstLine="560" w:firstLineChars="200"/>
        <w:jc w:val="both"/>
        <w:rPr>
          <w:rFonts w:hint="eastAsia" w:asciiTheme="minorEastAsia" w:hAnsiTheme="minorEastAsia" w:eastAsiaTheme="minorEastAsia" w:cstheme="minorEastAsia"/>
          <w:color w:val="auto"/>
          <w:kern w:val="2"/>
          <w:sz w:val="28"/>
          <w:szCs w:val="28"/>
          <w:highlight w:val="none"/>
          <w:lang w:val="en-US" w:eastAsia="zh-CN" w:bidi="ar-SA"/>
        </w:rPr>
      </w:pPr>
    </w:p>
    <w:p>
      <w:pPr>
        <w:widowControl w:val="0"/>
        <w:autoSpaceDE w:val="0"/>
        <w:autoSpaceDN w:val="0"/>
        <w:adjustRightInd w:val="0"/>
        <w:rPr>
          <w:rFonts w:hint="eastAsia" w:asciiTheme="minorEastAsia" w:hAnsiTheme="minorEastAsia" w:eastAsiaTheme="minorEastAsia" w:cstheme="minorEastAsia"/>
          <w:b/>
          <w:bCs/>
          <w:color w:val="auto"/>
          <w:sz w:val="28"/>
          <w:szCs w:val="28"/>
          <w:highlight w:val="none"/>
          <w:lang w:val="en-US" w:eastAsia="zh-CN" w:bidi="ar-SA"/>
        </w:rPr>
      </w:pPr>
    </w:p>
    <w:p>
      <w:pPr>
        <w:widowControl w:val="0"/>
        <w:spacing w:beforeLines="0" w:afterLines="0" w:line="240" w:lineRule="auto"/>
        <w:jc w:val="both"/>
        <w:rPr>
          <w:rFonts w:hint="eastAsia" w:asciiTheme="minorEastAsia" w:hAnsiTheme="minorEastAsia" w:eastAsiaTheme="minorEastAsia" w:cstheme="minorEastAsia"/>
          <w:color w:val="auto"/>
          <w:kern w:val="0"/>
          <w:sz w:val="24"/>
          <w:highlight w:val="none"/>
          <w:lang w:val="en-US" w:eastAsia="zh-CN" w:bidi="ar-SA"/>
        </w:rPr>
      </w:pPr>
    </w:p>
    <w:p>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bookmarkStart w:id="29" w:name="_Hlk85534092"/>
      <w:r>
        <w:rPr>
          <w:rFonts w:hint="eastAsia" w:asciiTheme="minorEastAsia" w:hAnsiTheme="minorEastAsia" w:eastAsiaTheme="minorEastAsia" w:cstheme="minorEastAsia"/>
          <w:b/>
          <w:snapToGrid/>
          <w:color w:val="auto"/>
          <w:kern w:val="0"/>
          <w:sz w:val="32"/>
          <w:szCs w:val="32"/>
          <w:highlight w:val="none"/>
          <w:lang w:val="en-US" w:eastAsia="zh-CN"/>
        </w:rPr>
        <w:t>采购人</w:t>
      </w:r>
      <w:r>
        <w:rPr>
          <w:rFonts w:hint="eastAsia" w:asciiTheme="minorEastAsia" w:hAnsiTheme="minorEastAsia" w:eastAsiaTheme="minorEastAsia" w:cstheme="minorEastAsia"/>
          <w:b/>
          <w:snapToGrid/>
          <w:color w:val="auto"/>
          <w:kern w:val="0"/>
          <w:sz w:val="32"/>
          <w:szCs w:val="32"/>
          <w:highlight w:val="none"/>
          <w:lang w:eastAsia="zh-CN"/>
        </w:rPr>
        <w:t>：</w:t>
      </w:r>
    </w:p>
    <w:p>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r>
        <w:rPr>
          <w:rFonts w:hint="eastAsia" w:asciiTheme="minorEastAsia" w:hAnsiTheme="minorEastAsia" w:eastAsiaTheme="minorEastAsia" w:cstheme="minorEastAsia"/>
          <w:b/>
          <w:snapToGrid/>
          <w:color w:val="auto"/>
          <w:kern w:val="0"/>
          <w:sz w:val="32"/>
          <w:szCs w:val="32"/>
          <w:highlight w:val="none"/>
          <w:lang w:val="en-US" w:eastAsia="zh-CN"/>
        </w:rPr>
        <w:t>供应商</w:t>
      </w:r>
      <w:r>
        <w:rPr>
          <w:rFonts w:hint="eastAsia" w:asciiTheme="minorEastAsia" w:hAnsiTheme="minorEastAsia" w:eastAsiaTheme="minorEastAsia" w:cstheme="minorEastAsia"/>
          <w:b/>
          <w:snapToGrid/>
          <w:color w:val="auto"/>
          <w:kern w:val="0"/>
          <w:sz w:val="32"/>
          <w:szCs w:val="32"/>
          <w:highlight w:val="none"/>
          <w:lang w:eastAsia="zh-CN"/>
        </w:rPr>
        <w:t>：</w:t>
      </w:r>
    </w:p>
    <w:p>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bookmarkStart w:id="30" w:name="_Hlk85534012"/>
      <w:r>
        <w:rPr>
          <w:rFonts w:hint="eastAsia" w:asciiTheme="minorEastAsia" w:hAnsiTheme="minorEastAsia" w:eastAsiaTheme="minorEastAsia" w:cstheme="minorEastAsia"/>
          <w:b/>
          <w:snapToGrid/>
          <w:color w:val="auto"/>
          <w:kern w:val="0"/>
          <w:sz w:val="32"/>
          <w:szCs w:val="32"/>
          <w:highlight w:val="none"/>
          <w:lang w:eastAsia="zh-CN"/>
        </w:rPr>
        <w:t>合同订立地点：</w:t>
      </w:r>
    </w:p>
    <w:bookmarkEnd w:id="30"/>
    <w:p>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r>
        <w:rPr>
          <w:rFonts w:hint="eastAsia" w:asciiTheme="minorEastAsia" w:hAnsiTheme="minorEastAsia" w:eastAsiaTheme="minorEastAsia" w:cstheme="minorEastAsia"/>
          <w:b/>
          <w:snapToGrid/>
          <w:color w:val="auto"/>
          <w:kern w:val="0"/>
          <w:sz w:val="32"/>
          <w:szCs w:val="32"/>
          <w:highlight w:val="none"/>
          <w:lang w:eastAsia="zh-CN"/>
        </w:rPr>
        <w:t>合同订立时间：</w:t>
      </w:r>
      <w:bookmarkEnd w:id="29"/>
    </w:p>
    <w:p>
      <w:pPr>
        <w:rPr>
          <w:rFonts w:hint="eastAsia" w:ascii="仿宋" w:hAnsi="仿宋" w:eastAsia="仿宋" w:cs="仿宋"/>
          <w:color w:val="auto"/>
          <w:spacing w:val="-3"/>
          <w:sz w:val="24"/>
          <w:szCs w:val="24"/>
          <w:highlight w:val="none"/>
        </w:rPr>
      </w:pPr>
      <w:r>
        <w:rPr>
          <w:rFonts w:hint="eastAsia" w:ascii="仿宋" w:hAnsi="仿宋" w:eastAsia="仿宋" w:cs="仿宋"/>
          <w:color w:val="auto"/>
          <w:spacing w:val="-3"/>
          <w:sz w:val="24"/>
          <w:szCs w:val="24"/>
          <w:highlight w:val="none"/>
        </w:rPr>
        <w:br w:type="page"/>
      </w:r>
    </w:p>
    <w:p>
      <w:pPr>
        <w:spacing w:line="360" w:lineRule="auto"/>
        <w:rPr>
          <w:rFonts w:hint="default" w:ascii="宋体" w:hAnsi="宋体" w:eastAsia="宋体" w:cs="宋体"/>
          <w:b/>
          <w:highlight w:val="none"/>
          <w:lang w:val="en-US" w:eastAsia="zh-CN"/>
        </w:rPr>
      </w:pPr>
      <w:bookmarkStart w:id="31" w:name="_Toc7322"/>
      <w:bookmarkStart w:id="32" w:name="_Toc23893"/>
      <w:bookmarkStart w:id="33" w:name="_Toc18135"/>
      <w:r>
        <w:rPr>
          <w:rFonts w:hint="eastAsia" w:ascii="宋体" w:hAnsi="宋体" w:eastAsia="宋体" w:cs="宋体"/>
          <w:b/>
          <w:highlight w:val="none"/>
        </w:rPr>
        <w:t>甲   方：</w:t>
      </w:r>
      <w:r>
        <w:rPr>
          <w:rFonts w:hint="eastAsia" w:ascii="宋体" w:hAnsi="宋体" w:cs="宋体"/>
          <w:b/>
          <w:highlight w:val="none"/>
          <w:lang w:val="en-US" w:eastAsia="zh-CN"/>
        </w:rPr>
        <w:t xml:space="preserve">  </w:t>
      </w:r>
    </w:p>
    <w:p>
      <w:pPr>
        <w:spacing w:line="360" w:lineRule="auto"/>
        <w:rPr>
          <w:rFonts w:ascii="宋体" w:hAnsi="宋体" w:eastAsia="宋体" w:cs="宋体"/>
          <w:b/>
          <w:highlight w:val="none"/>
          <w:u w:val="single"/>
        </w:rPr>
      </w:pPr>
      <w:r>
        <w:rPr>
          <w:rFonts w:hint="eastAsia" w:ascii="宋体" w:hAnsi="宋体" w:eastAsia="宋体" w:cs="宋体"/>
          <w:b/>
          <w:highlight w:val="none"/>
        </w:rPr>
        <w:t>乙   方：</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outlineLvl w:val="9"/>
        <w:rPr>
          <w:rFonts w:ascii="宋体" w:hAnsi="宋体" w:cs="宋体"/>
          <w:sz w:val="24"/>
          <w:szCs w:val="24"/>
          <w:highlight w:val="none"/>
          <w:u w:val="single"/>
        </w:rPr>
      </w:pPr>
      <w:r>
        <w:rPr>
          <w:rFonts w:hint="eastAsia" w:ascii="宋体" w:hAnsi="宋体" w:eastAsia="宋体" w:cs="宋体"/>
          <w:highlight w:val="none"/>
        </w:rPr>
        <w:t>为确保地下文化遗产安全，推动工程建设顺利进行，根据相关法律、法规之规定，由甲方委托乙方对</w:t>
      </w:r>
      <w:r>
        <w:rPr>
          <w:rFonts w:hint="eastAsia" w:ascii="宋体" w:hAnsi="宋体" w:eastAsia="宋体" w:cs="宋体"/>
          <w:sz w:val="24"/>
          <w:szCs w:val="24"/>
          <w:highlight w:val="none"/>
          <w:u w:val="single"/>
          <w:lang w:eastAsia="zh-CN"/>
        </w:rPr>
        <w:t>CB2-1-568宗地考古发掘土方配合</w:t>
      </w:r>
      <w:r>
        <w:rPr>
          <w:rFonts w:hint="eastAsia" w:ascii="宋体" w:hAnsi="宋体" w:eastAsia="宋体" w:cs="宋体"/>
          <w:sz w:val="24"/>
          <w:szCs w:val="24"/>
          <w:highlight w:val="none"/>
        </w:rPr>
        <w:t>位于</w:t>
      </w:r>
      <w:r>
        <w:rPr>
          <w:rFonts w:hint="eastAsia" w:ascii="宋体" w:hAnsi="宋体" w:eastAsia="宋体" w:cs="宋体"/>
          <w:color w:val="auto"/>
          <w:spacing w:val="0"/>
          <w:position w:val="0"/>
          <w:sz w:val="24"/>
          <w:szCs w:val="24"/>
          <w:highlight w:val="none"/>
          <w:u w:val="single"/>
          <w:lang w:val="en-US" w:eastAsia="en-US"/>
        </w:rPr>
        <w:t>位于广运潭大道以东，欧亚六路以北，该宗地面积 25.349 亩。</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甲乙双方本着“既有利于工程建设，又有利于文物保护”的原则，根据</w:t>
      </w:r>
      <w:r>
        <w:rPr>
          <w:rFonts w:hint="eastAsia" w:ascii="宋体" w:hAnsi="宋体" w:eastAsia="宋体" w:cs="宋体"/>
          <w:sz w:val="24"/>
          <w:szCs w:val="24"/>
          <w:highlight w:val="none"/>
          <w:u w:val="single"/>
          <w:lang w:eastAsia="zh-CN"/>
        </w:rPr>
        <w:t>CB2-1-568宗地考古发掘土方配合</w:t>
      </w:r>
      <w:r>
        <w:rPr>
          <w:rFonts w:hint="eastAsia" w:ascii="宋体" w:hAnsi="宋体" w:eastAsia="宋体" w:cs="宋体"/>
          <w:sz w:val="24"/>
          <w:szCs w:val="24"/>
          <w:highlight w:val="none"/>
        </w:rPr>
        <w:t>项目招标结果，就</w:t>
      </w:r>
      <w:r>
        <w:rPr>
          <w:rFonts w:hint="eastAsia" w:ascii="宋体" w:hAnsi="宋体" w:eastAsia="宋体" w:cs="宋体"/>
          <w:sz w:val="24"/>
          <w:szCs w:val="24"/>
          <w:highlight w:val="none"/>
          <w:u w:val="single"/>
          <w:lang w:eastAsia="zh-CN"/>
        </w:rPr>
        <w:t>CB2-1-568宗地考古发掘土方配合</w:t>
      </w:r>
      <w:r>
        <w:rPr>
          <w:rFonts w:hint="eastAsia" w:ascii="宋体" w:hAnsi="宋体" w:eastAsia="宋体" w:cs="宋体"/>
          <w:highlight w:val="none"/>
        </w:rPr>
        <w:t>工作签订本框架协议。</w:t>
      </w:r>
    </w:p>
    <w:p>
      <w:pPr>
        <w:spacing w:line="360" w:lineRule="auto"/>
        <w:rPr>
          <w:rFonts w:ascii="宋体" w:hAnsi="宋体" w:eastAsia="宋体" w:cs="宋体"/>
          <w:b/>
          <w:highlight w:val="none"/>
        </w:rPr>
      </w:pPr>
      <w:r>
        <w:rPr>
          <w:rFonts w:hint="eastAsia" w:ascii="宋体" w:hAnsi="宋体" w:eastAsia="宋体" w:cs="宋体"/>
          <w:b/>
          <w:highlight w:val="none"/>
        </w:rPr>
        <w:t>第一条  协议依据</w:t>
      </w:r>
    </w:p>
    <w:p>
      <w:pPr>
        <w:autoSpaceDE w:val="0"/>
        <w:autoSpaceDN w:val="0"/>
        <w:adjustRightInd w:val="0"/>
        <w:spacing w:line="360" w:lineRule="auto"/>
        <w:ind w:right="326" w:firstLine="480" w:firstLineChars="200"/>
        <w:rPr>
          <w:rFonts w:ascii="宋体" w:hAnsi="宋体" w:eastAsia="宋体" w:cs="宋体"/>
          <w:highlight w:val="none"/>
        </w:rPr>
      </w:pPr>
      <w:r>
        <w:rPr>
          <w:rFonts w:hint="eastAsia" w:ascii="宋体" w:hAnsi="宋体" w:eastAsia="宋体" w:cs="宋体"/>
          <w:highlight w:val="none"/>
        </w:rPr>
        <w:t>1.1.《中华人民共和国民法典》（中华人民共和国主席令[十三届第四十五号令]）2020年5月28日第十三届全国人民代表大会第三次会议通过，自2021年1月1日起施行；</w:t>
      </w:r>
    </w:p>
    <w:p>
      <w:pPr>
        <w:autoSpaceDE w:val="0"/>
        <w:autoSpaceDN w:val="0"/>
        <w:adjustRightInd w:val="0"/>
        <w:spacing w:line="360" w:lineRule="auto"/>
        <w:ind w:right="326" w:firstLine="480" w:firstLineChars="200"/>
        <w:rPr>
          <w:rFonts w:ascii="宋体" w:hAnsi="宋体" w:eastAsia="宋体" w:cs="宋体"/>
          <w:highlight w:val="none"/>
        </w:rPr>
      </w:pPr>
      <w:r>
        <w:rPr>
          <w:rFonts w:hint="eastAsia" w:ascii="宋体" w:hAnsi="宋体" w:eastAsia="宋体" w:cs="宋体"/>
          <w:highlight w:val="none"/>
        </w:rPr>
        <w:t>1.2.《中华人民共和国文物保护法》（第五次修正）（中华人民共和国主席令[十二届第八十一号]）2017年11月4日第十二届全国人民代表大会常务委员会第三十次会议通过并施行；</w:t>
      </w:r>
    </w:p>
    <w:p>
      <w:pPr>
        <w:autoSpaceDE w:val="0"/>
        <w:autoSpaceDN w:val="0"/>
        <w:adjustRightInd w:val="0"/>
        <w:spacing w:line="360" w:lineRule="auto"/>
        <w:ind w:right="326" w:firstLine="480" w:firstLineChars="200"/>
        <w:rPr>
          <w:rFonts w:ascii="宋体" w:hAnsi="宋体" w:eastAsia="宋体" w:cs="宋体"/>
          <w:highlight w:val="none"/>
        </w:rPr>
      </w:pPr>
      <w:r>
        <w:rPr>
          <w:rFonts w:hint="eastAsia" w:ascii="宋体" w:hAnsi="宋体" w:eastAsia="宋体" w:cs="宋体"/>
          <w:highlight w:val="none"/>
        </w:rPr>
        <w:t xml:space="preserve">1.3.《陕西省文物保护条例》（2012修正）（陕西省人民代表大会常务委员会公告[十一届]第55号）                               </w:t>
      </w:r>
    </w:p>
    <w:p>
      <w:pPr>
        <w:autoSpaceDE w:val="0"/>
        <w:autoSpaceDN w:val="0"/>
        <w:adjustRightInd w:val="0"/>
        <w:spacing w:line="360" w:lineRule="auto"/>
        <w:ind w:right="326" w:firstLine="480" w:firstLineChars="200"/>
        <w:rPr>
          <w:rFonts w:ascii="宋体" w:hAnsi="宋体" w:eastAsia="宋体" w:cs="宋体"/>
          <w:highlight w:val="none"/>
        </w:rPr>
      </w:pPr>
      <w:r>
        <w:rPr>
          <w:rFonts w:hint="eastAsia" w:ascii="宋体" w:hAnsi="宋体" w:eastAsia="宋体" w:cs="宋体"/>
          <w:highlight w:val="none"/>
        </w:rPr>
        <w:t>1.4.国家文物局《关于加强基本建设工程中考古工作的指导意见》（文物保发[2006]42号）</w:t>
      </w:r>
    </w:p>
    <w:p>
      <w:pPr>
        <w:tabs>
          <w:tab w:val="left" w:pos="8640"/>
        </w:tabs>
        <w:autoSpaceDE w:val="0"/>
        <w:autoSpaceDN w:val="0"/>
        <w:adjustRightInd w:val="0"/>
        <w:spacing w:line="360" w:lineRule="auto"/>
        <w:ind w:firstLine="484" w:firstLineChars="202"/>
        <w:rPr>
          <w:rFonts w:ascii="宋体" w:hAnsi="宋体" w:eastAsia="宋体" w:cs="宋体"/>
          <w:highlight w:val="none"/>
        </w:rPr>
      </w:pPr>
      <w:r>
        <w:rPr>
          <w:rFonts w:hint="eastAsia" w:ascii="宋体" w:hAnsi="宋体" w:eastAsia="宋体" w:cs="宋体"/>
          <w:highlight w:val="none"/>
        </w:rPr>
        <w:t>1.5.国家文物局《考古调查、勘探、发掘经费预算定额管理办法》（[90]文物字第248号）</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1.6.陕西省文物局《关于加强基本建设工程中考古工作的通知》（陕文物发〔2014〕147号）</w:t>
      </w:r>
    </w:p>
    <w:p>
      <w:pPr>
        <w:spacing w:line="360" w:lineRule="auto"/>
        <w:ind w:firstLine="570"/>
        <w:rPr>
          <w:rFonts w:ascii="宋体" w:hAnsi="宋体" w:eastAsia="宋体" w:cs="宋体"/>
          <w:highlight w:val="none"/>
        </w:rPr>
      </w:pPr>
      <w:r>
        <w:rPr>
          <w:rFonts w:hint="eastAsia" w:ascii="宋体" w:hAnsi="宋体" w:eastAsia="宋体" w:cs="宋体"/>
          <w:highlight w:val="none"/>
        </w:rPr>
        <w:t>1.7.《关于调整陕西省最低工资标准的通知》(陕人社发〔2019〕8号)</w:t>
      </w:r>
    </w:p>
    <w:p>
      <w:pPr>
        <w:spacing w:line="360" w:lineRule="auto"/>
        <w:rPr>
          <w:rFonts w:ascii="宋体" w:hAnsi="宋体" w:eastAsia="宋体" w:cs="宋体"/>
          <w:b/>
          <w:highlight w:val="none"/>
        </w:rPr>
      </w:pPr>
      <w:r>
        <w:rPr>
          <w:rFonts w:hint="eastAsia" w:ascii="宋体" w:hAnsi="宋体" w:eastAsia="宋体" w:cs="宋体"/>
          <w:b/>
          <w:highlight w:val="none"/>
        </w:rPr>
        <w:t>第二条  协议内容及工作时间</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outlineLvl w:val="9"/>
        <w:rPr>
          <w:rFonts w:ascii="宋体" w:hAnsi="宋体" w:eastAsia="宋体" w:cs="宋体"/>
          <w:highlight w:val="none"/>
        </w:rPr>
      </w:pPr>
      <w:r>
        <w:rPr>
          <w:rFonts w:hint="eastAsia" w:ascii="宋体" w:hAnsi="宋体" w:eastAsia="宋体" w:cs="宋体"/>
          <w:highlight w:val="none"/>
        </w:rPr>
        <w:t>2.1本项目位于</w:t>
      </w:r>
      <w:r>
        <w:rPr>
          <w:rFonts w:hint="eastAsia" w:ascii="宋体" w:hAnsi="宋体" w:eastAsia="宋体" w:cs="宋体"/>
          <w:color w:val="auto"/>
          <w:spacing w:val="0"/>
          <w:position w:val="0"/>
          <w:sz w:val="24"/>
          <w:szCs w:val="24"/>
          <w:highlight w:val="none"/>
          <w:u w:val="single"/>
          <w:lang w:val="en-US" w:eastAsia="en-US"/>
        </w:rPr>
        <w:t>广运潭大道以东，欧亚六路以北，该宗地面积 25.349 亩。</w:t>
      </w:r>
      <w:r>
        <w:rPr>
          <w:rFonts w:hint="eastAsia" w:ascii="宋体" w:hAnsi="宋体" w:eastAsia="宋体" w:cs="宋体"/>
          <w:highlight w:val="none"/>
        </w:rPr>
        <w:t>区域内的文物发掘配合服务工作。</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2.2</w:t>
      </w:r>
      <w:r>
        <w:rPr>
          <w:rFonts w:hint="eastAsia" w:ascii="宋体" w:hAnsi="宋体" w:cs="宋体"/>
          <w:highlight w:val="none"/>
        </w:rPr>
        <w:t>配合发掘单位在规定工期内完成发掘人工土方工作。如遇雨雪或城建环保等工地统一停工时的因素，工期顺延</w:t>
      </w:r>
      <w:r>
        <w:rPr>
          <w:rFonts w:hint="eastAsia" w:ascii="宋体" w:hAnsi="宋体" w:eastAsia="宋体" w:cs="宋体"/>
          <w:highlight w:val="none"/>
        </w:rPr>
        <w:t>。</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2.3合同期限自合同签订之日起</w:t>
      </w:r>
      <w:r>
        <w:rPr>
          <w:rFonts w:hint="eastAsia" w:ascii="宋体" w:hAnsi="宋体" w:cs="宋体"/>
          <w:highlight w:val="none"/>
          <w:lang w:val="en-US" w:eastAsia="zh-CN"/>
        </w:rPr>
        <w:t>3个月</w:t>
      </w:r>
      <w:r>
        <w:rPr>
          <w:rFonts w:hint="eastAsia" w:ascii="宋体" w:hAnsi="宋体" w:eastAsia="宋体" w:cs="宋体"/>
          <w:highlight w:val="none"/>
        </w:rPr>
        <w:t>。</w:t>
      </w:r>
    </w:p>
    <w:p>
      <w:pPr>
        <w:numPr>
          <w:ilvl w:val="0"/>
          <w:numId w:val="4"/>
        </w:numPr>
        <w:spacing w:line="360" w:lineRule="auto"/>
        <w:rPr>
          <w:rFonts w:ascii="宋体" w:hAnsi="宋体" w:eastAsia="宋体" w:cs="宋体"/>
          <w:b/>
          <w:highlight w:val="none"/>
        </w:rPr>
      </w:pPr>
      <w:r>
        <w:rPr>
          <w:rFonts w:hint="eastAsia" w:ascii="宋体" w:hAnsi="宋体" w:eastAsia="宋体" w:cs="宋体"/>
          <w:b/>
          <w:highlight w:val="none"/>
        </w:rPr>
        <w:t xml:space="preserve"> 工作费用及支付方式</w:t>
      </w:r>
    </w:p>
    <w:p>
      <w:pPr>
        <w:spacing w:line="360" w:lineRule="auto"/>
        <w:ind w:firstLine="555"/>
        <w:rPr>
          <w:rFonts w:ascii="宋体" w:hAnsi="宋体" w:eastAsia="宋体" w:cs="宋体"/>
          <w:color w:val="auto"/>
          <w:highlight w:val="none"/>
        </w:rPr>
      </w:pPr>
      <w:r>
        <w:rPr>
          <w:rFonts w:hint="eastAsia" w:ascii="宋体" w:hAnsi="宋体" w:eastAsia="宋体" w:cs="宋体"/>
          <w:color w:val="auto"/>
          <w:highlight w:val="none"/>
        </w:rPr>
        <w:t>3.1根据本项目招标结果，</w:t>
      </w:r>
      <w:r>
        <w:rPr>
          <w:rFonts w:hint="eastAsia" w:ascii="宋体" w:hAnsi="宋体" w:eastAsia="宋体" w:cs="宋体"/>
          <w:color w:val="auto"/>
          <w:highlight w:val="none"/>
          <w:lang w:eastAsia="zh-CN"/>
        </w:rPr>
        <w:t>CB2-1-568</w:t>
      </w:r>
      <w:r>
        <w:rPr>
          <w:rFonts w:hint="eastAsia" w:ascii="宋体" w:hAnsi="宋体" w:cs="宋体"/>
          <w:color w:val="auto"/>
          <w:highlight w:val="none"/>
        </w:rPr>
        <w:t>位</w:t>
      </w:r>
      <w:r>
        <w:rPr>
          <w:rFonts w:hint="eastAsia" w:ascii="宋体" w:hAnsi="宋体" w:cs="宋体"/>
          <w:color w:val="auto"/>
          <w:sz w:val="24"/>
          <w:szCs w:val="24"/>
          <w:highlight w:val="none"/>
        </w:rPr>
        <w:t>于</w:t>
      </w:r>
      <w:r>
        <w:rPr>
          <w:rFonts w:hint="eastAsia" w:ascii="宋体" w:hAnsi="宋体" w:eastAsia="宋体" w:cs="宋体"/>
          <w:color w:val="auto"/>
          <w:spacing w:val="0"/>
          <w:position w:val="0"/>
          <w:sz w:val="24"/>
          <w:szCs w:val="24"/>
          <w:highlight w:val="none"/>
          <w:u w:val="single"/>
          <w:lang w:val="en-US" w:eastAsia="en-US"/>
        </w:rPr>
        <w:t>广运潭大道以东，欧亚六路以北，该宗地面积 25.349 亩</w:t>
      </w:r>
      <w:r>
        <w:rPr>
          <w:rFonts w:hint="eastAsia" w:ascii="宋体" w:hAnsi="宋体" w:eastAsia="宋体" w:cs="宋体"/>
          <w:color w:val="auto"/>
          <w:sz w:val="24"/>
          <w:szCs w:val="24"/>
          <w:highlight w:val="none"/>
        </w:rPr>
        <w:t>区域内考古发掘配合服务预算为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500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根据考古发掘技术单位的考古发掘技术决算，进行考古发掘土方配合服务费结算。</w:t>
      </w:r>
    </w:p>
    <w:p>
      <w:pPr>
        <w:spacing w:line="360" w:lineRule="auto"/>
        <w:ind w:firstLine="555"/>
        <w:rPr>
          <w:rFonts w:ascii="宋体" w:hAnsi="宋体" w:eastAsia="宋体" w:cs="宋体"/>
          <w:color w:val="auto"/>
          <w:highlight w:val="none"/>
        </w:rPr>
      </w:pPr>
      <w:r>
        <w:rPr>
          <w:rFonts w:hint="eastAsia" w:ascii="宋体" w:hAnsi="宋体" w:eastAsia="宋体" w:cs="宋体"/>
          <w:color w:val="auto"/>
          <w:highlight w:val="none"/>
        </w:rPr>
        <w:t>3.2本项目具体发掘面积、深度及费用计算表详见宗地古遗迹发掘土方配合项目费用计算表。</w:t>
      </w:r>
    </w:p>
    <w:p>
      <w:pPr>
        <w:spacing w:line="360" w:lineRule="auto"/>
        <w:ind w:firstLine="555"/>
        <w:rPr>
          <w:rFonts w:hint="eastAsia" w:ascii="宋体" w:hAnsi="宋体" w:eastAsia="宋体" w:cs="宋体"/>
          <w:color w:val="auto"/>
          <w:highlight w:val="none"/>
          <w:u w:val="none"/>
        </w:rPr>
      </w:pPr>
      <w:r>
        <w:rPr>
          <w:rFonts w:hint="eastAsia" w:ascii="宋体" w:hAnsi="宋体" w:eastAsia="宋体" w:cs="宋体"/>
          <w:color w:val="auto"/>
          <w:highlight w:val="none"/>
        </w:rPr>
        <w:t>人工土方经费单价为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元/平方米，中标优惠率为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%，优惠后单价为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元/平米，考古发掘土方配合经费计算公式=每平方米单价×深度系数×发掘面积。</w:t>
      </w:r>
      <w:r>
        <w:rPr>
          <w:rFonts w:hint="eastAsia" w:ascii="宋体" w:hAnsi="宋体" w:eastAsia="宋体" w:cs="宋体"/>
          <w:color w:val="auto"/>
          <w:highlight w:val="none"/>
          <w:u w:val="none"/>
        </w:rPr>
        <w:t>合同价款依据发掘技术决算后的土方配合服务费实际核算量调整。</w:t>
      </w:r>
    </w:p>
    <w:p>
      <w:pPr>
        <w:spacing w:line="360" w:lineRule="auto"/>
        <w:ind w:firstLine="555"/>
        <w:rPr>
          <w:rFonts w:ascii="宋体" w:hAnsi="宋体" w:eastAsia="宋体" w:cs="宋体"/>
          <w:highlight w:val="none"/>
        </w:rPr>
      </w:pPr>
      <w:r>
        <w:rPr>
          <w:rFonts w:hint="eastAsia" w:ascii="宋体" w:hAnsi="宋体" w:eastAsia="宋体" w:cs="宋体"/>
          <w:highlight w:val="none"/>
        </w:rPr>
        <w:t>该价款为含税包干价，含税包干价包括乙方施工过程中的全部费用。合同履行期间不因国家及地方政策性文件而调整合同</w:t>
      </w:r>
      <w:r>
        <w:rPr>
          <w:rFonts w:hint="eastAsia" w:ascii="宋体" w:hAnsi="宋体" w:cs="宋体"/>
          <w:highlight w:val="none"/>
          <w:lang w:val="en-US" w:eastAsia="zh-CN"/>
        </w:rPr>
        <w:t>单价</w:t>
      </w:r>
      <w:r>
        <w:rPr>
          <w:rFonts w:hint="eastAsia" w:ascii="宋体" w:hAnsi="宋体" w:eastAsia="宋体" w:cs="宋体"/>
          <w:highlight w:val="none"/>
        </w:rPr>
        <w:t>。</w:t>
      </w:r>
    </w:p>
    <w:p>
      <w:pPr>
        <w:spacing w:line="360" w:lineRule="auto"/>
        <w:ind w:firstLine="555"/>
        <w:rPr>
          <w:rFonts w:ascii="宋体" w:hAnsi="宋体" w:eastAsia="宋体" w:cs="宋体"/>
          <w:highlight w:val="none"/>
        </w:rPr>
      </w:pPr>
      <w:r>
        <w:rPr>
          <w:rFonts w:hint="eastAsia" w:ascii="宋体" w:hAnsi="宋体" w:eastAsia="宋体" w:cs="宋体"/>
          <w:highlight w:val="none"/>
        </w:rPr>
        <w:t>3.3.付款采用银行转账方式。</w:t>
      </w:r>
    </w:p>
    <w:p>
      <w:pPr>
        <w:spacing w:line="360" w:lineRule="auto"/>
        <w:ind w:firstLine="555"/>
        <w:rPr>
          <w:rFonts w:ascii="宋体" w:hAnsi="宋体" w:cs="宋体"/>
          <w:b/>
          <w:bCs/>
          <w:highlight w:val="none"/>
        </w:rPr>
      </w:pPr>
      <w:r>
        <w:rPr>
          <w:rFonts w:hint="eastAsia" w:ascii="宋体" w:hAnsi="宋体" w:eastAsia="宋体" w:cs="宋体"/>
          <w:highlight w:val="none"/>
        </w:rPr>
        <w:t>3.3.1</w:t>
      </w:r>
      <w:r>
        <w:rPr>
          <w:rFonts w:hint="eastAsia" w:ascii="宋体" w:hAnsi="宋体" w:cs="宋体"/>
          <w:b/>
          <w:bCs/>
          <w:highlight w:val="none"/>
        </w:rPr>
        <w:t>完成考古发掘工作，通过省考古院验收，乙方须协助甲方在15日历日内取得考古发掘报告后，甲方30日历日内一次性支付该结算价款。</w:t>
      </w:r>
    </w:p>
    <w:p>
      <w:pPr>
        <w:spacing w:line="360" w:lineRule="auto"/>
        <w:ind w:firstLine="555"/>
        <w:rPr>
          <w:rFonts w:ascii="宋体" w:hAnsi="宋体" w:eastAsia="宋体" w:cs="宋体"/>
          <w:highlight w:val="none"/>
        </w:rPr>
      </w:pPr>
      <w:r>
        <w:rPr>
          <w:rFonts w:hint="eastAsia" w:ascii="宋体" w:hAnsi="宋体" w:eastAsia="宋体" w:cs="宋体"/>
          <w:highlight w:val="none"/>
        </w:rPr>
        <w:t>3.3.2付款前，乙方需提供合法正确税务发票。</w:t>
      </w:r>
    </w:p>
    <w:p>
      <w:pPr>
        <w:spacing w:line="360" w:lineRule="auto"/>
        <w:rPr>
          <w:rFonts w:ascii="宋体" w:hAnsi="宋体" w:eastAsia="宋体" w:cs="宋体"/>
          <w:highlight w:val="none"/>
        </w:rPr>
      </w:pPr>
      <w:r>
        <w:rPr>
          <w:rFonts w:hint="eastAsia" w:ascii="宋体" w:hAnsi="宋体" w:eastAsia="宋体" w:cs="宋体"/>
          <w:highlight w:val="none"/>
        </w:rPr>
        <w:t xml:space="preserve">发票所示名称、纳税人识别号、开户行、账户、地址电话等信息，必须真实规范。 </w:t>
      </w:r>
    </w:p>
    <w:p>
      <w:pPr>
        <w:spacing w:line="360" w:lineRule="auto"/>
        <w:rPr>
          <w:rFonts w:ascii="宋体" w:hAnsi="宋体" w:eastAsia="宋体" w:cs="宋体"/>
          <w:b/>
          <w:highlight w:val="none"/>
        </w:rPr>
      </w:pPr>
      <w:r>
        <w:rPr>
          <w:rFonts w:hint="eastAsia" w:ascii="宋体" w:hAnsi="宋体" w:eastAsia="宋体" w:cs="宋体"/>
          <w:b/>
          <w:highlight w:val="none"/>
        </w:rPr>
        <w:t>第四条  各方责任与义务</w:t>
      </w:r>
    </w:p>
    <w:p>
      <w:pPr>
        <w:spacing w:line="360" w:lineRule="auto"/>
        <w:ind w:firstLine="555"/>
        <w:rPr>
          <w:rFonts w:ascii="宋体" w:hAnsi="宋体" w:eastAsia="宋体" w:cs="宋体"/>
          <w:highlight w:val="none"/>
        </w:rPr>
      </w:pPr>
      <w:r>
        <w:rPr>
          <w:rFonts w:hint="eastAsia" w:ascii="宋体" w:hAnsi="宋体" w:eastAsia="宋体" w:cs="宋体"/>
          <w:highlight w:val="none"/>
        </w:rPr>
        <w:t>4.1甲方责任与义务</w:t>
      </w:r>
    </w:p>
    <w:p>
      <w:pPr>
        <w:spacing w:line="360" w:lineRule="auto"/>
        <w:ind w:firstLine="555"/>
        <w:rPr>
          <w:rFonts w:ascii="宋体" w:hAnsi="宋体" w:eastAsia="宋体" w:cs="宋体"/>
          <w:highlight w:val="none"/>
        </w:rPr>
      </w:pPr>
      <w:r>
        <w:rPr>
          <w:rFonts w:hint="eastAsia" w:ascii="宋体" w:hAnsi="宋体" w:eastAsia="宋体" w:cs="宋体"/>
          <w:highlight w:val="none"/>
        </w:rPr>
        <w:t>4.1.1、完成土地征用、青苗树木赔偿、拆除地上地下障碍物等清表工作。</w:t>
      </w:r>
    </w:p>
    <w:p>
      <w:pPr>
        <w:spacing w:line="360" w:lineRule="auto"/>
        <w:ind w:firstLine="555"/>
        <w:rPr>
          <w:rFonts w:ascii="宋体" w:hAnsi="宋体" w:eastAsia="宋体" w:cs="宋体"/>
          <w:highlight w:val="none"/>
        </w:rPr>
      </w:pPr>
      <w:r>
        <w:rPr>
          <w:rFonts w:hint="eastAsia" w:ascii="宋体" w:hAnsi="宋体" w:eastAsia="宋体" w:cs="宋体"/>
          <w:highlight w:val="none"/>
        </w:rPr>
        <w:t>4.1.2、按照协议约定时限向乙方及时足额支付工作费用。</w:t>
      </w:r>
    </w:p>
    <w:p>
      <w:pPr>
        <w:spacing w:line="360" w:lineRule="auto"/>
        <w:ind w:firstLine="555"/>
        <w:rPr>
          <w:rFonts w:ascii="宋体" w:hAnsi="宋体" w:eastAsia="宋体" w:cs="宋体"/>
          <w:highlight w:val="none"/>
        </w:rPr>
      </w:pPr>
      <w:r>
        <w:rPr>
          <w:rFonts w:hint="eastAsia" w:ascii="宋体" w:hAnsi="宋体" w:eastAsia="宋体" w:cs="宋体"/>
          <w:highlight w:val="none"/>
        </w:rPr>
        <w:t>4.2乙方责任与义务</w:t>
      </w:r>
    </w:p>
    <w:p>
      <w:pPr>
        <w:spacing w:line="360" w:lineRule="auto"/>
        <w:ind w:firstLine="555"/>
        <w:rPr>
          <w:rFonts w:ascii="宋体" w:hAnsi="宋体" w:eastAsia="宋体" w:cs="宋体"/>
          <w:highlight w:val="none"/>
        </w:rPr>
      </w:pPr>
      <w:r>
        <w:rPr>
          <w:rFonts w:hint="eastAsia" w:ascii="宋体" w:hAnsi="宋体" w:eastAsia="宋体" w:cs="宋体"/>
          <w:highlight w:val="none"/>
        </w:rPr>
        <w:t>4.2.1、承担甲方建设区域内已探明古代文化遗存的考古发掘配合服务工作，包括土方劳务、安全保卫、支护加固、防尘网覆盖等内容。</w:t>
      </w:r>
    </w:p>
    <w:p>
      <w:pPr>
        <w:spacing w:line="360" w:lineRule="auto"/>
        <w:ind w:firstLine="555"/>
        <w:rPr>
          <w:rFonts w:ascii="宋体" w:hAnsi="宋体" w:eastAsia="宋体" w:cs="宋体"/>
          <w:highlight w:val="none"/>
        </w:rPr>
      </w:pPr>
      <w:r>
        <w:rPr>
          <w:rFonts w:hint="eastAsia" w:ascii="宋体" w:hAnsi="宋体" w:eastAsia="宋体" w:cs="宋体"/>
          <w:highlight w:val="none"/>
        </w:rPr>
        <w:t>4.2.2、按照《田野考古工作规程》科学组织考古发掘配合服务，确保资料准确可靠及出土文物安全。</w:t>
      </w:r>
    </w:p>
    <w:p>
      <w:pPr>
        <w:spacing w:line="360" w:lineRule="auto"/>
        <w:ind w:firstLine="555"/>
        <w:rPr>
          <w:rFonts w:ascii="宋体" w:hAnsi="宋体" w:eastAsia="宋体" w:cs="宋体"/>
          <w:highlight w:val="none"/>
        </w:rPr>
      </w:pPr>
      <w:r>
        <w:rPr>
          <w:rFonts w:hint="eastAsia" w:ascii="宋体" w:hAnsi="宋体" w:eastAsia="宋体" w:cs="宋体"/>
          <w:highlight w:val="none"/>
        </w:rPr>
        <w:t>4.2.3、配合发掘单位完成《××××××考古发掘工作报告》的编写。</w:t>
      </w:r>
    </w:p>
    <w:p>
      <w:pPr>
        <w:spacing w:line="360" w:lineRule="auto"/>
        <w:ind w:firstLine="555"/>
        <w:rPr>
          <w:rFonts w:ascii="宋体" w:hAnsi="宋体" w:eastAsia="宋体" w:cs="宋体"/>
          <w:highlight w:val="none"/>
        </w:rPr>
      </w:pPr>
      <w:r>
        <w:rPr>
          <w:rFonts w:hint="eastAsia" w:ascii="宋体" w:hAnsi="宋体" w:eastAsia="宋体" w:cs="宋体"/>
          <w:highlight w:val="none"/>
        </w:rPr>
        <w:t>4.2.4、按照协议工作期限，完成协议规定的发掘任务，并向甲方移交场地。</w:t>
      </w:r>
    </w:p>
    <w:p>
      <w:pPr>
        <w:spacing w:line="360" w:lineRule="auto"/>
        <w:ind w:firstLine="555"/>
        <w:rPr>
          <w:rFonts w:ascii="宋体" w:hAnsi="宋体" w:eastAsia="宋体" w:cs="宋体"/>
          <w:highlight w:val="none"/>
        </w:rPr>
      </w:pPr>
      <w:r>
        <w:rPr>
          <w:rFonts w:hint="eastAsia" w:ascii="宋体" w:hAnsi="宋体" w:eastAsia="宋体" w:cs="宋体"/>
          <w:highlight w:val="none"/>
        </w:rPr>
        <w:t>4.2.5、配合甲方组织项目区域内文物保护工作事项的论证等有关会议。</w:t>
      </w:r>
    </w:p>
    <w:p>
      <w:pPr>
        <w:spacing w:line="360" w:lineRule="auto"/>
        <w:ind w:firstLine="555"/>
        <w:rPr>
          <w:rFonts w:ascii="宋体" w:hAnsi="宋体" w:eastAsia="宋体" w:cs="宋体"/>
          <w:highlight w:val="none"/>
        </w:rPr>
      </w:pPr>
      <w:r>
        <w:rPr>
          <w:rFonts w:hint="eastAsia" w:ascii="宋体" w:hAnsi="宋体" w:eastAsia="宋体" w:cs="宋体"/>
          <w:highlight w:val="none"/>
        </w:rPr>
        <w:t>4.2.6、在现场工作的乙方人员，应遵守文物考古相关安全法律规定及其他有关的规章制度，承担有关资料的保密义务。</w:t>
      </w:r>
    </w:p>
    <w:p>
      <w:pPr>
        <w:spacing w:line="360" w:lineRule="auto"/>
        <w:rPr>
          <w:rFonts w:ascii="宋体" w:hAnsi="宋体" w:eastAsia="宋体" w:cs="宋体"/>
          <w:b/>
          <w:highlight w:val="none"/>
        </w:rPr>
      </w:pPr>
      <w:r>
        <w:rPr>
          <w:rFonts w:hint="eastAsia" w:ascii="宋体" w:hAnsi="宋体" w:eastAsia="宋体" w:cs="宋体"/>
          <w:b/>
          <w:highlight w:val="none"/>
        </w:rPr>
        <w:t>第五条   成果归属及保密条款</w:t>
      </w:r>
    </w:p>
    <w:p>
      <w:pPr>
        <w:spacing w:line="360" w:lineRule="auto"/>
        <w:ind w:firstLine="555"/>
        <w:rPr>
          <w:rFonts w:ascii="宋体" w:hAnsi="宋体" w:eastAsia="宋体" w:cs="宋体"/>
          <w:highlight w:val="none"/>
        </w:rPr>
      </w:pPr>
      <w:r>
        <w:rPr>
          <w:rFonts w:hint="eastAsia" w:ascii="宋体" w:hAnsi="宋体" w:eastAsia="宋体" w:cs="宋体"/>
          <w:highlight w:val="none"/>
        </w:rPr>
        <w:t>5.1考古工作报告属于甲方所有，未经甲方同意，乙方不得擅自修改或转让给他方使用，违反本约定给甲方造成损失的，甲方有权索赔。</w:t>
      </w:r>
    </w:p>
    <w:p>
      <w:pPr>
        <w:spacing w:line="360" w:lineRule="auto"/>
        <w:rPr>
          <w:rFonts w:ascii="宋体" w:hAnsi="宋体" w:eastAsia="宋体" w:cs="宋体"/>
          <w:b/>
          <w:highlight w:val="none"/>
        </w:rPr>
      </w:pPr>
      <w:r>
        <w:rPr>
          <w:rFonts w:hint="eastAsia" w:ascii="宋体" w:hAnsi="宋体" w:eastAsia="宋体" w:cs="宋体"/>
          <w:b/>
          <w:highlight w:val="none"/>
        </w:rPr>
        <w:t>第六条  违约责任及争议解决</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6.1.甲方违约责任</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6.1.1.未按协议约定提供有关资料、数据和工作条件，导致乙方无法按协议约定完成工作任务，甲方承担逾期责任。</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6.2.乙方违约责任</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(1)乙方未能按时完工的，每延期一日应按结算总价款的3</w:t>
      </w:r>
      <w:r>
        <w:rPr>
          <w:rFonts w:hint="eastAsia" w:ascii="宋体" w:hAnsi="宋体" w:eastAsia="宋体" w:cs="宋体"/>
          <w:color w:val="auto"/>
          <w:sz w:val="21"/>
          <w:szCs w:val="21"/>
          <w:highlight w:val="none"/>
          <w:lang w:val="en-US" w:eastAsia="zh-CN"/>
        </w:rPr>
        <w:t>‰</w:t>
      </w:r>
      <w:r>
        <w:rPr>
          <w:rFonts w:hint="eastAsia" w:ascii="宋体" w:hAnsi="宋体" w:eastAsia="宋体" w:cs="宋体"/>
          <w:highlight w:val="none"/>
        </w:rPr>
        <w:t>/天向甲方支付违约金(甲方有权从未支付款项中扣除):无故延期15日以上视为根本性违约，甲方有权解除本合同，乙方除应全额退还甲方已支付的工程款外，还应向甲方支付违约金。</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(2)工程出现质量问题视为乙方严重违约，视情节轻重乙方应按工程款的10%-30%向甲方支付违约金(甲方有权从未支付款项中扣除)，此外应赔因此给甲方造成的损失。</w:t>
      </w:r>
    </w:p>
    <w:p>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(3)乙方擅自解除或终止本合同的，乙方应按</w:t>
      </w:r>
      <w:r>
        <w:rPr>
          <w:rFonts w:hint="eastAsia" w:ascii="宋体" w:hAnsi="宋体" w:cs="宋体"/>
          <w:highlight w:val="none"/>
          <w:lang w:val="en-US" w:eastAsia="zh-CN"/>
        </w:rPr>
        <w:t>预算或者合同总价款</w:t>
      </w:r>
      <w:r>
        <w:rPr>
          <w:rFonts w:hint="eastAsia" w:ascii="宋体" w:hAnsi="宋体" w:eastAsia="宋体" w:cs="宋体"/>
          <w:highlight w:val="none"/>
        </w:rPr>
        <w:t>的20%向甲方支付违约金。</w:t>
      </w:r>
    </w:p>
    <w:p>
      <w:pPr>
        <w:spacing w:line="360" w:lineRule="auto"/>
        <w:rPr>
          <w:rFonts w:ascii="宋体" w:hAnsi="宋体" w:eastAsia="宋体" w:cs="宋体"/>
          <w:b/>
          <w:highlight w:val="none"/>
        </w:rPr>
      </w:pPr>
      <w:r>
        <w:rPr>
          <w:rFonts w:hint="eastAsia" w:ascii="宋体" w:hAnsi="宋体" w:eastAsia="宋体" w:cs="宋体"/>
          <w:b/>
          <w:highlight w:val="none"/>
        </w:rPr>
        <w:t>第七条  其他</w:t>
      </w:r>
    </w:p>
    <w:p>
      <w:pPr>
        <w:spacing w:line="360" w:lineRule="auto"/>
        <w:ind w:firstLine="555"/>
        <w:rPr>
          <w:rFonts w:ascii="宋体" w:hAnsi="宋体" w:eastAsia="宋体" w:cs="宋体"/>
          <w:highlight w:val="none"/>
        </w:rPr>
      </w:pPr>
      <w:r>
        <w:rPr>
          <w:rFonts w:hint="eastAsia" w:ascii="宋体" w:hAnsi="宋体" w:eastAsia="宋体" w:cs="宋体"/>
          <w:highlight w:val="none"/>
        </w:rPr>
        <w:t>7.1甲、乙双方应本着积极配合、相互协作、精心组织、保证质量、按期完成的原则开展工作，重大事项双方应共同协商解决。</w:t>
      </w:r>
    </w:p>
    <w:p>
      <w:pPr>
        <w:spacing w:line="360" w:lineRule="auto"/>
        <w:ind w:firstLine="555"/>
        <w:rPr>
          <w:rFonts w:ascii="宋体" w:hAnsi="宋体" w:eastAsia="宋体" w:cs="宋体"/>
          <w:highlight w:val="none"/>
        </w:rPr>
      </w:pPr>
      <w:r>
        <w:rPr>
          <w:rFonts w:hint="eastAsia" w:ascii="宋体" w:hAnsi="宋体" w:eastAsia="宋体" w:cs="宋体"/>
          <w:highlight w:val="none"/>
        </w:rPr>
        <w:t>7.2本协议自甲、乙双方签字盖章或盖章后生效，双方履行完协议规定的义务后，协议终止。</w:t>
      </w:r>
    </w:p>
    <w:p>
      <w:pPr>
        <w:spacing w:line="360" w:lineRule="auto"/>
        <w:ind w:firstLine="555"/>
        <w:rPr>
          <w:rFonts w:ascii="宋体" w:hAnsi="宋体" w:eastAsia="宋体" w:cs="宋体"/>
          <w:highlight w:val="none"/>
        </w:rPr>
      </w:pPr>
      <w:r>
        <w:rPr>
          <w:rFonts w:hint="eastAsia" w:ascii="宋体" w:hAnsi="宋体" w:eastAsia="宋体" w:cs="宋体"/>
          <w:highlight w:val="none"/>
        </w:rPr>
        <w:t>7.3本协议一式捌份，甲、乙双方各执肆份。</w:t>
      </w:r>
    </w:p>
    <w:p>
      <w:pPr>
        <w:spacing w:line="240" w:lineRule="auto"/>
        <w:ind w:firstLine="555"/>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snapToGrid/>
        <w:spacing w:line="380" w:lineRule="atLeast"/>
        <w:ind w:firstLine="480" w:firstLineChars="200"/>
        <w:textAlignment w:val="auto"/>
        <w:rPr>
          <w:rFonts w:hint="eastAsia" w:ascii="宋体" w:hAnsi="宋体" w:cs="宋体"/>
          <w:highlight w:val="none"/>
          <w:lang w:val="en-US" w:eastAsia="zh-CN"/>
        </w:rPr>
      </w:pPr>
      <w:r>
        <w:rPr>
          <w:rFonts w:hint="eastAsia" w:ascii="宋体" w:hAnsi="宋体" w:eastAsia="宋体" w:cs="宋体"/>
          <w:highlight w:val="none"/>
        </w:rPr>
        <w:t>甲方：</w:t>
      </w:r>
      <w:r>
        <w:rPr>
          <w:rFonts w:hint="eastAsia" w:ascii="宋体" w:hAnsi="宋体" w:cs="宋体"/>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80" w:lineRule="atLeast"/>
        <w:ind w:firstLine="480" w:firstLineChars="200"/>
        <w:textAlignment w:val="auto"/>
        <w:rPr>
          <w:rFonts w:ascii="宋体" w:hAnsi="宋体" w:eastAsia="宋体" w:cs="宋体"/>
          <w:highlight w:val="none"/>
        </w:rPr>
      </w:pPr>
      <w:r>
        <w:rPr>
          <w:rFonts w:hint="eastAsia" w:ascii="宋体" w:hAnsi="宋体" w:eastAsia="宋体" w:cs="宋体"/>
          <w:highlight w:val="none"/>
        </w:rPr>
        <w:t>法定代表人：</w:t>
      </w:r>
    </w:p>
    <w:p>
      <w:pPr>
        <w:keepNext w:val="0"/>
        <w:keepLines w:val="0"/>
        <w:pageBreakBefore w:val="0"/>
        <w:widowControl/>
        <w:kinsoku/>
        <w:wordWrap/>
        <w:overflowPunct/>
        <w:topLinePunct w:val="0"/>
        <w:autoSpaceDE/>
        <w:autoSpaceDN/>
        <w:bidi w:val="0"/>
        <w:adjustRightInd/>
        <w:snapToGrid/>
        <w:spacing w:line="380" w:lineRule="atLeast"/>
        <w:ind w:firstLine="480" w:firstLineChars="200"/>
        <w:textAlignment w:val="auto"/>
        <w:rPr>
          <w:rFonts w:ascii="宋体" w:hAnsi="宋体" w:eastAsia="宋体" w:cs="宋体"/>
          <w:highlight w:val="none"/>
        </w:rPr>
      </w:pPr>
      <w:r>
        <w:rPr>
          <w:rFonts w:hint="eastAsia" w:ascii="宋体" w:hAnsi="宋体" w:eastAsia="宋体" w:cs="宋体"/>
          <w:highlight w:val="none"/>
        </w:rPr>
        <w:t>或委托代理人：</w:t>
      </w:r>
    </w:p>
    <w:p>
      <w:pPr>
        <w:spacing w:line="240" w:lineRule="auto"/>
        <w:ind w:firstLine="555"/>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snapToGrid/>
        <w:spacing w:line="380" w:lineRule="atLeast"/>
        <w:ind w:firstLine="556"/>
        <w:textAlignment w:val="auto"/>
        <w:rPr>
          <w:rFonts w:hint="eastAsia" w:ascii="宋体" w:hAnsi="宋体" w:eastAsia="宋体" w:cs="宋体"/>
          <w:highlight w:val="none"/>
        </w:rPr>
      </w:pPr>
      <w:r>
        <w:rPr>
          <w:rFonts w:hint="eastAsia" w:ascii="宋体" w:hAnsi="宋体" w:eastAsia="宋体" w:cs="宋体"/>
          <w:highlight w:val="none"/>
        </w:rPr>
        <w:t xml:space="preserve">乙方：   </w:t>
      </w:r>
    </w:p>
    <w:p>
      <w:pPr>
        <w:keepNext w:val="0"/>
        <w:keepLines w:val="0"/>
        <w:pageBreakBefore w:val="0"/>
        <w:widowControl/>
        <w:kinsoku/>
        <w:wordWrap/>
        <w:overflowPunct/>
        <w:topLinePunct w:val="0"/>
        <w:autoSpaceDE/>
        <w:autoSpaceDN/>
        <w:bidi w:val="0"/>
        <w:adjustRightInd/>
        <w:snapToGrid/>
        <w:spacing w:line="380" w:lineRule="atLeast"/>
        <w:ind w:firstLine="556"/>
        <w:textAlignment w:val="auto"/>
        <w:rPr>
          <w:rFonts w:hint="eastAsia" w:ascii="宋体" w:hAnsi="宋体" w:eastAsia="宋体" w:cs="宋体"/>
          <w:highlight w:val="none"/>
        </w:rPr>
      </w:pPr>
      <w:r>
        <w:rPr>
          <w:rFonts w:hint="eastAsia" w:ascii="宋体" w:hAnsi="宋体" w:eastAsia="宋体" w:cs="宋体"/>
          <w:highlight w:val="none"/>
        </w:rPr>
        <w:t>法定代表人：</w:t>
      </w:r>
    </w:p>
    <w:p>
      <w:pPr>
        <w:keepNext w:val="0"/>
        <w:keepLines w:val="0"/>
        <w:pageBreakBefore w:val="0"/>
        <w:widowControl/>
        <w:kinsoku/>
        <w:wordWrap/>
        <w:overflowPunct/>
        <w:topLinePunct w:val="0"/>
        <w:autoSpaceDE/>
        <w:autoSpaceDN/>
        <w:bidi w:val="0"/>
        <w:adjustRightInd/>
        <w:snapToGrid/>
        <w:spacing w:line="380" w:lineRule="atLeast"/>
        <w:ind w:firstLine="556"/>
        <w:textAlignment w:val="auto"/>
        <w:rPr>
          <w:rFonts w:hint="eastAsia" w:ascii="宋体" w:hAnsi="宋体" w:eastAsia="宋体" w:cs="宋体"/>
          <w:highlight w:val="none"/>
        </w:rPr>
      </w:pPr>
      <w:r>
        <w:rPr>
          <w:rFonts w:hint="eastAsia" w:ascii="宋体" w:hAnsi="宋体" w:eastAsia="宋体" w:cs="宋体"/>
          <w:highlight w:val="none"/>
        </w:rPr>
        <w:t>或委托代理人：</w:t>
      </w:r>
    </w:p>
    <w:p>
      <w:pPr>
        <w:spacing w:line="360" w:lineRule="auto"/>
        <w:ind w:firstLine="480" w:firstLineChars="200"/>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snapToGrid/>
        <w:spacing w:line="380" w:lineRule="atLeast"/>
        <w:ind w:firstLine="480" w:firstLineChars="200"/>
        <w:textAlignment w:val="auto"/>
        <w:rPr>
          <w:rFonts w:ascii="宋体" w:hAnsi="宋体" w:eastAsia="宋体" w:cs="宋体"/>
          <w:highlight w:val="none"/>
        </w:rPr>
      </w:pPr>
      <w:r>
        <w:rPr>
          <w:rFonts w:hint="eastAsia" w:ascii="宋体" w:hAnsi="宋体" w:eastAsia="宋体" w:cs="宋体"/>
          <w:highlight w:val="none"/>
        </w:rPr>
        <w:t>签署日期：</w:t>
      </w:r>
    </w:p>
    <w:p>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pStyle w:val="2"/>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第五章  投标文件构成及格式</w:t>
      </w:r>
      <w:bookmarkEnd w:id="28"/>
      <w:bookmarkEnd w:id="31"/>
      <w:bookmarkEnd w:id="32"/>
      <w:bookmarkEnd w:id="33"/>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jc w:val="both"/>
        <w:rPr>
          <w:rFonts w:hint="eastAsia" w:ascii="宋体" w:hAnsi="宋体" w:eastAsia="宋体" w:cs="宋体"/>
          <w:color w:val="auto"/>
          <w:sz w:val="32"/>
          <w:szCs w:val="32"/>
          <w:highlight w:val="none"/>
        </w:rPr>
      </w:pPr>
    </w:p>
    <w:p>
      <w:pPr>
        <w:jc w:val="center"/>
        <w:rPr>
          <w:rFonts w:hint="eastAsia" w:ascii="宋体" w:hAnsi="宋体" w:eastAsia="宋体" w:cs="宋体"/>
          <w:b/>
          <w:bCs/>
          <w:color w:val="auto"/>
          <w:sz w:val="44"/>
          <w:szCs w:val="44"/>
          <w:highlight w:val="none"/>
          <w:lang w:eastAsia="zh-CN"/>
        </w:rPr>
      </w:pPr>
      <w:r>
        <w:rPr>
          <w:rFonts w:hint="eastAsia" w:ascii="宋体" w:hAnsi="宋体" w:eastAsia="宋体" w:cs="宋体"/>
          <w:b/>
          <w:bCs/>
          <w:color w:val="auto"/>
          <w:sz w:val="44"/>
          <w:szCs w:val="44"/>
          <w:highlight w:val="none"/>
          <w:lang w:eastAsia="zh-CN"/>
        </w:rPr>
        <w:t>CB2-1-568宗地发掘土方配合</w:t>
      </w:r>
    </w:p>
    <w:p>
      <w:pPr>
        <w:bidi w:val="0"/>
        <w:rPr>
          <w:rFonts w:hint="eastAsia" w:ascii="宋体" w:hAnsi="宋体" w:eastAsia="宋体" w:cs="宋体"/>
          <w:color w:val="auto"/>
          <w:highlight w:val="none"/>
        </w:rPr>
      </w:pPr>
    </w:p>
    <w:p>
      <w:pPr>
        <w:outlineLvl w:val="9"/>
        <w:rPr>
          <w:rFonts w:hint="eastAsia" w:ascii="宋体" w:hAnsi="宋体" w:eastAsia="宋体" w:cs="宋体"/>
          <w:b/>
          <w:bCs/>
          <w:color w:val="auto"/>
          <w:sz w:val="52"/>
          <w:szCs w:val="52"/>
          <w:highlight w:val="none"/>
        </w:rPr>
      </w:pPr>
    </w:p>
    <w:p>
      <w:pPr>
        <w:jc w:val="center"/>
        <w:outlineLvl w:val="9"/>
        <w:rPr>
          <w:rFonts w:hint="eastAsia" w:ascii="宋体" w:hAnsi="宋体" w:eastAsia="宋体" w:cs="宋体"/>
          <w:color w:val="auto"/>
          <w:highlight w:val="none"/>
        </w:rPr>
      </w:pPr>
      <w:r>
        <w:rPr>
          <w:rFonts w:hint="eastAsia" w:ascii="宋体" w:hAnsi="宋体" w:eastAsia="宋体" w:cs="宋体"/>
          <w:b/>
          <w:bCs/>
          <w:color w:val="auto"/>
          <w:sz w:val="52"/>
          <w:szCs w:val="52"/>
          <w:highlight w:val="none"/>
        </w:rPr>
        <w:t>投标文件</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ind w:left="0" w:leftChars="0" w:firstLine="0" w:firstLineChars="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2"/>
          <w:szCs w:val="32"/>
          <w:highlight w:val="none"/>
          <w:lang w:eastAsia="zh-CN"/>
        </w:rPr>
        <w:t>CGZC-2025-076（HSGJ2025-165）</w:t>
      </w:r>
      <w:r>
        <w:rPr>
          <w:rFonts w:hint="eastAsia" w:ascii="宋体" w:hAnsi="宋体" w:eastAsia="宋体" w:cs="宋体"/>
          <w:b/>
          <w:bCs/>
          <w:color w:val="auto"/>
          <w:sz w:val="32"/>
          <w:szCs w:val="32"/>
          <w:highlight w:val="none"/>
        </w:rPr>
        <w:t>）</w:t>
      </w: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供 应 商：</w:t>
      </w:r>
      <w:r>
        <w:rPr>
          <w:rFonts w:hint="eastAsia" w:ascii="宋体" w:hAnsi="宋体" w:eastAsia="宋体" w:cs="宋体"/>
          <w:b/>
          <w:color w:val="auto"/>
          <w:sz w:val="30"/>
          <w:szCs w:val="30"/>
          <w:highlight w:val="none"/>
          <w:u w:val="single"/>
        </w:rPr>
        <w:t xml:space="preserve">                 （盖章）</w:t>
      </w:r>
    </w:p>
    <w:p>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日    期：     年 </w:t>
      </w: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 xml:space="preserve"> 月  </w:t>
      </w: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日</w:t>
      </w:r>
    </w:p>
    <w:p>
      <w:pPr>
        <w:spacing w:line="560" w:lineRule="exact"/>
        <w:ind w:firstLine="640" w:firstLineChars="200"/>
        <w:jc w:val="both"/>
        <w:rPr>
          <w:rFonts w:hint="eastAsia" w:ascii="宋体" w:hAnsi="宋体" w:eastAsia="宋体" w:cs="宋体"/>
          <w:color w:val="auto"/>
          <w:sz w:val="44"/>
          <w:szCs w:val="44"/>
          <w:highlight w:val="none"/>
        </w:rPr>
      </w:pPr>
      <w:r>
        <w:rPr>
          <w:rFonts w:hint="eastAsia" w:ascii="宋体" w:hAnsi="宋体" w:eastAsia="宋体" w:cs="宋体"/>
          <w:color w:val="auto"/>
          <w:sz w:val="32"/>
          <w:szCs w:val="32"/>
          <w:highlight w:val="none"/>
        </w:rPr>
        <w:br w:type="page"/>
      </w:r>
    </w:p>
    <w:p>
      <w:pPr>
        <w:spacing w:line="560" w:lineRule="exact"/>
        <w:ind w:firstLine="880" w:firstLineChars="200"/>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目    录</w:t>
      </w:r>
    </w:p>
    <w:p>
      <w:pPr>
        <w:spacing w:line="560" w:lineRule="exact"/>
        <w:ind w:firstLine="640" w:firstLineChars="200"/>
        <w:jc w:val="both"/>
        <w:rPr>
          <w:rFonts w:hint="eastAsia" w:ascii="宋体" w:hAnsi="宋体" w:eastAsia="宋体" w:cs="宋体"/>
          <w:color w:val="auto"/>
          <w:sz w:val="32"/>
          <w:szCs w:val="32"/>
          <w:highlight w:val="none"/>
        </w:rPr>
      </w:pP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投标函</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开标一览表</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资格证明文件</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供应商概况</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供应商参加政府采购活动承诺书</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投标方案</w:t>
      </w:r>
    </w:p>
    <w:p>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第一部分  投标函</w:t>
      </w:r>
    </w:p>
    <w:p>
      <w:pPr>
        <w:keepNext w:val="0"/>
        <w:keepLines w:val="0"/>
        <w:pageBreakBefore w:val="0"/>
        <w:widowControl w:val="0"/>
        <w:tabs>
          <w:tab w:val="left" w:pos="1809"/>
        </w:tabs>
        <w:kinsoku/>
        <w:wordWrap/>
        <w:overflowPunct/>
        <w:topLinePunct w:val="0"/>
        <w:autoSpaceDE/>
        <w:autoSpaceDN/>
        <w:bidi w:val="0"/>
        <w:adjustRightInd/>
        <w:snapToGrid/>
        <w:spacing w:line="360" w:lineRule="auto"/>
        <w:ind w:left="0" w:leftChars="0" w:right="0" w:firstLine="0" w:firstLineChars="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致</w:t>
      </w:r>
      <w:r>
        <w:rPr>
          <w:rFonts w:hint="eastAsia" w:ascii="宋体" w:hAnsi="宋体" w:eastAsia="宋体" w:cs="宋体"/>
          <w:color w:val="auto"/>
          <w:sz w:val="24"/>
          <w:szCs w:val="24"/>
          <w:highlight w:val="none"/>
          <w:u w:val="single" w:color="000000"/>
          <w:lang w:val="en-US" w:eastAsia="zh-CN" w:bidi="ar-SA"/>
        </w:rPr>
        <w:t xml:space="preserve">           </w:t>
      </w:r>
      <w:r>
        <w:rPr>
          <w:rFonts w:hint="eastAsia" w:ascii="宋体" w:hAnsi="宋体" w:eastAsia="宋体" w:cs="宋体"/>
          <w:color w:val="auto"/>
          <w:sz w:val="24"/>
          <w:szCs w:val="24"/>
          <w:highlight w:val="none"/>
          <w:lang w:val="en-US" w:eastAsia="zh-CN" w:bidi="ar-SA"/>
        </w:rPr>
        <w:t>(采购人或采购代理机构)：</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我</w:t>
      </w:r>
      <w:r>
        <w:rPr>
          <w:rFonts w:hint="eastAsia" w:ascii="宋体" w:hAnsi="宋体" w:eastAsia="宋体" w:cs="宋体"/>
          <w:color w:val="auto"/>
          <w:highlight w:val="none"/>
        </w:rPr>
        <w:t>方收到贵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发布的</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（项目编号：</w:t>
      </w:r>
      <w:r>
        <w:rPr>
          <w:rFonts w:hint="eastAsia" w:ascii="宋体" w:hAnsi="宋体" w:eastAsia="宋体" w:cs="宋体"/>
          <w:color w:val="auto"/>
          <w:highlight w:val="none"/>
          <w:u w:val="single"/>
        </w:rPr>
        <w:t>〈项目编号〉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）招标文件，经详细研究，我方决定参加该项目的招标活动。为此，我方郑重声明以下诸点，并负法律责任。</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1．我方已详细阅读了招标文件，完全理解并同意招标文件的所有事项及内容。</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2．我方已悉知并及时关注了贵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在陕西省政府采购网、全国公共资源交易平台（陕西省·西安市）上发布的关于本项目的有关变更公告（包括但不限于对招标文件做出的修改或澄清、答疑纪要，以及项目暂停、重启、延期、终止等）。</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3．我方同意向贵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提供与本次招标有关的全部证明材料，并保证所提交的证明材料真实、合法、有效。</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4．我方理解最低价不是成交的唯一条件，并尊重评标委员会的评审结果。</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5．我方投标文件在开启之日起___个日历日（应不少于90个日历日）内有效。</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6．若我方成交，我方承诺：（1）将投标文件有效期延长至合同执行完毕；（2）收到成交通知书后提交纸质投标文件一正两副；（3）遵照招标文件中的要求，完成本项目的合同责任和义务。</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7．所有关于此次招标活动的函电，请按下列方式联系：</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spacing w:val="60"/>
          <w:kern w:val="0"/>
          <w:highlight w:val="none"/>
          <w:fitText w:val="960" w:id="1886527923"/>
        </w:rPr>
        <w:t>供应</w:t>
      </w:r>
      <w:r>
        <w:rPr>
          <w:rFonts w:hint="eastAsia" w:ascii="宋体" w:hAnsi="宋体" w:eastAsia="宋体" w:cs="宋体"/>
          <w:color w:val="auto"/>
          <w:spacing w:val="0"/>
          <w:kern w:val="0"/>
          <w:highlight w:val="none"/>
          <w:fitText w:val="960" w:id="1886527923"/>
        </w:rPr>
        <w:t>商</w:t>
      </w:r>
      <w:r>
        <w:rPr>
          <w:rFonts w:hint="eastAsia" w:ascii="宋体" w:hAnsi="宋体" w:eastAsia="宋体" w:cs="宋体"/>
          <w:color w:val="auto"/>
          <w:highlight w:val="none"/>
        </w:rPr>
        <w:t>：（供应商全称并加盖公章）</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法定代表人（主要负责人）或委托代理人：（签字或盖章）</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通讯地址：</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邮</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编：</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电子邮箱：</w:t>
      </w:r>
    </w:p>
    <w:p>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w:t>
      </w:r>
    </w:p>
    <w:p>
      <w:pPr>
        <w:widowControl w:val="0"/>
        <w:tabs>
          <w:tab w:val="left" w:pos="5782"/>
        </w:tabs>
        <w:spacing w:before="93" w:line="360" w:lineRule="auto"/>
        <w:ind w:left="340" w:right="4424"/>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w w:val="28"/>
          <w:sz w:val="24"/>
          <w:szCs w:val="24"/>
          <w:highlight w:val="none"/>
          <w:u w:val="single" w:color="000000"/>
          <w:lang w:val="en-US" w:eastAsia="zh-CN" w:bidi="ar-SA"/>
        </w:rPr>
        <w:t xml:space="preserve"> </w:t>
      </w:r>
    </w:p>
    <w:p>
      <w:pPr>
        <w:widowControl w:val="0"/>
        <w:spacing w:before="40" w:line="420" w:lineRule="exact"/>
        <w:ind w:left="35"/>
        <w:rPr>
          <w:rFonts w:hint="eastAsia" w:ascii="宋体" w:hAnsi="宋体" w:eastAsia="宋体" w:cs="宋体"/>
          <w:color w:val="auto"/>
          <w:w w:val="28"/>
          <w:sz w:val="22"/>
          <w:szCs w:val="22"/>
          <w:highlight w:val="none"/>
          <w:u w:val="single" w:color="000000"/>
          <w:lang w:val="en-US" w:eastAsia="zh-CN" w:bidi="ar-SA"/>
        </w:rPr>
      </w:pPr>
    </w:p>
    <w:p>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第二部分  开标一览表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3477"/>
        <w:gridCol w:w="1595"/>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708" w:type="dxa"/>
            <w:noWrap w:val="0"/>
            <w:vAlign w:val="center"/>
          </w:tcPr>
          <w:p>
            <w:pPr>
              <w:pStyle w:val="22"/>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3477" w:type="dxa"/>
            <w:noWrap w:val="0"/>
            <w:vAlign w:val="center"/>
          </w:tcPr>
          <w:p>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CB2-1-568宗地发掘土方配合</w:t>
            </w:r>
          </w:p>
        </w:tc>
        <w:tc>
          <w:tcPr>
            <w:tcW w:w="1595" w:type="dxa"/>
            <w:noWrap w:val="0"/>
            <w:vAlign w:val="center"/>
          </w:tcPr>
          <w:p>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项目编号</w:t>
            </w:r>
          </w:p>
        </w:tc>
        <w:tc>
          <w:tcPr>
            <w:tcW w:w="2073" w:type="dxa"/>
            <w:noWrap w:val="0"/>
            <w:vAlign w:val="center"/>
          </w:tcPr>
          <w:p>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CGZC-2025-076（HSGJ2025-165）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708" w:type="dxa"/>
            <w:noWrap w:val="0"/>
            <w:vAlign w:val="center"/>
          </w:tcPr>
          <w:p>
            <w:pPr>
              <w:pStyle w:val="22"/>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投标单价</w:t>
            </w:r>
            <w:r>
              <w:rPr>
                <w:rFonts w:hint="eastAsia" w:ascii="宋体" w:hAnsi="宋体" w:cs="宋体"/>
                <w:color w:val="auto"/>
                <w:sz w:val="24"/>
                <w:szCs w:val="24"/>
                <w:highlight w:val="none"/>
              </w:rPr>
              <w:t>（元）</w:t>
            </w:r>
          </w:p>
        </w:tc>
        <w:tc>
          <w:tcPr>
            <w:tcW w:w="7145" w:type="dxa"/>
            <w:gridSpan w:val="3"/>
            <w:noWrap w:val="0"/>
            <w:vAlign w:val="center"/>
          </w:tcPr>
          <w:p>
            <w:pPr>
              <w:widowControl/>
              <w:spacing w:line="360" w:lineRule="auto"/>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eastAsia="zh-CN"/>
              </w:rPr>
              <w:t>小写：</w:t>
            </w:r>
            <w:r>
              <w:rPr>
                <w:rFonts w:hint="eastAsia" w:ascii="宋体" w:hAnsi="宋体" w:cs="宋体"/>
                <w:color w:val="auto"/>
                <w:sz w:val="24"/>
                <w:highlight w:val="none"/>
                <w:u w:val="single"/>
                <w:lang w:val="en-US" w:eastAsia="zh-CN"/>
              </w:rPr>
              <w:t xml:space="preserve">                     </w:t>
            </w:r>
          </w:p>
          <w:p>
            <w:pPr>
              <w:widowControl/>
              <w:spacing w:line="360" w:lineRule="auto"/>
              <w:jc w:val="both"/>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大写：</w:t>
            </w:r>
            <w:r>
              <w:rPr>
                <w:rFonts w:hint="eastAsia" w:ascii="宋体" w:hAnsi="宋体" w:cs="宋体"/>
                <w:color w:val="auto"/>
                <w:sz w:val="24"/>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708" w:type="dxa"/>
            <w:noWrap w:val="0"/>
            <w:vAlign w:val="center"/>
          </w:tcPr>
          <w:p>
            <w:pPr>
              <w:widowControl/>
              <w:jc w:val="center"/>
              <w:rPr>
                <w:rFonts w:ascii="宋体" w:hAnsi="宋体"/>
                <w:color w:val="auto"/>
                <w:sz w:val="24"/>
                <w:highlight w:val="none"/>
              </w:rPr>
            </w:pPr>
            <w:r>
              <w:rPr>
                <w:rFonts w:hint="eastAsia" w:ascii="宋体" w:hAnsi="宋体"/>
                <w:color w:val="auto"/>
                <w:sz w:val="24"/>
                <w:highlight w:val="none"/>
                <w:lang w:eastAsia="zh-CN"/>
              </w:rPr>
              <w:t>服务期</w:t>
            </w:r>
          </w:p>
        </w:tc>
        <w:tc>
          <w:tcPr>
            <w:tcW w:w="7145" w:type="dxa"/>
            <w:gridSpan w:val="3"/>
            <w:noWrap w:val="0"/>
            <w:vAlign w:val="center"/>
          </w:tcPr>
          <w:p>
            <w:pPr>
              <w:spacing w:line="360" w:lineRule="auto"/>
              <w:jc w:val="center"/>
              <w:rPr>
                <w:rFonts w:ascii="宋体" w:hAnsi="宋体" w:cs="宋体"/>
                <w:b/>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708" w:type="dxa"/>
            <w:noWrap w:val="0"/>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备注</w:t>
            </w:r>
          </w:p>
        </w:tc>
        <w:tc>
          <w:tcPr>
            <w:tcW w:w="7145" w:type="dxa"/>
            <w:gridSpan w:val="3"/>
            <w:noWrap w:val="0"/>
            <w:vAlign w:val="center"/>
          </w:tcPr>
          <w:p>
            <w:pPr>
              <w:spacing w:line="360" w:lineRule="auto"/>
              <w:jc w:val="center"/>
              <w:rPr>
                <w:rFonts w:ascii="宋体" w:hAnsi="宋体" w:cs="宋体"/>
                <w:b/>
                <w:color w:val="auto"/>
                <w:sz w:val="24"/>
                <w:highlight w:val="none"/>
                <w:u w:val="single"/>
              </w:rPr>
            </w:pPr>
          </w:p>
        </w:tc>
      </w:tr>
    </w:tbl>
    <w:p>
      <w:pPr>
        <w:kinsoku w:val="0"/>
        <w:spacing w:line="240" w:lineRule="auto"/>
        <w:rPr>
          <w:rFonts w:hint="eastAsia" w:ascii="宋体" w:hAnsi="宋体" w:eastAsia="宋体" w:cs="宋体"/>
          <w:b/>
          <w:bCs/>
          <w:color w:val="auto"/>
          <w:kern w:val="0"/>
          <w:sz w:val="24"/>
          <w:szCs w:val="24"/>
          <w:highlight w:val="none"/>
          <w:lang w:val="en-US" w:eastAsia="zh-CN"/>
        </w:rPr>
      </w:pPr>
    </w:p>
    <w:p>
      <w:pPr>
        <w:kinsoku w:val="0"/>
        <w:spacing w:line="24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注意：</w:t>
      </w:r>
    </w:p>
    <w:p>
      <w:pPr>
        <w:kinsoku w:val="0"/>
        <w:spacing w:line="24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1.投标单位所报投标综合单价不得超出最高限价，否则视为无效报价。</w:t>
      </w:r>
    </w:p>
    <w:p>
      <w:pPr>
        <w:spacing w:line="480" w:lineRule="auto"/>
        <w:ind w:firstLine="3840" w:firstLineChars="1600"/>
        <w:rPr>
          <w:rFonts w:hint="eastAsia" w:ascii="宋体" w:hAnsi="宋体" w:eastAsia="宋体" w:cs="宋体"/>
          <w:color w:val="auto"/>
          <w:sz w:val="24"/>
          <w:szCs w:val="24"/>
          <w:highlight w:val="none"/>
          <w:lang w:eastAsia="zh-CN"/>
        </w:rPr>
      </w:pPr>
    </w:p>
    <w:p>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供应商名称（盖章）：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pPr>
        <w:widowControl/>
        <w:spacing w:line="480" w:lineRule="auto"/>
        <w:ind w:firstLine="3840" w:firstLineChars="1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pPr>
        <w:pStyle w:val="2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分项报价表</w:t>
      </w:r>
    </w:p>
    <w:p>
      <w:pPr>
        <w:pStyle w:val="16"/>
        <w:shd w:val="clear" w:color="auto" w:fill="auto"/>
        <w:tabs>
          <w:tab w:val="left" w:pos="567"/>
        </w:tabs>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pStyle w:val="16"/>
        <w:shd w:val="clear" w:color="auto" w:fill="auto"/>
        <w:tabs>
          <w:tab w:val="left" w:pos="567"/>
        </w:tabs>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项目编号：</w:t>
      </w:r>
    </w:p>
    <w:tbl>
      <w:tblPr>
        <w:tblStyle w:val="3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794"/>
        <w:gridCol w:w="1004"/>
        <w:gridCol w:w="1275"/>
        <w:gridCol w:w="1134"/>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794" w:type="dxa"/>
            <w:noWrap w:val="0"/>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服务内容</w:t>
            </w:r>
          </w:p>
        </w:tc>
        <w:tc>
          <w:tcPr>
            <w:tcW w:w="1004" w:type="dxa"/>
            <w:noWrap w:val="0"/>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275" w:type="dxa"/>
            <w:noWrap w:val="0"/>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1134" w:type="dxa"/>
            <w:noWrap w:val="0"/>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1656" w:type="dxa"/>
            <w:noWrap w:val="0"/>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pPr>
              <w:adjustRightInd w:val="0"/>
              <w:snapToGrid w:val="0"/>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总计</w:t>
            </w:r>
          </w:p>
        </w:tc>
        <w:tc>
          <w:tcPr>
            <w:tcW w:w="7863" w:type="dxa"/>
            <w:gridSpan w:val="5"/>
            <w:noWrap w:val="0"/>
            <w:vAlign w:val="center"/>
          </w:tcPr>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人民币（大写）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元（￥：   元） </w:t>
            </w:r>
          </w:p>
        </w:tc>
      </w:tr>
    </w:tbl>
    <w:p>
      <w:pPr>
        <w:spacing w:line="360" w:lineRule="auto"/>
        <w:rPr>
          <w:rFonts w:hint="eastAsia" w:ascii="宋体" w:hAnsi="宋体" w:cs="宋体" w:eastAsiaTheme="minorEastAsia"/>
          <w:color w:val="auto"/>
          <w:sz w:val="24"/>
          <w:szCs w:val="24"/>
          <w:highlight w:val="none"/>
          <w:lang w:eastAsia="zh-CN"/>
        </w:rPr>
      </w:pPr>
      <w:r>
        <w:rPr>
          <w:rFonts w:hint="eastAsia" w:ascii="宋体" w:hAnsi="宋体" w:cs="宋体"/>
          <w:color w:val="auto"/>
          <w:sz w:val="24"/>
          <w:szCs w:val="24"/>
          <w:highlight w:val="none"/>
        </w:rPr>
        <w:t>注：1.所报货币为人民币</w:t>
      </w:r>
      <w:r>
        <w:rPr>
          <w:rFonts w:hint="eastAsia" w:ascii="宋体" w:hAnsi="宋体" w:cs="宋体"/>
          <w:color w:val="auto"/>
          <w:sz w:val="24"/>
          <w:szCs w:val="24"/>
          <w:highlight w:val="none"/>
          <w:lang w:eastAsia="zh-CN"/>
        </w:rPr>
        <w:t>；</w:t>
      </w:r>
    </w:p>
    <w:p>
      <w:pPr>
        <w:numPr>
          <w:ilvl w:val="0"/>
          <w:numId w:val="0"/>
        </w:num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如果单价与</w:t>
      </w:r>
      <w:r>
        <w:rPr>
          <w:rFonts w:hint="eastAsia" w:ascii="宋体" w:hAnsi="宋体" w:cs="宋体"/>
          <w:color w:val="auto"/>
          <w:sz w:val="24"/>
          <w:szCs w:val="24"/>
          <w:highlight w:val="none"/>
          <w:lang w:val="en-US" w:eastAsia="zh-CN"/>
        </w:rPr>
        <w:t>合</w:t>
      </w:r>
      <w:r>
        <w:rPr>
          <w:rFonts w:hint="eastAsia" w:ascii="宋体" w:hAnsi="宋体" w:cs="宋体"/>
          <w:color w:val="auto"/>
          <w:sz w:val="24"/>
          <w:szCs w:val="24"/>
          <w:highlight w:val="none"/>
        </w:rPr>
        <w:t>价不符时，以单价为准</w:t>
      </w:r>
      <w:r>
        <w:rPr>
          <w:rFonts w:hint="eastAsia" w:ascii="宋体" w:hAnsi="宋体" w:cs="宋体"/>
          <w:color w:val="auto"/>
          <w:sz w:val="24"/>
          <w:szCs w:val="24"/>
          <w:highlight w:val="none"/>
          <w:lang w:eastAsia="zh-CN"/>
        </w:rPr>
        <w:t>；</w:t>
      </w:r>
    </w:p>
    <w:p>
      <w:pPr>
        <w:numPr>
          <w:ilvl w:val="0"/>
          <w:numId w:val="0"/>
        </w:num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3.本表中的“合</w:t>
      </w:r>
      <w:r>
        <w:rPr>
          <w:rFonts w:hint="eastAsia" w:ascii="宋体" w:hAnsi="宋体" w:cs="宋体"/>
          <w:color w:val="auto"/>
          <w:sz w:val="24"/>
          <w:szCs w:val="24"/>
          <w:highlight w:val="none"/>
          <w:lang w:eastAsia="zh-CN"/>
        </w:rPr>
        <w:t>价</w:t>
      </w:r>
      <w:r>
        <w:rPr>
          <w:rFonts w:hint="eastAsia" w:ascii="宋体" w:hAnsi="宋体" w:cs="宋体"/>
          <w:color w:val="auto"/>
          <w:sz w:val="24"/>
          <w:szCs w:val="24"/>
          <w:highlight w:val="none"/>
        </w:rPr>
        <w:t>”与“</w:t>
      </w:r>
      <w:r>
        <w:rPr>
          <w:rFonts w:hint="eastAsia" w:ascii="宋体" w:hAnsi="宋体" w:cs="宋体"/>
          <w:color w:val="auto"/>
          <w:sz w:val="24"/>
          <w:szCs w:val="24"/>
          <w:highlight w:val="none"/>
          <w:lang w:eastAsia="zh-CN"/>
        </w:rPr>
        <w:t>开标一览表</w:t>
      </w:r>
      <w:r>
        <w:rPr>
          <w:rFonts w:hint="eastAsia" w:ascii="宋体" w:hAnsi="宋体" w:cs="宋体"/>
          <w:color w:val="auto"/>
          <w:sz w:val="24"/>
          <w:szCs w:val="24"/>
          <w:highlight w:val="none"/>
        </w:rPr>
        <w:t>”中的“投标</w:t>
      </w:r>
      <w:r>
        <w:rPr>
          <w:rFonts w:hint="eastAsia" w:ascii="宋体" w:hAnsi="宋体" w:cs="宋体"/>
          <w:color w:val="auto"/>
          <w:sz w:val="24"/>
          <w:szCs w:val="24"/>
          <w:highlight w:val="none"/>
          <w:lang w:val="en-US" w:eastAsia="zh-CN"/>
        </w:rPr>
        <w:t>单</w:t>
      </w:r>
      <w:r>
        <w:rPr>
          <w:rFonts w:hint="eastAsia" w:ascii="宋体" w:hAnsi="宋体" w:cs="宋体"/>
          <w:color w:val="auto"/>
          <w:sz w:val="24"/>
          <w:szCs w:val="24"/>
          <w:highlight w:val="none"/>
        </w:rPr>
        <w:t>价”一致</w:t>
      </w:r>
      <w:r>
        <w:rPr>
          <w:rFonts w:hint="eastAsia" w:ascii="宋体" w:hAnsi="宋体" w:cs="宋体"/>
          <w:color w:val="auto"/>
          <w:sz w:val="24"/>
          <w:szCs w:val="24"/>
          <w:highlight w:val="none"/>
          <w:lang w:eastAsia="zh-CN"/>
        </w:rPr>
        <w:t>；</w:t>
      </w:r>
    </w:p>
    <w:p>
      <w:pPr>
        <w:spacing w:line="480" w:lineRule="auto"/>
        <w:ind w:firstLine="3840" w:firstLineChars="1600"/>
        <w:rPr>
          <w:rFonts w:hint="eastAsia" w:ascii="宋体" w:hAnsi="宋体" w:eastAsia="宋体" w:cs="宋体"/>
          <w:color w:val="auto"/>
          <w:sz w:val="24"/>
          <w:szCs w:val="24"/>
          <w:highlight w:val="none"/>
          <w:lang w:eastAsia="zh-CN"/>
        </w:rPr>
      </w:pPr>
    </w:p>
    <w:p>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供应商名称（盖章）：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pPr>
        <w:widowControl/>
        <w:spacing w:line="480" w:lineRule="auto"/>
        <w:ind w:firstLine="3840" w:firstLineChars="16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第三部分  资格证明文件</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2"/>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rPr>
        <w:t>提供合格有效的法人或者其他组织的营业执照等证明文件或自然人的身份证明</w:t>
      </w:r>
      <w:r>
        <w:rPr>
          <w:rFonts w:hint="eastAsia" w:ascii="宋体" w:hAnsi="宋体" w:eastAsia="宋体" w:cs="宋体"/>
          <w:b/>
          <w:bCs w:val="0"/>
          <w:color w:val="auto"/>
          <w:sz w:val="24"/>
          <w:szCs w:val="24"/>
          <w:highlight w:val="none"/>
          <w:lang w:eastAsia="zh-CN"/>
        </w:rPr>
        <w:t>；</w:t>
      </w: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pPr>
        <w:numPr>
          <w:ilvl w:val="0"/>
          <w:numId w:val="0"/>
        </w:numPr>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基本资格条件承诺函</w:t>
      </w:r>
    </w:p>
    <w:p>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(供应商名称)郑重承诺:</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我方对以上承诺负全部法律责任。</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特此承诺。</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（公章）</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(签字或盖章)</w:t>
      </w:r>
    </w:p>
    <w:p>
      <w:pPr>
        <w:jc w:val="right"/>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宋体" w:hAnsi="宋体" w:eastAsia="宋体" w:cs="宋体"/>
          <w:b/>
          <w:bCs/>
          <w:color w:val="auto"/>
          <w:sz w:val="24"/>
          <w:szCs w:val="24"/>
          <w:highlight w:val="none"/>
          <w:lang w:eastAsia="zh-CN"/>
        </w:rPr>
      </w:pPr>
      <w:r>
        <w:rPr>
          <w:rFonts w:hint="eastAsia" w:hAnsi="宋体" w:eastAsia="宋体" w:cs="宋体"/>
          <w:b/>
          <w:bCs/>
          <w:color w:val="auto"/>
          <w:sz w:val="24"/>
          <w:szCs w:val="24"/>
          <w:highlight w:val="none"/>
          <w:lang w:val="en-US" w:eastAsia="zh-CN"/>
        </w:rPr>
        <w:t>3.</w:t>
      </w:r>
      <w:r>
        <w:rPr>
          <w:rFonts w:hint="eastAsia" w:hAnsi="宋体" w:eastAsia="宋体" w:cs="宋体"/>
          <w:b/>
          <w:bCs/>
          <w:color w:val="auto"/>
          <w:sz w:val="24"/>
          <w:szCs w:val="24"/>
          <w:highlight w:val="none"/>
          <w:lang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授权代表须提供近六个月中任一个月缴纳社保证明复印件并加盖单位公章；</w:t>
      </w:r>
    </w:p>
    <w:p>
      <w:pPr>
        <w:jc w:val="center"/>
        <w:rPr>
          <w:rFonts w:hint="eastAsia" w:ascii="仿宋" w:hAnsi="仿宋" w:eastAsia="仿宋" w:cs="仿宋"/>
          <w:b/>
          <w:bCs/>
          <w:color w:val="auto"/>
          <w:sz w:val="32"/>
          <w:szCs w:val="32"/>
          <w:highlight w:val="none"/>
        </w:rPr>
      </w:pPr>
      <w:r>
        <w:rPr>
          <w:rFonts w:hint="eastAsia" w:ascii="宋体" w:hAnsi="宋体" w:eastAsia="宋体" w:cs="宋体"/>
          <w:b/>
          <w:bCs/>
          <w:color w:val="auto"/>
          <w:sz w:val="24"/>
          <w:szCs w:val="24"/>
          <w:highlight w:val="none"/>
        </w:rPr>
        <w:t>表一  法定代表人身份证明书</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pPr>
              <w:tabs>
                <w:tab w:val="left" w:pos="210"/>
              </w:tabs>
              <w:spacing w:line="320" w:lineRule="exact"/>
              <w:jc w:val="center"/>
              <w:rPr>
                <w:rFonts w:hint="eastAsia" w:ascii="宋体" w:hAnsi="宋体" w:eastAsia="宋体" w:cs="宋体"/>
                <w:color w:val="auto"/>
                <w:kern w:val="0"/>
                <w:sz w:val="24"/>
                <w:highlight w:val="none"/>
              </w:rPr>
            </w:pPr>
          </w:p>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pPr>
              <w:tabs>
                <w:tab w:val="left" w:pos="210"/>
              </w:tabs>
              <w:spacing w:line="320" w:lineRule="exact"/>
              <w:jc w:val="center"/>
              <w:rPr>
                <w:rFonts w:hint="eastAsia" w:ascii="宋体" w:hAnsi="宋体" w:eastAsia="宋体" w:cs="宋体"/>
                <w:color w:val="auto"/>
                <w:kern w:val="0"/>
                <w:sz w:val="24"/>
                <w:highlight w:val="none"/>
              </w:rPr>
            </w:pPr>
          </w:p>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pPr>
              <w:tabs>
                <w:tab w:val="left" w:pos="210"/>
              </w:tabs>
              <w:spacing w:line="320" w:lineRule="exact"/>
              <w:jc w:val="center"/>
              <w:rPr>
                <w:rFonts w:hint="eastAsia" w:ascii="宋体" w:hAnsi="宋体" w:eastAsia="宋体" w:cs="宋体"/>
                <w:color w:val="auto"/>
                <w:kern w:val="0"/>
                <w:sz w:val="24"/>
                <w:highlight w:val="none"/>
              </w:rPr>
            </w:pPr>
          </w:p>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122" w:type="dxa"/>
            <w:gridSpan w:val="4"/>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122" w:type="dxa"/>
            <w:gridSpan w:val="4"/>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122" w:type="dxa"/>
            <w:gridSpan w:val="4"/>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6122" w:type="dxa"/>
            <w:gridSpan w:val="4"/>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6122" w:type="dxa"/>
            <w:gridSpan w:val="4"/>
            <w:noWrap w:val="0"/>
            <w:vAlign w:val="center"/>
          </w:tcPr>
          <w:p>
            <w:pPr>
              <w:tabs>
                <w:tab w:val="left" w:pos="210"/>
              </w:tabs>
              <w:spacing w:line="320" w:lineRule="exact"/>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122" w:type="dxa"/>
            <w:gridSpan w:val="4"/>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113" w:type="dxa"/>
            <w:gridSpan w:val="2"/>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48"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1"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113" w:type="dxa"/>
            <w:gridSpan w:val="2"/>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48"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1"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122" w:type="dxa"/>
            <w:gridSpan w:val="4"/>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3899" w:type="dxa"/>
            <w:gridSpan w:val="2"/>
            <w:vMerge w:val="restart"/>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175" w:type="dxa"/>
            <w:gridSpan w:val="3"/>
            <w:noWrap w:val="0"/>
            <w:vAlign w:val="center"/>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3899" w:type="dxa"/>
            <w:gridSpan w:val="2"/>
            <w:vMerge w:val="continue"/>
            <w:noWrap w:val="0"/>
            <w:vAlign w:val="center"/>
          </w:tcPr>
          <w:p>
            <w:pPr>
              <w:tabs>
                <w:tab w:val="left" w:pos="210"/>
              </w:tabs>
              <w:spacing w:line="320" w:lineRule="exact"/>
              <w:jc w:val="center"/>
              <w:rPr>
                <w:rFonts w:hint="eastAsia" w:ascii="宋体" w:hAnsi="宋体" w:eastAsia="宋体" w:cs="宋体"/>
                <w:color w:val="auto"/>
                <w:kern w:val="0"/>
                <w:sz w:val="24"/>
                <w:highlight w:val="none"/>
              </w:rPr>
            </w:pPr>
          </w:p>
        </w:tc>
        <w:tc>
          <w:tcPr>
            <w:tcW w:w="4175" w:type="dxa"/>
            <w:gridSpan w:val="3"/>
            <w:noWrap w:val="0"/>
            <w:vAlign w:val="bottom"/>
          </w:tcPr>
          <w:p>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pPr>
              <w:tabs>
                <w:tab w:val="left" w:pos="210"/>
              </w:tabs>
              <w:spacing w:line="320" w:lineRule="exact"/>
              <w:jc w:val="center"/>
              <w:rPr>
                <w:rFonts w:hint="eastAsia" w:ascii="宋体" w:hAnsi="宋体" w:eastAsia="宋体" w:cs="宋体"/>
                <w:color w:val="auto"/>
                <w:kern w:val="0"/>
                <w:sz w:val="24"/>
                <w:highlight w:val="none"/>
              </w:rPr>
            </w:pPr>
          </w:p>
          <w:p>
            <w:pPr>
              <w:tabs>
                <w:tab w:val="left" w:pos="210"/>
              </w:tabs>
              <w:spacing w:line="320" w:lineRule="exact"/>
              <w:jc w:val="center"/>
              <w:rPr>
                <w:rFonts w:hint="eastAsia" w:ascii="宋体" w:hAnsi="宋体" w:eastAsia="宋体" w:cs="宋体"/>
                <w:color w:val="auto"/>
                <w:kern w:val="0"/>
                <w:sz w:val="24"/>
                <w:highlight w:val="none"/>
              </w:rPr>
            </w:pPr>
          </w:p>
          <w:p>
            <w:pPr>
              <w:tabs>
                <w:tab w:val="left" w:pos="210"/>
              </w:tabs>
              <w:spacing w:line="320" w:lineRule="exact"/>
              <w:jc w:val="center"/>
              <w:rPr>
                <w:rFonts w:hint="eastAsia" w:ascii="宋体" w:hAnsi="宋体" w:eastAsia="宋体" w:cs="宋体"/>
                <w:color w:val="auto"/>
                <w:kern w:val="0"/>
                <w:sz w:val="24"/>
                <w:highlight w:val="none"/>
              </w:rPr>
            </w:pPr>
          </w:p>
          <w:p>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pPr>
        <w:pStyle w:val="19"/>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szCs w:val="24"/>
          <w:highlight w:val="none"/>
        </w:rPr>
        <w:t>表二  法定代表人授权书</w:t>
      </w: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致：华晟国际项目管理有限公司：</w:t>
      </w:r>
    </w:p>
    <w:p>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hAnsi="宋体" w:eastAsia="宋体" w:cs="宋体"/>
          <w:color w:val="auto"/>
          <w:sz w:val="24"/>
          <w:szCs w:val="24"/>
          <w:highlight w:val="none"/>
          <w:u w:val="none"/>
          <w:lang w:eastAsia="zh-CN"/>
        </w:rPr>
        <w:t>包号：</w:t>
      </w:r>
      <w:r>
        <w:rPr>
          <w:rFonts w:hint="eastAsia"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签字或盖章</w:t>
      </w:r>
      <w:r>
        <w:rPr>
          <w:rFonts w:hint="eastAsia" w:ascii="宋体" w:hAnsi="宋体" w:eastAsia="宋体" w:cs="宋体"/>
          <w:color w:val="auto"/>
          <w:sz w:val="24"/>
          <w:szCs w:val="24"/>
          <w:highlight w:val="none"/>
        </w:rPr>
        <w:t>）</w:t>
      </w:r>
    </w:p>
    <w:p>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pPr>
        <w:pStyle w:val="19"/>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pPr>
              <w:pStyle w:val="19"/>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pStyle w:val="19"/>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pPr>
        <w:pStyle w:val="19"/>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1</w:t>
      </w:r>
      <w:r>
        <w:rPr>
          <w:rFonts w:hint="eastAsia"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文件递交截止之日起计算不得少于90日历日。</w:t>
      </w:r>
    </w:p>
    <w:p>
      <w:pPr>
        <w:pStyle w:val="19"/>
        <w:spacing w:line="500" w:lineRule="exact"/>
        <w:ind w:firstLine="720" w:firstLineChars="3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授权书内容填写要明确，文字要工整清楚，涂改无效。</w:t>
      </w:r>
    </w:p>
    <w:p>
      <w:pPr>
        <w:pStyle w:val="19"/>
        <w:spacing w:line="500" w:lineRule="exact"/>
        <w:ind w:firstLine="720" w:firstLineChars="300"/>
        <w:jc w:val="left"/>
        <w:rPr>
          <w:rFonts w:hint="eastAsia" w:ascii="宋体" w:hAnsi="宋体" w:cs="宋体"/>
          <w:b/>
          <w:bCs/>
          <w:sz w:val="24"/>
          <w:szCs w:val="24"/>
          <w:highlight w:val="none"/>
          <w:lang w:val="en-US" w:eastAsia="zh-CN"/>
        </w:rPr>
      </w:pPr>
      <w:r>
        <w:rPr>
          <w:rFonts w:hint="eastAsia" w:ascii="宋体" w:hAnsi="宋体" w:eastAsia="宋体" w:cs="宋体"/>
          <w:b/>
          <w:bCs/>
          <w:color w:val="auto"/>
          <w:sz w:val="24"/>
          <w:szCs w:val="24"/>
          <w:highlight w:val="none"/>
          <w:lang w:val="en-US" w:eastAsia="zh-CN"/>
        </w:rPr>
        <w:t>3.</w:t>
      </w:r>
      <w:r>
        <w:rPr>
          <w:rFonts w:hint="eastAsia" w:hAnsi="宋体" w:eastAsia="宋体" w:cs="宋体"/>
          <w:b/>
          <w:bCs/>
          <w:color w:val="auto"/>
          <w:sz w:val="24"/>
          <w:szCs w:val="24"/>
          <w:highlight w:val="none"/>
          <w:lang w:val="en-US" w:eastAsia="zh-CN"/>
        </w:rPr>
        <w:t>授权代表须提供近六个月中任一个月缴纳社保证明复印件并加盖单位公章。</w:t>
      </w:r>
    </w:p>
    <w:p>
      <w:pPr>
        <w:rPr>
          <w:rFonts w:hint="eastAsia" w:ascii="宋体" w:hAnsi="宋体" w:eastAsia="宋体" w:cs="宋体"/>
          <w:color w:val="auto"/>
          <w:highlight w:val="none"/>
        </w:rPr>
      </w:pPr>
    </w:p>
    <w:p>
      <w:pPr>
        <w:rPr>
          <w:rFonts w:hint="eastAsia"/>
          <w:color w:val="auto"/>
          <w:highlight w:val="none"/>
        </w:rPr>
      </w:pPr>
      <w:r>
        <w:rPr>
          <w:rFonts w:hint="eastAsia" w:ascii="宋体" w:hAnsi="宋体" w:eastAsia="宋体" w:cs="宋体"/>
          <w:b/>
          <w:bCs/>
          <w:color w:val="auto"/>
          <w:sz w:val="24"/>
          <w:szCs w:val="24"/>
          <w:highlight w:val="none"/>
        </w:rPr>
        <w:br w:type="page"/>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4.本项目专门面向中小微企业采购，须符合《政府采购促进中小企业发展管理办法》（财库〔2020〕46号）规定的中小微企业参加，符合要求的监狱企业或残疾人福利单位视同小微企业，并按要求提供声明函。</w:t>
      </w:r>
    </w:p>
    <w:p>
      <w:pPr>
        <w:pStyle w:val="19"/>
        <w:spacing w:line="360" w:lineRule="auto"/>
        <w:jc w:val="center"/>
        <w:rPr>
          <w:rFonts w:hint="eastAsia" w:ascii="宋体" w:hAnsi="宋体" w:eastAsia="宋体" w:cs="宋体"/>
          <w:b/>
          <w:bCs/>
          <w:color w:val="auto"/>
          <w:sz w:val="24"/>
          <w:szCs w:val="24"/>
          <w:highlight w:val="none"/>
        </w:rPr>
      </w:pPr>
      <w:bookmarkStart w:id="34" w:name="_Toc10913"/>
      <w:bookmarkStart w:id="35" w:name="_Toc24443"/>
      <w:bookmarkStart w:id="36" w:name="_Toc499739990"/>
      <w:bookmarkStart w:id="37" w:name="_Toc607"/>
      <w:bookmarkStart w:id="38" w:name="_Toc255"/>
      <w:bookmarkStart w:id="39" w:name="_Toc1541"/>
      <w:bookmarkStart w:id="40" w:name="_Toc5155"/>
      <w:bookmarkStart w:id="41" w:name="_Toc18592"/>
      <w:bookmarkStart w:id="42" w:name="_Toc21356"/>
      <w:r>
        <w:rPr>
          <w:rFonts w:hint="eastAsia" w:ascii="宋体" w:hAnsi="宋体" w:eastAsia="宋体" w:cs="宋体"/>
          <w:b/>
          <w:bCs/>
          <w:color w:val="auto"/>
          <w:sz w:val="24"/>
          <w:szCs w:val="24"/>
          <w:highlight w:val="none"/>
        </w:rPr>
        <w:t>中小企业声明函（格式）</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本公司（联合体）郑重声明，根据《政府采购促进中小企业发展管理办法》（财库﹝2020﹞46 号）的规定，本公司（联合体）参加{（单位名称）}的{（采购项目名称）}采购活动，提供的服务全部由符合政策要求的中小企业承接。相关企业（含联合体中的中小企业、签订分包意向协议的中小企业）的具体情况如下：</w:t>
      </w:r>
    </w:p>
    <w:p>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u w:val="single"/>
          <w:lang w:val="en-US" w:eastAsia="zh-CN"/>
        </w:rPr>
        <w:t xml:space="preserve">CB2-1-568宗地发掘土方配合 </w:t>
      </w:r>
      <w:r>
        <w:rPr>
          <w:rFonts w:hint="eastAsia" w:ascii="宋体" w:hAnsi="宋体" w:cs="宋体"/>
          <w:color w:val="auto"/>
          <w:kern w:val="0"/>
          <w:sz w:val="24"/>
          <w:szCs w:val="24"/>
          <w:highlight w:val="none"/>
          <w:lang w:val="en-US" w:eastAsia="zh-CN"/>
        </w:rPr>
        <w:t>，属于</w:t>
      </w:r>
      <w:r>
        <w:rPr>
          <w:rFonts w:hint="eastAsia" w:ascii="宋体" w:hAnsi="宋体" w:cs="宋体"/>
          <w:color w:val="auto"/>
          <w:kern w:val="0"/>
          <w:sz w:val="24"/>
          <w:szCs w:val="24"/>
          <w:highlight w:val="none"/>
          <w:u w:val="single"/>
          <w:lang w:val="en-US" w:eastAsia="zh-CN"/>
        </w:rPr>
        <w:t>（其他未列明行业）</w:t>
      </w:r>
      <w:r>
        <w:rPr>
          <w:rFonts w:hint="eastAsia" w:ascii="宋体" w:hAnsi="宋体" w:cs="宋体"/>
          <w:color w:val="auto"/>
          <w:kern w:val="0"/>
          <w:sz w:val="24"/>
          <w:szCs w:val="24"/>
          <w:highlight w:val="none"/>
          <w:lang w:val="en-US" w:eastAsia="zh-CN"/>
        </w:rPr>
        <w:t>；承建（承接）企业为</w:t>
      </w:r>
      <w:r>
        <w:rPr>
          <w:rFonts w:hint="eastAsia" w:ascii="宋体" w:hAnsi="宋体" w:cs="宋体"/>
          <w:color w:val="auto"/>
          <w:kern w:val="0"/>
          <w:sz w:val="24"/>
          <w:szCs w:val="24"/>
          <w:highlight w:val="none"/>
          <w:u w:val="single"/>
          <w:lang w:val="en-US" w:eastAsia="zh-CN"/>
        </w:rPr>
        <w:t>（企业名称）</w:t>
      </w:r>
      <w:r>
        <w:rPr>
          <w:rFonts w:hint="eastAsia" w:ascii="宋体" w:hAnsi="宋体" w:cs="宋体"/>
          <w:color w:val="auto"/>
          <w:kern w:val="0"/>
          <w:sz w:val="24"/>
          <w:szCs w:val="24"/>
          <w:highlight w:val="none"/>
          <w:lang w:val="en-US" w:eastAsia="zh-CN"/>
        </w:rPr>
        <w:t>，从业人员</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人，营业收入为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万元，资产总额为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万元，属于</w:t>
      </w:r>
      <w:r>
        <w:rPr>
          <w:rFonts w:hint="eastAsia" w:ascii="宋体" w:hAnsi="宋体" w:cs="宋体"/>
          <w:color w:val="auto"/>
          <w:kern w:val="0"/>
          <w:sz w:val="24"/>
          <w:szCs w:val="24"/>
          <w:highlight w:val="none"/>
          <w:u w:val="single"/>
          <w:lang w:val="en-US" w:eastAsia="zh-CN"/>
        </w:rPr>
        <w:t xml:space="preserve">     （中型企业、小型企业、微型企业）</w:t>
      </w:r>
      <w:r>
        <w:rPr>
          <w:rFonts w:hint="eastAsia" w:ascii="宋体" w:hAnsi="宋体" w:cs="宋体"/>
          <w:color w:val="auto"/>
          <w:kern w:val="0"/>
          <w:sz w:val="24"/>
          <w:szCs w:val="24"/>
          <w:highlight w:val="none"/>
          <w:lang w:val="en-US" w:eastAsia="zh-CN"/>
        </w:rPr>
        <w:t>；</w:t>
      </w:r>
    </w:p>
    <w:p>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 xml:space="preserve"> ，属于</w:t>
      </w:r>
      <w:r>
        <w:rPr>
          <w:rFonts w:hint="eastAsia" w:ascii="宋体" w:hAnsi="宋体" w:cs="宋体"/>
          <w:color w:val="auto"/>
          <w:kern w:val="0"/>
          <w:sz w:val="24"/>
          <w:szCs w:val="24"/>
          <w:highlight w:val="none"/>
          <w:u w:val="single"/>
          <w:lang w:val="en-US" w:eastAsia="zh-CN"/>
        </w:rPr>
        <w:t>（其他未列明行业）</w:t>
      </w:r>
      <w:r>
        <w:rPr>
          <w:rFonts w:hint="eastAsia" w:ascii="宋体" w:hAnsi="宋体" w:cs="宋体"/>
          <w:color w:val="auto"/>
          <w:kern w:val="0"/>
          <w:sz w:val="24"/>
          <w:szCs w:val="24"/>
          <w:highlight w:val="none"/>
          <w:lang w:val="en-US" w:eastAsia="zh-CN"/>
        </w:rPr>
        <w:t>；承建（承接）企业为</w:t>
      </w:r>
      <w:r>
        <w:rPr>
          <w:rFonts w:hint="eastAsia" w:ascii="宋体" w:hAnsi="宋体" w:cs="宋体"/>
          <w:color w:val="auto"/>
          <w:kern w:val="0"/>
          <w:sz w:val="24"/>
          <w:szCs w:val="24"/>
          <w:highlight w:val="none"/>
          <w:u w:val="single"/>
          <w:lang w:val="en-US" w:eastAsia="zh-CN"/>
        </w:rPr>
        <w:t>（企业名称）</w:t>
      </w:r>
      <w:r>
        <w:rPr>
          <w:rFonts w:hint="eastAsia" w:ascii="宋体" w:hAnsi="宋体" w:cs="宋体"/>
          <w:color w:val="auto"/>
          <w:kern w:val="0"/>
          <w:sz w:val="24"/>
          <w:szCs w:val="24"/>
          <w:highlight w:val="none"/>
          <w:lang w:val="en-US" w:eastAsia="zh-CN"/>
        </w:rPr>
        <w:t>，从业人员</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人，营业收入为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万元，资产总额为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万元，属于</w:t>
      </w:r>
      <w:r>
        <w:rPr>
          <w:rFonts w:hint="eastAsia" w:ascii="宋体" w:hAnsi="宋体" w:cs="宋体"/>
          <w:color w:val="auto"/>
          <w:kern w:val="0"/>
          <w:sz w:val="24"/>
          <w:szCs w:val="24"/>
          <w:highlight w:val="none"/>
          <w:u w:val="single"/>
          <w:lang w:val="en-US" w:eastAsia="zh-CN"/>
        </w:rPr>
        <w:t xml:space="preserve">      （中型企业、小型企业、微型企业）</w:t>
      </w:r>
    </w:p>
    <w:p>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p>
    <w:p>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本企业对上述声明内容的真实性负责。如有虚假，将依法承担相应责任。</w:t>
      </w:r>
    </w:p>
    <w:p>
      <w:pPr>
        <w:pStyle w:val="19"/>
        <w:keepNext w:val="0"/>
        <w:keepLines w:val="0"/>
        <w:pageBreakBefore w:val="0"/>
        <w:widowControl w:val="0"/>
        <w:kinsoku/>
        <w:wordWrap w:val="0"/>
        <w:overflowPunct/>
        <w:topLinePunct w:val="0"/>
        <w:autoSpaceDE/>
        <w:autoSpaceDN/>
        <w:bidi w:val="0"/>
        <w:adjustRightInd/>
        <w:snapToGrid/>
        <w:spacing w:line="460" w:lineRule="exact"/>
        <w:ind w:firstLine="5280" w:firstLineChars="2200"/>
        <w:jc w:val="both"/>
        <w:textAlignment w:val="auto"/>
        <w:rPr>
          <w:rFonts w:hint="eastAsia" w:hAnsi="宋体" w:cs="宋体"/>
          <w:color w:val="auto"/>
          <w:sz w:val="24"/>
          <w:szCs w:val="24"/>
          <w:highlight w:val="none"/>
        </w:rPr>
      </w:pPr>
    </w:p>
    <w:p>
      <w:pPr>
        <w:pStyle w:val="19"/>
        <w:keepNext w:val="0"/>
        <w:keepLines w:val="0"/>
        <w:pageBreakBefore w:val="0"/>
        <w:widowControl w:val="0"/>
        <w:kinsoku/>
        <w:wordWrap w:val="0"/>
        <w:overflowPunct/>
        <w:topLinePunct w:val="0"/>
        <w:autoSpaceDE/>
        <w:autoSpaceDN/>
        <w:bidi w:val="0"/>
        <w:adjustRightInd/>
        <w:snapToGrid/>
        <w:spacing w:line="460" w:lineRule="exact"/>
        <w:ind w:firstLine="5280" w:firstLineChars="2200"/>
        <w:jc w:val="both"/>
        <w:textAlignment w:val="auto"/>
        <w:rPr>
          <w:rFonts w:hint="eastAsia" w:hAnsi="宋体" w:cs="宋体"/>
          <w:color w:val="auto"/>
          <w:sz w:val="24"/>
          <w:szCs w:val="24"/>
          <w:highlight w:val="none"/>
        </w:rPr>
      </w:pPr>
    </w:p>
    <w:p>
      <w:pPr>
        <w:pStyle w:val="19"/>
        <w:keepNext w:val="0"/>
        <w:keepLines w:val="0"/>
        <w:pageBreakBefore w:val="0"/>
        <w:widowControl w:val="0"/>
        <w:kinsoku/>
        <w:wordWrap w:val="0"/>
        <w:overflowPunct/>
        <w:topLinePunct w:val="0"/>
        <w:autoSpaceDE/>
        <w:autoSpaceDN/>
        <w:bidi w:val="0"/>
        <w:adjustRightInd/>
        <w:snapToGrid/>
        <w:spacing w:line="360" w:lineRule="auto"/>
        <w:ind w:firstLine="5280" w:firstLineChars="2200"/>
        <w:jc w:val="both"/>
        <w:textAlignment w:val="auto"/>
        <w:rPr>
          <w:rFonts w:hAnsi="宋体" w:cs="宋体"/>
          <w:color w:val="auto"/>
          <w:sz w:val="24"/>
          <w:szCs w:val="24"/>
          <w:highlight w:val="none"/>
        </w:rPr>
      </w:pPr>
      <w:r>
        <w:rPr>
          <w:rFonts w:hint="eastAsia" w:hAnsi="宋体" w:cs="宋体"/>
          <w:color w:val="auto"/>
          <w:sz w:val="24"/>
          <w:szCs w:val="24"/>
          <w:highlight w:val="none"/>
        </w:rPr>
        <w:t>企业名称(公章)：</w:t>
      </w:r>
    </w:p>
    <w:p>
      <w:pPr>
        <w:keepNext w:val="0"/>
        <w:keepLines w:val="0"/>
        <w:pageBreakBefore w:val="0"/>
        <w:widowControl w:val="0"/>
        <w:kinsoku/>
        <w:wordWrap/>
        <w:overflowPunct/>
        <w:topLinePunct w:val="0"/>
        <w:autoSpaceDE/>
        <w:autoSpaceDN/>
        <w:bidi w:val="0"/>
        <w:adjustRightInd/>
        <w:snapToGrid/>
        <w:spacing w:line="360" w:lineRule="auto"/>
        <w:ind w:firstLine="5280" w:firstLineChars="2200"/>
        <w:textAlignment w:val="auto"/>
        <w:rPr>
          <w:rFonts w:hint="eastAsia" w:ascii="宋体" w:hAnsi="宋体" w:eastAsia="宋体" w:cs="宋体"/>
          <w:b/>
          <w:bCs/>
          <w:color w:val="auto"/>
          <w:sz w:val="24"/>
          <w:highlight w:val="none"/>
        </w:rPr>
      </w:pPr>
      <w:r>
        <w:rPr>
          <w:rFonts w:hint="eastAsia" w:hAnsi="宋体" w:cs="宋体"/>
          <w:color w:val="auto"/>
          <w:sz w:val="24"/>
          <w:szCs w:val="24"/>
          <w:highlight w:val="none"/>
        </w:rPr>
        <w:t>日期：</w:t>
      </w:r>
    </w:p>
    <w:p>
      <w:pPr>
        <w:spacing w:line="360" w:lineRule="auto"/>
        <w:ind w:firstLine="480" w:firstLineChars="200"/>
        <w:rPr>
          <w:rFonts w:hint="eastAsia" w:ascii="宋体" w:hAnsi="宋体" w:eastAsia="宋体" w:cs="宋体"/>
          <w:b/>
          <w:bCs/>
          <w:color w:val="auto"/>
          <w:sz w:val="24"/>
          <w:highlight w:val="none"/>
        </w:rPr>
        <w:sectPr>
          <w:headerReference r:id="rId5" w:type="default"/>
          <w:footerReference r:id="rId6" w:type="default"/>
          <w:pgSz w:w="11906" w:h="16838"/>
          <w:pgMar w:top="1417" w:right="1417" w:bottom="1417" w:left="1417" w:header="851" w:footer="992" w:gutter="0"/>
          <w:pgNumType w:fmt="decimal"/>
          <w:cols w:space="0" w:num="1"/>
          <w:rtlGutter w:val="0"/>
          <w:docGrid w:type="linesAndChars" w:linePitch="420" w:charSpace="0"/>
        </w:sectPr>
      </w:pPr>
    </w:p>
    <w:p>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备注：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1.填写前请认真阅读并根据“《工业和信息化部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r>
        <w:rPr>
          <w:rFonts w:hint="eastAsia" w:ascii="宋体" w:hAnsi="宋体" w:eastAsia="宋体" w:cs="宋体"/>
          <w:color w:val="auto"/>
          <w:sz w:val="24"/>
          <w:highlight w:val="none"/>
          <w:lang w:eastAsia="zh-CN"/>
        </w:rPr>
        <w:t>”填写中小企业声明函</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2.从业人员、营业收入、资产总额填报上一年度数据；无上一年度数据的新成立企业可不填报相关数据，参照国务院批准的中小企业划分标准，根据企业自身情况如实判断。</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3.《中小企业声明函》随</w:t>
      </w:r>
      <w:r>
        <w:rPr>
          <w:rFonts w:hint="eastAsia" w:ascii="宋体" w:hAnsi="宋体" w:eastAsia="宋体" w:cs="宋体"/>
          <w:color w:val="auto"/>
          <w:sz w:val="24"/>
          <w:highlight w:val="none"/>
          <w:lang w:eastAsia="zh-CN"/>
        </w:rPr>
        <w:t>中标（</w:t>
      </w:r>
      <w:r>
        <w:rPr>
          <w:rFonts w:hint="eastAsia" w:ascii="宋体" w:hAnsi="宋体" w:eastAsia="宋体" w:cs="宋体"/>
          <w:color w:val="auto"/>
          <w:sz w:val="24"/>
          <w:highlight w:val="none"/>
        </w:rPr>
        <w:t>成交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结果同时公开。</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pPr>
        <w:pStyle w:val="119"/>
        <w:spacing w:line="360" w:lineRule="auto"/>
        <w:jc w:val="center"/>
        <w:rPr>
          <w:rFonts w:ascii="宋体" w:hAnsi="宋体" w:eastAsia="宋体" w:cs="宋体"/>
          <w:b/>
          <w:bCs/>
          <w:color w:val="auto"/>
          <w:sz w:val="28"/>
          <w:szCs w:val="28"/>
          <w:highlight w:val="none"/>
        </w:rPr>
      </w:pPr>
      <w:r>
        <w:rPr>
          <w:rFonts w:ascii="宋体" w:hAnsi="宋体" w:eastAsia="宋体" w:cs="宋体"/>
          <w:b/>
          <w:bCs/>
          <w:color w:val="auto"/>
          <w:sz w:val="28"/>
          <w:szCs w:val="28"/>
          <w:highlight w:val="none"/>
        </w:rPr>
        <w:t>关于印发中小企业划型标准规定的通知(工信部联企业〔2011〕300号)</w:t>
      </w:r>
    </w:p>
    <w:p>
      <w:pPr>
        <w:pStyle w:val="119"/>
        <w:spacing w:line="360" w:lineRule="auto"/>
        <w:jc w:val="center"/>
        <w:rPr>
          <w:rFonts w:ascii="宋体" w:hAnsi="宋体" w:eastAsia="宋体" w:cs="宋体"/>
          <w:b/>
          <w:bCs/>
          <w:color w:val="auto"/>
          <w:sz w:val="28"/>
          <w:szCs w:val="28"/>
          <w:highlight w:val="none"/>
        </w:rPr>
      </w:pPr>
      <w:r>
        <w:rPr>
          <w:rFonts w:ascii="宋体" w:hAnsi="宋体" w:eastAsia="宋体" w:cs="宋体"/>
          <w:b/>
          <w:bCs/>
          <w:color w:val="auto"/>
          <w:sz w:val="28"/>
          <w:szCs w:val="28"/>
          <w:highlight w:val="none"/>
        </w:rPr>
        <w:t>关于印发中小企业划型标准规定的通知</w:t>
      </w:r>
    </w:p>
    <w:p>
      <w:pPr>
        <w:pStyle w:val="119"/>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工信部联企业〔2011〕300号</w:t>
      </w:r>
    </w:p>
    <w:p>
      <w:pPr>
        <w:pStyle w:val="119"/>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各省、自治区、直辖市人民政府，国务院各部委、各直属机构及有关单位：</w:t>
      </w:r>
    </w:p>
    <w:p>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为贯彻落实《中华人民共和国中小企业促进法》和《国务院关于进一步促进中小企业发 展的若干意见》（国发〔2009〕36号），工业和信息化部、国家统计局、发展改革委、财 政部研究制定了《中小企业划型标准规定》。经国务院同意，现印发给你们，请遵照执行。</w:t>
      </w:r>
    </w:p>
    <w:p>
      <w:pPr>
        <w:pStyle w:val="119"/>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工业和信息化部　国家统计局 </w:t>
      </w:r>
    </w:p>
    <w:p>
      <w:pPr>
        <w:pStyle w:val="119"/>
        <w:spacing w:line="360" w:lineRule="auto"/>
        <w:jc w:val="right"/>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国家发展和改革委员会　财政部 </w:t>
      </w:r>
    </w:p>
    <w:p>
      <w:pPr>
        <w:pStyle w:val="119"/>
        <w:spacing w:line="360" w:lineRule="auto"/>
        <w:jc w:val="right"/>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二○一一年六月十八日 </w:t>
      </w:r>
    </w:p>
    <w:p>
      <w:pPr>
        <w:pStyle w:val="119"/>
        <w:spacing w:line="360" w:lineRule="auto"/>
        <w:jc w:val="center"/>
        <w:rPr>
          <w:rFonts w:ascii="宋体" w:hAnsi="宋体" w:eastAsia="宋体" w:cs="宋体"/>
          <w:color w:val="auto"/>
          <w:sz w:val="28"/>
          <w:szCs w:val="28"/>
          <w:highlight w:val="none"/>
        </w:rPr>
      </w:pPr>
      <w:r>
        <w:rPr>
          <w:rFonts w:ascii="宋体" w:hAnsi="宋体" w:eastAsia="宋体" w:cs="宋体"/>
          <w:b/>
          <w:bCs/>
          <w:color w:val="auto"/>
          <w:sz w:val="28"/>
          <w:szCs w:val="28"/>
          <w:highlight w:val="none"/>
        </w:rPr>
        <w:t>中小企业划型标准规定</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根据《中华人民共和国中小企业促进法》和《国务院关于进一步促进中小企业发展 的若干意见》(国发〔2009〕36号)，制定本规定。</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中小企业划分为中型、小型、微型三种类型，具体标准根据企业从业人员、营业收入、资产总额等指标，结合行业特点制定。</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各行业划型标准为：</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农、林、牧、渔业。营业收入20000万元以下的为中小微型企业。其中，营业收入500万元及以上的为中型企业，营业收入50万元及以上的为小型企业，营业收入50万元以下的为微型企业。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 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w:t>
      </w:r>
      <w:r>
        <w:rPr>
          <w:rFonts w:hint="eastAsia" w:ascii="宋体" w:hAnsi="宋体" w:eastAsia="宋体" w:cs="宋体"/>
          <w:color w:val="auto"/>
          <w:sz w:val="24"/>
          <w:szCs w:val="24"/>
          <w:highlight w:val="none"/>
          <w:lang w:eastAsia="zh-CN"/>
        </w:rPr>
        <w:t>的</w:t>
      </w:r>
      <w:r>
        <w:rPr>
          <w:rFonts w:ascii="宋体" w:hAnsi="宋体" w:eastAsia="宋体" w:cs="宋体"/>
          <w:color w:val="auto"/>
          <w:sz w:val="24"/>
          <w:szCs w:val="24"/>
          <w:highlight w:val="none"/>
        </w:rPr>
        <w:t>为微型企业</w:t>
      </w:r>
      <w:r>
        <w:rPr>
          <w:rFonts w:hint="eastAsia" w:ascii="宋体" w:hAnsi="宋体" w:eastAsia="宋体" w:cs="宋体"/>
          <w:color w:val="auto"/>
          <w:sz w:val="24"/>
          <w:szCs w:val="24"/>
          <w:highlight w:val="none"/>
          <w:lang w:eastAsia="zh-CN"/>
        </w:rPr>
        <w:t>。</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交通运输业。从业人员1000人以下或营业收入30000万元以下的为中小微型企 业。其中，从业人员300人及以上，且营业收入3000万元及以上的为中型企业；从业人员20人及以上，且营业收入200万元及以上的为小型企业；从业人员20人以下或营业收入200 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 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 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餐饮业。从业人员300人以下或营业收入10000万元以下的为中小微型企业。其 中，从业人员100人及以上，且营业收入2000万元及以上的为中型企业；从业人员10人以上，且营业收入100万元及以上的为小型企业；从业人员10人以下或营业收入100万元以下的为微型企业。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 100万元以下的为微型企业。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软件和信息技术服务业。从业人员300人以下或营业收入10000万元以下的为 中小微型企业。其中，从业人员100人及以上，且营业收入1000万元及以上的为中型企业；从业人员10人及以上，且营业收入50万元及以上的为小型企业；从业人员10人以下或营业收入50万元以下的为微型企业。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其他未列明行业。</w:t>
      </w:r>
      <w:r>
        <w:rPr>
          <w:rFonts w:hint="eastAsia" w:ascii="宋体" w:hAnsi="宋体" w:eastAsia="宋体" w:cs="宋体"/>
          <w:b/>
          <w:bCs/>
          <w:color w:val="auto"/>
          <w:sz w:val="24"/>
          <w:szCs w:val="24"/>
          <w:highlight w:val="none"/>
          <w:lang w:eastAsia="zh-CN"/>
        </w:rPr>
        <w:t>从业人员</w:t>
      </w:r>
      <w:r>
        <w:rPr>
          <w:rFonts w:hint="eastAsia" w:ascii="宋体" w:hAnsi="宋体" w:eastAsia="宋体" w:cs="宋体"/>
          <w:b/>
          <w:bCs/>
          <w:color w:val="auto"/>
          <w:sz w:val="24"/>
          <w:szCs w:val="24"/>
          <w:highlight w:val="none"/>
          <w:lang w:val="en-US" w:eastAsia="zh-CN"/>
        </w:rPr>
        <w:t>300人以下的为中小微企业。其中，</w:t>
      </w:r>
      <w:r>
        <w:rPr>
          <w:rFonts w:ascii="宋体" w:hAnsi="宋体" w:eastAsia="宋体" w:cs="宋体"/>
          <w:b/>
          <w:bCs/>
          <w:color w:val="auto"/>
          <w:sz w:val="24"/>
          <w:szCs w:val="24"/>
          <w:highlight w:val="none"/>
        </w:rPr>
        <w:t>从业100人及以上的为中型企业；从业人员10人及以上的为小型企业；从业人员10人以下的为微型企业。</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企业类型的划分以统计部门的统计数据为依据。</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本规定适用于在中华人民共和国境内依法设立的各类所有制和各种组织形式的企业。个体工商户和本规定以外的行业，参照本规定进行划型。</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本规定的中型企业标准上限即为大型企业标准的下限，国家统计部门据此制定大中小微型企业的统计分类。国务院有关部门据此进行相关数据分析，不得制定与本规定不一致 的企业划型标准。</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本规定由工业和信息化部、国家统计局会同有关部门根据《国民经济行业分类》修 订情况和企业发展变化情况适时修订。</w:t>
      </w:r>
    </w:p>
    <w:p>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本规定由工业和信息化部、国家统计局会同有关部门负责解释。</w:t>
      </w:r>
    </w:p>
    <w:p>
      <w:pPr>
        <w:pStyle w:val="1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highlight w:val="none"/>
        </w:rPr>
      </w:pPr>
      <w:r>
        <w:rPr>
          <w:rFonts w:ascii="宋体" w:hAnsi="宋体" w:eastAsia="宋体" w:cs="宋体"/>
          <w:color w:val="auto"/>
          <w:sz w:val="24"/>
          <w:szCs w:val="24"/>
          <w:highlight w:val="none"/>
        </w:rPr>
        <w:t>十、本规定自发布之日起执行，原国家经贸委、原国家计委、财政部和国家统计计局2003年颁布的《中小企业标准暂行规定》同时废止。</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附件</w:t>
      </w:r>
      <w:bookmarkEnd w:id="34"/>
      <w:bookmarkEnd w:id="35"/>
      <w:bookmarkEnd w:id="36"/>
      <w:bookmarkEnd w:id="37"/>
      <w:bookmarkEnd w:id="38"/>
      <w:bookmarkEnd w:id="39"/>
      <w:bookmarkEnd w:id="40"/>
      <w:bookmarkEnd w:id="41"/>
      <w:bookmarkEnd w:id="42"/>
      <w:r>
        <w:rPr>
          <w:rFonts w:hint="eastAsia" w:ascii="宋体" w:hAnsi="宋体" w:eastAsia="宋体" w:cs="宋体"/>
          <w:b/>
          <w:bCs/>
          <w:color w:val="auto"/>
          <w:sz w:val="24"/>
          <w:szCs w:val="24"/>
          <w:highlight w:val="none"/>
          <w:lang w:val="en-US" w:eastAsia="zh-CN"/>
        </w:rPr>
        <w:t>1</w:t>
      </w:r>
    </w:p>
    <w:p>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监狱企业证明文件</w:t>
      </w:r>
    </w:p>
    <w:p>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pPr>
        <w:rPr>
          <w:rFonts w:hint="eastAsia" w:ascii="宋体" w:hAnsi="宋体" w:eastAsia="宋体" w:cs="宋体"/>
          <w:color w:val="auto"/>
          <w:sz w:val="24"/>
          <w:szCs w:val="24"/>
          <w:highlight w:val="none"/>
        </w:rPr>
      </w:pPr>
      <w:bookmarkStart w:id="43" w:name="_Toc499739991"/>
    </w:p>
    <w:p>
      <w:pPr>
        <w:rPr>
          <w:rFonts w:hint="eastAsia" w:ascii="宋体" w:hAnsi="宋体" w:eastAsia="宋体" w:cs="宋体"/>
          <w:color w:val="auto"/>
          <w:sz w:val="24"/>
          <w:szCs w:val="24"/>
          <w:highlight w:val="none"/>
        </w:rPr>
      </w:pPr>
      <w:bookmarkStart w:id="44" w:name="_Toc30838"/>
      <w:bookmarkStart w:id="45" w:name="_Toc2290"/>
      <w:bookmarkStart w:id="46" w:name="_Toc30090"/>
      <w:bookmarkStart w:id="47" w:name="_Toc11296"/>
      <w:bookmarkStart w:id="48" w:name="_Toc16753"/>
      <w:bookmarkStart w:id="49" w:name="_Toc16824"/>
    </w:p>
    <w:p>
      <w:pPr>
        <w:rPr>
          <w:rFonts w:hint="eastAsia" w:ascii="宋体" w:hAnsi="宋体" w:eastAsia="宋体" w:cs="宋体"/>
          <w:color w:val="auto"/>
          <w:sz w:val="24"/>
          <w:szCs w:val="24"/>
          <w:highlight w:val="none"/>
        </w:rPr>
      </w:pPr>
    </w:p>
    <w:p>
      <w:pPr>
        <w:rPr>
          <w:rFonts w:hint="eastAsia" w:ascii="宋体" w:hAnsi="宋体" w:eastAsia="宋体" w:cs="宋体"/>
          <w:b/>
          <w:bCs/>
          <w:color w:val="auto"/>
          <w:sz w:val="24"/>
          <w:szCs w:val="24"/>
          <w:highlight w:val="none"/>
          <w:lang w:eastAsia="zh-CN"/>
        </w:rPr>
      </w:pPr>
      <w:bookmarkStart w:id="50" w:name="_Toc3073"/>
      <w:bookmarkStart w:id="51" w:name="_Toc28279"/>
      <w:r>
        <w:rPr>
          <w:rFonts w:hint="eastAsia" w:ascii="宋体" w:hAnsi="宋体" w:eastAsia="宋体" w:cs="宋体"/>
          <w:b/>
          <w:bCs/>
          <w:color w:val="auto"/>
          <w:sz w:val="24"/>
          <w:szCs w:val="24"/>
          <w:highlight w:val="none"/>
        </w:rPr>
        <w:t>附件</w:t>
      </w:r>
      <w:bookmarkEnd w:id="43"/>
      <w:bookmarkEnd w:id="44"/>
      <w:bookmarkEnd w:id="45"/>
      <w:bookmarkEnd w:id="46"/>
      <w:bookmarkEnd w:id="47"/>
      <w:bookmarkEnd w:id="48"/>
      <w:bookmarkEnd w:id="49"/>
      <w:bookmarkEnd w:id="50"/>
      <w:bookmarkEnd w:id="51"/>
      <w:r>
        <w:rPr>
          <w:rFonts w:hint="eastAsia" w:ascii="宋体" w:hAnsi="宋体" w:eastAsia="宋体" w:cs="宋体"/>
          <w:b/>
          <w:bCs/>
          <w:color w:val="auto"/>
          <w:sz w:val="24"/>
          <w:szCs w:val="24"/>
          <w:highlight w:val="none"/>
          <w:lang w:val="en-US" w:eastAsia="zh-CN"/>
        </w:rPr>
        <w:t>2</w:t>
      </w:r>
    </w:p>
    <w:p>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残疾人福利性单位声明函</w:t>
      </w:r>
    </w:p>
    <w:p>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pPr>
        <w:pStyle w:val="27"/>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注：非残疾人福利性单位不填写此声明函。</w:t>
      </w:r>
    </w:p>
    <w:p>
      <w:pPr>
        <w:spacing w:line="560" w:lineRule="exact"/>
        <w:ind w:firstLine="480" w:firstLineChars="200"/>
        <w:jc w:val="both"/>
        <w:rPr>
          <w:rFonts w:hint="eastAsia" w:ascii="宋体" w:hAnsi="宋体" w:eastAsia="宋体" w:cs="宋体"/>
          <w:color w:val="auto"/>
          <w:sz w:val="24"/>
          <w:szCs w:val="24"/>
          <w:highlight w:val="none"/>
        </w:rPr>
      </w:pPr>
    </w:p>
    <w:p>
      <w:pPr>
        <w:spacing w:line="560" w:lineRule="exact"/>
        <w:ind w:firstLine="480" w:firstLineChars="200"/>
        <w:jc w:val="both"/>
        <w:rPr>
          <w:rFonts w:hint="eastAsia" w:ascii="宋体" w:hAnsi="宋体" w:eastAsia="宋体" w:cs="宋体"/>
          <w:color w:val="auto"/>
          <w:sz w:val="24"/>
          <w:szCs w:val="24"/>
          <w:highlight w:val="none"/>
        </w:rPr>
      </w:pPr>
    </w:p>
    <w:p>
      <w:pPr>
        <w:spacing w:line="560" w:lineRule="exact"/>
        <w:ind w:firstLine="480" w:firstLineChars="200"/>
        <w:jc w:val="both"/>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kern w:val="2"/>
          <w:sz w:val="24"/>
          <w:szCs w:val="24"/>
          <w:highlight w:val="none"/>
          <w:lang w:val="en-US" w:eastAsia="zh-CN" w:bidi="ar-SA"/>
        </w:rPr>
        <w:t>单位负责人为同一人或者存在直接控股、管理关系的不同供应商，不得参加同一合同项下的政府采购活动；</w:t>
      </w:r>
    </w:p>
    <w:p>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p>
    <w:p>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供应商在本项目</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中，不存在与其它供应商负责人为同一人，有控股、管理等关联关系</w:t>
      </w:r>
      <w:r>
        <w:rPr>
          <w:rFonts w:hint="eastAsia" w:ascii="宋体" w:hAnsi="宋体" w:eastAsia="宋体" w:cs="宋体"/>
          <w:color w:val="auto"/>
          <w:sz w:val="24"/>
          <w:szCs w:val="24"/>
          <w:highlight w:val="none"/>
          <w:lang w:eastAsia="zh-CN"/>
        </w:rPr>
        <w:t>情况。</w:t>
      </w:r>
    </w:p>
    <w:p>
      <w:pPr>
        <w:pStyle w:val="2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pPr>
        <w:pStyle w:val="2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pPr>
        <w:pStyle w:val="22"/>
        <w:rPr>
          <w:rFonts w:hint="eastAsia" w:ascii="宋体" w:hAnsi="宋体" w:eastAsia="宋体" w:cs="宋体"/>
          <w:color w:val="auto"/>
          <w:highlight w:val="none"/>
        </w:rPr>
      </w:pPr>
    </w:p>
    <w:p>
      <w:pPr>
        <w:pStyle w:val="22"/>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pPr>
        <w:bidi w:val="0"/>
        <w:rPr>
          <w:rFonts w:hint="eastAsia" w:ascii="宋体" w:hAnsi="宋体" w:eastAsia="宋体" w:cs="宋体"/>
          <w:color w:val="auto"/>
          <w:highlight w:val="none"/>
          <w:lang w:eastAsia="zh-CN"/>
        </w:rPr>
      </w:pPr>
    </w:p>
    <w:p>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p>
    <w:p>
      <w:pPr>
        <w:rPr>
          <w:rFonts w:hint="eastAsia" w:ascii="宋体" w:hAnsi="宋体" w:eastAsia="宋体" w:cs="宋体"/>
          <w:b/>
          <w:bCs/>
          <w:color w:val="auto"/>
          <w:highlight w:val="none"/>
        </w:rPr>
      </w:pPr>
      <w:r>
        <w:rPr>
          <w:rFonts w:hint="eastAsia" w:ascii="宋体" w:hAnsi="宋体" w:eastAsia="宋体" w:cs="宋体"/>
          <w:b/>
          <w:bCs/>
          <w:color w:val="auto"/>
          <w:highlight w:val="none"/>
        </w:rPr>
        <w:br w:type="page"/>
      </w:r>
    </w:p>
    <w:p>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第四部分  供应商概况</w:t>
      </w:r>
    </w:p>
    <w:p>
      <w:pPr>
        <w:pStyle w:val="107"/>
        <w:spacing w:before="210" w:after="210"/>
        <w:ind w:left="0" w:leftChars="0" w:firstLine="0" w:firstLineChars="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（一）供应商基本信息</w:t>
      </w:r>
    </w:p>
    <w:tbl>
      <w:tblPr>
        <w:tblStyle w:val="99"/>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992"/>
        <w:gridCol w:w="1424"/>
        <w:gridCol w:w="1411"/>
        <w:gridCol w:w="1464"/>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供应商全称</w:t>
            </w:r>
          </w:p>
        </w:tc>
        <w:tc>
          <w:tcPr>
            <w:tcW w:w="6756" w:type="dxa"/>
            <w:gridSpan w:val="5"/>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注册地址</w:t>
            </w:r>
          </w:p>
        </w:tc>
        <w:tc>
          <w:tcPr>
            <w:tcW w:w="2416" w:type="dxa"/>
            <w:gridSpan w:val="2"/>
          </w:tcPr>
          <w:p>
            <w:pPr>
              <w:ind w:firstLine="0"/>
              <w:jc w:val="both"/>
              <w:rPr>
                <w:rFonts w:hint="eastAsia" w:ascii="宋体" w:hAnsi="宋体" w:eastAsia="宋体" w:cs="宋体"/>
                <w:color w:val="auto"/>
                <w:kern w:val="2"/>
                <w:sz w:val="24"/>
                <w:szCs w:val="24"/>
                <w:highlight w:val="none"/>
              </w:rPr>
            </w:pPr>
          </w:p>
        </w:tc>
        <w:tc>
          <w:tcPr>
            <w:tcW w:w="1411"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成立时间</w:t>
            </w:r>
          </w:p>
        </w:tc>
        <w:tc>
          <w:tcPr>
            <w:tcW w:w="2929" w:type="dxa"/>
            <w:gridSpan w:val="2"/>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统一社会信用代码</w:t>
            </w:r>
          </w:p>
        </w:tc>
        <w:tc>
          <w:tcPr>
            <w:tcW w:w="2416" w:type="dxa"/>
            <w:gridSpan w:val="2"/>
          </w:tcPr>
          <w:p>
            <w:pPr>
              <w:ind w:firstLine="0"/>
              <w:jc w:val="both"/>
              <w:rPr>
                <w:rFonts w:hint="eastAsia" w:ascii="宋体" w:hAnsi="宋体" w:eastAsia="宋体" w:cs="宋体"/>
                <w:color w:val="auto"/>
                <w:kern w:val="2"/>
                <w:sz w:val="24"/>
                <w:szCs w:val="24"/>
                <w:highlight w:val="none"/>
              </w:rPr>
            </w:pPr>
          </w:p>
        </w:tc>
        <w:tc>
          <w:tcPr>
            <w:tcW w:w="1411"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单位性质</w:t>
            </w:r>
          </w:p>
        </w:tc>
        <w:tc>
          <w:tcPr>
            <w:tcW w:w="2929" w:type="dxa"/>
            <w:gridSpan w:val="2"/>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（主要负责人）</w:t>
            </w:r>
          </w:p>
        </w:tc>
        <w:tc>
          <w:tcPr>
            <w:tcW w:w="2416" w:type="dxa"/>
            <w:gridSpan w:val="2"/>
          </w:tcPr>
          <w:p>
            <w:pPr>
              <w:ind w:firstLine="0"/>
              <w:jc w:val="both"/>
              <w:rPr>
                <w:rFonts w:hint="eastAsia" w:ascii="宋体" w:hAnsi="宋体" w:eastAsia="宋体" w:cs="宋体"/>
                <w:color w:val="auto"/>
                <w:kern w:val="2"/>
                <w:sz w:val="24"/>
                <w:szCs w:val="24"/>
                <w:highlight w:val="none"/>
              </w:rPr>
            </w:pPr>
          </w:p>
        </w:tc>
        <w:tc>
          <w:tcPr>
            <w:tcW w:w="1411"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所属行业</w:t>
            </w:r>
          </w:p>
        </w:tc>
        <w:tc>
          <w:tcPr>
            <w:tcW w:w="2929" w:type="dxa"/>
            <w:gridSpan w:val="2"/>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基本存款账户</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开户银行</w:t>
            </w:r>
          </w:p>
        </w:tc>
        <w:tc>
          <w:tcPr>
            <w:tcW w:w="2416" w:type="dxa"/>
            <w:gridSpan w:val="2"/>
          </w:tcPr>
          <w:p>
            <w:pPr>
              <w:ind w:firstLine="0"/>
              <w:jc w:val="both"/>
              <w:rPr>
                <w:rFonts w:hint="eastAsia" w:ascii="宋体" w:hAnsi="宋体" w:eastAsia="宋体" w:cs="宋体"/>
                <w:color w:val="auto"/>
                <w:kern w:val="2"/>
                <w:sz w:val="24"/>
                <w:szCs w:val="24"/>
                <w:highlight w:val="none"/>
              </w:rPr>
            </w:pPr>
          </w:p>
        </w:tc>
        <w:tc>
          <w:tcPr>
            <w:tcW w:w="1411"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基本存款</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账户账号</w:t>
            </w:r>
          </w:p>
        </w:tc>
        <w:tc>
          <w:tcPr>
            <w:tcW w:w="2929" w:type="dxa"/>
            <w:gridSpan w:val="2"/>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上年度</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营业收入*</w:t>
            </w:r>
          </w:p>
        </w:tc>
        <w:tc>
          <w:tcPr>
            <w:tcW w:w="2416" w:type="dxa"/>
            <w:gridSpan w:val="2"/>
          </w:tcPr>
          <w:p>
            <w:pPr>
              <w:ind w:firstLine="0"/>
              <w:jc w:val="both"/>
              <w:rPr>
                <w:rFonts w:hint="eastAsia" w:ascii="宋体" w:hAnsi="宋体" w:eastAsia="宋体" w:cs="宋体"/>
                <w:color w:val="auto"/>
                <w:kern w:val="2"/>
                <w:sz w:val="24"/>
                <w:szCs w:val="24"/>
                <w:highlight w:val="none"/>
              </w:rPr>
            </w:pPr>
          </w:p>
        </w:tc>
        <w:tc>
          <w:tcPr>
            <w:tcW w:w="1411"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资产总额</w:t>
            </w:r>
          </w:p>
        </w:tc>
        <w:tc>
          <w:tcPr>
            <w:tcW w:w="2929" w:type="dxa"/>
            <w:gridSpan w:val="2"/>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经营范围</w:t>
            </w:r>
          </w:p>
        </w:tc>
        <w:tc>
          <w:tcPr>
            <w:tcW w:w="6756" w:type="dxa"/>
            <w:gridSpan w:val="5"/>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资质证书名称</w:t>
            </w:r>
          </w:p>
        </w:tc>
        <w:tc>
          <w:tcPr>
            <w:tcW w:w="2416" w:type="dxa"/>
            <w:gridSpan w:val="2"/>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证书号</w:t>
            </w:r>
          </w:p>
        </w:tc>
        <w:tc>
          <w:tcPr>
            <w:tcW w:w="1411"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等级</w:t>
            </w:r>
          </w:p>
        </w:tc>
        <w:tc>
          <w:tcPr>
            <w:tcW w:w="2929" w:type="dxa"/>
            <w:gridSpan w:val="2"/>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p>
        </w:tc>
        <w:tc>
          <w:tcPr>
            <w:tcW w:w="2416" w:type="dxa"/>
            <w:gridSpan w:val="2"/>
          </w:tcPr>
          <w:p>
            <w:pPr>
              <w:ind w:firstLine="0"/>
              <w:jc w:val="both"/>
              <w:rPr>
                <w:rFonts w:hint="eastAsia" w:ascii="宋体" w:hAnsi="宋体" w:eastAsia="宋体" w:cs="宋体"/>
                <w:color w:val="auto"/>
                <w:kern w:val="2"/>
                <w:sz w:val="24"/>
                <w:szCs w:val="24"/>
                <w:highlight w:val="none"/>
              </w:rPr>
            </w:pPr>
          </w:p>
        </w:tc>
        <w:tc>
          <w:tcPr>
            <w:tcW w:w="1411" w:type="dxa"/>
          </w:tcPr>
          <w:p>
            <w:pPr>
              <w:ind w:firstLine="0"/>
              <w:jc w:val="both"/>
              <w:rPr>
                <w:rFonts w:hint="eastAsia" w:ascii="宋体" w:hAnsi="宋体" w:eastAsia="宋体" w:cs="宋体"/>
                <w:color w:val="auto"/>
                <w:kern w:val="2"/>
                <w:sz w:val="24"/>
                <w:szCs w:val="24"/>
                <w:highlight w:val="none"/>
              </w:rPr>
            </w:pPr>
          </w:p>
        </w:tc>
        <w:tc>
          <w:tcPr>
            <w:tcW w:w="2929" w:type="dxa"/>
            <w:gridSpan w:val="2"/>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p>
        </w:tc>
        <w:tc>
          <w:tcPr>
            <w:tcW w:w="2416" w:type="dxa"/>
            <w:gridSpan w:val="2"/>
          </w:tcPr>
          <w:p>
            <w:pPr>
              <w:ind w:firstLine="0"/>
              <w:jc w:val="both"/>
              <w:rPr>
                <w:rFonts w:hint="eastAsia" w:ascii="宋体" w:hAnsi="宋体" w:eastAsia="宋体" w:cs="宋体"/>
                <w:color w:val="auto"/>
                <w:kern w:val="2"/>
                <w:sz w:val="24"/>
                <w:szCs w:val="24"/>
                <w:highlight w:val="none"/>
              </w:rPr>
            </w:pPr>
          </w:p>
        </w:tc>
        <w:tc>
          <w:tcPr>
            <w:tcW w:w="1411" w:type="dxa"/>
          </w:tcPr>
          <w:p>
            <w:pPr>
              <w:ind w:firstLine="0"/>
              <w:jc w:val="both"/>
              <w:rPr>
                <w:rFonts w:hint="eastAsia" w:ascii="宋体" w:hAnsi="宋体" w:eastAsia="宋体" w:cs="宋体"/>
                <w:color w:val="auto"/>
                <w:kern w:val="2"/>
                <w:sz w:val="24"/>
                <w:szCs w:val="24"/>
                <w:highlight w:val="none"/>
              </w:rPr>
            </w:pPr>
          </w:p>
        </w:tc>
        <w:tc>
          <w:tcPr>
            <w:tcW w:w="2929" w:type="dxa"/>
            <w:gridSpan w:val="2"/>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restart"/>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从业人员总数</w:t>
            </w:r>
          </w:p>
        </w:tc>
        <w:tc>
          <w:tcPr>
            <w:tcW w:w="992" w:type="dxa"/>
            <w:vMerge w:val="restart"/>
          </w:tcPr>
          <w:p>
            <w:pPr>
              <w:ind w:firstLine="0"/>
              <w:jc w:val="both"/>
              <w:rPr>
                <w:rFonts w:hint="eastAsia" w:ascii="宋体" w:hAnsi="宋体" w:eastAsia="宋体" w:cs="宋体"/>
                <w:color w:val="auto"/>
                <w:kern w:val="2"/>
                <w:sz w:val="24"/>
                <w:szCs w:val="24"/>
                <w:highlight w:val="none"/>
              </w:rPr>
            </w:pPr>
          </w:p>
        </w:tc>
        <w:tc>
          <w:tcPr>
            <w:tcW w:w="1424"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管理人员</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11" w:type="dxa"/>
          </w:tcPr>
          <w:p>
            <w:pPr>
              <w:ind w:firstLine="0"/>
              <w:jc w:val="both"/>
              <w:rPr>
                <w:rFonts w:hint="eastAsia" w:ascii="宋体" w:hAnsi="宋体" w:eastAsia="宋体" w:cs="宋体"/>
                <w:color w:val="auto"/>
                <w:kern w:val="2"/>
                <w:sz w:val="24"/>
                <w:szCs w:val="24"/>
                <w:highlight w:val="none"/>
              </w:rPr>
            </w:pPr>
          </w:p>
        </w:tc>
        <w:tc>
          <w:tcPr>
            <w:tcW w:w="1464"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专业技术</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人员数量</w:t>
            </w:r>
          </w:p>
        </w:tc>
        <w:tc>
          <w:tcPr>
            <w:tcW w:w="1465" w:type="dxa"/>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continue"/>
          </w:tcPr>
          <w:p>
            <w:pPr>
              <w:ind w:firstLine="0"/>
              <w:jc w:val="both"/>
              <w:rPr>
                <w:rFonts w:hint="eastAsia" w:ascii="宋体" w:hAnsi="宋体" w:eastAsia="宋体" w:cs="宋体"/>
                <w:color w:val="auto"/>
                <w:kern w:val="2"/>
                <w:sz w:val="24"/>
                <w:szCs w:val="24"/>
                <w:highlight w:val="none"/>
              </w:rPr>
            </w:pPr>
          </w:p>
        </w:tc>
        <w:tc>
          <w:tcPr>
            <w:tcW w:w="992" w:type="dxa"/>
            <w:vMerge w:val="continue"/>
          </w:tcPr>
          <w:p>
            <w:pPr>
              <w:ind w:firstLine="0"/>
              <w:jc w:val="both"/>
              <w:rPr>
                <w:rFonts w:hint="eastAsia" w:ascii="宋体" w:hAnsi="宋体" w:eastAsia="宋体" w:cs="宋体"/>
                <w:color w:val="auto"/>
                <w:kern w:val="2"/>
                <w:sz w:val="24"/>
                <w:szCs w:val="24"/>
                <w:highlight w:val="none"/>
              </w:rPr>
            </w:pPr>
          </w:p>
        </w:tc>
        <w:tc>
          <w:tcPr>
            <w:tcW w:w="1424"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残疾人</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11" w:type="dxa"/>
          </w:tcPr>
          <w:p>
            <w:pPr>
              <w:ind w:firstLine="0"/>
              <w:jc w:val="both"/>
              <w:rPr>
                <w:rFonts w:hint="eastAsia" w:ascii="宋体" w:hAnsi="宋体" w:eastAsia="宋体" w:cs="宋体"/>
                <w:color w:val="auto"/>
                <w:kern w:val="2"/>
                <w:sz w:val="24"/>
                <w:szCs w:val="24"/>
                <w:highlight w:val="none"/>
              </w:rPr>
            </w:pPr>
          </w:p>
        </w:tc>
        <w:tc>
          <w:tcPr>
            <w:tcW w:w="1464"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少数民族</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65" w:type="dxa"/>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存在直接控股、管理关系的相关供应商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关系</w:t>
            </w:r>
          </w:p>
        </w:tc>
        <w:tc>
          <w:tcPr>
            <w:tcW w:w="6756" w:type="dxa"/>
            <w:gridSpan w:val="5"/>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p>
        </w:tc>
        <w:tc>
          <w:tcPr>
            <w:tcW w:w="6756" w:type="dxa"/>
            <w:gridSpan w:val="5"/>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p>
        </w:tc>
        <w:tc>
          <w:tcPr>
            <w:tcW w:w="6756" w:type="dxa"/>
            <w:gridSpan w:val="5"/>
          </w:tcPr>
          <w:p>
            <w:pPr>
              <w:ind w:firstLine="0"/>
              <w:jc w:val="both"/>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说明</w:t>
            </w:r>
          </w:p>
        </w:tc>
        <w:tc>
          <w:tcPr>
            <w:tcW w:w="6756" w:type="dxa"/>
            <w:gridSpan w:val="5"/>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1.成立时间至提交投标文件截止时间不足一年的可不填写“上年度营业收入”；</w:t>
            </w:r>
          </w:p>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2.招标文件接受联合体的，联合体各方均应提供；</w:t>
            </w:r>
          </w:p>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3.表格空间不足时，请自行扩展。</w:t>
            </w:r>
          </w:p>
        </w:tc>
      </w:tr>
    </w:tbl>
    <w:p>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第五部分  供应商参加政府采购活动承诺书</w:t>
      </w:r>
    </w:p>
    <w:p>
      <w:pPr>
        <w:pStyle w:val="4"/>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bidi="ar-SA"/>
        </w:rPr>
        <w:t>一）质量安全责任承诺书</w:t>
      </w:r>
    </w:p>
    <w:p>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为保证本采购项目顺利进行，作为投标供应商，现郑重承诺：</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1．我方所投产品的生产（包括设计、制造、安装、改造、维修等）、投入使用的材料等均完全符合国家现行质量、安全、环保标准和要求。</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pPr>
        <w:spacing w:line="560" w:lineRule="exact"/>
        <w:ind w:firstLine="480" w:firstLineChars="200"/>
        <w:jc w:val="both"/>
        <w:rPr>
          <w:rFonts w:hint="eastAsia" w:ascii="宋体" w:hAnsi="宋体" w:eastAsia="宋体" w:cs="宋体"/>
          <w:color w:val="auto"/>
          <w:sz w:val="24"/>
          <w:szCs w:val="24"/>
          <w:highlight w:val="none"/>
        </w:rPr>
      </w:pPr>
    </w:p>
    <w:p>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pPr>
        <w:spacing w:line="560" w:lineRule="exact"/>
        <w:ind w:firstLine="480" w:firstLineChars="200"/>
        <w:jc w:val="both"/>
        <w:rPr>
          <w:rFonts w:hint="eastAsia" w:ascii="宋体" w:hAnsi="宋体" w:eastAsia="宋体" w:cs="宋体"/>
          <w:color w:val="auto"/>
          <w:sz w:val="24"/>
          <w:szCs w:val="24"/>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4"/>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（二）参加政府采购活动行为自律承诺书</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作为参加本次政府采购项目的供应商，我方郑重承诺在参与政府采购活动中遵纪守法、公平竞争、诚实守信，如有违反愿承担一切责任及后果：</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1．不与采购人、采购代理机构、政府采购评审专家恶意串通，不向其行贿或提供其他不正当利益；</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2．不与其他供应商恶意串通，采取“围标、串标、陪标”等商业欺诈手段谋取中标、成交；</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3．不提供虚假或无效证明文件（包括但不限于资格证明文件、合同及验收文件、检验检测报告、从业人员资格证书、机构或所投产品的各类认证证书等）或虚假材料谋取中标、成交；</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4．不采取不正当手段诋毁、排挤其他供应商；</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5．不以不正当理由拒不与采购人签订政府采购合同，或逾期签订政府采购合同，或不按照采购文件确定的事项签订政府采购合同；</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6．不以不正当理由拒绝履行合同义务，不会擅自变更、中止或者终止政府采购合同或将政府采购合同转包；</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7．不在提供商品、服务或工程施工过程中提供假冒伪劣产品，损害采购人的合法权益或公共利益；</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8．不采取捏造事实、提供虚假材料或者以非法手段取得证明材料进行质疑和投诉；</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10．尊重和接受政府采购监督管理部门的监督和采购人、采购代理机构的政府采购工作要求，愿意承担因违约行为给采购人造成的损失。</w:t>
      </w:r>
    </w:p>
    <w:p>
      <w:pPr>
        <w:spacing w:line="560" w:lineRule="exact"/>
        <w:ind w:firstLine="480" w:firstLineChars="200"/>
        <w:jc w:val="both"/>
        <w:rPr>
          <w:rFonts w:hint="eastAsia" w:ascii="宋体" w:hAnsi="宋体" w:eastAsia="宋体" w:cs="宋体"/>
          <w:color w:val="auto"/>
          <w:sz w:val="24"/>
          <w:szCs w:val="24"/>
          <w:highlight w:val="none"/>
        </w:rPr>
      </w:pPr>
    </w:p>
    <w:p>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pPr>
        <w:pStyle w:val="3"/>
        <w:ind w:left="0" w:leftChars="0" w:firstLine="0" w:firstLineChars="0"/>
        <w:jc w:val="center"/>
        <w:rPr>
          <w:rFonts w:hint="eastAsia" w:ascii="宋体" w:hAnsi="宋体" w:cs="宋体"/>
          <w:b/>
          <w:color w:val="auto"/>
          <w:sz w:val="24"/>
          <w:szCs w:val="24"/>
          <w:highlight w:val="none"/>
        </w:rPr>
      </w:pPr>
      <w:r>
        <w:rPr>
          <w:rFonts w:hint="eastAsia" w:ascii="宋体" w:hAnsi="宋体" w:eastAsia="宋体" w:cs="宋体"/>
          <w:b/>
          <w:bCs/>
          <w:color w:val="auto"/>
          <w:highlight w:val="none"/>
        </w:rPr>
        <w:t>第六部分  投标方案</w:t>
      </w:r>
    </w:p>
    <w:p>
      <w:pPr>
        <w:pStyle w:val="107"/>
        <w:spacing w:before="210" w:after="210"/>
        <w:ind w:firstLine="640"/>
        <w:outlineLvl w:val="2"/>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lang w:eastAsia="zh-CN"/>
        </w:rPr>
        <w:t>（一）</w:t>
      </w:r>
      <w:r>
        <w:rPr>
          <w:rFonts w:hint="eastAsia" w:ascii="宋体" w:hAnsi="宋体" w:eastAsia="宋体" w:cs="宋体"/>
          <w:color w:val="auto"/>
          <w:sz w:val="28"/>
          <w:szCs w:val="28"/>
          <w:highlight w:val="none"/>
        </w:rPr>
        <w:t>技术要求</w:t>
      </w:r>
      <w:r>
        <w:rPr>
          <w:rFonts w:hint="eastAsia" w:ascii="宋体" w:hAnsi="宋体" w:eastAsia="宋体" w:cs="宋体"/>
          <w:color w:val="auto"/>
          <w:sz w:val="28"/>
          <w:szCs w:val="28"/>
          <w:highlight w:val="none"/>
          <w:lang w:eastAsia="zh-CN"/>
        </w:rPr>
        <w:t>偏离表</w:t>
      </w:r>
    </w:p>
    <w:tbl>
      <w:tblPr>
        <w:tblStyle w:val="31"/>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57"/>
        <w:gridCol w:w="1677"/>
        <w:gridCol w:w="2460"/>
        <w:gridCol w:w="2337"/>
        <w:gridCol w:w="1198"/>
        <w:gridCol w:w="95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投标文件技术响应</w:t>
            </w:r>
          </w:p>
        </w:tc>
        <w:tc>
          <w:tcPr>
            <w:tcW w:w="64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512"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645"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512"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45" w:type="pct"/>
            <w:vAlign w:val="center"/>
          </w:tcPr>
          <w:p>
            <w:pPr>
              <w:spacing w:line="560" w:lineRule="exact"/>
              <w:jc w:val="center"/>
              <w:rPr>
                <w:rFonts w:hint="eastAsia" w:ascii="宋体" w:hAnsi="宋体" w:eastAsia="宋体" w:cs="宋体"/>
                <w:color w:val="auto"/>
                <w:sz w:val="24"/>
                <w:szCs w:val="24"/>
                <w:highlight w:val="none"/>
              </w:rPr>
            </w:pPr>
          </w:p>
        </w:tc>
        <w:tc>
          <w:tcPr>
            <w:tcW w:w="512"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45" w:type="pct"/>
            <w:vAlign w:val="center"/>
          </w:tcPr>
          <w:p>
            <w:pPr>
              <w:spacing w:line="560" w:lineRule="exact"/>
              <w:jc w:val="center"/>
              <w:rPr>
                <w:rFonts w:hint="eastAsia" w:ascii="宋体" w:hAnsi="宋体" w:eastAsia="宋体" w:cs="宋体"/>
                <w:color w:val="auto"/>
                <w:sz w:val="24"/>
                <w:szCs w:val="24"/>
                <w:highlight w:val="none"/>
              </w:rPr>
            </w:pPr>
          </w:p>
        </w:tc>
        <w:tc>
          <w:tcPr>
            <w:tcW w:w="512"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45" w:type="pct"/>
            <w:vAlign w:val="center"/>
          </w:tcPr>
          <w:p>
            <w:pPr>
              <w:spacing w:line="560" w:lineRule="exact"/>
              <w:jc w:val="center"/>
              <w:rPr>
                <w:rFonts w:hint="eastAsia" w:ascii="宋体" w:hAnsi="宋体" w:eastAsia="宋体" w:cs="宋体"/>
                <w:color w:val="auto"/>
                <w:sz w:val="24"/>
                <w:szCs w:val="24"/>
                <w:highlight w:val="none"/>
              </w:rPr>
            </w:pPr>
          </w:p>
        </w:tc>
        <w:tc>
          <w:tcPr>
            <w:tcW w:w="512"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45" w:type="pct"/>
            <w:vAlign w:val="center"/>
          </w:tcPr>
          <w:p>
            <w:pPr>
              <w:spacing w:line="560" w:lineRule="exact"/>
              <w:jc w:val="center"/>
              <w:rPr>
                <w:rFonts w:hint="eastAsia" w:ascii="宋体" w:hAnsi="宋体" w:eastAsia="宋体" w:cs="宋体"/>
                <w:color w:val="auto"/>
                <w:sz w:val="24"/>
                <w:szCs w:val="24"/>
                <w:highlight w:val="none"/>
              </w:rPr>
            </w:pPr>
          </w:p>
        </w:tc>
        <w:tc>
          <w:tcPr>
            <w:tcW w:w="512"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45" w:type="pct"/>
            <w:vAlign w:val="center"/>
          </w:tcPr>
          <w:p>
            <w:pPr>
              <w:spacing w:line="560" w:lineRule="exact"/>
              <w:jc w:val="center"/>
              <w:rPr>
                <w:rFonts w:hint="eastAsia" w:ascii="宋体" w:hAnsi="宋体" w:eastAsia="宋体" w:cs="宋体"/>
                <w:color w:val="auto"/>
                <w:sz w:val="24"/>
                <w:szCs w:val="24"/>
                <w:highlight w:val="none"/>
              </w:rPr>
            </w:pPr>
          </w:p>
        </w:tc>
        <w:tc>
          <w:tcPr>
            <w:tcW w:w="512"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5" w:type="pct"/>
            <w:gridSpan w:val="5"/>
            <w:vAlign w:val="center"/>
          </w:tcPr>
          <w:p>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1．对第三章中的</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要求做出响应。</w:t>
            </w:r>
          </w:p>
          <w:p>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声明：除本偏离表所列的偏离外，其他均完全响应招标文件中的要求。</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技术</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pPr>
        <w:spacing w:line="560" w:lineRule="exact"/>
        <w:ind w:firstLine="480" w:firstLineChars="200"/>
        <w:jc w:val="right"/>
        <w:rPr>
          <w:rFonts w:hint="eastAsia" w:ascii="宋体" w:hAnsi="宋体" w:eastAsia="宋体" w:cs="宋体"/>
          <w:color w:val="auto"/>
          <w:sz w:val="24"/>
          <w:szCs w:val="24"/>
          <w:highlight w:val="none"/>
        </w:rPr>
      </w:pPr>
    </w:p>
    <w:p>
      <w:pPr>
        <w:spacing w:line="560" w:lineRule="exact"/>
        <w:ind w:firstLine="480" w:firstLineChars="200"/>
        <w:jc w:val="right"/>
        <w:rPr>
          <w:rFonts w:hint="eastAsia" w:ascii="宋体" w:hAnsi="宋体" w:eastAsia="宋体" w:cs="宋体"/>
          <w:color w:val="auto"/>
          <w:sz w:val="24"/>
          <w:szCs w:val="24"/>
          <w:highlight w:val="none"/>
        </w:rPr>
      </w:pPr>
    </w:p>
    <w:p>
      <w:pPr>
        <w:spacing w:line="560" w:lineRule="exact"/>
        <w:ind w:firstLine="480" w:firstLineChars="200"/>
        <w:jc w:val="both"/>
        <w:rPr>
          <w:rFonts w:hint="eastAsia" w:ascii="宋体" w:hAnsi="宋体" w:eastAsia="宋体" w:cs="宋体"/>
          <w:color w:val="auto"/>
          <w:sz w:val="24"/>
          <w:szCs w:val="24"/>
          <w:highlight w:val="none"/>
        </w:rPr>
      </w:pPr>
    </w:p>
    <w:p>
      <w:pPr>
        <w:rPr>
          <w:rFonts w:ascii="仿宋" w:hAnsi="仿宋" w:eastAsia="仿宋"/>
          <w:color w:val="auto"/>
          <w:sz w:val="32"/>
          <w:szCs w:val="32"/>
          <w:highlight w:val="none"/>
        </w:rPr>
      </w:pPr>
      <w:r>
        <w:rPr>
          <w:rFonts w:ascii="仿宋" w:hAnsi="仿宋" w:eastAsia="仿宋"/>
          <w:color w:val="auto"/>
          <w:sz w:val="32"/>
          <w:szCs w:val="32"/>
          <w:highlight w:val="none"/>
        </w:rPr>
        <w:br w:type="page"/>
      </w:r>
    </w:p>
    <w:p>
      <w:pPr>
        <w:pStyle w:val="107"/>
        <w:spacing w:before="210" w:after="210"/>
        <w:ind w:firstLine="640"/>
        <w:jc w:val="left"/>
        <w:outlineLvl w:val="2"/>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eastAsia="zh-CN"/>
        </w:rPr>
        <w:t>（二）商务要求偏离表</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0"/>
        <w:gridCol w:w="1677"/>
        <w:gridCol w:w="2460"/>
        <w:gridCol w:w="2338"/>
        <w:gridCol w:w="1168"/>
        <w:gridCol w:w="97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投标文件商务响应</w:t>
            </w:r>
          </w:p>
        </w:tc>
        <w:tc>
          <w:tcPr>
            <w:tcW w:w="629"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52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629"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525"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29" w:type="pct"/>
            <w:vAlign w:val="center"/>
          </w:tcPr>
          <w:p>
            <w:pPr>
              <w:spacing w:line="560" w:lineRule="exact"/>
              <w:jc w:val="center"/>
              <w:rPr>
                <w:rFonts w:hint="eastAsia" w:ascii="宋体" w:hAnsi="宋体" w:eastAsia="宋体" w:cs="宋体"/>
                <w:color w:val="auto"/>
                <w:sz w:val="24"/>
                <w:szCs w:val="24"/>
                <w:highlight w:val="none"/>
              </w:rPr>
            </w:pPr>
          </w:p>
        </w:tc>
        <w:tc>
          <w:tcPr>
            <w:tcW w:w="525"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29" w:type="pct"/>
            <w:vAlign w:val="center"/>
          </w:tcPr>
          <w:p>
            <w:pPr>
              <w:spacing w:line="560" w:lineRule="exact"/>
              <w:jc w:val="center"/>
              <w:rPr>
                <w:rFonts w:hint="eastAsia" w:ascii="宋体" w:hAnsi="宋体" w:eastAsia="宋体" w:cs="宋体"/>
                <w:color w:val="auto"/>
                <w:sz w:val="24"/>
                <w:szCs w:val="24"/>
                <w:highlight w:val="none"/>
              </w:rPr>
            </w:pPr>
          </w:p>
        </w:tc>
        <w:tc>
          <w:tcPr>
            <w:tcW w:w="525"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29" w:type="pct"/>
            <w:vAlign w:val="center"/>
          </w:tcPr>
          <w:p>
            <w:pPr>
              <w:spacing w:line="560" w:lineRule="exact"/>
              <w:jc w:val="center"/>
              <w:rPr>
                <w:rFonts w:hint="eastAsia" w:ascii="宋体" w:hAnsi="宋体" w:eastAsia="宋体" w:cs="宋体"/>
                <w:color w:val="auto"/>
                <w:sz w:val="24"/>
                <w:szCs w:val="24"/>
                <w:highlight w:val="none"/>
              </w:rPr>
            </w:pPr>
          </w:p>
        </w:tc>
        <w:tc>
          <w:tcPr>
            <w:tcW w:w="525"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29" w:type="pct"/>
            <w:vAlign w:val="center"/>
          </w:tcPr>
          <w:p>
            <w:pPr>
              <w:spacing w:line="560" w:lineRule="exact"/>
              <w:jc w:val="center"/>
              <w:rPr>
                <w:rFonts w:hint="eastAsia" w:ascii="宋体" w:hAnsi="宋体" w:eastAsia="宋体" w:cs="宋体"/>
                <w:color w:val="auto"/>
                <w:sz w:val="24"/>
                <w:szCs w:val="24"/>
                <w:highlight w:val="none"/>
              </w:rPr>
            </w:pPr>
          </w:p>
        </w:tc>
        <w:tc>
          <w:tcPr>
            <w:tcW w:w="525"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629" w:type="pct"/>
            <w:vAlign w:val="center"/>
          </w:tcPr>
          <w:p>
            <w:pPr>
              <w:spacing w:line="560" w:lineRule="exact"/>
              <w:jc w:val="center"/>
              <w:rPr>
                <w:rFonts w:hint="eastAsia" w:ascii="宋体" w:hAnsi="宋体" w:eastAsia="宋体" w:cs="宋体"/>
                <w:color w:val="auto"/>
                <w:sz w:val="24"/>
                <w:szCs w:val="24"/>
                <w:highlight w:val="none"/>
              </w:rPr>
            </w:pPr>
          </w:p>
        </w:tc>
        <w:tc>
          <w:tcPr>
            <w:tcW w:w="525"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3" w:type="pct"/>
            <w:gridSpan w:val="5"/>
            <w:vAlign w:val="center"/>
          </w:tcPr>
          <w:p>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1．对第</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章中的商务要求做出响应。</w:t>
            </w:r>
          </w:p>
          <w:p>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声明：除本偏离表所列的偏离外，其他均完全响应招标文件中的要求。</w:t>
      </w:r>
    </w:p>
    <w:p>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商务</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pPr>
        <w:rPr>
          <w:color w:val="auto"/>
          <w:highlight w:val="none"/>
        </w:rPr>
      </w:pPr>
      <w:r>
        <w:rPr>
          <w:color w:val="auto"/>
          <w:highlight w:val="none"/>
        </w:rPr>
        <w:br w:type="page"/>
      </w:r>
    </w:p>
    <w:p>
      <w:pPr>
        <w:pStyle w:val="107"/>
        <w:spacing w:before="210" w:after="210"/>
        <w:ind w:firstLine="640"/>
        <w:jc w:val="left"/>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（三）</w:t>
      </w:r>
      <w:r>
        <w:rPr>
          <w:rFonts w:hint="eastAsia" w:ascii="宋体" w:hAnsi="宋体" w:eastAsia="宋体" w:cs="宋体"/>
          <w:color w:val="auto"/>
          <w:sz w:val="28"/>
          <w:szCs w:val="28"/>
          <w:highlight w:val="none"/>
        </w:rPr>
        <w:t>合同条款响应</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00"/>
        <w:gridCol w:w="1417"/>
        <w:gridCol w:w="2303"/>
        <w:gridCol w:w="2316"/>
        <w:gridCol w:w="1172"/>
        <w:gridCol w:w="117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63"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1240"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招标文件合同条款明细</w:t>
            </w:r>
          </w:p>
        </w:tc>
        <w:tc>
          <w:tcPr>
            <w:tcW w:w="1247"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投标文件合同条款响应</w:t>
            </w:r>
          </w:p>
        </w:tc>
        <w:tc>
          <w:tcPr>
            <w:tcW w:w="631"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响应说明</w:t>
            </w:r>
          </w:p>
        </w:tc>
        <w:tc>
          <w:tcPr>
            <w:tcW w:w="631"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763"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1240"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1247"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631"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631" w:type="pct"/>
            <w:tcBorders>
              <w:top w:val="single" w:color="auto" w:sz="2" w:space="0"/>
            </w:tcBorders>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pPr>
              <w:jc w:val="center"/>
              <w:rPr>
                <w:rFonts w:hint="eastAsia" w:ascii="宋体" w:hAnsi="宋体" w:eastAsia="宋体" w:cs="宋体"/>
                <w:color w:val="auto"/>
                <w:sz w:val="24"/>
                <w:szCs w:val="24"/>
                <w:highlight w:val="none"/>
              </w:rPr>
            </w:pPr>
          </w:p>
        </w:tc>
        <w:tc>
          <w:tcPr>
            <w:tcW w:w="763"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pPr>
              <w:jc w:val="center"/>
              <w:rPr>
                <w:rFonts w:hint="eastAsia" w:ascii="宋体" w:hAnsi="宋体" w:eastAsia="宋体" w:cs="宋体"/>
                <w:color w:val="auto"/>
                <w:sz w:val="24"/>
                <w:szCs w:val="24"/>
                <w:highlight w:val="none"/>
              </w:rPr>
            </w:pPr>
          </w:p>
        </w:tc>
        <w:tc>
          <w:tcPr>
            <w:tcW w:w="763"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pPr>
              <w:jc w:val="center"/>
              <w:rPr>
                <w:rFonts w:hint="eastAsia" w:ascii="宋体" w:hAnsi="宋体" w:eastAsia="宋体" w:cs="宋体"/>
                <w:color w:val="auto"/>
                <w:sz w:val="24"/>
                <w:szCs w:val="24"/>
                <w:highlight w:val="none"/>
              </w:rPr>
            </w:pPr>
          </w:p>
        </w:tc>
        <w:tc>
          <w:tcPr>
            <w:tcW w:w="763"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pPr>
              <w:jc w:val="center"/>
              <w:rPr>
                <w:rFonts w:hint="eastAsia" w:ascii="宋体" w:hAnsi="宋体" w:eastAsia="宋体" w:cs="宋体"/>
                <w:color w:val="auto"/>
                <w:sz w:val="24"/>
                <w:szCs w:val="24"/>
                <w:highlight w:val="none"/>
              </w:rPr>
            </w:pPr>
          </w:p>
        </w:tc>
        <w:tc>
          <w:tcPr>
            <w:tcW w:w="763"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pPr>
              <w:jc w:val="center"/>
              <w:rPr>
                <w:rFonts w:hint="eastAsia" w:ascii="宋体" w:hAnsi="宋体" w:eastAsia="宋体" w:cs="宋体"/>
                <w:color w:val="auto"/>
                <w:sz w:val="24"/>
                <w:szCs w:val="24"/>
                <w:highlight w:val="none"/>
              </w:rPr>
            </w:pPr>
          </w:p>
        </w:tc>
        <w:tc>
          <w:tcPr>
            <w:tcW w:w="763"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pPr>
              <w:jc w:val="center"/>
              <w:rPr>
                <w:rFonts w:hint="eastAsia" w:ascii="宋体" w:hAnsi="宋体" w:eastAsia="宋体" w:cs="宋体"/>
                <w:color w:val="auto"/>
                <w:sz w:val="24"/>
                <w:szCs w:val="24"/>
                <w:highlight w:val="none"/>
              </w:rPr>
            </w:pPr>
          </w:p>
        </w:tc>
        <w:tc>
          <w:tcPr>
            <w:tcW w:w="763"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514" w:type="pct"/>
            <w:gridSpan w:val="5"/>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1．“完全接受”的条款无需在本表中列出；对于需要供应商填报的内容，以及“不能接受”或“有条件接受”的条款，则应写明该条款名称及条款明细、以及供应商所能接受的条件。</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3．因表格空间因有限，不足以容纳响应内容时，允许在表后进行响应，但须在表中注明引用位置，如“见本表下方3.1.1”。</w:t>
            </w:r>
          </w:p>
        </w:tc>
      </w:tr>
    </w:tbl>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声明：除上表所列的合同条款外，招标文件中的其他合同条款我方均完全接受。</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合同</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pPr>
        <w:pStyle w:val="107"/>
        <w:spacing w:before="210" w:after="210"/>
        <w:ind w:firstLine="640"/>
        <w:jc w:val="left"/>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（四）其他需要供应商提供的材料</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1．项目实施人员情况表</w:t>
      </w:r>
    </w:p>
    <w:tbl>
      <w:tblPr>
        <w:tblStyle w:val="31"/>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938"/>
        <w:gridCol w:w="1217"/>
        <w:gridCol w:w="23"/>
        <w:gridCol w:w="1315"/>
        <w:gridCol w:w="17"/>
        <w:gridCol w:w="6"/>
        <w:gridCol w:w="1524"/>
        <w:gridCol w:w="1677"/>
        <w:gridCol w:w="40"/>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17" w:type="dxa"/>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1338" w:type="dxa"/>
            <w:gridSpan w:val="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47" w:type="dxa"/>
            <w:gridSpan w:val="3"/>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1677" w:type="dxa"/>
            <w:tcBorders>
              <w:right w:val="single" w:color="auto" w:sz="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55" w:type="dxa"/>
            <w:gridSpan w:val="2"/>
            <w:tcBorders>
              <w:left w:val="single" w:color="auto" w:sz="2" w:space="0"/>
              <w:right w:val="single" w:color="auto" w:sz="1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17" w:type="dxa"/>
            <w:vAlign w:val="center"/>
          </w:tcPr>
          <w:p>
            <w:pPr>
              <w:jc w:val="both"/>
              <w:rPr>
                <w:rFonts w:hint="eastAsia" w:ascii="宋体" w:hAnsi="宋体" w:eastAsia="宋体" w:cs="宋体"/>
                <w:color w:val="auto"/>
                <w:sz w:val="24"/>
                <w:szCs w:val="24"/>
                <w:highlight w:val="none"/>
              </w:rPr>
            </w:pPr>
          </w:p>
        </w:tc>
        <w:tc>
          <w:tcPr>
            <w:tcW w:w="1338" w:type="dxa"/>
            <w:gridSpan w:val="2"/>
            <w:vAlign w:val="center"/>
          </w:tcPr>
          <w:p>
            <w:pPr>
              <w:jc w:val="both"/>
              <w:rPr>
                <w:rFonts w:hint="eastAsia" w:ascii="宋体" w:hAnsi="宋体" w:eastAsia="宋体" w:cs="宋体"/>
                <w:color w:val="auto"/>
                <w:sz w:val="24"/>
                <w:szCs w:val="24"/>
                <w:highlight w:val="none"/>
              </w:rPr>
            </w:pPr>
          </w:p>
        </w:tc>
        <w:tc>
          <w:tcPr>
            <w:tcW w:w="1547" w:type="dxa"/>
            <w:gridSpan w:val="3"/>
            <w:vAlign w:val="center"/>
          </w:tcPr>
          <w:p>
            <w:pPr>
              <w:jc w:val="both"/>
              <w:rPr>
                <w:rFonts w:hint="eastAsia" w:ascii="宋体" w:hAnsi="宋体" w:eastAsia="宋体" w:cs="宋体"/>
                <w:color w:val="auto"/>
                <w:sz w:val="24"/>
                <w:szCs w:val="24"/>
                <w:highlight w:val="none"/>
              </w:rPr>
            </w:pPr>
          </w:p>
        </w:tc>
        <w:tc>
          <w:tcPr>
            <w:tcW w:w="1677" w:type="dxa"/>
            <w:tcBorders>
              <w:right w:val="single" w:color="auto" w:sz="2" w:space="0"/>
            </w:tcBorders>
            <w:vAlign w:val="center"/>
          </w:tcPr>
          <w:p>
            <w:pPr>
              <w:jc w:val="both"/>
              <w:rPr>
                <w:rFonts w:hint="eastAsia" w:ascii="宋体" w:hAnsi="宋体" w:eastAsia="宋体" w:cs="宋体"/>
                <w:color w:val="auto"/>
                <w:sz w:val="24"/>
                <w:szCs w:val="24"/>
                <w:highlight w:val="none"/>
              </w:rPr>
            </w:pPr>
          </w:p>
        </w:tc>
        <w:tc>
          <w:tcPr>
            <w:tcW w:w="1055" w:type="dxa"/>
            <w:gridSpan w:val="2"/>
            <w:tcBorders>
              <w:left w:val="single" w:color="auto" w:sz="2" w:space="0"/>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17" w:type="dxa"/>
            <w:vAlign w:val="center"/>
          </w:tcPr>
          <w:p>
            <w:pPr>
              <w:jc w:val="both"/>
              <w:rPr>
                <w:rFonts w:hint="eastAsia" w:ascii="宋体" w:hAnsi="宋体" w:eastAsia="宋体" w:cs="宋体"/>
                <w:color w:val="auto"/>
                <w:sz w:val="24"/>
                <w:szCs w:val="24"/>
                <w:highlight w:val="none"/>
              </w:rPr>
            </w:pPr>
          </w:p>
        </w:tc>
        <w:tc>
          <w:tcPr>
            <w:tcW w:w="1338" w:type="dxa"/>
            <w:gridSpan w:val="2"/>
            <w:vAlign w:val="center"/>
          </w:tcPr>
          <w:p>
            <w:pPr>
              <w:jc w:val="both"/>
              <w:rPr>
                <w:rFonts w:hint="eastAsia" w:ascii="宋体" w:hAnsi="宋体" w:eastAsia="宋体" w:cs="宋体"/>
                <w:color w:val="auto"/>
                <w:sz w:val="24"/>
                <w:szCs w:val="24"/>
                <w:highlight w:val="none"/>
              </w:rPr>
            </w:pPr>
          </w:p>
        </w:tc>
        <w:tc>
          <w:tcPr>
            <w:tcW w:w="1547" w:type="dxa"/>
            <w:gridSpan w:val="3"/>
            <w:vAlign w:val="center"/>
          </w:tcPr>
          <w:p>
            <w:pPr>
              <w:jc w:val="both"/>
              <w:rPr>
                <w:rFonts w:hint="eastAsia" w:ascii="宋体" w:hAnsi="宋体" w:eastAsia="宋体" w:cs="宋体"/>
                <w:color w:val="auto"/>
                <w:sz w:val="24"/>
                <w:szCs w:val="24"/>
                <w:highlight w:val="none"/>
              </w:rPr>
            </w:pPr>
          </w:p>
        </w:tc>
        <w:tc>
          <w:tcPr>
            <w:tcW w:w="1677" w:type="dxa"/>
            <w:tcBorders>
              <w:right w:val="single" w:color="auto" w:sz="2" w:space="0"/>
            </w:tcBorders>
            <w:vAlign w:val="center"/>
          </w:tcPr>
          <w:p>
            <w:pPr>
              <w:jc w:val="both"/>
              <w:rPr>
                <w:rFonts w:hint="eastAsia" w:ascii="宋体" w:hAnsi="宋体" w:eastAsia="宋体" w:cs="宋体"/>
                <w:color w:val="auto"/>
                <w:sz w:val="24"/>
                <w:szCs w:val="24"/>
                <w:highlight w:val="none"/>
              </w:rPr>
            </w:pPr>
          </w:p>
        </w:tc>
        <w:tc>
          <w:tcPr>
            <w:tcW w:w="1055" w:type="dxa"/>
            <w:gridSpan w:val="2"/>
            <w:tcBorders>
              <w:left w:val="single" w:color="auto" w:sz="2" w:space="0"/>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17" w:type="dxa"/>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1355" w:type="dxa"/>
            <w:gridSpan w:val="3"/>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30" w:type="dxa"/>
            <w:gridSpan w:val="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1717" w:type="dxa"/>
            <w:gridSpan w:val="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17" w:type="dxa"/>
            <w:vAlign w:val="center"/>
          </w:tcPr>
          <w:p>
            <w:pPr>
              <w:jc w:val="both"/>
              <w:rPr>
                <w:rFonts w:hint="eastAsia" w:ascii="宋体" w:hAnsi="宋体" w:eastAsia="宋体" w:cs="宋体"/>
                <w:color w:val="auto"/>
                <w:sz w:val="24"/>
                <w:szCs w:val="24"/>
                <w:highlight w:val="none"/>
              </w:rPr>
            </w:pPr>
          </w:p>
        </w:tc>
        <w:tc>
          <w:tcPr>
            <w:tcW w:w="1355" w:type="dxa"/>
            <w:gridSpan w:val="3"/>
            <w:vAlign w:val="center"/>
          </w:tcPr>
          <w:p>
            <w:pPr>
              <w:jc w:val="both"/>
              <w:rPr>
                <w:rFonts w:hint="eastAsia" w:ascii="宋体" w:hAnsi="宋体" w:eastAsia="宋体" w:cs="宋体"/>
                <w:color w:val="auto"/>
                <w:sz w:val="24"/>
                <w:szCs w:val="24"/>
                <w:highlight w:val="none"/>
              </w:rPr>
            </w:pPr>
          </w:p>
        </w:tc>
        <w:tc>
          <w:tcPr>
            <w:tcW w:w="1530" w:type="dxa"/>
            <w:gridSpan w:val="2"/>
            <w:vAlign w:val="center"/>
          </w:tcPr>
          <w:p>
            <w:pPr>
              <w:jc w:val="both"/>
              <w:rPr>
                <w:rFonts w:hint="eastAsia" w:ascii="宋体" w:hAnsi="宋体" w:eastAsia="宋体" w:cs="宋体"/>
                <w:color w:val="auto"/>
                <w:sz w:val="24"/>
                <w:szCs w:val="24"/>
                <w:highlight w:val="none"/>
              </w:rPr>
            </w:pPr>
          </w:p>
        </w:tc>
        <w:tc>
          <w:tcPr>
            <w:tcW w:w="1717" w:type="dxa"/>
            <w:gridSpan w:val="2"/>
            <w:vAlign w:val="center"/>
          </w:tcPr>
          <w:p>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17" w:type="dxa"/>
            <w:vAlign w:val="center"/>
          </w:tcPr>
          <w:p>
            <w:pPr>
              <w:jc w:val="both"/>
              <w:rPr>
                <w:rFonts w:hint="eastAsia" w:ascii="宋体" w:hAnsi="宋体" w:eastAsia="宋体" w:cs="宋体"/>
                <w:color w:val="auto"/>
                <w:sz w:val="24"/>
                <w:szCs w:val="24"/>
                <w:highlight w:val="none"/>
              </w:rPr>
            </w:pPr>
          </w:p>
        </w:tc>
        <w:tc>
          <w:tcPr>
            <w:tcW w:w="1355" w:type="dxa"/>
            <w:gridSpan w:val="3"/>
            <w:vAlign w:val="center"/>
          </w:tcPr>
          <w:p>
            <w:pPr>
              <w:jc w:val="both"/>
              <w:rPr>
                <w:rFonts w:hint="eastAsia" w:ascii="宋体" w:hAnsi="宋体" w:eastAsia="宋体" w:cs="宋体"/>
                <w:color w:val="auto"/>
                <w:sz w:val="24"/>
                <w:szCs w:val="24"/>
                <w:highlight w:val="none"/>
              </w:rPr>
            </w:pPr>
          </w:p>
        </w:tc>
        <w:tc>
          <w:tcPr>
            <w:tcW w:w="1530" w:type="dxa"/>
            <w:gridSpan w:val="2"/>
            <w:vAlign w:val="center"/>
          </w:tcPr>
          <w:p>
            <w:pPr>
              <w:jc w:val="both"/>
              <w:rPr>
                <w:rFonts w:hint="eastAsia" w:ascii="宋体" w:hAnsi="宋体" w:eastAsia="宋体" w:cs="宋体"/>
                <w:color w:val="auto"/>
                <w:sz w:val="24"/>
                <w:szCs w:val="24"/>
                <w:highlight w:val="none"/>
              </w:rPr>
            </w:pPr>
          </w:p>
        </w:tc>
        <w:tc>
          <w:tcPr>
            <w:tcW w:w="1717" w:type="dxa"/>
            <w:gridSpan w:val="2"/>
            <w:vAlign w:val="center"/>
          </w:tcPr>
          <w:p>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17" w:type="dxa"/>
            <w:vAlign w:val="center"/>
          </w:tcPr>
          <w:p>
            <w:pPr>
              <w:jc w:val="both"/>
              <w:rPr>
                <w:rFonts w:hint="eastAsia" w:ascii="宋体" w:hAnsi="宋体" w:eastAsia="宋体" w:cs="宋体"/>
                <w:color w:val="auto"/>
                <w:sz w:val="24"/>
                <w:szCs w:val="24"/>
                <w:highlight w:val="none"/>
              </w:rPr>
            </w:pPr>
          </w:p>
        </w:tc>
        <w:tc>
          <w:tcPr>
            <w:tcW w:w="1355" w:type="dxa"/>
            <w:gridSpan w:val="3"/>
            <w:vAlign w:val="center"/>
          </w:tcPr>
          <w:p>
            <w:pPr>
              <w:jc w:val="both"/>
              <w:rPr>
                <w:rFonts w:hint="eastAsia" w:ascii="宋体" w:hAnsi="宋体" w:eastAsia="宋体" w:cs="宋体"/>
                <w:color w:val="auto"/>
                <w:sz w:val="24"/>
                <w:szCs w:val="24"/>
                <w:highlight w:val="none"/>
              </w:rPr>
            </w:pPr>
          </w:p>
        </w:tc>
        <w:tc>
          <w:tcPr>
            <w:tcW w:w="1530" w:type="dxa"/>
            <w:gridSpan w:val="2"/>
            <w:vAlign w:val="center"/>
          </w:tcPr>
          <w:p>
            <w:pPr>
              <w:jc w:val="both"/>
              <w:rPr>
                <w:rFonts w:hint="eastAsia" w:ascii="宋体" w:hAnsi="宋体" w:eastAsia="宋体" w:cs="宋体"/>
                <w:color w:val="auto"/>
                <w:sz w:val="24"/>
                <w:szCs w:val="24"/>
                <w:highlight w:val="none"/>
              </w:rPr>
            </w:pPr>
          </w:p>
        </w:tc>
        <w:tc>
          <w:tcPr>
            <w:tcW w:w="1717" w:type="dxa"/>
            <w:gridSpan w:val="2"/>
            <w:vAlign w:val="center"/>
          </w:tcPr>
          <w:p>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技术人员/服务人员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40" w:type="dxa"/>
            <w:gridSpan w:val="2"/>
            <w:tcBorders>
              <w:right w:val="single" w:color="auto" w:sz="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338" w:type="dxa"/>
            <w:gridSpan w:val="3"/>
            <w:tcBorders>
              <w:left w:val="single" w:color="auto" w:sz="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24" w:type="dxa"/>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1717" w:type="dxa"/>
            <w:gridSpan w:val="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pPr>
              <w:jc w:val="both"/>
              <w:rPr>
                <w:rFonts w:hint="eastAsia" w:ascii="宋体" w:hAnsi="宋体" w:eastAsia="宋体" w:cs="宋体"/>
                <w:color w:val="auto"/>
                <w:sz w:val="24"/>
                <w:szCs w:val="24"/>
                <w:highlight w:val="none"/>
              </w:rPr>
            </w:pPr>
          </w:p>
        </w:tc>
        <w:tc>
          <w:tcPr>
            <w:tcW w:w="1524" w:type="dxa"/>
            <w:vAlign w:val="center"/>
          </w:tcPr>
          <w:p>
            <w:pPr>
              <w:jc w:val="both"/>
              <w:rPr>
                <w:rFonts w:hint="eastAsia" w:ascii="宋体" w:hAnsi="宋体" w:eastAsia="宋体" w:cs="宋体"/>
                <w:color w:val="auto"/>
                <w:sz w:val="24"/>
                <w:szCs w:val="24"/>
                <w:highlight w:val="none"/>
              </w:rPr>
            </w:pPr>
          </w:p>
        </w:tc>
        <w:tc>
          <w:tcPr>
            <w:tcW w:w="1717" w:type="dxa"/>
            <w:gridSpan w:val="2"/>
            <w:vAlign w:val="center"/>
          </w:tcPr>
          <w:p>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pPr>
              <w:jc w:val="both"/>
              <w:rPr>
                <w:rFonts w:hint="eastAsia" w:ascii="宋体" w:hAnsi="宋体" w:eastAsia="宋体" w:cs="宋体"/>
                <w:color w:val="auto"/>
                <w:sz w:val="24"/>
                <w:szCs w:val="24"/>
                <w:highlight w:val="none"/>
              </w:rPr>
            </w:pPr>
          </w:p>
        </w:tc>
        <w:tc>
          <w:tcPr>
            <w:tcW w:w="1524" w:type="dxa"/>
            <w:vAlign w:val="center"/>
          </w:tcPr>
          <w:p>
            <w:pPr>
              <w:jc w:val="both"/>
              <w:rPr>
                <w:rFonts w:hint="eastAsia" w:ascii="宋体" w:hAnsi="宋体" w:eastAsia="宋体" w:cs="宋体"/>
                <w:color w:val="auto"/>
                <w:sz w:val="24"/>
                <w:szCs w:val="24"/>
                <w:highlight w:val="none"/>
              </w:rPr>
            </w:pPr>
          </w:p>
        </w:tc>
        <w:tc>
          <w:tcPr>
            <w:tcW w:w="1717" w:type="dxa"/>
            <w:gridSpan w:val="2"/>
            <w:vAlign w:val="center"/>
          </w:tcPr>
          <w:p>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40" w:type="dxa"/>
            <w:gridSpan w:val="2"/>
            <w:tcBorders>
              <w:right w:val="single" w:color="auto" w:sz="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338" w:type="dxa"/>
            <w:gridSpan w:val="3"/>
            <w:tcBorders>
              <w:left w:val="single" w:color="auto" w:sz="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24" w:type="dxa"/>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1717" w:type="dxa"/>
            <w:gridSpan w:val="2"/>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pPr>
              <w:jc w:val="both"/>
              <w:rPr>
                <w:rFonts w:hint="eastAsia" w:ascii="宋体" w:hAnsi="宋体" w:eastAsia="宋体" w:cs="宋体"/>
                <w:color w:val="auto"/>
                <w:sz w:val="24"/>
                <w:szCs w:val="24"/>
                <w:highlight w:val="none"/>
              </w:rPr>
            </w:pPr>
          </w:p>
        </w:tc>
        <w:tc>
          <w:tcPr>
            <w:tcW w:w="1524" w:type="dxa"/>
            <w:vAlign w:val="center"/>
          </w:tcPr>
          <w:p>
            <w:pPr>
              <w:jc w:val="both"/>
              <w:rPr>
                <w:rFonts w:hint="eastAsia" w:ascii="宋体" w:hAnsi="宋体" w:eastAsia="宋体" w:cs="宋体"/>
                <w:color w:val="auto"/>
                <w:sz w:val="24"/>
                <w:szCs w:val="24"/>
                <w:highlight w:val="none"/>
              </w:rPr>
            </w:pPr>
          </w:p>
        </w:tc>
        <w:tc>
          <w:tcPr>
            <w:tcW w:w="1717" w:type="dxa"/>
            <w:gridSpan w:val="2"/>
            <w:vAlign w:val="center"/>
          </w:tcPr>
          <w:p>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pPr>
              <w:jc w:val="both"/>
              <w:rPr>
                <w:rFonts w:hint="eastAsia" w:ascii="宋体" w:hAnsi="宋体" w:eastAsia="宋体" w:cs="宋体"/>
                <w:color w:val="auto"/>
                <w:sz w:val="24"/>
                <w:szCs w:val="24"/>
                <w:highlight w:val="none"/>
              </w:rPr>
            </w:pPr>
          </w:p>
        </w:tc>
        <w:tc>
          <w:tcPr>
            <w:tcW w:w="1524" w:type="dxa"/>
            <w:vAlign w:val="center"/>
          </w:tcPr>
          <w:p>
            <w:pPr>
              <w:jc w:val="both"/>
              <w:rPr>
                <w:rFonts w:hint="eastAsia" w:ascii="宋体" w:hAnsi="宋体" w:eastAsia="宋体" w:cs="宋体"/>
                <w:color w:val="auto"/>
                <w:sz w:val="24"/>
                <w:szCs w:val="24"/>
                <w:highlight w:val="none"/>
              </w:rPr>
            </w:pPr>
          </w:p>
        </w:tc>
        <w:tc>
          <w:tcPr>
            <w:tcW w:w="1717" w:type="dxa"/>
            <w:gridSpan w:val="2"/>
            <w:vAlign w:val="center"/>
          </w:tcPr>
          <w:p>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pPr>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12" w:space="0"/>
              <w:right w:val="single" w:color="auto" w:sz="6"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772" w:type="dxa"/>
            <w:gridSpan w:val="10"/>
            <w:tcBorders>
              <w:left w:val="single" w:color="auto" w:sz="6" w:space="0"/>
              <w:bottom w:val="single" w:color="auto" w:sz="12" w:space="0"/>
              <w:right w:val="single" w:color="auto" w:sz="12" w:space="0"/>
            </w:tcBorders>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1．表格行数不足时请自行扩展。</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2．表中所列“项目负责人、管理人员、技术人员/服务人员、辅助人员”仅为示例，供应商可根据招标文件要求自行安排人员类别。</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3．招标文件对人员“资格\学历\职称”提出要求的，应在本表下方附相应的“资格证\学历证\职称证”等证明文件。</w:t>
            </w:r>
          </w:p>
        </w:tc>
      </w:tr>
    </w:tbl>
    <w:p>
      <w:pPr>
        <w:spacing w:line="560" w:lineRule="exact"/>
        <w:ind w:firstLine="2762" w:firstLineChars="11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2．拟投入项目的专业设备情况表</w:t>
      </w:r>
    </w:p>
    <w:tbl>
      <w:tblPr>
        <w:tblStyle w:val="99"/>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52"/>
        <w:gridCol w:w="1361"/>
        <w:gridCol w:w="1474"/>
        <w:gridCol w:w="851"/>
        <w:gridCol w:w="1559"/>
        <w:gridCol w:w="1418"/>
        <w:gridCol w:w="165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1361"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设备名称</w:t>
            </w:r>
          </w:p>
        </w:tc>
        <w:tc>
          <w:tcPr>
            <w:tcW w:w="1474"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计量单位</w:t>
            </w:r>
          </w:p>
        </w:tc>
        <w:tc>
          <w:tcPr>
            <w:tcW w:w="851"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数量</w:t>
            </w:r>
          </w:p>
        </w:tc>
        <w:tc>
          <w:tcPr>
            <w:tcW w:w="1559"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生产企业</w:t>
            </w:r>
          </w:p>
        </w:tc>
        <w:tc>
          <w:tcPr>
            <w:tcW w:w="1418"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使用年限</w:t>
            </w:r>
          </w:p>
        </w:tc>
        <w:tc>
          <w:tcPr>
            <w:tcW w:w="1653" w:type="dxa"/>
            <w:tcBorders>
              <w:top w:val="single" w:color="auto" w:sz="12" w:space="0"/>
              <w:bottom w:val="single" w:color="auto" w:sz="2" w:space="0"/>
            </w:tcBorders>
            <w:shd w:val="clear" w:color="auto" w:fill="F1F1F1" w:themeFill="background1" w:themeFillShade="F2"/>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自购/外协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2" w:space="0"/>
            </w:tcBorders>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361" w:type="dxa"/>
            <w:tcBorders>
              <w:top w:val="single" w:color="auto" w:sz="2" w:space="0"/>
            </w:tcBorders>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74" w:type="dxa"/>
            <w:tcBorders>
              <w:top w:val="single" w:color="auto" w:sz="2" w:space="0"/>
            </w:tcBorders>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851" w:type="dxa"/>
            <w:tcBorders>
              <w:top w:val="single" w:color="auto" w:sz="2" w:space="0"/>
            </w:tcBorders>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559" w:type="dxa"/>
            <w:tcBorders>
              <w:top w:val="single" w:color="auto" w:sz="2" w:space="0"/>
            </w:tcBorders>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18" w:type="dxa"/>
            <w:tcBorders>
              <w:top w:val="single" w:color="auto" w:sz="2" w:space="0"/>
            </w:tcBorders>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653" w:type="dxa"/>
            <w:tcBorders>
              <w:top w:val="single" w:color="auto" w:sz="2" w:space="0"/>
            </w:tcBorders>
            <w:shd w:val="clear" w:color="auto" w:fill="auto"/>
            <w:vAlign w:val="center"/>
          </w:tcPr>
          <w:p>
            <w:pPr>
              <w:ind w:firstLine="0"/>
              <w:jc w:val="both"/>
              <w:rPr>
                <w:rFonts w:hint="eastAsia" w:ascii="宋体" w:hAnsi="宋体" w:eastAsia="宋体" w:cs="宋体"/>
                <w:color w:val="auto"/>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pPr>
              <w:ind w:firstLine="0"/>
              <w:jc w:val="both"/>
              <w:rPr>
                <w:rFonts w:hint="eastAsia" w:ascii="宋体" w:hAnsi="宋体" w:eastAsia="宋体" w:cs="宋体"/>
                <w:color w:val="auto"/>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pPr>
              <w:ind w:firstLine="0"/>
              <w:jc w:val="both"/>
              <w:rPr>
                <w:rFonts w:hint="eastAsia" w:ascii="宋体" w:hAnsi="宋体" w:eastAsia="宋体" w:cs="宋体"/>
                <w:color w:val="auto"/>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pPr>
              <w:ind w:firstLine="0"/>
              <w:jc w:val="both"/>
              <w:rPr>
                <w:rFonts w:hint="eastAsia" w:ascii="宋体" w:hAnsi="宋体" w:eastAsia="宋体" w:cs="宋体"/>
                <w:color w:val="auto"/>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pPr>
              <w:ind w:firstLine="0"/>
              <w:jc w:val="both"/>
              <w:rPr>
                <w:rFonts w:hint="eastAsia" w:ascii="宋体" w:hAnsi="宋体" w:eastAsia="宋体" w:cs="宋体"/>
                <w:color w:val="auto"/>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pPr>
              <w:ind w:firstLine="0"/>
              <w:jc w:val="both"/>
              <w:rPr>
                <w:rFonts w:hint="eastAsia" w:ascii="宋体" w:hAnsi="宋体" w:eastAsia="宋体" w:cs="宋体"/>
                <w:color w:val="auto"/>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pPr>
              <w:ind w:firstLine="0"/>
              <w:jc w:val="both"/>
              <w:rPr>
                <w:rFonts w:hint="eastAsia" w:ascii="宋体" w:hAnsi="宋体" w:eastAsia="宋体" w:cs="宋体"/>
                <w:color w:val="auto"/>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pPr>
              <w:ind w:firstLine="0"/>
              <w:jc w:val="both"/>
              <w:rPr>
                <w:rFonts w:hint="eastAsia" w:ascii="宋体" w:hAnsi="宋体" w:eastAsia="宋体" w:cs="宋体"/>
                <w:color w:val="auto"/>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c>
          <w:tcPr>
            <w:tcW w:w="8316" w:type="dxa"/>
            <w:gridSpan w:val="6"/>
            <w:shd w:val="clear" w:color="auto" w:fill="auto"/>
            <w:vAlign w:val="center"/>
          </w:tcPr>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1．表格行数不足时请自行扩展。</w:t>
            </w:r>
          </w:p>
          <w:p>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2．设备可以填写单台设备，也可以填写成套设备。</w:t>
            </w:r>
          </w:p>
        </w:tc>
      </w:tr>
    </w:tbl>
    <w:p>
      <w:pPr>
        <w:spacing w:line="560" w:lineRule="exact"/>
        <w:ind w:firstLine="2762" w:firstLineChars="11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480" w:firstLineChars="200"/>
        <w:jc w:val="both"/>
        <w:rPr>
          <w:rFonts w:hint="eastAsia" w:ascii="宋体" w:hAnsi="宋体" w:eastAsia="宋体" w:cs="宋体"/>
          <w:color w:val="auto"/>
          <w:sz w:val="24"/>
          <w:szCs w:val="24"/>
          <w:highlight w:val="none"/>
        </w:rPr>
      </w:pPr>
    </w:p>
    <w:p>
      <w:pPr>
        <w:spacing w:line="560" w:lineRule="exact"/>
        <w:ind w:firstLine="480" w:firstLineChars="200"/>
        <w:jc w:val="both"/>
        <w:rPr>
          <w:rFonts w:hint="eastAsia" w:ascii="宋体" w:hAnsi="宋体" w:eastAsia="宋体" w:cs="宋体"/>
          <w:color w:val="auto"/>
          <w:sz w:val="24"/>
          <w:szCs w:val="24"/>
          <w:highlight w:val="none"/>
        </w:rPr>
        <w:sectPr>
          <w:pgSz w:w="11906" w:h="16838"/>
          <w:pgMar w:top="1417" w:right="1417" w:bottom="1417" w:left="1417" w:header="851" w:footer="992" w:gutter="0"/>
          <w:pgNumType w:fmt="decimal"/>
          <w:cols w:space="0" w:num="1"/>
          <w:rtlGutter w:val="0"/>
          <w:docGrid w:type="linesAndChars" w:linePitch="420" w:charSpace="0"/>
        </w:sectPr>
      </w:pPr>
    </w:p>
    <w:p>
      <w:pPr>
        <w:numPr>
          <w:ilvl w:val="0"/>
          <w:numId w:val="7"/>
        </w:num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tbl>
      <w:tblPr>
        <w:tblStyle w:val="3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合同金额（万元）</w:t>
            </w: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签订</w:t>
            </w:r>
            <w:r>
              <w:rPr>
                <w:rFonts w:hint="eastAsia" w:ascii="宋体" w:hAnsi="宋体" w:eastAsia="宋体" w:cs="宋体"/>
                <w:color w:val="auto"/>
                <w:sz w:val="24"/>
                <w:szCs w:val="24"/>
                <w:highlight w:val="none"/>
              </w:rPr>
              <w:t>日期</w:t>
            </w:r>
          </w:p>
        </w:tc>
        <w:tc>
          <w:tcPr>
            <w:tcW w:w="2700"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业主名称、联系人及电话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pPr>
              <w:shd w:val="clear" w:color="auto" w:fill="auto"/>
              <w:jc w:val="center"/>
              <w:rPr>
                <w:rFonts w:hint="eastAsia" w:ascii="宋体" w:hAnsi="宋体" w:eastAsia="宋体" w:cs="宋体"/>
                <w:color w:val="auto"/>
                <w:sz w:val="24"/>
                <w:szCs w:val="24"/>
                <w:highlight w:val="none"/>
              </w:rPr>
            </w:pPr>
          </w:p>
        </w:tc>
      </w:tr>
    </w:tbl>
    <w:p>
      <w:pPr>
        <w:pStyle w:val="16"/>
        <w:numPr>
          <w:ilvl w:val="0"/>
          <w:numId w:val="0"/>
        </w:numPr>
        <w:rPr>
          <w:rFonts w:hint="eastAsia"/>
          <w:color w:val="auto"/>
          <w:highlight w:val="none"/>
        </w:rPr>
      </w:pPr>
    </w:p>
    <w:p>
      <w:pPr>
        <w:spacing w:line="560" w:lineRule="exact"/>
        <w:jc w:val="both"/>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4.其他（根据招标文件要求自行补充）</w:t>
      </w:r>
    </w:p>
    <w:p>
      <w:pPr>
        <w:rPr>
          <w:rFonts w:hint="eastAsia" w:ascii="宋体" w:hAnsi="宋体" w:eastAsia="宋体" w:cs="宋体"/>
          <w:color w:val="auto"/>
          <w:sz w:val="24"/>
          <w:szCs w:val="24"/>
          <w:highlight w:val="none"/>
          <w:lang w:eastAsia="zh-CN"/>
        </w:rPr>
      </w:pPr>
    </w:p>
    <w:bookmarkEnd w:id="52"/>
    <w:sectPr>
      <w:pgSz w:w="11906" w:h="16838"/>
      <w:pgMar w:top="1417" w:right="1417" w:bottom="1417" w:left="1417" w:header="851" w:footer="992" w:gutter="0"/>
      <w:pgNumType w:fmt="decimal"/>
      <w:cols w:space="0" w:num="1"/>
      <w:rtlGutter w:val="0"/>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1EA9D"/>
    <w:multiLevelType w:val="singleLevel"/>
    <w:tmpl w:val="9271EA9D"/>
    <w:lvl w:ilvl="0" w:tentative="0">
      <w:start w:val="1"/>
      <w:numFmt w:val="decimal"/>
      <w:lvlText w:val="%1."/>
      <w:lvlJc w:val="left"/>
      <w:pPr>
        <w:tabs>
          <w:tab w:val="left" w:pos="312"/>
        </w:tabs>
      </w:pPr>
    </w:lvl>
  </w:abstractNum>
  <w:abstractNum w:abstractNumId="1">
    <w:nsid w:val="B613B4A8"/>
    <w:multiLevelType w:val="singleLevel"/>
    <w:tmpl w:val="B613B4A8"/>
    <w:lvl w:ilvl="0" w:tentative="0">
      <w:start w:val="3"/>
      <w:numFmt w:val="chineseCounting"/>
      <w:suff w:val="space"/>
      <w:lvlText w:val="第%1条"/>
      <w:lvlJc w:val="left"/>
      <w:rPr>
        <w:rFonts w:hint="eastAsia"/>
      </w:rPr>
    </w:lvl>
  </w:abstractNum>
  <w:abstractNum w:abstractNumId="2">
    <w:nsid w:val="C0982B93"/>
    <w:multiLevelType w:val="singleLevel"/>
    <w:tmpl w:val="C0982B93"/>
    <w:lvl w:ilvl="0" w:tentative="0">
      <w:start w:val="3"/>
      <w:numFmt w:val="decimal"/>
      <w:suff w:val="nothing"/>
      <w:lvlText w:val="%1．"/>
      <w:lvlJc w:val="left"/>
    </w:lvl>
  </w:abstractNum>
  <w:abstractNum w:abstractNumId="3">
    <w:nsid w:val="C149F0BD"/>
    <w:multiLevelType w:val="singleLevel"/>
    <w:tmpl w:val="C149F0BD"/>
    <w:lvl w:ilvl="0" w:tentative="0">
      <w:start w:val="1"/>
      <w:numFmt w:val="chineseCounting"/>
      <w:suff w:val="nothing"/>
      <w:lvlText w:val="%1、"/>
      <w:lvlJc w:val="left"/>
      <w:rPr>
        <w:rFonts w:hint="eastAsia"/>
      </w:rPr>
    </w:lvl>
  </w:abstractNum>
  <w:abstractNum w:abstractNumId="4">
    <w:nsid w:val="F60E713B"/>
    <w:multiLevelType w:val="singleLevel"/>
    <w:tmpl w:val="F60E713B"/>
    <w:lvl w:ilvl="0" w:tentative="0">
      <w:start w:val="1"/>
      <w:numFmt w:val="decimal"/>
      <w:lvlText w:val="%1."/>
      <w:lvlJc w:val="left"/>
      <w:pPr>
        <w:tabs>
          <w:tab w:val="left" w:pos="312"/>
        </w:tabs>
      </w:pPr>
    </w:lvl>
  </w:abstractNum>
  <w:abstractNum w:abstractNumId="5">
    <w:nsid w:val="30A0B1BB"/>
    <w:multiLevelType w:val="singleLevel"/>
    <w:tmpl w:val="30A0B1BB"/>
    <w:lvl w:ilvl="0" w:tentative="0">
      <w:start w:val="1"/>
      <w:numFmt w:val="chineseCounting"/>
      <w:suff w:val="nothing"/>
      <w:lvlText w:val="（%1）"/>
      <w:lvlJc w:val="left"/>
      <w:rPr>
        <w:rFonts w:hint="eastAsia"/>
      </w:rPr>
    </w:lvl>
  </w:abstractNum>
  <w:abstractNum w:abstractNumId="6">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6"/>
  </w:num>
  <w:num w:numId="2">
    <w:abstractNumId w:val="4"/>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bordersDoNotSurroundHeader w:val="0"/>
  <w:bordersDoNotSurroundFooter w:val="0"/>
  <w:documentProtection w:enforcement="0"/>
  <w:defaultTabStop w:val="42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5ZmUxYTc5ZjVhNjc2ZjlmNjIwZDE5NzZjZGZkMmMifQ=="/>
    <w:docVar w:name="KSO_WPS_MARK_KEY" w:val="1d35b186-c938-4f77-bbc3-d996cb564b7d"/>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081"/>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541EA9"/>
    <w:rsid w:val="015A2E5C"/>
    <w:rsid w:val="017B1CD3"/>
    <w:rsid w:val="019C18AE"/>
    <w:rsid w:val="01A06D45"/>
    <w:rsid w:val="01A808A2"/>
    <w:rsid w:val="01BC0965"/>
    <w:rsid w:val="01D628BE"/>
    <w:rsid w:val="01DB1C83"/>
    <w:rsid w:val="01F42D45"/>
    <w:rsid w:val="01FB2325"/>
    <w:rsid w:val="01FD3B42"/>
    <w:rsid w:val="02094A42"/>
    <w:rsid w:val="02123011"/>
    <w:rsid w:val="0237037C"/>
    <w:rsid w:val="024912E2"/>
    <w:rsid w:val="02D05560"/>
    <w:rsid w:val="036068E4"/>
    <w:rsid w:val="03C62752"/>
    <w:rsid w:val="03D31A9F"/>
    <w:rsid w:val="03E70DB3"/>
    <w:rsid w:val="0414147C"/>
    <w:rsid w:val="04161DF0"/>
    <w:rsid w:val="04A56D9C"/>
    <w:rsid w:val="04DA10AE"/>
    <w:rsid w:val="050D2A9B"/>
    <w:rsid w:val="05104339"/>
    <w:rsid w:val="05441904"/>
    <w:rsid w:val="05481BC6"/>
    <w:rsid w:val="05876466"/>
    <w:rsid w:val="05DD246D"/>
    <w:rsid w:val="05F257ED"/>
    <w:rsid w:val="05F4071B"/>
    <w:rsid w:val="05F477B7"/>
    <w:rsid w:val="062F73CE"/>
    <w:rsid w:val="063302DF"/>
    <w:rsid w:val="0644143E"/>
    <w:rsid w:val="06757435"/>
    <w:rsid w:val="07034156"/>
    <w:rsid w:val="07481326"/>
    <w:rsid w:val="07591FC7"/>
    <w:rsid w:val="076A3DAC"/>
    <w:rsid w:val="077A53ED"/>
    <w:rsid w:val="07C46CC8"/>
    <w:rsid w:val="08017F69"/>
    <w:rsid w:val="08290A63"/>
    <w:rsid w:val="083F2160"/>
    <w:rsid w:val="08A94889"/>
    <w:rsid w:val="08C90A87"/>
    <w:rsid w:val="09060634"/>
    <w:rsid w:val="090B5543"/>
    <w:rsid w:val="098350DA"/>
    <w:rsid w:val="09AD2F76"/>
    <w:rsid w:val="09F236D2"/>
    <w:rsid w:val="0A124240"/>
    <w:rsid w:val="0A9E2F0D"/>
    <w:rsid w:val="0AA60659"/>
    <w:rsid w:val="0AAF173C"/>
    <w:rsid w:val="0AB94485"/>
    <w:rsid w:val="0ADA51CD"/>
    <w:rsid w:val="0AF12517"/>
    <w:rsid w:val="0B727B6E"/>
    <w:rsid w:val="0B980BE5"/>
    <w:rsid w:val="0BAC6F41"/>
    <w:rsid w:val="0BB55C09"/>
    <w:rsid w:val="0C77413A"/>
    <w:rsid w:val="0C7E427E"/>
    <w:rsid w:val="0CCC6AD4"/>
    <w:rsid w:val="0CEB1902"/>
    <w:rsid w:val="0DE16873"/>
    <w:rsid w:val="0E6F00B3"/>
    <w:rsid w:val="0E6F0323"/>
    <w:rsid w:val="0E7262FB"/>
    <w:rsid w:val="0EC341CA"/>
    <w:rsid w:val="0EE06E4A"/>
    <w:rsid w:val="0EE7435D"/>
    <w:rsid w:val="0F0A106F"/>
    <w:rsid w:val="0F87595A"/>
    <w:rsid w:val="0F8B38DC"/>
    <w:rsid w:val="0FA1275E"/>
    <w:rsid w:val="10593038"/>
    <w:rsid w:val="107246F7"/>
    <w:rsid w:val="107D65A4"/>
    <w:rsid w:val="11357601"/>
    <w:rsid w:val="119E273B"/>
    <w:rsid w:val="11A2456B"/>
    <w:rsid w:val="11B5429E"/>
    <w:rsid w:val="11BD13A5"/>
    <w:rsid w:val="11F528ED"/>
    <w:rsid w:val="121E7D94"/>
    <w:rsid w:val="12353631"/>
    <w:rsid w:val="124C1C03"/>
    <w:rsid w:val="12902616"/>
    <w:rsid w:val="12A85DF8"/>
    <w:rsid w:val="12FB3F33"/>
    <w:rsid w:val="13257202"/>
    <w:rsid w:val="134E6759"/>
    <w:rsid w:val="13855EF2"/>
    <w:rsid w:val="13C403B4"/>
    <w:rsid w:val="13CA6FAF"/>
    <w:rsid w:val="143B1BCB"/>
    <w:rsid w:val="145A2EDB"/>
    <w:rsid w:val="14861F22"/>
    <w:rsid w:val="14C52A4A"/>
    <w:rsid w:val="14FF7C88"/>
    <w:rsid w:val="154F67B8"/>
    <w:rsid w:val="156048F0"/>
    <w:rsid w:val="15A9411A"/>
    <w:rsid w:val="15E52C78"/>
    <w:rsid w:val="15F54CEA"/>
    <w:rsid w:val="161812A0"/>
    <w:rsid w:val="163273DD"/>
    <w:rsid w:val="163D0D06"/>
    <w:rsid w:val="164E6A70"/>
    <w:rsid w:val="16705666"/>
    <w:rsid w:val="169D711A"/>
    <w:rsid w:val="16BD09C8"/>
    <w:rsid w:val="16DA6555"/>
    <w:rsid w:val="17207642"/>
    <w:rsid w:val="17375756"/>
    <w:rsid w:val="17583C78"/>
    <w:rsid w:val="17D64F6F"/>
    <w:rsid w:val="17E23913"/>
    <w:rsid w:val="18323278"/>
    <w:rsid w:val="184D1557"/>
    <w:rsid w:val="18931BF3"/>
    <w:rsid w:val="18F110C7"/>
    <w:rsid w:val="190F4302"/>
    <w:rsid w:val="19540841"/>
    <w:rsid w:val="19792055"/>
    <w:rsid w:val="197A73AC"/>
    <w:rsid w:val="19B242C6"/>
    <w:rsid w:val="19B52C63"/>
    <w:rsid w:val="19C05321"/>
    <w:rsid w:val="19E27B58"/>
    <w:rsid w:val="1A082D25"/>
    <w:rsid w:val="1A283094"/>
    <w:rsid w:val="1A3D12D5"/>
    <w:rsid w:val="1A5B175B"/>
    <w:rsid w:val="1A7412D9"/>
    <w:rsid w:val="1A9E5B80"/>
    <w:rsid w:val="1AF776D6"/>
    <w:rsid w:val="1B0C2B68"/>
    <w:rsid w:val="1B291859"/>
    <w:rsid w:val="1B830F69"/>
    <w:rsid w:val="1BD4719D"/>
    <w:rsid w:val="1C512800"/>
    <w:rsid w:val="1C650076"/>
    <w:rsid w:val="1C92095A"/>
    <w:rsid w:val="1CEF00ED"/>
    <w:rsid w:val="1D640CB3"/>
    <w:rsid w:val="1D933986"/>
    <w:rsid w:val="1D9A062E"/>
    <w:rsid w:val="1DDB3284"/>
    <w:rsid w:val="1E083917"/>
    <w:rsid w:val="1E4C5FEA"/>
    <w:rsid w:val="1E6F1C79"/>
    <w:rsid w:val="1E8334FC"/>
    <w:rsid w:val="1EFB350D"/>
    <w:rsid w:val="1FA140B4"/>
    <w:rsid w:val="1FFB2073"/>
    <w:rsid w:val="203D23C0"/>
    <w:rsid w:val="205611AE"/>
    <w:rsid w:val="205848BD"/>
    <w:rsid w:val="20713A86"/>
    <w:rsid w:val="20B336F3"/>
    <w:rsid w:val="21052421"/>
    <w:rsid w:val="21323446"/>
    <w:rsid w:val="216E1D66"/>
    <w:rsid w:val="21B856E5"/>
    <w:rsid w:val="21FF4B22"/>
    <w:rsid w:val="2217240B"/>
    <w:rsid w:val="22316C03"/>
    <w:rsid w:val="22590C76"/>
    <w:rsid w:val="22BA4C63"/>
    <w:rsid w:val="2331574F"/>
    <w:rsid w:val="23577C39"/>
    <w:rsid w:val="23B24AE2"/>
    <w:rsid w:val="23F9157E"/>
    <w:rsid w:val="241A75B5"/>
    <w:rsid w:val="243A6885"/>
    <w:rsid w:val="245B0CD5"/>
    <w:rsid w:val="24783D79"/>
    <w:rsid w:val="24B46637"/>
    <w:rsid w:val="24EE53EA"/>
    <w:rsid w:val="253D662D"/>
    <w:rsid w:val="254259F1"/>
    <w:rsid w:val="25703F94"/>
    <w:rsid w:val="25C1582D"/>
    <w:rsid w:val="25CB2FB1"/>
    <w:rsid w:val="25D80104"/>
    <w:rsid w:val="25DE493B"/>
    <w:rsid w:val="261F3F85"/>
    <w:rsid w:val="2631659E"/>
    <w:rsid w:val="26572D4C"/>
    <w:rsid w:val="26B84614"/>
    <w:rsid w:val="26C33BAE"/>
    <w:rsid w:val="26C77E9D"/>
    <w:rsid w:val="26E47A85"/>
    <w:rsid w:val="27E43A5D"/>
    <w:rsid w:val="27FF5E1C"/>
    <w:rsid w:val="28100029"/>
    <w:rsid w:val="28175CDC"/>
    <w:rsid w:val="281B2CA3"/>
    <w:rsid w:val="282431E4"/>
    <w:rsid w:val="282671F4"/>
    <w:rsid w:val="28363F82"/>
    <w:rsid w:val="28447CD2"/>
    <w:rsid w:val="285C501C"/>
    <w:rsid w:val="288F53F1"/>
    <w:rsid w:val="28CE60E1"/>
    <w:rsid w:val="28D70B46"/>
    <w:rsid w:val="28F545CF"/>
    <w:rsid w:val="29254783"/>
    <w:rsid w:val="29393012"/>
    <w:rsid w:val="294A1318"/>
    <w:rsid w:val="29656152"/>
    <w:rsid w:val="2987431B"/>
    <w:rsid w:val="29A22F02"/>
    <w:rsid w:val="29A547A1"/>
    <w:rsid w:val="29A6163C"/>
    <w:rsid w:val="29C50F13"/>
    <w:rsid w:val="2AA56209"/>
    <w:rsid w:val="2AE45217"/>
    <w:rsid w:val="2B476EFC"/>
    <w:rsid w:val="2BC21BA1"/>
    <w:rsid w:val="2BFC5E23"/>
    <w:rsid w:val="2C5544DD"/>
    <w:rsid w:val="2CAD4098"/>
    <w:rsid w:val="2CBF201D"/>
    <w:rsid w:val="2CEF608D"/>
    <w:rsid w:val="2D051035"/>
    <w:rsid w:val="2D2704DD"/>
    <w:rsid w:val="2D297497"/>
    <w:rsid w:val="2D363880"/>
    <w:rsid w:val="2DAA685F"/>
    <w:rsid w:val="2DE4050D"/>
    <w:rsid w:val="2E23750C"/>
    <w:rsid w:val="2E4B530E"/>
    <w:rsid w:val="2E875C48"/>
    <w:rsid w:val="2EA96AE1"/>
    <w:rsid w:val="2EBA484A"/>
    <w:rsid w:val="2EC87412"/>
    <w:rsid w:val="2EC92CDF"/>
    <w:rsid w:val="2F033A14"/>
    <w:rsid w:val="2F0E7D4A"/>
    <w:rsid w:val="2F1A178D"/>
    <w:rsid w:val="2F476681"/>
    <w:rsid w:val="2FC1439F"/>
    <w:rsid w:val="301F1127"/>
    <w:rsid w:val="303A21AF"/>
    <w:rsid w:val="3056529F"/>
    <w:rsid w:val="305F1B4D"/>
    <w:rsid w:val="305F38FB"/>
    <w:rsid w:val="307373A7"/>
    <w:rsid w:val="308570DA"/>
    <w:rsid w:val="30A752A2"/>
    <w:rsid w:val="30B579BF"/>
    <w:rsid w:val="30C95219"/>
    <w:rsid w:val="30EA7003"/>
    <w:rsid w:val="31037B5E"/>
    <w:rsid w:val="31275097"/>
    <w:rsid w:val="313E1763"/>
    <w:rsid w:val="31542076"/>
    <w:rsid w:val="3181001F"/>
    <w:rsid w:val="318D2CC1"/>
    <w:rsid w:val="31945827"/>
    <w:rsid w:val="319E0B3E"/>
    <w:rsid w:val="31DE6AA2"/>
    <w:rsid w:val="31F16B58"/>
    <w:rsid w:val="32456B21"/>
    <w:rsid w:val="329B2BE5"/>
    <w:rsid w:val="32EE32AA"/>
    <w:rsid w:val="3311227C"/>
    <w:rsid w:val="3324727F"/>
    <w:rsid w:val="3330157F"/>
    <w:rsid w:val="33631954"/>
    <w:rsid w:val="33D04B10"/>
    <w:rsid w:val="33D53E1A"/>
    <w:rsid w:val="33EA5BD2"/>
    <w:rsid w:val="34272982"/>
    <w:rsid w:val="343C3F54"/>
    <w:rsid w:val="345F6F7C"/>
    <w:rsid w:val="346534AA"/>
    <w:rsid w:val="34AC1F61"/>
    <w:rsid w:val="34BC6C5E"/>
    <w:rsid w:val="34BD5094"/>
    <w:rsid w:val="34C401D1"/>
    <w:rsid w:val="34D16F73"/>
    <w:rsid w:val="34F933FA"/>
    <w:rsid w:val="35445851"/>
    <w:rsid w:val="3546366F"/>
    <w:rsid w:val="356279A7"/>
    <w:rsid w:val="35660394"/>
    <w:rsid w:val="35FC7E3E"/>
    <w:rsid w:val="360A60B7"/>
    <w:rsid w:val="36195A51"/>
    <w:rsid w:val="36323189"/>
    <w:rsid w:val="363D4DD1"/>
    <w:rsid w:val="36413BC1"/>
    <w:rsid w:val="36BA1781"/>
    <w:rsid w:val="36FA5D6F"/>
    <w:rsid w:val="37D422E3"/>
    <w:rsid w:val="37DC5518"/>
    <w:rsid w:val="38327B47"/>
    <w:rsid w:val="383E4233"/>
    <w:rsid w:val="386326B5"/>
    <w:rsid w:val="38AB5E59"/>
    <w:rsid w:val="38DC3F10"/>
    <w:rsid w:val="38E86458"/>
    <w:rsid w:val="393C05D6"/>
    <w:rsid w:val="396C42C0"/>
    <w:rsid w:val="39FF1CAB"/>
    <w:rsid w:val="3A461688"/>
    <w:rsid w:val="3A680640"/>
    <w:rsid w:val="3ABC5DBB"/>
    <w:rsid w:val="3ACF61EC"/>
    <w:rsid w:val="3B0F5F1E"/>
    <w:rsid w:val="3B224115"/>
    <w:rsid w:val="3B293484"/>
    <w:rsid w:val="3B867FAF"/>
    <w:rsid w:val="3B9C1479"/>
    <w:rsid w:val="3C027831"/>
    <w:rsid w:val="3C0329AE"/>
    <w:rsid w:val="3C37355B"/>
    <w:rsid w:val="3C37397E"/>
    <w:rsid w:val="3C44609B"/>
    <w:rsid w:val="3C793F97"/>
    <w:rsid w:val="3C7C5835"/>
    <w:rsid w:val="3CE84C78"/>
    <w:rsid w:val="3D1E4B3E"/>
    <w:rsid w:val="3D2C764F"/>
    <w:rsid w:val="3D672041"/>
    <w:rsid w:val="3D7960B0"/>
    <w:rsid w:val="3E265A58"/>
    <w:rsid w:val="3E9C5D1B"/>
    <w:rsid w:val="3F2B66FC"/>
    <w:rsid w:val="404B79F8"/>
    <w:rsid w:val="40520154"/>
    <w:rsid w:val="40665869"/>
    <w:rsid w:val="40B01F51"/>
    <w:rsid w:val="40C33A32"/>
    <w:rsid w:val="40E51BFB"/>
    <w:rsid w:val="40F81E1B"/>
    <w:rsid w:val="412A4DEB"/>
    <w:rsid w:val="41607EC4"/>
    <w:rsid w:val="416B795B"/>
    <w:rsid w:val="41B33AA7"/>
    <w:rsid w:val="41FF4F3E"/>
    <w:rsid w:val="421D53C4"/>
    <w:rsid w:val="4242307D"/>
    <w:rsid w:val="424E37D0"/>
    <w:rsid w:val="426C3B7C"/>
    <w:rsid w:val="426E79CE"/>
    <w:rsid w:val="42DE4B54"/>
    <w:rsid w:val="42E94F7C"/>
    <w:rsid w:val="42F9302B"/>
    <w:rsid w:val="434A21E9"/>
    <w:rsid w:val="43736DBA"/>
    <w:rsid w:val="43925E19"/>
    <w:rsid w:val="43AC002A"/>
    <w:rsid w:val="43B611CB"/>
    <w:rsid w:val="43BB4E95"/>
    <w:rsid w:val="445B167F"/>
    <w:rsid w:val="449D27EC"/>
    <w:rsid w:val="44E361D6"/>
    <w:rsid w:val="451C1963"/>
    <w:rsid w:val="455B6E0D"/>
    <w:rsid w:val="456F4189"/>
    <w:rsid w:val="45C630DB"/>
    <w:rsid w:val="464B7E1C"/>
    <w:rsid w:val="46674E60"/>
    <w:rsid w:val="46935C55"/>
    <w:rsid w:val="46B856BC"/>
    <w:rsid w:val="46D719C9"/>
    <w:rsid w:val="46D866C9"/>
    <w:rsid w:val="47571378"/>
    <w:rsid w:val="47E74529"/>
    <w:rsid w:val="48272115"/>
    <w:rsid w:val="482F5EC7"/>
    <w:rsid w:val="48621A93"/>
    <w:rsid w:val="48A51C70"/>
    <w:rsid w:val="492961CF"/>
    <w:rsid w:val="49806130"/>
    <w:rsid w:val="49941727"/>
    <w:rsid w:val="49B83A21"/>
    <w:rsid w:val="49DF1CB8"/>
    <w:rsid w:val="4A8E048D"/>
    <w:rsid w:val="4AB61769"/>
    <w:rsid w:val="4ACC65DF"/>
    <w:rsid w:val="4AE42F23"/>
    <w:rsid w:val="4B1B1EC1"/>
    <w:rsid w:val="4B2B6DA4"/>
    <w:rsid w:val="4B50680B"/>
    <w:rsid w:val="4B547B78"/>
    <w:rsid w:val="4B865838"/>
    <w:rsid w:val="4BB24502"/>
    <w:rsid w:val="4BB26B7D"/>
    <w:rsid w:val="4BD0684C"/>
    <w:rsid w:val="4CBB5F06"/>
    <w:rsid w:val="4CFE62ED"/>
    <w:rsid w:val="4D306726"/>
    <w:rsid w:val="4D693BB4"/>
    <w:rsid w:val="4DCA2B2F"/>
    <w:rsid w:val="4DE66FB2"/>
    <w:rsid w:val="4DFC4A28"/>
    <w:rsid w:val="4E150194"/>
    <w:rsid w:val="4E50267E"/>
    <w:rsid w:val="4E5E2FEC"/>
    <w:rsid w:val="4E8B0864"/>
    <w:rsid w:val="4E8F31A6"/>
    <w:rsid w:val="4EA32699"/>
    <w:rsid w:val="4F05790C"/>
    <w:rsid w:val="4F2E6E63"/>
    <w:rsid w:val="4F3F4BCC"/>
    <w:rsid w:val="4F731652"/>
    <w:rsid w:val="4F934F18"/>
    <w:rsid w:val="4FA56727"/>
    <w:rsid w:val="5072152F"/>
    <w:rsid w:val="50C40DD7"/>
    <w:rsid w:val="50C800E9"/>
    <w:rsid w:val="50CE7831"/>
    <w:rsid w:val="50E031EC"/>
    <w:rsid w:val="50FB388D"/>
    <w:rsid w:val="51656440"/>
    <w:rsid w:val="52045C59"/>
    <w:rsid w:val="52163F05"/>
    <w:rsid w:val="5217598C"/>
    <w:rsid w:val="5230738F"/>
    <w:rsid w:val="523631D0"/>
    <w:rsid w:val="523B56F1"/>
    <w:rsid w:val="523E6A21"/>
    <w:rsid w:val="525536BD"/>
    <w:rsid w:val="52D7511B"/>
    <w:rsid w:val="53530C46"/>
    <w:rsid w:val="53A73388"/>
    <w:rsid w:val="53C438F2"/>
    <w:rsid w:val="53FE3BD5"/>
    <w:rsid w:val="544C647C"/>
    <w:rsid w:val="54EA346C"/>
    <w:rsid w:val="55747599"/>
    <w:rsid w:val="557E051F"/>
    <w:rsid w:val="55CC4CE0"/>
    <w:rsid w:val="56101070"/>
    <w:rsid w:val="57527466"/>
    <w:rsid w:val="5754232C"/>
    <w:rsid w:val="57A203EE"/>
    <w:rsid w:val="57AA1051"/>
    <w:rsid w:val="57B31AC9"/>
    <w:rsid w:val="58005114"/>
    <w:rsid w:val="584F6FD7"/>
    <w:rsid w:val="58501BF8"/>
    <w:rsid w:val="58913689"/>
    <w:rsid w:val="589F0489"/>
    <w:rsid w:val="58A907EB"/>
    <w:rsid w:val="58BD377C"/>
    <w:rsid w:val="58C46142"/>
    <w:rsid w:val="593212FE"/>
    <w:rsid w:val="59661CC1"/>
    <w:rsid w:val="5A336D95"/>
    <w:rsid w:val="5A421A14"/>
    <w:rsid w:val="5A737E20"/>
    <w:rsid w:val="5A745FF0"/>
    <w:rsid w:val="5A8B5169"/>
    <w:rsid w:val="5A957D82"/>
    <w:rsid w:val="5AE0077B"/>
    <w:rsid w:val="5B206834"/>
    <w:rsid w:val="5B296DE9"/>
    <w:rsid w:val="5B2D6220"/>
    <w:rsid w:val="5B887691"/>
    <w:rsid w:val="5C245DAC"/>
    <w:rsid w:val="5C247BA6"/>
    <w:rsid w:val="5C3C3BB3"/>
    <w:rsid w:val="5C8122EC"/>
    <w:rsid w:val="5CD252D1"/>
    <w:rsid w:val="5CEE7C31"/>
    <w:rsid w:val="5D5A3E41"/>
    <w:rsid w:val="5D652844"/>
    <w:rsid w:val="5D860856"/>
    <w:rsid w:val="5D871691"/>
    <w:rsid w:val="5D9D6AD1"/>
    <w:rsid w:val="5D9F1AB3"/>
    <w:rsid w:val="5E113BD7"/>
    <w:rsid w:val="5E2A16AF"/>
    <w:rsid w:val="5E2A23A4"/>
    <w:rsid w:val="5E430752"/>
    <w:rsid w:val="5E577346"/>
    <w:rsid w:val="5E653F23"/>
    <w:rsid w:val="5E7E6D93"/>
    <w:rsid w:val="5E820631"/>
    <w:rsid w:val="5EAE7678"/>
    <w:rsid w:val="5EEB4428"/>
    <w:rsid w:val="5EFB03E4"/>
    <w:rsid w:val="5F090D52"/>
    <w:rsid w:val="5F0D0843"/>
    <w:rsid w:val="5F4C2938"/>
    <w:rsid w:val="5F8959EF"/>
    <w:rsid w:val="5FEB4EFD"/>
    <w:rsid w:val="60056B37"/>
    <w:rsid w:val="60E82889"/>
    <w:rsid w:val="611008D8"/>
    <w:rsid w:val="611F1C2B"/>
    <w:rsid w:val="612D4D53"/>
    <w:rsid w:val="614442C4"/>
    <w:rsid w:val="61480ED7"/>
    <w:rsid w:val="61500EBB"/>
    <w:rsid w:val="617C4B7F"/>
    <w:rsid w:val="61926DDD"/>
    <w:rsid w:val="61B7492D"/>
    <w:rsid w:val="623507B5"/>
    <w:rsid w:val="623B46F0"/>
    <w:rsid w:val="62540044"/>
    <w:rsid w:val="62797672"/>
    <w:rsid w:val="629C27F7"/>
    <w:rsid w:val="62F51723"/>
    <w:rsid w:val="62FC21B7"/>
    <w:rsid w:val="6363719B"/>
    <w:rsid w:val="63672428"/>
    <w:rsid w:val="636968FC"/>
    <w:rsid w:val="63750765"/>
    <w:rsid w:val="638F37E5"/>
    <w:rsid w:val="643423CE"/>
    <w:rsid w:val="648A6492"/>
    <w:rsid w:val="64923598"/>
    <w:rsid w:val="64B05712"/>
    <w:rsid w:val="64E53CFF"/>
    <w:rsid w:val="64F27480"/>
    <w:rsid w:val="651421FF"/>
    <w:rsid w:val="65163A10"/>
    <w:rsid w:val="6535464F"/>
    <w:rsid w:val="654D4373"/>
    <w:rsid w:val="657C0C02"/>
    <w:rsid w:val="65AE4402"/>
    <w:rsid w:val="65E63183"/>
    <w:rsid w:val="65FE7137"/>
    <w:rsid w:val="66290937"/>
    <w:rsid w:val="666A0329"/>
    <w:rsid w:val="6673503F"/>
    <w:rsid w:val="66862210"/>
    <w:rsid w:val="6703252B"/>
    <w:rsid w:val="673E6CA4"/>
    <w:rsid w:val="67917B37"/>
    <w:rsid w:val="67DF6AF4"/>
    <w:rsid w:val="68354966"/>
    <w:rsid w:val="68794FFB"/>
    <w:rsid w:val="68C0149A"/>
    <w:rsid w:val="68CE3A19"/>
    <w:rsid w:val="68F3344C"/>
    <w:rsid w:val="69110F2F"/>
    <w:rsid w:val="692116A5"/>
    <w:rsid w:val="695C11AD"/>
    <w:rsid w:val="697D65C5"/>
    <w:rsid w:val="69BD10B7"/>
    <w:rsid w:val="69BD2E65"/>
    <w:rsid w:val="69C550B4"/>
    <w:rsid w:val="69F65ECC"/>
    <w:rsid w:val="6A6376B8"/>
    <w:rsid w:val="6A885B97"/>
    <w:rsid w:val="6AA47B81"/>
    <w:rsid w:val="6AC4246C"/>
    <w:rsid w:val="6ADA17F5"/>
    <w:rsid w:val="6B1A47A6"/>
    <w:rsid w:val="6B8C3A28"/>
    <w:rsid w:val="6B9320D0"/>
    <w:rsid w:val="6BBA598D"/>
    <w:rsid w:val="6C991968"/>
    <w:rsid w:val="6CBB39E5"/>
    <w:rsid w:val="6CED2345"/>
    <w:rsid w:val="6CFC73C8"/>
    <w:rsid w:val="6D305E6A"/>
    <w:rsid w:val="6D4F498A"/>
    <w:rsid w:val="6DB93944"/>
    <w:rsid w:val="6DBC675B"/>
    <w:rsid w:val="6DC5053A"/>
    <w:rsid w:val="6DD80CB9"/>
    <w:rsid w:val="6DDB21D3"/>
    <w:rsid w:val="6DDC0427"/>
    <w:rsid w:val="6E114991"/>
    <w:rsid w:val="6E3F4BB9"/>
    <w:rsid w:val="6E625D89"/>
    <w:rsid w:val="6E8126B3"/>
    <w:rsid w:val="6E997A23"/>
    <w:rsid w:val="6E9F3C9F"/>
    <w:rsid w:val="6EC304C9"/>
    <w:rsid w:val="6F2F0844"/>
    <w:rsid w:val="6F601138"/>
    <w:rsid w:val="6F6570E6"/>
    <w:rsid w:val="6F750C91"/>
    <w:rsid w:val="6F7C10CD"/>
    <w:rsid w:val="6F8204C2"/>
    <w:rsid w:val="6FA8400A"/>
    <w:rsid w:val="700649E3"/>
    <w:rsid w:val="702B672C"/>
    <w:rsid w:val="70BB1864"/>
    <w:rsid w:val="70C96594"/>
    <w:rsid w:val="70DC7D22"/>
    <w:rsid w:val="7178644A"/>
    <w:rsid w:val="71D15351"/>
    <w:rsid w:val="722A12B4"/>
    <w:rsid w:val="7252403F"/>
    <w:rsid w:val="728E2D77"/>
    <w:rsid w:val="72D27981"/>
    <w:rsid w:val="72D50FD1"/>
    <w:rsid w:val="72EC59F0"/>
    <w:rsid w:val="735A15F5"/>
    <w:rsid w:val="7375655F"/>
    <w:rsid w:val="73B9469D"/>
    <w:rsid w:val="73E07E7C"/>
    <w:rsid w:val="74C332C7"/>
    <w:rsid w:val="74E50DAE"/>
    <w:rsid w:val="75226272"/>
    <w:rsid w:val="753B6854"/>
    <w:rsid w:val="756B6FB4"/>
    <w:rsid w:val="759C6025"/>
    <w:rsid w:val="759C7DD3"/>
    <w:rsid w:val="75AE0065"/>
    <w:rsid w:val="760100DD"/>
    <w:rsid w:val="763D7A3F"/>
    <w:rsid w:val="764D5571"/>
    <w:rsid w:val="76546C5B"/>
    <w:rsid w:val="766052A4"/>
    <w:rsid w:val="768E0063"/>
    <w:rsid w:val="769A6A08"/>
    <w:rsid w:val="7715492E"/>
    <w:rsid w:val="77422BFC"/>
    <w:rsid w:val="77626DFA"/>
    <w:rsid w:val="7764006E"/>
    <w:rsid w:val="77996730"/>
    <w:rsid w:val="77BC4546"/>
    <w:rsid w:val="77D8191C"/>
    <w:rsid w:val="780D4FB8"/>
    <w:rsid w:val="782B16C8"/>
    <w:rsid w:val="786E0A50"/>
    <w:rsid w:val="78C97718"/>
    <w:rsid w:val="78EF183C"/>
    <w:rsid w:val="78F23BEF"/>
    <w:rsid w:val="78FE6FE6"/>
    <w:rsid w:val="795B7FA5"/>
    <w:rsid w:val="79683264"/>
    <w:rsid w:val="79877371"/>
    <w:rsid w:val="79A100AE"/>
    <w:rsid w:val="79DA711C"/>
    <w:rsid w:val="79EB1329"/>
    <w:rsid w:val="7A101AB7"/>
    <w:rsid w:val="7A775394"/>
    <w:rsid w:val="7A9F4612"/>
    <w:rsid w:val="7B065055"/>
    <w:rsid w:val="7B252618"/>
    <w:rsid w:val="7B364826"/>
    <w:rsid w:val="7B4E0760"/>
    <w:rsid w:val="7B7470FC"/>
    <w:rsid w:val="7B9652C4"/>
    <w:rsid w:val="7BC83C42"/>
    <w:rsid w:val="7BD302C6"/>
    <w:rsid w:val="7C06244A"/>
    <w:rsid w:val="7C2711BD"/>
    <w:rsid w:val="7C2B0102"/>
    <w:rsid w:val="7C2F1AA8"/>
    <w:rsid w:val="7C4F582A"/>
    <w:rsid w:val="7C9625F3"/>
    <w:rsid w:val="7CD75B94"/>
    <w:rsid w:val="7D2A660C"/>
    <w:rsid w:val="7D43322A"/>
    <w:rsid w:val="7D4A3F56"/>
    <w:rsid w:val="7D6C452F"/>
    <w:rsid w:val="7D831878"/>
    <w:rsid w:val="7E3710D7"/>
    <w:rsid w:val="7E62150C"/>
    <w:rsid w:val="7E6E5224"/>
    <w:rsid w:val="7EB049C0"/>
    <w:rsid w:val="7EE37ECB"/>
    <w:rsid w:val="7EE477AF"/>
    <w:rsid w:val="7EE72525"/>
    <w:rsid w:val="7F594F87"/>
    <w:rsid w:val="7F9152B6"/>
    <w:rsid w:val="7F9E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0"/>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71"/>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72"/>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73"/>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74"/>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75"/>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76"/>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77"/>
    <w:semiHidden/>
    <w:unhideWhenUsed/>
    <w:qFormat/>
    <w:uiPriority w:val="9"/>
    <w:pPr>
      <w:numPr>
        <w:ilvl w:val="6"/>
        <w:numId w:val="1"/>
      </w:numPr>
      <w:spacing w:before="240" w:after="60"/>
      <w:outlineLvl w:val="6"/>
    </w:pPr>
  </w:style>
  <w:style w:type="paragraph" w:styleId="9">
    <w:name w:val="heading 8"/>
    <w:basedOn w:val="1"/>
    <w:next w:val="1"/>
    <w:link w:val="78"/>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79"/>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103"/>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toa heading"/>
    <w:basedOn w:val="1"/>
    <w:next w:val="1"/>
    <w:qFormat/>
    <w:uiPriority w:val="0"/>
    <w:pPr>
      <w:spacing w:before="120" w:beforeLines="0" w:beforeAutospacing="0"/>
    </w:pPr>
    <w:rPr>
      <w:rFonts w:ascii="Arial" w:hAnsi="Arial"/>
      <w:sz w:val="24"/>
    </w:rPr>
  </w:style>
  <w:style w:type="paragraph" w:styleId="15">
    <w:name w:val="annotation text"/>
    <w:basedOn w:val="1"/>
    <w:link w:val="95"/>
    <w:unhideWhenUsed/>
    <w:qFormat/>
    <w:uiPriority w:val="99"/>
    <w:pPr>
      <w:spacing w:line="400" w:lineRule="exact"/>
    </w:pPr>
    <w:rPr>
      <w:rFonts w:ascii="Calibri Light" w:hAnsi="Calibri Light" w:eastAsia="华文仿宋" w:cs="Calibri Light"/>
      <w:kern w:val="2"/>
      <w:sz w:val="28"/>
      <w:szCs w:val="28"/>
    </w:rPr>
  </w:style>
  <w:style w:type="paragraph" w:styleId="16">
    <w:name w:val="Body Text"/>
    <w:basedOn w:val="1"/>
    <w:next w:val="1"/>
    <w:qFormat/>
    <w:uiPriority w:val="0"/>
    <w:rPr>
      <w:color w:val="993300"/>
      <w:sz w:val="24"/>
    </w:rPr>
  </w:style>
  <w:style w:type="paragraph" w:styleId="17">
    <w:name w:val="Body Text Indent"/>
    <w:basedOn w:val="1"/>
    <w:next w:val="18"/>
    <w:qFormat/>
    <w:uiPriority w:val="0"/>
    <w:pPr>
      <w:ind w:firstLine="480"/>
    </w:pPr>
    <w:rPr>
      <w:rFonts w:ascii="宋体" w:hAnsi="宋体"/>
    </w:rPr>
  </w:style>
  <w:style w:type="paragraph" w:styleId="18">
    <w:name w:val="Body Text First Indent 2"/>
    <w:basedOn w:val="17"/>
    <w:qFormat/>
    <w:uiPriority w:val="0"/>
    <w:pPr>
      <w:spacing w:after="120" w:line="240" w:lineRule="auto"/>
      <w:ind w:left="420" w:leftChars="200" w:firstLine="420"/>
    </w:pPr>
    <w:rPr>
      <w:sz w:val="21"/>
    </w:rPr>
  </w:style>
  <w:style w:type="paragraph" w:styleId="19">
    <w:name w:val="Plain Text"/>
    <w:basedOn w:val="1"/>
    <w:next w:val="1"/>
    <w:qFormat/>
    <w:uiPriority w:val="0"/>
    <w:rPr>
      <w:rFonts w:ascii="宋体"/>
      <w:szCs w:val="20"/>
    </w:rPr>
  </w:style>
  <w:style w:type="paragraph" w:styleId="20">
    <w:name w:val="Date"/>
    <w:basedOn w:val="1"/>
    <w:next w:val="1"/>
    <w:link w:val="68"/>
    <w:semiHidden/>
    <w:unhideWhenUsed/>
    <w:qFormat/>
    <w:uiPriority w:val="99"/>
    <w:pPr>
      <w:ind w:left="100" w:leftChars="2500"/>
    </w:pPr>
  </w:style>
  <w:style w:type="paragraph" w:styleId="21">
    <w:name w:val="Balloon Text"/>
    <w:basedOn w:val="1"/>
    <w:link w:val="94"/>
    <w:semiHidden/>
    <w:unhideWhenUsed/>
    <w:qFormat/>
    <w:uiPriority w:val="99"/>
    <w:rPr>
      <w:sz w:val="18"/>
      <w:szCs w:val="18"/>
    </w:rPr>
  </w:style>
  <w:style w:type="paragraph" w:styleId="22">
    <w:name w:val="footer"/>
    <w:basedOn w:val="1"/>
    <w:link w:val="70"/>
    <w:unhideWhenUsed/>
    <w:qFormat/>
    <w:uiPriority w:val="99"/>
    <w:pPr>
      <w:tabs>
        <w:tab w:val="center" w:pos="4153"/>
        <w:tab w:val="right" w:pos="8306"/>
      </w:tabs>
      <w:snapToGrid w:val="0"/>
      <w:spacing w:line="240" w:lineRule="atLeast"/>
    </w:pPr>
    <w:rPr>
      <w:sz w:val="18"/>
      <w:szCs w:val="18"/>
    </w:rPr>
  </w:style>
  <w:style w:type="paragraph" w:styleId="23">
    <w:name w:val="header"/>
    <w:basedOn w:val="1"/>
    <w:link w:val="69"/>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4">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5">
    <w:name w:val="Subtitle"/>
    <w:basedOn w:val="1"/>
    <w:next w:val="1"/>
    <w:link w:val="81"/>
    <w:qFormat/>
    <w:uiPriority w:val="11"/>
    <w:pPr>
      <w:keepNext/>
      <w:spacing w:before="50" w:beforeLines="50" w:after="50" w:afterLines="50"/>
      <w:jc w:val="center"/>
      <w:outlineLvl w:val="1"/>
    </w:pPr>
    <w:rPr>
      <w:rFonts w:ascii="Calibri" w:hAnsi="Calibri" w:eastAsia="黑体" w:cstheme="majorBidi"/>
      <w:sz w:val="32"/>
    </w:rPr>
  </w:style>
  <w:style w:type="paragraph" w:styleId="26">
    <w:name w:val="Body Text Indent 3"/>
    <w:basedOn w:val="1"/>
    <w:qFormat/>
    <w:uiPriority w:val="0"/>
    <w:pPr>
      <w:spacing w:after="120"/>
      <w:ind w:left="420" w:leftChars="200"/>
    </w:pPr>
    <w:rPr>
      <w:sz w:val="16"/>
    </w:rPr>
  </w:style>
  <w:style w:type="paragraph" w:styleId="27">
    <w:name w:val="Normal (Web)"/>
    <w:basedOn w:val="1"/>
    <w:qFormat/>
    <w:uiPriority w:val="0"/>
    <w:pPr>
      <w:widowControl/>
      <w:spacing w:before="100" w:beforeAutospacing="1" w:after="100" w:afterAutospacing="1"/>
    </w:pPr>
    <w:rPr>
      <w:rFonts w:ascii="宋体" w:hAnsi="宋体"/>
      <w:sz w:val="24"/>
    </w:rPr>
  </w:style>
  <w:style w:type="paragraph" w:styleId="28">
    <w:name w:val="Title"/>
    <w:basedOn w:val="1"/>
    <w:next w:val="1"/>
    <w:link w:val="80"/>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9">
    <w:name w:val="annotation subject"/>
    <w:basedOn w:val="15"/>
    <w:next w:val="15"/>
    <w:link w:val="102"/>
    <w:semiHidden/>
    <w:unhideWhenUsed/>
    <w:qFormat/>
    <w:uiPriority w:val="99"/>
    <w:rPr>
      <w:b/>
      <w:bCs/>
    </w:rPr>
  </w:style>
  <w:style w:type="paragraph" w:styleId="30">
    <w:name w:val="Body Text First Indent"/>
    <w:basedOn w:val="16"/>
    <w:unhideWhenUsed/>
    <w:qFormat/>
    <w:uiPriority w:val="99"/>
    <w:pPr>
      <w:ind w:firstLine="420" w:firstLineChars="100"/>
    </w:pPr>
    <w:rPr>
      <w:szCs w:val="24"/>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page number"/>
    <w:qFormat/>
    <w:uiPriority w:val="0"/>
    <w:rPr>
      <w:rFonts w:ascii="Times New Roman" w:hAnsi="Times New Roman" w:eastAsia="宋体" w:cs="Times New Roman"/>
    </w:rPr>
  </w:style>
  <w:style w:type="character" w:styleId="36">
    <w:name w:val="FollowedHyperlink"/>
    <w:basedOn w:val="33"/>
    <w:semiHidden/>
    <w:unhideWhenUsed/>
    <w:qFormat/>
    <w:uiPriority w:val="99"/>
    <w:rPr>
      <w:color w:val="954F72" w:themeColor="followedHyperlink"/>
      <w:u w:val="single"/>
      <w14:textFill>
        <w14:solidFill>
          <w14:schemeClr w14:val="folHlink"/>
        </w14:solidFill>
      </w14:textFill>
    </w:rPr>
  </w:style>
  <w:style w:type="character" w:styleId="37">
    <w:name w:val="Emphasis"/>
    <w:basedOn w:val="33"/>
    <w:qFormat/>
    <w:uiPriority w:val="20"/>
    <w:rPr>
      <w:rFonts w:asciiTheme="minorHAnsi" w:hAnsiTheme="minorHAnsi"/>
      <w:b/>
      <w:i/>
      <w:iCs/>
    </w:rPr>
  </w:style>
  <w:style w:type="character" w:styleId="38">
    <w:name w:val="HTML Definition"/>
    <w:basedOn w:val="33"/>
    <w:semiHidden/>
    <w:unhideWhenUsed/>
    <w:qFormat/>
    <w:uiPriority w:val="99"/>
  </w:style>
  <w:style w:type="character" w:styleId="39">
    <w:name w:val="HTML Typewriter"/>
    <w:basedOn w:val="33"/>
    <w:semiHidden/>
    <w:unhideWhenUsed/>
    <w:qFormat/>
    <w:uiPriority w:val="99"/>
    <w:rPr>
      <w:rFonts w:hint="default" w:ascii="monospace" w:hAnsi="monospace" w:eastAsia="monospace" w:cs="monospace"/>
      <w:sz w:val="20"/>
    </w:rPr>
  </w:style>
  <w:style w:type="character" w:styleId="40">
    <w:name w:val="HTML Acronym"/>
    <w:basedOn w:val="33"/>
    <w:semiHidden/>
    <w:unhideWhenUsed/>
    <w:qFormat/>
    <w:uiPriority w:val="99"/>
  </w:style>
  <w:style w:type="character" w:styleId="41">
    <w:name w:val="HTML Variable"/>
    <w:basedOn w:val="33"/>
    <w:semiHidden/>
    <w:unhideWhenUsed/>
    <w:qFormat/>
    <w:uiPriority w:val="99"/>
  </w:style>
  <w:style w:type="character" w:styleId="42">
    <w:name w:val="Hyperlink"/>
    <w:basedOn w:val="33"/>
    <w:unhideWhenUsed/>
    <w:qFormat/>
    <w:uiPriority w:val="99"/>
    <w:rPr>
      <w:color w:val="0563C1" w:themeColor="hyperlink"/>
      <w:u w:val="single"/>
      <w14:textFill>
        <w14:solidFill>
          <w14:schemeClr w14:val="hlink"/>
        </w14:solidFill>
      </w14:textFill>
    </w:rPr>
  </w:style>
  <w:style w:type="character" w:styleId="43">
    <w:name w:val="HTML Code"/>
    <w:basedOn w:val="33"/>
    <w:semiHidden/>
    <w:unhideWhenUsed/>
    <w:qFormat/>
    <w:uiPriority w:val="99"/>
    <w:rPr>
      <w:rFonts w:ascii="monospace" w:hAnsi="monospace" w:eastAsia="monospace" w:cs="monospace"/>
      <w:sz w:val="20"/>
    </w:rPr>
  </w:style>
  <w:style w:type="character" w:styleId="44">
    <w:name w:val="annotation reference"/>
    <w:basedOn w:val="33"/>
    <w:semiHidden/>
    <w:unhideWhenUsed/>
    <w:qFormat/>
    <w:uiPriority w:val="99"/>
    <w:rPr>
      <w:sz w:val="21"/>
      <w:szCs w:val="21"/>
    </w:rPr>
  </w:style>
  <w:style w:type="character" w:styleId="45">
    <w:name w:val="HTML Cite"/>
    <w:basedOn w:val="33"/>
    <w:semiHidden/>
    <w:unhideWhenUsed/>
    <w:qFormat/>
    <w:uiPriority w:val="99"/>
  </w:style>
  <w:style w:type="character" w:styleId="46">
    <w:name w:val="HTML Keyboard"/>
    <w:basedOn w:val="33"/>
    <w:semiHidden/>
    <w:unhideWhenUsed/>
    <w:qFormat/>
    <w:uiPriority w:val="99"/>
    <w:rPr>
      <w:rFonts w:hint="default" w:ascii="monospace" w:hAnsi="monospace" w:eastAsia="monospace" w:cs="monospace"/>
      <w:sz w:val="20"/>
    </w:rPr>
  </w:style>
  <w:style w:type="character" w:styleId="47">
    <w:name w:val="HTML Sample"/>
    <w:basedOn w:val="33"/>
    <w:semiHidden/>
    <w:unhideWhenUsed/>
    <w:qFormat/>
    <w:uiPriority w:val="99"/>
    <w:rPr>
      <w:rFonts w:hint="default" w:ascii="monospace" w:hAnsi="monospace" w:eastAsia="monospace" w:cs="monospace"/>
    </w:rPr>
  </w:style>
  <w:style w:type="paragraph" w:customStyle="1" w:styleId="48">
    <w:name w:val="※封面大标题"/>
    <w:basedOn w:val="1"/>
    <w:next w:val="1"/>
    <w:qFormat/>
    <w:uiPriority w:val="0"/>
    <w:pPr>
      <w:jc w:val="center"/>
    </w:pPr>
    <w:rPr>
      <w:rFonts w:ascii="华文中宋" w:hAnsi="华文中宋" w:eastAsia="华文中宋"/>
      <w:sz w:val="96"/>
      <w:szCs w:val="96"/>
    </w:rPr>
  </w:style>
  <w:style w:type="paragraph" w:customStyle="1" w:styleId="49">
    <w:name w:val="※封面题颌"/>
    <w:basedOn w:val="1"/>
    <w:next w:val="1"/>
    <w:qFormat/>
    <w:uiPriority w:val="0"/>
    <w:pPr>
      <w:jc w:val="center"/>
    </w:pPr>
    <w:rPr>
      <w:rFonts w:ascii="Calibri Light" w:hAnsi="Calibri Light" w:eastAsia="华文仿宋"/>
      <w:sz w:val="36"/>
      <w:szCs w:val="36"/>
    </w:rPr>
  </w:style>
  <w:style w:type="paragraph" w:customStyle="1" w:styleId="50">
    <w:name w:val="※封面题眉"/>
    <w:basedOn w:val="1"/>
    <w:next w:val="48"/>
    <w:qFormat/>
    <w:uiPriority w:val="0"/>
    <w:pPr>
      <w:jc w:val="center"/>
    </w:pPr>
    <w:rPr>
      <w:rFonts w:ascii="华文仿宋" w:hAnsi="华文仿宋" w:eastAsia="华文仿宋"/>
      <w:sz w:val="52"/>
      <w:szCs w:val="28"/>
    </w:rPr>
  </w:style>
  <w:style w:type="paragraph" w:customStyle="1" w:styleId="51">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2">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53">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54">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55">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56">
    <w:name w:val="※小标题 一"/>
    <w:basedOn w:val="55"/>
    <w:next w:val="55"/>
    <w:qFormat/>
    <w:uiPriority w:val="0"/>
    <w:pPr>
      <w:spacing w:before="120" w:line="240" w:lineRule="auto"/>
      <w:outlineLvl w:val="2"/>
    </w:pPr>
    <w:rPr>
      <w:b/>
      <w:color w:val="203864" w:themeColor="accent5" w:themeShade="80"/>
      <w:sz w:val="32"/>
    </w:rPr>
  </w:style>
  <w:style w:type="paragraph" w:customStyle="1" w:styleId="57">
    <w:name w:val="※小标题（1）"/>
    <w:basedOn w:val="1"/>
    <w:next w:val="55"/>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58">
    <w:name w:val="※小标题（一）"/>
    <w:basedOn w:val="1"/>
    <w:next w:val="55"/>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9">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0">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1">
    <w:name w:val="※页眉"/>
    <w:basedOn w:val="55"/>
    <w:qFormat/>
    <w:uiPriority w:val="0"/>
    <w:pPr>
      <w:pBdr>
        <w:bottom w:val="single" w:color="auto" w:sz="4" w:space="1"/>
      </w:pBdr>
      <w:spacing w:line="240" w:lineRule="atLeast"/>
      <w:jc w:val="right"/>
    </w:pPr>
    <w:rPr>
      <w:rFonts w:ascii="宋体" w:hAnsi="宋体" w:eastAsia="宋体"/>
      <w:sz w:val="18"/>
    </w:rPr>
  </w:style>
  <w:style w:type="paragraph" w:customStyle="1" w:styleId="62">
    <w:name w:val="※章节标题（第X章）"/>
    <w:basedOn w:val="1"/>
    <w:qFormat/>
    <w:uiPriority w:val="0"/>
    <w:pPr>
      <w:jc w:val="center"/>
      <w:outlineLvl w:val="0"/>
    </w:pPr>
    <w:rPr>
      <w:rFonts w:ascii="Calibri Light" w:hAnsi="Calibri Light" w:eastAsia="黑体"/>
      <w:sz w:val="36"/>
      <w:szCs w:val="28"/>
    </w:rPr>
  </w:style>
  <w:style w:type="paragraph" w:customStyle="1" w:styleId="63">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64">
    <w:name w:val="※章节标题（第Z部分分项）"/>
    <w:basedOn w:val="63"/>
    <w:qFormat/>
    <w:uiPriority w:val="0"/>
    <w:pPr>
      <w:outlineLvl w:val="2"/>
    </w:pPr>
  </w:style>
  <w:style w:type="paragraph" w:customStyle="1" w:styleId="65">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66">
    <w:name w:val="※正文（缩进2）"/>
    <w:basedOn w:val="55"/>
    <w:qFormat/>
    <w:uiPriority w:val="0"/>
    <w:pPr>
      <w:ind w:firstLine="200" w:firstLineChars="200"/>
    </w:pPr>
  </w:style>
  <w:style w:type="paragraph" w:customStyle="1" w:styleId="67">
    <w:name w:val="※正文（缩进4）"/>
    <w:basedOn w:val="55"/>
    <w:qFormat/>
    <w:uiPriority w:val="0"/>
    <w:pPr>
      <w:ind w:firstLine="400" w:firstLineChars="400"/>
    </w:pPr>
  </w:style>
  <w:style w:type="character" w:customStyle="1" w:styleId="68">
    <w:name w:val="日期 字符"/>
    <w:basedOn w:val="33"/>
    <w:link w:val="20"/>
    <w:semiHidden/>
    <w:qFormat/>
    <w:uiPriority w:val="99"/>
    <w:rPr>
      <w:rFonts w:ascii="华文仿宋" w:hAnsi="华文仿宋" w:eastAsia="华文仿宋"/>
      <w:sz w:val="28"/>
      <w:szCs w:val="28"/>
    </w:rPr>
  </w:style>
  <w:style w:type="character" w:customStyle="1" w:styleId="69">
    <w:name w:val="页眉 字符"/>
    <w:basedOn w:val="33"/>
    <w:link w:val="23"/>
    <w:qFormat/>
    <w:uiPriority w:val="0"/>
    <w:rPr>
      <w:rFonts w:ascii="华文仿宋" w:hAnsi="华文仿宋" w:eastAsia="华文仿宋"/>
      <w:sz w:val="18"/>
      <w:szCs w:val="18"/>
    </w:rPr>
  </w:style>
  <w:style w:type="character" w:customStyle="1" w:styleId="70">
    <w:name w:val="页脚 字符"/>
    <w:basedOn w:val="33"/>
    <w:link w:val="22"/>
    <w:qFormat/>
    <w:uiPriority w:val="99"/>
    <w:rPr>
      <w:rFonts w:ascii="华文仿宋" w:hAnsi="华文仿宋" w:eastAsia="华文仿宋"/>
      <w:sz w:val="18"/>
      <w:szCs w:val="18"/>
    </w:rPr>
  </w:style>
  <w:style w:type="character" w:customStyle="1" w:styleId="71">
    <w:name w:val="标题 1 字符"/>
    <w:basedOn w:val="33"/>
    <w:link w:val="2"/>
    <w:qFormat/>
    <w:uiPriority w:val="9"/>
    <w:rPr>
      <w:rFonts w:ascii="方正小标宋_GBK" w:hAnsi="仿宋" w:eastAsia="方正小标宋_GBK"/>
      <w:sz w:val="44"/>
      <w:szCs w:val="44"/>
    </w:rPr>
  </w:style>
  <w:style w:type="character" w:customStyle="1" w:styleId="72">
    <w:name w:val="标题 2 字符"/>
    <w:basedOn w:val="33"/>
    <w:link w:val="3"/>
    <w:qFormat/>
    <w:uiPriority w:val="9"/>
    <w:rPr>
      <w:rFonts w:ascii="楷体" w:hAnsi="楷体" w:eastAsia="黑体"/>
      <w:sz w:val="32"/>
      <w:szCs w:val="32"/>
    </w:rPr>
  </w:style>
  <w:style w:type="character" w:customStyle="1" w:styleId="73">
    <w:name w:val="标题 3 字符"/>
    <w:basedOn w:val="33"/>
    <w:link w:val="4"/>
    <w:qFormat/>
    <w:uiPriority w:val="9"/>
    <w:rPr>
      <w:rFonts w:ascii="方正小标宋_GBK" w:hAnsi="仿宋" w:eastAsia="方正小标宋_GBK"/>
      <w:sz w:val="36"/>
      <w:szCs w:val="36"/>
    </w:rPr>
  </w:style>
  <w:style w:type="character" w:customStyle="1" w:styleId="74">
    <w:name w:val="标题 4 字符"/>
    <w:basedOn w:val="33"/>
    <w:link w:val="5"/>
    <w:semiHidden/>
    <w:qFormat/>
    <w:uiPriority w:val="9"/>
    <w:rPr>
      <w:rFonts w:cstheme="majorBidi"/>
      <w:b/>
      <w:bCs/>
      <w:sz w:val="28"/>
      <w:szCs w:val="28"/>
    </w:rPr>
  </w:style>
  <w:style w:type="character" w:customStyle="1" w:styleId="75">
    <w:name w:val="标题 5 字符"/>
    <w:basedOn w:val="33"/>
    <w:link w:val="6"/>
    <w:semiHidden/>
    <w:qFormat/>
    <w:uiPriority w:val="9"/>
    <w:rPr>
      <w:b/>
      <w:bCs/>
      <w:i/>
      <w:iCs/>
      <w:sz w:val="26"/>
      <w:szCs w:val="26"/>
    </w:rPr>
  </w:style>
  <w:style w:type="character" w:customStyle="1" w:styleId="76">
    <w:name w:val="标题 6 字符"/>
    <w:basedOn w:val="33"/>
    <w:link w:val="7"/>
    <w:semiHidden/>
    <w:qFormat/>
    <w:uiPriority w:val="9"/>
    <w:rPr>
      <w:rFonts w:cstheme="majorBidi"/>
      <w:b/>
      <w:bCs/>
    </w:rPr>
  </w:style>
  <w:style w:type="character" w:customStyle="1" w:styleId="77">
    <w:name w:val="标题 7 字符"/>
    <w:basedOn w:val="33"/>
    <w:link w:val="8"/>
    <w:semiHidden/>
    <w:qFormat/>
    <w:uiPriority w:val="9"/>
    <w:rPr>
      <w:sz w:val="24"/>
      <w:szCs w:val="24"/>
    </w:rPr>
  </w:style>
  <w:style w:type="character" w:customStyle="1" w:styleId="78">
    <w:name w:val="标题 8 字符"/>
    <w:basedOn w:val="33"/>
    <w:link w:val="9"/>
    <w:semiHidden/>
    <w:qFormat/>
    <w:uiPriority w:val="9"/>
    <w:rPr>
      <w:rFonts w:cstheme="majorBidi"/>
      <w:i/>
      <w:iCs/>
      <w:sz w:val="24"/>
      <w:szCs w:val="24"/>
    </w:rPr>
  </w:style>
  <w:style w:type="character" w:customStyle="1" w:styleId="79">
    <w:name w:val="标题 9 字符"/>
    <w:basedOn w:val="33"/>
    <w:link w:val="10"/>
    <w:semiHidden/>
    <w:qFormat/>
    <w:uiPriority w:val="9"/>
    <w:rPr>
      <w:rFonts w:asciiTheme="majorHAnsi" w:hAnsiTheme="majorHAnsi" w:eastAsiaTheme="majorEastAsia" w:cstheme="majorBidi"/>
    </w:rPr>
  </w:style>
  <w:style w:type="character" w:customStyle="1" w:styleId="80">
    <w:name w:val="标题 字符"/>
    <w:basedOn w:val="33"/>
    <w:link w:val="28"/>
    <w:qFormat/>
    <w:uiPriority w:val="10"/>
    <w:rPr>
      <w:rFonts w:asciiTheme="majorHAnsi" w:hAnsiTheme="majorHAnsi" w:eastAsiaTheme="majorEastAsia" w:cstheme="majorBidi"/>
      <w:b/>
      <w:bCs/>
      <w:kern w:val="28"/>
      <w:sz w:val="32"/>
      <w:szCs w:val="32"/>
    </w:rPr>
  </w:style>
  <w:style w:type="character" w:customStyle="1" w:styleId="81">
    <w:name w:val="副标题 字符"/>
    <w:basedOn w:val="33"/>
    <w:link w:val="25"/>
    <w:qFormat/>
    <w:uiPriority w:val="11"/>
    <w:rPr>
      <w:rFonts w:ascii="Calibri" w:hAnsi="Calibri" w:eastAsia="黑体" w:cstheme="majorBidi"/>
      <w:sz w:val="32"/>
      <w:szCs w:val="24"/>
    </w:rPr>
  </w:style>
  <w:style w:type="paragraph" w:styleId="82">
    <w:name w:val="No Spacing"/>
    <w:basedOn w:val="1"/>
    <w:qFormat/>
    <w:uiPriority w:val="1"/>
    <w:rPr>
      <w:szCs w:val="32"/>
    </w:rPr>
  </w:style>
  <w:style w:type="paragraph" w:styleId="83">
    <w:name w:val="List Paragraph"/>
    <w:basedOn w:val="1"/>
    <w:qFormat/>
    <w:uiPriority w:val="0"/>
    <w:pPr>
      <w:ind w:left="720"/>
      <w:contextualSpacing/>
    </w:pPr>
  </w:style>
  <w:style w:type="paragraph" w:styleId="84">
    <w:name w:val="Quote"/>
    <w:basedOn w:val="1"/>
    <w:next w:val="1"/>
    <w:link w:val="85"/>
    <w:qFormat/>
    <w:uiPriority w:val="29"/>
    <w:rPr>
      <w:i/>
    </w:rPr>
  </w:style>
  <w:style w:type="character" w:customStyle="1" w:styleId="85">
    <w:name w:val="引用 字符"/>
    <w:basedOn w:val="33"/>
    <w:link w:val="84"/>
    <w:qFormat/>
    <w:uiPriority w:val="29"/>
    <w:rPr>
      <w:i/>
      <w:sz w:val="24"/>
      <w:szCs w:val="24"/>
    </w:rPr>
  </w:style>
  <w:style w:type="paragraph" w:styleId="86">
    <w:name w:val="Intense Quote"/>
    <w:basedOn w:val="1"/>
    <w:next w:val="1"/>
    <w:link w:val="87"/>
    <w:qFormat/>
    <w:uiPriority w:val="30"/>
    <w:pPr>
      <w:ind w:left="720" w:right="720"/>
    </w:pPr>
    <w:rPr>
      <w:b/>
      <w:i/>
      <w:szCs w:val="22"/>
    </w:rPr>
  </w:style>
  <w:style w:type="character" w:customStyle="1" w:styleId="87">
    <w:name w:val="明显引用 字符"/>
    <w:basedOn w:val="33"/>
    <w:link w:val="86"/>
    <w:qFormat/>
    <w:uiPriority w:val="30"/>
    <w:rPr>
      <w:b/>
      <w:i/>
      <w:sz w:val="24"/>
    </w:rPr>
  </w:style>
  <w:style w:type="character" w:customStyle="1" w:styleId="88">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89">
    <w:name w:val="Intense Emphasis"/>
    <w:basedOn w:val="33"/>
    <w:qFormat/>
    <w:uiPriority w:val="21"/>
    <w:rPr>
      <w:b/>
      <w:i/>
      <w:sz w:val="24"/>
      <w:szCs w:val="24"/>
      <w:u w:val="single"/>
    </w:rPr>
  </w:style>
  <w:style w:type="character" w:customStyle="1" w:styleId="90">
    <w:name w:val="Subtle Reference"/>
    <w:basedOn w:val="33"/>
    <w:qFormat/>
    <w:uiPriority w:val="31"/>
    <w:rPr>
      <w:sz w:val="24"/>
      <w:szCs w:val="24"/>
      <w:u w:val="single"/>
    </w:rPr>
  </w:style>
  <w:style w:type="character" w:customStyle="1" w:styleId="91">
    <w:name w:val="Intense Reference"/>
    <w:basedOn w:val="33"/>
    <w:qFormat/>
    <w:uiPriority w:val="32"/>
    <w:rPr>
      <w:b/>
      <w:sz w:val="24"/>
      <w:u w:val="single"/>
    </w:rPr>
  </w:style>
  <w:style w:type="character" w:customStyle="1" w:styleId="92">
    <w:name w:val="Book Title"/>
    <w:basedOn w:val="33"/>
    <w:qFormat/>
    <w:uiPriority w:val="33"/>
    <w:rPr>
      <w:rFonts w:asciiTheme="majorHAnsi" w:hAnsiTheme="majorHAnsi" w:eastAsiaTheme="majorEastAsia"/>
      <w:b/>
      <w:i/>
      <w:sz w:val="24"/>
      <w:szCs w:val="24"/>
    </w:rPr>
  </w:style>
  <w:style w:type="paragraph" w:customStyle="1" w:styleId="93">
    <w:name w:val="TOC Heading"/>
    <w:basedOn w:val="2"/>
    <w:next w:val="1"/>
    <w:semiHidden/>
    <w:unhideWhenUsed/>
    <w:qFormat/>
    <w:uiPriority w:val="39"/>
    <w:pPr>
      <w:outlineLvl w:val="9"/>
    </w:pPr>
  </w:style>
  <w:style w:type="character" w:customStyle="1" w:styleId="94">
    <w:name w:val="批注框文本 字符"/>
    <w:basedOn w:val="33"/>
    <w:link w:val="21"/>
    <w:semiHidden/>
    <w:qFormat/>
    <w:uiPriority w:val="99"/>
    <w:rPr>
      <w:sz w:val="18"/>
      <w:szCs w:val="18"/>
    </w:rPr>
  </w:style>
  <w:style w:type="character" w:customStyle="1" w:styleId="95">
    <w:name w:val="批注文字 字符"/>
    <w:basedOn w:val="33"/>
    <w:link w:val="15"/>
    <w:qFormat/>
    <w:uiPriority w:val="99"/>
    <w:rPr>
      <w:rFonts w:ascii="Calibri Light" w:hAnsi="Calibri Light" w:eastAsia="华文仿宋" w:cs="Calibri Light"/>
      <w:kern w:val="2"/>
      <w:sz w:val="28"/>
      <w:szCs w:val="28"/>
    </w:rPr>
  </w:style>
  <w:style w:type="paragraph" w:customStyle="1" w:styleId="96">
    <w:name w:val="@正文"/>
    <w:basedOn w:val="55"/>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97">
    <w:name w:val="@一级小标题"/>
    <w:basedOn w:val="1"/>
    <w:next w:val="96"/>
    <w:qFormat/>
    <w:uiPriority w:val="0"/>
    <w:pPr>
      <w:keepNext/>
      <w:spacing w:before="120" w:after="60"/>
      <w:outlineLvl w:val="2"/>
    </w:pPr>
    <w:rPr>
      <w:rFonts w:ascii="Calibri" w:hAnsi="Calibri" w:eastAsia="黑体"/>
      <w:kern w:val="28"/>
      <w:sz w:val="28"/>
    </w:rPr>
  </w:style>
  <w:style w:type="paragraph" w:customStyle="1" w:styleId="98">
    <w:name w:val="@标题"/>
    <w:basedOn w:val="1"/>
    <w:next w:val="96"/>
    <w:qFormat/>
    <w:uiPriority w:val="0"/>
    <w:pPr>
      <w:keepNext/>
      <w:spacing w:before="50" w:beforeLines="50" w:after="50" w:afterLines="50"/>
      <w:jc w:val="center"/>
      <w:outlineLvl w:val="1"/>
    </w:pPr>
    <w:rPr>
      <w:rFonts w:ascii="Calibri" w:hAnsi="Calibri" w:eastAsia="黑体"/>
      <w:kern w:val="32"/>
      <w:sz w:val="32"/>
    </w:rPr>
  </w:style>
  <w:style w:type="table" w:customStyle="1" w:styleId="99">
    <w:name w:val="网格型1"/>
    <w:basedOn w:val="31"/>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
    <w:name w:val="页眉 Char1"/>
    <w:basedOn w:val="33"/>
    <w:semiHidden/>
    <w:qFormat/>
    <w:uiPriority w:val="99"/>
    <w:rPr>
      <w:rFonts w:cs="Calibri Light"/>
      <w:sz w:val="18"/>
      <w:szCs w:val="18"/>
    </w:rPr>
  </w:style>
  <w:style w:type="character" w:customStyle="1" w:styleId="101">
    <w:name w:val="页脚 Char1"/>
    <w:basedOn w:val="33"/>
    <w:semiHidden/>
    <w:qFormat/>
    <w:uiPriority w:val="99"/>
    <w:rPr>
      <w:rFonts w:cs="Calibri Light"/>
      <w:sz w:val="18"/>
      <w:szCs w:val="18"/>
    </w:rPr>
  </w:style>
  <w:style w:type="character" w:customStyle="1" w:styleId="102">
    <w:name w:val="批注主题 字符"/>
    <w:basedOn w:val="95"/>
    <w:link w:val="29"/>
    <w:semiHidden/>
    <w:qFormat/>
    <w:uiPriority w:val="99"/>
    <w:rPr>
      <w:rFonts w:ascii="Calibri Light" w:hAnsi="Calibri Light" w:eastAsia="华文仿宋" w:cs="Calibri Light"/>
      <w:b/>
      <w:bCs/>
      <w:kern w:val="2"/>
      <w:sz w:val="28"/>
      <w:szCs w:val="28"/>
    </w:rPr>
  </w:style>
  <w:style w:type="character" w:customStyle="1" w:styleId="103">
    <w:name w:val="文档结构图 字符"/>
    <w:basedOn w:val="33"/>
    <w:link w:val="13"/>
    <w:semiHidden/>
    <w:qFormat/>
    <w:uiPriority w:val="99"/>
    <w:rPr>
      <w:rFonts w:ascii="宋体" w:hAnsi="Calibri Light" w:eastAsia="宋体" w:cs="Calibri Light"/>
      <w:kern w:val="2"/>
      <w:sz w:val="18"/>
      <w:szCs w:val="18"/>
    </w:rPr>
  </w:style>
  <w:style w:type="character" w:styleId="104">
    <w:name w:val="Placeholder Text"/>
    <w:basedOn w:val="33"/>
    <w:semiHidden/>
    <w:qFormat/>
    <w:uiPriority w:val="99"/>
    <w:rPr>
      <w:color w:val="808080"/>
    </w:rPr>
  </w:style>
  <w:style w:type="character" w:customStyle="1" w:styleId="105">
    <w:name w:val="Unresolved Mention"/>
    <w:basedOn w:val="33"/>
    <w:semiHidden/>
    <w:unhideWhenUsed/>
    <w:qFormat/>
    <w:uiPriority w:val="99"/>
    <w:rPr>
      <w:color w:val="605E5C"/>
      <w:shd w:val="clear" w:color="auto" w:fill="E1DFDD"/>
    </w:rPr>
  </w:style>
  <w:style w:type="paragraph" w:customStyle="1" w:styleId="106">
    <w:name w:val="样式1"/>
    <w:basedOn w:val="4"/>
    <w:link w:val="108"/>
    <w:qFormat/>
    <w:uiPriority w:val="0"/>
    <w:pPr>
      <w:jc w:val="left"/>
    </w:pPr>
    <w:rPr>
      <w:rFonts w:eastAsia="楷体"/>
      <w:sz w:val="32"/>
    </w:rPr>
  </w:style>
  <w:style w:type="paragraph" w:customStyle="1" w:styleId="107">
    <w:name w:val="样式2"/>
    <w:basedOn w:val="98"/>
    <w:link w:val="110"/>
    <w:qFormat/>
    <w:uiPriority w:val="0"/>
    <w:pPr>
      <w:spacing w:line="560" w:lineRule="exact"/>
      <w:ind w:firstLine="643" w:firstLineChars="200"/>
      <w:jc w:val="both"/>
    </w:pPr>
    <w:rPr>
      <w:rFonts w:ascii="仿宋_GB2312" w:hAnsi="仿宋" w:eastAsia="仿宋_GB2312"/>
      <w:b/>
      <w:bCs/>
      <w:szCs w:val="32"/>
    </w:rPr>
  </w:style>
  <w:style w:type="character" w:customStyle="1" w:styleId="108">
    <w:name w:val="样式1 字符"/>
    <w:basedOn w:val="72"/>
    <w:link w:val="106"/>
    <w:qFormat/>
    <w:uiPriority w:val="0"/>
    <w:rPr>
      <w:rFonts w:ascii="方正小标宋_GBK" w:hAnsi="仿宋" w:eastAsia="楷体"/>
      <w:sz w:val="32"/>
      <w:szCs w:val="36"/>
    </w:rPr>
  </w:style>
  <w:style w:type="paragraph" w:customStyle="1" w:styleId="109">
    <w:name w:val="样式3"/>
    <w:basedOn w:val="1"/>
    <w:link w:val="111"/>
    <w:qFormat/>
    <w:uiPriority w:val="0"/>
    <w:pPr>
      <w:spacing w:line="560" w:lineRule="exact"/>
      <w:jc w:val="center"/>
    </w:pPr>
    <w:rPr>
      <w:rFonts w:ascii="方正小标宋_GBK" w:hAnsi="仿宋" w:eastAsia="方正小标宋_GBK"/>
      <w:sz w:val="36"/>
      <w:szCs w:val="36"/>
    </w:rPr>
  </w:style>
  <w:style w:type="character" w:customStyle="1" w:styleId="110">
    <w:name w:val="样式2 字符"/>
    <w:basedOn w:val="33"/>
    <w:link w:val="107"/>
    <w:qFormat/>
    <w:uiPriority w:val="0"/>
    <w:rPr>
      <w:rFonts w:ascii="仿宋_GB2312" w:hAnsi="仿宋" w:eastAsia="仿宋_GB2312"/>
      <w:b/>
      <w:bCs/>
      <w:kern w:val="32"/>
      <w:sz w:val="32"/>
      <w:szCs w:val="32"/>
    </w:rPr>
  </w:style>
  <w:style w:type="character" w:customStyle="1" w:styleId="111">
    <w:name w:val="样式3 字符"/>
    <w:basedOn w:val="33"/>
    <w:link w:val="109"/>
    <w:qFormat/>
    <w:uiPriority w:val="0"/>
    <w:rPr>
      <w:rFonts w:ascii="方正小标宋_GBK" w:hAnsi="仿宋" w:eastAsia="方正小标宋_GBK"/>
      <w:sz w:val="36"/>
      <w:szCs w:val="36"/>
    </w:rPr>
  </w:style>
  <w:style w:type="paragraph" w:customStyle="1" w:styleId="112">
    <w:name w:val="HTML Preformatted"/>
    <w:basedOn w:val="1"/>
    <w:qFormat/>
    <w:uiPriority w:val="0"/>
    <w:rPr>
      <w:rFonts w:ascii="Courier New" w:hAnsi="Courier New"/>
      <w:sz w:val="20"/>
    </w:rPr>
  </w:style>
  <w:style w:type="paragraph" w:customStyle="1" w:styleId="113">
    <w:name w:val="Table Paragraph"/>
    <w:basedOn w:val="1"/>
    <w:qFormat/>
    <w:uiPriority w:val="1"/>
  </w:style>
  <w:style w:type="paragraph" w:customStyle="1" w:styleId="114">
    <w:name w:val="WPSOffice手动目录 1"/>
    <w:qFormat/>
    <w:uiPriority w:val="0"/>
    <w:pPr>
      <w:ind w:leftChars="0"/>
    </w:pPr>
    <w:rPr>
      <w:rFonts w:ascii="Times New Roman" w:hAnsi="Times New Roman" w:eastAsia="宋体" w:cs="Times New Roman"/>
      <w:sz w:val="20"/>
      <w:szCs w:val="20"/>
    </w:rPr>
  </w:style>
  <w:style w:type="paragraph" w:customStyle="1" w:styleId="115">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16">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17">
    <w:name w:val="列出段落1"/>
    <w:basedOn w:val="1"/>
    <w:qFormat/>
    <w:uiPriority w:val="99"/>
    <w:pPr>
      <w:ind w:firstLine="420" w:firstLineChars="200"/>
    </w:pPr>
  </w:style>
  <w:style w:type="paragraph" w:customStyle="1" w:styleId="118">
    <w:name w:val="样式 首行缩进:  2 字符"/>
    <w:basedOn w:val="1"/>
    <w:qFormat/>
    <w:uiPriority w:val="0"/>
    <w:pPr>
      <w:spacing w:line="400" w:lineRule="exact"/>
      <w:ind w:firstLine="200" w:firstLineChars="200"/>
    </w:pPr>
    <w:rPr>
      <w:rFonts w:cs="宋体"/>
      <w:sz w:val="24"/>
      <w:szCs w:val="24"/>
    </w:rPr>
  </w:style>
  <w:style w:type="paragraph" w:customStyle="1" w:styleId="1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0">
    <w:name w:val="NormalCharacter"/>
    <w:link w:val="1"/>
    <w:qFormat/>
    <w:uiPriority w:val="0"/>
    <w:rPr>
      <w:rFonts w:cs="Times New Roman" w:asciiTheme="minorHAnsi" w:hAnsiTheme="minorHAnsi" w:eastAsiaTheme="minorEastAsia"/>
      <w:sz w:val="24"/>
      <w:szCs w:val="24"/>
      <w:lang w:val="en-US" w:eastAsia="zh-CN" w:bidi="ar-SA"/>
    </w:rPr>
  </w:style>
  <w:style w:type="character" w:customStyle="1" w:styleId="121">
    <w:name w:val="font101"/>
    <w:basedOn w:val="33"/>
    <w:qFormat/>
    <w:uiPriority w:val="0"/>
    <w:rPr>
      <w:rFonts w:hint="eastAsia" w:ascii="宋体" w:hAnsi="宋体" w:eastAsia="宋体" w:cs="宋体"/>
      <w:color w:val="000000"/>
      <w:sz w:val="20"/>
      <w:szCs w:val="20"/>
      <w:u w:val="none"/>
    </w:rPr>
  </w:style>
  <w:style w:type="character" w:customStyle="1" w:styleId="122">
    <w:name w:val="font51"/>
    <w:basedOn w:val="33"/>
    <w:qFormat/>
    <w:uiPriority w:val="0"/>
    <w:rPr>
      <w:rFonts w:hint="eastAsia" w:ascii="仿宋_GB2312" w:eastAsia="仿宋_GB2312" w:cs="仿宋_GB2312"/>
      <w:color w:val="000000"/>
      <w:sz w:val="20"/>
      <w:szCs w:val="20"/>
      <w:u w:val="none"/>
    </w:rPr>
  </w:style>
  <w:style w:type="character" w:customStyle="1" w:styleId="123">
    <w:name w:val="font91"/>
    <w:basedOn w:val="33"/>
    <w:qFormat/>
    <w:uiPriority w:val="0"/>
    <w:rPr>
      <w:rFonts w:hint="eastAsia" w:ascii="宋体" w:hAnsi="宋体" w:eastAsia="宋体" w:cs="宋体"/>
      <w:color w:val="000000"/>
      <w:sz w:val="20"/>
      <w:szCs w:val="20"/>
      <w:u w:val="none"/>
    </w:rPr>
  </w:style>
  <w:style w:type="paragraph" w:customStyle="1" w:styleId="124">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table" w:customStyle="1" w:styleId="125">
    <w:name w:val="Table Normal"/>
    <w:semiHidden/>
    <w:unhideWhenUsed/>
    <w:qFormat/>
    <w:uiPriority w:val="0"/>
    <w:tblPr>
      <w:tblCellMar>
        <w:top w:w="0" w:type="dxa"/>
        <w:left w:w="0" w:type="dxa"/>
        <w:bottom w:w="0" w:type="dxa"/>
        <w:right w:w="0" w:type="dxa"/>
      </w:tblCellMar>
    </w:tblPr>
  </w:style>
  <w:style w:type="paragraph" w:customStyle="1" w:styleId="126">
    <w:name w:val="Normal Indent1"/>
    <w:basedOn w:val="1"/>
    <w:qFormat/>
    <w:uiPriority w:val="0"/>
    <w:pPr>
      <w:ind w:firstLine="200" w:firstLineChars="200"/>
    </w:pPr>
    <w:rPr>
      <w:rFonts w:eastAsia="楷体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88</Pages>
  <Words>35822</Words>
  <Characters>38613</Characters>
  <Lines>1035</Lines>
  <Paragraphs>716</Paragraphs>
  <TotalTime>10</TotalTime>
  <ScaleCrop>false</ScaleCrop>
  <LinksUpToDate>false</LinksUpToDate>
  <CharactersWithSpaces>39766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2025-07-31T08:30:00Z</cp:lastPrinted>
  <dcterms:modified xsi:type="dcterms:W3CDTF">2025-07-31T09:04:58Z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CAC8C97A318C4330B025560DFCE6F4F1_13</vt:lpwstr>
  </property>
  <property fmtid="{D5CDD505-2E9C-101B-9397-08002B2CF9AE}" pid="4" name="KSOTemplateDocerSaveRecord">
    <vt:lpwstr>eyJoZGlkIjoiNWFkZjk5MjlhODZhOTgyZmQ1ZTUxNzc2NzhjYzBjZjEiLCJ1c2VySWQiOiIzMjExNjMxODcifQ==</vt:lpwstr>
  </property>
</Properties>
</file>