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47BE9C">
      <w:pPr>
        <w:shd w:val="clear"/>
        <w:spacing w:line="480" w:lineRule="exact"/>
        <w:ind w:firstLine="723" w:firstLineChars="200"/>
        <w:jc w:val="right"/>
        <w:rPr>
          <w:rFonts w:hint="eastAsia" w:ascii="宋体" w:hAnsi="宋体" w:eastAsia="宋体" w:cs="宋体"/>
          <w:b/>
          <w:color w:val="auto"/>
          <w:sz w:val="36"/>
          <w:szCs w:val="36"/>
          <w:highlight w:val="none"/>
          <w:bdr w:val="single" w:color="auto" w:sz="4" w:space="0"/>
          <w:shd w:val="pct10" w:color="auto" w:fill="FFFFFF"/>
          <w:lang w:eastAsia="zh-CN"/>
        </w:rPr>
      </w:pPr>
      <w:r>
        <w:rPr>
          <w:rFonts w:hint="eastAsia" w:ascii="宋体" w:hAnsi="宋体" w:eastAsia="宋体" w:cs="宋体"/>
          <w:b/>
          <w:color w:val="auto"/>
          <w:sz w:val="36"/>
          <w:szCs w:val="36"/>
          <w:highlight w:val="none"/>
          <w:bdr w:val="single" w:color="auto" w:sz="4" w:space="0"/>
          <w:shd w:val="pct10" w:color="auto" w:fill="FFFFFF"/>
          <w:lang w:eastAsia="zh-CN"/>
        </w:rPr>
        <w:drawing>
          <wp:anchor distT="0" distB="0" distL="114300" distR="114300" simplePos="0" relativeHeight="251665408" behindDoc="0" locked="0" layoutInCell="1" allowOverlap="1">
            <wp:simplePos x="0" y="0"/>
            <wp:positionH relativeFrom="column">
              <wp:posOffset>-701675</wp:posOffset>
            </wp:positionH>
            <wp:positionV relativeFrom="paragraph">
              <wp:posOffset>-867410</wp:posOffset>
            </wp:positionV>
            <wp:extent cx="7537450" cy="10708005"/>
            <wp:effectExtent l="0" t="0" r="6350" b="17145"/>
            <wp:wrapNone/>
            <wp:docPr id="4" name="图片 4" descr="2025年河口镇安河寺村水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河口镇安河寺村水_01"/>
                    <pic:cNvPicPr>
                      <a:picLocks noChangeAspect="1"/>
                    </pic:cNvPicPr>
                  </pic:nvPicPr>
                  <pic:blipFill>
                    <a:blip r:embed="rId19"/>
                    <a:stretch>
                      <a:fillRect/>
                    </a:stretch>
                  </pic:blipFill>
                  <pic:spPr>
                    <a:xfrm>
                      <a:off x="0" y="0"/>
                      <a:ext cx="7537450" cy="10708005"/>
                    </a:xfrm>
                    <a:prstGeom prst="rect">
                      <a:avLst/>
                    </a:prstGeom>
                  </pic:spPr>
                </pic:pic>
              </a:graphicData>
            </a:graphic>
          </wp:anchor>
        </w:drawing>
      </w:r>
    </w:p>
    <w:p w14:paraId="33498541">
      <w:pPr>
        <w:shd w:val="clear"/>
        <w:spacing w:line="480" w:lineRule="exact"/>
        <w:ind w:firstLine="723" w:firstLineChars="200"/>
        <w:jc w:val="right"/>
        <w:rPr>
          <w:rFonts w:hint="eastAsia" w:ascii="宋体" w:hAnsi="宋体" w:eastAsia="宋体" w:cs="宋体"/>
          <w:b/>
          <w:color w:val="auto"/>
          <w:sz w:val="36"/>
          <w:szCs w:val="36"/>
          <w:highlight w:val="none"/>
          <w:bdr w:val="single" w:color="auto" w:sz="4" w:space="0"/>
          <w:shd w:val="pct10" w:color="auto" w:fill="FFFFFF"/>
        </w:rPr>
      </w:pPr>
      <w:r>
        <w:rPr>
          <w:rFonts w:hint="eastAsia" w:ascii="宋体" w:hAnsi="宋体" w:eastAsia="宋体" w:cs="宋体"/>
          <w:b/>
          <w:color w:val="auto"/>
          <w:sz w:val="36"/>
          <w:szCs w:val="36"/>
          <w:highlight w:val="none"/>
          <w:bdr w:val="single" w:color="auto" w:sz="4" w:space="0"/>
          <w:shd w:val="pct10" w:color="auto" w:fill="FFFFFF"/>
        </w:rPr>
        <w:t>政府采购项目</w:t>
      </w:r>
    </w:p>
    <w:p w14:paraId="25313C93">
      <w:pPr>
        <w:shd w:val="clear"/>
        <w:autoSpaceDE w:val="0"/>
        <w:autoSpaceDN w:val="0"/>
        <w:adjustRightInd w:val="0"/>
        <w:snapToGrid w:val="0"/>
        <w:spacing w:line="360" w:lineRule="auto"/>
        <w:jc w:val="left"/>
        <w:rPr>
          <w:rFonts w:hint="eastAsia" w:ascii="宋体" w:hAnsi="宋体" w:eastAsia="宋体" w:cs="宋体"/>
          <w:color w:val="auto"/>
          <w:sz w:val="32"/>
          <w:szCs w:val="32"/>
          <w:highlight w:val="none"/>
          <w:lang w:val="zh-CN"/>
        </w:rPr>
      </w:pPr>
    </w:p>
    <w:p w14:paraId="650A1A1B">
      <w:pPr>
        <w:shd w:val="clear"/>
        <w:autoSpaceDE w:val="0"/>
        <w:autoSpaceDN w:val="0"/>
        <w:adjustRightInd w:val="0"/>
        <w:snapToGrid w:val="0"/>
        <w:spacing w:line="360" w:lineRule="auto"/>
        <w:jc w:val="left"/>
        <w:rPr>
          <w:rFonts w:hint="eastAsia" w:ascii="宋体" w:hAnsi="宋体" w:eastAsia="宋体" w:cs="宋体"/>
          <w:b/>
          <w:bCs/>
          <w:color w:val="FF0000"/>
          <w:sz w:val="56"/>
          <w:szCs w:val="56"/>
          <w:highlight w:val="none"/>
          <w:lang w:eastAsia="zh-CN"/>
        </w:rPr>
      </w:pPr>
      <w:r>
        <w:rPr>
          <w:rFonts w:hint="eastAsia" w:ascii="宋体" w:hAnsi="宋体" w:eastAsia="宋体" w:cs="宋体"/>
          <w:b/>
          <w:bCs/>
          <w:color w:val="auto"/>
          <w:sz w:val="32"/>
          <w:szCs w:val="32"/>
          <w:highlight w:val="none"/>
          <w:lang w:val="zh-CN"/>
        </w:rPr>
        <w:t>项目编号：</w:t>
      </w:r>
      <w:r>
        <w:rPr>
          <w:rFonts w:hint="eastAsia" w:ascii="宋体" w:hAnsi="宋体" w:eastAsia="宋体" w:cs="宋体"/>
          <w:b/>
          <w:bCs/>
          <w:color w:val="auto"/>
          <w:sz w:val="32"/>
          <w:szCs w:val="32"/>
          <w:highlight w:val="none"/>
          <w:lang w:val="zh-CN" w:eastAsia="zh-CN"/>
        </w:rPr>
        <w:t>HRCZB-2025-011GC</w:t>
      </w:r>
    </w:p>
    <w:p w14:paraId="5ECDFC9D">
      <w:pPr>
        <w:shd w:val="clear"/>
        <w:spacing w:line="360" w:lineRule="auto"/>
        <w:ind w:firstLine="201" w:firstLineChars="50"/>
        <w:jc w:val="center"/>
        <w:rPr>
          <w:rFonts w:hint="eastAsia" w:ascii="宋体" w:hAnsi="宋体" w:eastAsia="宋体" w:cs="宋体"/>
          <w:b/>
          <w:bCs/>
          <w:color w:val="auto"/>
          <w:sz w:val="40"/>
          <w:szCs w:val="40"/>
          <w:highlight w:val="none"/>
          <w:lang w:val="en-US" w:eastAsia="zh-CN"/>
        </w:rPr>
      </w:pPr>
    </w:p>
    <w:p w14:paraId="481F353C">
      <w:pPr>
        <w:pStyle w:val="10"/>
        <w:jc w:val="center"/>
        <w:rPr>
          <w:rFonts w:hint="default" w:ascii="宋体" w:hAnsi="宋体" w:cs="宋体"/>
          <w:b/>
          <w:bCs/>
          <w:color w:val="auto"/>
          <w:sz w:val="72"/>
          <w:szCs w:val="72"/>
          <w:highlight w:val="none"/>
          <w:lang w:val="en-US" w:eastAsia="zh-CN"/>
        </w:rPr>
      </w:pPr>
      <w:r>
        <w:rPr>
          <w:rFonts w:hint="eastAsia" w:ascii="宋体" w:hAnsi="宋体" w:cs="宋体"/>
          <w:b/>
          <w:bCs/>
          <w:color w:val="auto"/>
          <w:sz w:val="72"/>
          <w:szCs w:val="72"/>
          <w:highlight w:val="none"/>
          <w:lang w:val="en-US" w:eastAsia="zh-CN"/>
        </w:rPr>
        <w:t>2025年河口镇安河寺村水毁道路修复项目</w:t>
      </w:r>
    </w:p>
    <w:p w14:paraId="5C3928B5">
      <w:pPr>
        <w:pStyle w:val="10"/>
        <w:rPr>
          <w:rFonts w:hint="default" w:ascii="宋体" w:hAnsi="宋体" w:cs="宋体"/>
          <w:b/>
          <w:bCs/>
          <w:color w:val="auto"/>
          <w:sz w:val="44"/>
          <w:szCs w:val="44"/>
          <w:highlight w:val="none"/>
          <w:lang w:val="en-US" w:eastAsia="zh-CN"/>
        </w:rPr>
      </w:pPr>
    </w:p>
    <w:p w14:paraId="7355ED9A">
      <w:pPr>
        <w:shd w:val="clear"/>
        <w:spacing w:line="360" w:lineRule="auto"/>
        <w:jc w:val="center"/>
        <w:rPr>
          <w:rFonts w:hint="eastAsia" w:ascii="宋体" w:hAnsi="宋体" w:eastAsia="宋体" w:cs="宋体"/>
          <w:b/>
          <w:bCs/>
          <w:color w:val="auto"/>
          <w:spacing w:val="4"/>
          <w:sz w:val="56"/>
          <w:szCs w:val="56"/>
          <w:highlight w:val="none"/>
        </w:rPr>
      </w:pPr>
      <w:r>
        <w:rPr>
          <w:rFonts w:hint="eastAsia" w:ascii="宋体" w:hAnsi="宋体" w:eastAsia="宋体" w:cs="宋体"/>
          <w:b/>
          <w:bCs/>
          <w:color w:val="auto"/>
          <w:sz w:val="72"/>
          <w:szCs w:val="72"/>
          <w:highlight w:val="none"/>
        </w:rPr>
        <w:t>竞争性磋商</w:t>
      </w:r>
      <w:r>
        <w:rPr>
          <w:rFonts w:hint="eastAsia" w:ascii="宋体" w:hAnsi="宋体" w:eastAsia="宋体" w:cs="宋体"/>
          <w:b/>
          <w:bCs/>
          <w:color w:val="auto"/>
          <w:spacing w:val="4"/>
          <w:sz w:val="72"/>
          <w:szCs w:val="72"/>
          <w:highlight w:val="none"/>
        </w:rPr>
        <w:t>文件</w:t>
      </w:r>
    </w:p>
    <w:p w14:paraId="12659C44">
      <w:pPr>
        <w:shd w:val="clear"/>
        <w:spacing w:line="360" w:lineRule="auto"/>
        <w:rPr>
          <w:rFonts w:hint="eastAsia" w:ascii="宋体" w:hAnsi="宋体" w:eastAsia="宋体" w:cs="宋体"/>
          <w:b/>
          <w:bCs/>
          <w:color w:val="auto"/>
          <w:spacing w:val="4"/>
          <w:highlight w:val="none"/>
        </w:rPr>
      </w:pPr>
    </w:p>
    <w:p w14:paraId="0EB949EB">
      <w:pPr>
        <w:shd w:val="clear"/>
        <w:spacing w:line="360" w:lineRule="auto"/>
        <w:rPr>
          <w:rFonts w:hint="eastAsia" w:ascii="宋体" w:hAnsi="宋体" w:eastAsia="宋体" w:cs="宋体"/>
          <w:b/>
          <w:bCs/>
          <w:color w:val="auto"/>
          <w:spacing w:val="4"/>
          <w:highlight w:val="none"/>
        </w:rPr>
      </w:pPr>
    </w:p>
    <w:p w14:paraId="0149F1A9">
      <w:pPr>
        <w:pStyle w:val="10"/>
        <w:rPr>
          <w:rFonts w:hint="eastAsia" w:ascii="宋体" w:hAnsi="宋体" w:eastAsia="宋体" w:cs="宋体"/>
          <w:b/>
          <w:bCs/>
          <w:color w:val="auto"/>
          <w:spacing w:val="4"/>
          <w:highlight w:val="none"/>
        </w:rPr>
      </w:pPr>
    </w:p>
    <w:p w14:paraId="35B5D484">
      <w:pPr>
        <w:pStyle w:val="10"/>
        <w:rPr>
          <w:rFonts w:hint="eastAsia" w:ascii="宋体" w:hAnsi="宋体" w:eastAsia="宋体" w:cs="宋体"/>
          <w:b/>
          <w:bCs/>
          <w:color w:val="auto"/>
          <w:spacing w:val="4"/>
          <w:highlight w:val="none"/>
        </w:rPr>
      </w:pPr>
    </w:p>
    <w:p w14:paraId="70F27CF0">
      <w:pPr>
        <w:shd w:val="clear"/>
        <w:spacing w:line="360" w:lineRule="auto"/>
        <w:rPr>
          <w:rFonts w:hint="eastAsia" w:ascii="宋体" w:hAnsi="宋体" w:eastAsia="宋体" w:cs="宋体"/>
          <w:b/>
          <w:bCs/>
          <w:color w:val="auto"/>
          <w:spacing w:val="4"/>
          <w:highlight w:val="none"/>
        </w:rPr>
      </w:pPr>
    </w:p>
    <w:p w14:paraId="0A6D0282">
      <w:pPr>
        <w:pStyle w:val="10"/>
        <w:shd w:val="clear"/>
        <w:rPr>
          <w:rFonts w:hint="eastAsia" w:ascii="宋体" w:hAnsi="宋体" w:eastAsia="宋体" w:cs="宋体"/>
        </w:rPr>
      </w:pPr>
    </w:p>
    <w:p w14:paraId="0FA57A1A">
      <w:pPr>
        <w:shd w:val="clear"/>
        <w:rPr>
          <w:rFonts w:hint="eastAsia" w:ascii="宋体" w:hAnsi="宋体" w:eastAsia="宋体" w:cs="宋体"/>
          <w:lang w:val="zh-CN"/>
        </w:rPr>
      </w:pPr>
    </w:p>
    <w:p w14:paraId="2C7451EF">
      <w:pPr>
        <w:pStyle w:val="21"/>
        <w:shd w:val="clear"/>
        <w:rPr>
          <w:rFonts w:hint="eastAsia" w:ascii="宋体" w:hAnsi="宋体" w:eastAsia="宋体" w:cs="宋体"/>
          <w:lang w:val="zh-CN"/>
        </w:rPr>
      </w:pPr>
    </w:p>
    <w:p w14:paraId="523ADE9A">
      <w:pPr>
        <w:shd w:val="clear"/>
        <w:tabs>
          <w:tab w:val="left" w:pos="5670"/>
        </w:tabs>
        <w:autoSpaceDE w:val="0"/>
        <w:autoSpaceDN w:val="0"/>
        <w:adjustRightInd w:val="0"/>
        <w:snapToGrid w:val="0"/>
        <w:spacing w:line="360" w:lineRule="auto"/>
        <w:ind w:firstLine="1680" w:firstLineChars="600"/>
        <w:jc w:val="both"/>
        <w:rPr>
          <w:rFonts w:hint="eastAsia" w:ascii="宋体" w:hAnsi="宋体" w:eastAsia="宋体" w:cs="宋体"/>
          <w:b/>
          <w:bCs/>
          <w:color w:val="auto"/>
          <w:sz w:val="32"/>
          <w:szCs w:val="32"/>
          <w:highlight w:val="none"/>
          <w:lang w:val="zh-CN"/>
        </w:rPr>
      </w:pPr>
      <w:r>
        <w:drawing>
          <wp:anchor distT="0" distB="0" distL="114300" distR="114300" simplePos="0" relativeHeight="251668480" behindDoc="0" locked="0" layoutInCell="1" allowOverlap="1">
            <wp:simplePos x="0" y="0"/>
            <wp:positionH relativeFrom="column">
              <wp:posOffset>3753485</wp:posOffset>
            </wp:positionH>
            <wp:positionV relativeFrom="paragraph">
              <wp:posOffset>190500</wp:posOffset>
            </wp:positionV>
            <wp:extent cx="1974850" cy="1682115"/>
            <wp:effectExtent l="0" t="0" r="0" b="0"/>
            <wp:wrapNone/>
            <wp:docPr id="17" name="图片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123"/>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1974850" cy="1682115"/>
                    </a:xfrm>
                    <a:prstGeom prst="rect">
                      <a:avLst/>
                    </a:prstGeom>
                    <a:noFill/>
                    <a:ln>
                      <a:noFill/>
                    </a:ln>
                  </pic:spPr>
                </pic:pic>
              </a:graphicData>
            </a:graphic>
          </wp:anchor>
        </w:drawing>
      </w:r>
      <w:r>
        <w:rPr>
          <w:rFonts w:hint="eastAsia" w:ascii="宋体" w:hAnsi="宋体" w:eastAsia="宋体" w:cs="宋体"/>
          <w:b/>
          <w:bCs/>
          <w:color w:val="auto"/>
          <w:sz w:val="32"/>
          <w:szCs w:val="32"/>
          <w:highlight w:val="none"/>
          <w:lang w:val="zh-CN"/>
        </w:rPr>
        <w:t>采购单位：</w:t>
      </w:r>
      <w:r>
        <w:rPr>
          <w:rFonts w:hint="eastAsia" w:ascii="宋体" w:hAnsi="宋体" w:cs="宋体"/>
          <w:b/>
          <w:bCs/>
          <w:color w:val="auto"/>
          <w:sz w:val="32"/>
          <w:szCs w:val="32"/>
          <w:highlight w:val="none"/>
          <w:lang w:val="zh-CN"/>
        </w:rPr>
        <w:t>凤县河口镇人民政府</w:t>
      </w:r>
    </w:p>
    <w:p w14:paraId="71633791">
      <w:pPr>
        <w:shd w:val="clear"/>
        <w:tabs>
          <w:tab w:val="left" w:pos="5670"/>
        </w:tabs>
        <w:autoSpaceDE w:val="0"/>
        <w:autoSpaceDN w:val="0"/>
        <w:adjustRightInd w:val="0"/>
        <w:snapToGrid w:val="0"/>
        <w:spacing w:line="360" w:lineRule="auto"/>
        <w:ind w:firstLine="1928" w:firstLineChars="600"/>
        <w:jc w:val="both"/>
        <w:rPr>
          <w:rFonts w:hint="eastAsia" w:ascii="宋体" w:hAnsi="宋体" w:eastAsia="宋体" w:cs="宋体"/>
          <w:b/>
          <w:bCs/>
          <w:color w:val="auto"/>
          <w:sz w:val="32"/>
          <w:szCs w:val="32"/>
          <w:highlight w:val="none"/>
          <w:lang w:val="zh-CN"/>
        </w:rPr>
      </w:pPr>
    </w:p>
    <w:p w14:paraId="71CD6C50">
      <w:pPr>
        <w:shd w:val="clear"/>
        <w:tabs>
          <w:tab w:val="left" w:pos="5670"/>
        </w:tabs>
        <w:autoSpaceDE w:val="0"/>
        <w:autoSpaceDN w:val="0"/>
        <w:adjustRightInd w:val="0"/>
        <w:snapToGrid w:val="0"/>
        <w:spacing w:line="360" w:lineRule="auto"/>
        <w:ind w:firstLine="1928" w:firstLineChars="600"/>
        <w:jc w:val="both"/>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rPr>
        <w:t>代理单位：</w:t>
      </w:r>
      <w:r>
        <w:rPr>
          <w:rFonts w:hint="eastAsia" w:ascii="宋体" w:hAnsi="宋体" w:cs="宋体"/>
          <w:b/>
          <w:bCs/>
          <w:color w:val="auto"/>
          <w:sz w:val="32"/>
          <w:szCs w:val="32"/>
          <w:highlight w:val="none"/>
          <w:lang w:val="zh-CN"/>
        </w:rPr>
        <w:t>华睿诚项目管理有限公司</w:t>
      </w:r>
    </w:p>
    <w:p w14:paraId="2B8C5008">
      <w:pPr>
        <w:shd w:val="clear"/>
        <w:rPr>
          <w:rFonts w:hint="eastAsia" w:ascii="宋体" w:hAnsi="宋体" w:eastAsia="宋体" w:cs="宋体"/>
          <w:lang w:val="zh-CN"/>
        </w:rPr>
      </w:pPr>
    </w:p>
    <w:p w14:paraId="076B245E">
      <w:pPr>
        <w:shd w:val="clear"/>
        <w:tabs>
          <w:tab w:val="left" w:pos="5460"/>
        </w:tabs>
        <w:autoSpaceDE w:val="0"/>
        <w:autoSpaceDN w:val="0"/>
        <w:adjustRightInd w:val="0"/>
        <w:snapToGrid w:val="0"/>
        <w:spacing w:line="360" w:lineRule="auto"/>
        <w:ind w:firstLine="3855" w:firstLineChars="1200"/>
        <w:jc w:val="both"/>
        <w:rPr>
          <w:rFonts w:hint="eastAsia" w:ascii="宋体" w:hAnsi="宋体" w:eastAsia="宋体" w:cs="宋体"/>
          <w:b/>
          <w:bCs/>
          <w:color w:val="auto"/>
          <w:sz w:val="32"/>
          <w:szCs w:val="32"/>
          <w:highlight w:val="none"/>
          <w:lang w:val="zh-CN"/>
        </w:rPr>
        <w:sectPr>
          <w:headerReference r:id="rId4" w:type="first"/>
          <w:headerReference r:id="rId3" w:type="default"/>
          <w:footerReference r:id="rId5" w:type="default"/>
          <w:pgSz w:w="11849" w:h="16781"/>
          <w:pgMar w:top="1440" w:right="1080" w:bottom="1440" w:left="1080" w:header="720" w:footer="720" w:gutter="0"/>
          <w:pgNumType w:fmt="decimal" w:start="1"/>
          <w:cols w:space="720" w:num="1"/>
          <w:titlePg/>
          <w:rtlGutter w:val="0"/>
          <w:docGrid w:linePitch="312" w:charSpace="0"/>
        </w:sectPr>
      </w:pPr>
      <w:r>
        <w:rPr>
          <w:rFonts w:hint="eastAsia" w:ascii="宋体" w:hAnsi="宋体" w:eastAsia="宋体" w:cs="宋体"/>
          <w:b/>
          <w:bCs/>
          <w:color w:val="auto"/>
          <w:sz w:val="32"/>
          <w:szCs w:val="32"/>
          <w:highlight w:val="none"/>
          <w:lang w:val="zh-CN"/>
        </w:rPr>
        <w:t>二〇二</w:t>
      </w:r>
      <w:r>
        <w:rPr>
          <w:rFonts w:hint="eastAsia" w:ascii="宋体" w:hAnsi="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lang w:val="zh-CN"/>
        </w:rPr>
        <w:t>年</w:t>
      </w:r>
      <w:r>
        <w:rPr>
          <w:rFonts w:hint="eastAsia" w:ascii="宋体" w:hAnsi="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lang w:val="zh-CN"/>
        </w:rPr>
        <w:t>月</w:t>
      </w:r>
    </w:p>
    <w:p w14:paraId="51968D4B">
      <w:pPr>
        <w:shd w:val="clear"/>
        <w:tabs>
          <w:tab w:val="left" w:pos="5460"/>
        </w:tabs>
        <w:autoSpaceDE w:val="0"/>
        <w:autoSpaceDN w:val="0"/>
        <w:adjustRightInd w:val="0"/>
        <w:snapToGrid w:val="0"/>
        <w:spacing w:line="360" w:lineRule="auto"/>
        <w:jc w:val="center"/>
        <w:rPr>
          <w:rFonts w:hint="eastAsia" w:ascii="宋体" w:hAnsi="宋体" w:eastAsia="宋体" w:cs="宋体"/>
          <w:b/>
          <w:bCs/>
          <w:color w:val="auto"/>
          <w:kern w:val="44"/>
          <w:sz w:val="44"/>
          <w:szCs w:val="44"/>
          <w:lang w:val="zh-CN"/>
        </w:rPr>
      </w:pPr>
      <w:r>
        <w:rPr>
          <w:rFonts w:hint="eastAsia" w:ascii="宋体" w:hAnsi="宋体" w:eastAsia="宋体" w:cs="宋体"/>
          <w:b/>
          <w:bCs/>
          <w:color w:val="auto"/>
          <w:kern w:val="44"/>
          <w:sz w:val="44"/>
          <w:szCs w:val="44"/>
          <w:lang w:val="zh-CN"/>
        </w:rPr>
        <w:t>温馨提示</w:t>
      </w:r>
    </w:p>
    <w:p w14:paraId="62C4C061">
      <w:pPr>
        <w:pStyle w:val="7"/>
        <w:shd w:val="clear"/>
        <w:rPr>
          <w:rFonts w:hint="eastAsia" w:ascii="宋体" w:hAnsi="宋体" w:eastAsia="宋体" w:cs="宋体"/>
          <w:color w:val="auto"/>
          <w:highlight w:val="none"/>
          <w:lang w:val="zh-CN"/>
        </w:rPr>
      </w:pPr>
    </w:p>
    <w:p w14:paraId="0F6ECFEE">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1、请您仔细阅读磋商文件并正确理解磋商文件中各项具体要求。</w:t>
      </w:r>
    </w:p>
    <w:p w14:paraId="24D84947">
      <w:pPr>
        <w:shd w:val="clea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本项目采用不见面开标电子化投标方式磋商，投标供应商须使用数字认证证书（CA锁）对电子磋商响应文件进行签章、加密、递交、开标时解密以及二次报价等相关招投标事宜;供应商通过线上观看开标现场视频，无需到现场参加开标会议。</w:t>
      </w:r>
    </w:p>
    <w:p w14:paraId="1A7EC103">
      <w:pPr>
        <w:shd w:val="clea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实施“不见面开标”，供应商应确保自己的电脑环境、CA锁、网络等状况良好，以免影响其参与交易活动。</w:t>
      </w:r>
    </w:p>
    <w:p w14:paraId="5F60F79D">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、请您确保磋商保证金凭证已办理。</w:t>
      </w:r>
    </w:p>
    <w:p w14:paraId="0B13C84F">
      <w:pPr>
        <w:shd w:val="clea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、咨询其他问题，请与我们的工作人员联系，竭诚为您服务。</w:t>
      </w:r>
    </w:p>
    <w:p w14:paraId="75A4DFBF">
      <w:pPr>
        <w:shd w:val="clear"/>
        <w:spacing w:line="360" w:lineRule="auto"/>
        <w:ind w:firstLine="720" w:firstLine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代理机构：</w:t>
      </w:r>
      <w:r>
        <w:rPr>
          <w:rFonts w:hint="eastAsia" w:ascii="宋体" w:hAnsi="宋体" w:cs="宋体"/>
          <w:color w:val="auto"/>
          <w:sz w:val="24"/>
          <w:szCs w:val="24"/>
          <w:lang w:eastAsia="zh-CN"/>
        </w:rPr>
        <w:t>华睿诚项目管理有限公司</w:t>
      </w:r>
    </w:p>
    <w:p w14:paraId="625F9277">
      <w:pPr>
        <w:shd w:val="clear"/>
        <w:spacing w:line="360" w:lineRule="auto"/>
        <w:ind w:firstLine="720" w:firstLineChars="300"/>
        <w:rPr>
          <w:rFonts w:hint="eastAsia" w:ascii="宋体" w:hAnsi="宋体" w:cs="宋体"/>
          <w:color w:val="auto"/>
          <w:sz w:val="24"/>
          <w:szCs w:val="24"/>
          <w:lang w:eastAsia="zh-CN"/>
        </w:rPr>
      </w:pPr>
      <w:r>
        <w:rPr>
          <w:rFonts w:hint="eastAsia" w:ascii="宋体" w:hAnsi="宋体" w:eastAsia="宋体" w:cs="宋体"/>
          <w:color w:val="auto"/>
          <w:sz w:val="24"/>
          <w:szCs w:val="24"/>
        </w:rPr>
        <w:t>地　</w:t>
      </w:r>
      <w:r>
        <w:rPr>
          <w:rFonts w:hint="eastAsia" w:ascii="宋体" w:hAnsi="宋体" w:cs="宋体"/>
          <w:color w:val="auto"/>
          <w:sz w:val="24"/>
          <w:szCs w:val="24"/>
          <w:lang w:eastAsia="zh-CN"/>
        </w:rPr>
        <w:t>　址：陕西省宝鸡市金台区行政大道16号鹏博财富中心2#楼B座100</w:t>
      </w:r>
      <w:r>
        <w:rPr>
          <w:rFonts w:hint="eastAsia" w:ascii="宋体" w:hAnsi="宋体" w:cs="宋体"/>
          <w:color w:val="auto"/>
          <w:sz w:val="24"/>
          <w:szCs w:val="24"/>
          <w:lang w:val="en-US" w:eastAsia="zh-CN"/>
        </w:rPr>
        <w:t>6</w:t>
      </w:r>
      <w:r>
        <w:rPr>
          <w:rFonts w:hint="eastAsia" w:ascii="宋体" w:hAnsi="宋体" w:cs="宋体"/>
          <w:color w:val="auto"/>
          <w:sz w:val="24"/>
          <w:szCs w:val="24"/>
          <w:lang w:eastAsia="zh-CN"/>
        </w:rPr>
        <w:t>室</w:t>
      </w:r>
    </w:p>
    <w:p w14:paraId="474CD8B9">
      <w:pPr>
        <w:shd w:val="clear"/>
        <w:spacing w:line="360" w:lineRule="auto"/>
        <w:ind w:firstLine="720" w:firstLineChars="300"/>
        <w:rPr>
          <w:rFonts w:hint="eastAsia" w:ascii="宋体" w:hAnsi="宋体" w:cs="宋体"/>
          <w:color w:val="auto"/>
          <w:sz w:val="24"/>
          <w:szCs w:val="24"/>
          <w:lang w:val="en-US" w:eastAsia="zh-CN"/>
        </w:rPr>
      </w:pPr>
      <w:r>
        <w:rPr>
          <w:rFonts w:hint="eastAsia" w:ascii="宋体" w:hAnsi="宋体" w:cs="宋体"/>
          <w:color w:val="auto"/>
          <w:sz w:val="24"/>
          <w:szCs w:val="24"/>
          <w:lang w:eastAsia="zh-CN"/>
        </w:rPr>
        <w:t>联系方式：</w:t>
      </w:r>
      <w:r>
        <w:rPr>
          <w:rFonts w:hint="eastAsia" w:ascii="宋体" w:hAnsi="宋体" w:cs="宋体"/>
          <w:color w:val="auto"/>
          <w:sz w:val="24"/>
          <w:szCs w:val="24"/>
          <w:lang w:val="en-US" w:eastAsia="zh-CN"/>
        </w:rPr>
        <w:t>薛春悦0917-3225998</w:t>
      </w:r>
    </w:p>
    <w:p w14:paraId="445CA084">
      <w:pPr>
        <w:shd w:val="clear"/>
        <w:spacing w:line="360" w:lineRule="auto"/>
        <w:ind w:firstLine="1303" w:firstLineChars="543"/>
        <w:rPr>
          <w:rFonts w:hint="eastAsia" w:ascii="宋体" w:hAnsi="宋体" w:eastAsia="宋体" w:cs="宋体"/>
          <w:color w:val="auto"/>
          <w:spacing w:val="4"/>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740410</wp:posOffset>
                </wp:positionV>
                <wp:extent cx="5532755" cy="793115"/>
                <wp:effectExtent l="4445" t="4445" r="10160" b="10160"/>
                <wp:wrapSquare wrapText="bothSides"/>
                <wp:docPr id="14" name="文本框 14"/>
                <wp:cNvGraphicFramePr/>
                <a:graphic xmlns:a="http://schemas.openxmlformats.org/drawingml/2006/main">
                  <a:graphicData uri="http://schemas.microsoft.com/office/word/2010/wordprocessingShape">
                    <wps:wsp>
                      <wps:cNvSpPr txBox="1"/>
                      <wps:spPr>
                        <a:xfrm>
                          <a:off x="0" y="0"/>
                          <a:ext cx="5532755" cy="793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D93419">
                            <w:pPr>
                              <w:spacing w:line="480" w:lineRule="auto"/>
                              <w:jc w:val="left"/>
                              <w:rPr>
                                <w:rFonts w:ascii="宋体" w:hAnsi="宋体"/>
                                <w:b/>
                                <w:sz w:val="24"/>
                              </w:rPr>
                            </w:pPr>
                            <w:r>
                              <w:rPr>
                                <w:rFonts w:hint="eastAsia" w:ascii="宋体" w:hAnsi="宋体"/>
                                <w:b/>
                                <w:sz w:val="24"/>
                              </w:rPr>
                              <w:t>温馨提示：</w:t>
                            </w:r>
                            <w:r>
                              <w:rPr>
                                <w:rFonts w:hint="eastAsia" w:ascii="宋体" w:hAnsi="宋体"/>
                                <w:b/>
                                <w:sz w:val="24"/>
                                <w:lang w:eastAsia="zh-CN"/>
                              </w:rPr>
                              <w:t>获取</w:t>
                            </w:r>
                            <w:r>
                              <w:rPr>
                                <w:rFonts w:hint="eastAsia" w:ascii="宋体" w:hAnsi="宋体"/>
                                <w:b/>
                                <w:sz w:val="24"/>
                              </w:rPr>
                              <w:t>磋商文件后，请仔细阅读，特别注意粗体及划线部分，如有疑问请来电咨询。</w:t>
                            </w:r>
                          </w:p>
                        </w:txbxContent>
                      </wps:txbx>
                      <wps:bodyPr upright="1"/>
                    </wps:wsp>
                  </a:graphicData>
                </a:graphic>
              </wp:anchor>
            </w:drawing>
          </mc:Choice>
          <mc:Fallback>
            <w:pict>
              <v:shape id="_x0000_s1026" o:spid="_x0000_s1026" o:spt="202" type="#_x0000_t202" style="position:absolute;left:0pt;margin-left:11.25pt;margin-top:58.3pt;height:62.45pt;width:435.65pt;mso-wrap-distance-bottom:0pt;mso-wrap-distance-left:9pt;mso-wrap-distance-right:9pt;mso-wrap-distance-top:0pt;z-index:251661312;mso-width-relative:page;mso-height-relative:page;" fillcolor="#FFFFFF" filled="t" stroked="t" coordsize="21600,21600" o:gfxdata="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gcHCdkAAAAKAQAADwAAAAAAAAABACAA&#10;AAAiAAAAZHJzL2Rvd25yZXYueG1sUEsBAhQAFAAAAAgAh07iQDOBA+0MAgAAOAQAAA4AAAAAAAAA&#10;AQAgAAAAKAEAAGRycy9lMm9Eb2MueG1sUEsFBgAAAAAGAAYAWQEAAKYFAAAAAA==&#10;">
                <v:fill on="t" focussize="0,0"/>
                <v:stroke color="#000000" joinstyle="miter"/>
                <v:imagedata o:title=""/>
                <o:lock v:ext="edit" aspectratio="f"/>
                <v:textbox>
                  <w:txbxContent>
                    <w:p w14:paraId="58D93419">
                      <w:pPr>
                        <w:spacing w:line="480" w:lineRule="auto"/>
                        <w:jc w:val="left"/>
                        <w:rPr>
                          <w:rFonts w:ascii="宋体" w:hAnsi="宋体"/>
                          <w:b/>
                          <w:sz w:val="24"/>
                        </w:rPr>
                      </w:pPr>
                      <w:r>
                        <w:rPr>
                          <w:rFonts w:hint="eastAsia" w:ascii="宋体" w:hAnsi="宋体"/>
                          <w:b/>
                          <w:sz w:val="24"/>
                        </w:rPr>
                        <w:t>温馨提示：</w:t>
                      </w:r>
                      <w:r>
                        <w:rPr>
                          <w:rFonts w:hint="eastAsia" w:ascii="宋体" w:hAnsi="宋体"/>
                          <w:b/>
                          <w:sz w:val="24"/>
                          <w:lang w:eastAsia="zh-CN"/>
                        </w:rPr>
                        <w:t>获取</w:t>
                      </w:r>
                      <w:r>
                        <w:rPr>
                          <w:rFonts w:hint="eastAsia" w:ascii="宋体" w:hAnsi="宋体"/>
                          <w:b/>
                          <w:sz w:val="24"/>
                        </w:rPr>
                        <w:t>磋商文件后，请仔细阅读，特别注意粗体及划线部分，如有疑问请来电咨询。</w:t>
                      </w:r>
                    </w:p>
                  </w:txbxContent>
                </v:textbox>
                <w10:wrap type="square"/>
              </v:shape>
            </w:pict>
          </mc:Fallback>
        </mc:AlternateContent>
      </w:r>
    </w:p>
    <w:p w14:paraId="4A74479C">
      <w:pPr>
        <w:pStyle w:val="25"/>
        <w:shd w:val="clear"/>
        <w:ind w:firstLine="248"/>
        <w:rPr>
          <w:rFonts w:hint="eastAsia" w:ascii="宋体" w:hAnsi="宋体" w:eastAsia="宋体" w:cs="宋体"/>
          <w:color w:val="auto"/>
          <w:spacing w:val="4"/>
          <w:sz w:val="24"/>
          <w:szCs w:val="24"/>
        </w:rPr>
      </w:pPr>
    </w:p>
    <w:p w14:paraId="0D9B1618">
      <w:pPr>
        <w:pStyle w:val="25"/>
        <w:shd w:val="clear"/>
        <w:ind w:firstLine="248"/>
        <w:rPr>
          <w:rFonts w:hint="eastAsia" w:ascii="宋体" w:hAnsi="宋体" w:eastAsia="宋体" w:cs="宋体"/>
          <w:color w:val="auto"/>
          <w:spacing w:val="4"/>
          <w:sz w:val="24"/>
          <w:szCs w:val="24"/>
        </w:rPr>
      </w:pPr>
    </w:p>
    <w:p w14:paraId="36A46515">
      <w:pPr>
        <w:pStyle w:val="25"/>
        <w:shd w:val="clear"/>
        <w:ind w:firstLine="248"/>
        <w:rPr>
          <w:rFonts w:hint="eastAsia" w:ascii="宋体" w:hAnsi="宋体" w:eastAsia="宋体" w:cs="宋体"/>
          <w:color w:val="auto"/>
          <w:spacing w:val="4"/>
          <w:sz w:val="24"/>
          <w:szCs w:val="24"/>
        </w:rPr>
      </w:pPr>
    </w:p>
    <w:p w14:paraId="5B906322">
      <w:pPr>
        <w:pStyle w:val="25"/>
        <w:shd w:val="clear"/>
        <w:ind w:firstLine="248"/>
        <w:rPr>
          <w:rFonts w:hint="eastAsia" w:ascii="宋体" w:hAnsi="宋体" w:eastAsia="宋体" w:cs="宋体"/>
          <w:color w:val="auto"/>
          <w:spacing w:val="4"/>
          <w:sz w:val="24"/>
          <w:szCs w:val="24"/>
        </w:rPr>
      </w:pPr>
    </w:p>
    <w:p w14:paraId="74D48A5D">
      <w:pPr>
        <w:pStyle w:val="25"/>
        <w:shd w:val="clear"/>
        <w:ind w:firstLine="248"/>
        <w:rPr>
          <w:rFonts w:hint="eastAsia" w:ascii="宋体" w:hAnsi="宋体" w:eastAsia="宋体" w:cs="宋体"/>
          <w:color w:val="auto"/>
          <w:spacing w:val="4"/>
          <w:sz w:val="24"/>
          <w:szCs w:val="24"/>
        </w:rPr>
      </w:pPr>
    </w:p>
    <w:p w14:paraId="604B48BB">
      <w:pPr>
        <w:shd w:val="clear"/>
        <w:rPr>
          <w:rFonts w:hint="eastAsia" w:ascii="宋体" w:hAnsi="宋体" w:eastAsia="宋体" w:cs="宋体"/>
          <w:color w:val="auto"/>
          <w:spacing w:val="4"/>
          <w:sz w:val="44"/>
          <w:highlight w:val="none"/>
        </w:rPr>
      </w:pPr>
    </w:p>
    <w:p w14:paraId="366B4DDD">
      <w:pPr>
        <w:shd w:val="clear"/>
        <w:rPr>
          <w:rFonts w:hint="eastAsia" w:ascii="宋体" w:hAnsi="宋体" w:eastAsia="宋体" w:cs="宋体"/>
          <w:color w:val="auto"/>
          <w:spacing w:val="4"/>
          <w:sz w:val="44"/>
          <w:highlight w:val="none"/>
        </w:rPr>
      </w:pPr>
      <w:r>
        <w:drawing>
          <wp:anchor distT="0" distB="0" distL="114300" distR="114300" simplePos="0" relativeHeight="251667456" behindDoc="0" locked="0" layoutInCell="1" allowOverlap="1">
            <wp:simplePos x="0" y="0"/>
            <wp:positionH relativeFrom="column">
              <wp:posOffset>2324100</wp:posOffset>
            </wp:positionH>
            <wp:positionV relativeFrom="paragraph">
              <wp:posOffset>6064250</wp:posOffset>
            </wp:positionV>
            <wp:extent cx="4038600" cy="3438525"/>
            <wp:effectExtent l="0" t="0" r="0" b="9525"/>
            <wp:wrapNone/>
            <wp:docPr id="7" name="图片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23"/>
                    <pic:cNvPicPr>
                      <a:picLocks noChangeAspect="1"/>
                    </pic:cNvPicPr>
                  </pic:nvPicPr>
                  <pic:blipFill>
                    <a:blip r:embed="rId20"/>
                    <a:stretch>
                      <a:fillRect/>
                    </a:stretch>
                  </pic:blipFill>
                  <pic:spPr>
                    <a:xfrm>
                      <a:off x="0" y="0"/>
                      <a:ext cx="4038600" cy="3438525"/>
                    </a:xfrm>
                    <a:prstGeom prst="rect">
                      <a:avLst/>
                    </a:prstGeom>
                    <a:noFill/>
                    <a:ln>
                      <a:noFill/>
                    </a:ln>
                  </pic:spPr>
                </pic:pic>
              </a:graphicData>
            </a:graphic>
          </wp:anchor>
        </w:drawing>
      </w:r>
    </w:p>
    <w:p w14:paraId="18B5214F">
      <w:pPr>
        <w:pStyle w:val="12"/>
        <w:shd w:val="clear"/>
        <w:rPr>
          <w:rFonts w:hint="eastAsia" w:ascii="宋体" w:hAnsi="宋体" w:eastAsia="宋体" w:cs="宋体"/>
          <w:color w:val="auto"/>
          <w:spacing w:val="4"/>
          <w:sz w:val="44"/>
          <w:highlight w:val="none"/>
        </w:rPr>
      </w:pPr>
      <w:r>
        <w:drawing>
          <wp:anchor distT="0" distB="0" distL="114300" distR="114300" simplePos="0" relativeHeight="251666432" behindDoc="0" locked="0" layoutInCell="1" allowOverlap="1">
            <wp:simplePos x="0" y="0"/>
            <wp:positionH relativeFrom="column">
              <wp:posOffset>2324100</wp:posOffset>
            </wp:positionH>
            <wp:positionV relativeFrom="paragraph">
              <wp:posOffset>6064250</wp:posOffset>
            </wp:positionV>
            <wp:extent cx="4038600" cy="3438525"/>
            <wp:effectExtent l="0" t="0" r="0" b="9525"/>
            <wp:wrapNone/>
            <wp:docPr id="6"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23"/>
                    <pic:cNvPicPr>
                      <a:picLocks noChangeAspect="1"/>
                    </pic:cNvPicPr>
                  </pic:nvPicPr>
                  <pic:blipFill>
                    <a:blip r:embed="rId20"/>
                    <a:stretch>
                      <a:fillRect/>
                    </a:stretch>
                  </pic:blipFill>
                  <pic:spPr>
                    <a:xfrm>
                      <a:off x="0" y="0"/>
                      <a:ext cx="4038600" cy="3438525"/>
                    </a:xfrm>
                    <a:prstGeom prst="rect">
                      <a:avLst/>
                    </a:prstGeom>
                    <a:noFill/>
                    <a:ln>
                      <a:noFill/>
                    </a:ln>
                  </pic:spPr>
                </pic:pic>
              </a:graphicData>
            </a:graphic>
          </wp:anchor>
        </w:drawing>
      </w:r>
    </w:p>
    <w:p w14:paraId="2F672F12">
      <w:pPr>
        <w:pStyle w:val="10"/>
        <w:rPr>
          <w:rFonts w:hint="eastAsia"/>
        </w:rPr>
      </w:pPr>
    </w:p>
    <w:p w14:paraId="796718E8">
      <w:pPr>
        <w:shd w:val="clear"/>
        <w:rPr>
          <w:rFonts w:hint="eastAsia" w:ascii="宋体" w:hAnsi="宋体" w:eastAsia="宋体" w:cs="宋体"/>
        </w:rPr>
      </w:pPr>
    </w:p>
    <w:p w14:paraId="196C55C4">
      <w:pPr>
        <w:shd w:val="clear"/>
        <w:rPr>
          <w:rFonts w:hint="eastAsia" w:ascii="宋体" w:hAnsi="宋体" w:eastAsia="宋体" w:cs="宋体"/>
          <w:color w:val="auto"/>
          <w:spacing w:val="4"/>
          <w:sz w:val="44"/>
          <w:highlight w:val="none"/>
        </w:rPr>
      </w:pPr>
    </w:p>
    <w:p w14:paraId="063A7C5D">
      <w:pPr>
        <w:shd w:val="clear"/>
        <w:rPr>
          <w:rFonts w:hint="eastAsia" w:ascii="宋体" w:hAnsi="宋体" w:eastAsia="宋体" w:cs="宋体"/>
          <w:color w:val="auto"/>
          <w:spacing w:val="4"/>
          <w:sz w:val="44"/>
          <w:highlight w:val="none"/>
        </w:rPr>
      </w:pPr>
      <w:bookmarkStart w:id="98" w:name="_GoBack"/>
      <w:bookmarkEnd w:id="98"/>
    </w:p>
    <w:p w14:paraId="42295040">
      <w:pPr>
        <w:pStyle w:val="12"/>
        <w:shd w:val="clear"/>
        <w:rPr>
          <w:rFonts w:hint="eastAsia" w:ascii="宋体" w:hAnsi="宋体" w:eastAsia="宋体" w:cs="宋体"/>
        </w:rPr>
      </w:pPr>
    </w:p>
    <w:p w14:paraId="1B076CD6">
      <w:pPr>
        <w:pStyle w:val="12"/>
        <w:shd w:val="clear"/>
        <w:rPr>
          <w:rFonts w:hint="eastAsia" w:ascii="宋体" w:hAnsi="宋体" w:eastAsia="宋体" w:cs="宋体"/>
        </w:rPr>
        <w:sectPr>
          <w:headerReference r:id="rId6" w:type="default"/>
          <w:footerReference r:id="rId7" w:type="default"/>
          <w:pgSz w:w="11849" w:h="16781"/>
          <w:pgMar w:top="1440" w:right="1080" w:bottom="1440" w:left="1080" w:header="720" w:footer="720" w:gutter="0"/>
          <w:pgNumType w:fmt="decimal" w:start="1"/>
          <w:cols w:space="0" w:num="1"/>
          <w:rtlGutter w:val="0"/>
          <w:docGrid w:linePitch="0" w:charSpace="0"/>
        </w:sectPr>
      </w:pPr>
    </w:p>
    <w:p w14:paraId="73AD072A">
      <w:pPr>
        <w:rPr>
          <w:rFonts w:hint="eastAsia"/>
        </w:rPr>
      </w:pPr>
    </w:p>
    <w:p w14:paraId="0F8BC291">
      <w:pPr>
        <w:shd w:val="clear"/>
        <w:spacing w:line="360" w:lineRule="auto"/>
        <w:ind w:firstLine="2442" w:firstLineChars="543"/>
        <w:rPr>
          <w:rFonts w:hint="eastAsia" w:ascii="宋体" w:hAnsi="宋体" w:eastAsia="宋体" w:cs="宋体"/>
          <w:color w:val="auto"/>
          <w:spacing w:val="4"/>
          <w:sz w:val="44"/>
          <w:highlight w:val="none"/>
        </w:rPr>
      </w:pPr>
      <w:r>
        <w:rPr>
          <w:rFonts w:hint="eastAsia" w:ascii="宋体" w:hAnsi="宋体" w:eastAsia="宋体" w:cs="宋体"/>
          <w:b/>
          <w:bCs/>
          <w:color w:val="auto"/>
          <w:spacing w:val="4"/>
          <w:sz w:val="44"/>
          <w:highlight w:val="none"/>
        </w:rPr>
        <w:t>竞争性磋商文件目录</w:t>
      </w:r>
    </w:p>
    <w:p w14:paraId="282164CF">
      <w:pPr>
        <w:pStyle w:val="19"/>
        <w:shd w:val="clear"/>
        <w:tabs>
          <w:tab w:val="right" w:leader="dot" w:pos="9689"/>
        </w:tabs>
        <w:spacing w:line="480" w:lineRule="auto"/>
        <w:rPr>
          <w:rFonts w:hint="eastAsia" w:ascii="宋体" w:hAnsi="宋体" w:eastAsia="宋体" w:cs="宋体"/>
        </w:rPr>
      </w:pPr>
      <w:r>
        <w:rPr>
          <w:rFonts w:hint="eastAsia" w:ascii="宋体" w:hAnsi="宋体" w:eastAsia="宋体" w:cs="宋体"/>
          <w:color w:val="auto"/>
          <w:spacing w:val="4"/>
          <w:sz w:val="32"/>
          <w:highlight w:val="none"/>
        </w:rPr>
        <w:fldChar w:fldCharType="begin"/>
      </w:r>
      <w:r>
        <w:rPr>
          <w:rFonts w:hint="eastAsia" w:ascii="宋体" w:hAnsi="宋体" w:eastAsia="宋体" w:cs="宋体"/>
          <w:color w:val="auto"/>
          <w:spacing w:val="4"/>
          <w:sz w:val="32"/>
          <w:highlight w:val="none"/>
        </w:rPr>
        <w:instrText xml:space="preserve">TOC \o "1-1" \h \u </w:instrText>
      </w:r>
      <w:r>
        <w:rPr>
          <w:rFonts w:hint="eastAsia" w:ascii="宋体" w:hAnsi="宋体" w:eastAsia="宋体" w:cs="宋体"/>
          <w:color w:val="auto"/>
          <w:spacing w:val="4"/>
          <w:sz w:val="32"/>
          <w:highlight w:val="none"/>
        </w:rPr>
        <w:fldChar w:fldCharType="separate"/>
      </w:r>
      <w:r>
        <w:rPr>
          <w:rFonts w:hint="eastAsia" w:ascii="宋体" w:hAnsi="宋体" w:eastAsia="宋体" w:cs="宋体"/>
          <w:color w:val="auto"/>
          <w:spacing w:val="4"/>
          <w:highlight w:val="none"/>
        </w:rPr>
        <w:fldChar w:fldCharType="begin"/>
      </w:r>
      <w:r>
        <w:rPr>
          <w:rFonts w:hint="eastAsia" w:ascii="宋体" w:hAnsi="宋体" w:eastAsia="宋体" w:cs="宋体"/>
          <w:spacing w:val="4"/>
          <w:highlight w:val="none"/>
        </w:rPr>
        <w:instrText xml:space="preserve"> HYPERLINK \l _Toc5201 </w:instrText>
      </w:r>
      <w:r>
        <w:rPr>
          <w:rFonts w:hint="eastAsia" w:ascii="宋体" w:hAnsi="宋体" w:eastAsia="宋体" w:cs="宋体"/>
          <w:spacing w:val="4"/>
          <w:highlight w:val="none"/>
        </w:rPr>
        <w:fldChar w:fldCharType="separate"/>
      </w:r>
      <w:r>
        <w:rPr>
          <w:rFonts w:hint="eastAsia" w:ascii="宋体" w:hAnsi="宋体" w:eastAsia="宋体" w:cs="宋体"/>
          <w:bCs/>
          <w:szCs w:val="44"/>
          <w:highlight w:val="none"/>
        </w:rPr>
        <w:t>第一章  竞争性磋商</w:t>
      </w:r>
      <w:r>
        <w:rPr>
          <w:rFonts w:hint="eastAsia" w:ascii="宋体" w:hAnsi="宋体" w:eastAsia="宋体" w:cs="宋体"/>
          <w:bCs/>
          <w:szCs w:val="44"/>
          <w:highlight w:val="none"/>
          <w:lang w:eastAsia="zh-CN"/>
        </w:rPr>
        <w:t>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_Toc5201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color w:val="auto"/>
          <w:spacing w:val="4"/>
          <w:highlight w:val="none"/>
        </w:rPr>
        <w:fldChar w:fldCharType="end"/>
      </w:r>
    </w:p>
    <w:p w14:paraId="3EAFD827">
      <w:pPr>
        <w:pStyle w:val="19"/>
        <w:shd w:val="clear"/>
        <w:tabs>
          <w:tab w:val="right" w:leader="dot" w:pos="9689"/>
        </w:tabs>
        <w:spacing w:line="480" w:lineRule="auto"/>
        <w:rPr>
          <w:rFonts w:hint="eastAsia" w:ascii="宋体" w:hAnsi="宋体" w:eastAsia="宋体" w:cs="宋体"/>
        </w:rPr>
      </w:pPr>
      <w:r>
        <w:rPr>
          <w:rFonts w:hint="eastAsia" w:ascii="宋体" w:hAnsi="宋体" w:eastAsia="宋体" w:cs="宋体"/>
          <w:color w:val="auto"/>
          <w:spacing w:val="4"/>
          <w:highlight w:val="none"/>
        </w:rPr>
        <w:fldChar w:fldCharType="begin"/>
      </w:r>
      <w:r>
        <w:rPr>
          <w:rFonts w:hint="eastAsia" w:ascii="宋体" w:hAnsi="宋体" w:eastAsia="宋体" w:cs="宋体"/>
          <w:spacing w:val="4"/>
          <w:highlight w:val="none"/>
        </w:rPr>
        <w:instrText xml:space="preserve"> HYPERLINK \l _Toc2509 </w:instrText>
      </w:r>
      <w:r>
        <w:rPr>
          <w:rFonts w:hint="eastAsia" w:ascii="宋体" w:hAnsi="宋体" w:eastAsia="宋体" w:cs="宋体"/>
          <w:spacing w:val="4"/>
          <w:highlight w:val="none"/>
        </w:rPr>
        <w:fldChar w:fldCharType="separate"/>
      </w:r>
      <w:r>
        <w:rPr>
          <w:rFonts w:hint="eastAsia" w:ascii="宋体" w:hAnsi="宋体" w:eastAsia="宋体" w:cs="宋体"/>
          <w:bCs/>
          <w:szCs w:val="44"/>
          <w:highlight w:val="none"/>
        </w:rPr>
        <w:t>第二章  竞争性磋商须知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_Toc2509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color w:val="auto"/>
          <w:spacing w:val="4"/>
          <w:highlight w:val="none"/>
        </w:rPr>
        <w:fldChar w:fldCharType="end"/>
      </w:r>
    </w:p>
    <w:p w14:paraId="726D4FD9">
      <w:pPr>
        <w:pStyle w:val="19"/>
        <w:shd w:val="clear"/>
        <w:tabs>
          <w:tab w:val="right" w:leader="dot" w:pos="9689"/>
        </w:tabs>
        <w:spacing w:line="480" w:lineRule="auto"/>
        <w:rPr>
          <w:rFonts w:hint="eastAsia" w:ascii="宋体" w:hAnsi="宋体" w:eastAsia="宋体" w:cs="宋体"/>
        </w:rPr>
      </w:pPr>
      <w:r>
        <w:rPr>
          <w:rFonts w:hint="eastAsia" w:ascii="宋体" w:hAnsi="宋体" w:eastAsia="宋体" w:cs="宋体"/>
          <w:color w:val="auto"/>
          <w:spacing w:val="4"/>
          <w:highlight w:val="none"/>
        </w:rPr>
        <w:fldChar w:fldCharType="begin"/>
      </w:r>
      <w:r>
        <w:rPr>
          <w:rFonts w:hint="eastAsia" w:ascii="宋体" w:hAnsi="宋体" w:eastAsia="宋体" w:cs="宋体"/>
          <w:spacing w:val="4"/>
          <w:highlight w:val="none"/>
        </w:rPr>
        <w:instrText xml:space="preserve"> HYPERLINK \l _Toc7531 </w:instrText>
      </w:r>
      <w:r>
        <w:rPr>
          <w:rFonts w:hint="eastAsia" w:ascii="宋体" w:hAnsi="宋体" w:eastAsia="宋体" w:cs="宋体"/>
          <w:spacing w:val="4"/>
          <w:highlight w:val="none"/>
        </w:rPr>
        <w:fldChar w:fldCharType="separate"/>
      </w:r>
      <w:r>
        <w:rPr>
          <w:rFonts w:hint="eastAsia" w:ascii="宋体" w:hAnsi="宋体" w:eastAsia="宋体" w:cs="宋体"/>
          <w:bCs/>
          <w:kern w:val="2"/>
          <w:szCs w:val="44"/>
          <w:lang w:eastAsia="zh-CN"/>
        </w:rPr>
        <w:t xml:space="preserve">第三章 </w:t>
      </w:r>
      <w:r>
        <w:rPr>
          <w:rFonts w:hint="eastAsia" w:ascii="宋体" w:hAnsi="宋体" w:eastAsia="宋体" w:cs="宋体"/>
          <w:bCs/>
          <w:kern w:val="2"/>
          <w:szCs w:val="44"/>
          <w:lang w:val="en-US" w:eastAsia="zh-CN"/>
        </w:rPr>
        <w:t xml:space="preserve"> </w:t>
      </w:r>
      <w:r>
        <w:rPr>
          <w:rFonts w:hint="eastAsia" w:ascii="宋体" w:hAnsi="宋体" w:eastAsia="宋体" w:cs="宋体"/>
          <w:bCs/>
          <w:kern w:val="2"/>
          <w:szCs w:val="44"/>
          <w:highlight w:val="none"/>
          <w:lang w:eastAsia="zh-CN"/>
        </w:rPr>
        <w:t>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_Toc7531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spacing w:val="4"/>
          <w:highlight w:val="none"/>
        </w:rPr>
        <w:fldChar w:fldCharType="end"/>
      </w:r>
    </w:p>
    <w:p w14:paraId="0FEBE973">
      <w:pPr>
        <w:pStyle w:val="19"/>
        <w:shd w:val="clear"/>
        <w:tabs>
          <w:tab w:val="right" w:leader="dot" w:pos="9689"/>
        </w:tabs>
        <w:spacing w:line="480" w:lineRule="auto"/>
        <w:rPr>
          <w:rFonts w:hint="eastAsia" w:ascii="宋体" w:hAnsi="宋体" w:eastAsia="宋体" w:cs="宋体"/>
        </w:rPr>
      </w:pPr>
      <w:r>
        <w:rPr>
          <w:rFonts w:hint="eastAsia" w:ascii="宋体" w:hAnsi="宋体" w:eastAsia="宋体" w:cs="宋体"/>
          <w:color w:val="auto"/>
          <w:spacing w:val="4"/>
          <w:highlight w:val="none"/>
        </w:rPr>
        <w:fldChar w:fldCharType="begin"/>
      </w:r>
      <w:r>
        <w:rPr>
          <w:rFonts w:hint="eastAsia" w:ascii="宋体" w:hAnsi="宋体" w:eastAsia="宋体" w:cs="宋体"/>
          <w:spacing w:val="4"/>
          <w:highlight w:val="none"/>
        </w:rPr>
        <w:instrText xml:space="preserve"> HYPERLINK \l _Toc28749 </w:instrText>
      </w:r>
      <w:r>
        <w:rPr>
          <w:rFonts w:hint="eastAsia" w:ascii="宋体" w:hAnsi="宋体" w:eastAsia="宋体" w:cs="宋体"/>
          <w:spacing w:val="4"/>
          <w:highlight w:val="none"/>
        </w:rPr>
        <w:fldChar w:fldCharType="separate"/>
      </w:r>
      <w:r>
        <w:rPr>
          <w:rFonts w:hint="eastAsia" w:ascii="宋体" w:hAnsi="宋体" w:eastAsia="宋体" w:cs="宋体"/>
          <w:bCs/>
          <w:kern w:val="2"/>
          <w:szCs w:val="44"/>
        </w:rPr>
        <w:t xml:space="preserve">第四章 </w:t>
      </w:r>
      <w:r>
        <w:rPr>
          <w:rFonts w:hint="eastAsia" w:ascii="宋体" w:hAnsi="宋体" w:eastAsia="宋体" w:cs="宋体"/>
          <w:bCs/>
          <w:kern w:val="2"/>
          <w:szCs w:val="44"/>
          <w:lang w:val="en-US" w:eastAsia="zh-CN"/>
        </w:rPr>
        <w:t xml:space="preserve"> </w:t>
      </w:r>
      <w:r>
        <w:rPr>
          <w:rFonts w:hint="eastAsia" w:ascii="宋体" w:hAnsi="宋体" w:eastAsia="宋体" w:cs="宋体"/>
          <w:bCs/>
          <w:kern w:val="2"/>
          <w:szCs w:val="44"/>
          <w:highlight w:val="none"/>
        </w:rPr>
        <w:t>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_Toc28749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spacing w:val="4"/>
          <w:highlight w:val="none"/>
        </w:rPr>
        <w:fldChar w:fldCharType="end"/>
      </w:r>
    </w:p>
    <w:p w14:paraId="64AE8151">
      <w:pPr>
        <w:pStyle w:val="19"/>
        <w:shd w:val="clear"/>
        <w:tabs>
          <w:tab w:val="right" w:leader="dot" w:pos="9689"/>
        </w:tabs>
        <w:spacing w:line="480" w:lineRule="auto"/>
        <w:rPr>
          <w:rFonts w:hint="eastAsia" w:ascii="宋体" w:hAnsi="宋体" w:eastAsia="宋体" w:cs="宋体"/>
        </w:rPr>
      </w:pPr>
      <w:r>
        <w:rPr>
          <w:rFonts w:hint="eastAsia" w:ascii="宋体" w:hAnsi="宋体" w:eastAsia="宋体" w:cs="宋体"/>
          <w:color w:val="auto"/>
          <w:spacing w:val="4"/>
          <w:highlight w:val="none"/>
        </w:rPr>
        <w:fldChar w:fldCharType="begin"/>
      </w:r>
      <w:r>
        <w:rPr>
          <w:rFonts w:hint="eastAsia" w:ascii="宋体" w:hAnsi="宋体" w:eastAsia="宋体" w:cs="宋体"/>
          <w:spacing w:val="4"/>
          <w:highlight w:val="none"/>
        </w:rPr>
        <w:instrText xml:space="preserve"> HYPERLINK \l _Toc20647 </w:instrText>
      </w:r>
      <w:r>
        <w:rPr>
          <w:rFonts w:hint="eastAsia" w:ascii="宋体" w:hAnsi="宋体" w:eastAsia="宋体" w:cs="宋体"/>
          <w:spacing w:val="4"/>
          <w:highlight w:val="none"/>
        </w:rPr>
        <w:fldChar w:fldCharType="separate"/>
      </w:r>
      <w:r>
        <w:rPr>
          <w:rFonts w:hint="eastAsia" w:ascii="宋体" w:hAnsi="宋体" w:eastAsia="宋体" w:cs="宋体"/>
          <w:highlight w:val="none"/>
        </w:rPr>
        <w:t xml:space="preserve">第五章 </w:t>
      </w:r>
      <w:r>
        <w:rPr>
          <w:rFonts w:hint="eastAsia" w:ascii="宋体" w:hAnsi="宋体" w:eastAsia="宋体" w:cs="宋体"/>
          <w:highlight w:val="none"/>
          <w:lang w:val="en-US" w:eastAsia="zh-CN"/>
        </w:rPr>
        <w:t xml:space="preserve"> </w:t>
      </w:r>
      <w:r>
        <w:rPr>
          <w:rFonts w:hint="eastAsia" w:ascii="宋体" w:hAnsi="宋体" w:eastAsia="宋体" w:cs="宋体"/>
          <w:highlight w:val="none"/>
        </w:rPr>
        <w:t>合同条款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_Toc20647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color w:val="auto"/>
          <w:spacing w:val="4"/>
          <w:highlight w:val="none"/>
        </w:rPr>
        <w:fldChar w:fldCharType="end"/>
      </w:r>
    </w:p>
    <w:p w14:paraId="2673CEC2">
      <w:pPr>
        <w:pStyle w:val="19"/>
        <w:shd w:val="clear"/>
        <w:tabs>
          <w:tab w:val="right" w:leader="dot" w:pos="9689"/>
        </w:tabs>
        <w:spacing w:line="480" w:lineRule="auto"/>
        <w:rPr>
          <w:rFonts w:hint="eastAsia" w:ascii="宋体" w:hAnsi="宋体" w:eastAsia="宋体" w:cs="宋体"/>
        </w:rPr>
      </w:pPr>
      <w:r>
        <w:rPr>
          <w:rFonts w:hint="eastAsia" w:ascii="宋体" w:hAnsi="宋体" w:eastAsia="宋体" w:cs="宋体"/>
          <w:color w:val="auto"/>
          <w:spacing w:val="4"/>
          <w:highlight w:val="none"/>
        </w:rPr>
        <w:fldChar w:fldCharType="begin"/>
      </w:r>
      <w:r>
        <w:rPr>
          <w:rFonts w:hint="eastAsia" w:ascii="宋体" w:hAnsi="宋体" w:eastAsia="宋体" w:cs="宋体"/>
          <w:spacing w:val="4"/>
          <w:highlight w:val="none"/>
        </w:rPr>
        <w:instrText xml:space="preserve"> HYPERLINK \l _Toc24072 </w:instrText>
      </w:r>
      <w:r>
        <w:rPr>
          <w:rFonts w:hint="eastAsia" w:ascii="宋体" w:hAnsi="宋体" w:eastAsia="宋体" w:cs="宋体"/>
          <w:spacing w:val="4"/>
          <w:highlight w:val="none"/>
        </w:rPr>
        <w:fldChar w:fldCharType="separate"/>
      </w:r>
      <w:r>
        <w:rPr>
          <w:rFonts w:hint="eastAsia" w:ascii="宋体" w:hAnsi="宋体" w:eastAsia="宋体" w:cs="宋体"/>
          <w:highlight w:val="none"/>
        </w:rPr>
        <w:t xml:space="preserve">第六章 </w:t>
      </w:r>
      <w:r>
        <w:rPr>
          <w:rFonts w:hint="eastAsia" w:ascii="宋体" w:hAnsi="宋体" w:eastAsia="宋体" w:cs="宋体"/>
          <w:highlight w:val="none"/>
          <w:lang w:val="en-US" w:eastAsia="zh-CN"/>
        </w:rPr>
        <w:t xml:space="preserve"> 磋商响应文件组成部分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_Toc24072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color w:val="auto"/>
          <w:spacing w:val="4"/>
          <w:highlight w:val="none"/>
        </w:rPr>
        <w:fldChar w:fldCharType="end"/>
      </w:r>
    </w:p>
    <w:p w14:paraId="07870A6A">
      <w:pPr>
        <w:shd w:val="clear"/>
        <w:spacing w:line="480" w:lineRule="auto"/>
        <w:ind w:firstLine="1491" w:firstLineChars="518"/>
        <w:jc w:val="left"/>
        <w:rPr>
          <w:rFonts w:hint="eastAsia" w:ascii="宋体" w:hAnsi="宋体" w:eastAsia="宋体" w:cs="宋体"/>
          <w:color w:val="auto"/>
          <w:spacing w:val="4"/>
          <w:sz w:val="32"/>
          <w:highlight w:val="none"/>
        </w:rPr>
      </w:pPr>
      <w:r>
        <w:rPr>
          <w:rFonts w:hint="eastAsia" w:ascii="宋体" w:hAnsi="宋体" w:eastAsia="宋体" w:cs="宋体"/>
          <w:color w:val="auto"/>
          <w:spacing w:val="4"/>
          <w:highlight w:val="none"/>
        </w:rPr>
        <w:fldChar w:fldCharType="end"/>
      </w:r>
    </w:p>
    <w:p w14:paraId="7024F656">
      <w:pPr>
        <w:shd w:val="clear"/>
        <w:spacing w:line="360" w:lineRule="auto"/>
        <w:ind w:firstLine="656" w:firstLineChars="200"/>
        <w:rPr>
          <w:rFonts w:hint="eastAsia" w:ascii="宋体" w:hAnsi="宋体" w:eastAsia="宋体" w:cs="宋体"/>
          <w:color w:val="auto"/>
          <w:spacing w:val="4"/>
          <w:sz w:val="32"/>
          <w:highlight w:val="none"/>
        </w:rPr>
      </w:pPr>
    </w:p>
    <w:p w14:paraId="49D1E280">
      <w:pPr>
        <w:shd w:val="clear"/>
        <w:spacing w:line="360" w:lineRule="auto"/>
        <w:ind w:firstLine="656" w:firstLineChars="200"/>
        <w:rPr>
          <w:rFonts w:hint="eastAsia" w:ascii="宋体" w:hAnsi="宋体" w:eastAsia="宋体" w:cs="宋体"/>
          <w:color w:val="auto"/>
          <w:spacing w:val="4"/>
          <w:sz w:val="32"/>
          <w:highlight w:val="none"/>
        </w:rPr>
      </w:pPr>
    </w:p>
    <w:p w14:paraId="28084183">
      <w:pPr>
        <w:shd w:val="clear"/>
        <w:spacing w:line="360" w:lineRule="auto"/>
        <w:ind w:firstLine="656" w:firstLineChars="200"/>
        <w:rPr>
          <w:rFonts w:hint="eastAsia" w:ascii="宋体" w:hAnsi="宋体" w:eastAsia="宋体" w:cs="宋体"/>
          <w:color w:val="auto"/>
          <w:spacing w:val="4"/>
          <w:sz w:val="32"/>
          <w:highlight w:val="none"/>
        </w:rPr>
      </w:pPr>
    </w:p>
    <w:p w14:paraId="23D20832">
      <w:pPr>
        <w:shd w:val="clear"/>
        <w:spacing w:line="360" w:lineRule="auto"/>
        <w:ind w:firstLine="656" w:firstLineChars="200"/>
        <w:rPr>
          <w:rFonts w:hint="eastAsia" w:ascii="宋体" w:hAnsi="宋体" w:eastAsia="宋体" w:cs="宋体"/>
          <w:color w:val="auto"/>
          <w:spacing w:val="4"/>
          <w:sz w:val="32"/>
          <w:highlight w:val="none"/>
        </w:rPr>
      </w:pPr>
    </w:p>
    <w:p w14:paraId="321588F2">
      <w:pPr>
        <w:shd w:val="clear"/>
        <w:spacing w:line="360" w:lineRule="auto"/>
        <w:rPr>
          <w:rFonts w:hint="eastAsia" w:ascii="宋体" w:hAnsi="宋体" w:eastAsia="宋体" w:cs="宋体"/>
          <w:color w:val="auto"/>
          <w:spacing w:val="4"/>
          <w:sz w:val="32"/>
          <w:highlight w:val="none"/>
        </w:rPr>
      </w:pPr>
    </w:p>
    <w:p w14:paraId="12B0C5E5">
      <w:pPr>
        <w:shd w:val="clear"/>
        <w:spacing w:line="360" w:lineRule="auto"/>
        <w:rPr>
          <w:rFonts w:hint="eastAsia" w:ascii="宋体" w:hAnsi="宋体" w:eastAsia="宋体" w:cs="宋体"/>
          <w:color w:val="auto"/>
          <w:spacing w:val="4"/>
          <w:sz w:val="32"/>
          <w:highlight w:val="none"/>
        </w:rPr>
      </w:pPr>
    </w:p>
    <w:p w14:paraId="3DFF886B">
      <w:pPr>
        <w:shd w:val="clear"/>
        <w:spacing w:line="360" w:lineRule="auto"/>
        <w:rPr>
          <w:rFonts w:hint="eastAsia" w:ascii="宋体" w:hAnsi="宋体" w:eastAsia="宋体" w:cs="宋体"/>
          <w:color w:val="auto"/>
          <w:spacing w:val="4"/>
          <w:sz w:val="32"/>
          <w:highlight w:val="none"/>
        </w:rPr>
      </w:pPr>
    </w:p>
    <w:p w14:paraId="1A8B0C9F">
      <w:pPr>
        <w:shd w:val="clear"/>
        <w:spacing w:line="360" w:lineRule="auto"/>
        <w:rPr>
          <w:rFonts w:hint="eastAsia" w:ascii="宋体" w:hAnsi="宋体" w:eastAsia="宋体" w:cs="宋体"/>
          <w:color w:val="auto"/>
          <w:spacing w:val="4"/>
          <w:sz w:val="32"/>
          <w:highlight w:val="none"/>
        </w:rPr>
      </w:pPr>
    </w:p>
    <w:p w14:paraId="1102BADF">
      <w:pPr>
        <w:shd w:val="clear"/>
        <w:spacing w:line="360" w:lineRule="auto"/>
        <w:rPr>
          <w:rFonts w:hint="eastAsia" w:ascii="宋体" w:hAnsi="宋体" w:eastAsia="宋体" w:cs="宋体"/>
          <w:color w:val="auto"/>
          <w:spacing w:val="4"/>
          <w:sz w:val="32"/>
          <w:highlight w:val="none"/>
        </w:rPr>
      </w:pPr>
    </w:p>
    <w:p w14:paraId="56DF490B">
      <w:pPr>
        <w:numPr>
          <w:ilvl w:val="0"/>
          <w:numId w:val="0"/>
        </w:numPr>
        <w:shd w:val="clear"/>
        <w:jc w:val="center"/>
        <w:outlineLvl w:val="0"/>
        <w:rPr>
          <w:rFonts w:hint="eastAsia" w:ascii="宋体" w:hAnsi="宋体" w:eastAsia="宋体" w:cs="宋体"/>
          <w:lang w:eastAsia="zh-CN"/>
        </w:rPr>
      </w:pPr>
      <w:r>
        <w:rPr>
          <w:rFonts w:hint="eastAsia" w:ascii="宋体" w:hAnsi="宋体" w:eastAsia="宋体" w:cs="宋体"/>
          <w:b/>
          <w:bCs/>
          <w:color w:val="auto"/>
          <w:sz w:val="44"/>
          <w:szCs w:val="44"/>
          <w:highlight w:val="none"/>
        </w:rPr>
        <w:br w:type="page"/>
      </w:r>
      <w:bookmarkStart w:id="0" w:name="_Toc5201"/>
      <w:r>
        <w:rPr>
          <w:rFonts w:hint="eastAsia" w:ascii="宋体" w:hAnsi="宋体" w:eastAsia="宋体" w:cs="宋体"/>
          <w:b/>
          <w:bCs/>
          <w:color w:val="auto"/>
          <w:sz w:val="44"/>
          <w:szCs w:val="44"/>
          <w:highlight w:val="none"/>
        </w:rPr>
        <w:t xml:space="preserve"> </w:t>
      </w:r>
      <w:r>
        <w:rPr>
          <w:rFonts w:hint="eastAsia" w:ascii="宋体" w:hAnsi="宋体" w:cs="宋体"/>
          <w:b/>
          <w:bCs/>
          <w:color w:val="auto"/>
          <w:sz w:val="44"/>
          <w:szCs w:val="44"/>
          <w:highlight w:val="none"/>
          <w:lang w:val="en-US" w:eastAsia="zh-CN"/>
        </w:rPr>
        <w:t xml:space="preserve">第一章 </w:t>
      </w:r>
      <w:r>
        <w:rPr>
          <w:rFonts w:hint="eastAsia" w:ascii="宋体" w:hAnsi="宋体" w:eastAsia="宋体" w:cs="宋体"/>
          <w:b/>
          <w:bCs/>
          <w:color w:val="auto"/>
          <w:sz w:val="44"/>
          <w:szCs w:val="44"/>
          <w:highlight w:val="none"/>
        </w:rPr>
        <w:t>竞争性磋商</w:t>
      </w:r>
      <w:r>
        <w:rPr>
          <w:rFonts w:hint="eastAsia" w:ascii="宋体" w:hAnsi="宋体" w:eastAsia="宋体" w:cs="宋体"/>
          <w:b/>
          <w:bCs/>
          <w:color w:val="auto"/>
          <w:sz w:val="44"/>
          <w:szCs w:val="44"/>
          <w:highlight w:val="none"/>
          <w:lang w:eastAsia="zh-CN"/>
        </w:rPr>
        <w:t>公告</w:t>
      </w:r>
      <w:bookmarkEnd w:id="0"/>
    </w:p>
    <w:p w14:paraId="394CFDE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80" w:lineRule="atLeast"/>
        <w:ind w:left="0" w:firstLine="0"/>
        <w:jc w:val="center"/>
        <w:rPr>
          <w:rFonts w:hint="eastAsia" w:ascii="宋体" w:hAnsi="宋体" w:eastAsia="宋体" w:cs="宋体"/>
          <w:b/>
          <w:bCs/>
          <w:i w:val="0"/>
          <w:iCs w:val="0"/>
          <w:caps w:val="0"/>
          <w:color w:val="auto"/>
          <w:spacing w:val="0"/>
          <w:sz w:val="36"/>
          <w:szCs w:val="36"/>
        </w:rPr>
      </w:pPr>
      <w:r>
        <w:rPr>
          <w:rFonts w:hint="eastAsia" w:ascii="宋体" w:hAnsi="宋体" w:eastAsia="宋体" w:cs="宋体"/>
          <w:b/>
          <w:bCs/>
          <w:i w:val="0"/>
          <w:iCs w:val="0"/>
          <w:caps w:val="0"/>
          <w:color w:val="auto"/>
          <w:spacing w:val="0"/>
          <w:kern w:val="0"/>
          <w:sz w:val="36"/>
          <w:szCs w:val="36"/>
          <w:shd w:val="clear" w:fill="FFFFFF"/>
          <w:lang w:val="en-US" w:eastAsia="zh-CN" w:bidi="ar"/>
        </w:rPr>
        <w:t>2025年河口镇安河寺村水毁道路修复项目竞争性磋商公告</w:t>
      </w:r>
    </w:p>
    <w:p w14:paraId="725D0D59">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jc w:val="left"/>
        <w:rPr>
          <w:b w:val="0"/>
          <w:bCs w:val="0"/>
          <w:sz w:val="24"/>
          <w:szCs w:val="24"/>
        </w:rPr>
      </w:pPr>
      <w:r>
        <w:rPr>
          <w:rStyle w:val="30"/>
          <w:b w:val="0"/>
          <w:bCs w:val="0"/>
          <w:i w:val="0"/>
          <w:iCs w:val="0"/>
          <w:caps w:val="0"/>
          <w:color w:val="333333"/>
          <w:spacing w:val="0"/>
          <w:sz w:val="24"/>
          <w:szCs w:val="24"/>
          <w:shd w:val="clear" w:fill="FFFFFF"/>
        </w:rPr>
        <w:t>项目概况</w:t>
      </w:r>
    </w:p>
    <w:p w14:paraId="46BDD92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2025年河口镇安河寺村水毁道路修复项目采购项目的潜在供应商应在全国公共资源交易平台（陕西省·宝鸡市）宝鸡市公共资源交易中心（http://ggzy.baoji.gov.cn/）下载获取采购文件，并于2025年08月29日 09时00分（北京时间）前提交响应文件。</w:t>
      </w:r>
    </w:p>
    <w:p w14:paraId="52BFAE9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一、项目基本情况</w:t>
      </w:r>
    </w:p>
    <w:p w14:paraId="0EEA33BA">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项目编号：HRCZB-2025-011GC</w:t>
      </w:r>
    </w:p>
    <w:p w14:paraId="3436A189">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项目名称：2025年河口镇安河寺村水毁道路修复项目</w:t>
      </w:r>
    </w:p>
    <w:p w14:paraId="29770FAA">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采购方式：竞争性磋商</w:t>
      </w:r>
    </w:p>
    <w:p w14:paraId="4226E21C">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预算金额：579,000.00元</w:t>
      </w:r>
    </w:p>
    <w:p w14:paraId="65D21EA7">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采购需求：</w:t>
      </w:r>
    </w:p>
    <w:p w14:paraId="0A6945A0">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合同包1(2025年河口镇安河寺村水毁道路修复项目):</w:t>
      </w:r>
    </w:p>
    <w:p w14:paraId="24D921D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合同包预算金额：579,000.00元</w:t>
      </w:r>
    </w:p>
    <w:p w14:paraId="02F3F6E5">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合同包最高限价：578,993.38元</w:t>
      </w:r>
    </w:p>
    <w:tbl>
      <w:tblPr>
        <w:tblStyle w:val="26"/>
        <w:tblW w:w="485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05"/>
        <w:gridCol w:w="1800"/>
        <w:gridCol w:w="1707"/>
        <w:gridCol w:w="1576"/>
        <w:gridCol w:w="1715"/>
        <w:gridCol w:w="1738"/>
      </w:tblGrid>
      <w:tr w14:paraId="1ED2AE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57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6ACE22">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品目号</w:t>
            </w:r>
          </w:p>
        </w:tc>
        <w:tc>
          <w:tcPr>
            <w:tcW w:w="9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B836D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firstLine="240" w:firstLineChars="1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品目名称</w:t>
            </w:r>
          </w:p>
        </w:tc>
        <w:tc>
          <w:tcPr>
            <w:tcW w:w="8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194C6B">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采购标的</w:t>
            </w:r>
          </w:p>
        </w:tc>
        <w:tc>
          <w:tcPr>
            <w:tcW w:w="8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C72A10">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数量（单位）</w:t>
            </w:r>
          </w:p>
        </w:tc>
        <w:tc>
          <w:tcPr>
            <w:tcW w:w="8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30F9A8">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技术规格、参数及要求</w:t>
            </w:r>
          </w:p>
        </w:tc>
        <w:tc>
          <w:tcPr>
            <w:tcW w:w="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635750">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品目预算(元)</w:t>
            </w:r>
          </w:p>
        </w:tc>
      </w:tr>
      <w:tr w14:paraId="1CA251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57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4CE8D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firstLine="240" w:firstLineChars="1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1-1</w:t>
            </w:r>
          </w:p>
        </w:tc>
        <w:tc>
          <w:tcPr>
            <w:tcW w:w="9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38839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其他建筑工程</w:t>
            </w:r>
          </w:p>
        </w:tc>
        <w:tc>
          <w:tcPr>
            <w:tcW w:w="8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1FD2EC">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水毁道路修复</w:t>
            </w:r>
          </w:p>
        </w:tc>
        <w:tc>
          <w:tcPr>
            <w:tcW w:w="81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EF13B">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1(项)</w:t>
            </w:r>
          </w:p>
        </w:tc>
        <w:tc>
          <w:tcPr>
            <w:tcW w:w="88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1952E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详见采购文件</w:t>
            </w:r>
          </w:p>
        </w:tc>
        <w:tc>
          <w:tcPr>
            <w:tcW w:w="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B262D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579,000.00</w:t>
            </w:r>
          </w:p>
        </w:tc>
      </w:tr>
    </w:tbl>
    <w:p w14:paraId="6FC6FE3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本合同包不接受联合体投标</w:t>
      </w:r>
    </w:p>
    <w:p w14:paraId="1CB59B30">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合同履行期限：自合同签订之日起60日历天内完成</w:t>
      </w:r>
    </w:p>
    <w:p w14:paraId="60DFD8C9">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二、申请人的资格要求：</w:t>
      </w:r>
    </w:p>
    <w:p w14:paraId="66BDD1C2">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78D8A4AA">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58AA0B79">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合同包1(2025年河口镇安河寺村水毁道路修复项目)落实政府采购政策需满足的资格要求如下:</w:t>
      </w:r>
    </w:p>
    <w:p w14:paraId="7FC68F8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本项目专门面向中小企业采购。（残疾人福利性单位、监狱企业视同小型、微型企业）；须符合《政府采购促进中小企业发展管理办法》（财库〔2020〕46号）规定的中小企业参加。本项目采购标的所属行业为：建筑业。</w:t>
      </w:r>
    </w:p>
    <w:p w14:paraId="1C711FE1">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3.本项目的特定资格要求：</w:t>
      </w:r>
    </w:p>
    <w:p w14:paraId="43AE5F28">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合同包1(2025年河口镇安河寺村水毁道路修复项目)特定资格要求如下:</w:t>
      </w:r>
    </w:p>
    <w:p w14:paraId="0904634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（1）供应商须是具有独立承担民事责任能力的法人、其他组织或自然人，并出具合法有效的营业执照或事业单位法人证书等国家规定的相关证明，自然人参与的提供其身份证明；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（2）供应商须提供2024年度财务审计报告（成立时间至提交磋商响应文件截止时间不足一年的可提供成立后任意时段的资产负债表）或基本存款账户开户银行出具的资信证明（附开户许可证或开户备案证明）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（3）供应商须提供2024年08月至今已缴存的至少一个月的社会保险参保缴费情况证明；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（4）供应商须提供2024年08月至今已缴纳的至少一个月的纳税证明或完税证明，依法免税的单位应提供相关证明材料；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供应商不得为“信用中国”网站（www.creditchina.gov.cn）中列入失信被执行人和重大税收违法失信主体的投标供应商，不得为中国政府采购网（www.ccgp.gov.cn）政府采购严重违法失信行为记录名单中被财政部门禁止参加政府采购活动的投标供应商（提供书面信用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（6）单位负责人为同一人或者存在直接控股、管理关系的不同投标供应商，不得参加同一合同项下的政府采购活动（提供承诺书)；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（7）供应商须提供企业开具的近三年在政府采购经营活动中无重大违法记录声明（成立时间不足三年的供应商提供自成立之日起至磋商截止之日止的无重大违法记录声明）；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供应商须授权合法的人员参加磋商全过程，其中法定代表人直接参加磋商的，须出具法定代表人资格证明书及身份证，并与营业执照上信息一致；法定代表人授权代表参加磋商的，须出具法定代表人资格证明书、授权书、被授权代表身份证；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（9）供应商须提供具有履行合同所必需的设备和专业技术能力的承诺书；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供应商须具备建设行政主管部门核发的市政公用工程施工总承包三级以上（含三级）资质，具备建设行政主管部门颁发的有效安全生产许可证；拟派项目经理具备市政公用工程专业二级以上(含二级)建造师证书和有效的安全生产考核合格证书(建安B证)，且无在建项目(提供无在建承诺书)；</w:t>
      </w:r>
    </w:p>
    <w:p w14:paraId="03172B7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三、获取采购文件</w:t>
      </w:r>
    </w:p>
    <w:p w14:paraId="4F4F9412">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时间：2025年08月18日至2025年08月22日，每天上午09:00:00至12:00:00，下午12:00:00至17:00:00 （北京时间）</w:t>
      </w:r>
    </w:p>
    <w:p w14:paraId="7B9BBC4E">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途径：全国公共资源交易平台（陕西省·宝鸡市）宝鸡市公共资源交易中心（http://ggzy.baoji.gov.cn/）下载</w:t>
      </w:r>
    </w:p>
    <w:p w14:paraId="1C196AA7">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方式：在线获取</w:t>
      </w:r>
    </w:p>
    <w:p w14:paraId="64322A4C">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售价：0元</w:t>
      </w:r>
    </w:p>
    <w:p w14:paraId="6938AE5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四、响应文件提交</w:t>
      </w:r>
    </w:p>
    <w:p w14:paraId="2413F611">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截止时间：2025年08月29日 09时00分00秒 （北京时间）</w:t>
      </w:r>
    </w:p>
    <w:p w14:paraId="550B890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地点：全国公共资源交易平台（陕西省·宝鸡市）宝鸡市公共资源交易中心（http://ggzy.baoji.gov.cn/）在线提交</w:t>
      </w:r>
    </w:p>
    <w:p w14:paraId="494CBF49">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五、开启</w:t>
      </w:r>
    </w:p>
    <w:p w14:paraId="43FF1E48">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时间：2025年08月29日 09时00分00秒 （北京时间）</w:t>
      </w:r>
    </w:p>
    <w:p w14:paraId="08B6CA7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地点：全国公共资源交易平台(陕西省·宝鸡市)宝鸡市公共资源交易中心-不见面开标</w:t>
      </w:r>
    </w:p>
    <w:p w14:paraId="086F7F11">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六、公告期限</w:t>
      </w:r>
    </w:p>
    <w:p w14:paraId="23743CB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自本公告发布之日起3个工作日。</w:t>
      </w:r>
    </w:p>
    <w:p w14:paraId="774DABF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七、其他补充事宜</w:t>
      </w:r>
    </w:p>
    <w:p w14:paraId="094B325A">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1、落实的政府采购政策:</w:t>
      </w:r>
    </w:p>
    <w:p w14:paraId="0FD047C9">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1）《财政部国家发展改革委关于印发〈节能产品政府采购实施意见〉的通知》（财库〔2004〕185号）；（2）《国务院办公厅关于建立政府强制采购节能产品制度的通知》（国办发〔2007〕51号）；（3）《财政部环保总局关于环境标志产品政府采购实施的意见》（财库〔2006〕90号）；（4）《政府采购促进中小企业发展管理办法》（财库〔2020〕46号）、关于进一步加大政府采购支持中小企业力度的通知财库〔2022〕19号；（5）《财政部 司法部关于政府采购支持监狱企业发展有关问题的通知》（财库〔2014〕68号）；（6）《三部门联合发布关于促进残疾人就业政府采购政策的通知》（财库〔2017〕141号）；（7）《财政部发展改革委生态环境部市场监管总局关于调整优化节能产品、环境标志产品政府采购执行机制的通知》（财库〔2019〕9号）；（8）《陕西省中小企业政府采购信用融资办法》（陕财办采〔2018〕23号）；（9）《陕西省财政厅关于加快推进我省中小企业政府采购信用融资工作的通知》（陕财办采〔2020〕15号文件）；</w:t>
      </w:r>
    </w:p>
    <w:p w14:paraId="05D3E1A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2、本项目有意向投标供应商须登录全国公共资源交易平台（陕西省·宝鸡市）宝鸡市公共资源交易中心（http://ggzy.baoji.gov.cn/，交易平台〖首页〉电子交易平台〉企业端〗后，在〖招标公告/出让公告〗模块中选择有意向的项目点击“我要投标”。即可从〖我的项目〉项目流程〉交易文件下载〗中下载电子磋商文件（*.SXSZF格式）；</w:t>
      </w:r>
    </w:p>
    <w:p w14:paraId="70E3D54E">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3、投标供应商在网上填写单位信息（单位名称、营业执照相关信息）时应与磋商文件要求及后期上传的电子投标文件中相关信息一致，否则造成资格审查不通过的后果自负；</w:t>
      </w:r>
    </w:p>
    <w:p w14:paraId="54F3C5A8">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4、本项目采用不见面开标方式，各投标供应商可登录（http://ggzy.baoji.gov.cn/fwzn/004003/subPage.html）下载《政府采购电子标书制作工具》、《政府采购投标单位操作手册》,《政府采购电子交易-不见面系统操作手册》，并在投标截止时间前通过全国公共资源交易平台（陕西省·宝鸡市）宝鸡市公共资源交易中心网站递交电子响应文件。磋商时在线解密响应文件、在线询标、在线多轮报价。为了保证远程不见面开标顺利进行，投标人需使用配备相关设备的电脑提前一小时登录网络开标大厅。因供应商自身设施故障或自身原因导致无法完成磋商的，由供应商自行承担后果；（建议使用IE11或者360极速浏览器兼容模式，投标单位电脑需配备耳麦）</w:t>
      </w:r>
    </w:p>
    <w:p w14:paraId="5F9FC95A">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5、未完成网上投标或未在规定时间内在平台上下载电子磋商文件的，导致无法完成后续流程的责任自负；</w:t>
      </w:r>
    </w:p>
    <w:p w14:paraId="40A1BF0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6、有意向投标供应商办理CA锁地址及流程，内容如下：CA锁办理地址及流程：宝鸡市金台区行政大道8号海棠风尚宝鸡市公共资源交易中心4楼2号窗口（办理流程：http://ggzy.baoji.gov.cn/fwzn/004002/20220524/05ccf80e-6a61-43e9-90e9-ebdd8da75241.html）；如有技术性问题，请先翻阅操作手册或致电软件开发商，技术支持热线：4009980000；</w:t>
      </w:r>
    </w:p>
    <w:p w14:paraId="0A9A1A9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2" w:firstLineChars="20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lang w:val="en-US" w:eastAsia="zh-CN"/>
        </w:rPr>
        <w:t>7、供应商须提前在陕西省政府采购网（http://www.ccgp-shaanxi.gov.cn/），按照“供应商注册注意事项”要求，完成注册审核，以保证后续流程的进行。</w:t>
      </w:r>
    </w:p>
    <w:p w14:paraId="50673BDF">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注意事项：投标供应商应随时留意可能发布的变更公告，当澄清或修改的内容影响投标文件编制时，将在交易平台上同步发布答疑文件，此时投标供应商应从“项目流程”答疑文件下载、下载最新发布的答疑文件。</w:t>
      </w:r>
    </w:p>
    <w:p w14:paraId="6945791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根据陕西省财政厅关于印发《陕西省中小企业政府采购信用融资办法》陕财办采〔2018〕23号相关规定，有融资需求的供应商可根据自身情况，在陕西省政府采购信用融资平台（http://www.ccgp-shaanxi.gov.cn/zcdservice/zcd/shanxi/）自主选择金融机构及其融资产品，凭政府采购中标（成交）通知书或政府采购合同提出融资申请，办理“政采贷”业务。</w:t>
      </w:r>
    </w:p>
    <w:p w14:paraId="7AA5181E">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八、对本次招标提出询问，请按以下方式联系。</w:t>
      </w:r>
    </w:p>
    <w:p w14:paraId="4127CB40">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1.采购人信息</w:t>
      </w:r>
    </w:p>
    <w:p w14:paraId="1EA4E87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名称：凤县河口镇人民政府</w:t>
      </w:r>
    </w:p>
    <w:p w14:paraId="4E71689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地址：凤县河口镇街道</w:t>
      </w:r>
    </w:p>
    <w:p w14:paraId="44B7397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联系方式：17742323344</w:t>
      </w:r>
    </w:p>
    <w:p w14:paraId="4599C49B">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2.采购代理机构信息</w:t>
      </w:r>
    </w:p>
    <w:p w14:paraId="5C029B56">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名称：华睿诚项目管理有限公司</w:t>
      </w:r>
    </w:p>
    <w:p w14:paraId="1D6517E4">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地址：陕西省宝鸡市金台区行政大道16号鹏博财富中心2#楼B座1006室</w:t>
      </w:r>
    </w:p>
    <w:p w14:paraId="22B852A1">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联系方式：0917-3225998</w:t>
      </w:r>
    </w:p>
    <w:p w14:paraId="0FE21B2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3.项目联系方式</w:t>
      </w:r>
    </w:p>
    <w:p w14:paraId="7EBBB322">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项目联系人：薛女士</w:t>
      </w:r>
    </w:p>
    <w:p w14:paraId="345FA6F5">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电话：0917-3225998</w:t>
      </w:r>
    </w:p>
    <w:p w14:paraId="0A47860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0" w:beforeAutospacing="0" w:after="300" w:afterAutospacing="0" w:line="312" w:lineRule="auto"/>
        <w:ind w:left="0" w:right="0" w:firstLine="480"/>
        <w:jc w:val="right"/>
        <w:textAlignment w:val="baseline"/>
        <w:rPr>
          <w:rFonts w:hint="eastAsia" w:ascii="宋体" w:hAnsi="宋体" w:eastAsia="宋体" w:cs="宋体"/>
          <w:color w:val="auto"/>
          <w:sz w:val="24"/>
          <w:szCs w:val="24"/>
        </w:rPr>
      </w:pPr>
    </w:p>
    <w:p w14:paraId="120C98D3">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6C1A8FCD">
      <w:pPr>
        <w:widowControl/>
        <w:shd w:val="clear"/>
        <w:tabs>
          <w:tab w:val="center" w:pos="4466"/>
          <w:tab w:val="right" w:pos="8479"/>
        </w:tabs>
        <w:spacing w:line="240" w:lineRule="auto"/>
        <w:ind w:right="0" w:rightChars="0"/>
        <w:jc w:val="center"/>
        <w:outlineLvl w:val="0"/>
        <w:rPr>
          <w:rFonts w:hint="eastAsia" w:ascii="宋体" w:hAnsi="宋体" w:eastAsia="宋体" w:cs="宋体"/>
          <w:color w:val="auto"/>
          <w:sz w:val="44"/>
          <w:szCs w:val="44"/>
          <w:highlight w:val="none"/>
        </w:rPr>
      </w:pPr>
      <w:bookmarkStart w:id="1" w:name="_Toc2509"/>
      <w:r>
        <w:rPr>
          <w:rFonts w:hint="eastAsia" w:ascii="宋体" w:hAnsi="宋体" w:eastAsia="宋体" w:cs="宋体"/>
          <w:b/>
          <w:bCs/>
          <w:color w:val="auto"/>
          <w:sz w:val="44"/>
          <w:szCs w:val="44"/>
          <w:highlight w:val="none"/>
        </w:rPr>
        <w:t>第二章  竞争性磋商须知</w:t>
      </w:r>
      <w:bookmarkEnd w:id="1"/>
    </w:p>
    <w:p w14:paraId="7043EA46">
      <w:pPr>
        <w:pStyle w:val="3"/>
        <w:shd w:val="clear"/>
        <w:spacing w:before="0" w:after="0"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一、供应商须知前附表</w:t>
      </w:r>
    </w:p>
    <w:tbl>
      <w:tblPr>
        <w:tblStyle w:val="26"/>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060"/>
        <w:gridCol w:w="6847"/>
      </w:tblGrid>
      <w:tr w14:paraId="1134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0B67E401">
            <w:pPr>
              <w:shd w:val="clea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060" w:type="dxa"/>
            <w:noWrap w:val="0"/>
            <w:vAlign w:val="center"/>
          </w:tcPr>
          <w:p w14:paraId="4566D04F">
            <w:pPr>
              <w:shd w:val="clea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条款名称</w:t>
            </w:r>
          </w:p>
        </w:tc>
        <w:tc>
          <w:tcPr>
            <w:tcW w:w="6847" w:type="dxa"/>
            <w:noWrap w:val="0"/>
            <w:vAlign w:val="top"/>
          </w:tcPr>
          <w:p w14:paraId="407C22FE">
            <w:pPr>
              <w:shd w:val="clea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说明和要求</w:t>
            </w:r>
          </w:p>
        </w:tc>
      </w:tr>
      <w:tr w14:paraId="57E7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799" w:type="dxa"/>
            <w:noWrap w:val="0"/>
            <w:vAlign w:val="center"/>
          </w:tcPr>
          <w:p w14:paraId="30CB8781">
            <w:pPr>
              <w:numPr>
                <w:ilvl w:val="0"/>
                <w:numId w:val="0"/>
              </w:numPr>
              <w:shd w:val="clear"/>
              <w:ind w:leftChars="0" w:firstLine="240" w:firstLineChars="1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060" w:type="dxa"/>
            <w:shd w:val="clear" w:color="auto" w:fill="auto"/>
            <w:noWrap w:val="0"/>
            <w:vAlign w:val="center"/>
          </w:tcPr>
          <w:p w14:paraId="1BA7C79D">
            <w:pPr>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6847" w:type="dxa"/>
            <w:shd w:val="clear" w:color="auto" w:fill="auto"/>
            <w:noWrap w:val="0"/>
            <w:vAlign w:val="top"/>
          </w:tcPr>
          <w:p w14:paraId="701FBD2C">
            <w:pPr>
              <w:shd w:val="clea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r>
              <w:rPr>
                <w:rFonts w:hint="eastAsia" w:ascii="宋体" w:hAnsi="宋体" w:cs="宋体"/>
                <w:color w:val="auto"/>
                <w:sz w:val="24"/>
                <w:szCs w:val="24"/>
                <w:highlight w:val="none"/>
                <w:lang w:val="en-US" w:eastAsia="zh-CN"/>
              </w:rPr>
              <w:t>凤县河口镇人民政府</w:t>
            </w:r>
          </w:p>
          <w:p w14:paraId="0A023592">
            <w:pPr>
              <w:shd w:val="clea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地址：陕西省宝鸡市</w:t>
            </w:r>
            <w:r>
              <w:rPr>
                <w:rFonts w:hint="eastAsia" w:ascii="宋体" w:hAnsi="宋体" w:cs="宋体"/>
                <w:color w:val="auto"/>
                <w:sz w:val="24"/>
                <w:szCs w:val="24"/>
                <w:highlight w:val="none"/>
                <w:lang w:val="en-US" w:eastAsia="zh-CN"/>
              </w:rPr>
              <w:t>凤县河口镇街道</w:t>
            </w:r>
          </w:p>
          <w:p w14:paraId="452D5217">
            <w:pPr>
              <w:shd w:val="clear"/>
              <w:spacing w:line="46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联系人：崔晨</w:t>
            </w:r>
          </w:p>
          <w:p w14:paraId="6F5E0065">
            <w:pPr>
              <w:shd w:val="clear"/>
              <w:spacing w:line="46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联系电话：17742323344</w:t>
            </w:r>
          </w:p>
        </w:tc>
      </w:tr>
      <w:tr w14:paraId="315C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70B39292">
            <w:pPr>
              <w:numPr>
                <w:ilvl w:val="0"/>
                <w:numId w:val="0"/>
              </w:numPr>
              <w:shd w:val="clear"/>
              <w:ind w:leftChars="0" w:firstLine="240" w:firstLineChars="1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060" w:type="dxa"/>
            <w:noWrap w:val="0"/>
            <w:vAlign w:val="center"/>
          </w:tcPr>
          <w:p w14:paraId="5ABAFDBB">
            <w:pPr>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6847" w:type="dxa"/>
            <w:noWrap w:val="0"/>
            <w:vAlign w:val="top"/>
          </w:tcPr>
          <w:p w14:paraId="0C40DFF0">
            <w:pPr>
              <w:shd w:val="clear"/>
              <w:spacing w:line="4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名称：</w:t>
            </w:r>
            <w:r>
              <w:rPr>
                <w:rFonts w:hint="eastAsia" w:ascii="宋体" w:hAnsi="宋体" w:cs="宋体"/>
                <w:color w:val="auto"/>
                <w:sz w:val="24"/>
                <w:szCs w:val="24"/>
                <w:highlight w:val="none"/>
                <w:lang w:eastAsia="zh-CN"/>
              </w:rPr>
              <w:t>华睿诚项目管理有限公司</w:t>
            </w:r>
          </w:p>
          <w:p w14:paraId="678DDF34">
            <w:pPr>
              <w:shd w:val="clea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地址：</w:t>
            </w:r>
            <w:r>
              <w:rPr>
                <w:rFonts w:hint="eastAsia" w:ascii="宋体" w:hAnsi="宋体" w:cs="宋体"/>
                <w:color w:val="auto"/>
                <w:sz w:val="24"/>
                <w:szCs w:val="24"/>
                <w:lang w:eastAsia="zh-CN"/>
              </w:rPr>
              <w:t>陕西省宝鸡市金台区行政大道16号鹏博财富中心2#楼B座100</w:t>
            </w:r>
            <w:r>
              <w:rPr>
                <w:rFonts w:hint="eastAsia" w:ascii="宋体" w:hAnsi="宋体" w:cs="宋体"/>
                <w:color w:val="auto"/>
                <w:sz w:val="24"/>
                <w:szCs w:val="24"/>
                <w:lang w:val="en-US" w:eastAsia="zh-CN"/>
              </w:rPr>
              <w:t>6</w:t>
            </w:r>
            <w:r>
              <w:rPr>
                <w:rFonts w:hint="eastAsia" w:ascii="宋体" w:hAnsi="宋体" w:cs="宋体"/>
                <w:color w:val="auto"/>
                <w:sz w:val="24"/>
                <w:szCs w:val="24"/>
                <w:lang w:eastAsia="zh-CN"/>
              </w:rPr>
              <w:t>室</w:t>
            </w:r>
          </w:p>
          <w:p w14:paraId="4BCF634F">
            <w:pPr>
              <w:shd w:val="clear"/>
              <w:spacing w:line="4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项目联系人：</w:t>
            </w:r>
            <w:r>
              <w:rPr>
                <w:rFonts w:hint="eastAsia" w:ascii="宋体" w:hAnsi="宋体" w:cs="宋体"/>
                <w:color w:val="auto"/>
                <w:sz w:val="24"/>
                <w:szCs w:val="24"/>
                <w:highlight w:val="none"/>
                <w:lang w:val="en-US" w:eastAsia="zh-CN"/>
              </w:rPr>
              <w:t>薛</w:t>
            </w:r>
            <w:r>
              <w:rPr>
                <w:rFonts w:hint="eastAsia" w:ascii="宋体" w:hAnsi="宋体" w:eastAsia="宋体" w:cs="宋体"/>
                <w:color w:val="auto"/>
                <w:sz w:val="24"/>
                <w:szCs w:val="24"/>
                <w:highlight w:val="none"/>
                <w:lang w:eastAsia="zh-CN"/>
              </w:rPr>
              <w:t>女士</w:t>
            </w:r>
          </w:p>
          <w:p w14:paraId="6AB213A3">
            <w:pPr>
              <w:shd w:val="clea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电 话：</w:t>
            </w:r>
            <w:r>
              <w:rPr>
                <w:rFonts w:hint="eastAsia" w:ascii="宋体" w:hAnsi="宋体" w:cs="宋体"/>
                <w:color w:val="auto"/>
                <w:sz w:val="24"/>
                <w:szCs w:val="24"/>
                <w:lang w:val="en-US" w:eastAsia="zh-CN"/>
              </w:rPr>
              <w:t>0917-3225998</w:t>
            </w:r>
          </w:p>
        </w:tc>
      </w:tr>
      <w:tr w14:paraId="4CDB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99" w:type="dxa"/>
            <w:noWrap w:val="0"/>
            <w:vAlign w:val="center"/>
          </w:tcPr>
          <w:p w14:paraId="625FB98C">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060" w:type="dxa"/>
            <w:noWrap w:val="0"/>
            <w:vAlign w:val="center"/>
          </w:tcPr>
          <w:p w14:paraId="24C5128D">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监督管理机构</w:t>
            </w:r>
          </w:p>
        </w:tc>
        <w:tc>
          <w:tcPr>
            <w:tcW w:w="6847" w:type="dxa"/>
            <w:noWrap w:val="0"/>
            <w:vAlign w:val="top"/>
          </w:tcPr>
          <w:p w14:paraId="59471E5D">
            <w:pPr>
              <w:pageBreakBefore w:val="0"/>
              <w:shd w:val="clear"/>
              <w:wordWrap/>
              <w:topLinePunct w:val="0"/>
              <w:bidi w:val="0"/>
              <w:spacing w:line="365"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凤县财政局</w:t>
            </w:r>
          </w:p>
        </w:tc>
      </w:tr>
      <w:tr w14:paraId="7014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72E29787">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060" w:type="dxa"/>
            <w:noWrap w:val="0"/>
            <w:vAlign w:val="center"/>
          </w:tcPr>
          <w:p w14:paraId="772CEF4E">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项目名称</w:t>
            </w:r>
          </w:p>
        </w:tc>
        <w:tc>
          <w:tcPr>
            <w:tcW w:w="6847" w:type="dxa"/>
            <w:noWrap w:val="0"/>
            <w:vAlign w:val="top"/>
          </w:tcPr>
          <w:p w14:paraId="00E1A959">
            <w:pPr>
              <w:pageBreakBefore w:val="0"/>
              <w:shd w:val="clear"/>
              <w:wordWrap/>
              <w:topLinePunct w:val="0"/>
              <w:bidi w:val="0"/>
              <w:spacing w:line="365" w:lineRule="auto"/>
              <w:textAlignment w:val="auto"/>
              <w:rPr>
                <w:rFonts w:hint="default" w:ascii="宋体" w:hAnsi="宋体" w:eastAsia="宋体" w:cs="宋体"/>
                <w:b w:val="0"/>
                <w:bCs/>
                <w:color w:val="auto"/>
                <w:sz w:val="24"/>
                <w:szCs w:val="24"/>
                <w:highlight w:val="none"/>
                <w:u w:val="none" w:color="FF0000"/>
                <w:lang w:val="en-US" w:eastAsia="zh-CN"/>
              </w:rPr>
            </w:pPr>
            <w:r>
              <w:rPr>
                <w:rFonts w:hint="eastAsia" w:ascii="宋体" w:hAnsi="宋体" w:eastAsia="宋体" w:cs="宋体"/>
                <w:b w:val="0"/>
                <w:bCs/>
                <w:color w:val="auto"/>
                <w:sz w:val="24"/>
                <w:szCs w:val="24"/>
                <w:highlight w:val="none"/>
                <w:u w:val="none" w:color="FF0000"/>
                <w:lang w:val="en-US" w:eastAsia="zh-CN"/>
              </w:rPr>
              <w:t>2025年河口镇安河寺村水毁道路修复项目</w:t>
            </w:r>
          </w:p>
        </w:tc>
      </w:tr>
      <w:tr w14:paraId="6123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1E878705">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60" w:type="dxa"/>
            <w:noWrap w:val="0"/>
            <w:vAlign w:val="center"/>
          </w:tcPr>
          <w:p w14:paraId="4150409F">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项目编号</w:t>
            </w:r>
          </w:p>
        </w:tc>
        <w:tc>
          <w:tcPr>
            <w:tcW w:w="6847" w:type="dxa"/>
            <w:noWrap w:val="0"/>
            <w:vAlign w:val="top"/>
          </w:tcPr>
          <w:p w14:paraId="6FA757EA">
            <w:pPr>
              <w:pageBreakBefore w:val="0"/>
              <w:shd w:val="clear"/>
              <w:wordWrap/>
              <w:topLinePunct w:val="0"/>
              <w:bidi w:val="0"/>
              <w:spacing w:line="365" w:lineRule="auto"/>
              <w:textAlignment w:val="auto"/>
              <w:rPr>
                <w:rFonts w:hint="eastAsia" w:ascii="宋体" w:hAnsi="宋体" w:eastAsia="宋体" w:cs="宋体"/>
                <w:b w:val="0"/>
                <w:bCs/>
                <w:color w:val="auto"/>
                <w:sz w:val="24"/>
                <w:szCs w:val="24"/>
                <w:highlight w:val="none"/>
                <w:u w:val="none" w:color="FF0000"/>
                <w:lang w:val="en-US" w:eastAsia="zh-CN"/>
              </w:rPr>
            </w:pPr>
            <w:r>
              <w:rPr>
                <w:rFonts w:hint="eastAsia" w:ascii="宋体" w:hAnsi="宋体" w:eastAsia="宋体" w:cs="宋体"/>
                <w:b w:val="0"/>
                <w:bCs/>
                <w:color w:val="auto"/>
                <w:sz w:val="24"/>
                <w:szCs w:val="24"/>
                <w:highlight w:val="none"/>
                <w:u w:val="none" w:color="FF0000"/>
                <w:lang w:val="zh-CN" w:eastAsia="zh-CN"/>
              </w:rPr>
              <w:t>HRCZB-2025-011GC</w:t>
            </w:r>
          </w:p>
        </w:tc>
      </w:tr>
      <w:tr w14:paraId="1121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1A75D293">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060" w:type="dxa"/>
            <w:noWrap w:val="0"/>
            <w:vAlign w:val="center"/>
          </w:tcPr>
          <w:p w14:paraId="291F6E0B">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资金性质</w:t>
            </w:r>
          </w:p>
        </w:tc>
        <w:tc>
          <w:tcPr>
            <w:tcW w:w="6847" w:type="dxa"/>
            <w:noWrap w:val="0"/>
            <w:vAlign w:val="top"/>
          </w:tcPr>
          <w:p w14:paraId="11D09335">
            <w:pPr>
              <w:pageBreakBefore w:val="0"/>
              <w:shd w:val="clear"/>
              <w:wordWrap/>
              <w:topLinePunct w:val="0"/>
              <w:bidi w:val="0"/>
              <w:spacing w:line="365" w:lineRule="auto"/>
              <w:textAlignment w:val="auto"/>
              <w:rPr>
                <w:rFonts w:hint="eastAsia" w:ascii="宋体" w:hAnsi="宋体" w:eastAsia="宋体" w:cs="宋体"/>
                <w:b w:val="0"/>
                <w:bCs/>
                <w:color w:val="auto"/>
                <w:sz w:val="24"/>
                <w:szCs w:val="24"/>
                <w:highlight w:val="none"/>
                <w:u w:val="none" w:color="FF0000"/>
                <w:lang w:val="en-US" w:eastAsia="zh-CN"/>
              </w:rPr>
            </w:pPr>
            <w:r>
              <w:rPr>
                <w:rFonts w:hint="eastAsia" w:ascii="宋体" w:hAnsi="宋体" w:eastAsia="宋体" w:cs="宋体"/>
                <w:b w:val="0"/>
                <w:bCs/>
                <w:color w:val="auto"/>
                <w:sz w:val="24"/>
                <w:szCs w:val="24"/>
                <w:highlight w:val="none"/>
                <w:u w:val="none" w:color="FF0000"/>
                <w:lang w:val="en-US" w:eastAsia="zh-CN"/>
              </w:rPr>
              <w:t>财政资金</w:t>
            </w:r>
          </w:p>
        </w:tc>
      </w:tr>
      <w:tr w14:paraId="6815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99" w:type="dxa"/>
            <w:noWrap w:val="0"/>
            <w:vAlign w:val="center"/>
          </w:tcPr>
          <w:p w14:paraId="13238FBA">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060" w:type="dxa"/>
            <w:shd w:val="clear" w:color="auto" w:fill="auto"/>
            <w:noWrap w:val="0"/>
            <w:vAlign w:val="center"/>
          </w:tcPr>
          <w:p w14:paraId="5174C952">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u w:val="none" w:color="auto"/>
                <w:lang w:val="en-US" w:eastAsia="zh-CN"/>
              </w:rPr>
            </w:pPr>
            <w:r>
              <w:rPr>
                <w:rFonts w:hint="eastAsia" w:ascii="宋体" w:hAnsi="宋体" w:eastAsia="宋体" w:cs="宋体"/>
                <w:color w:val="auto"/>
                <w:sz w:val="24"/>
                <w:szCs w:val="24"/>
                <w:highlight w:val="none"/>
                <w:u w:val="none" w:color="auto"/>
                <w:lang w:val="en-US" w:eastAsia="zh-CN"/>
              </w:rPr>
              <w:t>项目最高限价</w:t>
            </w:r>
          </w:p>
        </w:tc>
        <w:tc>
          <w:tcPr>
            <w:tcW w:w="6847" w:type="dxa"/>
            <w:shd w:val="clear" w:color="auto" w:fill="auto"/>
            <w:noWrap w:val="0"/>
            <w:vAlign w:val="center"/>
          </w:tcPr>
          <w:p w14:paraId="3F7DD86B">
            <w:pPr>
              <w:pageBreakBefore w:val="0"/>
              <w:shd w:val="clear"/>
              <w:wordWrap/>
              <w:topLinePunct w:val="0"/>
              <w:bidi w:val="0"/>
              <w:spacing w:line="365" w:lineRule="auto"/>
              <w:jc w:val="left"/>
              <w:textAlignment w:val="auto"/>
              <w:rPr>
                <w:rFonts w:hint="eastAsia" w:ascii="宋体" w:hAnsi="宋体" w:eastAsia="宋体" w:cs="宋体"/>
                <w:color w:val="auto"/>
                <w:sz w:val="24"/>
                <w:szCs w:val="24"/>
                <w:highlight w:val="none"/>
                <w:u w:val="none" w:color="auto"/>
                <w:lang w:val="en-US" w:eastAsia="zh-CN"/>
              </w:rPr>
            </w:pPr>
            <w:r>
              <w:rPr>
                <w:rFonts w:hint="eastAsia" w:ascii="宋体" w:hAnsi="宋体" w:eastAsia="宋体" w:cs="宋体"/>
                <w:b w:val="0"/>
                <w:bCs/>
                <w:color w:val="auto"/>
                <w:sz w:val="24"/>
                <w:szCs w:val="24"/>
                <w:highlight w:val="none"/>
                <w:u w:val="none" w:color="FF0000"/>
                <w:lang w:val="en-US" w:eastAsia="zh-CN"/>
              </w:rPr>
              <w:t>578993.38元</w:t>
            </w:r>
          </w:p>
        </w:tc>
      </w:tr>
      <w:tr w14:paraId="44A3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6261AD54">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p>
        </w:tc>
        <w:tc>
          <w:tcPr>
            <w:tcW w:w="2060" w:type="dxa"/>
            <w:noWrap w:val="0"/>
            <w:vAlign w:val="center"/>
          </w:tcPr>
          <w:p w14:paraId="03BA823D">
            <w:pPr>
              <w:pageBreakBefore w:val="0"/>
              <w:shd w:val="clear"/>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采购内容和要求</w:t>
            </w:r>
          </w:p>
        </w:tc>
        <w:tc>
          <w:tcPr>
            <w:tcW w:w="6847" w:type="dxa"/>
            <w:noWrap w:val="0"/>
            <w:vAlign w:val="center"/>
          </w:tcPr>
          <w:p w14:paraId="0CFA85F1">
            <w:pPr>
              <w:pStyle w:val="23"/>
              <w:keepNext w:val="0"/>
              <w:keepLines w:val="0"/>
              <w:pageBreakBefore w:val="0"/>
              <w:widowControl/>
              <w:suppressLineNumbers w:val="0"/>
              <w:shd w:val="clear"/>
              <w:wordWrap/>
              <w:topLinePunct w:val="0"/>
              <w:bidi w:val="0"/>
              <w:spacing w:line="365" w:lineRule="auto"/>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详见</w:t>
            </w:r>
            <w:r>
              <w:rPr>
                <w:rFonts w:hint="eastAsia" w:ascii="宋体" w:hAnsi="宋体" w:eastAsia="宋体" w:cs="宋体"/>
                <w:b w:val="0"/>
                <w:bCs/>
                <w:color w:val="auto"/>
                <w:sz w:val="24"/>
                <w:szCs w:val="24"/>
                <w:highlight w:val="none"/>
                <w:u w:val="none" w:color="FF0000"/>
                <w:lang w:val="en-US" w:eastAsia="zh-CN"/>
              </w:rPr>
              <w:t>磋商文件工程量清单</w:t>
            </w:r>
          </w:p>
        </w:tc>
      </w:tr>
      <w:tr w14:paraId="5984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7C7D79E6">
            <w:pPr>
              <w:numPr>
                <w:ilvl w:val="0"/>
                <w:numId w:val="0"/>
              </w:numPr>
              <w:shd w:val="clear"/>
              <w:ind w:leftChars="0" w:firstLine="240" w:firstLineChars="100"/>
              <w:jc w:val="both"/>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2060" w:type="dxa"/>
            <w:noWrap w:val="0"/>
            <w:vAlign w:val="center"/>
          </w:tcPr>
          <w:p w14:paraId="3C8E6A0F">
            <w:pPr>
              <w:shd w:val="clear"/>
              <w:spacing w:line="4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6847" w:type="dxa"/>
            <w:noWrap w:val="0"/>
            <w:vAlign w:val="top"/>
          </w:tcPr>
          <w:p w14:paraId="4203D31A">
            <w:pPr>
              <w:shd w:val="clea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"http://baike.baidu.com/view/8707.htm" \t "_blank"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并且符合竞争性磋商文件规定资格条件和参加磋商竞争的法人。</w:t>
            </w:r>
          </w:p>
        </w:tc>
      </w:tr>
      <w:tr w14:paraId="73D5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05942C65">
            <w:pPr>
              <w:numPr>
                <w:ilvl w:val="0"/>
                <w:numId w:val="0"/>
              </w:numPr>
              <w:shd w:val="clear"/>
              <w:ind w:left="0" w:leftChars="0" w:firstLine="240" w:firstLineChars="100"/>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2060" w:type="dxa"/>
            <w:noWrap w:val="0"/>
            <w:vAlign w:val="center"/>
          </w:tcPr>
          <w:p w14:paraId="125912B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供应商资格要求</w:t>
            </w:r>
          </w:p>
        </w:tc>
        <w:tc>
          <w:tcPr>
            <w:tcW w:w="6847" w:type="dxa"/>
            <w:noWrap w:val="0"/>
            <w:vAlign w:val="top"/>
          </w:tcPr>
          <w:p w14:paraId="374E536E">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1.满足《中华人民共和国政府采购法》第二十二条规定;</w:t>
            </w:r>
          </w:p>
          <w:p w14:paraId="756D83DE">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2.落实政府采购政策需满足的资格要求：</w:t>
            </w:r>
          </w:p>
          <w:p w14:paraId="2102CBDC">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合同包1(2025年河口镇安河寺村水毁道路修复项目)落实政府采购政策需满足的资格要求如下:</w:t>
            </w:r>
          </w:p>
          <w:p w14:paraId="3E184D4C">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本项目专门面向中小企业采购。（残疾人福利性单位、监狱企业视同小型、微型企业）；须符合《政府采购促进中小企业发展管理办法》（财库〔2020〕46号）规定的中小企业参加。本项目采购标的所属行业为：建筑业。</w:t>
            </w:r>
          </w:p>
          <w:p w14:paraId="2C84147E">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3.本项目的特定资格要求：</w:t>
            </w:r>
          </w:p>
          <w:p w14:paraId="52850BBB">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合同包1(2025年河口镇安河寺村水毁道路修复项目)特定资格要求如下:</w:t>
            </w:r>
          </w:p>
          <w:p w14:paraId="3B1A0CA0">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sz w:val="24"/>
                <w:highlight w:val="none"/>
              </w:rPr>
            </w:pPr>
            <w:r>
              <w:rPr>
                <w:rFonts w:hint="eastAsia" w:ascii="宋体" w:hAnsi="宋体" w:eastAsia="宋体" w:cs="宋体"/>
                <w:color w:val="auto"/>
                <w:kern w:val="2"/>
                <w:sz w:val="24"/>
                <w:szCs w:val="20"/>
                <w:highlight w:val="none"/>
                <w:lang w:val="en-US" w:eastAsia="zh-CN" w:bidi="ar-SA"/>
              </w:rPr>
              <w:t>（1）供应商须是具有独立承担民事责任能力的法人、其他组织或自然人，并出具合法有效的营业执照或事业单位法人证书等国家规定的相关证明，自然人参与的提供其身份证明； </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（2）供应商须提供2024年度财务审计报告（成立时间至提交磋商响应文件截止时间不足一年的可提供成立后任意时段的资产负债表）或基本存款账户开户银行出具的资信证明（附开户许可证或开户备案证明）</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（3）供应商须提供2024年08月至今已缴存的至少一个月的社会保险参保缴费情况证明；</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（4）供应商须提供2024年08月至今已缴纳的至少一个月的纳税证明或完税证明，依法免税的单位应提供相关证明材料；</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5）供应商不得为“信用中国”网站（www.creditchina.gov.cn）中列入失信被执行人和重大税收违法失信主体的投标供应商，不得为中国政府采购网（www.ccgp.gov.cn）政府采购严重违法失信行为记录名单中被财政部门禁止参加政府采购活动的投标供应商（提供书面信用承诺书）；</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（6）单位负责人为同一人或者存在直接控股、管理关系的不同投标供应商，不得参加同一合同项下的政府采购活动（提供承诺书)；</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（7）供应商须提供企业开具的近三年在政府采购经营活动中无重大违法记录声明（成立时间不足三年的供应商提供自成立之日起至磋商截止之日止的无重大违法记录声明）； </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8）供应商须授权合法的人员参加磋商全过程，其中法定代表人直接参加磋商的，须出具法定代表人资格证明书及身份证，并与营业执照上信息一致；法定代表人授权代表参加磋商的，须出具法定代表人资格证明书、授权书、被授权代表身份证； </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（9）供应商须提供具有履行合同所必需的设备和专业技术能力的承诺书；</w:t>
            </w:r>
            <w:r>
              <w:rPr>
                <w:rFonts w:hint="eastAsia" w:ascii="宋体" w:hAnsi="宋体" w:eastAsia="宋体" w:cs="宋体"/>
                <w:color w:val="auto"/>
                <w:kern w:val="2"/>
                <w:sz w:val="24"/>
                <w:szCs w:val="20"/>
                <w:highlight w:val="none"/>
                <w:lang w:val="en-US" w:eastAsia="zh-CN" w:bidi="ar-SA"/>
              </w:rPr>
              <w:br w:type="textWrapping"/>
            </w:r>
            <w:r>
              <w:rPr>
                <w:rFonts w:hint="eastAsia" w:ascii="宋体" w:hAnsi="宋体" w:eastAsia="宋体" w:cs="宋体"/>
                <w:color w:val="auto"/>
                <w:kern w:val="2"/>
                <w:sz w:val="24"/>
                <w:szCs w:val="20"/>
                <w:highlight w:val="none"/>
                <w:lang w:val="en-US" w:eastAsia="zh-CN" w:bidi="ar-SA"/>
              </w:rPr>
              <w:t>（10）供应商须具备建设行政主管部门核发的市政公用工程施工总承包三级以上（含三级）资质，具备建设行政主管部门颁发的有效安全生产许可证；拟派项目经理具备市政公用工程专业二级以上(含二级)建造师证书和有效的安全生产考核合格证书(建安B证)，且无在建项目(提供无在建承诺书)；</w:t>
            </w:r>
          </w:p>
        </w:tc>
      </w:tr>
      <w:tr w14:paraId="4AA8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1E79EF90">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1</w:t>
            </w:r>
          </w:p>
        </w:tc>
        <w:tc>
          <w:tcPr>
            <w:tcW w:w="2060" w:type="dxa"/>
            <w:shd w:val="clear" w:color="auto" w:fill="auto"/>
            <w:noWrap w:val="0"/>
            <w:vAlign w:val="center"/>
          </w:tcPr>
          <w:p w14:paraId="140A812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工期</w:t>
            </w:r>
            <w:r>
              <w:rPr>
                <w:rFonts w:hint="eastAsia" w:ascii="宋体" w:hAnsi="宋体" w:eastAsia="宋体" w:cs="宋体"/>
                <w:color w:val="auto"/>
                <w:sz w:val="24"/>
                <w:highlight w:val="none"/>
              </w:rPr>
              <w:t>、地点</w:t>
            </w:r>
          </w:p>
        </w:tc>
        <w:tc>
          <w:tcPr>
            <w:tcW w:w="6847" w:type="dxa"/>
            <w:shd w:val="clear" w:color="auto" w:fill="auto"/>
            <w:noWrap w:val="0"/>
            <w:vAlign w:val="top"/>
          </w:tcPr>
          <w:p w14:paraId="5D306713">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工期：自合同签订之日起60日历天内完成。</w:t>
            </w:r>
          </w:p>
          <w:p w14:paraId="5D08EC1A">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color w:val="auto"/>
                <w:sz w:val="24"/>
                <w:highlight w:val="none"/>
              </w:rPr>
            </w:pPr>
            <w:r>
              <w:rPr>
                <w:rFonts w:hint="eastAsia" w:ascii="宋体" w:hAnsi="宋体" w:eastAsia="宋体" w:cs="宋体"/>
                <w:color w:val="auto"/>
                <w:kern w:val="2"/>
                <w:sz w:val="24"/>
                <w:szCs w:val="20"/>
                <w:highlight w:val="none"/>
                <w:lang w:val="en-US" w:eastAsia="zh-CN" w:bidi="ar-SA"/>
              </w:rPr>
              <w:t>地点</w:t>
            </w:r>
            <w:r>
              <w:rPr>
                <w:rFonts w:hint="eastAsia" w:ascii="宋体" w:hAnsi="宋体" w:eastAsia="宋体" w:cs="宋体"/>
                <w:color w:val="auto"/>
                <w:kern w:val="2"/>
                <w:sz w:val="24"/>
                <w:szCs w:val="20"/>
                <w:highlight w:val="none"/>
                <w:lang w:val="zh-CN" w:eastAsia="zh-CN" w:bidi="ar-SA"/>
              </w:rPr>
              <w:t>：采购人指定地点</w:t>
            </w:r>
          </w:p>
        </w:tc>
      </w:tr>
      <w:tr w14:paraId="14E5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105B666E">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2</w:t>
            </w:r>
          </w:p>
        </w:tc>
        <w:tc>
          <w:tcPr>
            <w:tcW w:w="2060" w:type="dxa"/>
            <w:noWrap w:val="0"/>
            <w:vAlign w:val="center"/>
          </w:tcPr>
          <w:p w14:paraId="6C790FF6">
            <w:pPr>
              <w:shd w:val="clea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竞争性磋商文件</w:t>
            </w:r>
            <w:r>
              <w:rPr>
                <w:rFonts w:hint="eastAsia" w:ascii="宋体" w:hAnsi="宋体" w:eastAsia="宋体" w:cs="宋体"/>
                <w:color w:val="auto"/>
                <w:sz w:val="24"/>
                <w:highlight w:val="none"/>
                <w:lang w:eastAsia="zh-CN"/>
              </w:rPr>
              <w:t>获取</w:t>
            </w:r>
          </w:p>
        </w:tc>
        <w:tc>
          <w:tcPr>
            <w:tcW w:w="6847" w:type="dxa"/>
            <w:shd w:val="clear" w:color="auto" w:fill="auto"/>
            <w:noWrap w:val="0"/>
            <w:vAlign w:val="top"/>
          </w:tcPr>
          <w:p w14:paraId="503C639C">
            <w:pPr>
              <w:pStyle w:val="59"/>
              <w:shd w:val="clear"/>
              <w:spacing w:line="46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获</w:t>
            </w:r>
            <w:r>
              <w:rPr>
                <w:rFonts w:hint="eastAsia" w:ascii="宋体" w:hAnsi="宋体" w:eastAsia="宋体" w:cs="宋体"/>
                <w:i w:val="0"/>
                <w:iCs w:val="0"/>
                <w:caps w:val="0"/>
                <w:color w:val="auto"/>
                <w:spacing w:val="0"/>
                <w:kern w:val="0"/>
                <w:sz w:val="24"/>
                <w:szCs w:val="24"/>
                <w:highlight w:val="none"/>
                <w:shd w:val="clear" w:fill="FFFFFF"/>
                <w:lang w:val="en-US" w:eastAsia="zh-CN" w:bidi="ar-SA"/>
              </w:rPr>
              <w:t>取时间：</w:t>
            </w:r>
            <w:r>
              <w:rPr>
                <w:rFonts w:hint="eastAsia" w:ascii="宋体" w:hAnsi="宋体" w:eastAsia="宋体" w:cs="宋体"/>
                <w:color w:val="auto"/>
                <w:sz w:val="24"/>
                <w:szCs w:val="24"/>
                <w:highlight w:val="none"/>
                <w:lang w:eastAsia="zh-CN"/>
              </w:rPr>
              <w:t>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年0</w:t>
            </w:r>
            <w:r>
              <w:rPr>
                <w:rFonts w:hint="eastAsia" w:ascii="宋体" w:hAnsi="宋体" w:cs="宋体"/>
                <w:color w:val="auto"/>
                <w:sz w:val="24"/>
                <w:szCs w:val="24"/>
                <w:highlight w:val="none"/>
                <w:lang w:val="en-US" w:eastAsia="zh-CN"/>
              </w:rPr>
              <w:t>8</w:t>
            </w:r>
            <w:r>
              <w:rPr>
                <w:rFonts w:hint="eastAsia" w:ascii="宋体" w:hAnsi="宋体" w:eastAsia="宋体" w:cs="宋体"/>
                <w:color w:val="auto"/>
                <w:kern w:val="2"/>
                <w:sz w:val="24"/>
                <w:szCs w:val="24"/>
                <w:highlight w:val="none"/>
                <w:lang w:val="en-US" w:eastAsia="zh-CN" w:bidi="ar-SA"/>
              </w:rPr>
              <w:t>月</w:t>
            </w:r>
            <w:r>
              <w:rPr>
                <w:rFonts w:hint="eastAsia" w:ascii="宋体" w:hAnsi="宋体" w:cs="宋体"/>
                <w:color w:val="auto"/>
                <w:kern w:val="2"/>
                <w:sz w:val="24"/>
                <w:szCs w:val="24"/>
                <w:highlight w:val="none"/>
                <w:lang w:val="en-US" w:eastAsia="zh-CN" w:bidi="ar-SA"/>
              </w:rPr>
              <w:t>18</w:t>
            </w:r>
            <w:r>
              <w:rPr>
                <w:rFonts w:hint="eastAsia" w:ascii="宋体" w:hAnsi="宋体" w:eastAsia="宋体" w:cs="宋体"/>
                <w:color w:val="auto"/>
                <w:kern w:val="2"/>
                <w:sz w:val="24"/>
                <w:szCs w:val="24"/>
                <w:highlight w:val="none"/>
                <w:lang w:val="en-US" w:eastAsia="zh-CN" w:bidi="ar-SA"/>
              </w:rPr>
              <w:t>日至202</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年0</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ascii="宋体" w:hAnsi="宋体" w:cs="宋体"/>
                <w:color w:val="auto"/>
                <w:kern w:val="2"/>
                <w:sz w:val="24"/>
                <w:szCs w:val="24"/>
                <w:highlight w:val="none"/>
                <w:lang w:val="en-US" w:eastAsia="zh-CN" w:bidi="ar-SA"/>
              </w:rPr>
              <w:t>22</w:t>
            </w:r>
            <w:r>
              <w:rPr>
                <w:rFonts w:hint="eastAsia" w:ascii="宋体" w:hAnsi="宋体" w:eastAsia="宋体" w:cs="宋体"/>
                <w:color w:val="auto"/>
                <w:kern w:val="2"/>
                <w:sz w:val="24"/>
                <w:szCs w:val="24"/>
                <w:highlight w:val="none"/>
                <w:lang w:val="en-US" w:eastAsia="zh-CN" w:bidi="ar-SA"/>
              </w:rPr>
              <w:t>日9:00-17:00止（双休日及法定节假日除外）。</w:t>
            </w:r>
          </w:p>
          <w:p w14:paraId="06B32855">
            <w:pPr>
              <w:pStyle w:val="59"/>
              <w:shd w:val="clea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shd w:val="clear" w:fill="FFFFFF"/>
                <w:lang w:val="en-US" w:eastAsia="zh-CN" w:bidi="ar-SA"/>
              </w:rPr>
              <w:t>获取方式：在线下载。</w:t>
            </w:r>
          </w:p>
        </w:tc>
      </w:tr>
      <w:tr w14:paraId="3230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99" w:type="dxa"/>
            <w:noWrap w:val="0"/>
            <w:vAlign w:val="center"/>
          </w:tcPr>
          <w:p w14:paraId="75E7D852">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3</w:t>
            </w:r>
          </w:p>
        </w:tc>
        <w:tc>
          <w:tcPr>
            <w:tcW w:w="2060" w:type="dxa"/>
            <w:noWrap w:val="0"/>
            <w:vAlign w:val="center"/>
          </w:tcPr>
          <w:p w14:paraId="58CE2650">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联合体磋商</w:t>
            </w:r>
          </w:p>
        </w:tc>
        <w:tc>
          <w:tcPr>
            <w:tcW w:w="6847" w:type="dxa"/>
            <w:noWrap w:val="0"/>
            <w:vAlign w:val="top"/>
          </w:tcPr>
          <w:p w14:paraId="6DD3DA74">
            <w:pPr>
              <w:shd w:val="clea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不接受</w:t>
            </w:r>
          </w:p>
        </w:tc>
      </w:tr>
      <w:tr w14:paraId="7D08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99" w:type="dxa"/>
            <w:noWrap w:val="0"/>
            <w:vAlign w:val="center"/>
          </w:tcPr>
          <w:p w14:paraId="18B35DE2">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4</w:t>
            </w:r>
          </w:p>
        </w:tc>
        <w:tc>
          <w:tcPr>
            <w:tcW w:w="2060" w:type="dxa"/>
            <w:noWrap w:val="0"/>
            <w:vAlign w:val="center"/>
          </w:tcPr>
          <w:p w14:paraId="5921980E">
            <w:pPr>
              <w:shd w:val="clear"/>
              <w:spacing w:line="4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现场勘查、标前答疑会</w:t>
            </w:r>
          </w:p>
        </w:tc>
        <w:tc>
          <w:tcPr>
            <w:tcW w:w="6847" w:type="dxa"/>
            <w:noWrap w:val="0"/>
            <w:vAlign w:val="center"/>
          </w:tcPr>
          <w:p w14:paraId="4AC72447">
            <w:pPr>
              <w:shd w:val="clea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w:t>
            </w:r>
            <w:r>
              <w:rPr>
                <w:rFonts w:hint="eastAsia" w:ascii="宋体" w:hAnsi="宋体" w:eastAsia="宋体" w:cs="宋体"/>
                <w:color w:val="auto"/>
                <w:sz w:val="24"/>
                <w:highlight w:val="none"/>
                <w:lang w:eastAsia="zh-CN"/>
              </w:rPr>
              <w:t>统一</w:t>
            </w:r>
            <w:r>
              <w:rPr>
                <w:rFonts w:hint="eastAsia" w:ascii="宋体" w:hAnsi="宋体" w:eastAsia="宋体" w:cs="宋体"/>
                <w:color w:val="auto"/>
                <w:sz w:val="24"/>
                <w:highlight w:val="none"/>
              </w:rPr>
              <w:t>组织。供应商认为有必要可自行勘查，并承担所有费用及风险。</w:t>
            </w:r>
          </w:p>
        </w:tc>
      </w:tr>
      <w:tr w14:paraId="4E78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4412AF0B">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5</w:t>
            </w:r>
          </w:p>
        </w:tc>
        <w:tc>
          <w:tcPr>
            <w:tcW w:w="2060" w:type="dxa"/>
            <w:noWrap w:val="0"/>
            <w:vAlign w:val="center"/>
          </w:tcPr>
          <w:p w14:paraId="6CA139A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供应商对竞争性磋商文件提出质疑的时间</w:t>
            </w:r>
          </w:p>
        </w:tc>
        <w:tc>
          <w:tcPr>
            <w:tcW w:w="6847" w:type="dxa"/>
            <w:noWrap w:val="0"/>
            <w:vAlign w:val="top"/>
          </w:tcPr>
          <w:p w14:paraId="7912218C">
            <w:pPr>
              <w:shd w:val="clea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可在</w:t>
            </w:r>
            <w:r>
              <w:rPr>
                <w:rFonts w:hint="eastAsia" w:ascii="宋体" w:hAnsi="宋体" w:eastAsia="宋体" w:cs="宋体"/>
                <w:color w:val="auto"/>
                <w:sz w:val="24"/>
                <w:szCs w:val="24"/>
                <w:highlight w:val="none"/>
                <w:lang w:eastAsia="zh-CN"/>
              </w:rPr>
              <w:t>领取磋商文件之日起或</w:t>
            </w: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公告期限届满之日起七个工作日内，以书面形式向采购代理机构一次性提出，</w:t>
            </w:r>
            <w:r>
              <w:rPr>
                <w:rFonts w:hint="eastAsia" w:ascii="宋体" w:hAnsi="宋体" w:eastAsia="宋体" w:cs="宋体"/>
                <w:color w:val="auto"/>
                <w:sz w:val="24"/>
                <w:highlight w:val="none"/>
              </w:rPr>
              <w:t>在此之后提出的质疑无效</w:t>
            </w:r>
            <w:r>
              <w:rPr>
                <w:rFonts w:hint="eastAsia" w:ascii="宋体" w:hAnsi="宋体" w:eastAsia="宋体" w:cs="宋体"/>
                <w:color w:val="auto"/>
                <w:sz w:val="24"/>
                <w:szCs w:val="24"/>
                <w:highlight w:val="none"/>
              </w:rPr>
              <w:t>。</w:t>
            </w:r>
          </w:p>
        </w:tc>
      </w:tr>
      <w:tr w14:paraId="06FE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2ADEECDD">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6</w:t>
            </w:r>
          </w:p>
        </w:tc>
        <w:tc>
          <w:tcPr>
            <w:tcW w:w="2060" w:type="dxa"/>
            <w:noWrap w:val="0"/>
            <w:vAlign w:val="center"/>
          </w:tcPr>
          <w:p w14:paraId="7DB75625">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构成竞争性磋商文件的其他文件</w:t>
            </w:r>
          </w:p>
        </w:tc>
        <w:tc>
          <w:tcPr>
            <w:tcW w:w="6847" w:type="dxa"/>
            <w:noWrap w:val="0"/>
            <w:vAlign w:val="top"/>
          </w:tcPr>
          <w:p w14:paraId="15A7CB0B">
            <w:pPr>
              <w:shd w:val="clea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竞争性磋商文件的澄清、修改及有关补充通知</w:t>
            </w:r>
            <w:r>
              <w:rPr>
                <w:rFonts w:hint="eastAsia" w:ascii="宋体" w:hAnsi="宋体" w:eastAsia="宋体" w:cs="宋体"/>
                <w:color w:val="auto"/>
                <w:sz w:val="24"/>
                <w:highlight w:val="none"/>
                <w:lang w:eastAsia="zh-CN"/>
              </w:rPr>
              <w:t>均</w:t>
            </w:r>
            <w:r>
              <w:rPr>
                <w:rFonts w:hint="eastAsia" w:ascii="宋体" w:hAnsi="宋体" w:eastAsia="宋体" w:cs="宋体"/>
                <w:color w:val="auto"/>
                <w:sz w:val="24"/>
                <w:highlight w:val="none"/>
              </w:rPr>
              <w:t>为竞争性磋商文件的有效组成部分。</w:t>
            </w:r>
          </w:p>
        </w:tc>
      </w:tr>
      <w:tr w14:paraId="344D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67380C9B">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7</w:t>
            </w:r>
          </w:p>
        </w:tc>
        <w:tc>
          <w:tcPr>
            <w:tcW w:w="2060" w:type="dxa"/>
            <w:noWrap w:val="0"/>
            <w:vAlign w:val="center"/>
          </w:tcPr>
          <w:p w14:paraId="61B15FA3">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磋商响应文件提交截止时间及磋商时间和地点</w:t>
            </w:r>
          </w:p>
        </w:tc>
        <w:tc>
          <w:tcPr>
            <w:tcW w:w="6847" w:type="dxa"/>
            <w:noWrap w:val="0"/>
            <w:vAlign w:val="top"/>
          </w:tcPr>
          <w:p w14:paraId="0B0CEB37">
            <w:pPr>
              <w:shd w:val="clear"/>
              <w:spacing w:line="360" w:lineRule="auto"/>
              <w:jc w:val="left"/>
              <w:rPr>
                <w:rFonts w:hint="eastAsia" w:ascii="宋体" w:hAnsi="宋体" w:eastAsia="宋体" w:cs="宋体"/>
                <w:b w:val="0"/>
                <w:bCs w:val="0"/>
                <w:color w:val="auto"/>
                <w:kern w:val="2"/>
                <w:sz w:val="24"/>
                <w:szCs w:val="20"/>
                <w:highlight w:val="none"/>
                <w:lang w:val="en-US" w:eastAsia="zh-CN" w:bidi="ar-SA"/>
              </w:rPr>
            </w:pPr>
            <w:r>
              <w:rPr>
                <w:rFonts w:hint="eastAsia" w:ascii="宋体" w:hAnsi="宋体" w:eastAsia="宋体" w:cs="宋体"/>
                <w:b w:val="0"/>
                <w:bCs w:val="0"/>
                <w:color w:val="auto"/>
                <w:kern w:val="2"/>
                <w:sz w:val="24"/>
                <w:szCs w:val="20"/>
                <w:highlight w:val="none"/>
                <w:lang w:val="en-US" w:eastAsia="zh-CN" w:bidi="ar-SA"/>
              </w:rPr>
              <w:t>1、磋商响应文件提交截止时间：202</w:t>
            </w:r>
            <w:r>
              <w:rPr>
                <w:rFonts w:hint="eastAsia" w:ascii="宋体" w:hAnsi="宋体" w:cs="宋体"/>
                <w:b w:val="0"/>
                <w:bCs w:val="0"/>
                <w:color w:val="auto"/>
                <w:kern w:val="2"/>
                <w:sz w:val="24"/>
                <w:szCs w:val="20"/>
                <w:highlight w:val="none"/>
                <w:lang w:val="en-US" w:eastAsia="zh-CN" w:bidi="ar-SA"/>
              </w:rPr>
              <w:t>5</w:t>
            </w:r>
            <w:r>
              <w:rPr>
                <w:rFonts w:hint="eastAsia" w:ascii="宋体" w:hAnsi="宋体" w:eastAsia="宋体" w:cs="宋体"/>
                <w:color w:val="auto"/>
                <w:kern w:val="2"/>
                <w:sz w:val="24"/>
                <w:szCs w:val="24"/>
                <w:highlight w:val="none"/>
                <w:lang w:val="en-US" w:eastAsia="zh-CN" w:bidi="ar-SA"/>
              </w:rPr>
              <w:t>年0</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ascii="宋体" w:hAnsi="宋体" w:cs="宋体"/>
                <w:color w:val="auto"/>
                <w:kern w:val="2"/>
                <w:sz w:val="24"/>
                <w:szCs w:val="24"/>
                <w:highlight w:val="none"/>
                <w:lang w:val="en-US" w:eastAsia="zh-CN" w:bidi="ar-SA"/>
              </w:rPr>
              <w:t>29</w:t>
            </w:r>
            <w:r>
              <w:rPr>
                <w:rFonts w:hint="eastAsia" w:ascii="宋体" w:hAnsi="宋体" w:eastAsia="宋体" w:cs="宋体"/>
                <w:color w:val="auto"/>
                <w:kern w:val="2"/>
                <w:sz w:val="24"/>
                <w:szCs w:val="24"/>
                <w:highlight w:val="none"/>
                <w:lang w:val="en-US" w:eastAsia="zh-CN" w:bidi="ar-SA"/>
              </w:rPr>
              <w:t>日09时00</w:t>
            </w:r>
            <w:r>
              <w:rPr>
                <w:rFonts w:hint="eastAsia" w:ascii="宋体" w:hAnsi="宋体" w:eastAsia="宋体" w:cs="宋体"/>
                <w:b w:val="0"/>
                <w:bCs w:val="0"/>
                <w:color w:val="auto"/>
                <w:kern w:val="2"/>
                <w:sz w:val="24"/>
                <w:szCs w:val="20"/>
                <w:highlight w:val="none"/>
                <w:lang w:val="en-US" w:eastAsia="zh-CN" w:bidi="ar-SA"/>
              </w:rPr>
              <w:t>分</w:t>
            </w:r>
          </w:p>
          <w:p w14:paraId="1DEBD7A0">
            <w:pPr>
              <w:shd w:val="clear"/>
              <w:spacing w:line="360" w:lineRule="auto"/>
              <w:jc w:val="left"/>
              <w:rPr>
                <w:rFonts w:hint="eastAsia" w:ascii="宋体" w:hAnsi="宋体" w:eastAsia="宋体" w:cs="宋体"/>
                <w:b w:val="0"/>
                <w:bCs w:val="0"/>
                <w:color w:val="auto"/>
                <w:kern w:val="2"/>
                <w:sz w:val="24"/>
                <w:szCs w:val="20"/>
                <w:highlight w:val="none"/>
                <w:lang w:val="en-US" w:eastAsia="zh-CN" w:bidi="ar-SA"/>
              </w:rPr>
            </w:pPr>
            <w:r>
              <w:rPr>
                <w:rFonts w:hint="eastAsia" w:ascii="宋体" w:hAnsi="宋体" w:eastAsia="宋体" w:cs="宋体"/>
                <w:b w:val="0"/>
                <w:bCs w:val="0"/>
                <w:color w:val="auto"/>
                <w:kern w:val="2"/>
                <w:sz w:val="24"/>
                <w:szCs w:val="20"/>
                <w:highlight w:val="none"/>
                <w:lang w:val="en-US" w:eastAsia="zh-CN" w:bidi="ar-SA"/>
              </w:rPr>
              <w:t>2、磋商时间：202</w:t>
            </w:r>
            <w:r>
              <w:rPr>
                <w:rFonts w:hint="eastAsia" w:ascii="宋体" w:hAnsi="宋体" w:cs="宋体"/>
                <w:b w:val="0"/>
                <w:bCs w:val="0"/>
                <w:color w:val="auto"/>
                <w:kern w:val="2"/>
                <w:sz w:val="24"/>
                <w:szCs w:val="20"/>
                <w:highlight w:val="none"/>
                <w:lang w:val="en-US" w:eastAsia="zh-CN" w:bidi="ar-SA"/>
              </w:rPr>
              <w:t>5</w:t>
            </w:r>
            <w:r>
              <w:rPr>
                <w:rFonts w:hint="eastAsia" w:ascii="宋体" w:hAnsi="宋体" w:eastAsia="宋体" w:cs="宋体"/>
                <w:color w:val="auto"/>
                <w:kern w:val="2"/>
                <w:sz w:val="24"/>
                <w:szCs w:val="24"/>
                <w:highlight w:val="none"/>
                <w:lang w:val="en-US" w:eastAsia="zh-CN" w:bidi="ar-SA"/>
              </w:rPr>
              <w:t>年0</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ascii="宋体" w:hAnsi="宋体" w:cs="宋体"/>
                <w:color w:val="auto"/>
                <w:kern w:val="2"/>
                <w:sz w:val="24"/>
                <w:szCs w:val="24"/>
                <w:highlight w:val="none"/>
                <w:lang w:val="en-US" w:eastAsia="zh-CN" w:bidi="ar-SA"/>
              </w:rPr>
              <w:t>29</w:t>
            </w:r>
            <w:r>
              <w:rPr>
                <w:rFonts w:hint="eastAsia" w:ascii="宋体" w:hAnsi="宋体" w:eastAsia="宋体" w:cs="宋体"/>
                <w:color w:val="auto"/>
                <w:kern w:val="2"/>
                <w:sz w:val="24"/>
                <w:szCs w:val="24"/>
                <w:highlight w:val="none"/>
                <w:lang w:val="en-US" w:eastAsia="zh-CN" w:bidi="ar-SA"/>
              </w:rPr>
              <w:t>日09</w:t>
            </w:r>
            <w:r>
              <w:rPr>
                <w:rFonts w:hint="eastAsia" w:ascii="宋体" w:hAnsi="宋体" w:eastAsia="宋体" w:cs="宋体"/>
                <w:b w:val="0"/>
                <w:bCs w:val="0"/>
                <w:color w:val="auto"/>
                <w:kern w:val="2"/>
                <w:sz w:val="24"/>
                <w:szCs w:val="20"/>
                <w:highlight w:val="none"/>
                <w:lang w:val="en-US" w:eastAsia="zh-CN" w:bidi="ar-SA"/>
              </w:rPr>
              <w:t>时00分</w:t>
            </w:r>
          </w:p>
          <w:p w14:paraId="07196804">
            <w:pPr>
              <w:shd w:val="clear"/>
              <w:spacing w:line="360" w:lineRule="auto"/>
              <w:jc w:val="left"/>
              <w:rPr>
                <w:rFonts w:hint="eastAsia" w:ascii="宋体" w:hAnsi="宋体" w:eastAsia="宋体" w:cs="宋体"/>
                <w:b w:val="0"/>
                <w:bCs w:val="0"/>
                <w:color w:val="auto"/>
                <w:kern w:val="2"/>
                <w:sz w:val="24"/>
                <w:szCs w:val="20"/>
                <w:highlight w:val="none"/>
                <w:lang w:val="en-US" w:eastAsia="zh-CN" w:bidi="ar-SA"/>
              </w:rPr>
            </w:pPr>
            <w:r>
              <w:rPr>
                <w:rFonts w:hint="eastAsia" w:ascii="宋体" w:hAnsi="宋体" w:eastAsia="宋体" w:cs="宋体"/>
                <w:b w:val="0"/>
                <w:bCs w:val="0"/>
                <w:color w:val="auto"/>
                <w:kern w:val="2"/>
                <w:sz w:val="24"/>
                <w:szCs w:val="20"/>
                <w:highlight w:val="none"/>
                <w:lang w:val="en-US" w:eastAsia="zh-CN" w:bidi="ar-SA"/>
              </w:rPr>
              <w:t>3、磋商响应文件提交：全国公共资源交易平台（陕西省·宝鸡市）宝鸡市公共资源交易中心（http://ggzy.baoji.gov.cn/）线上提交</w:t>
            </w:r>
          </w:p>
          <w:p w14:paraId="65741B21">
            <w:pPr>
              <w:shd w:val="clea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0"/>
                <w:highlight w:val="none"/>
                <w:lang w:val="en-US" w:eastAsia="zh-CN" w:bidi="ar-SA"/>
              </w:rPr>
              <w:t>4、磋商地点：全国公共资源交易平台(陕西省·宝鸡市)宝鸡市公共资源交易中心-不见面开标</w:t>
            </w:r>
          </w:p>
        </w:tc>
      </w:tr>
      <w:tr w14:paraId="6F78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320D952C">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8</w:t>
            </w:r>
          </w:p>
        </w:tc>
        <w:tc>
          <w:tcPr>
            <w:tcW w:w="2060" w:type="dxa"/>
            <w:noWrap w:val="0"/>
            <w:vAlign w:val="center"/>
          </w:tcPr>
          <w:p w14:paraId="4C1B096A">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磋商响应有效期</w:t>
            </w:r>
          </w:p>
        </w:tc>
        <w:tc>
          <w:tcPr>
            <w:tcW w:w="6847" w:type="dxa"/>
            <w:noWrap w:val="0"/>
            <w:vAlign w:val="top"/>
          </w:tcPr>
          <w:p w14:paraId="0484EC5E">
            <w:pPr>
              <w:shd w:val="clear"/>
              <w:spacing w:line="460" w:lineRule="exac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自磋商之日起</w:t>
            </w:r>
            <w:r>
              <w:rPr>
                <w:rFonts w:hint="eastAsia" w:ascii="宋体" w:hAnsi="宋体" w:eastAsia="宋体" w:cs="宋体"/>
                <w:color w:val="auto"/>
                <w:spacing w:val="-4"/>
                <w:sz w:val="24"/>
                <w:highlight w:val="none"/>
                <w:lang w:val="en-US" w:eastAsia="zh-CN"/>
              </w:rPr>
              <w:t>计</w:t>
            </w:r>
            <w:r>
              <w:rPr>
                <w:rFonts w:hint="eastAsia" w:ascii="宋体" w:hAnsi="宋体" w:eastAsia="宋体" w:cs="宋体"/>
                <w:color w:val="auto"/>
                <w:spacing w:val="-4"/>
                <w:sz w:val="24"/>
                <w:highlight w:val="none"/>
              </w:rPr>
              <w:t>算90日历日。</w:t>
            </w:r>
          </w:p>
        </w:tc>
      </w:tr>
      <w:tr w14:paraId="7C0E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700306E">
            <w:pPr>
              <w:numPr>
                <w:ilvl w:val="0"/>
                <w:numId w:val="0"/>
              </w:numPr>
              <w:shd w:val="clear"/>
              <w:ind w:leftChars="0"/>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w:t>
            </w:r>
          </w:p>
        </w:tc>
        <w:tc>
          <w:tcPr>
            <w:tcW w:w="2060" w:type="dxa"/>
            <w:noWrap w:val="0"/>
            <w:vAlign w:val="center"/>
          </w:tcPr>
          <w:p w14:paraId="238E1937">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磋商担保</w:t>
            </w:r>
          </w:p>
        </w:tc>
        <w:tc>
          <w:tcPr>
            <w:tcW w:w="6847" w:type="dxa"/>
            <w:noWrap w:val="0"/>
            <w:vAlign w:val="top"/>
          </w:tcPr>
          <w:p w14:paraId="67BBE524">
            <w:pPr>
              <w:shd w:val="clear"/>
              <w:spacing w:line="360" w:lineRule="auto"/>
              <w:jc w:val="left"/>
              <w:rPr>
                <w:rFonts w:hint="eastAsia" w:ascii="宋体" w:hAnsi="宋体" w:eastAsia="宋体" w:cs="宋体"/>
                <w:b w:val="0"/>
                <w:bCs w:val="0"/>
                <w:color w:val="auto"/>
                <w:kern w:val="2"/>
                <w:sz w:val="24"/>
                <w:szCs w:val="20"/>
                <w:highlight w:val="none"/>
                <w:lang w:val="en-US" w:eastAsia="zh-CN" w:bidi="ar-SA"/>
              </w:rPr>
            </w:pPr>
            <w:r>
              <w:rPr>
                <w:rFonts w:hint="eastAsia" w:ascii="宋体" w:hAnsi="宋体" w:eastAsia="宋体" w:cs="宋体"/>
                <w:b w:val="0"/>
                <w:bCs w:val="0"/>
                <w:color w:val="auto"/>
                <w:kern w:val="2"/>
                <w:sz w:val="24"/>
                <w:szCs w:val="20"/>
                <w:highlight w:val="none"/>
                <w:lang w:val="en-US" w:eastAsia="zh-CN" w:bidi="ar-SA"/>
              </w:rPr>
              <w:t>磋商保证金金额：人民币壹万元整（10000.00元）</w:t>
            </w:r>
          </w:p>
          <w:p w14:paraId="3FF57613">
            <w:pPr>
              <w:tabs>
                <w:tab w:val="left" w:pos="8280"/>
              </w:tabs>
              <w:spacing w:beforeAutospacing="0" w:afterAutospacing="0" w:line="360" w:lineRule="auto"/>
              <w:ind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磋商保证金的形式：银行保函或基本户转账</w:t>
            </w:r>
          </w:p>
          <w:p w14:paraId="7955B426">
            <w:pPr>
              <w:tabs>
                <w:tab w:val="left" w:pos="8280"/>
              </w:tabs>
              <w:spacing w:beforeAutospacing="0" w:afterAutospacing="0" w:line="360" w:lineRule="auto"/>
              <w:ind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磋商保证金缴纳账户名：宝鸡市公共资源交易中心保证金专户</w:t>
            </w:r>
          </w:p>
          <w:p w14:paraId="6F552A41">
            <w:pPr>
              <w:tabs>
                <w:tab w:val="left" w:pos="8280"/>
              </w:tabs>
              <w:spacing w:beforeAutospacing="0" w:afterAutospacing="0" w:line="360" w:lineRule="auto"/>
              <w:ind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开户行：长安银行股份有限公司宝鸡分行营业部</w:t>
            </w:r>
          </w:p>
          <w:p w14:paraId="0FC1C4ED">
            <w:pPr>
              <w:tabs>
                <w:tab w:val="left" w:pos="8280"/>
              </w:tabs>
              <w:spacing w:beforeAutospacing="0" w:afterAutospacing="0" w:line="360" w:lineRule="auto"/>
              <w:ind w:firstLine="0" w:firstLineChars="0"/>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账  号：80602000142101980614665</w:t>
            </w:r>
          </w:p>
          <w:p w14:paraId="22717DA8">
            <w:pPr>
              <w:pStyle w:val="23"/>
              <w:widowControl/>
              <w:spacing w:before="0" w:beforeAutospacing="0" w:after="0" w:afterAutospacing="0" w:line="360" w:lineRule="auto"/>
              <w:ind w:firstLine="0" w:firstLineChars="0"/>
              <w:rPr>
                <w:rFonts w:hint="eastAsia" w:ascii="宋体" w:hAnsi="宋体" w:eastAsia="宋体" w:cs="宋体"/>
                <w:kern w:val="2"/>
                <w:sz w:val="24"/>
                <w:szCs w:val="20"/>
                <w:lang w:val="en-US" w:eastAsia="zh-CN" w:bidi="ar-SA"/>
              </w:rPr>
            </w:pP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0"/>
                <w:lang w:val="en-US" w:eastAsia="zh-CN" w:bidi="ar-SA"/>
              </w:rPr>
              <w:t>银行保函</w:t>
            </w:r>
          </w:p>
          <w:p w14:paraId="2128D063">
            <w:pPr>
              <w:pStyle w:val="23"/>
              <w:widowControl/>
              <w:spacing w:before="0" w:beforeAutospacing="0" w:after="0" w:afterAutospacing="0" w:line="360" w:lineRule="auto"/>
              <w:ind w:firstLine="0" w:firstLineChars="0"/>
              <w:rPr>
                <w:rFonts w:hint="eastAsia" w:ascii="宋体" w:hAnsi="宋体" w:eastAsia="宋体" w:cs="宋体"/>
                <w:kern w:val="2"/>
                <w:sz w:val="24"/>
                <w:szCs w:val="20"/>
                <w:lang w:val="en-US" w:eastAsia="zh-CN" w:bidi="ar-SA"/>
              </w:rPr>
            </w:pPr>
            <w:r>
              <w:rPr>
                <w:rFonts w:hint="eastAsia" w:ascii="宋体" w:hAnsi="宋体" w:eastAsia="宋体" w:cs="宋体"/>
                <w:kern w:val="2"/>
                <w:sz w:val="24"/>
                <w:szCs w:val="20"/>
                <w:lang w:val="en-US" w:eastAsia="zh-CN" w:bidi="ar-SA"/>
              </w:rPr>
              <w:t>必须为供应商基本账户开户银行出具的银行保函，将银行保函及“基本账户开户许可证或基本存款账户信息”附在磋商响应文件中，作为保证金缴纳凭证。</w:t>
            </w:r>
          </w:p>
          <w:p w14:paraId="20DC6C0E">
            <w:pPr>
              <w:spacing w:beforeAutospacing="0" w:afterAutospacing="0" w:line="360" w:lineRule="auto"/>
              <w:ind w:firstLine="0" w:firstLineChars="0"/>
              <w:rPr>
                <w:rFonts w:hint="eastAsia" w:ascii="宋体" w:hAnsi="宋体" w:eastAsia="宋体" w:cs="宋体"/>
                <w:b/>
                <w:bCs/>
                <w:kern w:val="2"/>
                <w:sz w:val="24"/>
                <w:szCs w:val="20"/>
                <w:lang w:val="en-US" w:eastAsia="zh-CN" w:bidi="ar-SA"/>
              </w:rPr>
            </w:pPr>
            <w:r>
              <w:rPr>
                <w:rFonts w:hint="eastAsia" w:ascii="宋体" w:hAnsi="宋体" w:eastAsia="宋体" w:cs="宋体"/>
                <w:kern w:val="2"/>
                <w:sz w:val="24"/>
                <w:szCs w:val="20"/>
                <w:lang w:val="en-US" w:eastAsia="zh-CN" w:bidi="ar-SA"/>
              </w:rPr>
              <w:t>注：供应商如提供以银行作为担保的磋商保函，应与项目开标前2~3个工作日递交至采购代理机构，递交</w:t>
            </w:r>
            <w:r>
              <w:rPr>
                <w:rFonts w:hint="eastAsia" w:ascii="宋体" w:hAnsi="宋体" w:eastAsia="宋体" w:cs="宋体"/>
                <w:b/>
                <w:bCs/>
                <w:kern w:val="2"/>
                <w:sz w:val="24"/>
                <w:szCs w:val="20"/>
                <w:lang w:val="en-US" w:eastAsia="zh-CN" w:bidi="ar-SA"/>
              </w:rPr>
              <w:t>保函时需提交以下资料：</w:t>
            </w:r>
          </w:p>
          <w:p w14:paraId="2E0DD3C7">
            <w:pPr>
              <w:numPr>
                <w:ilvl w:val="0"/>
                <w:numId w:val="0"/>
              </w:numPr>
              <w:spacing w:beforeAutospacing="0" w:afterAutospacing="0" w:line="360" w:lineRule="auto"/>
              <w:ind w:firstLine="0" w:firstLineChars="0"/>
              <w:rPr>
                <w:rFonts w:hint="eastAsia" w:ascii="宋体" w:hAnsi="宋体" w:eastAsia="宋体" w:cs="宋体"/>
                <w:b/>
                <w:bCs/>
                <w:kern w:val="2"/>
                <w:sz w:val="24"/>
                <w:szCs w:val="20"/>
                <w:lang w:val="en-US" w:eastAsia="zh-CN" w:bidi="ar-SA"/>
              </w:rPr>
            </w:pPr>
            <w:r>
              <w:rPr>
                <w:rFonts w:hint="eastAsia" w:ascii="宋体" w:hAnsi="宋体" w:eastAsia="宋体" w:cs="宋体"/>
                <w:b/>
                <w:bCs/>
                <w:kern w:val="2"/>
                <w:sz w:val="24"/>
                <w:szCs w:val="20"/>
                <w:lang w:val="en-US" w:eastAsia="zh-CN" w:bidi="ar-SA"/>
              </w:rPr>
              <w:t>1.保函正本(纸质版);</w:t>
            </w:r>
          </w:p>
          <w:p w14:paraId="0D32A2F0">
            <w:pPr>
              <w:numPr>
                <w:ilvl w:val="0"/>
                <w:numId w:val="0"/>
              </w:numPr>
              <w:spacing w:beforeAutospacing="0" w:afterAutospacing="0" w:line="360" w:lineRule="auto"/>
              <w:ind w:firstLine="0" w:firstLineChars="0"/>
              <w:rPr>
                <w:rFonts w:hint="eastAsia" w:ascii="宋体" w:hAnsi="宋体" w:eastAsia="宋体" w:cs="宋体"/>
                <w:b/>
                <w:bCs/>
                <w:kern w:val="2"/>
                <w:sz w:val="24"/>
                <w:szCs w:val="20"/>
                <w:lang w:val="en-US" w:eastAsia="zh-CN" w:bidi="ar-SA"/>
              </w:rPr>
            </w:pPr>
            <w:r>
              <w:rPr>
                <w:rFonts w:hint="eastAsia" w:ascii="宋体" w:hAnsi="宋体" w:eastAsia="宋体" w:cs="宋体"/>
                <w:b/>
                <w:bCs/>
                <w:kern w:val="2"/>
                <w:sz w:val="24"/>
                <w:szCs w:val="20"/>
                <w:lang w:val="en-US" w:eastAsia="zh-CN" w:bidi="ar-SA"/>
              </w:rPr>
              <w:t>2.公司介绍信(或委托书);</w:t>
            </w:r>
          </w:p>
          <w:p w14:paraId="17FA42C5">
            <w:pPr>
              <w:numPr>
                <w:ilvl w:val="0"/>
                <w:numId w:val="0"/>
              </w:numPr>
              <w:spacing w:beforeAutospacing="0" w:afterAutospacing="0" w:line="360" w:lineRule="auto"/>
              <w:ind w:firstLine="0" w:firstLineChars="0"/>
              <w:rPr>
                <w:rFonts w:hint="eastAsia" w:ascii="宋体" w:hAnsi="宋体" w:eastAsia="宋体" w:cs="宋体"/>
                <w:b/>
                <w:bCs/>
                <w:kern w:val="2"/>
                <w:sz w:val="24"/>
                <w:szCs w:val="20"/>
                <w:lang w:val="en-US" w:eastAsia="zh-CN" w:bidi="ar-SA"/>
              </w:rPr>
            </w:pPr>
            <w:r>
              <w:rPr>
                <w:rFonts w:hint="eastAsia" w:ascii="宋体" w:hAnsi="宋体" w:eastAsia="宋体" w:cs="宋体"/>
                <w:b/>
                <w:bCs/>
                <w:kern w:val="2"/>
                <w:sz w:val="24"/>
                <w:szCs w:val="20"/>
                <w:lang w:val="en-US" w:eastAsia="zh-CN" w:bidi="ar-SA"/>
              </w:rPr>
              <w:t>3.开户许可证复印件(加盖公司公章);</w:t>
            </w:r>
          </w:p>
          <w:p w14:paraId="70334C38">
            <w:pPr>
              <w:numPr>
                <w:ilvl w:val="0"/>
                <w:numId w:val="0"/>
              </w:numPr>
              <w:spacing w:beforeAutospacing="0" w:afterAutospacing="0" w:line="360" w:lineRule="auto"/>
              <w:ind w:firstLine="0" w:firstLineChars="0"/>
              <w:rPr>
                <w:rFonts w:hint="eastAsia" w:ascii="宋体" w:hAnsi="宋体" w:eastAsia="宋体" w:cs="宋体"/>
                <w:b/>
                <w:bCs/>
                <w:kern w:val="2"/>
                <w:sz w:val="24"/>
                <w:szCs w:val="20"/>
                <w:lang w:val="en-US" w:eastAsia="zh-CN" w:bidi="ar-SA"/>
              </w:rPr>
            </w:pPr>
            <w:r>
              <w:rPr>
                <w:rFonts w:hint="eastAsia" w:ascii="宋体" w:hAnsi="宋体" w:eastAsia="宋体" w:cs="宋体"/>
                <w:b/>
                <w:bCs/>
                <w:kern w:val="2"/>
                <w:sz w:val="24"/>
                <w:szCs w:val="20"/>
                <w:lang w:val="en-US" w:eastAsia="zh-CN" w:bidi="ar-SA"/>
              </w:rPr>
              <w:t>4.法人和经办人身份证复印件(加盖公司公章);</w:t>
            </w:r>
          </w:p>
          <w:p w14:paraId="1D312455">
            <w:pPr>
              <w:pStyle w:val="23"/>
              <w:widowControl/>
              <w:spacing w:before="0" w:beforeAutospacing="0" w:after="0" w:afterAutospacing="0" w:line="360"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2、基本户转账</w:t>
            </w:r>
          </w:p>
          <w:p w14:paraId="11C8B115">
            <w:pPr>
              <w:pStyle w:val="23"/>
              <w:widowControl/>
              <w:spacing w:before="0" w:beforeAutospacing="0" w:after="0" w:afterAutospacing="0" w:line="360"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必须为供应商基本账户以转账形式在投标截止时间前到达上述账号（以资金到账时间为确认保证金缴纳完毕时间），未按规定时间前或按额汇到指定账户的将否决其磋商。磋商保证金转账完成后，将“转账凭证”附在磋商响应文件中，作为保证金缴纳的凭证。</w:t>
            </w:r>
          </w:p>
          <w:p w14:paraId="09C037A1">
            <w:pPr>
              <w:shd w:val="clear"/>
              <w:spacing w:line="360" w:lineRule="auto"/>
              <w:jc w:val="left"/>
              <w:rPr>
                <w:rFonts w:hint="eastAsia" w:ascii="宋体" w:hAnsi="宋体" w:eastAsia="宋体" w:cs="宋体"/>
                <w:b/>
                <w:bCs/>
                <w:color w:val="auto"/>
                <w:spacing w:val="-4"/>
                <w:sz w:val="24"/>
                <w:szCs w:val="24"/>
                <w:lang w:val="zh-CN" w:eastAsia="zh-CN"/>
              </w:rPr>
            </w:pPr>
            <w:r>
              <w:rPr>
                <w:rFonts w:hint="eastAsia" w:ascii="宋体" w:hAnsi="宋体" w:eastAsia="宋体" w:cs="宋体"/>
                <w:b/>
                <w:bCs/>
                <w:color w:val="auto"/>
                <w:spacing w:val="-4"/>
                <w:sz w:val="24"/>
                <w:szCs w:val="24"/>
                <w:lang w:val="en-US" w:eastAsia="zh-CN"/>
              </w:rPr>
              <w:t>转账时必须备注：该项目子账号后五位数字，无需填写其他内容。</w:t>
            </w:r>
          </w:p>
        </w:tc>
      </w:tr>
      <w:tr w14:paraId="629B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7A1F980C">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0</w:t>
            </w:r>
          </w:p>
        </w:tc>
        <w:tc>
          <w:tcPr>
            <w:tcW w:w="2060" w:type="dxa"/>
            <w:noWrap w:val="0"/>
            <w:vAlign w:val="center"/>
          </w:tcPr>
          <w:p w14:paraId="53DC8FC6">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备选磋商方案</w:t>
            </w:r>
          </w:p>
          <w:p w14:paraId="2F42CAC9">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和报价</w:t>
            </w:r>
          </w:p>
        </w:tc>
        <w:tc>
          <w:tcPr>
            <w:tcW w:w="6847" w:type="dxa"/>
            <w:noWrap w:val="0"/>
            <w:vAlign w:val="center"/>
          </w:tcPr>
          <w:p w14:paraId="44D5037B">
            <w:pPr>
              <w:shd w:val="clear"/>
              <w:tabs>
                <w:tab w:val="left" w:pos="7013"/>
              </w:tabs>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不接受备选磋商方案和多个报价。</w:t>
            </w:r>
          </w:p>
        </w:tc>
      </w:tr>
      <w:tr w14:paraId="0354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F390D07">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1</w:t>
            </w:r>
          </w:p>
        </w:tc>
        <w:tc>
          <w:tcPr>
            <w:tcW w:w="2060" w:type="dxa"/>
            <w:noWrap w:val="0"/>
            <w:vAlign w:val="center"/>
          </w:tcPr>
          <w:p w14:paraId="53FE6F94">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盖章签字</w:t>
            </w:r>
          </w:p>
        </w:tc>
        <w:tc>
          <w:tcPr>
            <w:tcW w:w="6847" w:type="dxa"/>
            <w:noWrap w:val="0"/>
            <w:vAlign w:val="center"/>
          </w:tcPr>
          <w:p w14:paraId="617FE011">
            <w:pPr>
              <w:shd w:val="clear"/>
              <w:tabs>
                <w:tab w:val="left" w:pos="7013"/>
              </w:tabs>
              <w:spacing w:line="460" w:lineRule="exact"/>
              <w:rPr>
                <w:rFonts w:hint="eastAsia" w:ascii="宋体" w:hAnsi="宋体" w:eastAsia="宋体" w:cs="宋体"/>
                <w:lang w:val="en-US"/>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必须按照竞争性磋商文件的规定和要求在竞争性磋商响应文件中指定的页面落款处加盖公章（鲜章）并由法定代表人或被授权人签字（或盖章），其余页面逐页加盖</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公章（鲜章），否则将作为无效磋商处理。竞争性磋商文件凡是要求法定代表人签字或盖章之处，非法人单位的负责人均参照执行。</w:t>
            </w:r>
          </w:p>
        </w:tc>
      </w:tr>
      <w:tr w14:paraId="6154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BFA7790">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2</w:t>
            </w:r>
          </w:p>
        </w:tc>
        <w:tc>
          <w:tcPr>
            <w:tcW w:w="2060" w:type="dxa"/>
            <w:noWrap w:val="0"/>
            <w:vAlign w:val="center"/>
          </w:tcPr>
          <w:p w14:paraId="5413143B">
            <w:pPr>
              <w:pageBreakBefore w:val="0"/>
              <w:shd w:val="clear"/>
              <w:wordWrap/>
              <w:topLinePunct w:val="0"/>
              <w:bidi w:val="0"/>
              <w:spacing w:line="365"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竞争性磋商</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文件的</w:t>
            </w:r>
            <w:r>
              <w:rPr>
                <w:rFonts w:hint="eastAsia" w:ascii="宋体" w:hAnsi="宋体" w:eastAsia="宋体" w:cs="宋体"/>
                <w:color w:val="auto"/>
                <w:sz w:val="24"/>
                <w:highlight w:val="none"/>
                <w:lang w:eastAsia="zh-CN"/>
              </w:rPr>
              <w:t>递交</w:t>
            </w:r>
          </w:p>
        </w:tc>
        <w:tc>
          <w:tcPr>
            <w:tcW w:w="6847" w:type="dxa"/>
            <w:noWrap w:val="0"/>
            <w:vAlign w:val="center"/>
          </w:tcPr>
          <w:p w14:paraId="71C010A5">
            <w:pPr>
              <w:shd w:val="clear"/>
              <w:tabs>
                <w:tab w:val="left" w:pos="7013"/>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本项目采用电子</w:t>
            </w:r>
            <w:r>
              <w:rPr>
                <w:rFonts w:hint="eastAsia" w:ascii="宋体" w:hAnsi="宋体" w:cs="宋体"/>
                <w:color w:val="auto"/>
                <w:sz w:val="24"/>
                <w:highlight w:val="none"/>
                <w:lang w:val="en-US" w:eastAsia="zh-CN"/>
              </w:rPr>
              <w:t>磋商响应</w:t>
            </w:r>
            <w:r>
              <w:rPr>
                <w:rFonts w:hint="eastAsia" w:ascii="宋体" w:hAnsi="宋体" w:eastAsia="宋体" w:cs="宋体"/>
                <w:color w:val="auto"/>
                <w:sz w:val="24"/>
                <w:highlight w:val="none"/>
              </w:rPr>
              <w:t>文件方式投标。电子</w:t>
            </w:r>
            <w:r>
              <w:rPr>
                <w:rFonts w:hint="eastAsia" w:ascii="宋体" w:hAnsi="宋体" w:cs="宋体"/>
                <w:color w:val="auto"/>
                <w:sz w:val="24"/>
                <w:highlight w:val="none"/>
                <w:lang w:val="en-US" w:eastAsia="zh-CN"/>
              </w:rPr>
              <w:t>磋商响应</w:t>
            </w:r>
            <w:r>
              <w:rPr>
                <w:rFonts w:hint="eastAsia" w:ascii="宋体" w:hAnsi="宋体" w:eastAsia="宋体" w:cs="宋体"/>
                <w:color w:val="auto"/>
                <w:sz w:val="24"/>
                <w:highlight w:val="none"/>
              </w:rPr>
              <w:t>文件可于提交</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lang w:eastAsia="zh-CN"/>
              </w:rPr>
              <w:t>文件</w:t>
            </w:r>
            <w:r>
              <w:rPr>
                <w:rFonts w:hint="eastAsia" w:ascii="宋体" w:hAnsi="宋体" w:eastAsia="宋体" w:cs="宋体"/>
                <w:color w:val="auto"/>
                <w:sz w:val="24"/>
                <w:highlight w:val="none"/>
              </w:rPr>
              <w:t>截止时间前任意时段登录全国公共资源交易平台（陕西省·宝鸡市）网站[电子交易平台-企业端]进行提交，逾期系统将拒绝接收。提交时，</w:t>
            </w:r>
            <w:r>
              <w:rPr>
                <w:rFonts w:hint="eastAsia" w:ascii="宋体" w:hAnsi="宋体" w:eastAsia="宋体" w:cs="宋体"/>
                <w:color w:val="auto"/>
                <w:sz w:val="24"/>
                <w:highlight w:val="none"/>
                <w:lang w:eastAsia="zh-CN"/>
              </w:rPr>
              <w:t>投标</w:t>
            </w:r>
            <w:r>
              <w:rPr>
                <w:rFonts w:hint="eastAsia" w:ascii="宋体" w:hAnsi="宋体" w:cs="宋体"/>
                <w:color w:val="auto"/>
                <w:sz w:val="24"/>
                <w:highlight w:val="none"/>
                <w:lang w:val="en-US" w:eastAsia="zh-CN"/>
              </w:rPr>
              <w:t>供应商</w:t>
            </w:r>
            <w:r>
              <w:rPr>
                <w:rFonts w:hint="eastAsia" w:ascii="宋体" w:hAnsi="宋体" w:eastAsia="宋体" w:cs="宋体"/>
                <w:color w:val="auto"/>
                <w:sz w:val="24"/>
                <w:highlight w:val="none"/>
              </w:rPr>
              <w:t>应登录全国公共资源交易中心平台（陕西省·宝鸡市），选择[“首页&gt;电子交易平台&gt;企业端&gt;我的项目”，点击[项目流程]，在打开的[项目管理]对话框中选择[上传响应文件]，上传加密的电子</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文件（*.SXSTF），上传成功后，电子化平台将予以记录。</w:t>
            </w:r>
          </w:p>
          <w:p w14:paraId="41B595A0">
            <w:pPr>
              <w:pStyle w:val="10"/>
              <w:spacing w:line="360" w:lineRule="auto"/>
              <w:rPr>
                <w:rFonts w:hint="eastAsia"/>
                <w:lang w:val="en-US"/>
              </w:rPr>
            </w:pPr>
            <w:r>
              <w:rPr>
                <w:rFonts w:hint="eastAsia" w:ascii="宋体" w:hAnsi="宋体" w:eastAsia="宋体" w:cs="宋体"/>
                <w:b/>
                <w:bCs/>
                <w:color w:val="auto"/>
                <w:sz w:val="24"/>
                <w:highlight w:val="none"/>
                <w:lang w:val="en-US" w:eastAsia="zh-CN"/>
              </w:rPr>
              <w:t>注：</w:t>
            </w:r>
            <w:r>
              <w:rPr>
                <w:rFonts w:hint="eastAsia" w:asciiTheme="minorEastAsia" w:hAnsiTheme="minorEastAsia" w:eastAsiaTheme="minorEastAsia" w:cstheme="minorEastAsia"/>
                <w:b/>
                <w:bCs/>
                <w:color w:val="auto"/>
                <w:sz w:val="24"/>
                <w:highlight w:val="none"/>
              </w:rPr>
              <w:t>由成交单位在领取成交通知书时须提供与最终上传至平台的电子版一致的纸质磋商响应文件正本一份、副本二份（按要求签字盖章）。</w:t>
            </w:r>
          </w:p>
        </w:tc>
      </w:tr>
      <w:tr w14:paraId="712D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2BF0F82A">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3</w:t>
            </w:r>
          </w:p>
        </w:tc>
        <w:tc>
          <w:tcPr>
            <w:tcW w:w="2060" w:type="dxa"/>
            <w:noWrap w:val="0"/>
            <w:vAlign w:val="center"/>
          </w:tcPr>
          <w:p w14:paraId="245CD095">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电</w:t>
            </w:r>
            <w:r>
              <w:rPr>
                <w:rFonts w:hint="eastAsia" w:ascii="宋体" w:hAnsi="宋体" w:eastAsia="宋体" w:cs="宋体"/>
                <w:color w:val="auto"/>
                <w:sz w:val="24"/>
                <w:highlight w:val="none"/>
                <w:lang w:val="en-US" w:eastAsia="zh-CN"/>
              </w:rPr>
              <w:t>子响应文件的</w:t>
            </w:r>
            <w:r>
              <w:rPr>
                <w:rFonts w:hint="eastAsia" w:ascii="宋体" w:hAnsi="宋体" w:eastAsia="宋体" w:cs="宋体"/>
                <w:color w:val="auto"/>
                <w:sz w:val="24"/>
                <w:highlight w:val="none"/>
                <w:lang w:eastAsia="zh-CN"/>
              </w:rPr>
              <w:t>制作和签署</w:t>
            </w:r>
          </w:p>
        </w:tc>
        <w:tc>
          <w:tcPr>
            <w:tcW w:w="6847" w:type="dxa"/>
            <w:noWrap w:val="0"/>
            <w:vAlign w:val="center"/>
          </w:tcPr>
          <w:p w14:paraId="71E1E1B1">
            <w:pPr>
              <w:shd w:val="clea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编制电子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文件时，应使用最新发布的电子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文件及专用制作工具进行编制。并使用数字认证证书（CA）对电子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文件进行签署、加密、递交及开标时解密及二次报</w:t>
            </w:r>
            <w:r>
              <w:rPr>
                <w:rFonts w:hint="eastAsia" w:ascii="宋体" w:hAnsi="宋体" w:eastAsia="宋体" w:cs="宋体"/>
                <w:color w:val="auto"/>
                <w:sz w:val="24"/>
                <w:highlight w:val="none"/>
                <w:lang w:val="en-US" w:eastAsia="zh-CN"/>
              </w:rPr>
              <w:t>价</w:t>
            </w:r>
            <w:r>
              <w:rPr>
                <w:rFonts w:hint="eastAsia" w:ascii="宋体" w:hAnsi="宋体" w:eastAsia="宋体" w:cs="宋体"/>
                <w:color w:val="auto"/>
                <w:sz w:val="24"/>
                <w:highlight w:val="none"/>
                <w:lang w:eastAsia="zh-CN"/>
              </w:rPr>
              <w:t>等相关操作。</w:t>
            </w:r>
          </w:p>
          <w:p w14:paraId="3CED3129">
            <w:pPr>
              <w:shd w:val="clea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文件下载</w:t>
            </w:r>
          </w:p>
          <w:p w14:paraId="2C6B4253">
            <w:pPr>
              <w:shd w:val="clear"/>
              <w:spacing w:before="0" w:after="0"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供应商登录全国公共资源交易平台（陕西省·宝鸡市）网站[电子交易平台-企业端]后，在[我的项目]中点击“项目流程-交易文件下载”下载电子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文件（*.SXSZF）；注意：该项目如有变更文件，则应点击“项目流程&gt;答疑文件下载”下载更新后的电子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文件（*.SXSCF），使用旧版电子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文件制作的电子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文件，系统将拒绝接收。</w:t>
            </w:r>
          </w:p>
          <w:p w14:paraId="1D91BF36">
            <w:pPr>
              <w:shd w:val="clea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文件需要使用专用软件打开、浏览</w:t>
            </w:r>
          </w:p>
          <w:p w14:paraId="28A7676F">
            <w:pPr>
              <w:shd w:val="clea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供应商登录全国公共资源交易平台（陕西省·宝鸡市）网站[服务指南-下载专区]免费下载《陕西省公共资源交易平台政府采购电子标书制作工具(V8.0.0.2)》，并升级至最新版本，使用该客户端可以打开电子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文件。软件操作手册详见全国公共资源交易平台（陕西省·宝鸡市）网站[服务指南-下载专区]中的《陕西省公共资源交易（政府采购类）</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文件制作软件操作手册》；</w:t>
            </w:r>
          </w:p>
          <w:p w14:paraId="18EA8D3F">
            <w:pPr>
              <w:shd w:val="clea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制作电子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w:t>
            </w:r>
          </w:p>
          <w:p w14:paraId="5B449D37">
            <w:pPr>
              <w:shd w:val="clear"/>
              <w:spacing w:before="0" w:after="0"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文件同样需要使用上述软件进行编制。在编制过程中，如有技术性问题，请先翻阅操作手册或致电软件开发商，技术支持热线：4009280095、4009980000；</w:t>
            </w:r>
          </w:p>
          <w:p w14:paraId="768D518C">
            <w:pPr>
              <w:shd w:val="clear"/>
              <w:tabs>
                <w:tab w:val="left" w:pos="7013"/>
              </w:tabs>
              <w:spacing w:line="460" w:lineRule="exact"/>
              <w:rPr>
                <w:rFonts w:hint="eastAsia" w:ascii="宋体" w:hAnsi="宋体" w:eastAsia="宋体" w:cs="宋体"/>
                <w:lang w:val="en-US" w:eastAsia="zh-CN"/>
              </w:rPr>
            </w:pPr>
            <w:r>
              <w:rPr>
                <w:rFonts w:hint="eastAsia" w:ascii="宋体" w:hAnsi="宋体" w:eastAsia="宋体" w:cs="宋体"/>
                <w:b/>
                <w:bCs/>
                <w:color w:val="auto"/>
                <w:kern w:val="2"/>
                <w:sz w:val="24"/>
                <w:szCs w:val="21"/>
                <w:lang w:val="en-US" w:eastAsia="zh-CN" w:bidi="ar-SA"/>
              </w:rPr>
              <w:t>注：如未按照上述要求进行响应文件制作和签署的均视其为无效响应文件。</w:t>
            </w:r>
          </w:p>
        </w:tc>
      </w:tr>
      <w:tr w14:paraId="3926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dxa"/>
            <w:noWrap w:val="0"/>
            <w:vAlign w:val="center"/>
          </w:tcPr>
          <w:p w14:paraId="55AFFDC5">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4</w:t>
            </w:r>
          </w:p>
        </w:tc>
        <w:tc>
          <w:tcPr>
            <w:tcW w:w="2060" w:type="dxa"/>
            <w:noWrap w:val="0"/>
            <w:vAlign w:val="center"/>
          </w:tcPr>
          <w:p w14:paraId="43215EDC">
            <w:pPr>
              <w:pageBreakBefore w:val="0"/>
              <w:shd w:val="clear"/>
              <w:wordWrap/>
              <w:topLinePunct w:val="0"/>
              <w:bidi w:val="0"/>
              <w:spacing w:line="365" w:lineRule="auto"/>
              <w:jc w:val="center"/>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lang w:val="en-US" w:eastAsia="zh-CN"/>
              </w:rPr>
              <w:t>无效文件说明</w:t>
            </w:r>
          </w:p>
        </w:tc>
        <w:tc>
          <w:tcPr>
            <w:tcW w:w="6847" w:type="dxa"/>
            <w:noWrap w:val="0"/>
            <w:vAlign w:val="center"/>
          </w:tcPr>
          <w:p w14:paraId="07B2F1E0">
            <w:pPr>
              <w:pageBreakBefore w:val="0"/>
              <w:shd w:val="clear"/>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rPr>
              <w:t>在开标环节出现下列情况之一的，其</w:t>
            </w:r>
            <w:r>
              <w:rPr>
                <w:rFonts w:hint="eastAsia" w:ascii="宋体" w:hAnsi="宋体" w:eastAsia="宋体" w:cs="宋体"/>
                <w:b/>
                <w:color w:val="auto"/>
                <w:sz w:val="24"/>
                <w:szCs w:val="22"/>
                <w:lang w:val="en-US" w:eastAsia="zh-CN"/>
              </w:rPr>
              <w:t>响应</w:t>
            </w:r>
            <w:r>
              <w:rPr>
                <w:rFonts w:hint="eastAsia" w:ascii="宋体" w:hAnsi="宋体" w:eastAsia="宋体" w:cs="宋体"/>
                <w:b/>
                <w:color w:val="auto"/>
                <w:sz w:val="24"/>
                <w:szCs w:val="22"/>
              </w:rPr>
              <w:t>文件视为无效文件：</w:t>
            </w:r>
          </w:p>
          <w:p w14:paraId="0C66CFDB">
            <w:pPr>
              <w:pageBreakBefore w:val="0"/>
              <w:shd w:val="clear"/>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lang w:val="en-US" w:eastAsia="zh-CN"/>
              </w:rPr>
              <w:t>1、供应商</w:t>
            </w:r>
            <w:r>
              <w:rPr>
                <w:rFonts w:hint="eastAsia" w:ascii="宋体" w:hAnsi="宋体" w:eastAsia="宋体" w:cs="宋体"/>
                <w:b/>
                <w:color w:val="auto"/>
                <w:sz w:val="24"/>
                <w:szCs w:val="22"/>
              </w:rPr>
              <w:t>在规定时间内对</w:t>
            </w:r>
            <w:r>
              <w:rPr>
                <w:rFonts w:hint="eastAsia" w:ascii="宋体" w:hAnsi="宋体" w:eastAsia="宋体" w:cs="宋体"/>
                <w:b/>
                <w:color w:val="auto"/>
                <w:sz w:val="24"/>
                <w:szCs w:val="22"/>
                <w:lang w:eastAsia="zh-CN"/>
              </w:rPr>
              <w:t>未</w:t>
            </w:r>
            <w:r>
              <w:rPr>
                <w:rFonts w:hint="eastAsia" w:ascii="宋体" w:hAnsi="宋体" w:eastAsia="宋体" w:cs="宋体"/>
                <w:b/>
                <w:color w:val="auto"/>
                <w:sz w:val="24"/>
                <w:szCs w:val="22"/>
              </w:rPr>
              <w:t>电子</w:t>
            </w:r>
            <w:r>
              <w:rPr>
                <w:rFonts w:hint="eastAsia" w:ascii="宋体" w:hAnsi="宋体" w:eastAsia="宋体" w:cs="宋体"/>
                <w:b/>
                <w:color w:val="auto"/>
                <w:sz w:val="24"/>
                <w:szCs w:val="22"/>
                <w:lang w:val="en-US" w:eastAsia="zh-CN"/>
              </w:rPr>
              <w:t>响应</w:t>
            </w:r>
            <w:r>
              <w:rPr>
                <w:rFonts w:hint="eastAsia" w:ascii="宋体" w:hAnsi="宋体" w:eastAsia="宋体" w:cs="宋体"/>
                <w:b/>
                <w:color w:val="auto"/>
                <w:sz w:val="24"/>
                <w:szCs w:val="22"/>
              </w:rPr>
              <w:t>文件进行解密的；</w:t>
            </w:r>
          </w:p>
          <w:p w14:paraId="07EE4EE1">
            <w:pPr>
              <w:pageBreakBefore w:val="0"/>
              <w:shd w:val="clear"/>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lang w:val="en-US" w:eastAsia="zh-CN"/>
              </w:rPr>
              <w:t>2、</w:t>
            </w:r>
            <w:r>
              <w:rPr>
                <w:rFonts w:hint="eastAsia" w:ascii="宋体" w:hAnsi="宋体" w:eastAsia="宋体" w:cs="宋体"/>
                <w:b/>
                <w:color w:val="auto"/>
                <w:sz w:val="24"/>
                <w:szCs w:val="22"/>
              </w:rPr>
              <w:t>上传的电子</w:t>
            </w:r>
            <w:r>
              <w:rPr>
                <w:rFonts w:hint="eastAsia" w:ascii="宋体" w:hAnsi="宋体" w:eastAsia="宋体" w:cs="宋体"/>
                <w:b/>
                <w:color w:val="auto"/>
                <w:sz w:val="24"/>
                <w:szCs w:val="22"/>
                <w:lang w:val="en-US" w:eastAsia="zh-CN"/>
              </w:rPr>
              <w:t>响应</w:t>
            </w:r>
            <w:r>
              <w:rPr>
                <w:rFonts w:hint="eastAsia" w:ascii="宋体" w:hAnsi="宋体" w:eastAsia="宋体" w:cs="宋体"/>
                <w:b/>
                <w:color w:val="auto"/>
                <w:sz w:val="24"/>
                <w:szCs w:val="22"/>
              </w:rPr>
              <w:t>文件无法打开的；</w:t>
            </w:r>
          </w:p>
          <w:p w14:paraId="6AFDC534">
            <w:pPr>
              <w:pageBreakBefore w:val="0"/>
              <w:shd w:val="clear"/>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lang w:val="en-US" w:eastAsia="zh-CN"/>
              </w:rPr>
              <w:t>3、</w:t>
            </w:r>
            <w:r>
              <w:rPr>
                <w:rFonts w:hint="eastAsia" w:ascii="宋体" w:hAnsi="宋体" w:eastAsia="宋体" w:cs="宋体"/>
                <w:b/>
                <w:color w:val="auto"/>
                <w:sz w:val="24"/>
                <w:szCs w:val="22"/>
              </w:rPr>
              <w:t>法律法规规定的其他无效情形。</w:t>
            </w:r>
          </w:p>
          <w:p w14:paraId="7762E9F9">
            <w:pPr>
              <w:pageBreakBefore w:val="0"/>
              <w:shd w:val="clear"/>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lang w:val="en-US" w:eastAsia="zh-CN"/>
              </w:rPr>
              <w:t>4、供应商</w:t>
            </w:r>
            <w:r>
              <w:rPr>
                <w:rFonts w:hint="eastAsia" w:ascii="宋体" w:hAnsi="宋体" w:eastAsia="宋体" w:cs="宋体"/>
                <w:b/>
                <w:color w:val="auto"/>
                <w:sz w:val="24"/>
                <w:szCs w:val="22"/>
              </w:rPr>
              <w:t>拒绝对电子</w:t>
            </w:r>
            <w:r>
              <w:rPr>
                <w:rFonts w:hint="eastAsia" w:ascii="宋体" w:hAnsi="宋体" w:eastAsia="宋体" w:cs="宋体"/>
                <w:b/>
                <w:color w:val="auto"/>
                <w:sz w:val="24"/>
                <w:szCs w:val="22"/>
                <w:lang w:val="en-US" w:eastAsia="zh-CN"/>
              </w:rPr>
              <w:t>响应</w:t>
            </w:r>
            <w:r>
              <w:rPr>
                <w:rFonts w:hint="eastAsia" w:ascii="宋体" w:hAnsi="宋体" w:eastAsia="宋体" w:cs="宋体"/>
                <w:b/>
                <w:color w:val="auto"/>
                <w:sz w:val="24"/>
                <w:szCs w:val="22"/>
              </w:rPr>
              <w:t>文件进行解密的；</w:t>
            </w:r>
          </w:p>
          <w:p w14:paraId="5B210AEE">
            <w:pPr>
              <w:pageBreakBefore w:val="0"/>
              <w:shd w:val="clear"/>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lang w:val="en-US" w:eastAsia="zh-CN"/>
              </w:rPr>
              <w:t>5、因供应商自身原因（如未带CA锁、或所带CA锁与制作电子投标文件使用的CA锁不一致、或沿用旧版磋商文件编制响应文件等情形），导致在规定时间内无法解密响应文件的；</w:t>
            </w:r>
          </w:p>
          <w:p w14:paraId="00E5475B">
            <w:pPr>
              <w:pageBreakBefore w:val="0"/>
              <w:shd w:val="clear"/>
              <w:wordWrap/>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color w:val="auto"/>
                <w:sz w:val="24"/>
                <w:szCs w:val="22"/>
                <w:lang w:eastAsia="zh-CN"/>
              </w:rPr>
            </w:pPr>
            <w:r>
              <w:rPr>
                <w:rFonts w:hint="eastAsia" w:ascii="宋体" w:hAnsi="宋体" w:eastAsia="宋体" w:cs="宋体"/>
                <w:b/>
                <w:color w:val="auto"/>
                <w:sz w:val="24"/>
                <w:szCs w:val="22"/>
              </w:rPr>
              <w:t>特殊情形下的应急处置</w:t>
            </w:r>
            <w:r>
              <w:rPr>
                <w:rFonts w:hint="eastAsia" w:ascii="宋体" w:hAnsi="宋体" w:eastAsia="宋体" w:cs="宋体"/>
                <w:b/>
                <w:color w:val="auto"/>
                <w:sz w:val="24"/>
                <w:szCs w:val="22"/>
                <w:lang w:eastAsia="zh-CN"/>
              </w:rPr>
              <w:t>：</w:t>
            </w:r>
          </w:p>
          <w:p w14:paraId="233D8CDF">
            <w:pPr>
              <w:pageBreakBefore w:val="0"/>
              <w:shd w:val="clear"/>
              <w:wordWrap/>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color w:val="auto"/>
                <w:sz w:val="24"/>
                <w:szCs w:val="24"/>
              </w:rPr>
              <w:t>在开标、评审过程中，如因</w:t>
            </w:r>
            <w:r>
              <w:rPr>
                <w:rFonts w:hint="eastAsia" w:ascii="宋体" w:hAnsi="宋体" w:eastAsia="宋体" w:cs="宋体"/>
                <w:b/>
                <w:color w:val="auto"/>
                <w:sz w:val="24"/>
                <w:szCs w:val="24"/>
                <w:lang w:val="en-US" w:eastAsia="zh-CN"/>
              </w:rPr>
              <w:t>宝鸡市公共资源交易中心</w:t>
            </w:r>
            <w:r>
              <w:rPr>
                <w:rFonts w:hint="eastAsia" w:ascii="宋体" w:hAnsi="宋体" w:eastAsia="宋体" w:cs="宋体"/>
                <w:b/>
                <w:color w:val="auto"/>
                <w:sz w:val="24"/>
                <w:szCs w:val="24"/>
              </w:rPr>
              <w:t>停电、断网、电子化系统故障等特殊原因导致电子化开、评标无法正常进行时，将</w:t>
            </w:r>
            <w:r>
              <w:rPr>
                <w:rFonts w:hint="eastAsia" w:ascii="宋体" w:hAnsi="宋体" w:eastAsia="宋体" w:cs="宋体"/>
                <w:b/>
                <w:color w:val="auto"/>
                <w:sz w:val="24"/>
                <w:szCs w:val="24"/>
                <w:lang w:eastAsia="zh-CN"/>
              </w:rPr>
              <w:t>延后</w:t>
            </w:r>
            <w:r>
              <w:rPr>
                <w:rFonts w:hint="eastAsia" w:ascii="宋体" w:hAnsi="宋体" w:eastAsia="宋体" w:cs="宋体"/>
                <w:b/>
                <w:color w:val="auto"/>
                <w:sz w:val="24"/>
                <w:szCs w:val="24"/>
              </w:rPr>
              <w:t>开展后续</w:t>
            </w:r>
            <w:r>
              <w:rPr>
                <w:rFonts w:hint="eastAsia" w:ascii="宋体" w:hAnsi="宋体" w:eastAsia="宋体" w:cs="宋体"/>
                <w:b/>
                <w:color w:val="auto"/>
                <w:sz w:val="24"/>
                <w:szCs w:val="24"/>
                <w:lang w:val="en-US" w:eastAsia="zh-CN"/>
              </w:rPr>
              <w:t>招标</w:t>
            </w:r>
            <w:r>
              <w:rPr>
                <w:rFonts w:hint="eastAsia" w:ascii="宋体" w:hAnsi="宋体" w:eastAsia="宋体" w:cs="宋体"/>
                <w:b/>
                <w:color w:val="auto"/>
                <w:sz w:val="24"/>
                <w:szCs w:val="24"/>
              </w:rPr>
              <w:t>活动。</w:t>
            </w:r>
          </w:p>
        </w:tc>
      </w:tr>
      <w:tr w14:paraId="4D57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dxa"/>
            <w:noWrap w:val="0"/>
            <w:vAlign w:val="center"/>
          </w:tcPr>
          <w:p w14:paraId="465BE9EB">
            <w:pPr>
              <w:numPr>
                <w:ilvl w:val="0"/>
                <w:numId w:val="0"/>
              </w:numPr>
              <w:shd w:val="clear"/>
              <w:ind w:left="0" w:leftChars="0" w:firstLine="0" w:firstLine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5</w:t>
            </w:r>
          </w:p>
        </w:tc>
        <w:tc>
          <w:tcPr>
            <w:tcW w:w="2060" w:type="dxa"/>
            <w:noWrap w:val="0"/>
            <w:vAlign w:val="center"/>
          </w:tcPr>
          <w:p w14:paraId="58F00A1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评标办法及标准</w:t>
            </w:r>
          </w:p>
        </w:tc>
        <w:tc>
          <w:tcPr>
            <w:tcW w:w="6847" w:type="dxa"/>
            <w:noWrap w:val="0"/>
            <w:vAlign w:val="center"/>
          </w:tcPr>
          <w:p w14:paraId="5F0E2313">
            <w:pPr>
              <w:pStyle w:val="59"/>
              <w:shd w:val="clear"/>
              <w:spacing w:line="46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详见竞争性磋商文件第二章。</w:t>
            </w:r>
          </w:p>
        </w:tc>
      </w:tr>
      <w:tr w14:paraId="42EF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14:paraId="623F92B0">
            <w:pPr>
              <w:numPr>
                <w:ilvl w:val="0"/>
                <w:numId w:val="0"/>
              </w:numPr>
              <w:shd w:val="clear"/>
              <w:ind w:leftChars="0"/>
              <w:jc w:val="both"/>
              <w:rPr>
                <w:rFonts w:hint="eastAsia" w:ascii="宋体" w:hAnsi="宋体" w:eastAsia="宋体" w:cs="宋体"/>
                <w:color w:val="auto"/>
                <w:sz w:val="24"/>
                <w:highlight w:val="none"/>
                <w:lang w:val="en-US" w:eastAsia="zh-CN"/>
              </w:rPr>
            </w:pPr>
            <w:bookmarkStart w:id="2" w:name="_Toc7453872"/>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6</w:t>
            </w:r>
          </w:p>
        </w:tc>
        <w:tc>
          <w:tcPr>
            <w:tcW w:w="2060" w:type="dxa"/>
            <w:noWrap w:val="0"/>
            <w:vAlign w:val="center"/>
          </w:tcPr>
          <w:p w14:paraId="5B49A5EE">
            <w:pPr>
              <w:shd w:val="clear"/>
              <w:tabs>
                <w:tab w:val="left" w:pos="2860"/>
              </w:tabs>
              <w:bidi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开标注意事项</w:t>
            </w:r>
          </w:p>
          <w:p w14:paraId="1D69AD38">
            <w:pPr>
              <w:shd w:val="clear"/>
              <w:spacing w:line="360" w:lineRule="auto"/>
              <w:jc w:val="center"/>
              <w:rPr>
                <w:rFonts w:hint="eastAsia" w:ascii="宋体" w:hAnsi="宋体" w:eastAsia="宋体" w:cs="宋体"/>
                <w:color w:val="auto"/>
                <w:kern w:val="2"/>
                <w:sz w:val="24"/>
                <w:szCs w:val="24"/>
                <w:highlight w:val="none"/>
                <w:lang w:val="en-US" w:eastAsia="zh-CN" w:bidi="ar-SA"/>
              </w:rPr>
            </w:pPr>
          </w:p>
        </w:tc>
        <w:tc>
          <w:tcPr>
            <w:tcW w:w="6847" w:type="dxa"/>
            <w:noWrap w:val="0"/>
            <w:vAlign w:val="center"/>
          </w:tcPr>
          <w:p w14:paraId="41263423">
            <w:pPr>
              <w:numPr>
                <w:ilvl w:val="0"/>
                <w:numId w:val="1"/>
              </w:numPr>
              <w:shd w:val="clear"/>
              <w:tabs>
                <w:tab w:val="left" w:pos="2860"/>
              </w:tabs>
              <w:bidi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在响应文件提交截止时间前，各供应商必须在电子交易平台递交响应文件，否则无法进入后续的开标环节。</w:t>
            </w:r>
          </w:p>
          <w:p w14:paraId="5B2C915A">
            <w:pPr>
              <w:numPr>
                <w:ilvl w:val="0"/>
                <w:numId w:val="1"/>
              </w:numPr>
              <w:shd w:val="clear"/>
              <w:tabs>
                <w:tab w:val="left" w:pos="2860"/>
              </w:tabs>
              <w:bidi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供应商通过线上观看开标现场音视频，无需到现场参加开标磋商会议。</w:t>
            </w:r>
          </w:p>
          <w:p w14:paraId="4282FAE2">
            <w:pPr>
              <w:numPr>
                <w:ilvl w:val="0"/>
                <w:numId w:val="1"/>
              </w:numPr>
              <w:shd w:val="clear"/>
              <w:tabs>
                <w:tab w:val="left" w:pos="2860"/>
              </w:tabs>
              <w:bidi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实施“不见面开标”，供应商应确保自己的电脑环境、CA锁、网络等状况良好，以免影响其参与交易活动。</w:t>
            </w:r>
          </w:p>
          <w:p w14:paraId="0C4D8D95">
            <w:pPr>
              <w:numPr>
                <w:ilvl w:val="0"/>
                <w:numId w:val="1"/>
              </w:numPr>
              <w:shd w:val="clear"/>
              <w:tabs>
                <w:tab w:val="left" w:pos="2860"/>
              </w:tabs>
              <w:bidi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为保证线上不见面开标顺利进行，各供应商应及时访问全国公共资源交易平台（陕西省·宝鸡市）网站“服务指南-下载专区”栏目，下载学习“不见面开标”操作指南---</w:t>
            </w:r>
            <w:r>
              <w:rPr>
                <w:rFonts w:hint="eastAsia" w:ascii="宋体" w:hAnsi="宋体" w:eastAsia="宋体" w:cs="宋体"/>
                <w:b w:val="0"/>
                <w:bCs w:val="0"/>
                <w:i w:val="0"/>
                <w:iCs w:val="0"/>
                <w:caps w:val="0"/>
                <w:color w:val="auto"/>
                <w:spacing w:val="0"/>
                <w:kern w:val="0"/>
                <w:sz w:val="21"/>
                <w:szCs w:val="21"/>
                <w:shd w:val="clear" w:color="auto" w:fill="FFFFFF"/>
                <w:lang w:val="en-US" w:eastAsia="zh-CN" w:bidi="ar-SA"/>
              </w:rPr>
              <w:t>《</w:t>
            </w:r>
            <w:r>
              <w:rPr>
                <w:rFonts w:hint="eastAsia" w:ascii="宋体" w:hAnsi="宋体" w:eastAsia="宋体" w:cs="宋体"/>
                <w:color w:val="auto"/>
                <w:kern w:val="2"/>
                <w:sz w:val="24"/>
                <w:szCs w:val="24"/>
                <w:highlight w:val="none"/>
                <w:lang w:val="en-US" w:eastAsia="zh-CN" w:bidi="ar-SA"/>
              </w:rPr>
              <w:t>政府采购电子交易-不见面系统操作手册》、（新版政府采购不见面开标系统操作演示），提前做好有关设施、设备配置安装准备工作。因供应商自身软硬件配备不齐全、不达要求或发生故障等问题而导致在交互过程中出现不稳定或中断等情况的，由供应商自身承担后果。</w:t>
            </w:r>
          </w:p>
        </w:tc>
      </w:tr>
      <w:tr w14:paraId="559E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99" w:type="dxa"/>
            <w:noWrap w:val="0"/>
            <w:vAlign w:val="center"/>
          </w:tcPr>
          <w:p w14:paraId="0FA076FA">
            <w:pPr>
              <w:numPr>
                <w:ilvl w:val="0"/>
                <w:numId w:val="0"/>
              </w:numPr>
              <w:shd w:val="clear"/>
              <w:ind w:leftChars="0"/>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27</w:t>
            </w:r>
          </w:p>
        </w:tc>
        <w:tc>
          <w:tcPr>
            <w:tcW w:w="2060" w:type="dxa"/>
            <w:noWrap w:val="0"/>
            <w:vAlign w:val="center"/>
          </w:tcPr>
          <w:p w14:paraId="573DD22B">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付款方式</w:t>
            </w:r>
          </w:p>
        </w:tc>
        <w:tc>
          <w:tcPr>
            <w:tcW w:w="6847" w:type="dxa"/>
            <w:noWrap w:val="0"/>
            <w:vAlign w:val="center"/>
          </w:tcPr>
          <w:p w14:paraId="55066AED">
            <w:pPr>
              <w:shd w:val="clear"/>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合同签订后，乙方可根据需要提出申请，经甲方签字同意后，由甲方向乙方支付30%的项目预付款，其余项目款依据己完工程量按进度支付。</w:t>
            </w:r>
          </w:p>
        </w:tc>
      </w:tr>
      <w:tr w14:paraId="7E9C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14:paraId="187394F3">
            <w:pPr>
              <w:numPr>
                <w:ilvl w:val="0"/>
                <w:numId w:val="0"/>
              </w:numPr>
              <w:shd w:val="clea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8</w:t>
            </w:r>
          </w:p>
        </w:tc>
        <w:tc>
          <w:tcPr>
            <w:tcW w:w="2060" w:type="dxa"/>
            <w:noWrap w:val="0"/>
            <w:vAlign w:val="center"/>
          </w:tcPr>
          <w:p w14:paraId="6B56AF2D">
            <w:pPr>
              <w:shd w:val="clear"/>
              <w:tabs>
                <w:tab w:val="left" w:pos="7013"/>
              </w:tabs>
              <w:spacing w:line="46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lang w:val="en-US" w:eastAsia="zh-CN"/>
              </w:rPr>
              <w:t>标的所属行业</w:t>
            </w:r>
          </w:p>
        </w:tc>
        <w:tc>
          <w:tcPr>
            <w:tcW w:w="6847" w:type="dxa"/>
            <w:noWrap w:val="0"/>
            <w:vAlign w:val="center"/>
          </w:tcPr>
          <w:p w14:paraId="523CE36E">
            <w:pPr>
              <w:shd w:val="clear"/>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本项目标的所属行业：建筑业</w:t>
            </w:r>
          </w:p>
        </w:tc>
      </w:tr>
      <w:tr w14:paraId="69AC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14:paraId="041CA085">
            <w:pPr>
              <w:numPr>
                <w:ilvl w:val="0"/>
                <w:numId w:val="0"/>
              </w:numPr>
              <w:shd w:val="clear"/>
              <w:ind w:left="0" w:leftChars="0" w:firstLine="0" w:firstLineChars="0"/>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29</w:t>
            </w:r>
          </w:p>
        </w:tc>
        <w:tc>
          <w:tcPr>
            <w:tcW w:w="2060" w:type="dxa"/>
            <w:noWrap w:val="0"/>
            <w:vAlign w:val="center"/>
          </w:tcPr>
          <w:p w14:paraId="6A568236">
            <w:pPr>
              <w:shd w:val="clea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其它事项</w:t>
            </w:r>
          </w:p>
        </w:tc>
        <w:tc>
          <w:tcPr>
            <w:tcW w:w="6847" w:type="dxa"/>
            <w:noWrap w:val="0"/>
            <w:vAlign w:val="center"/>
          </w:tcPr>
          <w:p w14:paraId="770077AA">
            <w:pPr>
              <w:pStyle w:val="59"/>
              <w:shd w:val="clear"/>
              <w:spacing w:line="46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次采购、磋商报价、评审和合同授予均以项目为单位，供应商必须就一个完整项目进行响应。成交供应商与采购人在成交通知书发出25日内签订合同，不及时签订视为自动放弃。非经采购人同意，本项目不允许成交后另行转包或者分包。成交人无正当理由不得放弃中标。因自身原因拒绝签订政府采购合同的或者未按合同约定进行履约的，成交人不得参加对该项目重新开展的采购活动。</w:t>
            </w:r>
          </w:p>
        </w:tc>
      </w:tr>
    </w:tbl>
    <w:p w14:paraId="67D805E3">
      <w:pPr>
        <w:pStyle w:val="23"/>
        <w:keepNext w:val="0"/>
        <w:keepLines w:val="0"/>
        <w:pageBreakBefore w:val="0"/>
        <w:widowControl/>
        <w:suppressLineNumbers w:val="0"/>
        <w:shd w:val="clear"/>
        <w:wordWrap/>
        <w:topLinePunct w:val="0"/>
        <w:bidi w:val="0"/>
        <w:spacing w:before="0" w:beforeAutospacing="0" w:after="0" w:afterAutospacing="0" w:line="365" w:lineRule="auto"/>
        <w:ind w:right="0"/>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二、项目说明</w:t>
      </w:r>
      <w:bookmarkEnd w:id="2"/>
    </w:p>
    <w:p w14:paraId="0E5BC1B4">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1、本项目说明详见供应商须知前附表。</w:t>
      </w:r>
    </w:p>
    <w:p w14:paraId="160FC780">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2、本项目按照《中华人民共和国政府采购法》等有关法律、行政法规和部门规章，通过竞争性磋商方式择优选定成交供应商。</w:t>
      </w:r>
    </w:p>
    <w:p w14:paraId="1662DD74">
      <w:pPr>
        <w:pStyle w:val="23"/>
        <w:keepNext w:val="0"/>
        <w:keepLines w:val="0"/>
        <w:pageBreakBefore w:val="0"/>
        <w:widowControl/>
        <w:suppressLineNumbers w:val="0"/>
        <w:shd w:val="clear"/>
        <w:wordWrap/>
        <w:topLinePunct w:val="0"/>
        <w:bidi w:val="0"/>
        <w:spacing w:before="0" w:beforeAutospacing="0" w:after="0" w:afterAutospacing="0" w:line="365" w:lineRule="auto"/>
        <w:ind w:right="0"/>
        <w:textAlignment w:val="auto"/>
        <w:outlineLvl w:val="1"/>
        <w:rPr>
          <w:rFonts w:hint="eastAsia" w:ascii="宋体" w:hAnsi="宋体" w:eastAsia="宋体" w:cs="宋体"/>
          <w:color w:val="auto"/>
          <w:kern w:val="2"/>
          <w:sz w:val="24"/>
          <w:szCs w:val="24"/>
          <w:highlight w:val="none"/>
          <w:lang w:val="en-US" w:eastAsia="zh-CN" w:bidi="ar-SA"/>
        </w:rPr>
      </w:pPr>
      <w:bookmarkStart w:id="3" w:name="_Toc458848967"/>
      <w:bookmarkStart w:id="4" w:name="_Toc458848734"/>
      <w:bookmarkStart w:id="5" w:name="_Toc458848819"/>
      <w:bookmarkStart w:id="6" w:name="_Toc7453873"/>
      <w:r>
        <w:rPr>
          <w:rFonts w:hint="eastAsia" w:ascii="宋体" w:hAnsi="宋体" w:eastAsia="宋体" w:cs="宋体"/>
          <w:b/>
          <w:bCs/>
          <w:color w:val="auto"/>
          <w:kern w:val="2"/>
          <w:sz w:val="24"/>
          <w:szCs w:val="24"/>
          <w:highlight w:val="none"/>
          <w:lang w:val="en-US" w:eastAsia="zh-CN" w:bidi="ar-SA"/>
        </w:rPr>
        <w:t>三、竞争性磋商文件</w:t>
      </w:r>
      <w:bookmarkEnd w:id="3"/>
      <w:bookmarkEnd w:id="4"/>
      <w:bookmarkEnd w:id="5"/>
      <w:bookmarkEnd w:id="6"/>
    </w:p>
    <w:p w14:paraId="13D2E12A">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1、竞争性磋商文件适用：仅适用于本次竞争性磋商文件所述项目。</w:t>
      </w:r>
    </w:p>
    <w:p w14:paraId="41EB3301">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2、竞争性磋商文件组成：包括竞争性磋商文件目录前六章。</w:t>
      </w:r>
    </w:p>
    <w:p w14:paraId="39F825EB">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3、供应商应详细阅读和充分理解竞争性磋商文件所有的事项、格式、条款和规范要求等，在竞争性磋商响应文件中对竞争性磋商文件的各方面都做出实质性的响应，否则将导致响应无效。</w:t>
      </w:r>
    </w:p>
    <w:p w14:paraId="03AAF55D">
      <w:pPr>
        <w:pStyle w:val="2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4、竞争性磋商文件的澄清或修改：</w:t>
      </w:r>
    </w:p>
    <w:p w14:paraId="347933F2">
      <w:pPr>
        <w:pStyle w:val="2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-1、提交磋商响应文件截止时间前，采购人、采购代理机构可以以书面形式对竞争性磋商文件进行必要的澄清或修改，但不得改变采购标的和资格条件。澄清或修改的内容均为竞争性磋商文件的组成部分，并对采购人及供应商起约束作用。澄清或修改的内容可能影响响应文件编制的，都将于提交磋商响应文件截止时间5日前以书面形式发送给所有参加磋商的供应商；不足5个日历日的，采购人、采购代理机构顺延递交竞争性磋商响应文件的截止时间。</w:t>
      </w:r>
    </w:p>
    <w:p w14:paraId="1E8A7629">
      <w:pPr>
        <w:pStyle w:val="2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-2、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14:paraId="0C83C60A">
      <w:pPr>
        <w:pStyle w:val="2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供应商若对磋商文件有任何疑问，可以以书面形式（纸质版加盖公章，下同）向采购代理机构提出询问。否则，视为同意磋商文件的一切条款和要求并承担由此引起的一切法律责任。凡因供应商对磋商文件阅读不深、理解不透、误解、疏漏、或因市场行情了解不清造成的后果和风险均由供应商自负。</w:t>
      </w:r>
    </w:p>
    <w:p w14:paraId="47401087">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6、供应商认为竞争性磋商文件使自己的权益受到损害的，在收到竞争性磋商文件之日起七个工作日内，以书面形式向采购代理机构提出质疑，逾期提出的无效，因此带来的一切不利后果由供应商自负。</w:t>
      </w:r>
    </w:p>
    <w:p w14:paraId="1019EDB0">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在磋商截止时间前，根据采购工作进展实际情况，采购人可酌情延长递交竞争性磋商响应文件的截止时间，若延长将另行以书面形式通知各供应商。采购代理机构和供应商的权利和义务将受到新的截止期的约束。</w:t>
      </w:r>
    </w:p>
    <w:p w14:paraId="7538E75D">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8、竞争性磋商文件的解释权归采购代理机构，如发现竞争性磋商文件内容与现行法律法规不相符的情况，以现行法律法规为准。</w:t>
      </w:r>
    </w:p>
    <w:p w14:paraId="57833B3F">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9、现场勘查、标前答疑会：见须知前附表。</w:t>
      </w:r>
    </w:p>
    <w:p w14:paraId="0BA9AD4F">
      <w:pPr>
        <w:pStyle w:val="23"/>
        <w:keepNext w:val="0"/>
        <w:keepLines w:val="0"/>
        <w:pageBreakBefore w:val="0"/>
        <w:widowControl/>
        <w:suppressLineNumbers w:val="0"/>
        <w:shd w:val="clear"/>
        <w:wordWrap/>
        <w:topLinePunct w:val="0"/>
        <w:bidi w:val="0"/>
        <w:spacing w:before="0" w:beforeAutospacing="0" w:after="0" w:afterAutospacing="0" w:line="365" w:lineRule="auto"/>
        <w:ind w:right="0"/>
        <w:textAlignment w:val="auto"/>
        <w:outlineLvl w:val="1"/>
        <w:rPr>
          <w:rFonts w:hint="eastAsia" w:ascii="宋体" w:hAnsi="宋体" w:eastAsia="宋体" w:cs="宋体"/>
          <w:b/>
          <w:bCs/>
          <w:i w:val="0"/>
          <w:iCs w:val="0"/>
          <w:caps w:val="0"/>
          <w:color w:val="auto"/>
          <w:spacing w:val="0"/>
          <w:sz w:val="24"/>
          <w:szCs w:val="24"/>
          <w:highlight w:val="none"/>
          <w:shd w:val="clear" w:fill="FFFFFF"/>
        </w:rPr>
      </w:pPr>
      <w:bookmarkStart w:id="7" w:name="_Toc458848735"/>
      <w:bookmarkStart w:id="8" w:name="_Toc7453874"/>
      <w:bookmarkStart w:id="9" w:name="_Toc458848820"/>
      <w:bookmarkStart w:id="10" w:name="_Toc458848968"/>
      <w:r>
        <w:rPr>
          <w:rFonts w:hint="eastAsia" w:ascii="宋体" w:hAnsi="宋体" w:eastAsia="宋体" w:cs="宋体"/>
          <w:b/>
          <w:bCs/>
          <w:i w:val="0"/>
          <w:iCs w:val="0"/>
          <w:caps w:val="0"/>
          <w:color w:val="auto"/>
          <w:spacing w:val="0"/>
          <w:sz w:val="24"/>
          <w:szCs w:val="24"/>
          <w:highlight w:val="none"/>
          <w:shd w:val="clear" w:fill="FFFFFF"/>
        </w:rPr>
        <w:t>四、竞争性磋商响应文件</w:t>
      </w:r>
      <w:bookmarkEnd w:id="7"/>
      <w:bookmarkEnd w:id="8"/>
      <w:bookmarkEnd w:id="9"/>
      <w:bookmarkEnd w:id="10"/>
    </w:p>
    <w:p w14:paraId="797ADA92">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highlight w:val="none"/>
          <w:shd w:val="clear" w:fill="FFFFFF"/>
        </w:rPr>
      </w:pPr>
      <w:r>
        <w:rPr>
          <w:rFonts w:hint="eastAsia" w:ascii="宋体" w:hAnsi="宋体" w:eastAsia="宋体" w:cs="宋体"/>
          <w:b w:val="0"/>
          <w:color w:val="auto"/>
          <w:kern w:val="2"/>
          <w:sz w:val="24"/>
          <w:szCs w:val="18"/>
          <w:lang w:val="en-US" w:eastAsia="zh-CN" w:bidi="ar-SA"/>
        </w:rPr>
        <w:t>1.投标供应商资格条件</w:t>
      </w:r>
    </w:p>
    <w:p w14:paraId="2A42A242">
      <w:pPr>
        <w:pStyle w:val="23"/>
        <w:keepNext w:val="0"/>
        <w:keepLines w:val="0"/>
        <w:pageBreakBefore w:val="0"/>
        <w:widowControl/>
        <w:suppressLineNumbers w:val="0"/>
        <w:shd w:val="clear"/>
        <w:wordWrap/>
        <w:topLinePunct w:val="0"/>
        <w:bidi w:val="0"/>
        <w:spacing w:before="0" w:beforeAutospacing="0" w:after="0" w:afterAutospacing="0" w:line="365" w:lineRule="auto"/>
        <w:ind w:right="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1.1满足《中华人民共和国政府采购法》第二十二条规定;</w:t>
      </w:r>
    </w:p>
    <w:p w14:paraId="237A2C57">
      <w:pPr>
        <w:pStyle w:val="23"/>
        <w:keepNext w:val="0"/>
        <w:keepLines w:val="0"/>
        <w:pageBreakBefore w:val="0"/>
        <w:widowControl/>
        <w:suppressLineNumbers w:val="0"/>
        <w:shd w:val="clear"/>
        <w:wordWrap/>
        <w:topLinePunct w:val="0"/>
        <w:bidi w:val="0"/>
        <w:spacing w:before="0" w:beforeAutospacing="0" w:after="0" w:afterAutospacing="0" w:line="365" w:lineRule="auto"/>
        <w:ind w:right="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1.2.落实政府采购政策需满足的资格要求：</w:t>
      </w:r>
    </w:p>
    <w:p w14:paraId="3BC2202C">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合同包1(2025年河口镇安河寺村水毁道路修复项目)落实政府采购政策需满足的资格要求如下:</w:t>
      </w:r>
    </w:p>
    <w:p w14:paraId="26CA5021">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专门面向中小企业采购。（残疾人福利性单位、监狱企业视同小型、微型企业）；须符合《政府采购促进中小企业发展管理办法》（财库〔2020〕46号）规定的中小企业参加。本项目采购标的所属行业为：建筑业。</w:t>
      </w:r>
    </w:p>
    <w:p w14:paraId="0A445A3D">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240" w:lineRule="auto"/>
        <w:ind w:left="0" w:right="0" w:firstLine="0"/>
        <w:jc w:val="both"/>
        <w:rPr>
          <w:rFonts w:hint="eastAsia" w:ascii="宋体" w:hAnsi="宋体" w:eastAsia="宋体" w:cs="宋体"/>
          <w:b/>
          <w:bCs/>
          <w:sz w:val="24"/>
          <w:szCs w:val="24"/>
        </w:rPr>
      </w:pPr>
      <w:r>
        <w:rPr>
          <w:rFonts w:hint="eastAsia" w:cs="宋体"/>
          <w:b/>
          <w:bCs/>
          <w:i w:val="0"/>
          <w:iCs w:val="0"/>
          <w:caps w:val="0"/>
          <w:color w:val="333333"/>
          <w:spacing w:val="0"/>
          <w:sz w:val="24"/>
          <w:szCs w:val="24"/>
          <w:shd w:val="clear" w:fill="FFFFFF"/>
          <w:lang w:val="en-US" w:eastAsia="zh-CN"/>
        </w:rPr>
        <w:t>1.</w:t>
      </w:r>
      <w:r>
        <w:rPr>
          <w:rFonts w:hint="eastAsia" w:ascii="宋体" w:hAnsi="宋体" w:eastAsia="宋体" w:cs="宋体"/>
          <w:b/>
          <w:bCs/>
          <w:i w:val="0"/>
          <w:iCs w:val="0"/>
          <w:caps w:val="0"/>
          <w:color w:val="333333"/>
          <w:spacing w:val="0"/>
          <w:sz w:val="24"/>
          <w:szCs w:val="24"/>
          <w:shd w:val="clear" w:fill="FFFFFF"/>
        </w:rPr>
        <w:t>3.本项目的特定资格要求：</w:t>
      </w:r>
    </w:p>
    <w:p w14:paraId="2C948349">
      <w:pPr>
        <w:pStyle w:val="23"/>
        <w:keepNext w:val="0"/>
        <w:keepLines w:val="0"/>
        <w:pageBreakBefore w:val="0"/>
        <w:widowControl/>
        <w:suppressLineNumbers w:val="0"/>
        <w:shd w:val="clear"/>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合同包1(2025年河口镇安河寺村水毁道路修复项目)特定资格要求如下:</w:t>
      </w:r>
    </w:p>
    <w:p w14:paraId="65A17CC5">
      <w:pPr>
        <w:pStyle w:val="23"/>
        <w:keepNext w:val="0"/>
        <w:keepLines w:val="0"/>
        <w:pageBreakBefore w:val="0"/>
        <w:widowControl/>
        <w:suppressLineNumbers w:val="0"/>
        <w:shd w:val="clear"/>
        <w:wordWrap/>
        <w:topLinePunct w:val="0"/>
        <w:bidi w:val="0"/>
        <w:spacing w:before="0" w:beforeAutospacing="0" w:after="0" w:afterAutospacing="0" w:line="365" w:lineRule="auto"/>
        <w:ind w:right="0"/>
        <w:textAlignment w:val="auto"/>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color w:val="auto"/>
          <w:kern w:val="2"/>
          <w:sz w:val="24"/>
          <w:szCs w:val="24"/>
          <w:highlight w:val="none"/>
          <w:lang w:val="en-US" w:eastAsia="zh-CN" w:bidi="ar-SA"/>
        </w:rPr>
        <w:t>（1）供应商须是具有独立承担民事责任能力的法人、其他组织或自然人，并出具合法有效的营业执照或事业单位法人证书等国家规定的相关证明，自然人参与的提供其身份证明； </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2）供应商须提供2023年度财务审计报告（成立时间至提交磋商响应文件截止时间不足一年的可提供成立后任意时段的资产负债表）或基本存款账户开户银行出具的资信证明、基本存款账户开户许可证（基本存款账户信息）；</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i w:val="0"/>
          <w:iCs w:val="0"/>
          <w:caps w:val="0"/>
          <w:color w:val="auto"/>
          <w:spacing w:val="0"/>
          <w:sz w:val="24"/>
          <w:szCs w:val="24"/>
          <w:shd w:val="clear" w:fill="FFFFFF"/>
        </w:rPr>
        <w:t>（3）供应商须提供202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shd w:val="clear" w:fill="FFFFFF"/>
          <w:lang w:val="en-US" w:eastAsia="zh-CN"/>
        </w:rPr>
        <w:t>1月至今</w:t>
      </w:r>
      <w:r>
        <w:rPr>
          <w:rFonts w:hint="eastAsia" w:ascii="宋体" w:hAnsi="宋体" w:eastAsia="宋体" w:cs="宋体"/>
          <w:i w:val="0"/>
          <w:iCs w:val="0"/>
          <w:caps w:val="0"/>
          <w:color w:val="auto"/>
          <w:spacing w:val="0"/>
          <w:sz w:val="24"/>
          <w:szCs w:val="24"/>
          <w:shd w:val="clear" w:fill="FFFFFF"/>
        </w:rPr>
        <w:t>已缴存的至少一个月的社会保险参保缴费情况证明；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（4）供应商须提供202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shd w:val="clear" w:fill="FFFFFF"/>
          <w:lang w:val="en-US" w:eastAsia="zh-CN"/>
        </w:rPr>
        <w:t>1月至今</w:t>
      </w:r>
      <w:r>
        <w:rPr>
          <w:rFonts w:hint="eastAsia" w:ascii="宋体" w:hAnsi="宋体" w:eastAsia="宋体" w:cs="宋体"/>
          <w:i w:val="0"/>
          <w:iCs w:val="0"/>
          <w:caps w:val="0"/>
          <w:color w:val="auto"/>
          <w:spacing w:val="0"/>
          <w:sz w:val="24"/>
          <w:szCs w:val="24"/>
          <w:shd w:val="clear" w:fill="FFFFFF"/>
        </w:rPr>
        <w:t>已缴纳的至少一个月的纳税证明或完税证明，依法免税的单位应提供相关证明材料；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（5）供应商不得为“信用中国”网站（www.creditchina.gov.cn）中列入失信被执行人和重大税收违法失信主体的投标</w:t>
      </w:r>
      <w:r>
        <w:rPr>
          <w:rFonts w:hint="eastAsia" w:cs="宋体"/>
          <w:i w:val="0"/>
          <w:iCs w:val="0"/>
          <w:caps w:val="0"/>
          <w:color w:val="auto"/>
          <w:spacing w:val="0"/>
          <w:sz w:val="24"/>
          <w:szCs w:val="24"/>
          <w:shd w:val="clear" w:fill="FFFFFF"/>
          <w:lang w:val="en-US" w:eastAsia="zh-CN"/>
        </w:rPr>
        <w:t>供应商</w:t>
      </w:r>
      <w:r>
        <w:rPr>
          <w:rFonts w:hint="eastAsia" w:ascii="宋体" w:hAnsi="宋体" w:eastAsia="宋体" w:cs="宋体"/>
          <w:i w:val="0"/>
          <w:iCs w:val="0"/>
          <w:caps w:val="0"/>
          <w:color w:val="auto"/>
          <w:spacing w:val="0"/>
          <w:sz w:val="24"/>
          <w:szCs w:val="24"/>
          <w:shd w:val="clear" w:fill="FFFFFF"/>
        </w:rPr>
        <w:t>，不得为中国政府采购网（www.ccgp.gov.cn）政府采购严重违法失信行为记录名单中被财政部门禁止参加政府采购活动的投标</w:t>
      </w:r>
      <w:r>
        <w:rPr>
          <w:rFonts w:hint="eastAsia" w:cs="宋体"/>
          <w:i w:val="0"/>
          <w:iCs w:val="0"/>
          <w:caps w:val="0"/>
          <w:color w:val="auto"/>
          <w:spacing w:val="0"/>
          <w:sz w:val="24"/>
          <w:szCs w:val="24"/>
          <w:shd w:val="clear" w:fill="FFFFFF"/>
          <w:lang w:val="en-US" w:eastAsia="zh-CN"/>
        </w:rPr>
        <w:t>供应商</w:t>
      </w:r>
      <w:r>
        <w:rPr>
          <w:rFonts w:hint="eastAsia" w:ascii="宋体" w:hAnsi="宋体" w:eastAsia="宋体" w:cs="宋体"/>
          <w:i w:val="0"/>
          <w:iCs w:val="0"/>
          <w:caps w:val="0"/>
          <w:color w:val="auto"/>
          <w:spacing w:val="0"/>
          <w:sz w:val="24"/>
          <w:szCs w:val="24"/>
          <w:shd w:val="clear" w:fill="FFFFFF"/>
        </w:rPr>
        <w:t>（提供书面信用承诺书）；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（6）单位负责人为同一人或者存在直接控股、管理关系的不同投标投标</w:t>
      </w:r>
      <w:r>
        <w:rPr>
          <w:rFonts w:hint="eastAsia" w:cs="宋体"/>
          <w:i w:val="0"/>
          <w:iCs w:val="0"/>
          <w:caps w:val="0"/>
          <w:color w:val="auto"/>
          <w:spacing w:val="0"/>
          <w:sz w:val="24"/>
          <w:szCs w:val="24"/>
          <w:shd w:val="clear" w:fill="FFFFFF"/>
          <w:lang w:val="en-US" w:eastAsia="zh-CN"/>
        </w:rPr>
        <w:t>供应商</w:t>
      </w:r>
      <w:r>
        <w:rPr>
          <w:rFonts w:hint="eastAsia" w:ascii="宋体" w:hAnsi="宋体" w:eastAsia="宋体" w:cs="宋体"/>
          <w:i w:val="0"/>
          <w:iCs w:val="0"/>
          <w:caps w:val="0"/>
          <w:color w:val="auto"/>
          <w:spacing w:val="0"/>
          <w:sz w:val="24"/>
          <w:szCs w:val="24"/>
          <w:shd w:val="clear" w:fill="FFFFFF"/>
        </w:rPr>
        <w:t>，不得参加同一合同项下的政府采购活动（提供承诺书)；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（7）供应商须提供企业开具的近三年在政府采购经营活动中无重大违法记录声明（成立时间不足三年的供应商提供自成立之日起至磋商截止之日止的无重大违法记录声明）；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供应商须授权合法的人员参加磋商全过程，其中法定代表人直接参加磋商的，须出具法定代表人资格证明书及身份证，并与营业执照上信息一致；法定代表人授权代表参加磋商的，须出具法定代表人资格证明书、授权书、被授权代表身份证；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（9）供应商须提供具有履行合同所必需的设备和专业技术能力的承诺书；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w:t>
      </w:r>
      <w:r>
        <w:rPr>
          <w:rFonts w:hint="eastAsia" w:ascii="宋体" w:hAnsi="宋体" w:eastAsia="宋体" w:cs="宋体"/>
          <w:i w:val="0"/>
          <w:iCs w:val="0"/>
          <w:caps w:val="0"/>
          <w:color w:val="auto"/>
          <w:spacing w:val="0"/>
          <w:sz w:val="24"/>
          <w:szCs w:val="24"/>
          <w:shd w:val="clear" w:fill="FFFFFF"/>
          <w:lang w:eastAsia="zh-CN"/>
        </w:rPr>
        <w:t>供应商须具备建设行政主管部门核发的市政公用工程施工总承包三级以上（含三级）资质，具备建设行政主管部门颁发的有效安全生产许可证；拟派项目经理具备市政公用工程专业二级以上(含二级)建造师证书和有效的安全生产考核合格证书(建安B证)，且无在建项目(提供无在建承诺书)；</w:t>
      </w:r>
    </w:p>
    <w:p w14:paraId="0A69CB72">
      <w:pPr>
        <w:pStyle w:val="23"/>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2、合格供应商</w:t>
      </w:r>
    </w:p>
    <w:p w14:paraId="56DB04F3">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依照《中华人民共和国公司法》合法注册的法人或其他组织、符合《中华人民共和国政府采购法》</w:t>
      </w:r>
      <w:bookmarkStart w:id="11" w:name="OLE_LINK8"/>
      <w:r>
        <w:rPr>
          <w:rFonts w:hint="eastAsia" w:ascii="宋体" w:hAnsi="宋体" w:eastAsia="宋体" w:cs="宋体"/>
          <w:color w:val="auto"/>
          <w:sz w:val="24"/>
          <w:szCs w:val="24"/>
          <w:highlight w:val="none"/>
        </w:rPr>
        <w:t>及其实施条例等有关法律法规的规定</w:t>
      </w:r>
      <w:bookmarkEnd w:id="11"/>
      <w:r>
        <w:rPr>
          <w:rFonts w:hint="eastAsia" w:ascii="宋体" w:hAnsi="宋体" w:eastAsia="宋体" w:cs="宋体"/>
          <w:color w:val="auto"/>
          <w:sz w:val="24"/>
          <w:szCs w:val="24"/>
          <w:highlight w:val="none"/>
        </w:rPr>
        <w:t>并满足本项目资格条件。不符合上述规定的供应商，磋商响应无效。</w:t>
      </w:r>
    </w:p>
    <w:p w14:paraId="30066931">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3、供应商信用信息：</w:t>
      </w:r>
    </w:p>
    <w:p w14:paraId="33E17271">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3-1、“信用中国”网站（www.creditchina.gov.cn）、中国政府采购网（www.ccgp.gov.cn）相关主体信用记录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供应商应提供信用承诺函，并对其承诺函的真实性负责</w:t>
      </w:r>
      <w:r>
        <w:rPr>
          <w:rFonts w:hint="eastAsia" w:ascii="宋体" w:hAnsi="宋体" w:eastAsia="宋体" w:cs="宋体"/>
          <w:color w:val="auto"/>
          <w:sz w:val="24"/>
          <w:szCs w:val="24"/>
          <w:highlight w:val="none"/>
        </w:rPr>
        <w:t>。</w:t>
      </w:r>
    </w:p>
    <w:p w14:paraId="685A5A4D">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、特别说明：</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如在</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通知书发出前出现违法失信行为，采购人仍有权利提请</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取消其</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资格；</w:t>
      </w:r>
    </w:p>
    <w:p w14:paraId="028B91BA">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4、竞争性磋商响应文件的组成： </w:t>
      </w:r>
    </w:p>
    <w:p w14:paraId="0FB6C26F">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lang w:val="en-US" w:eastAsia="zh-CN"/>
        </w:rPr>
      </w:pPr>
      <w:bookmarkStart w:id="12" w:name="_Toc35442385"/>
      <w:r>
        <w:rPr>
          <w:rFonts w:hint="eastAsia" w:ascii="宋体" w:hAnsi="宋体" w:eastAsia="宋体" w:cs="宋体"/>
          <w:color w:val="auto"/>
          <w:sz w:val="24"/>
          <w:szCs w:val="24"/>
          <w:highlight w:val="none"/>
          <w:lang w:val="en-US" w:eastAsia="zh-CN"/>
        </w:rPr>
        <w:t>4-1．响应文件格式</w:t>
      </w:r>
    </w:p>
    <w:p w14:paraId="4B91C026">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i w:val="0"/>
          <w:iCs w:val="0"/>
          <w:caps w:val="0"/>
          <w:color w:val="auto"/>
          <w:spacing w:val="0"/>
          <w:kern w:val="0"/>
          <w:sz w:val="24"/>
          <w:szCs w:val="24"/>
          <w:shd w:val="clear" w:fill="FFFFFF"/>
          <w:lang w:val="en-US" w:eastAsia="zh-CN" w:bidi="ar-SA"/>
        </w:rPr>
      </w:pPr>
      <w:r>
        <w:rPr>
          <w:rFonts w:hint="eastAsia" w:ascii="宋体" w:hAnsi="宋体" w:eastAsia="宋体" w:cs="宋体"/>
          <w:i w:val="0"/>
          <w:iCs w:val="0"/>
          <w:caps w:val="0"/>
          <w:color w:val="auto"/>
          <w:spacing w:val="0"/>
          <w:kern w:val="0"/>
          <w:sz w:val="24"/>
          <w:szCs w:val="24"/>
          <w:shd w:val="clear" w:fill="FFFFFF"/>
          <w:lang w:val="en-US" w:eastAsia="zh-CN" w:bidi="ar-SA"/>
        </w:rPr>
        <w:t>4-2．资质证明文件</w:t>
      </w:r>
    </w:p>
    <w:p w14:paraId="310EC4AF">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i w:val="0"/>
          <w:iCs w:val="0"/>
          <w:caps w:val="0"/>
          <w:color w:val="auto"/>
          <w:spacing w:val="0"/>
          <w:kern w:val="0"/>
          <w:sz w:val="24"/>
          <w:szCs w:val="24"/>
          <w:shd w:val="clear" w:fill="FFFFFF"/>
          <w:lang w:val="en-US" w:eastAsia="zh-CN" w:bidi="ar-SA"/>
        </w:rPr>
      </w:pPr>
      <w:r>
        <w:rPr>
          <w:rFonts w:hint="eastAsia" w:ascii="宋体" w:hAnsi="宋体" w:eastAsia="宋体" w:cs="宋体"/>
          <w:i w:val="0"/>
          <w:iCs w:val="0"/>
          <w:caps w:val="0"/>
          <w:color w:val="auto"/>
          <w:spacing w:val="0"/>
          <w:kern w:val="0"/>
          <w:sz w:val="24"/>
          <w:szCs w:val="24"/>
          <w:shd w:val="clear" w:fill="FFFFFF"/>
          <w:lang w:val="en-US" w:eastAsia="zh-CN" w:bidi="ar-SA"/>
        </w:rPr>
        <w:t>4-3. 符合性证明文件</w:t>
      </w:r>
    </w:p>
    <w:p w14:paraId="1DD9FF3E">
      <w:pPr>
        <w:pageBreakBefore w:val="0"/>
        <w:shd w:val="clear"/>
        <w:wordWrap/>
        <w:topLinePunct w:val="0"/>
        <w:autoSpaceDE/>
        <w:autoSpaceDN/>
        <w:bidi w:val="0"/>
        <w:spacing w:line="365" w:lineRule="auto"/>
        <w:ind w:firstLine="480" w:firstLineChars="200"/>
        <w:textAlignment w:val="auto"/>
        <w:rPr>
          <w:rFonts w:hint="eastAsia" w:ascii="宋体" w:hAnsi="宋体" w:eastAsia="宋体" w:cs="宋体"/>
          <w:i w:val="0"/>
          <w:iCs w:val="0"/>
          <w:caps w:val="0"/>
          <w:color w:val="auto"/>
          <w:spacing w:val="0"/>
          <w:kern w:val="0"/>
          <w:sz w:val="24"/>
          <w:szCs w:val="24"/>
          <w:shd w:val="clear" w:fill="FFFFFF"/>
          <w:lang w:val="en-US" w:eastAsia="zh-CN" w:bidi="ar-SA"/>
        </w:rPr>
      </w:pPr>
      <w:r>
        <w:rPr>
          <w:rFonts w:hint="eastAsia" w:ascii="宋体" w:hAnsi="宋体" w:eastAsia="宋体" w:cs="宋体"/>
          <w:i w:val="0"/>
          <w:iCs w:val="0"/>
          <w:caps w:val="0"/>
          <w:color w:val="auto"/>
          <w:spacing w:val="0"/>
          <w:kern w:val="0"/>
          <w:sz w:val="24"/>
          <w:szCs w:val="24"/>
          <w:shd w:val="clear" w:fill="FFFFFF"/>
          <w:lang w:val="en-US" w:eastAsia="zh-CN" w:bidi="ar-SA"/>
        </w:rPr>
        <w:t>4-4．响应方案</w:t>
      </w:r>
    </w:p>
    <w:bookmarkEnd w:id="12"/>
    <w:p w14:paraId="0E173F4C">
      <w:pPr>
        <w:shd w:val="clear"/>
        <w:spacing w:line="480" w:lineRule="exact"/>
        <w:ind w:firstLine="480" w:firstLineChars="200"/>
        <w:rPr>
          <w:rFonts w:hint="eastAsia" w:ascii="宋体" w:hAnsi="宋体" w:eastAsia="宋体" w:cs="宋体"/>
          <w:i w:val="0"/>
          <w:iCs w:val="0"/>
          <w:caps w:val="0"/>
          <w:color w:val="auto"/>
          <w:spacing w:val="0"/>
          <w:kern w:val="0"/>
          <w:sz w:val="24"/>
          <w:szCs w:val="24"/>
          <w:shd w:val="clear" w:fill="FFFFFF"/>
          <w:lang w:val="en-US" w:eastAsia="zh-CN" w:bidi="ar-SA"/>
        </w:rPr>
      </w:pPr>
      <w:r>
        <w:rPr>
          <w:rFonts w:hint="eastAsia" w:ascii="宋体" w:hAnsi="宋体" w:eastAsia="宋体" w:cs="宋体"/>
          <w:i w:val="0"/>
          <w:iCs w:val="0"/>
          <w:caps w:val="0"/>
          <w:color w:val="auto"/>
          <w:spacing w:val="0"/>
          <w:kern w:val="0"/>
          <w:sz w:val="24"/>
          <w:szCs w:val="24"/>
          <w:shd w:val="clear" w:fill="FFFFFF"/>
          <w:lang w:val="en-US" w:eastAsia="zh-CN" w:bidi="ar-SA"/>
        </w:rPr>
        <w:t>5、竞争性磋商响应文件编写说明</w:t>
      </w:r>
    </w:p>
    <w:p w14:paraId="4811E433">
      <w:pPr>
        <w:shd w:val="clea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5-1、竞争性磋商响应文件应当按照竞争性磋商文件给定的格式编制，格式之外的可自行编写。否则，将作为无效响应处理。</w:t>
      </w:r>
    </w:p>
    <w:p w14:paraId="6B2986DD">
      <w:pPr>
        <w:shd w:val="clea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5-2、</w:t>
      </w:r>
      <w:r>
        <w:rPr>
          <w:rFonts w:hint="eastAsia" w:ascii="宋体" w:hAnsi="宋体" w:eastAsia="宋体" w:cs="宋体"/>
          <w:bCs/>
          <w:color w:val="auto"/>
          <w:sz w:val="24"/>
          <w:szCs w:val="24"/>
          <w:highlight w:val="none"/>
        </w:rPr>
        <w:t>供应商必须按照</w:t>
      </w:r>
      <w:r>
        <w:rPr>
          <w:rFonts w:hint="eastAsia" w:ascii="宋体" w:hAnsi="宋体" w:eastAsia="宋体" w:cs="宋体"/>
          <w:color w:val="auto"/>
          <w:sz w:val="24"/>
          <w:szCs w:val="24"/>
          <w:highlight w:val="none"/>
        </w:rPr>
        <w:t>竞争性磋商文件</w:t>
      </w:r>
      <w:r>
        <w:rPr>
          <w:rFonts w:hint="eastAsia" w:ascii="宋体" w:hAnsi="宋体" w:eastAsia="宋体" w:cs="宋体"/>
          <w:bCs/>
          <w:color w:val="auto"/>
          <w:sz w:val="24"/>
          <w:szCs w:val="24"/>
          <w:highlight w:val="none"/>
        </w:rPr>
        <w:t>的规定和要求由法定代表人或被授权人签字（或盖章），并逐页加盖供应商公章（鲜章），如有遗漏，将作为无</w:t>
      </w:r>
      <w:r>
        <w:rPr>
          <w:rFonts w:hint="eastAsia" w:ascii="宋体" w:hAnsi="宋体" w:eastAsia="宋体" w:cs="宋体"/>
          <w:color w:val="auto"/>
          <w:sz w:val="24"/>
          <w:szCs w:val="24"/>
          <w:highlight w:val="none"/>
        </w:rPr>
        <w:t>效磋商响应处理</w:t>
      </w:r>
      <w:r>
        <w:rPr>
          <w:rFonts w:hint="eastAsia" w:ascii="宋体" w:hAnsi="宋体" w:eastAsia="宋体" w:cs="宋体"/>
          <w:bCs/>
          <w:color w:val="auto"/>
          <w:sz w:val="24"/>
          <w:szCs w:val="24"/>
          <w:highlight w:val="none"/>
        </w:rPr>
        <w:t>。</w:t>
      </w:r>
    </w:p>
    <w:p w14:paraId="467C7518">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、竞争性磋商响应文件</w:t>
      </w:r>
      <w:r>
        <w:rPr>
          <w:rFonts w:hint="eastAsia" w:ascii="宋体" w:hAnsi="宋体" w:eastAsia="宋体" w:cs="宋体"/>
          <w:color w:val="auto"/>
          <w:sz w:val="24"/>
          <w:szCs w:val="24"/>
          <w:highlight w:val="none"/>
          <w:lang w:val="en-US" w:eastAsia="zh-CN"/>
        </w:rPr>
        <w:t>因内容表达不清</w:t>
      </w:r>
      <w:r>
        <w:rPr>
          <w:rFonts w:hint="eastAsia" w:ascii="宋体" w:hAnsi="宋体" w:eastAsia="宋体" w:cs="宋体"/>
          <w:color w:val="auto"/>
          <w:sz w:val="24"/>
          <w:szCs w:val="24"/>
          <w:highlight w:val="none"/>
        </w:rPr>
        <w:t>、印章或证明材料内容模糊难辨等导致的不利后果由供应商自行承担。</w:t>
      </w:r>
    </w:p>
    <w:p w14:paraId="7D819076">
      <w:pPr>
        <w:shd w:val="clear"/>
        <w:spacing w:line="480" w:lineRule="exact"/>
        <w:ind w:firstLine="482" w:firstLineChars="200"/>
        <w:rPr>
          <w:rFonts w:hint="eastAsia" w:ascii="宋体" w:hAnsi="宋体" w:eastAsia="宋体" w:cs="宋体"/>
          <w:b/>
          <w:bCs/>
          <w:color w:val="auto"/>
          <w:kern w:val="2"/>
          <w:sz w:val="24"/>
          <w:szCs w:val="24"/>
          <w:shd w:val="clear" w:color="auto" w:fill="FFFFFF"/>
          <w:lang w:val="en-US" w:eastAsia="zh-CN" w:bidi="ar-SA"/>
        </w:rPr>
      </w:pPr>
      <w:r>
        <w:rPr>
          <w:rFonts w:hint="eastAsia" w:ascii="宋体" w:hAnsi="宋体" w:eastAsia="宋体" w:cs="宋体"/>
          <w:b/>
          <w:bCs/>
          <w:color w:val="auto"/>
          <w:kern w:val="2"/>
          <w:sz w:val="24"/>
          <w:szCs w:val="24"/>
          <w:shd w:val="clear" w:color="auto" w:fill="FFFFFF"/>
          <w:lang w:val="en-US" w:eastAsia="zh-CN" w:bidi="ar-SA"/>
        </w:rPr>
        <w:t>6、磋商响应文件的制作和签署</w:t>
      </w:r>
    </w:p>
    <w:p w14:paraId="15A4AC3D">
      <w:pPr>
        <w:shd w:val="clear"/>
        <w:spacing w:line="48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lang w:val="en-US" w:eastAsia="zh-CN"/>
        </w:rPr>
        <w:t>登录全国公共资源交易平台（陕西省·宝鸡市）网站[服务指南-下载专区]免费下载《政府采购电子标书制作工具》。编制电子响应文件时，应使用最新发布的电子磋商文件及专用制作工具进行编制。并使用数字认证证书（CA）对响应文件进行签署、加密、递交、开标时解密以及二次报价等相关操作。电子磋商响应文件在编制过程中，如有技术性问题，请先翻阅操作手册或致电软件开发商，技术支持热线：4009980000。</w:t>
      </w:r>
    </w:p>
    <w:p w14:paraId="1C638BA3">
      <w:pPr>
        <w:shd w:val="clear"/>
        <w:spacing w:line="480" w:lineRule="exact"/>
        <w:ind w:firstLine="480" w:firstLine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注：该项目如有变更文件，则应点击“项目流程答疑文件下载”下载更新后的电子招标文件（*.SXSCF），使用旧版电子招标文件制作的电子响应文件，系统将拒绝接收。</w:t>
      </w:r>
    </w:p>
    <w:p w14:paraId="67D29C07">
      <w:pPr>
        <w:shd w:val="clear"/>
        <w:spacing w:line="4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7、竞争性磋商响应文件的计量单位</w:t>
      </w:r>
    </w:p>
    <w:p w14:paraId="56A3AAFC">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竞争性磋商响应文件中所使用的计量单位，除有特殊要求外，均采用国家法定计量单位。</w:t>
      </w:r>
    </w:p>
    <w:p w14:paraId="07716B11">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8、磋商报价</w:t>
      </w:r>
    </w:p>
    <w:p w14:paraId="37366091">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8-1、磋商货币：人民币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单位：元（保留小数点后两位）。</w:t>
      </w:r>
    </w:p>
    <w:p w14:paraId="585E07D0">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rPr>
        <w:t>要按报价表内容填写名称、</w:t>
      </w: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磋商报</w:t>
      </w:r>
      <w:r>
        <w:rPr>
          <w:rFonts w:hint="eastAsia" w:ascii="宋体" w:hAnsi="宋体" w:eastAsia="宋体" w:cs="宋体"/>
          <w:color w:val="auto"/>
          <w:sz w:val="24"/>
          <w:szCs w:val="24"/>
        </w:rPr>
        <w:t>价等内容，并由法定代表人或被授权人签署。</w:t>
      </w:r>
    </w:p>
    <w:p w14:paraId="4C558EF2">
      <w:pPr>
        <w:pStyle w:val="50"/>
        <w:shd w:val="clear"/>
        <w:tabs>
          <w:tab w:val="left" w:pos="1860"/>
          <w:tab w:val="center" w:pos="4680"/>
        </w:tabs>
        <w:spacing w:line="540" w:lineRule="exact"/>
        <w:ind w:firstLine="482" w:firstLineChars="200"/>
        <w:jc w:val="both"/>
        <w:rPr>
          <w:rFonts w:hint="eastAsia" w:ascii="宋体" w:hAnsi="宋体" w:eastAsia="宋体" w:cs="宋体"/>
          <w:b/>
          <w:bCs/>
          <w:color w:val="auto"/>
          <w:kern w:val="2"/>
          <w:sz w:val="24"/>
          <w:szCs w:val="24"/>
          <w:lang w:val="en-US" w:eastAsia="zh-CN" w:bidi="ar-SA"/>
        </w:rPr>
      </w:pPr>
      <w:r>
        <w:rPr>
          <w:rFonts w:hint="eastAsia" w:ascii="宋体" w:hAnsi="宋体" w:eastAsia="宋体" w:cs="宋体"/>
          <w:color w:val="auto"/>
          <w:sz w:val="24"/>
          <w:szCs w:val="24"/>
          <w:highlight w:val="none"/>
        </w:rPr>
        <w:t>8-3、</w:t>
      </w:r>
      <w:r>
        <w:rPr>
          <w:rFonts w:hint="eastAsia" w:ascii="宋体" w:hAnsi="宋体" w:eastAsia="宋体" w:cs="宋体"/>
          <w:b/>
          <w:bCs/>
          <w:color w:val="auto"/>
          <w:kern w:val="2"/>
          <w:sz w:val="24"/>
          <w:szCs w:val="24"/>
          <w:lang w:val="en-US" w:eastAsia="zh-CN" w:bidi="ar-SA"/>
        </w:rPr>
        <w:t>磋商报价应是竞争性磋商响应文件所确定的磋商范围内的全部工作内容的价格体现，包括本项目所涉及的人员、</w:t>
      </w:r>
      <w:r>
        <w:rPr>
          <w:rFonts w:hint="eastAsia" w:hAnsi="宋体" w:cs="宋体"/>
          <w:b/>
          <w:bCs/>
          <w:color w:val="auto"/>
          <w:kern w:val="2"/>
          <w:sz w:val="24"/>
          <w:szCs w:val="24"/>
          <w:lang w:val="en-US" w:eastAsia="zh-CN" w:bidi="ar-SA"/>
        </w:rPr>
        <w:t>材料、税金、施工、机械、利润</w:t>
      </w:r>
      <w:r>
        <w:rPr>
          <w:rFonts w:hint="eastAsia" w:ascii="宋体" w:hAnsi="宋体" w:eastAsia="宋体" w:cs="宋体"/>
          <w:b/>
          <w:bCs/>
          <w:color w:val="auto"/>
          <w:kern w:val="2"/>
          <w:sz w:val="24"/>
          <w:szCs w:val="24"/>
          <w:lang w:val="en-US" w:eastAsia="zh-CN" w:bidi="ar-SA"/>
        </w:rPr>
        <w:t>及其他相关伴随费用的全部费用。</w:t>
      </w:r>
    </w:p>
    <w:p w14:paraId="2F70623E">
      <w:pPr>
        <w:shd w:val="clear"/>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lang w:val="en-US" w:eastAsia="zh-CN" w:bidi="ar-SA"/>
        </w:rPr>
        <w:t>注：磋商报价（首轮）超过最高限价的，响应无效，按废标处理；二轮报价超过首轮报价的，响应无效，按废标处理。</w:t>
      </w:r>
    </w:p>
    <w:p w14:paraId="0B1F77B1">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8-4、供应商所报的磋商价在合同执行过程中是固定不变的，不得以任何理由予以变更。任何包含价格调整要求的磋商，将被认为是非响应性磋商而予以拒绝。</w:t>
      </w:r>
    </w:p>
    <w:p w14:paraId="0ABCF0E2">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凡磋商文件要求或允许磋商中进行报价的各项费用项目，若磋商报价时未报，采购人将按这些费用已包含在磋商报价中对待。</w:t>
      </w:r>
    </w:p>
    <w:p w14:paraId="5DF01A0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8-6、</w:t>
      </w:r>
      <w:r>
        <w:rPr>
          <w:rFonts w:hint="eastAsia" w:ascii="宋体" w:hAnsi="宋体" w:eastAsia="宋体" w:cs="宋体"/>
          <w:color w:val="auto"/>
          <w:sz w:val="24"/>
          <w:szCs w:val="24"/>
          <w:highlight w:val="none"/>
        </w:rPr>
        <w:t>供应商的最终报价应是本采购项目全部内容的所有费用。</w:t>
      </w:r>
      <w:r>
        <w:rPr>
          <w:rFonts w:hint="eastAsia" w:ascii="宋体" w:hAnsi="宋体" w:eastAsia="宋体" w:cs="宋体"/>
          <w:color w:val="auto"/>
          <w:sz w:val="24"/>
          <w:szCs w:val="24"/>
          <w:highlight w:val="none"/>
          <w:lang w:val="zh-CN" w:eastAsia="zh-CN"/>
        </w:rPr>
        <w:t>供应商在磋商报价时应综合考虑施工机械进出场、施工现场材料堆放、施工材料二次倒运、建设期间交通组织和安全保险、生活费、税费等因素，将其纳入报价当中，</w:t>
      </w:r>
      <w:r>
        <w:rPr>
          <w:rFonts w:hint="eastAsia" w:ascii="宋体" w:hAnsi="宋体" w:eastAsia="宋体" w:cs="宋体"/>
          <w:color w:val="auto"/>
          <w:sz w:val="24"/>
          <w:szCs w:val="24"/>
          <w:highlight w:val="none"/>
        </w:rPr>
        <w:t>采购人不再单独支付其他任何费用。</w:t>
      </w:r>
    </w:p>
    <w:p w14:paraId="72E271DF">
      <w:pPr>
        <w:shd w:val="clear"/>
        <w:spacing w:line="480" w:lineRule="exact"/>
        <w:outlineLvl w:val="1"/>
        <w:rPr>
          <w:rFonts w:hint="eastAsia" w:ascii="宋体" w:hAnsi="宋体" w:eastAsia="宋体" w:cs="宋体"/>
          <w:b/>
          <w:bCs/>
          <w:color w:val="auto"/>
          <w:sz w:val="24"/>
          <w:szCs w:val="24"/>
          <w:highlight w:val="none"/>
        </w:rPr>
      </w:pPr>
      <w:bookmarkStart w:id="13" w:name="_Toc458848821"/>
      <w:bookmarkStart w:id="14" w:name="_Toc458848969"/>
      <w:bookmarkStart w:id="15" w:name="_Toc7453875"/>
      <w:bookmarkStart w:id="16" w:name="_Toc458848736"/>
      <w:r>
        <w:rPr>
          <w:rFonts w:hint="eastAsia" w:ascii="宋体" w:hAnsi="宋体" w:eastAsia="宋体" w:cs="宋体"/>
          <w:b/>
          <w:bCs/>
          <w:color w:val="auto"/>
          <w:sz w:val="24"/>
          <w:szCs w:val="24"/>
          <w:highlight w:val="none"/>
        </w:rPr>
        <w:t>五、磋商担保</w:t>
      </w:r>
      <w:bookmarkEnd w:id="13"/>
      <w:bookmarkEnd w:id="14"/>
      <w:bookmarkEnd w:id="15"/>
      <w:bookmarkEnd w:id="16"/>
    </w:p>
    <w:p w14:paraId="334EAC3A">
      <w:pPr>
        <w:shd w:val="clear"/>
        <w:spacing w:line="48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1、担保方式：见供应商须知前附表。</w:t>
      </w:r>
    </w:p>
    <w:p w14:paraId="076CDF0A">
      <w:pPr>
        <w:shd w:val="clear"/>
        <w:spacing w:line="48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2、磋商担保递交截止时间：见供应商须知前附表。</w:t>
      </w:r>
    </w:p>
    <w:p w14:paraId="3E7EB4D1">
      <w:pPr>
        <w:shd w:val="clear"/>
        <w:spacing w:line="48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3、若采购代理机构未在磋商担保递交截止时间</w:t>
      </w:r>
      <w:r>
        <w:rPr>
          <w:rFonts w:hint="eastAsia" w:ascii="宋体" w:hAnsi="宋体" w:eastAsia="宋体" w:cs="宋体"/>
          <w:color w:val="auto"/>
          <w:sz w:val="24"/>
          <w:szCs w:val="24"/>
          <w:highlight w:val="none"/>
          <w:lang w:eastAsia="zh-CN"/>
        </w:rPr>
        <w:t>查询</w:t>
      </w:r>
      <w:r>
        <w:rPr>
          <w:rFonts w:hint="eastAsia" w:ascii="宋体" w:hAnsi="宋体" w:eastAsia="宋体" w:cs="宋体"/>
          <w:color w:val="auto"/>
          <w:sz w:val="24"/>
          <w:szCs w:val="24"/>
          <w:highlight w:val="none"/>
        </w:rPr>
        <w:t xml:space="preserve">到足额磋商保证金或者有效磋商担保函的，其磋商将被拒绝。 </w:t>
      </w:r>
    </w:p>
    <w:p w14:paraId="4BC5483D">
      <w:pPr>
        <w:shd w:val="clear"/>
        <w:spacing w:line="480" w:lineRule="exact"/>
        <w:ind w:firstLine="480" w:firstLineChars="200"/>
        <w:rPr>
          <w:rFonts w:hint="eastAsia" w:ascii="宋体" w:hAnsi="宋体" w:eastAsia="宋体" w:cs="宋体"/>
          <w:color w:val="auto"/>
          <w:sz w:val="24"/>
          <w:szCs w:val="24"/>
        </w:rPr>
      </w:pPr>
      <w:bookmarkStart w:id="17" w:name="_Toc458848822"/>
      <w:bookmarkStart w:id="18" w:name="_Toc7453876"/>
      <w:bookmarkStart w:id="19" w:name="_Toc458848737"/>
      <w:bookmarkStart w:id="20" w:name="_Toc458848970"/>
      <w:r>
        <w:rPr>
          <w:rFonts w:hint="eastAsia" w:ascii="宋体" w:hAnsi="宋体" w:eastAsia="宋体" w:cs="宋体"/>
          <w:color w:val="auto"/>
          <w:sz w:val="24"/>
          <w:szCs w:val="24"/>
          <w:lang w:eastAsia="zh-CN"/>
        </w:rPr>
        <w:t>4、</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lang w:eastAsia="zh-CN"/>
        </w:rPr>
        <w:t>参加磋商时，必须以</w:t>
      </w:r>
      <w:r>
        <w:rPr>
          <w:rFonts w:hint="eastAsia" w:ascii="宋体" w:hAnsi="宋体" w:eastAsia="宋体" w:cs="宋体"/>
          <w:color w:val="auto"/>
          <w:sz w:val="24"/>
          <w:szCs w:val="24"/>
        </w:rPr>
        <w:t>竞争性磋商文件规定的方式提交磋商担保，并作为其磋商响应的一部分。若未在磋商担保递交截止时间</w:t>
      </w:r>
      <w:r>
        <w:rPr>
          <w:rFonts w:hint="eastAsia" w:ascii="宋体" w:hAnsi="宋体" w:eastAsia="宋体" w:cs="宋体"/>
          <w:color w:val="auto"/>
          <w:sz w:val="24"/>
          <w:szCs w:val="24"/>
          <w:lang w:eastAsia="zh-CN"/>
        </w:rPr>
        <w:t>查询到</w:t>
      </w:r>
      <w:r>
        <w:rPr>
          <w:rFonts w:hint="eastAsia" w:ascii="宋体" w:hAnsi="宋体" w:eastAsia="宋体" w:cs="宋体"/>
          <w:color w:val="auto"/>
          <w:sz w:val="24"/>
          <w:szCs w:val="24"/>
        </w:rPr>
        <w:t>到足额磋商保证金或</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rPr>
        <w:t>不能自行证明其足额缴纳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保证金的，</w:t>
      </w:r>
      <w:r>
        <w:rPr>
          <w:rFonts w:hint="eastAsia" w:ascii="宋体" w:hAnsi="宋体" w:eastAsia="宋体" w:cs="宋体"/>
          <w:color w:val="auto"/>
          <w:sz w:val="24"/>
          <w:szCs w:val="24"/>
          <w:lang w:eastAsia="zh-CN"/>
        </w:rPr>
        <w:t>或</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rPr>
        <w:t>未在</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中附</w:t>
      </w:r>
      <w:r>
        <w:rPr>
          <w:rFonts w:hint="eastAsia" w:ascii="宋体" w:hAnsi="宋体" w:eastAsia="宋体" w:cs="宋体"/>
          <w:color w:val="auto"/>
          <w:sz w:val="24"/>
          <w:szCs w:val="24"/>
          <w:lang w:eastAsia="zh-CN"/>
        </w:rPr>
        <w:t>银行汇（存）款回执单或担保机构出具的担保函，</w:t>
      </w:r>
      <w:r>
        <w:rPr>
          <w:rFonts w:hint="eastAsia" w:ascii="宋体" w:hAnsi="宋体" w:eastAsia="宋体" w:cs="宋体"/>
          <w:color w:val="auto"/>
          <w:sz w:val="24"/>
          <w:szCs w:val="24"/>
        </w:rPr>
        <w:t>其磋商响应文件无效。</w:t>
      </w:r>
    </w:p>
    <w:p w14:paraId="024DB2F0">
      <w:pPr>
        <w:shd w:val="clea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、退还磋商保证金：</w:t>
      </w:r>
    </w:p>
    <w:p w14:paraId="4B6E5C2C">
      <w:pPr>
        <w:shd w:val="clear"/>
        <w:spacing w:line="480" w:lineRule="exact"/>
        <w:ind w:firstLine="482" w:firstLineChars="200"/>
        <w:rPr>
          <w:rFonts w:hint="eastAsia" w:ascii="宋体" w:hAnsi="宋体" w:eastAsia="宋体" w:cs="宋体"/>
          <w:b/>
          <w:color w:val="auto"/>
          <w:sz w:val="24"/>
          <w:szCs w:val="24"/>
          <w:u w:val="single"/>
        </w:rPr>
      </w:pPr>
      <w:r>
        <w:rPr>
          <w:rFonts w:hint="eastAsia" w:ascii="宋体" w:hAnsi="宋体" w:eastAsia="宋体" w:cs="宋体"/>
          <w:b/>
          <w:color w:val="auto"/>
          <w:sz w:val="24"/>
          <w:szCs w:val="24"/>
        </w:rPr>
        <w:t>（1）</w:t>
      </w:r>
      <w:r>
        <w:rPr>
          <w:rFonts w:hint="eastAsia" w:ascii="宋体" w:hAnsi="宋体" w:eastAsia="宋体" w:cs="宋体"/>
          <w:b/>
          <w:color w:val="auto"/>
          <w:sz w:val="24"/>
          <w:szCs w:val="24"/>
          <w:u w:val="single"/>
        </w:rPr>
        <w:t>在磋商截止时间前撤回已提交磋商响应文件的</w:t>
      </w:r>
      <w:r>
        <w:rPr>
          <w:rFonts w:hint="eastAsia" w:ascii="宋体" w:hAnsi="宋体" w:eastAsia="宋体" w:cs="宋体"/>
          <w:b/>
          <w:color w:val="auto"/>
          <w:sz w:val="24"/>
          <w:szCs w:val="24"/>
          <w:u w:val="single"/>
          <w:lang w:val="en-US" w:eastAsia="zh-CN"/>
        </w:rPr>
        <w:t>供应商</w:t>
      </w:r>
      <w:r>
        <w:rPr>
          <w:rFonts w:hint="eastAsia" w:ascii="宋体" w:hAnsi="宋体" w:eastAsia="宋体" w:cs="宋体"/>
          <w:b/>
          <w:color w:val="auto"/>
          <w:sz w:val="24"/>
          <w:szCs w:val="24"/>
          <w:u w:val="single"/>
        </w:rPr>
        <w:t>的磋商保证金，将在招标代理机构收到</w:t>
      </w:r>
      <w:r>
        <w:rPr>
          <w:rFonts w:hint="eastAsia" w:ascii="宋体" w:hAnsi="宋体" w:eastAsia="宋体" w:cs="宋体"/>
          <w:b/>
          <w:color w:val="auto"/>
          <w:sz w:val="24"/>
          <w:szCs w:val="24"/>
          <w:u w:val="single"/>
          <w:lang w:val="en-US" w:eastAsia="zh-CN"/>
        </w:rPr>
        <w:t>供应商</w:t>
      </w:r>
      <w:r>
        <w:rPr>
          <w:rFonts w:hint="eastAsia" w:ascii="宋体" w:hAnsi="宋体" w:eastAsia="宋体" w:cs="宋体"/>
          <w:b/>
          <w:color w:val="auto"/>
          <w:sz w:val="24"/>
          <w:szCs w:val="24"/>
          <w:u w:val="single"/>
        </w:rPr>
        <w:t>书面撤回通知之日起5个工作日内退还。</w:t>
      </w:r>
    </w:p>
    <w:p w14:paraId="3EFE231E">
      <w:pPr>
        <w:shd w:val="clear"/>
        <w:spacing w:line="48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u w:val="single"/>
        </w:rPr>
        <w:t>所有未成交人的磋商保证金，将在成交通知书发出后5个工作日内退还。</w:t>
      </w:r>
    </w:p>
    <w:p w14:paraId="5013822C">
      <w:pPr>
        <w:shd w:val="clear"/>
        <w:spacing w:line="480" w:lineRule="exact"/>
        <w:ind w:firstLine="482" w:firstLineChars="200"/>
        <w:rPr>
          <w:rFonts w:hint="eastAsia" w:ascii="宋体" w:hAnsi="宋体" w:eastAsia="宋体" w:cs="宋体"/>
          <w:b/>
          <w:color w:val="auto"/>
          <w:spacing w:val="-4"/>
          <w:sz w:val="24"/>
          <w:szCs w:val="24"/>
          <w:u w:val="single"/>
        </w:rPr>
      </w:pPr>
      <w:r>
        <w:rPr>
          <w:rFonts w:hint="eastAsia" w:ascii="宋体" w:hAnsi="宋体" w:eastAsia="宋体" w:cs="宋体"/>
          <w:b/>
          <w:color w:val="auto"/>
          <w:sz w:val="24"/>
          <w:szCs w:val="24"/>
        </w:rPr>
        <w:t>（3）</w:t>
      </w:r>
      <w:r>
        <w:rPr>
          <w:rFonts w:hint="eastAsia" w:ascii="宋体" w:hAnsi="宋体" w:eastAsia="宋体" w:cs="宋体"/>
          <w:b/>
          <w:color w:val="auto"/>
          <w:spacing w:val="-4"/>
          <w:sz w:val="24"/>
          <w:szCs w:val="24"/>
          <w:u w:val="single"/>
        </w:rPr>
        <w:t>成交的</w:t>
      </w:r>
      <w:r>
        <w:rPr>
          <w:rFonts w:hint="eastAsia" w:ascii="宋体" w:hAnsi="宋体" w:eastAsia="宋体" w:cs="宋体"/>
          <w:b/>
          <w:color w:val="auto"/>
          <w:spacing w:val="-4"/>
          <w:sz w:val="24"/>
          <w:szCs w:val="24"/>
          <w:u w:val="single"/>
          <w:lang w:val="en-US" w:eastAsia="zh-CN"/>
        </w:rPr>
        <w:t>供应商</w:t>
      </w:r>
      <w:r>
        <w:rPr>
          <w:rFonts w:hint="eastAsia" w:ascii="宋体" w:hAnsi="宋体" w:eastAsia="宋体" w:cs="宋体"/>
          <w:b/>
          <w:color w:val="auto"/>
          <w:spacing w:val="-4"/>
          <w:sz w:val="24"/>
          <w:szCs w:val="24"/>
          <w:u w:val="single"/>
        </w:rPr>
        <w:t>的磋商保证金在签订合同后，执合同予以</w:t>
      </w:r>
      <w:r>
        <w:rPr>
          <w:rFonts w:hint="eastAsia" w:ascii="宋体" w:hAnsi="宋体" w:eastAsia="宋体" w:cs="宋体"/>
          <w:b/>
          <w:color w:val="auto"/>
          <w:sz w:val="24"/>
          <w:szCs w:val="24"/>
          <w:u w:val="single"/>
        </w:rPr>
        <w:t>5个工作日内</w:t>
      </w:r>
      <w:r>
        <w:rPr>
          <w:rFonts w:hint="eastAsia" w:ascii="宋体" w:hAnsi="宋体" w:eastAsia="宋体" w:cs="宋体"/>
          <w:b/>
          <w:color w:val="auto"/>
          <w:spacing w:val="-4"/>
          <w:sz w:val="24"/>
          <w:szCs w:val="24"/>
          <w:u w:val="single"/>
        </w:rPr>
        <w:t>退还。</w:t>
      </w:r>
    </w:p>
    <w:p w14:paraId="3154D0C5">
      <w:pPr>
        <w:shd w:val="clear"/>
        <w:tabs>
          <w:tab w:val="left" w:pos="2700"/>
        </w:tabs>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、如磋商发生下列情况之一时，磋商保证金将不予退还：</w:t>
      </w:r>
    </w:p>
    <w:p w14:paraId="31E0D2AA">
      <w:pPr>
        <w:shd w:val="clear"/>
        <w:tabs>
          <w:tab w:val="left" w:pos="2700"/>
        </w:tabs>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w:t>
      </w:r>
      <w:r>
        <w:rPr>
          <w:rFonts w:hint="eastAsia" w:ascii="宋体" w:hAnsi="宋体" w:eastAsia="宋体" w:cs="宋体"/>
          <w:color w:val="auto"/>
          <w:sz w:val="24"/>
          <w:szCs w:val="24"/>
          <w:u w:val="single"/>
          <w:lang w:val="en-US" w:eastAsia="zh-CN"/>
        </w:rPr>
        <w:t>供应商</w:t>
      </w:r>
      <w:r>
        <w:rPr>
          <w:rFonts w:hint="eastAsia" w:ascii="宋体" w:hAnsi="宋体" w:eastAsia="宋体" w:cs="宋体"/>
          <w:color w:val="auto"/>
          <w:sz w:val="24"/>
          <w:szCs w:val="24"/>
          <w:u w:val="single"/>
        </w:rPr>
        <w:t>提供虚假资质谋取成交的；</w:t>
      </w:r>
    </w:p>
    <w:p w14:paraId="772B14B6">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w:t>
      </w:r>
      <w:r>
        <w:rPr>
          <w:rFonts w:hint="eastAsia" w:ascii="宋体" w:hAnsi="宋体" w:eastAsia="宋体" w:cs="宋体"/>
          <w:color w:val="auto"/>
          <w:sz w:val="24"/>
          <w:szCs w:val="24"/>
          <w:u w:val="single"/>
          <w:lang w:val="en-US" w:eastAsia="zh-CN"/>
        </w:rPr>
        <w:t>供应商</w:t>
      </w:r>
      <w:r>
        <w:rPr>
          <w:rFonts w:hint="eastAsia" w:ascii="宋体" w:hAnsi="宋体" w:eastAsia="宋体" w:cs="宋体"/>
          <w:color w:val="auto"/>
          <w:sz w:val="24"/>
          <w:szCs w:val="24"/>
          <w:u w:val="single"/>
        </w:rPr>
        <w:t>有围标、串标现象，经查证属实的；</w:t>
      </w:r>
    </w:p>
    <w:p w14:paraId="2CFE356E">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w:t>
      </w:r>
      <w:r>
        <w:rPr>
          <w:rFonts w:hint="eastAsia" w:ascii="宋体" w:hAnsi="宋体" w:eastAsia="宋体" w:cs="宋体"/>
          <w:color w:val="auto"/>
          <w:sz w:val="24"/>
          <w:szCs w:val="24"/>
          <w:u w:val="single"/>
          <w:lang w:val="en-US" w:eastAsia="zh-CN"/>
        </w:rPr>
        <w:t>供应商</w:t>
      </w:r>
      <w:r>
        <w:rPr>
          <w:rFonts w:hint="eastAsia" w:ascii="宋体" w:hAnsi="宋体" w:eastAsia="宋体" w:cs="宋体"/>
          <w:color w:val="auto"/>
          <w:sz w:val="24"/>
          <w:szCs w:val="24"/>
          <w:u w:val="single"/>
        </w:rPr>
        <w:t>在竞争性磋商文件规定的磋商响应有效期内撤回磋商响应文件的；</w:t>
      </w:r>
    </w:p>
    <w:p w14:paraId="0129FC10">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-4、</w:t>
      </w:r>
      <w:r>
        <w:rPr>
          <w:rFonts w:hint="eastAsia" w:ascii="宋体" w:hAnsi="宋体" w:eastAsia="宋体" w:cs="宋体"/>
          <w:color w:val="auto"/>
          <w:sz w:val="24"/>
          <w:szCs w:val="24"/>
          <w:u w:val="single"/>
          <w:lang w:val="en-US" w:eastAsia="zh-CN"/>
        </w:rPr>
        <w:t>供应商</w:t>
      </w:r>
      <w:r>
        <w:rPr>
          <w:rFonts w:hint="eastAsia" w:ascii="宋体" w:hAnsi="宋体" w:eastAsia="宋体" w:cs="宋体"/>
          <w:color w:val="auto"/>
          <w:sz w:val="24"/>
          <w:szCs w:val="24"/>
          <w:u w:val="single"/>
        </w:rPr>
        <w:t>自行放弃磋商资格而未在磋商会议前一个工作日内以书面形式告知招标代理机构的；</w:t>
      </w:r>
    </w:p>
    <w:p w14:paraId="14BB1B32">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-5、</w:t>
      </w:r>
      <w:r>
        <w:rPr>
          <w:rFonts w:hint="eastAsia" w:ascii="宋体" w:hAnsi="宋体" w:eastAsia="宋体" w:cs="宋体"/>
          <w:color w:val="auto"/>
          <w:sz w:val="24"/>
          <w:szCs w:val="24"/>
          <w:u w:val="single"/>
          <w:lang w:val="en-US" w:eastAsia="zh-CN"/>
        </w:rPr>
        <w:t>供应商</w:t>
      </w:r>
      <w:r>
        <w:rPr>
          <w:rFonts w:hint="eastAsia" w:ascii="宋体" w:hAnsi="宋体" w:eastAsia="宋体" w:cs="宋体"/>
          <w:color w:val="auto"/>
          <w:sz w:val="24"/>
          <w:szCs w:val="24"/>
          <w:u w:val="single"/>
        </w:rPr>
        <w:t>自行放弃成交资格的；</w:t>
      </w:r>
    </w:p>
    <w:p w14:paraId="11B9AD98">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-6、</w:t>
      </w:r>
      <w:r>
        <w:rPr>
          <w:rFonts w:hint="eastAsia" w:ascii="宋体" w:hAnsi="宋体" w:eastAsia="宋体" w:cs="宋体"/>
          <w:color w:val="auto"/>
          <w:sz w:val="24"/>
          <w:szCs w:val="24"/>
          <w:u w:val="single"/>
        </w:rPr>
        <w:t>成交人不在规定的时效内领取《成交通知书》的；</w:t>
      </w:r>
    </w:p>
    <w:p w14:paraId="18F0E091">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-7、</w:t>
      </w:r>
      <w:r>
        <w:rPr>
          <w:rFonts w:hint="eastAsia" w:ascii="宋体" w:hAnsi="宋体" w:eastAsia="宋体" w:cs="宋体"/>
          <w:color w:val="auto"/>
          <w:sz w:val="24"/>
          <w:szCs w:val="24"/>
          <w:u w:val="single"/>
        </w:rPr>
        <w:t>成交人不按规定支付招标服务费的；</w:t>
      </w:r>
    </w:p>
    <w:p w14:paraId="20931617">
      <w:pPr>
        <w:shd w:val="clear"/>
        <w:spacing w:line="4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-8、</w:t>
      </w:r>
      <w:r>
        <w:rPr>
          <w:rFonts w:hint="eastAsia" w:ascii="宋体" w:hAnsi="宋体" w:eastAsia="宋体" w:cs="宋体"/>
          <w:color w:val="auto"/>
          <w:sz w:val="24"/>
          <w:szCs w:val="24"/>
          <w:u w:val="single"/>
        </w:rPr>
        <w:t>成交人因自身原因未能在规定期限内与招标人签订合同的。</w:t>
      </w:r>
    </w:p>
    <w:p w14:paraId="5B12F870">
      <w:pPr>
        <w:shd w:val="clear"/>
        <w:spacing w:line="480" w:lineRule="exact"/>
        <w:ind w:firstLine="480" w:firstLineChars="200"/>
        <w:rPr>
          <w:rFonts w:hint="eastAsia" w:ascii="宋体" w:hAnsi="宋体" w:eastAsia="宋体" w:cs="宋体"/>
        </w:rPr>
      </w:pPr>
      <w:r>
        <w:rPr>
          <w:rFonts w:hint="eastAsia" w:ascii="宋体" w:hAnsi="宋体" w:eastAsia="宋体" w:cs="宋体"/>
          <w:color w:val="auto"/>
          <w:sz w:val="24"/>
          <w:szCs w:val="24"/>
          <w:lang w:val="en-US" w:eastAsia="zh-CN"/>
        </w:rPr>
        <w:t>6-9、供应商无故不参加磋商活动的。</w:t>
      </w:r>
    </w:p>
    <w:p w14:paraId="6BE8895E">
      <w:pPr>
        <w:pStyle w:val="3"/>
        <w:shd w:val="clear"/>
        <w:spacing w:before="0" w:after="0" w:line="48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六、磋商响应</w:t>
      </w:r>
      <w:bookmarkEnd w:id="17"/>
      <w:bookmarkEnd w:id="18"/>
      <w:bookmarkEnd w:id="19"/>
      <w:bookmarkEnd w:id="20"/>
    </w:p>
    <w:p w14:paraId="66AC8C3D">
      <w:pPr>
        <w:shd w:val="clea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1、磋商响应文件的提交：</w:t>
      </w:r>
    </w:p>
    <w:p w14:paraId="107F97FD">
      <w:pPr>
        <w:shd w:val="clea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rPr>
        <w:t>应在磋商截止时间前将响应文件</w:t>
      </w:r>
      <w:r>
        <w:rPr>
          <w:rFonts w:hint="eastAsia" w:ascii="宋体" w:hAnsi="宋体" w:eastAsia="宋体" w:cs="宋体"/>
          <w:color w:val="auto"/>
          <w:sz w:val="24"/>
          <w:szCs w:val="24"/>
          <w:lang w:eastAsia="zh-CN"/>
        </w:rPr>
        <w:t>上传</w:t>
      </w:r>
      <w:r>
        <w:rPr>
          <w:rFonts w:hint="eastAsia" w:ascii="宋体" w:hAnsi="宋体" w:eastAsia="宋体" w:cs="宋体"/>
          <w:color w:val="auto"/>
          <w:sz w:val="24"/>
          <w:szCs w:val="24"/>
        </w:rPr>
        <w:t>至</w:t>
      </w:r>
      <w:r>
        <w:rPr>
          <w:rFonts w:hint="eastAsia" w:ascii="宋体" w:hAnsi="宋体" w:eastAsia="宋体" w:cs="宋体"/>
          <w:color w:val="auto"/>
          <w:sz w:val="24"/>
          <w:szCs w:val="24"/>
          <w:lang w:eastAsia="zh-CN"/>
        </w:rPr>
        <w:t>交易平台</w:t>
      </w:r>
      <w:r>
        <w:rPr>
          <w:rFonts w:hint="eastAsia" w:ascii="宋体" w:hAnsi="宋体" w:eastAsia="宋体" w:cs="宋体"/>
          <w:color w:val="auto"/>
          <w:sz w:val="24"/>
          <w:szCs w:val="24"/>
        </w:rPr>
        <w:t>；</w:t>
      </w:r>
    </w:p>
    <w:p w14:paraId="11411738">
      <w:pPr>
        <w:shd w:val="clear"/>
        <w:spacing w:line="48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1-2、磋商</w:t>
      </w:r>
      <w:r>
        <w:rPr>
          <w:rFonts w:hint="eastAsia" w:ascii="宋体" w:hAnsi="宋体" w:eastAsia="宋体" w:cs="宋体"/>
          <w:color w:val="auto"/>
          <w:sz w:val="24"/>
          <w:szCs w:val="24"/>
          <w:lang w:val="zh-CN" w:eastAsia="zh-CN"/>
        </w:rPr>
        <w:t>响应文件可于提交磋商响应文件截止时间前任意时段登录全国公共资源交易平台 （</w:t>
      </w:r>
      <w:r>
        <w:rPr>
          <w:rFonts w:hint="eastAsia" w:ascii="宋体" w:hAnsi="宋体" w:eastAsia="宋体" w:cs="宋体"/>
          <w:color w:val="auto"/>
          <w:sz w:val="24"/>
          <w:szCs w:val="24"/>
          <w:lang w:val="en-US" w:eastAsia="zh-CN"/>
        </w:rPr>
        <w:t>陕西省·宝鸡市</w:t>
      </w:r>
      <w:r>
        <w:rPr>
          <w:rFonts w:hint="eastAsia" w:ascii="宋体" w:hAnsi="宋体" w:eastAsia="宋体" w:cs="宋体"/>
          <w:color w:val="auto"/>
          <w:sz w:val="24"/>
          <w:szCs w:val="24"/>
          <w:lang w:val="zh-CN" w:eastAsia="zh-CN"/>
        </w:rPr>
        <w:t>）网站[电子交易平台-企业端]进行提交，逾期系统将拒绝接收。提交时，</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lang w:val="zh-CN" w:eastAsia="zh-CN"/>
        </w:rPr>
        <w:t>应登录全国公共资源交易中心平台（陕西省</w:t>
      </w:r>
      <w:r>
        <w:rPr>
          <w:rFonts w:hint="eastAsia" w:ascii="宋体" w:hAnsi="宋体" w:eastAsia="宋体" w:cs="宋体"/>
          <w:color w:val="auto"/>
          <w:sz w:val="24"/>
          <w:szCs w:val="24"/>
          <w:lang w:val="en-US" w:eastAsia="zh-CN"/>
        </w:rPr>
        <w:t>.宝鸡市</w:t>
      </w:r>
      <w:r>
        <w:rPr>
          <w:rFonts w:hint="eastAsia" w:ascii="宋体" w:hAnsi="宋体" w:eastAsia="宋体" w:cs="宋体"/>
          <w:color w:val="auto"/>
          <w:sz w:val="24"/>
          <w:szCs w:val="24"/>
          <w:lang w:val="zh-CN" w:eastAsia="zh-CN"/>
        </w:rPr>
        <w:t>），选择[“首页&gt;电子交易平台&gt;企业端&gt;我的项目]”，点击[项目流程]，在打开的[项目管理]对话框中选择[上传响应文件]，上传加密的电子响应文件（*.SXSTF），上传成功后，电子化平台将予以记录。逾期上传的将被拒绝接收。</w:t>
      </w:r>
    </w:p>
    <w:p w14:paraId="7A89BA9E">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竞争性磋商</w:t>
      </w:r>
      <w:r>
        <w:rPr>
          <w:rFonts w:hint="eastAsia" w:ascii="宋体" w:hAnsi="宋体" w:eastAsia="宋体" w:cs="宋体"/>
          <w:color w:val="auto"/>
          <w:sz w:val="24"/>
          <w:szCs w:val="24"/>
          <w:highlight w:val="none"/>
        </w:rPr>
        <w:t>响应文件的补充、修改与撤回：</w:t>
      </w:r>
    </w:p>
    <w:p w14:paraId="1AE07311">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rPr>
        <w:t>在</w:t>
      </w:r>
      <w:r>
        <w:rPr>
          <w:rFonts w:hint="eastAsia" w:ascii="宋体" w:hAnsi="宋体" w:eastAsia="宋体" w:cs="宋体"/>
          <w:color w:val="auto"/>
          <w:sz w:val="24"/>
          <w:szCs w:val="24"/>
          <w:lang w:val="en-US" w:eastAsia="zh-CN"/>
        </w:rPr>
        <w:t>提交</w:t>
      </w:r>
      <w:r>
        <w:rPr>
          <w:rFonts w:hint="eastAsia" w:ascii="宋体" w:hAnsi="宋体" w:eastAsia="宋体" w:cs="宋体"/>
          <w:color w:val="auto"/>
          <w:sz w:val="24"/>
          <w:szCs w:val="24"/>
        </w:rPr>
        <w:t>响应文件后，磋商截止时间前，可以修改或撤回其响应文件，并在规定的磋商截止期之前，将修改或撤回的响应文件</w:t>
      </w:r>
      <w:r>
        <w:rPr>
          <w:rFonts w:hint="eastAsia" w:ascii="宋体" w:hAnsi="宋体" w:eastAsia="宋体" w:cs="宋体"/>
          <w:color w:val="auto"/>
          <w:sz w:val="24"/>
          <w:szCs w:val="24"/>
          <w:lang w:eastAsia="zh-CN"/>
        </w:rPr>
        <w:t>上传</w:t>
      </w:r>
      <w:r>
        <w:rPr>
          <w:rFonts w:hint="eastAsia" w:ascii="宋体" w:hAnsi="宋体" w:eastAsia="宋体" w:cs="宋体"/>
          <w:color w:val="auto"/>
          <w:sz w:val="24"/>
          <w:szCs w:val="24"/>
        </w:rPr>
        <w:t>到</w:t>
      </w:r>
      <w:r>
        <w:rPr>
          <w:rFonts w:hint="eastAsia" w:ascii="宋体" w:hAnsi="宋体" w:eastAsia="宋体" w:cs="宋体"/>
          <w:color w:val="auto"/>
          <w:sz w:val="24"/>
          <w:szCs w:val="24"/>
          <w:lang w:eastAsia="zh-CN"/>
        </w:rPr>
        <w:t>交易平台，逾期递交的响应文件将不予受理</w:t>
      </w:r>
      <w:r>
        <w:rPr>
          <w:rFonts w:hint="eastAsia" w:ascii="宋体" w:hAnsi="宋体" w:eastAsia="宋体" w:cs="宋体"/>
          <w:color w:val="auto"/>
          <w:sz w:val="24"/>
          <w:szCs w:val="24"/>
        </w:rPr>
        <w:t>。</w:t>
      </w:r>
    </w:p>
    <w:p w14:paraId="1CA9681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、磋商截止时间之后，供应商不得补充、修改竞争性磋商响应文件；</w:t>
      </w:r>
    </w:p>
    <w:p w14:paraId="5C1FFFB3">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、在磋商截止时间至磋商响应有效期满之前，供应商不得撤回其竞争性磋商响应文件，否则其磋商保证金将不予退还，提供磋商担保的供应商将由专业担保机构先行偿付采购人损失。</w:t>
      </w:r>
    </w:p>
    <w:p w14:paraId="68BA41BA">
      <w:pPr>
        <w:shd w:val="clea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、竞争性磋商响应有效期：</w:t>
      </w:r>
    </w:p>
    <w:p w14:paraId="57D237B2">
      <w:pPr>
        <w:pStyle w:val="45"/>
        <w:shd w:val="clear"/>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3-1、自提交磋商响应文件的截止之日起90个日历日。竞争性磋商响应有效期短于竞争性磋商文件规定的磋商响应有效期，按无效竞争性磋商响应处理。成交单位的竞争性磋商有效期延长至合同执行完毕。</w:t>
      </w:r>
    </w:p>
    <w:p w14:paraId="4223AC84">
      <w:pPr>
        <w:pStyle w:val="45"/>
        <w:shd w:val="clear"/>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在原有有效期结束前，采购代理机构可要求供应商延长竞争性磋商响应有效期。拒绝延长有效期的供应商有权收回磋商保证金，但不得参与该项目后续采购活动。同意延长有效期的供应商应相应延长磋商担保的有效期，但不得修改竞争性磋商响应文件的实质性内容。 </w:t>
      </w:r>
    </w:p>
    <w:p w14:paraId="6E4EC41D">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rPr>
        <w:t>4、供应商</w:t>
      </w:r>
      <w:r>
        <w:rPr>
          <w:rFonts w:hint="eastAsia" w:ascii="宋体" w:hAnsi="宋体" w:eastAsia="宋体" w:cs="宋体"/>
          <w:color w:val="auto"/>
          <w:kern w:val="2"/>
          <w:sz w:val="24"/>
          <w:szCs w:val="24"/>
          <w:highlight w:val="none"/>
        </w:rPr>
        <w:t>有下列情形之一的，属于恶意串通，对其依照《中华人民共和国政府采购法》第七十七条第一款的规定追究法律责任，响应无效：</w:t>
      </w:r>
    </w:p>
    <w:p w14:paraId="18C40A2B">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4-1、供应商直接或者间接从采购人或采购代理机构处获得其他供应商的相关情况并修改其磋商响应文件；</w:t>
      </w:r>
    </w:p>
    <w:p w14:paraId="35144C2F">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4-2、供应商按照采购人或采购代理机构的授意撤换、修改磋商响应文件；</w:t>
      </w:r>
    </w:p>
    <w:p w14:paraId="4A08A7EC">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4-3、供应商之间协商报价、技术方案等磋商响应文件的实质性内容；</w:t>
      </w:r>
    </w:p>
    <w:p w14:paraId="3C7F2640">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4-4、属于同一集团、协会、商会等组织成员的供应商按照该组织要求协同参加政府采购活动；</w:t>
      </w:r>
    </w:p>
    <w:p w14:paraId="24C7A0C9">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4-5、供应商之间事先约定由某一特定供应商成交；</w:t>
      </w:r>
    </w:p>
    <w:p w14:paraId="5DFFD59D">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4-6、供应商之间商定部分供应商放弃参加政府采购活动或放弃成交；</w:t>
      </w:r>
    </w:p>
    <w:p w14:paraId="6BDF9DD6">
      <w:pPr>
        <w:pStyle w:val="45"/>
        <w:shd w:val="clear"/>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4-7、供应商相互之间，为谋求特定供应商成交或排斥其他供应商的其他串通行为。</w:t>
      </w:r>
    </w:p>
    <w:p w14:paraId="09AF576F">
      <w:pPr>
        <w:pStyle w:val="45"/>
        <w:shd w:val="clear"/>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5、有下列情形之一的，视为供应商串通磋商，其响应无效：</w:t>
      </w:r>
    </w:p>
    <w:p w14:paraId="4F6FBC0C">
      <w:pPr>
        <w:pStyle w:val="45"/>
        <w:shd w:val="clear"/>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5-1、不同供应商的磋商响应文件由同一单位或者个人编制；</w:t>
      </w:r>
    </w:p>
    <w:p w14:paraId="07E64407">
      <w:pPr>
        <w:pStyle w:val="45"/>
        <w:shd w:val="clear"/>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5-2、不同供应商委托同一单位或者个人办理磋商事宜；</w:t>
      </w:r>
    </w:p>
    <w:p w14:paraId="5CED6D38">
      <w:pPr>
        <w:pStyle w:val="45"/>
        <w:shd w:val="clear"/>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5-3、不同供应商的磋商响应文件载明的项目管理成员或者联系人为同一人；</w:t>
      </w:r>
    </w:p>
    <w:p w14:paraId="20B6EA5B">
      <w:pPr>
        <w:pStyle w:val="45"/>
        <w:shd w:val="clear"/>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5-4、不同供应商的磋商响应文件异常一致或者磋商报价呈现规律性差异；</w:t>
      </w:r>
    </w:p>
    <w:p w14:paraId="4931467A">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lang w:val="en-US" w:eastAsia="zh-CN"/>
        </w:rPr>
        <w:t>不同供应商的磋商保证金从同一单位或者个人的账户转出。</w:t>
      </w:r>
      <w:bookmarkStart w:id="21" w:name="_Toc458848971"/>
      <w:bookmarkStart w:id="22" w:name="_Toc458848738"/>
      <w:bookmarkStart w:id="23" w:name="_Toc458848823"/>
      <w:bookmarkStart w:id="24" w:name="_Toc7453877"/>
    </w:p>
    <w:p w14:paraId="54B67FFB">
      <w:pPr>
        <w:shd w:val="clear"/>
        <w:spacing w:line="480" w:lineRule="exact"/>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七、磋商</w:t>
      </w:r>
      <w:bookmarkEnd w:id="21"/>
      <w:bookmarkEnd w:id="22"/>
      <w:bookmarkEnd w:id="23"/>
      <w:r>
        <w:rPr>
          <w:rFonts w:hint="eastAsia" w:ascii="宋体" w:hAnsi="宋体" w:eastAsia="宋体" w:cs="宋体"/>
          <w:b/>
          <w:bCs/>
          <w:color w:val="auto"/>
          <w:kern w:val="0"/>
          <w:sz w:val="24"/>
          <w:szCs w:val="24"/>
          <w:highlight w:val="none"/>
        </w:rPr>
        <w:t>、评审及定标</w:t>
      </w:r>
      <w:bookmarkEnd w:id="24"/>
    </w:p>
    <w:p w14:paraId="48330388">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1、磋商</w:t>
      </w:r>
    </w:p>
    <w:p w14:paraId="6D564286">
      <w:pPr>
        <w:shd w:val="clear"/>
        <w:spacing w:line="44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1-1、采购代理机构按竞争性磋商文件规定的时间、地点组织磋商。所有</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kern w:val="2"/>
          <w:sz w:val="24"/>
          <w:szCs w:val="24"/>
          <w:lang w:val="en-US" w:eastAsia="zh-CN" w:bidi="ar-SA"/>
        </w:rPr>
        <w:t>应按时参加磋商会议。</w:t>
      </w:r>
    </w:p>
    <w:p w14:paraId="7D8DE28D">
      <w:pPr>
        <w:shd w:val="clear"/>
        <w:spacing w:line="44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1-2、磋商会议由采购代理机构主持。</w:t>
      </w:r>
      <w:r>
        <w:rPr>
          <w:rFonts w:hint="eastAsia" w:ascii="宋体" w:hAnsi="宋体" w:eastAsia="宋体" w:cs="宋体"/>
          <w:color w:val="auto"/>
          <w:kern w:val="2"/>
          <w:sz w:val="24"/>
          <w:szCs w:val="24"/>
          <w:lang w:val="zh-CN" w:eastAsia="zh-CN" w:bidi="ar-SA"/>
        </w:rPr>
        <w:t>采购人、</w:t>
      </w:r>
      <w:r>
        <w:rPr>
          <w:rFonts w:hint="eastAsia" w:ascii="宋体" w:hAnsi="宋体" w:eastAsia="宋体" w:cs="宋体"/>
          <w:color w:val="auto"/>
          <w:kern w:val="2"/>
          <w:sz w:val="24"/>
          <w:szCs w:val="24"/>
          <w:lang w:val="en-US" w:eastAsia="zh-CN" w:bidi="ar-SA"/>
        </w:rPr>
        <w:t>供应商（线上）</w:t>
      </w:r>
      <w:r>
        <w:rPr>
          <w:rFonts w:hint="eastAsia" w:ascii="宋体" w:hAnsi="宋体" w:eastAsia="宋体" w:cs="宋体"/>
          <w:color w:val="auto"/>
          <w:kern w:val="2"/>
          <w:sz w:val="24"/>
          <w:szCs w:val="24"/>
          <w:lang w:val="zh-CN" w:eastAsia="zh-CN" w:bidi="ar-SA"/>
        </w:rPr>
        <w:t>和有关方面代表参加</w:t>
      </w:r>
      <w:r>
        <w:rPr>
          <w:rFonts w:hint="eastAsia" w:ascii="宋体" w:hAnsi="宋体" w:eastAsia="宋体" w:cs="宋体"/>
          <w:color w:val="auto"/>
          <w:kern w:val="2"/>
          <w:sz w:val="24"/>
          <w:szCs w:val="24"/>
          <w:lang w:val="en-US" w:eastAsia="zh-CN" w:bidi="ar-SA"/>
        </w:rPr>
        <w:t>。</w:t>
      </w:r>
    </w:p>
    <w:p w14:paraId="4CDAD50E">
      <w:pPr>
        <w:pStyle w:val="45"/>
        <w:shd w:val="clear"/>
        <w:spacing w:line="480" w:lineRule="exact"/>
        <w:ind w:firstLine="48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1-3、开标程序</w:t>
      </w:r>
    </w:p>
    <w:p w14:paraId="2284D9C8">
      <w:pPr>
        <w:pStyle w:val="45"/>
        <w:shd w:val="clear"/>
        <w:spacing w:line="480" w:lineRule="exact"/>
        <w:ind w:firstLine="480"/>
        <w:rPr>
          <w:rFonts w:hint="eastAsia" w:ascii="宋体" w:hAnsi="宋体" w:eastAsia="宋体" w:cs="宋体"/>
          <w:color w:val="auto"/>
          <w:kern w:val="2"/>
          <w:sz w:val="15"/>
          <w:szCs w:val="15"/>
          <w:highlight w:val="none"/>
        </w:rPr>
      </w:pPr>
      <w:r>
        <w:rPr>
          <w:rFonts w:hint="eastAsia" w:ascii="宋体" w:hAnsi="宋体" w:eastAsia="宋体" w:cs="宋体"/>
          <w:color w:val="auto"/>
          <w:kern w:val="2"/>
          <w:sz w:val="24"/>
          <w:szCs w:val="24"/>
          <w:highlight w:val="none"/>
          <w:lang w:val="en-US" w:eastAsia="zh-CN"/>
        </w:rPr>
        <w:t>（1）本项目采用</w:t>
      </w:r>
      <w:r>
        <w:rPr>
          <w:rFonts w:hint="eastAsia" w:ascii="宋体" w:hAnsi="宋体" w:eastAsia="宋体" w:cs="宋体"/>
          <w:color w:val="auto"/>
          <w:kern w:val="2"/>
          <w:sz w:val="24"/>
          <w:szCs w:val="24"/>
          <w:highlight w:val="none"/>
        </w:rPr>
        <w:t>“不见面开标”</w:t>
      </w:r>
      <w:r>
        <w:rPr>
          <w:rFonts w:hint="eastAsia" w:ascii="宋体" w:hAnsi="宋体" w:eastAsia="宋体" w:cs="宋体"/>
          <w:color w:val="auto"/>
          <w:kern w:val="2"/>
          <w:sz w:val="24"/>
          <w:szCs w:val="24"/>
          <w:highlight w:val="none"/>
          <w:lang w:eastAsia="zh-CN"/>
        </w:rPr>
        <w:t>，</w:t>
      </w:r>
      <w:r>
        <w:rPr>
          <w:rFonts w:hint="eastAsia" w:ascii="宋体" w:hAnsi="宋体" w:eastAsia="宋体" w:cs="宋体"/>
          <w:b/>
          <w:bCs/>
          <w:color w:val="auto"/>
          <w:kern w:val="2"/>
          <w:sz w:val="24"/>
          <w:szCs w:val="24"/>
          <w:highlight w:val="none"/>
        </w:rPr>
        <w:t>“不见面开标”</w:t>
      </w:r>
      <w:r>
        <w:rPr>
          <w:rFonts w:hint="eastAsia" w:ascii="宋体" w:hAnsi="宋体" w:eastAsia="宋体" w:cs="宋体"/>
          <w:color w:val="auto"/>
          <w:kern w:val="2"/>
          <w:sz w:val="24"/>
          <w:szCs w:val="24"/>
          <w:highlight w:val="none"/>
        </w:rPr>
        <w:t>系统操作说明详见全国公共资源交易平台（陕西省·</w:t>
      </w:r>
      <w:r>
        <w:rPr>
          <w:rFonts w:hint="eastAsia" w:ascii="宋体" w:hAnsi="宋体" w:eastAsia="宋体" w:cs="宋体"/>
          <w:color w:val="auto"/>
          <w:kern w:val="2"/>
          <w:sz w:val="24"/>
          <w:szCs w:val="24"/>
          <w:highlight w:val="none"/>
          <w:lang w:val="en-US" w:eastAsia="zh-CN"/>
        </w:rPr>
        <w:t>宝鸡市</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eastAsia="zh-CN"/>
        </w:rPr>
        <w:t>宝鸡市公共资源交易中心</w:t>
      </w:r>
      <w:r>
        <w:rPr>
          <w:rFonts w:hint="eastAsia" w:ascii="宋体" w:hAnsi="宋体" w:eastAsia="宋体" w:cs="宋体"/>
          <w:color w:val="auto"/>
          <w:kern w:val="2"/>
          <w:sz w:val="24"/>
          <w:szCs w:val="24"/>
          <w:highlight w:val="none"/>
        </w:rPr>
        <w:t>〖首页·〉服务指南·〉下载专区〗中的</w:t>
      </w:r>
      <w:r>
        <w:rPr>
          <w:rFonts w:hint="eastAsia" w:ascii="宋体" w:hAnsi="宋体" w:eastAsia="宋体" w:cs="宋体"/>
          <w:b w:val="0"/>
          <w:bCs w:val="0"/>
          <w:color w:val="auto"/>
          <w:kern w:val="2"/>
          <w:sz w:val="24"/>
          <w:szCs w:val="24"/>
          <w:lang w:val="en-US" w:eastAsia="zh-CN" w:bidi="ar-SA"/>
        </w:rPr>
        <w:t>《政府采购电子交易-不见面系统操作手册</w:t>
      </w:r>
      <w:r>
        <w:rPr>
          <w:rFonts w:hint="eastAsia" w:ascii="宋体" w:hAnsi="宋体" w:eastAsia="宋体" w:cs="宋体"/>
          <w:color w:val="auto"/>
          <w:kern w:val="2"/>
          <w:sz w:val="24"/>
          <w:szCs w:val="24"/>
          <w:highlight w:val="none"/>
        </w:rPr>
        <w:t>》。链接地址：</w:t>
      </w:r>
      <w:r>
        <w:rPr>
          <w:rFonts w:hint="eastAsia" w:ascii="宋体" w:hAnsi="宋体" w:eastAsia="宋体" w:cs="宋体"/>
          <w:color w:val="auto"/>
          <w:kern w:val="2"/>
          <w:sz w:val="22"/>
          <w:szCs w:val="22"/>
          <w:highlight w:val="none"/>
        </w:rPr>
        <w:t>http://ggzy.baoji.gov.cn/fwzn/004003/20231123/d2048104-5dd1-4825-97f0-186cb8450ee5.html</w:t>
      </w:r>
    </w:p>
    <w:p w14:paraId="6F605A8E">
      <w:pPr>
        <w:shd w:val="clear"/>
        <w:spacing w:line="480" w:lineRule="exact"/>
        <w:ind w:firstLine="480" w:firstLineChars="200"/>
        <w:rPr>
          <w:rFonts w:hint="eastAsia" w:ascii="宋体" w:hAnsi="宋体" w:eastAsia="宋体" w:cs="宋体"/>
          <w:b/>
          <w:bCs/>
          <w:color w:val="auto"/>
          <w:sz w:val="24"/>
          <w:szCs w:val="24"/>
          <w:highlight w:val="none"/>
          <w:lang w:val="zh-CN" w:eastAsia="zh-CN"/>
        </w:rPr>
      </w:pPr>
      <w:r>
        <w:rPr>
          <w:rFonts w:hint="eastAsia" w:ascii="宋体" w:hAnsi="宋体" w:eastAsia="宋体" w:cs="宋体"/>
          <w:color w:val="auto"/>
          <w:sz w:val="24"/>
          <w:szCs w:val="24"/>
          <w:highlight w:val="none"/>
          <w:lang w:val="en-US" w:eastAsia="zh-CN"/>
        </w:rPr>
        <w:t>（2）磋商当日，供应商不必抵达开标现场，可通过公共资源交易不见面开标系统参加磋商会议。</w:t>
      </w:r>
      <w:r>
        <w:rPr>
          <w:rFonts w:hint="eastAsia" w:ascii="宋体" w:hAnsi="宋体" w:eastAsia="宋体" w:cs="宋体"/>
          <w:color w:val="auto"/>
          <w:sz w:val="24"/>
          <w:szCs w:val="24"/>
          <w:highlight w:val="none"/>
          <w:lang w:val="zh-CN" w:eastAsia="zh-CN"/>
        </w:rPr>
        <w:t>不见面开标大厅登录方式为：</w:t>
      </w:r>
      <w:r>
        <w:rPr>
          <w:rFonts w:hint="eastAsia" w:ascii="宋体" w:hAnsi="宋体" w:eastAsia="宋体" w:cs="宋体"/>
          <w:b/>
          <w:bCs/>
          <w:color w:val="auto"/>
          <w:sz w:val="24"/>
          <w:szCs w:val="24"/>
          <w:highlight w:val="none"/>
          <w:lang w:val="zh-CN" w:eastAsia="zh-CN"/>
        </w:rPr>
        <w:t>全国公共资源交易平台（陕西省·宝鸡市）</w:t>
      </w:r>
      <w:r>
        <w:rPr>
          <w:rFonts w:hint="eastAsia" w:ascii="宋体" w:hAnsi="宋体" w:eastAsia="宋体" w:cs="宋体"/>
          <w:b/>
          <w:bCs/>
          <w:color w:val="auto"/>
          <w:kern w:val="2"/>
          <w:sz w:val="24"/>
          <w:szCs w:val="24"/>
          <w:highlight w:val="none"/>
          <w:lang w:eastAsia="zh-CN"/>
        </w:rPr>
        <w:t>宝鸡市公共资源交易中心</w:t>
      </w:r>
      <w:r>
        <w:rPr>
          <w:rFonts w:hint="eastAsia" w:ascii="宋体" w:hAnsi="宋体" w:eastAsia="宋体" w:cs="宋体"/>
          <w:b/>
          <w:bCs/>
          <w:color w:val="auto"/>
          <w:sz w:val="24"/>
          <w:szCs w:val="24"/>
          <w:highlight w:val="none"/>
          <w:lang w:val="zh-CN" w:eastAsia="zh-CN"/>
        </w:rPr>
        <w:t>→不见面开标。</w:t>
      </w:r>
    </w:p>
    <w:p w14:paraId="298EE7B4">
      <w:pPr>
        <w:shd w:val="clear"/>
        <w:spacing w:line="44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（3）供应商应提前1小时登录远程不见面开标大厅，调试设备至正常状态，并在远程不见面开标大厅中进行远程签到。</w:t>
      </w:r>
    </w:p>
    <w:p w14:paraId="0E7EDF5C">
      <w:pPr>
        <w:shd w:val="clear"/>
        <w:spacing w:line="44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（4）开标时，供应商须使用电子响应文件加密时所用的数字认证证书（CA 锁）在规定的时间内进行远程在线解密。</w:t>
      </w:r>
    </w:p>
    <w:p w14:paraId="613F6279">
      <w:pPr>
        <w:shd w:val="clear"/>
        <w:spacing w:line="440" w:lineRule="exact"/>
        <w:ind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kern w:val="2"/>
          <w:sz w:val="24"/>
          <w:szCs w:val="24"/>
          <w:lang w:val="en-US" w:eastAsia="zh-CN" w:bidi="ar-SA"/>
        </w:rPr>
        <w:t>（5）响应文件的加密和解密应当使用同一CA锁证书，解密文件时应当使用加密电子响应文件的CA锁证书进行解密；由此导致无法解密电子响应文件造成的后果，由</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kern w:val="2"/>
          <w:sz w:val="24"/>
          <w:szCs w:val="24"/>
          <w:lang w:val="en-US" w:eastAsia="zh-CN" w:bidi="ar-SA"/>
        </w:rPr>
        <w:t>自行承担。</w:t>
      </w:r>
    </w:p>
    <w:p w14:paraId="18E036CD">
      <w:pPr>
        <w:shd w:val="clear"/>
        <w:spacing w:line="480" w:lineRule="exact"/>
        <w:ind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eastAsia="zh-CN"/>
        </w:rPr>
        <w:t>在收到主持人“开始解密”指令后，应使用“加密该</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eastAsia="zh-CN"/>
        </w:rPr>
        <w:t>文件的CA锁在线完成</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eastAsia="zh-CN"/>
        </w:rPr>
        <w:t>文件解密。除因【宝鸡市公共资源交易中心】断电、断网、系统故障及其他不可抗力等因素，导致“不见面开标”系统无法正常运行外，</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eastAsia="zh-CN"/>
        </w:rPr>
        <w:t>应在规定的解密时间内完成解密。</w:t>
      </w:r>
    </w:p>
    <w:p w14:paraId="28AE7FE4">
      <w:pPr>
        <w:shd w:val="clear"/>
        <w:spacing w:line="44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（7）线上</w:t>
      </w:r>
      <w:r>
        <w:rPr>
          <w:rFonts w:hint="eastAsia" w:ascii="宋体" w:hAnsi="宋体" w:eastAsia="宋体" w:cs="宋体"/>
          <w:color w:val="auto"/>
          <w:kern w:val="2"/>
          <w:sz w:val="24"/>
          <w:szCs w:val="24"/>
          <w:lang w:val="zh-CN" w:eastAsia="zh-CN" w:bidi="ar-SA"/>
        </w:rPr>
        <w:t>开标结束进入评审环节。</w:t>
      </w:r>
      <w:r>
        <w:rPr>
          <w:rFonts w:hint="eastAsia" w:ascii="宋体" w:hAnsi="宋体" w:eastAsia="宋体" w:cs="宋体"/>
          <w:color w:val="auto"/>
          <w:kern w:val="2"/>
          <w:sz w:val="24"/>
          <w:szCs w:val="24"/>
          <w:lang w:val="en-US" w:eastAsia="zh-CN" w:bidi="ar-SA"/>
        </w:rPr>
        <w:t>供应商</w:t>
      </w:r>
      <w:r>
        <w:rPr>
          <w:rFonts w:hint="eastAsia" w:ascii="宋体" w:hAnsi="宋体" w:eastAsia="宋体" w:cs="宋体"/>
          <w:color w:val="auto"/>
          <w:kern w:val="2"/>
          <w:sz w:val="24"/>
          <w:szCs w:val="24"/>
          <w:lang w:val="zh-CN" w:eastAsia="zh-CN" w:bidi="ar-SA"/>
        </w:rPr>
        <w:t>应保持在线因</w:t>
      </w:r>
      <w:r>
        <w:rPr>
          <w:rFonts w:hint="eastAsia" w:ascii="宋体" w:hAnsi="宋体" w:eastAsia="宋体" w:cs="宋体"/>
          <w:color w:val="auto"/>
          <w:kern w:val="2"/>
          <w:sz w:val="24"/>
          <w:szCs w:val="24"/>
          <w:lang w:val="en-US" w:eastAsia="zh-CN" w:bidi="ar-SA"/>
        </w:rPr>
        <w:t>供应</w:t>
      </w:r>
      <w:r>
        <w:rPr>
          <w:rFonts w:hint="eastAsia" w:ascii="宋体" w:hAnsi="宋体" w:eastAsia="宋体" w:cs="宋体"/>
          <w:color w:val="auto"/>
          <w:kern w:val="2"/>
          <w:sz w:val="24"/>
          <w:szCs w:val="24"/>
          <w:lang w:val="zh-CN" w:eastAsia="zh-CN" w:bidi="ar-SA"/>
        </w:rPr>
        <w:t>擅自离席造成的不利后果，由</w:t>
      </w:r>
      <w:r>
        <w:rPr>
          <w:rFonts w:hint="eastAsia" w:ascii="宋体" w:hAnsi="宋体" w:eastAsia="宋体" w:cs="宋体"/>
          <w:color w:val="auto"/>
          <w:kern w:val="2"/>
          <w:sz w:val="24"/>
          <w:szCs w:val="24"/>
          <w:lang w:val="en-US" w:eastAsia="zh-CN" w:bidi="ar-SA"/>
        </w:rPr>
        <w:t>供应商</w:t>
      </w:r>
      <w:r>
        <w:rPr>
          <w:rFonts w:hint="eastAsia" w:ascii="宋体" w:hAnsi="宋体" w:eastAsia="宋体" w:cs="宋体"/>
          <w:color w:val="auto"/>
          <w:kern w:val="2"/>
          <w:sz w:val="24"/>
          <w:szCs w:val="24"/>
          <w:lang w:val="zh-CN" w:eastAsia="zh-CN" w:bidi="ar-SA"/>
        </w:rPr>
        <w:t>自行承担。</w:t>
      </w:r>
    </w:p>
    <w:p w14:paraId="3A65452A">
      <w:pPr>
        <w:shd w:val="clear"/>
        <w:spacing w:line="440" w:lineRule="exact"/>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（8）线上开标流程结束后各供应商需在不见面开标系统内等待磋商小组发起在线磋商，投标供应商收到磋商小组在线磋商通知后，点击进入询标室与磋商小组连麦进行磋商。</w:t>
      </w:r>
    </w:p>
    <w:p w14:paraId="33967B68">
      <w:pPr>
        <w:shd w:val="clear"/>
        <w:spacing w:line="440" w:lineRule="exact"/>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注：投标供应商在整个磋商过程中因退出不见面开标系统或未及时接受在线磋商通知或因自身原因导致无法正常进行磋商的，导致的不利后果由供应商自行承担。</w:t>
      </w:r>
    </w:p>
    <w:p w14:paraId="1472B190">
      <w:pPr>
        <w:numPr>
          <w:ilvl w:val="0"/>
          <w:numId w:val="2"/>
        </w:numPr>
        <w:shd w:val="clear"/>
        <w:spacing w:line="440" w:lineRule="exact"/>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磋商小组完成在线磋商后发起最后报价，投标供应商可通过“不见面开标大厅”直接跳转到二次报价页面进行报价并签章后提交。最后报价一旦提交后，供应商不得以任何理由撤回，供应商未按磋商小组要求在规定时间内提交最后报价的，视为其退出磋商。</w:t>
      </w:r>
    </w:p>
    <w:p w14:paraId="1B6113A2">
      <w:pPr>
        <w:pStyle w:val="45"/>
        <w:shd w:val="clear"/>
        <w:spacing w:line="480" w:lineRule="exact"/>
        <w:ind w:firstLine="480"/>
        <w:rPr>
          <w:rFonts w:hint="eastAsia" w:ascii="宋体" w:hAnsi="宋体" w:eastAsia="宋体" w:cs="宋体"/>
          <w:b/>
          <w:bCs/>
          <w:color w:val="auto"/>
          <w:kern w:val="2"/>
          <w:sz w:val="24"/>
          <w:szCs w:val="24"/>
          <w:lang w:val="en-US" w:eastAsia="zh-CN" w:bidi="ar-SA"/>
        </w:rPr>
      </w:pPr>
      <w:r>
        <w:rPr>
          <w:rFonts w:hint="eastAsia" w:ascii="宋体" w:hAnsi="宋体" w:eastAsia="宋体" w:cs="宋体"/>
          <w:color w:val="auto"/>
          <w:kern w:val="2"/>
          <w:sz w:val="24"/>
          <w:szCs w:val="24"/>
          <w:highlight w:val="none"/>
          <w:lang w:val="en-US" w:eastAsia="zh-CN"/>
        </w:rPr>
        <w:t>1-4、</w:t>
      </w:r>
      <w:r>
        <w:rPr>
          <w:rFonts w:hint="eastAsia" w:ascii="宋体" w:hAnsi="宋体" w:eastAsia="宋体" w:cs="宋体"/>
          <w:color w:val="auto"/>
          <w:kern w:val="2"/>
          <w:sz w:val="24"/>
          <w:szCs w:val="24"/>
          <w:highlight w:val="none"/>
        </w:rPr>
        <w:t>各</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需实时在线观看音视频直播并及时互动，</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lang w:val="zh-CN"/>
        </w:rPr>
        <w:t>代表对开标过程和开标记录有疑义，以及认为采购人、采购代理机构相关工作人员有需要回避的情形的，应当场提出询问或者回避申请。</w:t>
      </w:r>
      <w:r>
        <w:rPr>
          <w:rFonts w:hint="eastAsia" w:ascii="宋体" w:hAnsi="宋体" w:eastAsia="宋体" w:cs="宋体"/>
          <w:color w:val="auto"/>
          <w:kern w:val="2"/>
          <w:sz w:val="24"/>
          <w:szCs w:val="24"/>
          <w:highlight w:val="none"/>
        </w:rPr>
        <w:t>未按时加入系统或未在线参与互动的，视为放弃标书解密和对开评标全过程质疑、澄清、答辩的权利，并承担由此产生的</w:t>
      </w:r>
      <w:r>
        <w:rPr>
          <w:rFonts w:hint="eastAsia" w:ascii="宋体" w:hAnsi="宋体" w:eastAsia="宋体" w:cs="宋体"/>
          <w:color w:val="auto"/>
          <w:kern w:val="2"/>
          <w:sz w:val="24"/>
          <w:szCs w:val="24"/>
          <w:highlight w:val="none"/>
          <w:lang w:val="en-US" w:eastAsia="zh-CN"/>
        </w:rPr>
        <w:t>一切</w:t>
      </w:r>
      <w:r>
        <w:rPr>
          <w:rFonts w:hint="eastAsia" w:ascii="宋体" w:hAnsi="宋体" w:eastAsia="宋体" w:cs="宋体"/>
          <w:color w:val="auto"/>
          <w:kern w:val="2"/>
          <w:sz w:val="24"/>
          <w:szCs w:val="24"/>
          <w:highlight w:val="none"/>
        </w:rPr>
        <w:t>后果。</w:t>
      </w:r>
      <w:r>
        <w:rPr>
          <w:rFonts w:hint="eastAsia" w:ascii="宋体" w:hAnsi="宋体" w:eastAsia="宋体" w:cs="宋体"/>
          <w:color w:val="auto"/>
          <w:kern w:val="2"/>
          <w:sz w:val="24"/>
          <w:szCs w:val="24"/>
          <w:highlight w:val="none"/>
          <w:lang w:val="zh-CN"/>
        </w:rPr>
        <w:t>采购代理机构对</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lang w:val="zh-CN"/>
        </w:rPr>
        <w:t>代表提出的询问或者回避申请应当及时处理。</w:t>
      </w:r>
    </w:p>
    <w:p w14:paraId="33DF810B">
      <w:pPr>
        <w:shd w:val="clear"/>
        <w:spacing w:line="440" w:lineRule="exact"/>
        <w:ind w:firstLine="480" w:firstLineChars="200"/>
        <w:rPr>
          <w:rFonts w:hint="eastAsia" w:ascii="宋体" w:hAnsi="宋体" w:eastAsia="宋体" w:cs="宋体"/>
          <w:lang w:val="en-US" w:eastAsia="zh-CN"/>
        </w:rPr>
      </w:pPr>
      <w:r>
        <w:rPr>
          <w:rFonts w:hint="eastAsia" w:ascii="宋体" w:hAnsi="宋体" w:eastAsia="宋体" w:cs="宋体"/>
          <w:color w:val="auto"/>
          <w:kern w:val="2"/>
          <w:sz w:val="24"/>
          <w:szCs w:val="24"/>
          <w:lang w:val="en-US" w:eastAsia="zh-CN" w:bidi="ar-SA"/>
        </w:rPr>
        <w:t>1-5、供应商代表对磋商过程有疑义的，以及认为采购人、采购代理机构相关工作人员有需要回避的情形的，应当在线提出询问或回避申请。</w:t>
      </w:r>
    </w:p>
    <w:p w14:paraId="544F9E12">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2、评审</w:t>
      </w:r>
    </w:p>
    <w:p w14:paraId="2120F635">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2-1、磋商小组</w:t>
      </w:r>
    </w:p>
    <w:p w14:paraId="0FD39D8C">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bookmarkStart w:id="25" w:name="OLE_LINK4"/>
      <w:bookmarkStart w:id="26" w:name="OLE_LINK14"/>
      <w:r>
        <w:rPr>
          <w:rFonts w:hint="eastAsia" w:ascii="宋体" w:hAnsi="宋体" w:eastAsia="宋体" w:cs="宋体"/>
          <w:color w:val="auto"/>
          <w:sz w:val="24"/>
          <w:szCs w:val="24"/>
          <w:highlight w:val="none"/>
        </w:rPr>
        <w:t>采购代理机构根据《中华人民共和国政府采购法》及其实施条例、《政府采购竞争性磋商采购方式管理暂行办法》的通知（财库【2014】214号）等规定，依法组建磋商小组。</w:t>
      </w:r>
    </w:p>
    <w:p w14:paraId="630FBF29">
      <w:pPr>
        <w:shd w:val="clear"/>
        <w:spacing w:line="48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本项目磋商小组由采购代理机构工作人员在陕西省政府采购网随机抽取评审专家2名及采购人代表1名共同组成。</w:t>
      </w:r>
    </w:p>
    <w:p w14:paraId="10542324">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（2）采购人派一名代表进入磋商小组，并向采购代理机构出具授权函。</w:t>
      </w:r>
      <w:bookmarkEnd w:id="25"/>
    </w:p>
    <w:p w14:paraId="1777F1D1">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（3）磋商小组应推荐一名评审专家担任评审组长，并由评审组长牵头组织该项目评审工作，采购人</w:t>
      </w:r>
      <w:r>
        <w:rPr>
          <w:rFonts w:hint="eastAsia" w:ascii="宋体" w:hAnsi="宋体" w:eastAsia="宋体" w:cs="宋体"/>
          <w:color w:val="auto"/>
          <w:sz w:val="24"/>
          <w:szCs w:val="24"/>
          <w:highlight w:val="none"/>
          <w:lang w:eastAsia="zh-CN"/>
        </w:rPr>
        <w:t>代表</w:t>
      </w:r>
      <w:r>
        <w:rPr>
          <w:rFonts w:hint="eastAsia" w:ascii="宋体" w:hAnsi="宋体" w:eastAsia="宋体" w:cs="宋体"/>
          <w:color w:val="auto"/>
          <w:sz w:val="24"/>
          <w:szCs w:val="24"/>
          <w:highlight w:val="none"/>
        </w:rPr>
        <w:t>不得担任评审组长。</w:t>
      </w:r>
    </w:p>
    <w:bookmarkEnd w:id="26"/>
    <w:p w14:paraId="5BD98A5B">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（4）磋商小组成员应当遵守并履行下列职责义务：</w:t>
      </w:r>
    </w:p>
    <w:p w14:paraId="7C91EC12">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a、遵纪守法，客观、公正、认真负责地履行职责，根据磋商文件规定的评审程序、评审方法和评审标准审查磋商响应文件；</w:t>
      </w:r>
    </w:p>
    <w:p w14:paraId="3D3E1EA2">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b、资格审查、符合性审查、评价磋商响应文件是否符合磋商文件的商务、技术等实质性要求；</w:t>
      </w:r>
    </w:p>
    <w:p w14:paraId="5F931C77">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c、要求供应商对磋商响应文件有关事项作出澄清或者说明；</w:t>
      </w:r>
    </w:p>
    <w:p w14:paraId="6DBD39D8">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d、对磋商响应文件进行比较和评价；</w:t>
      </w:r>
    </w:p>
    <w:p w14:paraId="7D0FDF5B">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e、推荐成交候选单位名单，对磋商意见承担个人责任；</w:t>
      </w:r>
    </w:p>
    <w:p w14:paraId="60ED6982">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f、拟定磋商结果；</w:t>
      </w:r>
    </w:p>
    <w:p w14:paraId="24105C8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g、对磋商过程及各供应商的商业机密予以保密；</w:t>
      </w:r>
    </w:p>
    <w:p w14:paraId="15AD7BF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h、向财政部门报告在评审过程中发现的供应商的违法违规行为；</w:t>
      </w:r>
    </w:p>
    <w:p w14:paraId="629CCF53">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i、配合采购人、采购代理机构答复各供应商提出的质疑；</w:t>
      </w:r>
    </w:p>
    <w:p w14:paraId="6540B3FB">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j、配合各部门的投诉处理和监督检查工作。</w:t>
      </w:r>
    </w:p>
    <w:p w14:paraId="6F892D1D">
      <w:pPr>
        <w:shd w:val="clea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2-2、在政府采购活动中，采购人员及相关人员（包括磋商小组）与供应商有下列利害关系之一的，应当回避：</w:t>
      </w:r>
    </w:p>
    <w:p w14:paraId="2ED3663D">
      <w:pPr>
        <w:shd w:val="clea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（1）参加采购活动前3年内与供应商存在劳动关系；</w:t>
      </w:r>
    </w:p>
    <w:p w14:paraId="7FF6C53A">
      <w:pPr>
        <w:shd w:val="clea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（2）参加采购活动前3年内担任供应商的董事、监事；</w:t>
      </w:r>
    </w:p>
    <w:p w14:paraId="6A5527BE">
      <w:pPr>
        <w:shd w:val="clea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（3）参加采购活动前3年内是供应商的控股股东或者实际控制人；</w:t>
      </w:r>
    </w:p>
    <w:p w14:paraId="578FB4A0">
      <w:pPr>
        <w:shd w:val="clea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（4）与供应商的法定代表人或者负责人有夫妻、直系血亲、三代以内旁系血亲或者近姻亲关系；</w:t>
      </w:r>
    </w:p>
    <w:p w14:paraId="2416955B">
      <w:pPr>
        <w:shd w:val="clea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（5）与供应商有其他可能影响政府采购活动公平、公正进行的关系。</w:t>
      </w:r>
    </w:p>
    <w:p w14:paraId="66E74544">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2-3、磋商原则：坚持公平、公正、科学、择优原则，禁止不正当竞争。</w:t>
      </w:r>
    </w:p>
    <w:p w14:paraId="3DC660C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2-4、评审办法：本次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采用综合评分法（详见本节评分标准）。</w:t>
      </w:r>
    </w:p>
    <w:p w14:paraId="74026C3A">
      <w:pPr>
        <w:shd w:val="clear"/>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2-5、磋商工作程序：</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rPr>
        <w:t>资格审查、符合性审查、澄清、评价、推荐成交候选人的工作程序进行评审。</w:t>
      </w:r>
    </w:p>
    <w:p w14:paraId="2F59D816">
      <w:pPr>
        <w:shd w:val="clea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2-5-1、资格审查</w:t>
      </w:r>
    </w:p>
    <w:p w14:paraId="3C4684CF">
      <w:pPr>
        <w:shd w:val="clear"/>
        <w:spacing w:line="480" w:lineRule="exact"/>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由</w:t>
      </w:r>
      <w:r>
        <w:rPr>
          <w:rFonts w:hint="eastAsia" w:ascii="宋体" w:hAnsi="宋体" w:cs="宋体"/>
          <w:b/>
          <w:bCs/>
          <w:color w:val="auto"/>
          <w:sz w:val="24"/>
          <w:szCs w:val="24"/>
          <w:highlight w:val="none"/>
          <w:lang w:val="en-US" w:eastAsia="zh-CN"/>
        </w:rPr>
        <w:t>采购人</w:t>
      </w:r>
      <w:r>
        <w:rPr>
          <w:rFonts w:hint="eastAsia" w:ascii="宋体" w:hAnsi="宋体" w:eastAsia="宋体" w:cs="宋体"/>
          <w:b/>
          <w:bCs/>
          <w:color w:val="auto"/>
          <w:sz w:val="24"/>
          <w:szCs w:val="24"/>
          <w:highlight w:val="none"/>
          <w:lang w:val="en-US" w:eastAsia="zh-CN"/>
        </w:rPr>
        <w:t>依法对供应商的资格进行审查, 审查合格的供应商方可进入下一评审阶段。缺项或一项不符合要求即不合格，不合格的供应商其响应无效。</w:t>
      </w:r>
    </w:p>
    <w:p w14:paraId="2D47CB28">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1.满足《中华人民共和国政府采购法》第二十二条规定;</w:t>
      </w:r>
    </w:p>
    <w:p w14:paraId="685E264A">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2.落实政府采购政策需满足的资格要求：</w:t>
      </w:r>
    </w:p>
    <w:p w14:paraId="6F18C27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合同包1(2025年河口镇安河寺村水毁道路修复项目)落实政府采购政策需满足的资格要求如下:</w:t>
      </w:r>
    </w:p>
    <w:p w14:paraId="3653C2D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360" w:lineRule="auto"/>
        <w:ind w:right="0" w:firstLine="482" w:firstLineChars="200"/>
        <w:jc w:val="both"/>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rPr>
        <w:t>本项目专门面向中小企业采购。（残疾人福利性单位、监狱企业视同小型、微型企业）；须符合《政府采购促进中小企业发展管理办法》（财库〔2020〕46号）规定的中小企业参加。</w:t>
      </w:r>
      <w:r>
        <w:rPr>
          <w:rFonts w:hint="eastAsia" w:ascii="宋体" w:hAnsi="宋体" w:eastAsia="宋体" w:cs="宋体"/>
          <w:b/>
          <w:bCs/>
          <w:i w:val="0"/>
          <w:iCs w:val="0"/>
          <w:caps w:val="0"/>
          <w:color w:val="333333"/>
          <w:spacing w:val="0"/>
          <w:sz w:val="24"/>
          <w:szCs w:val="24"/>
          <w:shd w:val="clear" w:fill="FFFFFF"/>
          <w:lang w:val="en-US" w:eastAsia="zh-CN"/>
        </w:rPr>
        <w:t>（提供《中小企业声明函》，式样见磋商文件格式）本项目采购标的所属行业为：建筑业。</w:t>
      </w:r>
    </w:p>
    <w:p w14:paraId="1DD17F3C">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3.本项目的特定资格要求：</w:t>
      </w:r>
    </w:p>
    <w:p w14:paraId="67CE7764">
      <w:pPr>
        <w:shd w:val="clear"/>
        <w:spacing w:line="24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eastAsia="宋体" w:cs="宋体"/>
          <w:color w:val="auto"/>
          <w:sz w:val="24"/>
          <w:szCs w:val="24"/>
          <w:highlight w:val="none"/>
          <w:lang w:eastAsia="zh-CN"/>
        </w:rPr>
        <w:t>2025年河口镇安河寺村水毁道路修复项目</w:t>
      </w:r>
      <w:r>
        <w:rPr>
          <w:rFonts w:hint="eastAsia" w:ascii="宋体" w:hAnsi="宋体" w:eastAsia="宋体" w:cs="宋体"/>
          <w:color w:val="auto"/>
          <w:sz w:val="24"/>
          <w:szCs w:val="24"/>
          <w:highlight w:val="none"/>
        </w:rPr>
        <w:t>)特定资格要求如下:</w:t>
      </w:r>
    </w:p>
    <w:p w14:paraId="1D85BDA6">
      <w:pPr>
        <w:shd w:val="clear"/>
        <w:spacing w:line="480" w:lineRule="exact"/>
        <w:rPr>
          <w:rFonts w:hint="eastAsia" w:ascii="宋体" w:hAnsi="宋体" w:eastAsia="宋体" w:cs="宋体"/>
          <w:sz w:val="24"/>
          <w:szCs w:val="24"/>
        </w:rPr>
      </w:pPr>
      <w:r>
        <w:rPr>
          <w:rFonts w:hint="eastAsia" w:ascii="宋体" w:hAnsi="宋体" w:eastAsia="宋体" w:cs="宋体"/>
          <w:color w:val="auto"/>
          <w:sz w:val="24"/>
          <w:szCs w:val="24"/>
          <w:highlight w:val="none"/>
        </w:rPr>
        <w:t>（1）供应商须是具有独立承担民事责任能力的法人、其他组织或自然人，并出具合法有效的营业执照或事业单位法人证书等国家规定的相关证明，自然人参与的提供其身份证明； </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供应商须提供2024年度财务审计报告（成立时间至提交磋商响应文件截止时间不足一年的可提供成立后任意时段的资产负债表）或基本存款账户开户银行出具的资信证明（附开户许可证或开户备案证明）</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（3）供应商须提供2024年</w:t>
      </w:r>
      <w:r>
        <w:rPr>
          <w:rFonts w:hint="eastAsia" w:ascii="宋体" w:hAnsi="宋体" w:eastAsia="宋体" w:cs="宋体"/>
          <w:color w:val="auto"/>
          <w:sz w:val="24"/>
          <w:szCs w:val="24"/>
          <w:highlight w:val="none"/>
          <w:lang w:val="en-US" w:eastAsia="zh-CN"/>
        </w:rPr>
        <w:t>08</w:t>
      </w:r>
      <w:r>
        <w:rPr>
          <w:rFonts w:hint="eastAsia" w:ascii="宋体" w:hAnsi="宋体" w:eastAsia="宋体" w:cs="宋体"/>
          <w:color w:val="auto"/>
          <w:sz w:val="24"/>
          <w:szCs w:val="24"/>
          <w:highlight w:val="none"/>
        </w:rPr>
        <w:t>月至今已缴存的至少一个月的社会保险参保缴费情况证明；</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（4）供应商须提供2024年</w:t>
      </w:r>
      <w:r>
        <w:rPr>
          <w:rFonts w:hint="eastAsia" w:ascii="宋体" w:hAnsi="宋体" w:eastAsia="宋体" w:cs="宋体"/>
          <w:color w:val="auto"/>
          <w:sz w:val="24"/>
          <w:szCs w:val="24"/>
          <w:highlight w:val="none"/>
          <w:lang w:val="en-US" w:eastAsia="zh-CN"/>
        </w:rPr>
        <w:t>08</w:t>
      </w:r>
      <w:r>
        <w:rPr>
          <w:rFonts w:hint="eastAsia" w:ascii="宋体" w:hAnsi="宋体" w:eastAsia="宋体" w:cs="宋体"/>
          <w:color w:val="auto"/>
          <w:sz w:val="24"/>
          <w:szCs w:val="24"/>
          <w:highlight w:val="none"/>
        </w:rPr>
        <w:t>月至今已缴纳的至少一个月的纳税证明或完税证明，依法免税的单位应提供相关证明材料；</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（5）供应商不得为“信用中国”网站（www.creditchina.gov.cn）中列入失信被执行人和重大税收违法失信主体的投标供应商，不得为中国政府采购网（www.ccgp.gov.cn）政府采购严</w:t>
      </w:r>
      <w:r>
        <w:rPr>
          <w:rFonts w:hint="eastAsia" w:ascii="宋体" w:hAnsi="宋体" w:eastAsia="宋体" w:cs="宋体"/>
          <w:color w:val="auto"/>
          <w:sz w:val="24"/>
          <w:szCs w:val="24"/>
          <w:highlight w:val="none"/>
          <w:lang w:val="en-US" w:eastAsia="zh-CN"/>
        </w:rPr>
        <w:t>重违法失信行为记录名单中被财政部门禁止参加政府采购活动的投标供应商（提供书面信用承诺书）；</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（6）单位负责人为同一人或者存在直接控股、管理关系的不同投标供应商，不得参加同一合同项下的政府采购活动（提供承诺书)；</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（7）供应商须提供企业开具的近三年在政府采购经营活动中无重大违法记录声明（成立时间不足三年的供应商提供自成立之日起至磋商截止之日止的无重大违法记录声明）； </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8）供应商须授权合法的人员参加磋商全过程，其中法定代表人直接参加磋商的，须出具法定代表人资格证明书及身份证，并与营业执照上信息一致；法定代表人授权代表参加磋商的，须出具法定代表人资格证明书、授权书、被授权代表身份证； </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（9）供应商须提供具有履行合同所必需的设备和专业技术能力的承诺书；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color w:val="auto"/>
          <w:sz w:val="24"/>
          <w:szCs w:val="24"/>
          <w:highlight w:val="none"/>
          <w:lang w:val="en-US" w:eastAsia="zh-CN"/>
        </w:rPr>
        <w:t>（10）供应商须具备建设行政主管部门核发的市政公用工程施工总承包三级以上（含三级）资质，具备建设行政主管部门颁发的有效安全生产许可证；拟派项目经理具备市政公用工程专业二级以上(含二级)建造师证书和有效的安全生产考核合格证书(建安B证)，且无在建项目(提供无在建承诺书)；</w:t>
      </w:r>
    </w:p>
    <w:p w14:paraId="1CF70E96">
      <w:pPr>
        <w:pStyle w:val="45"/>
        <w:shd w:val="clear"/>
        <w:spacing w:line="480" w:lineRule="exact"/>
        <w:ind w:left="0" w:leftChars="0"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2-5-2、符合性审查</w:t>
      </w:r>
    </w:p>
    <w:p w14:paraId="4F5C030C">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依</w:t>
      </w:r>
      <w:r>
        <w:rPr>
          <w:rFonts w:hint="eastAsia" w:ascii="宋体" w:hAnsi="宋体" w:eastAsia="宋体" w:cs="宋体"/>
          <w:color w:val="auto"/>
          <w:sz w:val="24"/>
          <w:szCs w:val="24"/>
          <w:highlight w:val="none"/>
          <w:lang w:val="en-US" w:eastAsia="zh-CN"/>
        </w:rPr>
        <w:t>据磋商文件的规定，对资格审查合格者磋商响应文件的有效性，完整性和对磋商文件的响应程度进行审查，以确定是否对磋商文件的实质性内容做出响应，包含但不限于以下内容，未通过审查的按无效投标处理：</w:t>
      </w:r>
    </w:p>
    <w:p w14:paraId="1FAAF22F">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（1）供应商名称与</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磋商文件的单位名称</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一致；</w:t>
      </w:r>
    </w:p>
    <w:p w14:paraId="6C7E6F85">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）磋商响应文件</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按照磋商文件的要求盖章签字；</w:t>
      </w:r>
    </w:p>
    <w:p w14:paraId="331A441C">
      <w:pPr>
        <w:shd w:val="clear"/>
        <w:spacing w:line="480" w:lineRule="exact"/>
        <w:ind w:firstLine="480" w:firstLineChars="200"/>
        <w:rPr>
          <w:rFonts w:hint="eastAsia" w:ascii="宋体" w:hAnsi="宋体" w:eastAsia="宋体" w:cs="宋体"/>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lang w:val="en-US" w:eastAsia="zh-CN"/>
        </w:rPr>
        <w:t>磋商保证金是否按要求提供；</w:t>
      </w:r>
    </w:p>
    <w:p w14:paraId="7F1E3D23">
      <w:pPr>
        <w:shd w:val="clear"/>
        <w:spacing w:line="480" w:lineRule="exact"/>
        <w:ind w:firstLine="480" w:firstLineChars="200"/>
        <w:rPr>
          <w:rFonts w:hint="eastAsia" w:ascii="宋体" w:hAnsi="宋体" w:eastAsia="宋体" w:cs="宋体"/>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内容是否有重大缺漏项；</w:t>
      </w:r>
    </w:p>
    <w:p w14:paraId="4AD624D5">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）磋商报价</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超过</w:t>
      </w:r>
      <w:r>
        <w:rPr>
          <w:rFonts w:hint="eastAsia" w:ascii="宋体" w:hAnsi="宋体" w:eastAsia="宋体" w:cs="宋体"/>
          <w:color w:val="auto"/>
          <w:sz w:val="24"/>
          <w:szCs w:val="24"/>
          <w:highlight w:val="none"/>
          <w:lang w:eastAsia="zh-CN"/>
        </w:rPr>
        <w:t>最高限价</w:t>
      </w:r>
      <w:r>
        <w:rPr>
          <w:rFonts w:hint="eastAsia" w:ascii="宋体" w:hAnsi="宋体" w:eastAsia="宋体" w:cs="宋体"/>
          <w:color w:val="auto"/>
          <w:sz w:val="24"/>
          <w:szCs w:val="24"/>
          <w:highlight w:val="none"/>
        </w:rPr>
        <w:t>；</w:t>
      </w:r>
    </w:p>
    <w:p w14:paraId="45E51707">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）磋商有效期</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符合磋商文件的要求；</w:t>
      </w:r>
    </w:p>
    <w:p w14:paraId="1637BF39">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）对磋商文件商务要求</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 xml:space="preserve">作出明确且实质性响应； </w:t>
      </w:r>
    </w:p>
    <w:p w14:paraId="10AE277F">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）磋商响应文件</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含有采购人不能接受的附</w:t>
      </w:r>
      <w:r>
        <w:rPr>
          <w:rFonts w:hint="eastAsia" w:ascii="宋体" w:hAnsi="宋体" w:eastAsia="宋体" w:cs="宋体"/>
          <w:color w:val="auto"/>
          <w:sz w:val="24"/>
          <w:szCs w:val="24"/>
          <w:highlight w:val="none"/>
          <w:lang w:val="en-US" w:eastAsia="zh-CN"/>
        </w:rPr>
        <w:t>加</w:t>
      </w:r>
      <w:r>
        <w:rPr>
          <w:rFonts w:hint="eastAsia" w:ascii="宋体" w:hAnsi="宋体" w:eastAsia="宋体" w:cs="宋体"/>
          <w:color w:val="auto"/>
          <w:sz w:val="24"/>
          <w:szCs w:val="24"/>
          <w:highlight w:val="none"/>
        </w:rPr>
        <w:t>条件；</w:t>
      </w:r>
    </w:p>
    <w:p w14:paraId="14C559C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是否含有</w:t>
      </w:r>
      <w:r>
        <w:rPr>
          <w:rFonts w:hint="eastAsia" w:ascii="宋体" w:hAnsi="宋体" w:eastAsia="宋体" w:cs="宋体"/>
          <w:color w:val="auto"/>
          <w:sz w:val="24"/>
          <w:szCs w:val="24"/>
          <w:highlight w:val="none"/>
        </w:rPr>
        <w:t>法律、法规和磋商文件规定的其他无效响应情形。</w:t>
      </w:r>
    </w:p>
    <w:p w14:paraId="244417C1">
      <w:pPr>
        <w:shd w:val="clea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2-5-3、竞争性磋商响应文件的澄清：</w:t>
      </w:r>
    </w:p>
    <w:p w14:paraId="07D41EED">
      <w:pPr>
        <w:shd w:val="clear"/>
        <w:overflowPunct w:val="0"/>
        <w:adjustRightInd w:val="0"/>
        <w:snapToGrid w:val="0"/>
        <w:spacing w:line="48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3033E94">
      <w:pPr>
        <w:shd w:val="clea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（2）书写错误的评审标准：</w:t>
      </w:r>
    </w:p>
    <w:p w14:paraId="7792974D">
      <w:pPr>
        <w:shd w:val="clea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磋商小组在评审过程中，发现竞争性磋商响应文件出现下列情况之一者，按以下原则修正：</w:t>
      </w:r>
    </w:p>
    <w:p w14:paraId="63AA6111">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a、磋商响应文件有关内容与“磋商报价一览表”不一致的，以“磋商报价一览表”为准；</w:t>
      </w:r>
    </w:p>
    <w:p w14:paraId="34B4348F">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b、大写金额与小写金额不一致的，以大写金额为准；</w:t>
      </w:r>
    </w:p>
    <w:p w14:paraId="100EB018">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c、单价金额小数点或者百分比有明显错位的，以“磋商报价一览表”的总价为准，并修改单价；</w:t>
      </w:r>
    </w:p>
    <w:p w14:paraId="74E7B32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d、总价金额与按单价汇总金额不一致的，以单价乘以数量的计算结果为准；</w:t>
      </w:r>
    </w:p>
    <w:p w14:paraId="101D2B2E">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e、磋商响应文件图表与文字不符时，以文字为准；</w:t>
      </w:r>
    </w:p>
    <w:p w14:paraId="7707B7F2">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f</w:t>
      </w:r>
      <w:r>
        <w:rPr>
          <w:rFonts w:hint="eastAsia" w:ascii="宋体" w:hAnsi="宋体" w:eastAsia="宋体" w:cs="宋体"/>
          <w:color w:val="auto"/>
          <w:sz w:val="24"/>
          <w:szCs w:val="24"/>
          <w:highlight w:val="none"/>
        </w:rPr>
        <w:t>、对不同文字文本磋商响应文件的解释发生异议的，以中文文本为准；</w:t>
      </w:r>
    </w:p>
    <w:p w14:paraId="4165290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g</w:t>
      </w:r>
      <w:r>
        <w:rPr>
          <w:rFonts w:hint="eastAsia" w:ascii="宋体" w:hAnsi="宋体" w:eastAsia="宋体" w:cs="宋体"/>
          <w:color w:val="auto"/>
          <w:sz w:val="24"/>
          <w:szCs w:val="24"/>
          <w:highlight w:val="none"/>
        </w:rPr>
        <w:t>、多处内容交叉不符时，以磋商小组评审结果为准。</w:t>
      </w:r>
    </w:p>
    <w:p w14:paraId="6E872525">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注：按上述方法修正的内容（其中，同时出现上述a至d两种以上不一致的，按上述规定的顺序修正），经供应商确认后产生约束力，供应商不确认的，其磋商响应无效。</w:t>
      </w:r>
    </w:p>
    <w:p w14:paraId="589CDC0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认为供应商的报价明显低于其他通过符合性审查供应商的报价，有可能影响工程质量或者不能诚信履约的，应当要求其在评审现场合理的时间内提供书面说明，必要时提交相关证明材料；供应商不能证明其报价合理性的，磋商小组应当将其作为无效磋商响应处理。</w:t>
      </w:r>
    </w:p>
    <w:p w14:paraId="0F4EE685">
      <w:pPr>
        <w:shd w:val="clear"/>
        <w:spacing w:line="4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2-5-4、评议：</w:t>
      </w:r>
    </w:p>
    <w:p w14:paraId="2DE7B5AB">
      <w:pPr>
        <w:shd w:val="clear"/>
        <w:spacing w:line="4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（1）磋商小组评审竞争性磋商响应文件响应性及符合性只根据竞争性磋商响应文件本身的内容，而不寻求其他外部证据。</w:t>
      </w:r>
    </w:p>
    <w:p w14:paraId="06CA4F20">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（2）磋商小组所有成员应当集中与单一</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分别进行</w:t>
      </w:r>
      <w:r>
        <w:rPr>
          <w:rFonts w:hint="eastAsia" w:ascii="宋体" w:hAnsi="宋体" w:eastAsia="宋体" w:cs="宋体"/>
          <w:b w:val="0"/>
          <w:bCs w:val="0"/>
          <w:color w:val="auto"/>
          <w:sz w:val="24"/>
          <w:szCs w:val="24"/>
          <w:highlight w:val="none"/>
          <w:lang w:eastAsia="zh-CN"/>
        </w:rPr>
        <w:t>在线</w:t>
      </w:r>
      <w:r>
        <w:rPr>
          <w:rFonts w:hint="eastAsia" w:ascii="宋体" w:hAnsi="宋体" w:eastAsia="宋体" w:cs="宋体"/>
          <w:b w:val="0"/>
          <w:bCs w:val="0"/>
          <w:color w:val="auto"/>
          <w:sz w:val="24"/>
          <w:szCs w:val="24"/>
          <w:highlight w:val="none"/>
        </w:rPr>
        <w:t>磋商，并给予所有参加磋商的</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平等的磋商机会</w:t>
      </w:r>
      <w:r>
        <w:rPr>
          <w:rFonts w:hint="eastAsia" w:ascii="宋体" w:hAnsi="宋体" w:eastAsia="宋体" w:cs="宋体"/>
          <w:color w:val="auto"/>
          <w:sz w:val="24"/>
          <w:szCs w:val="24"/>
          <w:highlight w:val="none"/>
        </w:rPr>
        <w:t>。</w:t>
      </w:r>
    </w:p>
    <w:p w14:paraId="2FC5F11B">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（3）在磋商过程中，磋商小组可以根据磋商文件和磋商情况实质性变动采购需求中的技术、服务要求以及合同草案条款，但不得变动磋商文件中的其他内容。实质性变动的内容，须经采购人代表确认。</w:t>
      </w:r>
    </w:p>
    <w:p w14:paraId="726236C7">
      <w:pPr>
        <w:shd w:val="clea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在线</w:t>
      </w:r>
      <w:r>
        <w:rPr>
          <w:rFonts w:hint="eastAsia" w:ascii="宋体" w:hAnsi="宋体" w:eastAsia="宋体" w:cs="宋体"/>
          <w:color w:val="auto"/>
          <w:sz w:val="24"/>
          <w:szCs w:val="24"/>
        </w:rPr>
        <w:t>磋商结束后，磋商小组应当要求所有实质性响应的</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rPr>
        <w:t>在规定时间内提交最后报价。</w:t>
      </w:r>
      <w:r>
        <w:rPr>
          <w:rFonts w:hint="eastAsia" w:ascii="宋体" w:hAnsi="宋体" w:eastAsia="宋体" w:cs="宋体"/>
          <w:b/>
          <w:bCs/>
          <w:color w:val="auto"/>
          <w:sz w:val="24"/>
          <w:szCs w:val="24"/>
          <w:highlight w:val="none"/>
          <w:lang w:val="en-US" w:eastAsia="zh-CN"/>
        </w:rPr>
        <w:t>供应商须用数字认证证书（CA锁）登陆系统在线进行最后报价，在线签章提交最终报价，系统按照评标规则自动计分。</w:t>
      </w:r>
    </w:p>
    <w:p w14:paraId="1BBD16B3">
      <w:pPr>
        <w:shd w:val="clear"/>
        <w:spacing w:line="4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审采取逐项分步评审方式，每一步评审不符合者，按无效投标处理，不进入下一步评审。经磋商确定最终采购需求和提交最后报价后，由磋商小组采用综合评分法对提交最后报价的供应商的响应文件和最后报价进行综合评分。</w:t>
      </w:r>
    </w:p>
    <w:p w14:paraId="684E65E6">
      <w:pPr>
        <w:shd w:val="clea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（6）其他需说明的情况：</w:t>
      </w:r>
    </w:p>
    <w:p w14:paraId="74467E18">
      <w:pPr>
        <w:shd w:val="clea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a、对于竞争性磋商响应文件中不构成实质性偏差的小的不正规、不一致或不规则，采购人可以接受，但这种接受不能损害或影响任何供应商的相对排序；</w:t>
      </w:r>
    </w:p>
    <w:p w14:paraId="536FC2F7">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b、最低报价不是成交的唯一条件；</w:t>
      </w:r>
    </w:p>
    <w:p w14:paraId="1B1DF139">
      <w:pPr>
        <w:shd w:val="clea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c、如果磋商响应实质上没有响应竞争性磋商文件的要求，其磋商响应将被拒绝，供应商不得通过修正或</w:t>
      </w:r>
      <w:r>
        <w:rPr>
          <w:rFonts w:hint="eastAsia" w:ascii="宋体" w:hAnsi="宋体" w:eastAsia="宋体" w:cs="宋体"/>
          <w:color w:val="auto"/>
          <w:sz w:val="24"/>
          <w:szCs w:val="24"/>
          <w:highlight w:val="none"/>
          <w:lang w:eastAsia="zh-CN"/>
        </w:rPr>
        <w:t>撤销</w:t>
      </w:r>
      <w:r>
        <w:rPr>
          <w:rFonts w:hint="eastAsia" w:ascii="宋体" w:hAnsi="宋体" w:eastAsia="宋体" w:cs="宋体"/>
          <w:color w:val="auto"/>
          <w:sz w:val="24"/>
          <w:szCs w:val="24"/>
          <w:highlight w:val="none"/>
        </w:rPr>
        <w:t>不合要求的偏离或保留从而使其磋商响应成为实质上响应的磋商响应。</w:t>
      </w:r>
    </w:p>
    <w:p w14:paraId="3A4D466E">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d、无论磋商的结果如何，磋商期间一切费用自理。</w:t>
      </w:r>
    </w:p>
    <w:p w14:paraId="18C0D2F7">
      <w:pPr>
        <w:shd w:val="clear"/>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2-6、评分标准</w:t>
      </w:r>
    </w:p>
    <w:tbl>
      <w:tblPr>
        <w:tblStyle w:val="26"/>
        <w:tblW w:w="939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733"/>
        <w:gridCol w:w="7148"/>
      </w:tblGrid>
      <w:tr w14:paraId="7A14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250" w:type="dxa"/>
            <w:gridSpan w:val="2"/>
            <w:vAlign w:val="center"/>
          </w:tcPr>
          <w:p w14:paraId="49756708">
            <w:pPr>
              <w:pStyle w:val="25"/>
              <w:spacing w:after="0" w:line="360" w:lineRule="auto"/>
              <w:ind w:firstLine="241"/>
              <w:jc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 分 标 准</w:t>
            </w:r>
          </w:p>
        </w:tc>
        <w:tc>
          <w:tcPr>
            <w:tcW w:w="7148" w:type="dxa"/>
            <w:vAlign w:val="center"/>
          </w:tcPr>
          <w:p w14:paraId="0A75ADAC">
            <w:pPr>
              <w:pStyle w:val="25"/>
              <w:spacing w:after="0" w:line="360" w:lineRule="auto"/>
              <w:ind w:firstLine="241"/>
              <w:jc w:val="center"/>
              <w:rPr>
                <w:rFonts w:hint="eastAsia" w:asciiTheme="minorEastAsia" w:hAnsiTheme="minorEastAsia" w:eastAsiaTheme="minorEastAsia" w:cstheme="minorEastAsia"/>
                <w:b/>
                <w:bCs/>
                <w:sz w:val="21"/>
                <w:szCs w:val="21"/>
                <w:highlight w:val="none"/>
              </w:rPr>
            </w:pPr>
          </w:p>
        </w:tc>
      </w:tr>
      <w:tr w14:paraId="2768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517" w:type="dxa"/>
            <w:vAlign w:val="center"/>
          </w:tcPr>
          <w:p w14:paraId="66D3BD42">
            <w:pPr>
              <w:spacing w:line="360" w:lineRule="auto"/>
              <w:jc w:val="center"/>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sz w:val="24"/>
                <w:szCs w:val="24"/>
                <w:highlight w:val="none"/>
              </w:rPr>
              <w:t>评标内容</w:t>
            </w:r>
          </w:p>
        </w:tc>
        <w:tc>
          <w:tcPr>
            <w:tcW w:w="733" w:type="dxa"/>
            <w:vAlign w:val="center"/>
          </w:tcPr>
          <w:p w14:paraId="4D055868">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分值</w:t>
            </w:r>
          </w:p>
        </w:tc>
        <w:tc>
          <w:tcPr>
            <w:tcW w:w="7148" w:type="dxa"/>
            <w:vAlign w:val="center"/>
          </w:tcPr>
          <w:p w14:paraId="16B1CB69">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评标原则与标准</w:t>
            </w:r>
          </w:p>
        </w:tc>
      </w:tr>
      <w:tr w14:paraId="097A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517" w:type="dxa"/>
            <w:vAlign w:val="center"/>
          </w:tcPr>
          <w:p w14:paraId="33C4A02B">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投标报价</w:t>
            </w:r>
          </w:p>
          <w:p w14:paraId="5899A6EF">
            <w:pPr>
              <w:spacing w:line="360" w:lineRule="auto"/>
              <w:jc w:val="center"/>
              <w:rPr>
                <w:rFonts w:hint="eastAsia" w:asciiTheme="minorEastAsia" w:hAnsiTheme="minorEastAsia" w:eastAsiaTheme="minorEastAsia" w:cstheme="minorEastAsia"/>
                <w:sz w:val="24"/>
                <w:szCs w:val="24"/>
                <w:highlight w:val="none"/>
              </w:rPr>
            </w:pPr>
          </w:p>
        </w:tc>
        <w:tc>
          <w:tcPr>
            <w:tcW w:w="733" w:type="dxa"/>
            <w:vAlign w:val="center"/>
          </w:tcPr>
          <w:p w14:paraId="20E909F3">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0</w:t>
            </w:r>
            <w:r>
              <w:rPr>
                <w:rFonts w:hint="eastAsia" w:asciiTheme="minorEastAsia" w:hAnsiTheme="minorEastAsia" w:eastAsiaTheme="minorEastAsia" w:cstheme="minorEastAsia"/>
                <w:sz w:val="24"/>
                <w:szCs w:val="24"/>
                <w:highlight w:val="none"/>
              </w:rPr>
              <w:t>分</w:t>
            </w:r>
          </w:p>
        </w:tc>
        <w:tc>
          <w:tcPr>
            <w:tcW w:w="7148" w:type="dxa"/>
            <w:vAlign w:val="center"/>
          </w:tcPr>
          <w:p w14:paraId="7F2EDCA6">
            <w:pPr>
              <w:widowControl/>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采用低价优先法计算，即满足磋商文件要求且最后报价最低的供应商的价格为磋商基准价，其价格分为满分。其他供应商的价格分统一按照下列公式计算：</w:t>
            </w:r>
          </w:p>
          <w:p w14:paraId="7E7F5BE4">
            <w:pPr>
              <w:widowControl/>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磋商报价得分=（磋商基准价/最后磋商报价）×价格权值×100</w:t>
            </w:r>
          </w:p>
          <w:p w14:paraId="72041BB9">
            <w:pPr>
              <w:widowControl/>
              <w:spacing w:line="360" w:lineRule="auto"/>
              <w:jc w:val="left"/>
              <w:rPr>
                <w:rFonts w:hint="eastAsia" w:asciiTheme="minorEastAsia" w:hAnsiTheme="minorEastAsia" w:eastAsiaTheme="minorEastAsia" w:cstheme="minorEastAsia"/>
                <w:sz w:val="24"/>
                <w:szCs w:val="24"/>
                <w:highlight w:val="none"/>
              </w:rPr>
            </w:pPr>
            <w:r>
              <w:rPr>
                <w:rFonts w:hint="eastAsia" w:ascii="宋体" w:hAnsi="宋体" w:eastAsia="宋体" w:cs="宋体"/>
                <w:b/>
                <w:bCs/>
                <w:color w:val="auto"/>
                <w:sz w:val="24"/>
                <w:szCs w:val="24"/>
                <w:highlight w:val="none"/>
                <w:lang w:val="en-US" w:eastAsia="zh-CN"/>
              </w:rPr>
              <w:t>注：本项目专门面向中小企业采购项目不进行价格扣除优惠；</w:t>
            </w:r>
          </w:p>
        </w:tc>
      </w:tr>
      <w:tr w14:paraId="7A15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7" w:type="dxa"/>
            <w:vAlign w:val="center"/>
          </w:tcPr>
          <w:p w14:paraId="6D68F2FD">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项目部人员的配备</w:t>
            </w:r>
          </w:p>
        </w:tc>
        <w:tc>
          <w:tcPr>
            <w:tcW w:w="733" w:type="dxa"/>
            <w:vAlign w:val="center"/>
          </w:tcPr>
          <w:p w14:paraId="427747C1">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7148" w:type="dxa"/>
            <w:vAlign w:val="center"/>
          </w:tcPr>
          <w:p w14:paraId="099C16DD">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项目部人员的配备合理齐全计3.0-6.0分，基本合理齐全计0.5-3.0分；缺项或只有标题无内容或内容有严重错误者，该项得0分。</w:t>
            </w:r>
          </w:p>
        </w:tc>
      </w:tr>
      <w:tr w14:paraId="57B7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517" w:type="dxa"/>
            <w:vAlign w:val="center"/>
          </w:tcPr>
          <w:p w14:paraId="0A5BCB30">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施工方案和方法</w:t>
            </w:r>
          </w:p>
        </w:tc>
        <w:tc>
          <w:tcPr>
            <w:tcW w:w="733" w:type="dxa"/>
            <w:vAlign w:val="center"/>
          </w:tcPr>
          <w:p w14:paraId="0D51A0DE">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10分</w:t>
            </w:r>
          </w:p>
        </w:tc>
        <w:tc>
          <w:tcPr>
            <w:tcW w:w="7148" w:type="dxa"/>
            <w:vAlign w:val="center"/>
          </w:tcPr>
          <w:p w14:paraId="744160C0">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施工方案和方法全面、详细、科学合理，可实施性强，科学合理符合项目要求计7.0-10.0分，较全面、方案基本科学合理，有可实施性计3.0-7.0分，不合理、可行性欠缺计0.5-3.0分；缺项或只有标题无内容或内容有严重错误者，该项得0分。</w:t>
            </w:r>
          </w:p>
        </w:tc>
      </w:tr>
      <w:tr w14:paraId="3628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7" w:type="dxa"/>
            <w:vAlign w:val="center"/>
          </w:tcPr>
          <w:p w14:paraId="6F40BACC">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工期和进度计划</w:t>
            </w:r>
          </w:p>
        </w:tc>
        <w:tc>
          <w:tcPr>
            <w:tcW w:w="733" w:type="dxa"/>
            <w:vAlign w:val="center"/>
          </w:tcPr>
          <w:p w14:paraId="56AFCA68">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7148" w:type="dxa"/>
            <w:vAlign w:val="center"/>
          </w:tcPr>
          <w:p w14:paraId="4D1B3327">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工期和进度计划科学合理计3.0-6.0分，不合理、可行性欠缺计0.5-3.0分；缺项或只有标题无内容或内容有严重错误者，该项得0分。</w:t>
            </w:r>
          </w:p>
        </w:tc>
      </w:tr>
      <w:tr w14:paraId="2797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517" w:type="dxa"/>
            <w:vAlign w:val="center"/>
          </w:tcPr>
          <w:p w14:paraId="4548F540">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质量保证体系与措施</w:t>
            </w:r>
          </w:p>
        </w:tc>
        <w:tc>
          <w:tcPr>
            <w:tcW w:w="733" w:type="dxa"/>
            <w:vAlign w:val="center"/>
          </w:tcPr>
          <w:p w14:paraId="5FA3C058">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8分</w:t>
            </w:r>
          </w:p>
        </w:tc>
        <w:tc>
          <w:tcPr>
            <w:tcW w:w="7148" w:type="dxa"/>
            <w:vAlign w:val="center"/>
          </w:tcPr>
          <w:p w14:paraId="3F7BD79B">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质量管理体系全面、可操作性强，管理职责明确、分工清晰， 质量过程控制健全，质量管理措施完善计6.0-8.0分； 质量管理体系较全面、有可操作性，管理职责较明确、分工较清晰，质量过程控制基本健全，管理措施基本完善计3.0-6.0分； 质量管理体系不全面、可操作性差，管理职责不明确、分工不清晰，质量过程控制不健全，管理措施不完善计0.5-3.0分； 缺项或只有标题无内容或内容有严重错误者，该项得0分。</w:t>
            </w:r>
          </w:p>
        </w:tc>
      </w:tr>
      <w:tr w14:paraId="67E6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517" w:type="dxa"/>
            <w:vAlign w:val="center"/>
          </w:tcPr>
          <w:p w14:paraId="73965C01">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安全管理体系与措施</w:t>
            </w:r>
          </w:p>
        </w:tc>
        <w:tc>
          <w:tcPr>
            <w:tcW w:w="733" w:type="dxa"/>
            <w:vAlign w:val="center"/>
          </w:tcPr>
          <w:p w14:paraId="33D92D9C">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8分</w:t>
            </w:r>
          </w:p>
        </w:tc>
        <w:tc>
          <w:tcPr>
            <w:tcW w:w="7148" w:type="dxa"/>
            <w:vAlign w:val="center"/>
          </w:tcPr>
          <w:p w14:paraId="01DA86FA">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安全管理体系健全，管理职责明确，安全管理措施可行性强，安全管理经费有保障计6.0-8.0 分；安全管理体系基本健全，管理职责基本明确，安全管理措施具有可行性，安全管理经费基本有保障计3.0-6.0分； 安全管理体系不健全，管理职责不明确，安全管理措施可行性差计0.5-3.0分；缺项或只有标题无内容或内容有严重错误者，该项得0分。</w:t>
            </w:r>
          </w:p>
        </w:tc>
      </w:tr>
      <w:tr w14:paraId="689C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517" w:type="dxa"/>
            <w:vAlign w:val="center"/>
          </w:tcPr>
          <w:p w14:paraId="1DCEFAAF">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主要机具、设备和劳动力的配置</w:t>
            </w:r>
          </w:p>
        </w:tc>
        <w:tc>
          <w:tcPr>
            <w:tcW w:w="733" w:type="dxa"/>
            <w:vAlign w:val="center"/>
          </w:tcPr>
          <w:p w14:paraId="6DC81DA2">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7148" w:type="dxa"/>
            <w:vAlign w:val="center"/>
          </w:tcPr>
          <w:p w14:paraId="0A94FCA1">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主要机具、设备和劳动力的配置合理齐全计3.0-6.0分，基本合理齐全计0.5-3.0分；缺项或只有标题无内容或内容有严重错误者，该项得0分。</w:t>
            </w:r>
          </w:p>
        </w:tc>
      </w:tr>
      <w:tr w14:paraId="7AEF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517" w:type="dxa"/>
            <w:vAlign w:val="center"/>
          </w:tcPr>
          <w:p w14:paraId="29A98B3A">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文明施工管理体系与措施</w:t>
            </w:r>
          </w:p>
        </w:tc>
        <w:tc>
          <w:tcPr>
            <w:tcW w:w="733" w:type="dxa"/>
            <w:vAlign w:val="center"/>
          </w:tcPr>
          <w:p w14:paraId="5921E7F1">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8分</w:t>
            </w:r>
          </w:p>
        </w:tc>
        <w:tc>
          <w:tcPr>
            <w:tcW w:w="7148" w:type="dxa"/>
            <w:vAlign w:val="center"/>
          </w:tcPr>
          <w:p w14:paraId="608A6BE9">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文明施工管理体系健全，管理职责明确，保证措施功能完善计6.0-8.0分；管理体系基本健全，管理职责基本明确，保证措施基本可行计3.0-6.0分； 管理体系不健全，管理职责不明确，保证措施不合理计0.5-3.0分； 缺项或只有标题无内容或内容有严重错误者，该项得0分。</w:t>
            </w:r>
          </w:p>
        </w:tc>
      </w:tr>
      <w:tr w14:paraId="4BDB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517" w:type="dxa"/>
            <w:vAlign w:val="center"/>
          </w:tcPr>
          <w:p w14:paraId="781A9D2E">
            <w:pPr>
              <w:widowControl/>
              <w:spacing w:line="480" w:lineRule="exact"/>
              <w:ind w:right="-34" w:rightChars="0"/>
              <w:jc w:val="center"/>
              <w:textAlignment w:val="bottom"/>
              <w:rPr>
                <w:rFonts w:hint="eastAsia" w:asciiTheme="minorEastAsia" w:hAnsiTheme="minorEastAsia" w:eastAsiaTheme="minorEastAsia" w:cstheme="minorEastAsia"/>
                <w:sz w:val="24"/>
                <w:szCs w:val="24"/>
                <w:highlight w:val="none"/>
              </w:rPr>
            </w:pPr>
            <w:r>
              <w:rPr>
                <w:rFonts w:hint="eastAsia" w:ascii="宋体" w:hAnsi="宋体" w:eastAsia="宋体" w:cs="宋体"/>
                <w:sz w:val="24"/>
                <w:szCs w:val="24"/>
                <w:highlight w:val="none"/>
                <w:lang w:val="en-US" w:eastAsia="zh-CN"/>
              </w:rPr>
              <w:t>工期保证措施</w:t>
            </w:r>
          </w:p>
        </w:tc>
        <w:tc>
          <w:tcPr>
            <w:tcW w:w="733" w:type="dxa"/>
            <w:vAlign w:val="center"/>
          </w:tcPr>
          <w:p w14:paraId="1641DB0A">
            <w:pPr>
              <w:widowControl/>
              <w:spacing w:line="480" w:lineRule="exact"/>
              <w:ind w:right="-34" w:rightChars="0"/>
              <w:jc w:val="center"/>
              <w:textAlignment w:val="bottom"/>
              <w:rPr>
                <w:rFonts w:hint="eastAsia" w:asciiTheme="minorEastAsia" w:hAnsiTheme="minorEastAsia" w:cstheme="minorEastAsia"/>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7148" w:type="dxa"/>
            <w:vAlign w:val="center"/>
          </w:tcPr>
          <w:p w14:paraId="3095D42F">
            <w:pPr>
              <w:spacing w:line="480" w:lineRule="exact"/>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sz w:val="24"/>
                <w:szCs w:val="24"/>
                <w:highlight w:val="none"/>
                <w:lang w:val="en-US" w:eastAsia="zh-CN"/>
              </w:rPr>
              <w:t>工期保证措施合理可行计3.0-6.0分，实施困难、可行性欠缺计0.5-3.0分；缺项或只有标题无内容或内容有严重错误者，该项得0分。</w:t>
            </w:r>
          </w:p>
        </w:tc>
      </w:tr>
      <w:tr w14:paraId="5AD4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1517" w:type="dxa"/>
            <w:vAlign w:val="center"/>
          </w:tcPr>
          <w:p w14:paraId="34B2BDAB">
            <w:pPr>
              <w:widowControl/>
              <w:spacing w:line="480" w:lineRule="exact"/>
              <w:ind w:right="-34" w:rightChars="0"/>
              <w:jc w:val="center"/>
              <w:textAlignment w:val="bottom"/>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施工部署和现场平面布置</w:t>
            </w:r>
          </w:p>
        </w:tc>
        <w:tc>
          <w:tcPr>
            <w:tcW w:w="733" w:type="dxa"/>
            <w:vAlign w:val="center"/>
          </w:tcPr>
          <w:p w14:paraId="1F1C6E7E">
            <w:pPr>
              <w:widowControl/>
              <w:spacing w:line="480" w:lineRule="exact"/>
              <w:ind w:right="-34" w:rightChars="0"/>
              <w:jc w:val="center"/>
              <w:textAlignment w:val="bottom"/>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7148" w:type="dxa"/>
            <w:vAlign w:val="center"/>
          </w:tcPr>
          <w:p w14:paraId="4D77FF3E">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施工部署和现场平面布置科学合理计3.0-6.0分，不合理、可行性欠缺计0.5-3.0分；缺项或只有标题无内容或内容有严重错误者，该项得0分。</w:t>
            </w:r>
          </w:p>
        </w:tc>
      </w:tr>
      <w:tr w14:paraId="5A64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1517" w:type="dxa"/>
            <w:vAlign w:val="center"/>
          </w:tcPr>
          <w:p w14:paraId="799149E8">
            <w:pPr>
              <w:widowControl/>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类似业绩</w:t>
            </w:r>
          </w:p>
          <w:p w14:paraId="0547AB28">
            <w:pPr>
              <w:widowControl/>
              <w:spacing w:line="360" w:lineRule="auto"/>
              <w:jc w:val="center"/>
              <w:rPr>
                <w:rFonts w:hint="eastAsia" w:asciiTheme="minorEastAsia" w:hAnsiTheme="minorEastAsia" w:eastAsiaTheme="minorEastAsia" w:cstheme="minorEastAsia"/>
                <w:b/>
                <w:sz w:val="24"/>
                <w:szCs w:val="24"/>
                <w:highlight w:val="none"/>
                <w:lang w:eastAsia="zh-CN"/>
              </w:rPr>
            </w:pPr>
          </w:p>
        </w:tc>
        <w:tc>
          <w:tcPr>
            <w:tcW w:w="733" w:type="dxa"/>
            <w:vAlign w:val="center"/>
          </w:tcPr>
          <w:p w14:paraId="48BB12C1">
            <w:pPr>
              <w:widowControl/>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c>
          <w:tcPr>
            <w:tcW w:w="7148" w:type="dxa"/>
            <w:vAlign w:val="center"/>
          </w:tcPr>
          <w:p w14:paraId="167B05C6">
            <w:pPr>
              <w:widowControl/>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w:t>
            </w:r>
            <w:r>
              <w:rPr>
                <w:rFonts w:hint="eastAsia" w:asciiTheme="minorEastAsia" w:hAnsiTheme="minorEastAsia" w:eastAsiaTheme="minorEastAsia" w:cstheme="minorEastAsia"/>
                <w:sz w:val="24"/>
                <w:szCs w:val="24"/>
                <w:lang w:eastAsia="zh-CN"/>
              </w:rPr>
              <w:t>投标人的</w:t>
            </w:r>
            <w:r>
              <w:rPr>
                <w:rFonts w:hint="eastAsia" w:asciiTheme="minorEastAsia" w:hAnsiTheme="minorEastAsia" w:eastAsiaTheme="minorEastAsia" w:cstheme="minorEastAsia"/>
                <w:sz w:val="24"/>
                <w:szCs w:val="24"/>
                <w:lang w:val="en-US" w:eastAsia="zh-CN"/>
              </w:rPr>
              <w:t>2022年01月01日至今</w:t>
            </w:r>
            <w:r>
              <w:rPr>
                <w:rFonts w:hint="eastAsia" w:asciiTheme="minorEastAsia" w:hAnsiTheme="minorEastAsia" w:eastAsiaTheme="minorEastAsia" w:cstheme="minorEastAsia"/>
                <w:sz w:val="24"/>
                <w:szCs w:val="24"/>
              </w:rPr>
              <w:t>（以合同签订日期为准）类似项目业绩，提供</w:t>
            </w:r>
            <w:r>
              <w:rPr>
                <w:rFonts w:hint="eastAsia" w:asciiTheme="minorEastAsia" w:hAnsiTheme="minorEastAsia" w:eastAsiaTheme="minorEastAsia" w:cstheme="minorEastAsia"/>
                <w:sz w:val="24"/>
                <w:szCs w:val="24"/>
                <w:lang w:val="en-US" w:eastAsia="zh-CN"/>
              </w:rPr>
              <w:t>成交通知书或中标通知书、</w:t>
            </w:r>
            <w:r>
              <w:rPr>
                <w:rFonts w:hint="eastAsia" w:asciiTheme="minorEastAsia" w:hAnsiTheme="minorEastAsia" w:eastAsiaTheme="minorEastAsia" w:cstheme="minorEastAsia"/>
                <w:sz w:val="24"/>
                <w:szCs w:val="24"/>
              </w:rPr>
              <w:t>合同协议书</w:t>
            </w:r>
            <w:r>
              <w:rPr>
                <w:rFonts w:hint="eastAsia" w:asciiTheme="minorEastAsia" w:hAnsiTheme="minorEastAsia" w:eastAsiaTheme="minorEastAsia" w:cstheme="minorEastAsia"/>
                <w:sz w:val="24"/>
                <w:szCs w:val="24"/>
                <w:lang w:val="en-US" w:eastAsia="zh-CN"/>
              </w:rPr>
              <w:t>复印件</w:t>
            </w:r>
            <w:r>
              <w:rPr>
                <w:rFonts w:hint="eastAsia" w:asciiTheme="minorEastAsia" w:hAnsiTheme="minorEastAsia" w:eastAsiaTheme="minorEastAsia" w:cstheme="minorEastAsia"/>
                <w:sz w:val="24"/>
                <w:szCs w:val="24"/>
              </w:rPr>
              <w:t>，每提供1个得</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val="en-US" w:eastAsia="zh-CN"/>
              </w:rPr>
              <w:t>共</w:t>
            </w:r>
            <w:r>
              <w:rPr>
                <w:rFonts w:hint="eastAsia" w:asciiTheme="minorEastAsia" w:hAnsiTheme="minorEastAsia" w:eastAsiaTheme="minorEastAsia" w:cstheme="minorEastAsia"/>
                <w:sz w:val="24"/>
                <w:szCs w:val="24"/>
              </w:rPr>
              <w:t>计</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r>
    </w:tbl>
    <w:p w14:paraId="5474B083">
      <w:pPr>
        <w:widowControl/>
        <w:shd w:val="clear"/>
        <w:autoSpaceDE w:val="0"/>
        <w:autoSpaceDN w:val="0"/>
        <w:spacing w:line="480" w:lineRule="exac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注：1）评委打分超过得分界限或未按本方法赋分时，该评委的打分按废票处理。</w:t>
      </w:r>
    </w:p>
    <w:p w14:paraId="7AEEFC8C">
      <w:pPr>
        <w:widowControl/>
        <w:shd w:val="clear"/>
        <w:autoSpaceDE w:val="0"/>
        <w:autoSpaceDN w:val="0"/>
        <w:spacing w:line="480" w:lineRule="exact"/>
        <w:ind w:firstLine="480"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2）各种计算数字均保留两位小数，第三位“四舍五入”。</w:t>
      </w:r>
    </w:p>
    <w:p w14:paraId="098254E9">
      <w:pPr>
        <w:shd w:val="clea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3）特殊情况处理：</w:t>
      </w:r>
    </w:p>
    <w:p w14:paraId="3CE30CA0">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若出现综合得分相同的，最后磋商报价得分高者为第一成交候选供应商，若综合评分和最后磋商报价的得分均相同的，技术得分高者为第一成交候选供应商，若上述两项得分相同，则由全体磋商小组成员无记名投票，得票高者为第一成交候选供应商。</w:t>
      </w:r>
    </w:p>
    <w:p w14:paraId="0B7C0E0E">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b、当供应商某评分项出现未报、漏报或零报价时，该分项得零分，并不参与磋商报价分的计算。</w:t>
      </w:r>
    </w:p>
    <w:p w14:paraId="5A545A0E">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c、评议过程中，若出现本评分方法以外的特殊情况时，将暂停评审，待磋商小组商榷后再进行复会。</w:t>
      </w:r>
    </w:p>
    <w:p w14:paraId="404D7152">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2-7、政府采购政策评分标准</w:t>
      </w:r>
    </w:p>
    <w:p w14:paraId="42079631">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2-7-1、小微企业的价格评分标准</w:t>
      </w:r>
    </w:p>
    <w:p w14:paraId="26F647FF">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根据财政部《关于印发&lt;政府采购促进中小企业发展管理办法&gt;的通知》(财库〔2020〕46号的规定，符合条件的中小企业，享受政府采购扶持政策。</w:t>
      </w:r>
    </w:p>
    <w:p w14:paraId="6477D6E0">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 中小企业：指在中华人民共和国境内依法设立，依据国务院批准的中小企业划分标准确定的中型企业、小型企业和微型企业，但与大企业的负责人为同一人，或者与大企业存在直接控股、管理关系的除外。</w:t>
      </w:r>
    </w:p>
    <w:p w14:paraId="6B117469">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2享受政府采购扶持政策的供应商，应当符合以下条件：</w:t>
      </w:r>
    </w:p>
    <w:p w14:paraId="1D28BCB6">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①在货物采购项目中，货物由中小企业制造，即货物由中小企业生产且使用该中小企业商号或者注册商标；供应商提供的货物既有中小企业制造货物，也有大型企业制造货物的，不享受中小企业扶持政策。 </w:t>
      </w:r>
    </w:p>
    <w:p w14:paraId="56601A56">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②在工程采购项目中，工程由中小企业承建，即工程施工单位为中小企业；</w:t>
      </w:r>
    </w:p>
    <w:p w14:paraId="64ACAEC6">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③在服务采购项目中，服务由中小企业承接，即提供服务的人员为中小企业依照《中华人民共和国劳动合同法》订立劳动合同的从业人员； </w:t>
      </w:r>
    </w:p>
    <w:p w14:paraId="628F4A78">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④提供中小企业的声明函，不提供或提供有瑕疵的，在评审时不享受政府采购优惠政策。</w:t>
      </w:r>
    </w:p>
    <w:p w14:paraId="22375B40">
      <w:pPr>
        <w:shd w:val="clear"/>
        <w:spacing w:line="480" w:lineRule="exact"/>
        <w:ind w:firstLine="597" w:firstLineChars="2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、节能产品、环境标志产品政策</w:t>
      </w:r>
    </w:p>
    <w:p w14:paraId="3FA9055E">
      <w:pPr>
        <w:shd w:val="clear"/>
        <w:spacing w:line="500" w:lineRule="exact"/>
        <w:ind w:firstLine="480" w:firstLineChars="200"/>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en-US"/>
        </w:rPr>
        <w:t>（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14:paraId="599F578C">
      <w:pPr>
        <w:shd w:val="clear"/>
        <w:spacing w:line="500" w:lineRule="exact"/>
        <w:ind w:firstLine="480" w:firstLineChars="200"/>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en-US"/>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14:paraId="4E79C19B">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落实政府采购信用融资有关政策要求</w:t>
      </w:r>
    </w:p>
    <w:p w14:paraId="49919A97">
      <w:pPr>
        <w:shd w:val="clea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70B3A1FD">
      <w:pPr>
        <w:shd w:val="clea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3、定标</w:t>
      </w:r>
    </w:p>
    <w:p w14:paraId="577D7D00">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3-1、定标程序</w:t>
      </w:r>
    </w:p>
    <w:p w14:paraId="0629E035">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依据磋商文件的要求，对供应商进行认真评审。经过评审、澄清、磋商、最后报价等程序后，从响应文件满足磋商文件全部实质性要求的供应商中，按照评审得分由高到低顺序推荐3名以上成交候选供应商，并编写评审报告。</w:t>
      </w:r>
    </w:p>
    <w:p w14:paraId="119FEAD0">
      <w:pPr>
        <w:shd w:val="clea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w:t>
      </w:r>
      <w:bookmarkStart w:id="27" w:name="OLE_LINK12"/>
      <w:r>
        <w:rPr>
          <w:rFonts w:hint="eastAsia" w:ascii="宋体" w:hAnsi="宋体" w:eastAsia="宋体" w:cs="宋体"/>
          <w:color w:val="auto"/>
          <w:sz w:val="24"/>
          <w:szCs w:val="24"/>
          <w:highlight w:val="none"/>
        </w:rPr>
        <w:t>磋商小组成员应当在评审报告上签字，对自己的评审意见承担法律责任。磋商小组成员对评审报告有异议的，磋商小组按照少数服从多数的原则推荐成交候选人，采购程序继续进行。对评审报告有异议的磋商小组成员，应当在评审报告上签署不同意见并说明理由，否则视为同意评审报告。</w:t>
      </w:r>
    </w:p>
    <w:bookmarkEnd w:id="27"/>
    <w:p w14:paraId="3F67F30F">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应当自评审结束之日起2个工作日内将评审报告送交采购人。采购人在收到评审报告5个工作日内，根据磋商小组提交的评审报告和推荐的成交候选供应商，按照排序由高到低的原则确定成交供应商。确定结果后，采购人向采购代理机构出具《成交复函》。采购人逾期未确定成交供应商且不提出异议的，视为确定评审报告推荐的排名第一的供应商为成交供应商。</w:t>
      </w:r>
    </w:p>
    <w:p w14:paraId="73B40803">
      <w:pPr>
        <w:shd w:val="clear"/>
        <w:adjustRightInd w:val="0"/>
        <w:snapToGrid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代理机构接到</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人的《成交复函》后，在2个工作日内，将成交结果在</w:t>
      </w:r>
      <w:r>
        <w:rPr>
          <w:rFonts w:hint="eastAsia" w:ascii="宋体" w:hAnsi="宋体" w:eastAsia="宋体" w:cs="宋体"/>
          <w:color w:val="auto"/>
          <w:sz w:val="24"/>
          <w:szCs w:val="24"/>
          <w:lang w:val="en-US" w:eastAsia="zh-CN"/>
        </w:rPr>
        <w:t>陕西省政府采购网</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陕西省公共资源交易中心</w:t>
      </w:r>
      <w:r>
        <w:rPr>
          <w:rFonts w:hint="eastAsia" w:ascii="宋体" w:hAnsi="宋体" w:eastAsia="宋体" w:cs="宋体"/>
          <w:color w:val="auto"/>
          <w:sz w:val="24"/>
          <w:szCs w:val="24"/>
          <w:lang w:eastAsia="zh-CN"/>
        </w:rPr>
        <w:t>网</w:t>
      </w:r>
      <w:r>
        <w:rPr>
          <w:rFonts w:hint="eastAsia" w:ascii="宋体" w:hAnsi="宋体" w:eastAsia="宋体" w:cs="宋体"/>
          <w:color w:val="auto"/>
          <w:sz w:val="24"/>
          <w:szCs w:val="24"/>
        </w:rPr>
        <w:t>发布公告，</w:t>
      </w:r>
      <w:r>
        <w:rPr>
          <w:rFonts w:hint="eastAsia" w:ascii="宋体" w:hAnsi="宋体" w:eastAsia="宋体" w:cs="宋体"/>
          <w:color w:val="auto"/>
          <w:sz w:val="24"/>
          <w:szCs w:val="24"/>
          <w:lang w:eastAsia="zh-CN"/>
        </w:rPr>
        <w:t>结果</w:t>
      </w:r>
      <w:r>
        <w:rPr>
          <w:rFonts w:hint="eastAsia" w:ascii="宋体" w:hAnsi="宋体" w:eastAsia="宋体" w:cs="宋体"/>
          <w:color w:val="auto"/>
          <w:sz w:val="24"/>
          <w:szCs w:val="24"/>
        </w:rPr>
        <w:t>公告</w:t>
      </w:r>
      <w:r>
        <w:rPr>
          <w:rFonts w:hint="eastAsia" w:ascii="宋体" w:hAnsi="宋体" w:eastAsia="宋体" w:cs="宋体"/>
          <w:color w:val="auto"/>
          <w:sz w:val="24"/>
          <w:szCs w:val="24"/>
          <w:lang w:eastAsia="zh-CN"/>
        </w:rPr>
        <w:t>公示期</w:t>
      </w:r>
      <w:r>
        <w:rPr>
          <w:rFonts w:hint="eastAsia" w:ascii="宋体" w:hAnsi="宋体" w:eastAsia="宋体" w:cs="宋体"/>
          <w:color w:val="auto"/>
          <w:sz w:val="24"/>
          <w:szCs w:val="24"/>
        </w:rPr>
        <w:t>1个工作日。</w:t>
      </w:r>
    </w:p>
    <w:p w14:paraId="39EA4186">
      <w:pPr>
        <w:shd w:val="clear"/>
        <w:tabs>
          <w:tab w:val="left" w:pos="2700"/>
        </w:tabs>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3-2、成交人确定后，</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人和</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rPr>
        <w:t>代理机构对未成交原因不作任何解释，</w:t>
      </w:r>
    </w:p>
    <w:p w14:paraId="3AEF4314">
      <w:pPr>
        <w:shd w:val="clea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4、磋商无效的情形：</w:t>
      </w:r>
    </w:p>
    <w:p w14:paraId="65AEF197">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4-1、未按照磋商文件的规定提交磋商保证金的；</w:t>
      </w:r>
    </w:p>
    <w:p w14:paraId="218F4F65">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4-2、磋商响应文件未按磋商文件要求签署、盖章的；</w:t>
      </w:r>
    </w:p>
    <w:p w14:paraId="47B7899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4-3、不具备磋商文件中规定的资格要求的；</w:t>
      </w:r>
    </w:p>
    <w:p w14:paraId="3329020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4-4、报价超过磋商文件中规定的预算金额</w:t>
      </w:r>
      <w:r>
        <w:rPr>
          <w:rFonts w:hint="eastAsia" w:ascii="宋体" w:hAnsi="宋体" w:eastAsia="宋体" w:cs="宋体"/>
          <w:color w:val="auto"/>
          <w:sz w:val="24"/>
          <w:szCs w:val="24"/>
          <w:highlight w:val="none"/>
          <w:lang w:val="en-US" w:eastAsia="zh-CN"/>
        </w:rPr>
        <w:t>或最高限价</w:t>
      </w:r>
      <w:r>
        <w:rPr>
          <w:rFonts w:hint="eastAsia" w:ascii="宋体" w:hAnsi="宋体" w:eastAsia="宋体" w:cs="宋体"/>
          <w:color w:val="auto"/>
          <w:sz w:val="24"/>
          <w:szCs w:val="24"/>
          <w:highlight w:val="none"/>
        </w:rPr>
        <w:t>的；</w:t>
      </w:r>
    </w:p>
    <w:p w14:paraId="3C76731B">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4-5、磋商响应文件含有采购人不能接受的附加条件的；</w:t>
      </w:r>
    </w:p>
    <w:p w14:paraId="58A0F18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4-6、提供虚假材料谋取成交的；</w:t>
      </w:r>
    </w:p>
    <w:p w14:paraId="037BE5B1">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4-7、采取不正当手段诋毁、排挤其他供应商的；</w:t>
      </w:r>
    </w:p>
    <w:p w14:paraId="3238DA0F">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4-8、法律、法规和磋商文件规定的其他无效情形。</w:t>
      </w:r>
    </w:p>
    <w:p w14:paraId="2B142232">
      <w:pPr>
        <w:shd w:val="clea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5、成交通知书</w:t>
      </w:r>
    </w:p>
    <w:p w14:paraId="219338CA">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5-1、成交通知书由采购代理机构向成交人发出，成交供应商应在接到采购代理机构通知之日起七日内领取成交通知书。未在规定时间内领取成交通知书的，磋商保证金不予退还。</w:t>
      </w:r>
    </w:p>
    <w:p w14:paraId="68F316A6">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5-2、成交通知书发出后，采购人不得违法改变成交结果，成交人无正当理由不得</w:t>
      </w:r>
      <w:r>
        <w:rPr>
          <w:rFonts w:hint="eastAsia" w:ascii="宋体" w:hAnsi="宋体" w:eastAsia="宋体" w:cs="宋体"/>
          <w:color w:val="auto"/>
          <w:sz w:val="24"/>
          <w:szCs w:val="24"/>
          <w:highlight w:val="none"/>
          <w:lang w:eastAsia="zh-CN"/>
        </w:rPr>
        <w:t>放</w:t>
      </w:r>
      <w:r>
        <w:rPr>
          <w:rFonts w:hint="eastAsia" w:ascii="宋体" w:hAnsi="宋体" w:eastAsia="宋体" w:cs="宋体"/>
          <w:color w:val="auto"/>
          <w:sz w:val="24"/>
          <w:szCs w:val="24"/>
          <w:highlight w:val="none"/>
        </w:rPr>
        <w:t>弃成交。</w:t>
      </w:r>
    </w:p>
    <w:p w14:paraId="64D6066E">
      <w:pPr>
        <w:pStyle w:val="3"/>
        <w:shd w:val="clear"/>
        <w:spacing w:before="0" w:after="0" w:line="480" w:lineRule="exact"/>
        <w:rPr>
          <w:rFonts w:hint="eastAsia" w:ascii="宋体" w:hAnsi="宋体" w:eastAsia="宋体" w:cs="宋体"/>
          <w:color w:val="auto"/>
          <w:sz w:val="24"/>
          <w:szCs w:val="24"/>
          <w:highlight w:val="none"/>
        </w:rPr>
      </w:pPr>
      <w:bookmarkStart w:id="28" w:name="_Toc7453879"/>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、合同</w:t>
      </w:r>
      <w:bookmarkEnd w:id="28"/>
    </w:p>
    <w:p w14:paraId="09E830F5">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1、成交供应商在收到成交通知书后</w:t>
      </w:r>
      <w:r>
        <w:rPr>
          <w:rFonts w:hint="eastAsia" w:ascii="宋体" w:hAnsi="宋体" w:eastAsia="宋体" w:cs="宋体"/>
          <w:color w:val="auto"/>
          <w:sz w:val="24"/>
          <w:szCs w:val="24"/>
          <w:highlight w:val="none"/>
          <w:lang w:eastAsia="zh-CN"/>
        </w:rPr>
        <w:t>二十五</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个日历日内，应按竞争性磋商文件的要求与采购人签订合同。成交供应商因自身原因不按规定与采购人签订合同，则采购人将废除授标，磋商保证金不予退还。给采购人造成损失超过磋商保证金额的，还应当对超过部分予以赔偿，并依法承担相应法律责任；</w:t>
      </w:r>
    </w:p>
    <w:p w14:paraId="2D0D319E">
      <w:pPr>
        <w:shd w:val="clear"/>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供应商因不可抗力或者自身原因不能履行政府采购合同的，采购人可以与排位在成交供应商之后第一位的成交候选供应商签订政府采购合同，以此类推，也可以重新开展采购活动。因自身原因拒绝签订采购合同的或者未按合同约定进行履约的，成交人不得参加对该项目重新开展的招标活动。</w:t>
      </w:r>
    </w:p>
    <w:p w14:paraId="3693A133">
      <w:pPr>
        <w:shd w:val="clear"/>
        <w:adjustRightInd w:val="0"/>
        <w:snapToGrid w:val="0"/>
        <w:spacing w:line="48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3、成交通知书将是合同的重要组成部分。竞争性磋商文件、成交供应商的竞争性磋商响应文件及评议过程中有关的澄清文件均作为合同附件。</w:t>
      </w:r>
    </w:p>
    <w:p w14:paraId="43AEDFAD">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4、成交后，成交人应按照合同约定履行义务，完成</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项目的</w:t>
      </w:r>
      <w:r>
        <w:rPr>
          <w:rFonts w:hint="eastAsia" w:ascii="宋体" w:hAnsi="宋体" w:eastAsia="宋体" w:cs="宋体"/>
          <w:color w:val="auto"/>
          <w:sz w:val="24"/>
          <w:szCs w:val="24"/>
          <w:highlight w:val="none"/>
          <w:lang w:eastAsia="zh-CN"/>
        </w:rPr>
        <w:t>供货</w:t>
      </w:r>
      <w:r>
        <w:rPr>
          <w:rFonts w:hint="eastAsia" w:ascii="宋体" w:hAnsi="宋体" w:eastAsia="宋体" w:cs="宋体"/>
          <w:color w:val="auto"/>
          <w:sz w:val="24"/>
          <w:szCs w:val="24"/>
          <w:highlight w:val="none"/>
        </w:rPr>
        <w:t>。成交人不得向他人转让成交项目，也不得将成交项目肢解后分别向他人转让。成交人按照合同约定或者经采购人同意，成交人可以将成交项目的部分非主体、非关键性工作分包给他人完成。接受分包的供应商应当具备相应的资格条件，并不得再次分包。分包履行的，成交人就采购项目和分包项目向采购人负责，分包供应商就分包项目承担责任。中小企业根据《</w:t>
      </w:r>
      <w:r>
        <w:rPr>
          <w:rFonts w:hint="eastAsia" w:ascii="宋体" w:hAnsi="宋体" w:eastAsia="宋体" w:cs="宋体"/>
          <w:color w:val="auto"/>
          <w:sz w:val="24"/>
          <w:szCs w:val="24"/>
          <w:highlight w:val="none"/>
          <w:lang w:eastAsia="zh-CN"/>
        </w:rPr>
        <w:t>政府采购促进中小企业发展管理办法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财库(2020)46号</w:t>
      </w:r>
      <w:r>
        <w:rPr>
          <w:rFonts w:hint="eastAsia" w:ascii="宋体" w:hAnsi="宋体" w:eastAsia="宋体" w:cs="宋体"/>
          <w:color w:val="auto"/>
          <w:sz w:val="24"/>
          <w:szCs w:val="24"/>
          <w:highlight w:val="none"/>
        </w:rPr>
        <w:t>）规定的政策获取政府采购合同后，小型、微型企业不得分包或转包给大型、中型企业，中型企业不得分包或转包给大型企业。</w:t>
      </w:r>
    </w:p>
    <w:p w14:paraId="24FF3826">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5、所签订的合同不得对磋商文件确定的事项和成交人磋商响应文件作实质性修改。</w:t>
      </w:r>
    </w:p>
    <w:p w14:paraId="098029FB">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6、采购人需追加与合同标的相同的</w:t>
      </w:r>
      <w:r>
        <w:rPr>
          <w:rFonts w:hint="eastAsia" w:ascii="宋体" w:hAnsi="宋体" w:eastAsia="宋体" w:cs="宋体"/>
          <w:color w:val="auto"/>
          <w:sz w:val="24"/>
          <w:szCs w:val="24"/>
          <w:highlight w:val="none"/>
          <w:lang w:eastAsia="zh-CN"/>
        </w:rPr>
        <w:t>货物、工程或服务的</w:t>
      </w:r>
      <w:r>
        <w:rPr>
          <w:rFonts w:hint="eastAsia" w:ascii="宋体" w:hAnsi="宋体" w:eastAsia="宋体" w:cs="宋体"/>
          <w:color w:val="auto"/>
          <w:sz w:val="24"/>
          <w:szCs w:val="24"/>
          <w:highlight w:val="none"/>
        </w:rPr>
        <w:t>，在不改变合同其他条款的前提下，可以与供应商协商签订补充合同，但所有补充合同的采购金额不得超过原合同采购金额的百分之十。</w:t>
      </w:r>
    </w:p>
    <w:p w14:paraId="1D720736">
      <w:pPr>
        <w:pStyle w:val="3"/>
        <w:shd w:val="clear"/>
        <w:spacing w:before="0" w:after="0" w:line="480" w:lineRule="exact"/>
        <w:rPr>
          <w:rFonts w:hint="eastAsia" w:ascii="宋体" w:hAnsi="宋体" w:eastAsia="宋体" w:cs="宋体"/>
          <w:color w:val="auto"/>
          <w:kern w:val="0"/>
          <w:sz w:val="24"/>
          <w:szCs w:val="24"/>
          <w:highlight w:val="none"/>
        </w:rPr>
      </w:pPr>
      <w:bookmarkStart w:id="29" w:name="_Toc7453880"/>
      <w:bookmarkStart w:id="30" w:name="_Toc493074178"/>
      <w:bookmarkStart w:id="31" w:name="_Toc493247321"/>
      <w:r>
        <w:rPr>
          <w:rFonts w:hint="eastAsia" w:ascii="宋体" w:hAnsi="宋体" w:eastAsia="宋体" w:cs="宋体"/>
          <w:color w:val="auto"/>
          <w:kern w:val="0"/>
          <w:sz w:val="24"/>
          <w:szCs w:val="24"/>
          <w:highlight w:val="none"/>
          <w:lang w:eastAsia="zh-CN"/>
        </w:rPr>
        <w:t>九</w:t>
      </w:r>
      <w:r>
        <w:rPr>
          <w:rFonts w:hint="eastAsia" w:ascii="宋体" w:hAnsi="宋体" w:eastAsia="宋体" w:cs="宋体"/>
          <w:color w:val="auto"/>
          <w:kern w:val="0"/>
          <w:sz w:val="24"/>
          <w:szCs w:val="24"/>
          <w:highlight w:val="none"/>
        </w:rPr>
        <w:t>、合同的履约</w:t>
      </w:r>
      <w:bookmarkEnd w:id="29"/>
      <w:bookmarkEnd w:id="30"/>
      <w:bookmarkEnd w:id="31"/>
    </w:p>
    <w:p w14:paraId="0FD6478D">
      <w:pPr>
        <w:shd w:val="clea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、确定成交单位后，成交供应商因自身原因未按程序签订合同，采购人将取消其成交资格，同时报请监督机构备案，没收其保证金。在此情况下，采购人可按评审结果顺序将合同授予下一成交候选人或重新采购。</w:t>
      </w:r>
    </w:p>
    <w:p w14:paraId="56E7695D">
      <w:pPr>
        <w:shd w:val="clea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、成交供应商签订合同后，持合同到采购代理机构办理保证金退付手续。</w:t>
      </w:r>
    </w:p>
    <w:p w14:paraId="0D35BF65">
      <w:pPr>
        <w:shd w:val="clear"/>
        <w:spacing w:line="480" w:lineRule="exact"/>
        <w:rPr>
          <w:rFonts w:hint="eastAsia" w:ascii="宋体" w:hAnsi="宋体" w:eastAsia="宋体" w:cs="宋体"/>
          <w:b/>
          <w:bCs/>
          <w:color w:val="auto"/>
          <w:sz w:val="24"/>
          <w:szCs w:val="24"/>
          <w:highlight w:val="none"/>
        </w:rPr>
      </w:pPr>
      <w:bookmarkStart w:id="32" w:name="_Toc7453881"/>
      <w:r>
        <w:rPr>
          <w:rFonts w:hint="eastAsia" w:ascii="宋体" w:hAnsi="宋体" w:eastAsia="宋体" w:cs="宋体"/>
          <w:b/>
          <w:bCs/>
          <w:color w:val="auto"/>
          <w:sz w:val="24"/>
          <w:szCs w:val="24"/>
          <w:highlight w:val="none"/>
        </w:rPr>
        <w:t>十、招标服务费</w:t>
      </w:r>
      <w:bookmarkEnd w:id="32"/>
    </w:p>
    <w:p w14:paraId="4F3F3BC1">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宋体" w:hAnsi="宋体" w:eastAsia="宋体" w:cs="宋体"/>
          <w:sz w:val="24"/>
          <w:szCs w:val="24"/>
          <w:u w:val="none"/>
        </w:rPr>
      </w:pPr>
      <w:bookmarkStart w:id="33" w:name="_Toc458848826"/>
      <w:bookmarkStart w:id="34" w:name="_Toc458848741"/>
      <w:bookmarkStart w:id="35" w:name="_Toc494556652"/>
      <w:bookmarkStart w:id="36" w:name="_Toc7453882"/>
      <w:bookmarkStart w:id="37" w:name="_Toc458848827"/>
      <w:bookmarkStart w:id="38" w:name="_Toc458848742"/>
      <w:bookmarkStart w:id="39" w:name="_Toc493247324"/>
      <w:r>
        <w:rPr>
          <w:rFonts w:hint="eastAsia" w:ascii="宋体" w:hAnsi="宋体" w:eastAsia="宋体" w:cs="宋体"/>
          <w:sz w:val="24"/>
          <w:szCs w:val="24"/>
          <w:u w:val="none"/>
        </w:rPr>
        <w:t>按照国家和省、市有关法律法规和规定，经甲乙双方协商，本项目代理服务费</w:t>
      </w:r>
      <w:r>
        <w:rPr>
          <w:rFonts w:hint="eastAsia" w:ascii="宋体" w:hAnsi="宋体" w:eastAsia="宋体" w:cs="宋体"/>
          <w:sz w:val="24"/>
          <w:szCs w:val="24"/>
          <w:u w:val="none"/>
          <w:lang w:eastAsia="zh-CN"/>
        </w:rPr>
        <w:t>为：</w:t>
      </w:r>
      <w:r>
        <w:rPr>
          <w:rFonts w:hint="eastAsia" w:ascii="宋体" w:hAnsi="宋体" w:eastAsia="宋体" w:cs="宋体"/>
          <w:sz w:val="24"/>
          <w:szCs w:val="24"/>
          <w:u w:val="none"/>
          <w:lang w:val="en-US" w:eastAsia="zh-CN"/>
        </w:rPr>
        <w:t>5700.00元</w:t>
      </w:r>
      <w:r>
        <w:rPr>
          <w:rFonts w:hint="eastAsia" w:ascii="宋体" w:hAnsi="宋体" w:eastAsia="宋体" w:cs="宋体"/>
          <w:sz w:val="24"/>
          <w:szCs w:val="24"/>
          <w:u w:val="none"/>
        </w:rPr>
        <w:t>。</w:t>
      </w:r>
    </w:p>
    <w:p w14:paraId="4ACA4040">
      <w:pPr>
        <w:pStyle w:val="3"/>
        <w:shd w:val="clear"/>
        <w:spacing w:before="0" w:after="0"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w:t>
      </w:r>
      <w:bookmarkEnd w:id="33"/>
      <w:bookmarkEnd w:id="34"/>
      <w:bookmarkEnd w:id="35"/>
      <w:r>
        <w:rPr>
          <w:rFonts w:hint="eastAsia" w:ascii="宋体" w:hAnsi="宋体" w:eastAsia="宋体" w:cs="宋体"/>
          <w:color w:val="auto"/>
          <w:sz w:val="24"/>
          <w:szCs w:val="24"/>
          <w:highlight w:val="none"/>
        </w:rPr>
        <w:t>重新开展采购活动</w:t>
      </w:r>
      <w:bookmarkEnd w:id="36"/>
    </w:p>
    <w:p w14:paraId="5AD09802">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如果发生下列情况之一的，采购人或采购代理机构将按《政府采购竞争性磋商采购方式管理暂行办法》等有关规定终止竞争性磋商采购活动，发布项目终止公告并说明原因，重新开展采购活动：</w:t>
      </w:r>
    </w:p>
    <w:p w14:paraId="36A2F2D1">
      <w:pPr>
        <w:shd w:val="clea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（1）因情况变化，不再符合规定的竞争性磋商采购方式适用情形的；</w:t>
      </w:r>
    </w:p>
    <w:p w14:paraId="5F78CDE0">
      <w:pPr>
        <w:shd w:val="clea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5B764F7E">
      <w:pPr>
        <w:shd w:val="clea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（3）磋商小组三分之二以上的专家认定所有磋商报价存在价格不实的现象；</w:t>
      </w:r>
    </w:p>
    <w:p w14:paraId="37ADED15">
      <w:pPr>
        <w:shd w:val="clea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除《政府采购竞争性磋商采购方式管理暂行办法》（财库〔2014〕214号）除本办法第二十一条第三款规定及《财政部关于政府采购竞争性磋商采购方式管理暂行办法有关问题的补充通知》（财库〔2015〕124号）规定的情形外，在采购过程中符合要求的供应商或者报价未超过采购预算的供应商不足3家的。</w:t>
      </w:r>
    </w:p>
    <w:p w14:paraId="689A6B79">
      <w:pPr>
        <w:pStyle w:val="3"/>
        <w:shd w:val="clear"/>
        <w:spacing w:before="0" w:after="0" w:line="480" w:lineRule="exact"/>
        <w:rPr>
          <w:rFonts w:hint="eastAsia" w:ascii="宋体" w:hAnsi="宋体" w:eastAsia="宋体" w:cs="宋体"/>
          <w:color w:val="auto"/>
          <w:sz w:val="24"/>
          <w:szCs w:val="24"/>
          <w:highlight w:val="none"/>
        </w:rPr>
      </w:pPr>
      <w:bookmarkStart w:id="40" w:name="_Toc7453883"/>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、询问、质疑与投诉</w:t>
      </w:r>
      <w:bookmarkEnd w:id="37"/>
      <w:bookmarkEnd w:id="38"/>
      <w:bookmarkEnd w:id="39"/>
      <w:bookmarkEnd w:id="40"/>
    </w:p>
    <w:p w14:paraId="0E1DE07B">
      <w:pPr>
        <w:shd w:val="clear"/>
        <w:spacing w:line="520" w:lineRule="exact"/>
        <w:ind w:firstLine="480" w:firstLineChars="200"/>
        <w:rPr>
          <w:rFonts w:hint="eastAsia" w:ascii="宋体" w:hAnsi="宋体" w:eastAsia="宋体" w:cs="宋体"/>
          <w:color w:val="auto"/>
          <w:sz w:val="24"/>
          <w:szCs w:val="24"/>
          <w:highlight w:val="none"/>
        </w:rPr>
      </w:pPr>
      <w:bookmarkStart w:id="41" w:name="_Toc458848828"/>
      <w:bookmarkStart w:id="42" w:name="_Toc7453884"/>
      <w:bookmarkStart w:id="43" w:name="_Toc458848743"/>
      <w:bookmarkStart w:id="44" w:name="_Toc493247325"/>
      <w:r>
        <w:rPr>
          <w:rFonts w:hint="eastAsia" w:ascii="宋体" w:hAnsi="宋体" w:eastAsia="宋体" w:cs="宋体"/>
          <w:color w:val="auto"/>
          <w:sz w:val="24"/>
          <w:szCs w:val="24"/>
          <w:highlight w:val="none"/>
        </w:rPr>
        <w:t>1.询问</w:t>
      </w:r>
    </w:p>
    <w:p w14:paraId="28D52EA5">
      <w:pPr>
        <w:shd w:val="clear"/>
        <w:spacing w:line="52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供应商对政府采购活动事项有疑问的，可以向采购代理机构或采购人提出询问。采购代理机构或采购人将在3个工作日内对投标供应商依法提出的询问作出答复。</w:t>
      </w:r>
    </w:p>
    <w:p w14:paraId="2489E107">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sz w:val="24"/>
          <w:szCs w:val="24"/>
          <w:highlight w:val="none"/>
        </w:rPr>
        <w:t>提出的询问超出采购人对采购代理机构委托授权范围的，采购代理机构将告知</w:t>
      </w:r>
      <w:r>
        <w:rPr>
          <w:rFonts w:hint="eastAsia" w:ascii="宋体" w:hAnsi="宋体" w:eastAsia="宋体" w:cs="宋体"/>
          <w:color w:val="auto"/>
          <w:sz w:val="24"/>
          <w:szCs w:val="22"/>
          <w:highlight w:val="none"/>
        </w:rPr>
        <w:t>投标供应商</w:t>
      </w:r>
      <w:r>
        <w:rPr>
          <w:rFonts w:hint="eastAsia" w:ascii="宋体" w:hAnsi="宋体" w:eastAsia="宋体" w:cs="宋体"/>
          <w:color w:val="auto"/>
          <w:sz w:val="24"/>
          <w:szCs w:val="24"/>
          <w:highlight w:val="none"/>
        </w:rPr>
        <w:t>向采购人提出。</w:t>
      </w:r>
    </w:p>
    <w:p w14:paraId="095F60C4">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2.质疑和投诉</w:t>
      </w:r>
    </w:p>
    <w:p w14:paraId="41087D6D">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sz w:val="24"/>
          <w:szCs w:val="24"/>
          <w:highlight w:val="none"/>
        </w:rPr>
        <w:t>认为磋商文件、磋商过程使自身的合法权益受到损害，可以在知道或者应当知道其自身权益</w:t>
      </w:r>
      <w:r>
        <w:rPr>
          <w:rFonts w:hint="eastAsia" w:ascii="宋体" w:hAnsi="宋体" w:eastAsia="宋体" w:cs="宋体"/>
          <w:color w:val="auto"/>
          <w:sz w:val="24"/>
          <w:szCs w:val="24"/>
          <w:highlight w:val="none"/>
          <w:lang w:eastAsia="zh-CN"/>
        </w:rPr>
        <w:t>受到</w:t>
      </w:r>
      <w:r>
        <w:rPr>
          <w:rFonts w:hint="eastAsia" w:ascii="宋体" w:hAnsi="宋体" w:eastAsia="宋体" w:cs="宋体"/>
          <w:color w:val="auto"/>
          <w:sz w:val="24"/>
          <w:szCs w:val="24"/>
          <w:highlight w:val="none"/>
        </w:rPr>
        <w:t>损害之日起七个工作日，以书面形式（纸质版加盖公章）向采购代理机构或采购人提出质疑。</w:t>
      </w:r>
      <w:r>
        <w:rPr>
          <w:rFonts w:hint="eastAsia" w:ascii="宋体" w:hAnsi="宋体" w:eastAsia="宋体" w:cs="宋体"/>
          <w:color w:val="auto"/>
          <w:sz w:val="24"/>
          <w:szCs w:val="22"/>
          <w:highlight w:val="none"/>
        </w:rPr>
        <w:t>供应商</w:t>
      </w:r>
      <w:r>
        <w:rPr>
          <w:rFonts w:hint="eastAsia" w:ascii="宋体" w:hAnsi="宋体" w:eastAsia="宋体" w:cs="宋体"/>
          <w:color w:val="auto"/>
          <w:sz w:val="24"/>
          <w:szCs w:val="24"/>
          <w:highlight w:val="none"/>
        </w:rPr>
        <w:t>认为磋商结果使自身的合法权益受到损害，可以在磋商结束后7日内前，以书面形式（纸质版加盖公章）向采购代理机构或采购人提出质疑。</w:t>
      </w:r>
    </w:p>
    <w:p w14:paraId="2D0D9760">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2.1、质疑书应当包括以下主要内容：被质疑项目名称、项目编号、标段、竞争性磋商公告/中标公告发布时间、质疑事项、证据材料、法律依据（具体条款）、质疑人有效联系方式等。</w:t>
      </w:r>
    </w:p>
    <w:p w14:paraId="36A18EB4">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2.2、质疑书应当由法定代表人签字并加盖公章，公章不得以合同章或其他印章代替。质疑人可以委托代理人办理质疑事项，代理人办理质疑事项时，除提交质疑书外，还应当提交质疑人的授权委托书及代理人的有效身份证明，授权委托书应当载明委托代理的具体权限和事项。</w:t>
      </w:r>
    </w:p>
    <w:p w14:paraId="57DF06BB">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2.3.有下列情形之一的，属于无效质疑，采购代理机构和采购人不予受理：</w:t>
      </w:r>
    </w:p>
    <w:p w14:paraId="171F0447">
      <w:pPr>
        <w:shd w:val="clear"/>
        <w:spacing w:line="5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（1）质疑人不是参与本次政府采购项目的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/或潜在</w:t>
      </w:r>
      <w:r>
        <w:rPr>
          <w:rFonts w:hint="eastAsia" w:ascii="宋体" w:hAnsi="宋体" w:eastAsia="宋体" w:cs="宋体"/>
          <w:color w:val="auto"/>
          <w:sz w:val="24"/>
          <w:szCs w:val="24"/>
          <w:highlight w:val="none"/>
          <w:lang w:eastAsia="zh-CN"/>
        </w:rPr>
        <w:t>供应商；</w:t>
      </w:r>
    </w:p>
    <w:p w14:paraId="2B9EBF75">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（2）质疑人与质疑事项不存在利害关系的；</w:t>
      </w:r>
    </w:p>
    <w:p w14:paraId="2ED376A1">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（3）未在法定期限内提出质疑的；</w:t>
      </w:r>
    </w:p>
    <w:p w14:paraId="78EF4A63">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（4）质疑未以书面形式提出，或质疑书主要内容构成不完整的；</w:t>
      </w:r>
    </w:p>
    <w:p w14:paraId="6663D22B">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（5）质疑书没有合法有效的签字、盖章或授权的；</w:t>
      </w:r>
    </w:p>
    <w:p w14:paraId="1179DA35">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（6）以非法手段取得证据、材料的；</w:t>
      </w:r>
    </w:p>
    <w:p w14:paraId="549EEF51">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（7）质疑答复后，同一质疑人就同一事项再次提出质疑的；</w:t>
      </w:r>
    </w:p>
    <w:p w14:paraId="6F24D2AA">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（8）不符合法律、法规、规章和监管机构规定的其他条件的。</w:t>
      </w:r>
    </w:p>
    <w:p w14:paraId="7B769863">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2.4、采购代理机构或采购人将在收到书面质疑后7个工作日内做出答复，并以书面形式通知质疑人和其他有关投标单位。</w:t>
      </w:r>
    </w:p>
    <w:p w14:paraId="7DF582E4">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质疑人对采购代理机构或采购人的答复不满意，以及采购代理机构或采购人未在规定时间内做出答复的，可以在答复期满后15个工作日内按照《政府采购质疑和投诉办法》（财政部94号令）相关规定向政府采购监管机构提出投诉。投标供应商投诉的事项不得超出已质疑事项的范围。</w:t>
      </w:r>
    </w:p>
    <w:p w14:paraId="64185DA0">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2.6、对捏造事实、提供虚假材料进行质疑、投诉的行为予以严肃处理：</w:t>
      </w:r>
    </w:p>
    <w:p w14:paraId="73DB7946">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政府采购质疑和投诉办法》（财政部94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19698F7">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2.7、对捏造事实诬告陷害他人、诽谤他人的法律适用：</w:t>
      </w:r>
    </w:p>
    <w:p w14:paraId="73768522">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bookmarkEnd w:id="41"/>
    <w:bookmarkEnd w:id="42"/>
    <w:bookmarkEnd w:id="43"/>
    <w:bookmarkEnd w:id="44"/>
    <w:p w14:paraId="09C3E801">
      <w:pPr>
        <w:shd w:val="clea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w:t>
      </w:r>
      <w:r>
        <w:rPr>
          <w:rFonts w:hint="eastAsia" w:ascii="宋体" w:hAnsi="宋体" w:eastAsia="宋体" w:cs="宋体"/>
          <w:color w:val="auto"/>
          <w:sz w:val="24"/>
          <w:szCs w:val="24"/>
          <w:highlight w:val="none"/>
          <w:lang w:eastAsia="zh-CN"/>
        </w:rPr>
        <w:t>剥</w:t>
      </w:r>
      <w:r>
        <w:rPr>
          <w:rFonts w:hint="eastAsia" w:ascii="宋体" w:hAnsi="宋体" w:eastAsia="宋体" w:cs="宋体"/>
          <w:color w:val="auto"/>
          <w:sz w:val="24"/>
          <w:szCs w:val="24"/>
          <w:highlight w:val="none"/>
        </w:rPr>
        <w:t>夺政治权利。</w:t>
      </w:r>
    </w:p>
    <w:p w14:paraId="2D70942A">
      <w:pPr>
        <w:pStyle w:val="3"/>
        <w:shd w:val="clear"/>
        <w:spacing w:before="0" w:after="0"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、拒绝商业贿赂</w:t>
      </w:r>
    </w:p>
    <w:p w14:paraId="7A11FDB3">
      <w:pPr>
        <w:shd w:val="clea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1、遵照陕西省财政厅的规定，采购人、采购代理机构、供应商和评审专家在磋商活动中，都要签订相应的《拒绝政府采购领域商业贿赂承诺书》，并对违反承诺的行为承担全部责任。</w:t>
      </w:r>
    </w:p>
    <w:p w14:paraId="70628FA4">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2、供应商必须填写一份《拒绝政府采购领域商业贿赂承诺书》（附件）并附在磋商响应文</w:t>
      </w:r>
      <w:r>
        <w:rPr>
          <w:rFonts w:hint="eastAsia" w:ascii="宋体" w:hAnsi="宋体" w:eastAsia="宋体" w:cs="宋体"/>
          <w:color w:val="auto"/>
          <w:sz w:val="24"/>
          <w:highlight w:val="none"/>
        </w:rPr>
        <w:t>件中。</w:t>
      </w:r>
    </w:p>
    <w:p w14:paraId="4D93A48E">
      <w:pPr>
        <w:shd w:val="clea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47EC1784">
      <w:pPr>
        <w:pStyle w:val="2"/>
        <w:numPr>
          <w:ilvl w:val="0"/>
          <w:numId w:val="0"/>
        </w:numPr>
        <w:shd w:val="clear"/>
        <w:spacing w:before="0" w:after="0"/>
        <w:jc w:val="center"/>
        <w:outlineLvl w:val="0"/>
        <w:rPr>
          <w:rFonts w:hint="eastAsia" w:ascii="宋体" w:hAnsi="宋体" w:eastAsia="宋体" w:cs="宋体"/>
          <w:lang w:val="en-US" w:eastAsia="zh-CN"/>
        </w:rPr>
      </w:pPr>
      <w:r>
        <w:rPr>
          <w:rFonts w:hint="eastAsia" w:ascii="宋体" w:hAnsi="宋体" w:eastAsia="宋体" w:cs="宋体"/>
          <w:b/>
          <w:kern w:val="44"/>
          <w:sz w:val="48"/>
          <w:szCs w:val="48"/>
          <w:lang w:val="en-US" w:eastAsia="zh-CN" w:bidi="ar"/>
        </w:rPr>
        <w:t>第三章</w:t>
      </w:r>
      <w:r>
        <w:rPr>
          <w:rFonts w:hint="eastAsia" w:ascii="宋体" w:hAnsi="宋体" w:eastAsia="宋体" w:cs="宋体"/>
          <w:b/>
          <w:bCs/>
          <w:color w:val="auto"/>
          <w:kern w:val="2"/>
          <w:sz w:val="44"/>
          <w:szCs w:val="44"/>
          <w:highlight w:val="none"/>
          <w:lang w:val="en-US" w:eastAsia="zh-CN"/>
        </w:rPr>
        <w:t xml:space="preserve"> </w:t>
      </w:r>
      <w:bookmarkStart w:id="45" w:name="_Toc7531"/>
      <w:r>
        <w:rPr>
          <w:rFonts w:hint="eastAsia" w:ascii="宋体" w:hAnsi="宋体" w:eastAsia="宋体" w:cs="宋体"/>
          <w:b/>
          <w:bCs/>
          <w:color w:val="auto"/>
          <w:kern w:val="2"/>
          <w:sz w:val="44"/>
          <w:szCs w:val="44"/>
          <w:highlight w:val="none"/>
          <w:lang w:eastAsia="zh-CN"/>
        </w:rPr>
        <w:t>工程量清单</w:t>
      </w:r>
      <w:bookmarkEnd w:id="45"/>
      <w:bookmarkStart w:id="46" w:name="_Toc28749"/>
      <w:bookmarkStart w:id="47" w:name="_Toc7453886"/>
    </w:p>
    <w:p w14:paraId="5F980354">
      <w:pPr>
        <w:keepNext w:val="0"/>
        <w:keepLines w:val="0"/>
        <w:pageBreakBefore w:val="0"/>
        <w:widowControl w:val="0"/>
        <w:kinsoku/>
        <w:wordWrap/>
        <w:overflowPunct/>
        <w:topLinePunct w:val="0"/>
        <w:autoSpaceDE/>
        <w:autoSpaceDN/>
        <w:bidi w:val="0"/>
        <w:adjustRightInd/>
        <w:snapToGrid/>
        <w:spacing w:after="160" w:line="0" w:lineRule="atLeast"/>
        <w:jc w:val="center"/>
        <w:textAlignment w:val="auto"/>
        <w:rPr>
          <w:rFonts w:hint="eastAsia" w:ascii="宋体" w:hAnsi="宋体" w:eastAsia="宋体" w:cs="宋体"/>
          <w:b/>
          <w:bCs w:val="0"/>
          <w:sz w:val="32"/>
          <w:szCs w:val="32"/>
          <w:lang w:val="en-US" w:eastAsia="zh-CN"/>
        </w:rPr>
      </w:pPr>
      <w:r>
        <w:rPr>
          <w:rFonts w:hint="eastAsia" w:ascii="宋体" w:hAnsi="宋体" w:cs="宋体"/>
          <w:b/>
          <w:bCs w:val="0"/>
          <w:sz w:val="32"/>
          <w:szCs w:val="32"/>
          <w:lang w:eastAsia="zh-CN"/>
        </w:rPr>
        <w:t>2025年河口镇安河寺村水毁道路修复项目</w:t>
      </w:r>
    </w:p>
    <w:p w14:paraId="5EA67CD6">
      <w:pPr>
        <w:keepNext w:val="0"/>
        <w:keepLines w:val="0"/>
        <w:pageBreakBefore w:val="0"/>
        <w:widowControl w:val="0"/>
        <w:kinsoku/>
        <w:wordWrap/>
        <w:overflowPunct/>
        <w:topLinePunct w:val="0"/>
        <w:autoSpaceDE/>
        <w:autoSpaceDN/>
        <w:bidi w:val="0"/>
        <w:adjustRightInd/>
        <w:snapToGrid/>
        <w:spacing w:after="160" w:line="0" w:lineRule="atLeast"/>
        <w:jc w:val="center"/>
        <w:textAlignment w:val="auto"/>
        <w:rPr>
          <w:rFonts w:hint="eastAsia" w:ascii="宋体" w:hAnsi="宋体" w:eastAsia="宋体" w:cs="宋体"/>
          <w:sz w:val="28"/>
          <w:szCs w:val="28"/>
          <w:lang w:eastAsia="zh-CN"/>
        </w:rPr>
      </w:pPr>
      <w:r>
        <w:rPr>
          <w:rFonts w:hint="eastAsia" w:ascii="宋体" w:hAnsi="宋体" w:eastAsia="宋体" w:cs="宋体"/>
          <w:b/>
          <w:bCs w:val="0"/>
          <w:sz w:val="28"/>
          <w:szCs w:val="28"/>
          <w:lang w:eastAsia="zh-CN"/>
        </w:rPr>
        <w:t>编制说明</w:t>
      </w:r>
    </w:p>
    <w:p w14:paraId="0F595555">
      <w:pPr>
        <w:widowControl w:val="0"/>
        <w:spacing w:line="432" w:lineRule="auto"/>
        <w:rPr>
          <w:rFonts w:hint="eastAsia" w:ascii="宋体" w:hAnsi="宋体" w:eastAsia="宋体" w:cs="宋体"/>
          <w:b/>
          <w:bCs/>
          <w:sz w:val="24"/>
          <w:szCs w:val="24"/>
        </w:rPr>
      </w:pPr>
      <w:r>
        <w:rPr>
          <w:rFonts w:hint="eastAsia" w:ascii="宋体" w:hAnsi="宋体" w:eastAsia="宋体" w:cs="宋体"/>
          <w:b/>
          <w:bCs/>
          <w:sz w:val="24"/>
          <w:szCs w:val="24"/>
        </w:rPr>
        <w:t xml:space="preserve">一、编制依据  </w:t>
      </w:r>
    </w:p>
    <w:p w14:paraId="1DF28A91">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1、《陕西省住房和城乡建设厅关于印发2025陕西省建设工程费用规则等计价依据的通知（陕建管发[2025]10号）》；</w:t>
      </w:r>
    </w:p>
    <w:p w14:paraId="5CE4C73D">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2、《建设工程、房屋建筑与装饰工程、通用安装工程、市政工程、园林绿化工程工程量清单计价标准（DB 61/T5130-2025）》；</w:t>
      </w:r>
    </w:p>
    <w:p w14:paraId="736BCB82">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3、《陕西省建设工程费用规则（2025）》；</w:t>
      </w:r>
    </w:p>
    <w:p w14:paraId="2B088EF9">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4、《陕西省房屋建筑与装饰工程、通用安装工程、市政工程、园林绿化工程、城市地下综合管廊工程、绿色建筑工程消耗量定额（2025）》；</w:t>
      </w:r>
    </w:p>
    <w:p w14:paraId="526EAF5C">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5、《陕西省房屋建筑与装饰工程、通用安装工程、市政工程、园林绿化工程、城市地下综合管廊工程、绿色建筑工程基价表（2025）》；</w:t>
      </w:r>
    </w:p>
    <w:p w14:paraId="7B51B70C">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6、《陕西省建设工程施工机械台班及施工仪器仪表台班费用定额（2025）》；</w:t>
      </w:r>
    </w:p>
    <w:p w14:paraId="0E78E4A8">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7、其他相关文件等。</w:t>
      </w:r>
    </w:p>
    <w:p w14:paraId="07A1A1B4">
      <w:pPr>
        <w:widowControl w:val="0"/>
        <w:spacing w:line="432" w:lineRule="auto"/>
        <w:rPr>
          <w:rFonts w:hint="eastAsia" w:ascii="宋体" w:hAnsi="宋体" w:eastAsia="宋体" w:cs="宋体"/>
          <w:b/>
          <w:bCs/>
          <w:sz w:val="24"/>
          <w:szCs w:val="24"/>
        </w:rPr>
      </w:pPr>
      <w:r>
        <w:rPr>
          <w:rFonts w:hint="eastAsia" w:ascii="宋体" w:hAnsi="宋体" w:eastAsia="宋体" w:cs="宋体"/>
          <w:b/>
          <w:bCs/>
          <w:sz w:val="24"/>
          <w:szCs w:val="24"/>
          <w:lang w:eastAsia="zh-CN"/>
        </w:rPr>
        <w:t>二</w:t>
      </w:r>
      <w:r>
        <w:rPr>
          <w:rFonts w:hint="eastAsia" w:ascii="宋体" w:hAnsi="宋体" w:eastAsia="宋体" w:cs="宋体"/>
          <w:b/>
          <w:bCs/>
          <w:sz w:val="24"/>
          <w:szCs w:val="24"/>
        </w:rPr>
        <w:t>、编制范围</w:t>
      </w:r>
    </w:p>
    <w:p w14:paraId="0178E4B2">
      <w:pPr>
        <w:pStyle w:val="10"/>
        <w:spacing w:after="0" w:line="43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工程量清单范围内的全部内容。</w:t>
      </w:r>
    </w:p>
    <w:p w14:paraId="0ADFC79C">
      <w:pPr>
        <w:widowControl w:val="0"/>
        <w:spacing w:line="432" w:lineRule="auto"/>
        <w:rPr>
          <w:rFonts w:hint="eastAsia" w:ascii="宋体" w:hAnsi="宋体" w:eastAsia="宋体" w:cs="宋体"/>
          <w:b/>
          <w:bCs/>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、软件版本</w:t>
      </w:r>
    </w:p>
    <w:p w14:paraId="01B76285">
      <w:pPr>
        <w:widowControl w:val="0"/>
        <w:spacing w:line="432"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广联达云计价平台GCCP7.0</w:t>
      </w:r>
    </w:p>
    <w:p w14:paraId="4C0FE0E1">
      <w:pPr>
        <w:widowControl w:val="0"/>
        <w:spacing w:line="432" w:lineRule="auto"/>
        <w:rPr>
          <w:rFonts w:hint="eastAsia" w:ascii="宋体" w:hAnsi="宋体" w:eastAsia="宋体" w:cs="宋体"/>
          <w:b/>
          <w:bCs/>
          <w:sz w:val="24"/>
          <w:szCs w:val="24"/>
        </w:rPr>
      </w:pPr>
      <w:r>
        <w:rPr>
          <w:rFonts w:hint="eastAsia" w:ascii="宋体" w:hAnsi="宋体" w:eastAsia="宋体" w:cs="宋体"/>
          <w:b/>
          <w:bCs/>
          <w:sz w:val="24"/>
          <w:szCs w:val="24"/>
          <w:lang w:eastAsia="zh-CN"/>
        </w:rPr>
        <w:t>四</w:t>
      </w:r>
      <w:r>
        <w:rPr>
          <w:rFonts w:hint="eastAsia" w:ascii="宋体" w:hAnsi="宋体" w:eastAsia="宋体" w:cs="宋体"/>
          <w:b/>
          <w:bCs/>
          <w:sz w:val="24"/>
          <w:szCs w:val="24"/>
        </w:rPr>
        <w:t>、其他说明</w:t>
      </w:r>
    </w:p>
    <w:p w14:paraId="295D79D4">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人工工日单价依据《陕西省建设工程费用规则（2025）》执行，人工工日单价中含个人缴纳的社会保障保险费用，未包含用人单位缴纳的建筑工人社保费用（用人单位缴纳的建筑工人社保费用按照计费基础人工费的16.19%单独计取）。具体如下：</w:t>
      </w:r>
    </w:p>
    <w:p w14:paraId="39FD71F5">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（1）综合一类工</w:t>
      </w:r>
    </w:p>
    <w:p w14:paraId="063B8FD0">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单价155元/工日（房屋建筑与装饰工程、通用安装工程、市政工程、城市地下综合管廊工程、园林绿化工程、绿色建筑工程）。</w:t>
      </w:r>
    </w:p>
    <w:p w14:paraId="4D2761B5">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（2）综合二类工</w:t>
      </w:r>
    </w:p>
    <w:p w14:paraId="51AB8B07">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①单价190元/工日（房屋建筑与装饰工程）；</w:t>
      </w:r>
    </w:p>
    <w:p w14:paraId="304FF60D">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②单价186元/工日（通用安装工程）；</w:t>
      </w:r>
    </w:p>
    <w:p w14:paraId="59CBC59D">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③单价185元/工日（市政工程、城市地下综合管廊工程）；</w:t>
      </w:r>
    </w:p>
    <w:p w14:paraId="32470C79">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④单价160元/工日（园林绿化工程、绿色建筑工程）。</w:t>
      </w:r>
    </w:p>
    <w:p w14:paraId="68F997D9">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（3）综合三类工</w:t>
      </w:r>
    </w:p>
    <w:p w14:paraId="47D5DE62">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单价215元/工日（房屋建筑与装饰工程、通用安装工程、市政工程、城市地下综合管廊工程、园林绿化工程、绿色建筑工程）。</w:t>
      </w:r>
    </w:p>
    <w:p w14:paraId="7B368A53">
      <w:pPr>
        <w:widowControl w:val="0"/>
        <w:shd w:val="clear" w:color="auto" w:fill="FFFFFF"/>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2、主要材料单价参照《宝鸡市建筑动态与材料信息（2025年第</w:t>
      </w:r>
      <w:r>
        <w:rPr>
          <w:rFonts w:hint="eastAsia" w:ascii="宋体" w:hAnsi="宋体" w:eastAsia="宋体" w:cs="宋体"/>
          <w:sz w:val="24"/>
          <w:szCs w:val="24"/>
          <w:lang w:val="en-US" w:eastAsia="zh-CN"/>
        </w:rPr>
        <w:t>2</w:t>
      </w:r>
      <w:r>
        <w:rPr>
          <w:rFonts w:hint="eastAsia" w:ascii="宋体" w:hAnsi="宋体" w:eastAsia="宋体" w:cs="宋体"/>
          <w:sz w:val="24"/>
          <w:szCs w:val="24"/>
        </w:rPr>
        <w:t>期）》及市场价计入。</w:t>
      </w:r>
    </w:p>
    <w:p w14:paraId="64C4B4E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lang w:val="en-US" w:eastAsia="zh-CN"/>
        </w:rPr>
      </w:pPr>
    </w:p>
    <w:p w14:paraId="2F23D294">
      <w:pPr>
        <w:shd w:val="clear"/>
        <w:rPr>
          <w:rFonts w:hint="eastAsia" w:ascii="宋体" w:hAnsi="宋体" w:eastAsia="宋体" w:cs="宋体"/>
          <w:b/>
          <w:bCs/>
          <w:color w:val="auto"/>
          <w:kern w:val="2"/>
          <w:sz w:val="44"/>
          <w:szCs w:val="44"/>
          <w:highlight w:val="none"/>
          <w:lang w:val="en-US" w:eastAsia="zh-CN"/>
        </w:rPr>
      </w:pPr>
    </w:p>
    <w:p w14:paraId="202FFC8C">
      <w:pPr>
        <w:rPr>
          <w:rFonts w:hint="eastAsia" w:ascii="宋体" w:hAnsi="宋体" w:eastAsia="宋体" w:cs="宋体"/>
          <w:b/>
          <w:bCs/>
          <w:color w:val="auto"/>
          <w:kern w:val="2"/>
          <w:sz w:val="44"/>
          <w:szCs w:val="44"/>
          <w:highlight w:val="none"/>
          <w:lang w:val="en-US" w:eastAsia="zh-CN"/>
        </w:rPr>
      </w:pPr>
    </w:p>
    <w:p w14:paraId="296FC270">
      <w:pPr>
        <w:rPr>
          <w:rFonts w:hint="eastAsia" w:ascii="宋体" w:hAnsi="宋体" w:eastAsia="宋体" w:cs="宋体"/>
          <w:b/>
          <w:bCs/>
          <w:color w:val="auto"/>
          <w:kern w:val="2"/>
          <w:sz w:val="44"/>
          <w:szCs w:val="44"/>
          <w:highlight w:val="none"/>
          <w:lang w:val="en-US" w:eastAsia="zh-CN"/>
        </w:rPr>
      </w:pPr>
      <w:r>
        <w:rPr>
          <w:rFonts w:hint="eastAsia" w:ascii="宋体" w:hAnsi="宋体" w:eastAsia="宋体" w:cs="宋体"/>
          <w:b/>
          <w:bCs/>
          <w:color w:val="auto"/>
          <w:kern w:val="2"/>
          <w:sz w:val="44"/>
          <w:szCs w:val="44"/>
          <w:highlight w:val="none"/>
          <w:lang w:val="en-US" w:eastAsia="zh-CN"/>
        </w:rPr>
        <w:br w:type="page"/>
      </w:r>
    </w:p>
    <w:p w14:paraId="7A6A5A07">
      <w:pPr>
        <w:rPr>
          <w:rFonts w:hint="eastAsia" w:ascii="宋体" w:hAnsi="宋体" w:eastAsia="宋体" w:cs="宋体"/>
          <w:b/>
          <w:bCs/>
          <w:color w:val="auto"/>
          <w:kern w:val="2"/>
          <w:sz w:val="44"/>
          <w:szCs w:val="44"/>
          <w:highlight w:val="none"/>
          <w:lang w:val="en-US" w:eastAsia="zh-CN"/>
        </w:rPr>
      </w:pPr>
      <w:r>
        <w:rPr>
          <w:rFonts w:hint="eastAsia" w:ascii="宋体" w:hAnsi="宋体" w:eastAsia="宋体" w:cs="宋体"/>
          <w:b/>
          <w:bCs/>
          <w:color w:val="auto"/>
          <w:kern w:val="2"/>
          <w:sz w:val="44"/>
          <w:szCs w:val="44"/>
          <w:highlight w:val="none"/>
          <w:lang w:val="en-US" w:eastAsia="zh-CN"/>
        </w:rPr>
        <w:drawing>
          <wp:inline distT="0" distB="0" distL="114300" distR="114300">
            <wp:extent cx="6151880" cy="8705215"/>
            <wp:effectExtent l="0" t="0" r="1270" b="635"/>
            <wp:docPr id="5" name="图片 5" descr="2025年河口镇安河寺村水毁道路修复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年河口镇安河寺村水毁道路修复项目-工程量清单_02"/>
                    <pic:cNvPicPr>
                      <a:picLocks noChangeAspect="1"/>
                    </pic:cNvPicPr>
                  </pic:nvPicPr>
                  <pic:blipFill>
                    <a:blip r:embed="rId21"/>
                    <a:stretch>
                      <a:fillRect/>
                    </a:stretch>
                  </pic:blipFill>
                  <pic:spPr>
                    <a:xfrm>
                      <a:off x="0" y="0"/>
                      <a:ext cx="6151880" cy="8705215"/>
                    </a:xfrm>
                    <a:prstGeom prst="rect">
                      <a:avLst/>
                    </a:prstGeom>
                  </pic:spPr>
                </pic:pic>
              </a:graphicData>
            </a:graphic>
          </wp:inline>
        </w:drawing>
      </w:r>
      <w:r>
        <w:rPr>
          <w:rFonts w:hint="eastAsia" w:ascii="宋体" w:hAnsi="宋体" w:eastAsia="宋体" w:cs="宋体"/>
          <w:b/>
          <w:bCs/>
          <w:color w:val="auto"/>
          <w:kern w:val="2"/>
          <w:sz w:val="44"/>
          <w:szCs w:val="44"/>
          <w:highlight w:val="none"/>
          <w:lang w:val="en-US" w:eastAsia="zh-CN"/>
        </w:rPr>
        <w:drawing>
          <wp:inline distT="0" distB="0" distL="114300" distR="114300">
            <wp:extent cx="6151880" cy="8705215"/>
            <wp:effectExtent l="0" t="0" r="1270" b="635"/>
            <wp:docPr id="3" name="图片 3" descr="2025年河口镇安河寺村水毁道路修复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河口镇安河寺村水毁道路修复项目-工程量清单_03"/>
                    <pic:cNvPicPr>
                      <a:picLocks noChangeAspect="1"/>
                    </pic:cNvPicPr>
                  </pic:nvPicPr>
                  <pic:blipFill>
                    <a:blip r:embed="rId22"/>
                    <a:stretch>
                      <a:fillRect/>
                    </a:stretch>
                  </pic:blipFill>
                  <pic:spPr>
                    <a:xfrm>
                      <a:off x="0" y="0"/>
                      <a:ext cx="6151880" cy="8705215"/>
                    </a:xfrm>
                    <a:prstGeom prst="rect">
                      <a:avLst/>
                    </a:prstGeom>
                  </pic:spPr>
                </pic:pic>
              </a:graphicData>
            </a:graphic>
          </wp:inline>
        </w:drawing>
      </w:r>
      <w:r>
        <w:rPr>
          <w:rFonts w:hint="eastAsia" w:ascii="宋体" w:hAnsi="宋体" w:eastAsia="宋体" w:cs="宋体"/>
          <w:b/>
          <w:bCs/>
          <w:color w:val="auto"/>
          <w:kern w:val="2"/>
          <w:sz w:val="44"/>
          <w:szCs w:val="44"/>
          <w:highlight w:val="none"/>
          <w:lang w:val="en-US" w:eastAsia="zh-CN"/>
        </w:rPr>
        <w:drawing>
          <wp:inline distT="0" distB="0" distL="114300" distR="114300">
            <wp:extent cx="6151880" cy="8705215"/>
            <wp:effectExtent l="0" t="0" r="1270" b="635"/>
            <wp:docPr id="2" name="图片 2" descr="2025年河口镇安河寺村水毁道路修复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年河口镇安河寺村水毁道路修复项目-工程量清单_04"/>
                    <pic:cNvPicPr>
                      <a:picLocks noChangeAspect="1"/>
                    </pic:cNvPicPr>
                  </pic:nvPicPr>
                  <pic:blipFill>
                    <a:blip r:embed="rId23"/>
                    <a:stretch>
                      <a:fillRect/>
                    </a:stretch>
                  </pic:blipFill>
                  <pic:spPr>
                    <a:xfrm>
                      <a:off x="0" y="0"/>
                      <a:ext cx="6151880" cy="8705215"/>
                    </a:xfrm>
                    <a:prstGeom prst="rect">
                      <a:avLst/>
                    </a:prstGeom>
                  </pic:spPr>
                </pic:pic>
              </a:graphicData>
            </a:graphic>
          </wp:inline>
        </w:drawing>
      </w:r>
      <w:r>
        <w:rPr>
          <w:rFonts w:hint="eastAsia" w:ascii="宋体" w:hAnsi="宋体" w:eastAsia="宋体" w:cs="宋体"/>
          <w:b/>
          <w:bCs/>
          <w:color w:val="auto"/>
          <w:kern w:val="2"/>
          <w:sz w:val="44"/>
          <w:szCs w:val="44"/>
          <w:highlight w:val="none"/>
          <w:lang w:val="en-US" w:eastAsia="zh-CN"/>
        </w:rPr>
        <w:drawing>
          <wp:inline distT="0" distB="0" distL="114300" distR="114300">
            <wp:extent cx="6151880" cy="8705215"/>
            <wp:effectExtent l="0" t="0" r="1270" b="635"/>
            <wp:docPr id="1" name="图片 1" descr="2025年河口镇安河寺村水毁道路修复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年河口镇安河寺村水毁道路修复项目-工程量清单_05"/>
                    <pic:cNvPicPr>
                      <a:picLocks noChangeAspect="1"/>
                    </pic:cNvPicPr>
                  </pic:nvPicPr>
                  <pic:blipFill>
                    <a:blip r:embed="rId24"/>
                    <a:stretch>
                      <a:fillRect/>
                    </a:stretch>
                  </pic:blipFill>
                  <pic:spPr>
                    <a:xfrm>
                      <a:off x="0" y="0"/>
                      <a:ext cx="6151880" cy="8705215"/>
                    </a:xfrm>
                    <a:prstGeom prst="rect">
                      <a:avLst/>
                    </a:prstGeom>
                  </pic:spPr>
                </pic:pic>
              </a:graphicData>
            </a:graphic>
          </wp:inline>
        </w:drawing>
      </w:r>
      <w:r>
        <w:rPr>
          <w:rFonts w:hint="eastAsia" w:ascii="宋体" w:hAnsi="宋体" w:eastAsia="宋体" w:cs="宋体"/>
          <w:b/>
          <w:bCs/>
          <w:color w:val="auto"/>
          <w:kern w:val="2"/>
          <w:sz w:val="44"/>
          <w:szCs w:val="44"/>
          <w:highlight w:val="none"/>
          <w:lang w:val="en-US" w:eastAsia="zh-CN"/>
        </w:rPr>
        <w:br w:type="page"/>
      </w:r>
    </w:p>
    <w:p w14:paraId="3A53EEBD">
      <w:pPr>
        <w:pStyle w:val="2"/>
        <w:numPr>
          <w:ilvl w:val="0"/>
          <w:numId w:val="0"/>
        </w:numPr>
        <w:shd w:val="clear"/>
        <w:spacing w:before="0" w:after="0"/>
        <w:jc w:val="center"/>
        <w:outlineLvl w:val="0"/>
        <w:rPr>
          <w:rFonts w:hint="eastAsia" w:ascii="宋体" w:hAnsi="宋体" w:eastAsia="宋体" w:cs="宋体"/>
          <w:b/>
          <w:bCs/>
          <w:color w:val="auto"/>
          <w:kern w:val="2"/>
          <w:sz w:val="44"/>
          <w:szCs w:val="44"/>
          <w:highlight w:val="none"/>
        </w:rPr>
      </w:pPr>
      <w:r>
        <w:rPr>
          <w:rFonts w:hint="eastAsia" w:ascii="宋体" w:hAnsi="宋体" w:eastAsia="宋体" w:cs="宋体"/>
          <w:b/>
          <w:bCs/>
          <w:color w:val="auto"/>
          <w:kern w:val="2"/>
          <w:sz w:val="44"/>
          <w:szCs w:val="44"/>
          <w:highlight w:val="none"/>
          <w:lang w:val="en-US" w:eastAsia="zh-CN"/>
        </w:rPr>
        <w:t xml:space="preserve">第四章 </w:t>
      </w:r>
      <w:r>
        <w:rPr>
          <w:rFonts w:hint="eastAsia" w:ascii="宋体" w:hAnsi="宋体" w:eastAsia="宋体" w:cs="宋体"/>
          <w:b/>
          <w:bCs/>
          <w:color w:val="auto"/>
          <w:kern w:val="2"/>
          <w:sz w:val="44"/>
          <w:szCs w:val="44"/>
          <w:highlight w:val="none"/>
        </w:rPr>
        <w:t>商务要求</w:t>
      </w:r>
      <w:bookmarkEnd w:id="46"/>
      <w:bookmarkEnd w:id="47"/>
    </w:p>
    <w:p w14:paraId="41E4B710">
      <w:pPr>
        <w:numPr>
          <w:ilvl w:val="0"/>
          <w:numId w:val="3"/>
        </w:numPr>
        <w:shd w:val="clear"/>
        <w:spacing w:before="0" w:after="0" w:line="360" w:lineRule="auto"/>
        <w:jc w:val="both"/>
        <w:outlineLvl w:val="9"/>
        <w:rPr>
          <w:rFonts w:hint="eastAsia" w:ascii="宋体" w:hAnsi="宋体" w:eastAsia="宋体" w:cs="宋体"/>
          <w:color w:val="auto"/>
          <w:sz w:val="24"/>
          <w:highlight w:val="none"/>
        </w:rPr>
      </w:pPr>
      <w:bookmarkStart w:id="48" w:name="_Toc459049734"/>
      <w:bookmarkStart w:id="49" w:name="_Toc7453887"/>
      <w:bookmarkStart w:id="50" w:name="_Toc459125993"/>
      <w:bookmarkStart w:id="51" w:name="_Toc459049903"/>
      <w:bookmarkStart w:id="52" w:name="_Toc459142238"/>
      <w:r>
        <w:rPr>
          <w:rFonts w:hint="eastAsia" w:ascii="宋体" w:hAnsi="宋体" w:eastAsia="宋体" w:cs="宋体"/>
          <w:color w:val="auto"/>
          <w:sz w:val="24"/>
          <w:highlight w:val="none"/>
          <w:lang w:eastAsia="zh-CN"/>
        </w:rPr>
        <w:t>最高限价、</w:t>
      </w:r>
      <w:r>
        <w:rPr>
          <w:rFonts w:hint="eastAsia" w:ascii="宋体" w:hAnsi="宋体" w:eastAsia="宋体" w:cs="宋体"/>
          <w:color w:val="auto"/>
          <w:sz w:val="24"/>
          <w:highlight w:val="none"/>
        </w:rPr>
        <w:t>工期</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w:t>
      </w:r>
    </w:p>
    <w:p w14:paraId="1369F1C5">
      <w:pPr>
        <w:shd w:val="clear"/>
        <w:snapToGrid w:val="0"/>
        <w:spacing w:line="480" w:lineRule="exact"/>
        <w:ind w:firstLine="480" w:firstLineChars="200"/>
        <w:rPr>
          <w:rFonts w:hint="eastAsia" w:ascii="宋体" w:hAnsi="宋体" w:eastAsia="宋体" w:cs="宋体"/>
          <w:color w:val="FF0000"/>
          <w:sz w:val="24"/>
          <w:highlight w:val="none"/>
          <w:lang w:val="en-US" w:eastAsia="zh-CN"/>
        </w:rPr>
      </w:pP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本项目最高限价：578993.38元（超出该价为无效报价）。</w:t>
      </w:r>
    </w:p>
    <w:p w14:paraId="2B40080C">
      <w:pPr>
        <w:shd w:val="clear"/>
        <w:snapToGrid w:val="0"/>
        <w:spacing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2、工 期：</w:t>
      </w:r>
      <w:r>
        <w:rPr>
          <w:rFonts w:hint="eastAsia" w:ascii="宋体" w:hAnsi="宋体" w:cs="宋体"/>
          <w:color w:val="auto"/>
          <w:sz w:val="24"/>
          <w:highlight w:val="none"/>
          <w:lang w:val="en-US" w:eastAsia="zh-CN"/>
        </w:rPr>
        <w:t>自合同签订之日起60日历天内完成</w:t>
      </w:r>
    </w:p>
    <w:p w14:paraId="44DF8D6D">
      <w:pPr>
        <w:shd w:val="clear"/>
        <w:snapToGrid w:val="0"/>
        <w:spacing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3、质量</w:t>
      </w:r>
      <w:r>
        <w:rPr>
          <w:rFonts w:hint="eastAsia" w:ascii="宋体" w:hAnsi="宋体" w:cs="宋体"/>
          <w:color w:val="auto"/>
          <w:sz w:val="24"/>
          <w:highlight w:val="none"/>
          <w:lang w:val="en-US" w:eastAsia="zh-CN"/>
        </w:rPr>
        <w:t>标准</w:t>
      </w:r>
      <w:r>
        <w:rPr>
          <w:rFonts w:hint="eastAsia" w:ascii="宋体" w:hAnsi="宋体" w:eastAsia="宋体" w:cs="宋体"/>
          <w:color w:val="auto"/>
          <w:sz w:val="24"/>
          <w:highlight w:val="none"/>
          <w:lang w:val="en-US" w:eastAsia="zh-CN"/>
        </w:rPr>
        <w:t>：合格</w:t>
      </w:r>
    </w:p>
    <w:p w14:paraId="2AB6ACC4">
      <w:pPr>
        <w:shd w:val="clear"/>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二、运输、施工：</w:t>
      </w:r>
    </w:p>
    <w:p w14:paraId="4A337E24">
      <w:pPr>
        <w:shd w:val="clear"/>
        <w:snapToGrid w:val="0"/>
        <w:spacing w:line="480" w:lineRule="exact"/>
        <w:ind w:firstLine="480" w:firstLineChars="200"/>
        <w:rPr>
          <w:rFonts w:hint="eastAsia" w:ascii="宋体" w:hAnsi="宋体" w:eastAsia="宋体" w:cs="宋体"/>
          <w:color w:val="auto"/>
          <w:sz w:val="24"/>
          <w:highlight w:val="none"/>
        </w:rPr>
      </w:pPr>
      <w:bookmarkStart w:id="53" w:name="_Toc167714039"/>
      <w:bookmarkStart w:id="54" w:name="_Toc167715236"/>
      <w:bookmarkStart w:id="55" w:name="_Toc167712841"/>
      <w:r>
        <w:rPr>
          <w:rFonts w:hint="eastAsia" w:ascii="宋体" w:hAnsi="宋体" w:eastAsia="宋体" w:cs="宋体"/>
          <w:color w:val="auto"/>
          <w:sz w:val="24"/>
          <w:highlight w:val="none"/>
        </w:rPr>
        <w:t>成交人负责</w:t>
      </w:r>
      <w:r>
        <w:rPr>
          <w:rFonts w:hint="eastAsia" w:ascii="宋体" w:hAnsi="宋体" w:eastAsia="宋体" w:cs="宋体"/>
          <w:color w:val="auto"/>
          <w:sz w:val="24"/>
          <w:highlight w:val="none"/>
          <w:lang w:eastAsia="zh-CN"/>
        </w:rPr>
        <w:t>材料</w:t>
      </w:r>
      <w:r>
        <w:rPr>
          <w:rFonts w:hint="eastAsia" w:ascii="宋体" w:hAnsi="宋体" w:eastAsia="宋体" w:cs="宋体"/>
          <w:color w:val="auto"/>
          <w:sz w:val="24"/>
          <w:highlight w:val="none"/>
        </w:rPr>
        <w:t>的运输、</w:t>
      </w:r>
      <w:r>
        <w:rPr>
          <w:rFonts w:hint="eastAsia" w:ascii="宋体" w:hAnsi="宋体" w:eastAsia="宋体" w:cs="宋体"/>
          <w:color w:val="auto"/>
          <w:sz w:val="24"/>
          <w:highlight w:val="none"/>
          <w:lang w:eastAsia="zh-CN"/>
        </w:rPr>
        <w:t>施工</w:t>
      </w:r>
      <w:r>
        <w:rPr>
          <w:rFonts w:hint="eastAsia" w:ascii="宋体" w:hAnsi="宋体" w:eastAsia="宋体" w:cs="宋体"/>
          <w:color w:val="auto"/>
          <w:sz w:val="24"/>
          <w:highlight w:val="none"/>
        </w:rPr>
        <w:t>及其他伴随服务。</w:t>
      </w:r>
      <w:bookmarkEnd w:id="53"/>
      <w:bookmarkEnd w:id="54"/>
      <w:bookmarkEnd w:id="55"/>
    </w:p>
    <w:p w14:paraId="150EC287">
      <w:pPr>
        <w:shd w:val="clear"/>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付款方式：</w:t>
      </w:r>
    </w:p>
    <w:p w14:paraId="211BF1E4">
      <w:pPr>
        <w:shd w:val="clear"/>
        <w:snapToGrid w:val="0"/>
        <w:spacing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合同签订后，乙方可根据需要提出申请，经甲方签字同意后，由甲方向乙方支付30%的项目预付款，其余项目款依据己完</w:t>
      </w:r>
      <w:r>
        <w:rPr>
          <w:rFonts w:hint="eastAsia" w:ascii="宋体" w:hAnsi="宋体" w:cs="宋体"/>
          <w:color w:val="auto"/>
          <w:sz w:val="24"/>
          <w:highlight w:val="none"/>
          <w:lang w:val="en-US" w:eastAsia="zh-CN"/>
        </w:rPr>
        <w:t>工程</w:t>
      </w:r>
      <w:r>
        <w:rPr>
          <w:rFonts w:hint="eastAsia" w:ascii="宋体" w:hAnsi="宋体" w:eastAsia="宋体" w:cs="宋体"/>
          <w:color w:val="auto"/>
          <w:sz w:val="24"/>
          <w:highlight w:val="none"/>
          <w:lang w:val="en-US" w:eastAsia="zh-CN"/>
        </w:rPr>
        <w:t>量按进度支付。</w:t>
      </w:r>
    </w:p>
    <w:p w14:paraId="424E578B">
      <w:pPr>
        <w:shd w:val="clear"/>
        <w:snapToGrid w:val="0"/>
        <w:spacing w:line="4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四、施工要求：</w:t>
      </w:r>
    </w:p>
    <w:p w14:paraId="35B7F9B2">
      <w:pPr>
        <w:shd w:val="clea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1、成交人在施工期间应严格遵守国家、省、市有关防火、爆破和施工安全以及文明施工、深夜施工、环卫和城管等规定，建立规章制度和防护措施, 应按安全施工的要求，采取严格科学的安全措施，确保施工安全和第三者的安全，确保工程质量和生产安全。否则，由此造成的经济和法律责任均由成交人负责。</w:t>
      </w:r>
    </w:p>
    <w:p w14:paraId="5B53ECA1">
      <w:pPr>
        <w:shd w:val="clea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2、成交人应配合项目建设进度,向采购人提供施工组织计划、进度计划和施工作业计划，并签订施工安全责任书。</w:t>
      </w:r>
    </w:p>
    <w:p w14:paraId="3B83B362">
      <w:pPr>
        <w:shd w:val="clea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3、采购人只提供电源、水源。成交人在施工期间不得破坏原有建筑。</w:t>
      </w:r>
    </w:p>
    <w:p w14:paraId="3A528084">
      <w:pPr>
        <w:shd w:val="clear"/>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五</w:t>
      </w:r>
      <w:r>
        <w:rPr>
          <w:rFonts w:hint="eastAsia" w:ascii="宋体" w:hAnsi="宋体" w:eastAsia="宋体" w:cs="宋体"/>
          <w:color w:val="auto"/>
          <w:sz w:val="24"/>
          <w:highlight w:val="none"/>
        </w:rPr>
        <w:t>、验收：</w:t>
      </w:r>
    </w:p>
    <w:p w14:paraId="238F7EC5">
      <w:pPr>
        <w:pStyle w:val="22"/>
        <w:shd w:val="clear" w:color="auto"/>
        <w:spacing w:line="48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1、验收流程</w:t>
      </w:r>
    </w:p>
    <w:p w14:paraId="4F35059D">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（1）项目在竣工后，成交人应向采购人提交工程竣工报告，申请工程竣工验收，并将施工过程中相关资料提交采购人。</w:t>
      </w:r>
    </w:p>
    <w:p w14:paraId="7BBB613D">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（2）采购人收到工程竣工报告后，对符合竣工验收要求的工程，组织相关单位和其他有关方面的专家组成验收组共同验收，签署工程竣工验收意见。</w:t>
      </w:r>
    </w:p>
    <w:p w14:paraId="596B65EA">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（3）验收合格后，采购人出具《工程竣工验收报告》，并在</w:t>
      </w:r>
      <w:r>
        <w:rPr>
          <w:rFonts w:hint="eastAsia" w:ascii="宋体" w:hAnsi="宋体" w:eastAsia="宋体" w:cs="宋体"/>
          <w:color w:val="auto"/>
          <w:sz w:val="24"/>
          <w:highlight w:val="none"/>
          <w:lang w:eastAsia="zh-CN"/>
        </w:rPr>
        <w:t>相关</w:t>
      </w:r>
      <w:r>
        <w:rPr>
          <w:rFonts w:hint="eastAsia" w:ascii="宋体" w:hAnsi="宋体" w:eastAsia="宋体" w:cs="宋体"/>
          <w:color w:val="auto"/>
          <w:sz w:val="24"/>
          <w:highlight w:val="none"/>
        </w:rPr>
        <w:t>行政主管部门备案。</w:t>
      </w:r>
    </w:p>
    <w:p w14:paraId="29C280CD">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（4）验收不合格的成交单位，必须在接到通知后7个日历日内确保工程通过验收。如接到通知后7个日历日内验收仍不合格，采购人可提出索赔或取消其施工合同。</w:t>
      </w:r>
    </w:p>
    <w:p w14:paraId="5BAEC7F4">
      <w:pPr>
        <w:shd w:val="clea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2、验收标准按照国家、行业有关规范和要求执行。</w:t>
      </w:r>
    </w:p>
    <w:p w14:paraId="06DE118F">
      <w:pPr>
        <w:shd w:val="clea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3、成交人承诺完全达到国家有关部门验收标准，并全部通过验收为交付使用的基本条件，验收过程中的一切费用由成交供应商承担。</w:t>
      </w:r>
    </w:p>
    <w:p w14:paraId="238FB262">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4、验收依据</w:t>
      </w:r>
    </w:p>
    <w:p w14:paraId="67031BAA">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（1）合同文本及合同补充文件（条款）。 </w:t>
      </w:r>
    </w:p>
    <w:p w14:paraId="788CA4E1">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（2）磋商文件。</w:t>
      </w:r>
    </w:p>
    <w:p w14:paraId="4814C45A">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（3）磋商响应文件。</w:t>
      </w:r>
    </w:p>
    <w:p w14:paraId="68328955">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（4）工程量清单。</w:t>
      </w:r>
    </w:p>
    <w:p w14:paraId="638F6994">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（5）工程施工质量验收统一标准。</w:t>
      </w:r>
    </w:p>
    <w:p w14:paraId="69FED63D">
      <w:pPr>
        <w:shd w:val="clear"/>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六</w:t>
      </w:r>
      <w:r>
        <w:rPr>
          <w:rFonts w:hint="eastAsia" w:ascii="宋体" w:hAnsi="宋体" w:eastAsia="宋体" w:cs="宋体"/>
          <w:color w:val="auto"/>
          <w:sz w:val="24"/>
          <w:highlight w:val="none"/>
        </w:rPr>
        <w:t>、违约责任</w:t>
      </w:r>
    </w:p>
    <w:p w14:paraId="08C423F3">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1、按《</w:t>
      </w:r>
      <w:r>
        <w:rPr>
          <w:rFonts w:hint="eastAsia" w:ascii="宋体" w:hAnsi="宋体" w:eastAsia="宋体" w:cs="宋体"/>
          <w:color w:val="auto"/>
          <w:sz w:val="24"/>
          <w:highlight w:val="none"/>
          <w:lang w:eastAsia="zh-CN"/>
        </w:rPr>
        <w:t>中华人民共和国民法典</w:t>
      </w:r>
      <w:r>
        <w:rPr>
          <w:rFonts w:hint="eastAsia" w:ascii="宋体" w:hAnsi="宋体" w:eastAsia="宋体" w:cs="宋体"/>
          <w:color w:val="auto"/>
          <w:sz w:val="24"/>
          <w:highlight w:val="none"/>
        </w:rPr>
        <w:t>》中的相关条款执行。</w:t>
      </w:r>
    </w:p>
    <w:p w14:paraId="3BB20CD9">
      <w:pPr>
        <w:shd w:val="clea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2、未按合同要求提供工程质量或工程质量不能满足技术要求，采购人有权终止合同，并对供方违约行为进行追究，同时按《</w:t>
      </w:r>
      <w:r>
        <w:rPr>
          <w:rFonts w:hint="eastAsia" w:ascii="宋体" w:hAnsi="宋体" w:cs="宋体"/>
          <w:color w:val="auto"/>
          <w:sz w:val="24"/>
          <w:highlight w:val="none"/>
          <w:lang w:eastAsia="zh-CN"/>
        </w:rPr>
        <w:t>中华人民共和国</w:t>
      </w:r>
      <w:r>
        <w:rPr>
          <w:rFonts w:hint="eastAsia" w:ascii="宋体" w:hAnsi="宋体" w:eastAsia="宋体" w:cs="宋体"/>
          <w:color w:val="auto"/>
          <w:sz w:val="24"/>
          <w:highlight w:val="none"/>
        </w:rPr>
        <w:t>政府采购法》的有关规定进行处罚。</w:t>
      </w:r>
    </w:p>
    <w:p w14:paraId="76C39D93">
      <w:pPr>
        <w:shd w:val="clear"/>
        <w:spacing w:line="480" w:lineRule="exact"/>
        <w:rPr>
          <w:rFonts w:hint="eastAsia" w:ascii="宋体" w:hAnsi="宋体" w:eastAsia="宋体" w:cs="宋体"/>
          <w:b/>
          <w:color w:val="auto"/>
          <w:sz w:val="24"/>
          <w:highlight w:val="none"/>
        </w:rPr>
      </w:pPr>
    </w:p>
    <w:p w14:paraId="10EA84CD">
      <w:pPr>
        <w:shd w:val="clear"/>
        <w:spacing w:line="480" w:lineRule="exact"/>
        <w:rPr>
          <w:rFonts w:hint="eastAsia" w:ascii="宋体" w:hAnsi="宋体" w:eastAsia="宋体" w:cs="宋体"/>
          <w:b/>
          <w:color w:val="auto"/>
          <w:sz w:val="24"/>
          <w:highlight w:val="none"/>
        </w:rPr>
      </w:pPr>
    </w:p>
    <w:p w14:paraId="0E2C249F">
      <w:pPr>
        <w:shd w:val="clear"/>
        <w:spacing w:line="480" w:lineRule="exact"/>
        <w:rPr>
          <w:rFonts w:hint="eastAsia" w:ascii="宋体" w:hAnsi="宋体" w:eastAsia="宋体" w:cs="宋体"/>
          <w:color w:val="auto"/>
          <w:sz w:val="28"/>
          <w:szCs w:val="28"/>
          <w:highlight w:val="none"/>
        </w:rPr>
      </w:pPr>
      <w:r>
        <w:rPr>
          <w:rFonts w:hint="eastAsia" w:ascii="宋体" w:hAnsi="宋体" w:eastAsia="宋体" w:cs="宋体"/>
          <w:b/>
          <w:color w:val="auto"/>
          <w:sz w:val="24"/>
          <w:highlight w:val="none"/>
        </w:rPr>
        <w:t>注：商务要求为实质性要求，不得负偏离。</w:t>
      </w:r>
    </w:p>
    <w:p w14:paraId="014E92AF">
      <w:pPr>
        <w:pStyle w:val="45"/>
        <w:keepNext w:val="0"/>
        <w:keepLines w:val="0"/>
        <w:pageBreakBefore w:val="0"/>
        <w:shd w:val="clea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p>
    <w:p w14:paraId="7027482E">
      <w:pPr>
        <w:shd w:val="clear"/>
        <w:adjustRightInd w:val="0"/>
        <w:spacing w:line="360" w:lineRule="auto"/>
        <w:ind w:firstLine="560" w:firstLineChars="200"/>
        <w:rPr>
          <w:rFonts w:hint="eastAsia" w:ascii="宋体" w:hAnsi="宋体" w:eastAsia="宋体" w:cs="宋体"/>
          <w:b w:val="0"/>
          <w:bCs w:val="0"/>
          <w:color w:val="auto"/>
          <w:szCs w:val="24"/>
          <w:highlight w:val="none"/>
          <w:lang w:val="en-US" w:eastAsia="zh-CN"/>
        </w:rPr>
      </w:pPr>
    </w:p>
    <w:p w14:paraId="50ADE846">
      <w:pPr>
        <w:pStyle w:val="2"/>
        <w:shd w:val="clear"/>
        <w:spacing w:before="0" w:beforeAutospacing="0" w:after="0" w:afterAutospacing="0" w:line="240" w:lineRule="auto"/>
        <w:jc w:val="center"/>
        <w:rPr>
          <w:rFonts w:hint="eastAsia" w:ascii="宋体" w:hAnsi="宋体" w:eastAsia="宋体" w:cs="宋体"/>
          <w:b/>
          <w:bCs/>
          <w:color w:val="auto"/>
          <w:sz w:val="36"/>
          <w:szCs w:val="36"/>
          <w:highlight w:val="none"/>
        </w:rPr>
      </w:pPr>
      <w:r>
        <w:rPr>
          <w:rFonts w:hint="eastAsia" w:ascii="宋体" w:hAnsi="宋体" w:eastAsia="宋体" w:cs="宋体"/>
          <w:color w:val="auto"/>
          <w:highlight w:val="none"/>
        </w:rPr>
        <w:br w:type="page"/>
      </w:r>
      <w:bookmarkEnd w:id="48"/>
      <w:bookmarkEnd w:id="49"/>
      <w:bookmarkEnd w:id="50"/>
      <w:bookmarkEnd w:id="51"/>
      <w:bookmarkEnd w:id="52"/>
      <w:bookmarkStart w:id="56" w:name="_Toc20647"/>
      <w:bookmarkStart w:id="57" w:name="_Toc7453889"/>
      <w:r>
        <w:rPr>
          <w:rFonts w:hint="eastAsia" w:ascii="宋体" w:hAnsi="宋体" w:eastAsia="宋体" w:cs="宋体"/>
          <w:color w:val="auto"/>
          <w:highlight w:val="none"/>
        </w:rPr>
        <w:t>第五章 合同条款</w:t>
      </w:r>
      <w:bookmarkEnd w:id="56"/>
      <w:r>
        <w:rPr>
          <w:rFonts w:hint="eastAsia" w:ascii="宋体" w:hAnsi="宋体" w:eastAsia="宋体" w:cs="宋体"/>
          <w:b/>
          <w:bCs/>
          <w:color w:val="auto"/>
          <w:sz w:val="32"/>
          <w:szCs w:val="28"/>
          <w:highlight w:val="none"/>
        </w:rPr>
        <w:t>（参考）</w:t>
      </w:r>
    </w:p>
    <w:p w14:paraId="699895BA">
      <w:pPr>
        <w:shd w:val="clear"/>
        <w:bidi w:val="0"/>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2"/>
          <w:szCs w:val="28"/>
          <w:highlight w:val="none"/>
        </w:rPr>
        <w:t>（参考格式）</w:t>
      </w:r>
    </w:p>
    <w:p w14:paraId="4EE4ABE5">
      <w:pPr>
        <w:widowControl/>
        <w:shd w:val="clear"/>
        <w:spacing w:line="5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第一部分  协议书   </w:t>
      </w:r>
    </w:p>
    <w:p w14:paraId="31D27E11">
      <w:pPr>
        <w:widowControl/>
        <w:shd w:val="clear"/>
        <w:spacing w:line="560" w:lineRule="exact"/>
        <w:ind w:left="5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使用《陕西省建设工程施工合同》（示范文本）格式 </w:t>
      </w:r>
    </w:p>
    <w:p w14:paraId="4085B42B">
      <w:pPr>
        <w:widowControl/>
        <w:shd w:val="clear"/>
        <w:spacing w:line="5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第二部分  通用条款  </w:t>
      </w:r>
    </w:p>
    <w:p w14:paraId="22E03CCD">
      <w:pPr>
        <w:widowControl/>
        <w:shd w:val="clear"/>
        <w:spacing w:line="560" w:lineRule="exact"/>
        <w:ind w:left="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使用《陕西省建设工程施工合同》（示范文本） </w:t>
      </w:r>
    </w:p>
    <w:p w14:paraId="183CFF79">
      <w:pPr>
        <w:widowControl/>
        <w:shd w:val="clear"/>
        <w:spacing w:line="5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第三部分  专用条款  </w:t>
      </w:r>
    </w:p>
    <w:p w14:paraId="45D19637">
      <w:pPr>
        <w:widowControl/>
        <w:shd w:val="clea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使用《陕西省建设工程施工合同》（示范文本）格式。内容结合工程特点和建设单位实际自行拟定。</w:t>
      </w:r>
    </w:p>
    <w:p w14:paraId="6CC8A757">
      <w:pPr>
        <w:widowControl/>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807874F">
      <w:pPr>
        <w:widowControl/>
        <w:shd w:val="clear"/>
        <w:jc w:val="center"/>
        <w:rPr>
          <w:rFonts w:hint="eastAsia" w:ascii="宋体" w:hAnsi="宋体" w:eastAsia="宋体" w:cs="宋体"/>
          <w:color w:val="auto"/>
          <w:sz w:val="24"/>
          <w:szCs w:val="24"/>
          <w:highlight w:val="none"/>
        </w:rPr>
      </w:pPr>
    </w:p>
    <w:p w14:paraId="26E59323">
      <w:pPr>
        <w:widowControl/>
        <w:shd w:val="clear"/>
        <w:jc w:val="center"/>
        <w:rPr>
          <w:rFonts w:hint="eastAsia" w:ascii="宋体" w:hAnsi="宋体" w:eastAsia="宋体" w:cs="宋体"/>
          <w:bCs/>
          <w:color w:val="auto"/>
          <w:sz w:val="52"/>
          <w:szCs w:val="52"/>
          <w:highlight w:val="none"/>
        </w:rPr>
      </w:pPr>
      <w:r>
        <w:rPr>
          <w:rFonts w:hint="eastAsia" w:ascii="宋体" w:hAnsi="宋体" w:eastAsia="宋体" w:cs="宋体"/>
          <w:bCs/>
          <w:color w:val="auto"/>
          <w:sz w:val="52"/>
          <w:szCs w:val="52"/>
          <w:highlight w:val="none"/>
        </w:rPr>
        <w:t>陕西省建设工程施工合同</w:t>
      </w:r>
    </w:p>
    <w:p w14:paraId="599EE9B6">
      <w:pPr>
        <w:widowControl/>
        <w:shd w:val="clear"/>
        <w:jc w:val="center"/>
        <w:rPr>
          <w:rFonts w:hint="eastAsia" w:ascii="宋体" w:hAnsi="宋体" w:eastAsia="宋体" w:cs="宋体"/>
          <w:b/>
          <w:bCs/>
          <w:color w:val="auto"/>
          <w:sz w:val="36"/>
          <w:szCs w:val="36"/>
          <w:highlight w:val="none"/>
        </w:rPr>
      </w:pPr>
    </w:p>
    <w:p w14:paraId="2422B40E">
      <w:pPr>
        <w:widowControl/>
        <w:shd w:val="clea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（示范文本）</w:t>
      </w:r>
    </w:p>
    <w:p w14:paraId="122FE7CD">
      <w:pPr>
        <w:widowControl/>
        <w:shd w:val="clear"/>
        <w:ind w:firstLine="200"/>
        <w:jc w:val="center"/>
        <w:rPr>
          <w:rFonts w:hint="eastAsia" w:ascii="宋体" w:hAnsi="宋体" w:eastAsia="宋体" w:cs="宋体"/>
          <w:b/>
          <w:bCs/>
          <w:color w:val="auto"/>
          <w:sz w:val="32"/>
          <w:szCs w:val="32"/>
          <w:highlight w:val="none"/>
        </w:rPr>
      </w:pPr>
    </w:p>
    <w:p w14:paraId="4531DD2B">
      <w:pPr>
        <w:widowControl/>
        <w:shd w:val="clear"/>
        <w:ind w:firstLine="200"/>
        <w:jc w:val="center"/>
        <w:rPr>
          <w:rFonts w:hint="eastAsia" w:ascii="宋体" w:hAnsi="宋体" w:eastAsia="宋体" w:cs="宋体"/>
          <w:b/>
          <w:bCs/>
          <w:color w:val="auto"/>
          <w:sz w:val="32"/>
          <w:szCs w:val="32"/>
          <w:highlight w:val="none"/>
        </w:rPr>
      </w:pPr>
    </w:p>
    <w:p w14:paraId="3BCB2460">
      <w:pPr>
        <w:widowControl/>
        <w:shd w:val="clear"/>
        <w:ind w:firstLine="200"/>
        <w:jc w:val="center"/>
        <w:rPr>
          <w:rFonts w:hint="eastAsia" w:ascii="宋体" w:hAnsi="宋体" w:eastAsia="宋体" w:cs="宋体"/>
          <w:b/>
          <w:bCs/>
          <w:color w:val="auto"/>
          <w:sz w:val="32"/>
          <w:szCs w:val="32"/>
          <w:highlight w:val="none"/>
        </w:rPr>
      </w:pPr>
    </w:p>
    <w:p w14:paraId="2F6BD89E">
      <w:pPr>
        <w:widowControl/>
        <w:shd w:val="clear"/>
        <w:ind w:firstLine="200"/>
        <w:jc w:val="center"/>
        <w:rPr>
          <w:rFonts w:hint="eastAsia" w:ascii="宋体" w:hAnsi="宋体" w:eastAsia="宋体" w:cs="宋体"/>
          <w:b/>
          <w:bCs/>
          <w:color w:val="auto"/>
          <w:sz w:val="32"/>
          <w:szCs w:val="32"/>
          <w:highlight w:val="none"/>
        </w:rPr>
      </w:pPr>
    </w:p>
    <w:p w14:paraId="4782EF15">
      <w:pPr>
        <w:widowControl/>
        <w:shd w:val="clear"/>
        <w:ind w:firstLine="200"/>
        <w:jc w:val="center"/>
        <w:rPr>
          <w:rFonts w:hint="eastAsia" w:ascii="宋体" w:hAnsi="宋体" w:eastAsia="宋体" w:cs="宋体"/>
          <w:b/>
          <w:bCs/>
          <w:color w:val="auto"/>
          <w:sz w:val="32"/>
          <w:szCs w:val="32"/>
          <w:highlight w:val="none"/>
        </w:rPr>
      </w:pPr>
    </w:p>
    <w:p w14:paraId="1FD0BA86">
      <w:pPr>
        <w:widowControl/>
        <w:shd w:val="clear"/>
        <w:ind w:firstLine="200"/>
        <w:jc w:val="center"/>
        <w:rPr>
          <w:rFonts w:hint="eastAsia" w:ascii="宋体" w:hAnsi="宋体" w:eastAsia="宋体" w:cs="宋体"/>
          <w:b/>
          <w:bCs/>
          <w:color w:val="auto"/>
          <w:sz w:val="32"/>
          <w:szCs w:val="32"/>
          <w:highlight w:val="none"/>
        </w:rPr>
      </w:pPr>
    </w:p>
    <w:p w14:paraId="075B7F14">
      <w:pPr>
        <w:widowControl/>
        <w:shd w:val="clear"/>
        <w:ind w:firstLine="200"/>
        <w:jc w:val="center"/>
        <w:rPr>
          <w:rFonts w:hint="eastAsia" w:ascii="宋体" w:hAnsi="宋体" w:eastAsia="宋体" w:cs="宋体"/>
          <w:b/>
          <w:bCs/>
          <w:color w:val="auto"/>
          <w:sz w:val="32"/>
          <w:szCs w:val="32"/>
          <w:highlight w:val="none"/>
        </w:rPr>
      </w:pPr>
    </w:p>
    <w:p w14:paraId="4E59B1D6">
      <w:pPr>
        <w:widowControl/>
        <w:shd w:val="clear"/>
        <w:ind w:firstLine="200"/>
        <w:jc w:val="center"/>
        <w:rPr>
          <w:rFonts w:hint="eastAsia" w:ascii="宋体" w:hAnsi="宋体" w:eastAsia="宋体" w:cs="宋体"/>
          <w:b/>
          <w:bCs/>
          <w:color w:val="auto"/>
          <w:sz w:val="32"/>
          <w:szCs w:val="32"/>
          <w:highlight w:val="none"/>
        </w:rPr>
      </w:pPr>
    </w:p>
    <w:p w14:paraId="55BF4539">
      <w:pPr>
        <w:widowControl/>
        <w:shd w:val="clear"/>
        <w:ind w:firstLine="200"/>
        <w:jc w:val="center"/>
        <w:rPr>
          <w:rFonts w:hint="eastAsia" w:ascii="宋体" w:hAnsi="宋体" w:eastAsia="宋体" w:cs="宋体"/>
          <w:b/>
          <w:bCs/>
          <w:color w:val="auto"/>
          <w:sz w:val="32"/>
          <w:szCs w:val="32"/>
          <w:highlight w:val="none"/>
        </w:rPr>
      </w:pPr>
    </w:p>
    <w:p w14:paraId="282941AB">
      <w:pPr>
        <w:widowControl/>
        <w:shd w:val="clear"/>
        <w:ind w:firstLine="200"/>
        <w:jc w:val="center"/>
        <w:rPr>
          <w:rFonts w:hint="eastAsia" w:ascii="宋体" w:hAnsi="宋体" w:eastAsia="宋体" w:cs="宋体"/>
          <w:b/>
          <w:bCs/>
          <w:color w:val="auto"/>
          <w:sz w:val="32"/>
          <w:szCs w:val="32"/>
          <w:highlight w:val="none"/>
        </w:rPr>
      </w:pPr>
    </w:p>
    <w:p w14:paraId="291B0DDD">
      <w:pPr>
        <w:widowControl/>
        <w:shd w:val="clear"/>
        <w:ind w:firstLine="200"/>
        <w:jc w:val="center"/>
        <w:rPr>
          <w:rFonts w:hint="eastAsia" w:ascii="宋体" w:hAnsi="宋体" w:eastAsia="宋体" w:cs="宋体"/>
          <w:b/>
          <w:bCs/>
          <w:color w:val="auto"/>
          <w:sz w:val="32"/>
          <w:szCs w:val="32"/>
          <w:highlight w:val="none"/>
        </w:rPr>
      </w:pPr>
    </w:p>
    <w:p w14:paraId="47CF1343">
      <w:pPr>
        <w:widowControl/>
        <w:shd w:val="clear"/>
        <w:ind w:firstLine="200"/>
        <w:jc w:val="center"/>
        <w:rPr>
          <w:rFonts w:hint="eastAsia" w:ascii="宋体" w:hAnsi="宋体" w:eastAsia="宋体" w:cs="宋体"/>
          <w:b/>
          <w:bCs/>
          <w:color w:val="auto"/>
          <w:sz w:val="32"/>
          <w:szCs w:val="32"/>
          <w:highlight w:val="none"/>
        </w:rPr>
      </w:pPr>
    </w:p>
    <w:p w14:paraId="1D090CFE">
      <w:pPr>
        <w:widowControl/>
        <w:shd w:val="clear"/>
        <w:ind w:firstLine="200"/>
        <w:jc w:val="center"/>
        <w:rPr>
          <w:rFonts w:hint="eastAsia" w:ascii="宋体" w:hAnsi="宋体" w:eastAsia="宋体" w:cs="宋体"/>
          <w:b/>
          <w:bCs/>
          <w:color w:val="auto"/>
          <w:sz w:val="32"/>
          <w:szCs w:val="32"/>
          <w:highlight w:val="none"/>
        </w:rPr>
      </w:pPr>
    </w:p>
    <w:p w14:paraId="402078D6">
      <w:pPr>
        <w:widowControl/>
        <w:shd w:val="clear"/>
        <w:ind w:firstLine="200"/>
        <w:jc w:val="center"/>
        <w:rPr>
          <w:rFonts w:hint="eastAsia" w:ascii="宋体" w:hAnsi="宋体" w:eastAsia="宋体" w:cs="宋体"/>
          <w:b/>
          <w:bCs/>
          <w:color w:val="auto"/>
          <w:sz w:val="32"/>
          <w:szCs w:val="32"/>
          <w:highlight w:val="none"/>
        </w:rPr>
      </w:pPr>
    </w:p>
    <w:p w14:paraId="29D3B64D">
      <w:pPr>
        <w:pStyle w:val="10"/>
        <w:shd w:val="clear"/>
        <w:rPr>
          <w:rFonts w:hint="eastAsia" w:ascii="宋体" w:hAnsi="宋体" w:eastAsia="宋体" w:cs="宋体"/>
          <w:color w:val="auto"/>
          <w:highlight w:val="none"/>
        </w:rPr>
      </w:pPr>
    </w:p>
    <w:p w14:paraId="3EA55322">
      <w:pPr>
        <w:widowControl/>
        <w:shd w:val="clear"/>
        <w:ind w:firstLine="200"/>
        <w:jc w:val="center"/>
        <w:rPr>
          <w:rFonts w:hint="eastAsia" w:ascii="宋体" w:hAnsi="宋体" w:eastAsia="宋体" w:cs="宋体"/>
          <w:b/>
          <w:bCs/>
          <w:color w:val="auto"/>
          <w:sz w:val="32"/>
          <w:szCs w:val="32"/>
          <w:highlight w:val="none"/>
        </w:rPr>
      </w:pPr>
    </w:p>
    <w:p w14:paraId="700CD765">
      <w:pPr>
        <w:widowControl/>
        <w:shd w:val="clear"/>
        <w:ind w:firstLine="200"/>
        <w:jc w:val="center"/>
        <w:rPr>
          <w:rFonts w:hint="eastAsia" w:ascii="宋体" w:hAnsi="宋体" w:eastAsia="宋体" w:cs="宋体"/>
          <w:b/>
          <w:bCs/>
          <w:color w:val="auto"/>
          <w:sz w:val="32"/>
          <w:szCs w:val="32"/>
          <w:highlight w:val="none"/>
        </w:rPr>
      </w:pPr>
    </w:p>
    <w:p w14:paraId="1266571D">
      <w:pPr>
        <w:widowControl/>
        <w:shd w:val="clear"/>
        <w:ind w:firstLine="200"/>
        <w:jc w:val="center"/>
        <w:rPr>
          <w:rFonts w:hint="eastAsia" w:ascii="宋体" w:hAnsi="宋体" w:eastAsia="宋体" w:cs="宋体"/>
          <w:b/>
          <w:bCs/>
          <w:color w:val="auto"/>
          <w:sz w:val="32"/>
          <w:szCs w:val="32"/>
          <w:highlight w:val="none"/>
        </w:rPr>
      </w:pPr>
    </w:p>
    <w:p w14:paraId="54F96BB4">
      <w:pPr>
        <w:widowControl/>
        <w:shd w:val="clea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mc:AlternateContent>
          <mc:Choice Requires="wps">
            <w:drawing>
              <wp:anchor distT="0" distB="0" distL="114300" distR="114300" simplePos="0" relativeHeight="251664384" behindDoc="0" locked="0" layoutInCell="1" allowOverlap="1">
                <wp:simplePos x="0" y="0"/>
                <wp:positionH relativeFrom="column">
                  <wp:posOffset>4371975</wp:posOffset>
                </wp:positionH>
                <wp:positionV relativeFrom="paragraph">
                  <wp:posOffset>81280</wp:posOffset>
                </wp:positionV>
                <wp:extent cx="685800" cy="594360"/>
                <wp:effectExtent l="4445" t="4445" r="14605" b="10795"/>
                <wp:wrapNone/>
                <wp:docPr id="8" name="矩形 8"/>
                <wp:cNvGraphicFramePr/>
                <a:graphic xmlns:a="http://schemas.openxmlformats.org/drawingml/2006/main">
                  <a:graphicData uri="http://schemas.microsoft.com/office/word/2010/wordprocessingShape">
                    <wps:wsp>
                      <wps:cNvSpPr/>
                      <wps:spPr>
                        <a:xfrm>
                          <a:off x="0" y="0"/>
                          <a:ext cx="685800" cy="594360"/>
                        </a:xfrm>
                        <a:prstGeom prst="rect">
                          <a:avLst/>
                        </a:prstGeom>
                        <a:noFill/>
                        <a:ln w="9525" cap="flat" cmpd="sng">
                          <a:solidFill>
                            <a:srgbClr val="FFFFFF"/>
                          </a:solidFill>
                          <a:prstDash val="solid"/>
                          <a:miter/>
                          <a:headEnd type="none" w="med" len="med"/>
                          <a:tailEnd type="none" w="med" len="med"/>
                        </a:ln>
                      </wps:spPr>
                      <wps:txbx>
                        <w:txbxContent>
                          <w:p w14:paraId="74A8584A">
                            <w:pPr>
                              <w:rPr>
                                <w:rFonts w:hint="eastAsia" w:hAnsi="宋体"/>
                                <w:b/>
                                <w:sz w:val="44"/>
                                <w:szCs w:val="44"/>
                              </w:rPr>
                            </w:pPr>
                            <w:r>
                              <w:rPr>
                                <w:rFonts w:hint="eastAsia" w:hAnsi="宋体"/>
                                <w:b/>
                                <w:sz w:val="44"/>
                                <w:szCs w:val="44"/>
                              </w:rPr>
                              <w:t>制</w:t>
                            </w:r>
                          </w:p>
                        </w:txbxContent>
                      </wps:txbx>
                      <wps:bodyPr upright="1"/>
                    </wps:wsp>
                  </a:graphicData>
                </a:graphic>
              </wp:anchor>
            </w:drawing>
          </mc:Choice>
          <mc:Fallback>
            <w:pict>
              <v:rect id="_x0000_s1026" o:spid="_x0000_s1026" o:spt="1" style="position:absolute;left:0pt;margin-left:344.25pt;margin-top:6.4pt;height:46.8pt;width:54pt;z-index:251664384;mso-width-relative:page;mso-height-relative:page;" filled="f" stroked="t" coordsize="21600,21600" o:gfxdata="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Jv4rNkAAAAKAQAADwAAAAAAAAABACAAAAAiAAAAZHJzL2Rvd25y&#10;ZXYueG1sUEsBAhQAFAAAAAgAh07iQBiRW4r9AQAA/wMAAA4AAAAAAAAAAQAgAAAAKAEAAGRycy9l&#10;Mm9Eb2MueG1sUEsFBgAAAAAGAAYAWQEAAJcFAAAAAA==&#10;">
                <v:fill on="f" focussize="0,0"/>
                <v:stroke color="#FFFFFF" joinstyle="miter"/>
                <v:imagedata o:title=""/>
                <o:lock v:ext="edit" aspectratio="f"/>
                <v:textbox>
                  <w:txbxContent>
                    <w:p w14:paraId="74A8584A">
                      <w:pPr>
                        <w:rPr>
                          <w:rFonts w:hint="eastAsia" w:hAnsi="宋体"/>
                          <w:b/>
                          <w:sz w:val="44"/>
                          <w:szCs w:val="44"/>
                        </w:rPr>
                      </w:pPr>
                      <w:r>
                        <w:rPr>
                          <w:rFonts w:hint="eastAsia" w:hAnsi="宋体"/>
                          <w:b/>
                          <w:sz w:val="44"/>
                          <w:szCs w:val="44"/>
                        </w:rPr>
                        <w:t>制</w:t>
                      </w:r>
                    </w:p>
                  </w:txbxContent>
                </v:textbox>
              </v:rect>
            </w:pict>
          </mc:Fallback>
        </mc:AlternateContent>
      </w:r>
      <w:r>
        <w:rPr>
          <w:rFonts w:hint="eastAsia" w:ascii="宋体" w:hAnsi="宋体" w:eastAsia="宋体" w:cs="宋体"/>
          <w:b/>
          <w:bCs/>
          <w:color w:val="auto"/>
          <w:spacing w:val="143"/>
          <w:sz w:val="36"/>
          <w:szCs w:val="36"/>
          <w:highlight w:val="none"/>
        </w:rPr>
        <w:t>陕西省建设</w:t>
      </w:r>
      <w:r>
        <w:rPr>
          <w:rFonts w:hint="eastAsia" w:ascii="宋体" w:hAnsi="宋体" w:eastAsia="宋体" w:cs="宋体"/>
          <w:b/>
          <w:bCs/>
          <w:color w:val="auto"/>
          <w:spacing w:val="1"/>
          <w:sz w:val="36"/>
          <w:szCs w:val="36"/>
          <w:highlight w:val="none"/>
        </w:rPr>
        <w:t>厅</w:t>
      </w:r>
    </w:p>
    <w:p w14:paraId="747C44A5">
      <w:pPr>
        <w:widowControl/>
        <w:shd w:val="clea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pacing w:val="7"/>
          <w:w w:val="96"/>
          <w:sz w:val="36"/>
          <w:szCs w:val="36"/>
          <w:highlight w:val="none"/>
        </w:rPr>
        <w:t>陕西省工商行政管理</w:t>
      </w:r>
      <w:r>
        <w:rPr>
          <w:rFonts w:hint="eastAsia" w:ascii="宋体" w:hAnsi="宋体" w:eastAsia="宋体" w:cs="宋体"/>
          <w:b/>
          <w:bCs/>
          <w:color w:val="auto"/>
          <w:w w:val="96"/>
          <w:sz w:val="36"/>
          <w:szCs w:val="36"/>
          <w:highlight w:val="none"/>
        </w:rPr>
        <w:t>局</w:t>
      </w:r>
    </w:p>
    <w:p w14:paraId="2CE32DB3">
      <w:pPr>
        <w:widowControl/>
        <w:shd w:val="clear"/>
        <w:jc w:val="center"/>
        <w:rPr>
          <w:rFonts w:hint="eastAsia" w:ascii="宋体" w:hAnsi="宋体" w:eastAsia="宋体" w:cs="宋体"/>
          <w:bCs/>
          <w:color w:val="auto"/>
          <w:sz w:val="36"/>
          <w:szCs w:val="36"/>
          <w:highlight w:val="none"/>
        </w:rPr>
      </w:pPr>
      <w:r>
        <w:rPr>
          <w:rFonts w:hint="eastAsia" w:ascii="宋体" w:hAnsi="宋体" w:eastAsia="宋体" w:cs="宋体"/>
          <w:bCs/>
          <w:color w:val="auto"/>
          <w:sz w:val="36"/>
          <w:szCs w:val="36"/>
          <w:highlight w:val="none"/>
        </w:rPr>
        <w:t xml:space="preserve">  年   月   日</w:t>
      </w:r>
    </w:p>
    <w:p w14:paraId="31E534E2">
      <w:pPr>
        <w:widowControl/>
        <w:shd w:val="clear"/>
        <w:jc w:val="center"/>
        <w:rPr>
          <w:rFonts w:hint="eastAsia" w:ascii="宋体" w:hAnsi="宋体" w:eastAsia="宋体" w:cs="宋体"/>
          <w:bCs/>
          <w:color w:val="auto"/>
          <w:sz w:val="36"/>
          <w:szCs w:val="36"/>
          <w:highlight w:val="none"/>
        </w:rPr>
      </w:pPr>
    </w:p>
    <w:p w14:paraId="43598F3D">
      <w:pPr>
        <w:widowControl/>
        <w:shd w:val="clear"/>
        <w:jc w:val="center"/>
        <w:rPr>
          <w:rFonts w:hint="eastAsia" w:ascii="宋体" w:hAnsi="宋体" w:eastAsia="宋体" w:cs="宋体"/>
          <w:bCs/>
          <w:color w:val="auto"/>
          <w:sz w:val="36"/>
          <w:szCs w:val="36"/>
          <w:highlight w:val="none"/>
        </w:rPr>
      </w:pPr>
    </w:p>
    <w:p w14:paraId="4DA9D9E2">
      <w:pPr>
        <w:pStyle w:val="10"/>
        <w:shd w:val="clear"/>
        <w:rPr>
          <w:rFonts w:hint="eastAsia" w:ascii="宋体" w:hAnsi="宋体" w:eastAsia="宋体" w:cs="宋体"/>
          <w:bCs/>
          <w:color w:val="auto"/>
          <w:sz w:val="36"/>
          <w:szCs w:val="36"/>
          <w:highlight w:val="none"/>
        </w:rPr>
      </w:pPr>
    </w:p>
    <w:p w14:paraId="225279AE">
      <w:pPr>
        <w:shd w:val="clear"/>
        <w:rPr>
          <w:rFonts w:hint="eastAsia" w:ascii="宋体" w:hAnsi="宋体" w:eastAsia="宋体" w:cs="宋体"/>
          <w:color w:val="auto"/>
          <w:highlight w:val="none"/>
        </w:rPr>
      </w:pPr>
    </w:p>
    <w:p w14:paraId="1326C7F6">
      <w:pPr>
        <w:shd w:val="clear"/>
        <w:jc w:val="center"/>
        <w:rPr>
          <w:rFonts w:hint="eastAsia" w:ascii="宋体" w:hAnsi="宋体" w:eastAsia="宋体" w:cs="宋体"/>
          <w:bCs/>
          <w:color w:val="auto"/>
          <w:sz w:val="36"/>
          <w:szCs w:val="36"/>
          <w:highlight w:val="none"/>
        </w:rPr>
      </w:pPr>
      <w:r>
        <w:rPr>
          <w:rFonts w:hint="eastAsia" w:ascii="宋体" w:hAnsi="宋体" w:eastAsia="宋体" w:cs="宋体"/>
          <w:bCs/>
          <w:color w:val="auto"/>
          <w:sz w:val="36"/>
          <w:szCs w:val="36"/>
          <w:highlight w:val="none"/>
        </w:rPr>
        <w:br w:type="page"/>
      </w:r>
      <w:r>
        <w:rPr>
          <w:rFonts w:hint="eastAsia" w:ascii="宋体" w:hAnsi="宋体" w:eastAsia="宋体" w:cs="宋体"/>
          <w:bCs/>
          <w:color w:val="auto"/>
          <w:sz w:val="36"/>
          <w:szCs w:val="36"/>
          <w:highlight w:val="none"/>
        </w:rPr>
        <w:t>第一部分  协议书</w:t>
      </w:r>
    </w:p>
    <w:p w14:paraId="3B07D918">
      <w:pPr>
        <w:widowControl/>
        <w:shd w:val="clear"/>
        <w:spacing w:line="360" w:lineRule="auto"/>
        <w:ind w:firstLine="480" w:firstLineChars="200"/>
        <w:jc w:val="left"/>
        <w:rPr>
          <w:rFonts w:hint="eastAsia" w:ascii="宋体" w:hAnsi="宋体" w:eastAsia="宋体" w:cs="宋体"/>
          <w:color w:val="auto"/>
          <w:sz w:val="24"/>
          <w:highlight w:val="none"/>
        </w:rPr>
      </w:pPr>
    </w:p>
    <w:p w14:paraId="478D5D1C">
      <w:pPr>
        <w:widowControl/>
        <w:shd w:val="clear"/>
        <w:spacing w:line="360" w:lineRule="auto"/>
        <w:ind w:firstLine="480" w:firstLineChars="200"/>
        <w:jc w:val="left"/>
        <w:rPr>
          <w:rFonts w:hint="eastAsia" w:ascii="宋体" w:hAnsi="宋体" w:eastAsia="宋体" w:cs="宋体"/>
          <w:color w:val="auto"/>
          <w:sz w:val="24"/>
          <w:szCs w:val="22"/>
          <w:highlight w:val="none"/>
          <w:u w:val="single"/>
          <w:lang w:val="en-US" w:eastAsia="zh-CN"/>
        </w:rPr>
      </w:pPr>
      <w:r>
        <w:rPr>
          <w:rFonts w:hint="eastAsia" w:ascii="宋体" w:hAnsi="宋体" w:eastAsia="宋体" w:cs="宋体"/>
          <w:color w:val="auto"/>
          <w:sz w:val="24"/>
          <w:highlight w:val="none"/>
        </w:rPr>
        <w:t>发包人（全称）：</w:t>
      </w:r>
      <w:r>
        <w:rPr>
          <w:rFonts w:hint="eastAsia" w:ascii="宋体" w:hAnsi="宋体" w:eastAsia="宋体" w:cs="宋体"/>
          <w:color w:val="auto"/>
          <w:sz w:val="24"/>
          <w:highlight w:val="none"/>
          <w:u w:val="single"/>
          <w:lang w:val="en-US" w:eastAsia="zh-CN"/>
        </w:rPr>
        <w:t xml:space="preserve">                                        </w:t>
      </w:r>
    </w:p>
    <w:p w14:paraId="4CB821C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承包人（全称）：________________________________________</w:t>
      </w:r>
    </w:p>
    <w:p w14:paraId="1308DB1E">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依照《</w:t>
      </w:r>
      <w:r>
        <w:rPr>
          <w:rFonts w:hint="eastAsia" w:ascii="宋体" w:hAnsi="宋体" w:eastAsia="宋体" w:cs="宋体"/>
          <w:color w:val="auto"/>
          <w:sz w:val="24"/>
          <w:highlight w:val="none"/>
          <w:lang w:eastAsia="zh-CN"/>
        </w:rPr>
        <w:t>中华人民共和国民法典</w:t>
      </w:r>
      <w:r>
        <w:rPr>
          <w:rFonts w:hint="eastAsia" w:ascii="宋体" w:hAnsi="宋体" w:eastAsia="宋体" w:cs="宋体"/>
          <w:color w:val="auto"/>
          <w:sz w:val="24"/>
          <w:highlight w:val="none"/>
        </w:rPr>
        <w:t>》、《中华人民共和国建筑法》及其他有关法律、行政法规，遵循平等、自愿、公平和诚实信用的原则，双方就本建设工程施工协商一致，订立本合同。</w:t>
      </w:r>
    </w:p>
    <w:p w14:paraId="644FCD58">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一、工程概况</w:t>
      </w:r>
    </w:p>
    <w:p w14:paraId="36E8CC72">
      <w:pPr>
        <w:widowControl/>
        <w:shd w:val="clear"/>
        <w:spacing w:line="360" w:lineRule="auto"/>
        <w:ind w:firstLine="480" w:firstLineChars="200"/>
        <w:jc w:val="left"/>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工程名称：</w:t>
      </w:r>
      <w:r>
        <w:rPr>
          <w:rFonts w:hint="eastAsia" w:ascii="宋体" w:hAnsi="宋体" w:eastAsia="宋体" w:cs="宋体"/>
          <w:color w:val="auto"/>
          <w:sz w:val="24"/>
          <w:highlight w:val="none"/>
          <w:u w:val="single"/>
          <w:lang w:val="en-US" w:eastAsia="zh-CN"/>
        </w:rPr>
        <w:t xml:space="preserve">                                 </w:t>
      </w:r>
    </w:p>
    <w:p w14:paraId="54574311">
      <w:pPr>
        <w:widowControl/>
        <w:shd w:val="clear"/>
        <w:spacing w:line="360" w:lineRule="auto"/>
        <w:ind w:firstLine="480" w:firstLineChars="200"/>
        <w:jc w:val="left"/>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工程地点：</w:t>
      </w:r>
      <w:r>
        <w:rPr>
          <w:rFonts w:hint="eastAsia" w:ascii="宋体" w:hAnsi="宋体" w:eastAsia="宋体" w:cs="宋体"/>
          <w:color w:val="auto"/>
          <w:sz w:val="24"/>
          <w:highlight w:val="none"/>
          <w:u w:val="single"/>
          <w:lang w:val="en-US" w:eastAsia="zh-CN"/>
        </w:rPr>
        <w:t xml:space="preserve">                                  </w:t>
      </w:r>
    </w:p>
    <w:p w14:paraId="3D6F7541">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群体工程应附承包人承揽工程项目一览表（附件1）</w:t>
      </w:r>
    </w:p>
    <w:p w14:paraId="2D3ADCD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工程立项文号：_______________________</w:t>
      </w:r>
    </w:p>
    <w:p w14:paraId="750FF13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资金来源：_______________________________________</w:t>
      </w:r>
    </w:p>
    <w:p w14:paraId="207B970C">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二、工程承包范围</w:t>
      </w:r>
    </w:p>
    <w:p w14:paraId="3505A59A">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承包范围：___________________________________________________________</w:t>
      </w:r>
    </w:p>
    <w:p w14:paraId="0F0D98D1">
      <w:pPr>
        <w:widowControl/>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________________________________________________________________________</w:t>
      </w:r>
    </w:p>
    <w:p w14:paraId="6FE991F4">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不包括的工程范围：_______________________________________________</w:t>
      </w:r>
    </w:p>
    <w:p w14:paraId="0FDC5A3A">
      <w:pPr>
        <w:widowControl/>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________________________________________________________________________</w:t>
      </w:r>
    </w:p>
    <w:p w14:paraId="09155E6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三、合同工期：</w:t>
      </w:r>
    </w:p>
    <w:p w14:paraId="4B225C9C">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总日历天数_________________天</w:t>
      </w:r>
    </w:p>
    <w:p w14:paraId="4E1CF9AB">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开工日期：____________________________________</w:t>
      </w:r>
    </w:p>
    <w:p w14:paraId="4FCC8A1D">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竣工日期：____________________________________</w:t>
      </w:r>
    </w:p>
    <w:p w14:paraId="5445E8EE">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四、质量标准</w:t>
      </w:r>
    </w:p>
    <w:p w14:paraId="5E167971">
      <w:pPr>
        <w:widowControl/>
        <w:shd w:val="clea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工程质量标准：</w:t>
      </w:r>
      <w:r>
        <w:rPr>
          <w:rFonts w:hint="eastAsia" w:ascii="宋体" w:hAnsi="宋体" w:eastAsia="宋体" w:cs="宋体"/>
          <w:color w:val="auto"/>
          <w:sz w:val="24"/>
          <w:highlight w:val="none"/>
          <w:lang w:eastAsia="zh-CN"/>
        </w:rPr>
        <w:t>合格</w:t>
      </w:r>
    </w:p>
    <w:p w14:paraId="615BF03E">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五、合同价款</w:t>
      </w:r>
    </w:p>
    <w:p w14:paraId="5DD59D24">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1、合同总价（大写）：_______________________________________（人民币）元</w:t>
      </w:r>
    </w:p>
    <w:p w14:paraId="0068AE17">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（小写）￥：_____________________________________元</w:t>
      </w:r>
    </w:p>
    <w:p w14:paraId="7AD9CAB7">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（其中：工程预留金__________________元，零星工作费__________________元，安全防护、文明施工措施费________________________元，工程分包和材料购置费______________元，总承包服务费__________________元。)</w:t>
      </w:r>
    </w:p>
    <w:p w14:paraId="698581A3">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2、综合单价：详见承包人的报价书。</w:t>
      </w:r>
    </w:p>
    <w:p w14:paraId="0FA24C64">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六、组成合同的文件</w:t>
      </w:r>
    </w:p>
    <w:p w14:paraId="5C68A8F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组成本合同的文件包括：</w:t>
      </w:r>
    </w:p>
    <w:p w14:paraId="53E2CFE7">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1、本合同协议书</w:t>
      </w:r>
    </w:p>
    <w:p w14:paraId="3832168F">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2、本合同专用条款</w:t>
      </w:r>
    </w:p>
    <w:p w14:paraId="0972BDBA">
      <w:pPr>
        <w:widowControl/>
        <w:shd w:val="clear"/>
        <w:spacing w:line="360" w:lineRule="auto"/>
        <w:ind w:firstLine="480" w:firstLineChars="200"/>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3、本合同通用条款</w:t>
      </w:r>
    </w:p>
    <w:p w14:paraId="2F720F2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cs="宋体"/>
          <w:color w:val="auto"/>
          <w:sz w:val="24"/>
          <w:highlight w:val="none"/>
          <w:lang w:val="en-US" w:eastAsia="zh-CN"/>
        </w:rPr>
        <w:t>成交</w:t>
      </w:r>
      <w:r>
        <w:rPr>
          <w:rFonts w:hint="eastAsia" w:ascii="宋体" w:hAnsi="宋体" w:eastAsia="宋体" w:cs="宋体"/>
          <w:color w:val="auto"/>
          <w:sz w:val="24"/>
          <w:highlight w:val="none"/>
        </w:rPr>
        <w:t>通知书</w:t>
      </w:r>
    </w:p>
    <w:p w14:paraId="74DF2D11">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5、投标书、工程报价单或预算书及其附件</w:t>
      </w:r>
    </w:p>
    <w:p w14:paraId="474A2F33">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cs="宋体"/>
          <w:color w:val="auto"/>
          <w:sz w:val="24"/>
          <w:highlight w:val="none"/>
          <w:lang w:val="en-US" w:eastAsia="zh-CN"/>
        </w:rPr>
        <w:t>磋商</w:t>
      </w:r>
      <w:r>
        <w:rPr>
          <w:rFonts w:hint="eastAsia" w:ascii="宋体" w:hAnsi="宋体" w:eastAsia="宋体" w:cs="宋体"/>
          <w:color w:val="auto"/>
          <w:sz w:val="24"/>
          <w:highlight w:val="none"/>
        </w:rPr>
        <w:t>文件、答疑纪要及工程量清单</w:t>
      </w:r>
    </w:p>
    <w:p w14:paraId="74F924D5">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7、图纸</w:t>
      </w:r>
    </w:p>
    <w:p w14:paraId="4833652F">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8、标准、规范及有关技术文件</w:t>
      </w:r>
    </w:p>
    <w:p w14:paraId="5E0B92D5">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双方为履行本合同的有关洽商、变更等书面协议、文件，视为本合同的组成部分。</w:t>
      </w:r>
    </w:p>
    <w:p w14:paraId="4F9B56D1">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七、本协议书中有关词语含义与本合同第二部分《通用条款》中赋予的定义相同。</w:t>
      </w:r>
    </w:p>
    <w:p w14:paraId="0819C47F">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八、承包人按照合同约定进行施工、竣工并在质量保修期内承担工程质量保修责任。</w:t>
      </w:r>
    </w:p>
    <w:p w14:paraId="7FE39396">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九、发包人按照合同约定的期限和方式支付合同价款及其他应当支付的款项。</w:t>
      </w:r>
    </w:p>
    <w:p w14:paraId="22E7995B">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十、合同生效</w:t>
      </w:r>
    </w:p>
    <w:p w14:paraId="0CEC98EB">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合同订立时间：________年__________月__________日</w:t>
      </w:r>
    </w:p>
    <w:p w14:paraId="6DFD532B">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合同订立地点：________________________________</w:t>
      </w:r>
    </w:p>
    <w:p w14:paraId="7ED31BC2">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本合同双方约定________________________________后生效。</w:t>
      </w:r>
    </w:p>
    <w:p w14:paraId="153B197D">
      <w:pPr>
        <w:widowControl/>
        <w:shd w:val="clear"/>
        <w:spacing w:line="360" w:lineRule="auto"/>
        <w:ind w:firstLine="480" w:firstLineChars="200"/>
        <w:jc w:val="left"/>
        <w:rPr>
          <w:rFonts w:hint="eastAsia" w:ascii="宋体" w:hAnsi="宋体" w:eastAsia="宋体" w:cs="宋体"/>
          <w:color w:val="auto"/>
          <w:sz w:val="24"/>
          <w:highlight w:val="none"/>
        </w:rPr>
      </w:pPr>
    </w:p>
    <w:p w14:paraId="31CC0D3F">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发包人：（公章）_________        承包人：（公章）______________</w:t>
      </w:r>
    </w:p>
    <w:p w14:paraId="1D60B996">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地址：_________________          地址：______________________</w:t>
      </w:r>
    </w:p>
    <w:p w14:paraId="3DDA8BF8">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邮政编码：_____________          邮政编码：___________________</w:t>
      </w:r>
    </w:p>
    <w:p w14:paraId="0F272F52">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法定代表人：___________          法定代表人：_____________</w:t>
      </w:r>
    </w:p>
    <w:p w14:paraId="5C9E825A">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委托代理人：___________          委托代理人：_________________</w:t>
      </w:r>
    </w:p>
    <w:p w14:paraId="307BC40A">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电话：________________           电话：__________________</w:t>
      </w:r>
    </w:p>
    <w:p w14:paraId="144CB260">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传真：_________________          传真：________________</w:t>
      </w:r>
    </w:p>
    <w:p w14:paraId="557085BE">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开户银行：______________         开户银行：_____________</w:t>
      </w:r>
    </w:p>
    <w:p w14:paraId="72349D64">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帐号：_______________            帐号：_____________________</w:t>
      </w:r>
    </w:p>
    <w:p w14:paraId="181BEB20">
      <w:pPr>
        <w:widowControl/>
        <w:shd w:val="clear"/>
        <w:ind w:firstLine="560" w:firstLineChars="200"/>
        <w:jc w:val="left"/>
        <w:rPr>
          <w:rFonts w:hint="eastAsia" w:ascii="宋体" w:hAnsi="宋体" w:eastAsia="宋体" w:cs="宋体"/>
          <w:color w:val="auto"/>
          <w:sz w:val="28"/>
          <w:highlight w:val="none"/>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2"/>
      </w:tblGrid>
      <w:tr w14:paraId="7400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trPr>
        <w:tc>
          <w:tcPr>
            <w:tcW w:w="9582" w:type="dxa"/>
            <w:tcBorders>
              <w:top w:val="single" w:color="auto" w:sz="4" w:space="0"/>
              <w:left w:val="single" w:color="auto" w:sz="4" w:space="0"/>
              <w:bottom w:val="single" w:color="auto" w:sz="4" w:space="0"/>
              <w:right w:val="single" w:color="auto" w:sz="4" w:space="0"/>
            </w:tcBorders>
            <w:noWrap w:val="0"/>
            <w:vAlign w:val="top"/>
          </w:tcPr>
          <w:p w14:paraId="65C8D347">
            <w:pPr>
              <w:widowControl/>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建设行政管理部门备案意见：</w:t>
            </w:r>
          </w:p>
          <w:p w14:paraId="3BC4E148">
            <w:pPr>
              <w:widowControl/>
              <w:shd w:val="clear"/>
              <w:ind w:firstLine="560" w:firstLineChars="200"/>
              <w:jc w:val="left"/>
              <w:rPr>
                <w:rFonts w:hint="eastAsia" w:ascii="宋体" w:hAnsi="宋体" w:eastAsia="宋体" w:cs="宋体"/>
                <w:bCs/>
                <w:color w:val="auto"/>
                <w:sz w:val="28"/>
                <w:highlight w:val="none"/>
              </w:rPr>
            </w:pPr>
          </w:p>
          <w:p w14:paraId="08508D4A">
            <w:pPr>
              <w:widowControl/>
              <w:shd w:val="clear"/>
              <w:ind w:firstLine="560" w:firstLineChars="200"/>
              <w:jc w:val="left"/>
              <w:rPr>
                <w:rFonts w:hint="eastAsia" w:ascii="宋体" w:hAnsi="宋体" w:eastAsia="宋体" w:cs="宋体"/>
                <w:bCs/>
                <w:color w:val="auto"/>
                <w:sz w:val="28"/>
                <w:highlight w:val="none"/>
              </w:rPr>
            </w:pPr>
          </w:p>
          <w:p w14:paraId="2C5D2E87">
            <w:pPr>
              <w:widowControl/>
              <w:shd w:val="clear"/>
              <w:ind w:firstLine="560" w:firstLineChars="200"/>
              <w:jc w:val="left"/>
              <w:rPr>
                <w:rFonts w:hint="eastAsia" w:ascii="宋体" w:hAnsi="宋体" w:eastAsia="宋体" w:cs="宋体"/>
                <w:bCs/>
                <w:color w:val="auto"/>
                <w:sz w:val="28"/>
                <w:highlight w:val="none"/>
              </w:rPr>
            </w:pPr>
          </w:p>
          <w:p w14:paraId="2F7FD4CA">
            <w:pPr>
              <w:widowControl/>
              <w:shd w:val="clear"/>
              <w:ind w:firstLine="560" w:firstLineChars="200"/>
              <w:jc w:val="left"/>
              <w:rPr>
                <w:rFonts w:hint="eastAsia" w:ascii="宋体" w:hAnsi="宋体" w:eastAsia="宋体" w:cs="宋体"/>
                <w:bCs/>
                <w:color w:val="auto"/>
                <w:sz w:val="28"/>
                <w:highlight w:val="none"/>
              </w:rPr>
            </w:pPr>
          </w:p>
        </w:tc>
      </w:tr>
    </w:tbl>
    <w:p w14:paraId="062BF385">
      <w:pPr>
        <w:widowControl/>
        <w:shd w:val="clear"/>
        <w:ind w:firstLine="602" w:firstLineChars="200"/>
        <w:jc w:val="center"/>
        <w:rPr>
          <w:rFonts w:hint="eastAsia" w:ascii="宋体" w:hAnsi="宋体" w:eastAsia="宋体" w:cs="宋体"/>
          <w:b/>
          <w:bCs/>
          <w:color w:val="auto"/>
          <w:sz w:val="30"/>
          <w:highlight w:val="none"/>
        </w:rPr>
      </w:pPr>
    </w:p>
    <w:p w14:paraId="663B6AD9">
      <w:pPr>
        <w:shd w:val="clear"/>
        <w:rPr>
          <w:rFonts w:hint="eastAsia" w:ascii="宋体" w:hAnsi="宋体" w:eastAsia="宋体" w:cs="宋体"/>
          <w:bCs/>
          <w:color w:val="auto"/>
          <w:sz w:val="36"/>
          <w:szCs w:val="36"/>
          <w:highlight w:val="none"/>
        </w:rPr>
      </w:pPr>
    </w:p>
    <w:p w14:paraId="471CC759">
      <w:pPr>
        <w:shd w:val="clear"/>
        <w:rPr>
          <w:rFonts w:hint="eastAsia" w:ascii="宋体" w:hAnsi="宋体" w:eastAsia="宋体" w:cs="宋体"/>
          <w:bCs/>
          <w:color w:val="auto"/>
          <w:sz w:val="36"/>
          <w:szCs w:val="36"/>
          <w:highlight w:val="none"/>
        </w:rPr>
      </w:pPr>
    </w:p>
    <w:p w14:paraId="2FB551AA">
      <w:pPr>
        <w:shd w:val="clear"/>
        <w:rPr>
          <w:rFonts w:hint="eastAsia" w:ascii="宋体" w:hAnsi="宋体" w:eastAsia="宋体" w:cs="宋体"/>
          <w:bCs/>
          <w:color w:val="auto"/>
          <w:sz w:val="36"/>
          <w:szCs w:val="36"/>
          <w:highlight w:val="none"/>
        </w:rPr>
      </w:pPr>
    </w:p>
    <w:p w14:paraId="3A9FC4F9">
      <w:pPr>
        <w:shd w:val="clear"/>
        <w:rPr>
          <w:rFonts w:hint="eastAsia" w:ascii="宋体" w:hAnsi="宋体" w:eastAsia="宋体" w:cs="宋体"/>
          <w:bCs/>
          <w:color w:val="auto"/>
          <w:sz w:val="36"/>
          <w:szCs w:val="36"/>
          <w:highlight w:val="none"/>
        </w:rPr>
      </w:pPr>
    </w:p>
    <w:p w14:paraId="45B5818B">
      <w:pPr>
        <w:shd w:val="clear"/>
        <w:rPr>
          <w:rFonts w:hint="eastAsia" w:ascii="宋体" w:hAnsi="宋体" w:eastAsia="宋体" w:cs="宋体"/>
          <w:bCs/>
          <w:color w:val="auto"/>
          <w:sz w:val="36"/>
          <w:szCs w:val="36"/>
          <w:highlight w:val="none"/>
        </w:rPr>
      </w:pPr>
    </w:p>
    <w:p w14:paraId="1117F67F">
      <w:pPr>
        <w:shd w:val="clear"/>
        <w:rPr>
          <w:rFonts w:hint="eastAsia" w:ascii="宋体" w:hAnsi="宋体" w:eastAsia="宋体" w:cs="宋体"/>
          <w:bCs/>
          <w:color w:val="auto"/>
          <w:sz w:val="36"/>
          <w:szCs w:val="36"/>
          <w:highlight w:val="none"/>
        </w:rPr>
      </w:pPr>
    </w:p>
    <w:p w14:paraId="57D67D4E">
      <w:pPr>
        <w:shd w:val="clear"/>
        <w:rPr>
          <w:rFonts w:hint="eastAsia" w:ascii="宋体" w:hAnsi="宋体" w:eastAsia="宋体" w:cs="宋体"/>
          <w:bCs/>
          <w:color w:val="auto"/>
          <w:sz w:val="36"/>
          <w:szCs w:val="36"/>
          <w:highlight w:val="none"/>
        </w:rPr>
      </w:pPr>
    </w:p>
    <w:p w14:paraId="5AF587AB">
      <w:pPr>
        <w:shd w:val="clear"/>
        <w:rPr>
          <w:rFonts w:hint="eastAsia" w:ascii="宋体" w:hAnsi="宋体" w:eastAsia="宋体" w:cs="宋体"/>
          <w:bCs/>
          <w:color w:val="auto"/>
          <w:sz w:val="36"/>
          <w:szCs w:val="36"/>
          <w:highlight w:val="none"/>
        </w:rPr>
      </w:pPr>
    </w:p>
    <w:p w14:paraId="56F1C3AD">
      <w:pPr>
        <w:shd w:val="clear"/>
        <w:rPr>
          <w:rFonts w:hint="eastAsia" w:ascii="宋体" w:hAnsi="宋体" w:eastAsia="宋体" w:cs="宋体"/>
          <w:bCs/>
          <w:color w:val="auto"/>
          <w:sz w:val="36"/>
          <w:szCs w:val="36"/>
          <w:highlight w:val="none"/>
        </w:rPr>
      </w:pPr>
    </w:p>
    <w:p w14:paraId="5F13EC5D">
      <w:pPr>
        <w:shd w:val="clear"/>
        <w:rPr>
          <w:rFonts w:hint="eastAsia" w:ascii="宋体" w:hAnsi="宋体" w:eastAsia="宋体" w:cs="宋体"/>
          <w:bCs/>
          <w:color w:val="auto"/>
          <w:sz w:val="36"/>
          <w:szCs w:val="36"/>
          <w:highlight w:val="none"/>
        </w:rPr>
      </w:pPr>
    </w:p>
    <w:p w14:paraId="594FAD9D">
      <w:pPr>
        <w:shd w:val="clear"/>
        <w:outlineLvl w:val="9"/>
        <w:rPr>
          <w:rFonts w:hint="eastAsia" w:ascii="宋体" w:hAnsi="宋体" w:eastAsia="宋体" w:cs="宋体"/>
        </w:rPr>
      </w:pPr>
    </w:p>
    <w:p w14:paraId="645682F3">
      <w:pPr>
        <w:shd w:val="clear"/>
        <w:rPr>
          <w:rFonts w:hint="eastAsia" w:ascii="宋体" w:hAnsi="宋体" w:eastAsia="宋体" w:cs="宋体"/>
          <w:bCs/>
          <w:color w:val="auto"/>
          <w:sz w:val="36"/>
          <w:szCs w:val="36"/>
          <w:highlight w:val="none"/>
        </w:rPr>
      </w:pPr>
    </w:p>
    <w:p w14:paraId="388EF074">
      <w:pPr>
        <w:pStyle w:val="10"/>
        <w:shd w:val="clear"/>
        <w:rPr>
          <w:rFonts w:hint="eastAsia" w:ascii="宋体" w:hAnsi="宋体" w:eastAsia="宋体" w:cs="宋体"/>
        </w:rPr>
      </w:pPr>
    </w:p>
    <w:p w14:paraId="5B16AA72">
      <w:pPr>
        <w:shd w:val="clear"/>
        <w:outlineLvl w:val="9"/>
        <w:rPr>
          <w:rFonts w:hint="eastAsia" w:ascii="宋体" w:hAnsi="宋体" w:eastAsia="宋体" w:cs="宋体"/>
        </w:rPr>
      </w:pPr>
    </w:p>
    <w:p w14:paraId="28CE6BA5">
      <w:pPr>
        <w:shd w:val="clear"/>
        <w:rPr>
          <w:rFonts w:hint="eastAsia" w:ascii="宋体" w:hAnsi="宋体" w:eastAsia="宋体" w:cs="宋体"/>
          <w:bCs/>
          <w:color w:val="auto"/>
          <w:sz w:val="36"/>
          <w:szCs w:val="36"/>
          <w:highlight w:val="none"/>
        </w:rPr>
      </w:pPr>
    </w:p>
    <w:p w14:paraId="6507C40C">
      <w:pPr>
        <w:widowControl/>
        <w:shd w:val="clear"/>
        <w:spacing w:line="360" w:lineRule="auto"/>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第二部分   通用条款</w:t>
      </w:r>
    </w:p>
    <w:p w14:paraId="34682261">
      <w:pPr>
        <w:widowControl/>
        <w:shd w:val="clear"/>
        <w:spacing w:line="360" w:lineRule="auto"/>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（省略）</w:t>
      </w:r>
    </w:p>
    <w:p w14:paraId="49A9AF47">
      <w:pPr>
        <w:widowControl/>
        <w:shd w:val="clear"/>
        <w:spacing w:line="360" w:lineRule="auto"/>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第三部分  专用条款</w:t>
      </w:r>
    </w:p>
    <w:p w14:paraId="210E1B6F">
      <w:pPr>
        <w:widowControl/>
        <w:shd w:val="clear"/>
        <w:spacing w:line="360" w:lineRule="auto"/>
        <w:ind w:firstLine="480" w:firstLineChars="200"/>
        <w:rPr>
          <w:rFonts w:hint="eastAsia" w:ascii="宋体" w:hAnsi="宋体" w:eastAsia="宋体" w:cs="宋体"/>
          <w:color w:val="auto"/>
          <w:sz w:val="24"/>
          <w:highlight w:val="none"/>
        </w:rPr>
      </w:pPr>
    </w:p>
    <w:p w14:paraId="5354A696">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一、词语定义及合同文件</w:t>
      </w:r>
    </w:p>
    <w:p w14:paraId="7B8224E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2、合同文件及解释顺序</w:t>
      </w:r>
    </w:p>
    <w:p w14:paraId="713C687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合同文件组成及解释顺序：</w:t>
      </w:r>
      <w:r>
        <w:rPr>
          <w:rFonts w:hint="eastAsia" w:ascii="宋体" w:hAnsi="宋体" w:eastAsia="宋体" w:cs="宋体"/>
          <w:color w:val="auto"/>
          <w:sz w:val="24"/>
          <w:highlight w:val="none"/>
          <w:u w:val="single"/>
        </w:rPr>
        <w:t>本合同协议书；本合同专用条款；本合同通用条款；中标通知书、招标文件及其附件；投标文件及其附件；图纸及答疑纪要；工程建设标准；规范及有关技术文件；工程量清单；工程量清单报价表。</w:t>
      </w:r>
    </w:p>
    <w:p w14:paraId="6C4F6254">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3、语言文字和适用法律、标准及规范</w:t>
      </w:r>
    </w:p>
    <w:p w14:paraId="1A04D5C4">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3.1本合同除使用汉语外，还使用</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语言文字。</w:t>
      </w:r>
    </w:p>
    <w:p w14:paraId="5B57A0FE">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3.2适用法律和法规</w:t>
      </w:r>
    </w:p>
    <w:p w14:paraId="7A2059AE">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需要明示的法律、行政法规：</w:t>
      </w:r>
      <w:r>
        <w:rPr>
          <w:rFonts w:hint="eastAsia" w:ascii="宋体" w:hAnsi="宋体" w:eastAsia="宋体" w:cs="宋体"/>
          <w:color w:val="auto"/>
          <w:sz w:val="24"/>
          <w:highlight w:val="none"/>
          <w:u w:val="single"/>
        </w:rPr>
        <w:t>《中华人民共和国建筑法》；《</w:t>
      </w:r>
      <w:r>
        <w:rPr>
          <w:rFonts w:hint="eastAsia" w:ascii="宋体" w:hAnsi="宋体" w:eastAsia="宋体" w:cs="宋体"/>
          <w:color w:val="auto"/>
          <w:sz w:val="24"/>
          <w:highlight w:val="none"/>
          <w:u w:val="single"/>
          <w:lang w:eastAsia="zh-CN"/>
        </w:rPr>
        <w:t>中华人民共和国民法典</w:t>
      </w:r>
      <w:r>
        <w:rPr>
          <w:rFonts w:hint="eastAsia" w:ascii="宋体" w:hAnsi="宋体" w:eastAsia="宋体" w:cs="宋体"/>
          <w:color w:val="auto"/>
          <w:sz w:val="24"/>
          <w:highlight w:val="none"/>
          <w:u w:val="single"/>
        </w:rPr>
        <w:t>》；《中华人民共和国招标投标法》。</w:t>
      </w:r>
    </w:p>
    <w:p w14:paraId="5051174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3.3适用标准、规范</w:t>
      </w:r>
    </w:p>
    <w:p w14:paraId="48A0431D">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发包人提供标准、规范的时间：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05C65789">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国内没有相应标准、规范时的约定：</w:t>
      </w:r>
      <w:r>
        <w:rPr>
          <w:rFonts w:hint="eastAsia" w:ascii="宋体" w:hAnsi="宋体" w:eastAsia="宋体" w:cs="宋体"/>
          <w:color w:val="auto"/>
          <w:sz w:val="24"/>
          <w:highlight w:val="none"/>
          <w:u w:val="single"/>
        </w:rPr>
        <w:t xml:space="preserve"> 执行通用条款及相关规定。</w:t>
      </w:r>
    </w:p>
    <w:p w14:paraId="7E8E8BCC">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4、图纸</w:t>
      </w:r>
    </w:p>
    <w:p w14:paraId="6F1C8E94">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4.1发包人向承包人提供图纸日期和套数：</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 施工图   套。</w:t>
      </w:r>
    </w:p>
    <w:p w14:paraId="603A013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发包人对图纸的保密要求：</w:t>
      </w:r>
      <w:r>
        <w:rPr>
          <w:rFonts w:hint="eastAsia" w:ascii="宋体" w:hAnsi="宋体" w:eastAsia="宋体" w:cs="宋体"/>
          <w:color w:val="auto"/>
          <w:sz w:val="24"/>
          <w:highlight w:val="none"/>
          <w:u w:val="single"/>
        </w:rPr>
        <w:t xml:space="preserve">   无。  </w:t>
      </w:r>
    </w:p>
    <w:p w14:paraId="367B2590">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使用国外图纸的要求及费用承担：</w:t>
      </w:r>
      <w:r>
        <w:rPr>
          <w:rFonts w:hint="eastAsia" w:ascii="宋体" w:hAnsi="宋体" w:eastAsia="宋体" w:cs="宋体"/>
          <w:color w:val="auto"/>
          <w:sz w:val="24"/>
          <w:highlight w:val="none"/>
          <w:u w:val="single"/>
        </w:rPr>
        <w:t xml:space="preserve">   无。 </w:t>
      </w:r>
    </w:p>
    <w:p w14:paraId="2725931B">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二、双方一般权利和义务</w:t>
      </w:r>
    </w:p>
    <w:p w14:paraId="27F9201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5、工程师</w:t>
      </w:r>
    </w:p>
    <w:p w14:paraId="2D7FDC2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5.2监理单位委派的工程师</w:t>
      </w:r>
    </w:p>
    <w:p w14:paraId="01A7E779">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姓名：____________________职务：_________________________</w:t>
      </w:r>
    </w:p>
    <w:p w14:paraId="5E906B9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发包人委托的职权：</w:t>
      </w:r>
      <w:r>
        <w:rPr>
          <w:rFonts w:hint="eastAsia" w:ascii="宋体" w:hAnsi="宋体" w:eastAsia="宋体" w:cs="宋体"/>
          <w:color w:val="auto"/>
          <w:sz w:val="24"/>
          <w:highlight w:val="none"/>
          <w:u w:val="single"/>
        </w:rPr>
        <w:t>工程质量、进度、造价三控制。</w:t>
      </w:r>
    </w:p>
    <w:p w14:paraId="3330ED1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需要取得发包人批准才能行使的职权：______________________________</w:t>
      </w:r>
    </w:p>
    <w:p w14:paraId="496AFB2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5.4发包人派驻的工程师</w:t>
      </w:r>
    </w:p>
    <w:p w14:paraId="44DC835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姓名:_________职务：___________职权：___________________</w:t>
      </w:r>
    </w:p>
    <w:p w14:paraId="5E1899A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5.6不实行监理的，工程师的职权：________________________</w:t>
      </w:r>
    </w:p>
    <w:p w14:paraId="3F3BD019">
      <w:pPr>
        <w:widowControl/>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7、</w:t>
      </w:r>
      <w:r>
        <w:rPr>
          <w:rFonts w:hint="eastAsia" w:ascii="宋体" w:hAnsi="宋体" w:eastAsia="宋体" w:cs="宋体"/>
          <w:color w:val="auto"/>
          <w:sz w:val="24"/>
          <w:highlight w:val="none"/>
          <w:lang w:eastAsia="zh-CN"/>
        </w:rPr>
        <w:t>项目负责人</w:t>
      </w:r>
    </w:p>
    <w:p w14:paraId="278956F9">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姓名：_________________职务：___________________________</w:t>
      </w:r>
    </w:p>
    <w:p w14:paraId="589BAD94">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8、发包人工作</w:t>
      </w:r>
    </w:p>
    <w:p w14:paraId="444020F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8.1发包人应按约定的时间和要求完成以下工作：</w:t>
      </w:r>
    </w:p>
    <w:p w14:paraId="6E0C4D41">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（1）施工场地具备施工条件的要求及完成的时间：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w:t>
      </w:r>
    </w:p>
    <w:p w14:paraId="5CFC0F5B">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（2）将施工所需的水、电、电讯线路接至施工场地的时间、地点和供应要求：</w:t>
      </w:r>
    </w:p>
    <w:p w14:paraId="798AF1E0">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w:t>
      </w:r>
      <w:r>
        <w:rPr>
          <w:rFonts w:hint="eastAsia" w:ascii="宋体" w:hAnsi="宋体" w:eastAsia="宋体" w:cs="宋体"/>
          <w:color w:val="auto"/>
          <w:sz w:val="24"/>
          <w:highlight w:val="none"/>
        </w:rPr>
        <w:t>；其计量和计价方法为：</w:t>
      </w:r>
      <w:r>
        <w:rPr>
          <w:rFonts w:hint="eastAsia" w:ascii="宋体" w:hAnsi="宋体" w:eastAsia="宋体" w:cs="宋体"/>
          <w:color w:val="auto"/>
          <w:sz w:val="24"/>
          <w:highlight w:val="none"/>
          <w:u w:val="single"/>
        </w:rPr>
        <w:t xml:space="preserve">  双方协商。</w:t>
      </w:r>
    </w:p>
    <w:p w14:paraId="5BE530AB">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（3）施工场地与公共道路的通道开通时间和要求：</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5AF9DB18">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（4）工程地质和地下管线资料的提供时间：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142518A9">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（5）由发包人办理的施工所需证件、批件的名称和完成时间：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w:t>
      </w:r>
    </w:p>
    <w:p w14:paraId="20D5DD11">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（6）水准点与座标控制点交验要求：</w:t>
      </w:r>
      <w:r>
        <w:rPr>
          <w:rFonts w:hint="eastAsia" w:ascii="宋体" w:hAnsi="宋体" w:eastAsia="宋体" w:cs="宋体"/>
          <w:color w:val="auto"/>
          <w:sz w:val="24"/>
          <w:highlight w:val="none"/>
          <w:u w:val="single"/>
        </w:rPr>
        <w:t>符合施工条件，方便施工。</w:t>
      </w:r>
    </w:p>
    <w:p w14:paraId="227B15EA">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（7）图纸会审和设计交底时间：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日前。</w:t>
      </w:r>
    </w:p>
    <w:p w14:paraId="51674F0E">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（8）协调处理施工场地周围地下管线和邻近建筑物、构筑物（含文物保护建筑）、古树名木的保护工作：</w:t>
      </w:r>
      <w:r>
        <w:rPr>
          <w:rFonts w:hint="eastAsia" w:ascii="宋体" w:hAnsi="宋体" w:eastAsia="宋体" w:cs="宋体"/>
          <w:color w:val="auto"/>
          <w:sz w:val="24"/>
          <w:highlight w:val="none"/>
          <w:u w:val="single"/>
        </w:rPr>
        <w:t>发包人提供相关资料，由承包人实施保护，费用发包人承担；由承包人人为原因造成的损失由承包人负责费用。</w:t>
      </w:r>
    </w:p>
    <w:p w14:paraId="7EFED1B4">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（9）双方约定发包人应做的其他工作：</w:t>
      </w:r>
      <w:r>
        <w:rPr>
          <w:rFonts w:hint="eastAsia" w:ascii="宋体" w:hAnsi="宋体" w:eastAsia="宋体" w:cs="宋体"/>
          <w:color w:val="auto"/>
          <w:sz w:val="24"/>
          <w:highlight w:val="none"/>
          <w:u w:val="single"/>
        </w:rPr>
        <w:t xml:space="preserve">  无  </w:t>
      </w:r>
    </w:p>
    <w:p w14:paraId="1825A375">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8.2发包人委托承包人办理的工作：</w:t>
      </w:r>
      <w:r>
        <w:rPr>
          <w:rFonts w:hint="eastAsia" w:ascii="宋体" w:hAnsi="宋体" w:eastAsia="宋体" w:cs="宋体"/>
          <w:color w:val="auto"/>
          <w:sz w:val="24"/>
          <w:highlight w:val="none"/>
          <w:u w:val="single"/>
        </w:rPr>
        <w:t xml:space="preserve"> 双方协商 </w:t>
      </w:r>
    </w:p>
    <w:p w14:paraId="62CA3E9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9、承包人工作</w:t>
      </w:r>
    </w:p>
    <w:p w14:paraId="007CEF7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9.1承包人应按约定时间和要求，完成以下工作：</w:t>
      </w:r>
    </w:p>
    <w:p w14:paraId="7AA760A4">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施工组织设计的实施，工程进度计划，材料供应计划等。</w:t>
      </w:r>
    </w:p>
    <w:p w14:paraId="192FF6CD">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（1）需由设计资质等级和业务范围允许的承包人完成的设计文件提交时间：</w:t>
      </w:r>
      <w:r>
        <w:rPr>
          <w:rFonts w:hint="eastAsia" w:ascii="宋体" w:hAnsi="宋体" w:eastAsia="宋体" w:cs="宋体"/>
          <w:color w:val="auto"/>
          <w:sz w:val="24"/>
          <w:highlight w:val="none"/>
          <w:u w:val="single"/>
        </w:rPr>
        <w:t xml:space="preserve">  无  </w:t>
      </w:r>
    </w:p>
    <w:p w14:paraId="42D8948A">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（2）应提供计划、报表的名称及完成时间</w:t>
      </w:r>
      <w:r>
        <w:rPr>
          <w:rFonts w:hint="eastAsia" w:ascii="宋体" w:hAnsi="宋体" w:eastAsia="宋体" w:cs="宋体"/>
          <w:color w:val="auto"/>
          <w:sz w:val="24"/>
          <w:highlight w:val="none"/>
          <w:u w:val="single"/>
        </w:rPr>
        <w:t>：每月25日前提交下月工程进度计划，材料供应计划。</w:t>
      </w:r>
    </w:p>
    <w:p w14:paraId="140E772C">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（3）承担施工安全保卫工作及非夜间施工照明的责任和要求：执行通用条款及相关规定符合文明施工条件。</w:t>
      </w:r>
    </w:p>
    <w:p w14:paraId="1839D45B">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（4）向发包人提供的办公和生活房屋及设施的要求：</w:t>
      </w:r>
      <w:r>
        <w:rPr>
          <w:rFonts w:hint="eastAsia" w:ascii="宋体" w:hAnsi="宋体" w:eastAsia="宋体" w:cs="宋体"/>
          <w:color w:val="auto"/>
          <w:sz w:val="24"/>
          <w:highlight w:val="none"/>
          <w:u w:val="single"/>
        </w:rPr>
        <w:t>向发包人和监理单位提供现场办公和生活用房屋及设施2间（不低于30平方米）。</w:t>
      </w:r>
    </w:p>
    <w:p w14:paraId="6F535F4C">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（5）需承包人办理的有关施工场地交通、环卫和施工噪音管理等手续：</w:t>
      </w:r>
      <w:r>
        <w:rPr>
          <w:rFonts w:hint="eastAsia" w:ascii="宋体" w:hAnsi="宋体" w:eastAsia="宋体" w:cs="宋体"/>
          <w:color w:val="auto"/>
          <w:sz w:val="24"/>
          <w:highlight w:val="none"/>
          <w:u w:val="single"/>
        </w:rPr>
        <w:t>执行通用条款规定，符合城管、环卫、环保部门规定，并办理相关手续。</w:t>
      </w:r>
    </w:p>
    <w:p w14:paraId="4BC37623">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（6）已完工程成品保护的特殊要求及费用承担：</w:t>
      </w:r>
      <w:r>
        <w:rPr>
          <w:rFonts w:hint="eastAsia" w:ascii="宋体" w:hAnsi="宋体" w:eastAsia="宋体" w:cs="宋体"/>
          <w:color w:val="auto"/>
          <w:sz w:val="24"/>
          <w:highlight w:val="none"/>
          <w:u w:val="single"/>
        </w:rPr>
        <w:t>工程竣工验收前由承包人保护，工程竣工验收后由发包人保护，费用各自承担。</w:t>
      </w:r>
    </w:p>
    <w:p w14:paraId="21BAA385">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（7）施工场地周围地下管线和邻近建筑物、构筑物（含文物保护建筑）、古树名木的保护要求及费用承担：</w:t>
      </w:r>
      <w:r>
        <w:rPr>
          <w:rFonts w:hint="eastAsia" w:ascii="宋体" w:hAnsi="宋体" w:eastAsia="宋体" w:cs="宋体"/>
          <w:color w:val="auto"/>
          <w:sz w:val="24"/>
          <w:highlight w:val="none"/>
          <w:u w:val="single"/>
        </w:rPr>
        <w:t>发包人同相关自老，由承包人实施保护，费用发包人承担；由承包人人为原因造成的损失由承包人负担费用。</w:t>
      </w:r>
    </w:p>
    <w:p w14:paraId="4F8BBC9C">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（8）施工场地清洁卫生的要求：</w:t>
      </w:r>
      <w:r>
        <w:rPr>
          <w:rFonts w:hint="eastAsia" w:ascii="宋体" w:hAnsi="宋体" w:eastAsia="宋体" w:cs="宋体"/>
          <w:color w:val="auto"/>
          <w:sz w:val="24"/>
          <w:highlight w:val="none"/>
          <w:u w:val="single"/>
        </w:rPr>
        <w:t>执行《通用条款》规定，符合环卫部门规定，文明施工。</w:t>
      </w:r>
    </w:p>
    <w:p w14:paraId="0BA6D256">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（9）双方约定承包人应做的其他工作：</w:t>
      </w:r>
      <w:r>
        <w:rPr>
          <w:rFonts w:hint="eastAsia" w:ascii="宋体" w:hAnsi="宋体" w:eastAsia="宋体" w:cs="宋体"/>
          <w:color w:val="auto"/>
          <w:sz w:val="24"/>
          <w:highlight w:val="none"/>
          <w:u w:val="single"/>
        </w:rPr>
        <w:t>协调并处理好施工现场周边及邻里关系。</w:t>
      </w:r>
    </w:p>
    <w:p w14:paraId="5C1E9741">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三、施工组织设计和工期</w:t>
      </w:r>
    </w:p>
    <w:p w14:paraId="05B18BE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10、进度计划</w:t>
      </w:r>
    </w:p>
    <w:p w14:paraId="416A867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10.1承包人提供施工组织设计（施工方案）和进度计划的时间：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r>
        <w:rPr>
          <w:rFonts w:hint="eastAsia" w:ascii="宋体" w:hAnsi="宋体" w:eastAsia="宋体" w:cs="宋体"/>
          <w:color w:val="auto"/>
          <w:sz w:val="24"/>
          <w:highlight w:val="none"/>
        </w:rPr>
        <w:t xml:space="preserve">  </w:t>
      </w:r>
    </w:p>
    <w:p w14:paraId="5B13F7F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监理工程师确认的时间：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5DE85CB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10.2群体工程中有关进度计划的要求：</w:t>
      </w:r>
      <w:r>
        <w:rPr>
          <w:rFonts w:hint="eastAsia" w:ascii="宋体" w:hAnsi="宋体" w:eastAsia="宋体" w:cs="宋体"/>
          <w:color w:val="auto"/>
          <w:sz w:val="24"/>
          <w:highlight w:val="none"/>
          <w:u w:val="single"/>
        </w:rPr>
        <w:t>符合审定的施工组织设计规定</w:t>
      </w:r>
      <w:r>
        <w:rPr>
          <w:rFonts w:hint="eastAsia" w:ascii="宋体" w:hAnsi="宋体" w:eastAsia="宋体" w:cs="宋体"/>
          <w:color w:val="auto"/>
          <w:sz w:val="24"/>
          <w:highlight w:val="none"/>
        </w:rPr>
        <w:t>。</w:t>
      </w:r>
    </w:p>
    <w:p w14:paraId="775294B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13、工期延误</w:t>
      </w:r>
    </w:p>
    <w:p w14:paraId="2FF27137">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13.1双方约定工期顺延的其他情况：</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w:t>
      </w:r>
    </w:p>
    <w:p w14:paraId="67E432EE">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四、质量与检验</w:t>
      </w:r>
    </w:p>
    <w:p w14:paraId="3A61581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17、隐蔽工程和中间验收</w:t>
      </w:r>
    </w:p>
    <w:p w14:paraId="51508F4F">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17.1双方约定中间验收部位：</w:t>
      </w:r>
      <w:r>
        <w:rPr>
          <w:rFonts w:hint="eastAsia" w:ascii="宋体" w:hAnsi="宋体" w:eastAsia="宋体" w:cs="宋体"/>
          <w:color w:val="auto"/>
          <w:sz w:val="24"/>
          <w:highlight w:val="none"/>
          <w:u w:val="single"/>
        </w:rPr>
        <w:t xml:space="preserve">                        </w:t>
      </w:r>
    </w:p>
    <w:p w14:paraId="0E1547D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19、工程试车</w:t>
      </w:r>
    </w:p>
    <w:p w14:paraId="6834350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19.5试车费用的承担：</w:t>
      </w:r>
      <w:r>
        <w:rPr>
          <w:rFonts w:hint="eastAsia" w:ascii="宋体" w:hAnsi="宋体" w:eastAsia="宋体" w:cs="宋体"/>
          <w:color w:val="auto"/>
          <w:sz w:val="24"/>
          <w:highlight w:val="none"/>
          <w:u w:val="single"/>
        </w:rPr>
        <w:t xml:space="preserve">   无   </w:t>
      </w:r>
    </w:p>
    <w:p w14:paraId="54BCAD54">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五、安全防护、文明施工</w:t>
      </w:r>
    </w:p>
    <w:p w14:paraId="712CFC64">
      <w:pPr>
        <w:widowControl/>
        <w:shd w:val="clear"/>
        <w:spacing w:line="360" w:lineRule="auto"/>
        <w:ind w:firstLine="597" w:firstLineChars="249"/>
        <w:rPr>
          <w:rFonts w:hint="eastAsia" w:ascii="宋体" w:hAnsi="宋体" w:eastAsia="宋体" w:cs="宋体"/>
          <w:color w:val="auto"/>
          <w:sz w:val="24"/>
          <w:highlight w:val="none"/>
        </w:rPr>
      </w:pPr>
      <w:r>
        <w:rPr>
          <w:rFonts w:hint="eastAsia" w:ascii="宋体" w:hAnsi="宋体" w:eastAsia="宋体" w:cs="宋体"/>
          <w:color w:val="auto"/>
          <w:sz w:val="24"/>
          <w:highlight w:val="none"/>
        </w:rPr>
        <w:t>执行《通用条款》全部条款和国家及省、市关于文明施工的相关规定。</w:t>
      </w:r>
    </w:p>
    <w:p w14:paraId="321DB03F">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六、合同价款</w:t>
      </w:r>
    </w:p>
    <w:p w14:paraId="33229D3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26、合同价款约定</w:t>
      </w:r>
    </w:p>
    <w:p w14:paraId="4531958F">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26.2本合同价款采用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方式确定。</w:t>
      </w:r>
    </w:p>
    <w:p w14:paraId="46233E3F">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（1）采用固定总价合同：</w:t>
      </w:r>
    </w:p>
    <w:p w14:paraId="565C121A">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（2）采用固定综合单价合同，综合单价中包括的风险范围：</w:t>
      </w:r>
    </w:p>
    <w:p w14:paraId="4B68F519">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____________________________________________________________________</w:t>
      </w:r>
    </w:p>
    <w:p w14:paraId="78A7500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风险范围以外综合单价调整方法：_______________________________</w:t>
      </w:r>
    </w:p>
    <w:p w14:paraId="6E9D981E">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（3）采用可调价格合同，合同价款调整方法：____________________</w:t>
      </w:r>
    </w:p>
    <w:p w14:paraId="7BC87C14">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27、合同价款调整</w:t>
      </w:r>
    </w:p>
    <w:p w14:paraId="66D7256A">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27.1双方约定合同价款的其他调整因素：_________________________</w:t>
      </w:r>
    </w:p>
    <w:p w14:paraId="4C4D763F">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28、工程预付款</w:t>
      </w:r>
    </w:p>
    <w:p w14:paraId="724C2499">
      <w:pPr>
        <w:widowControl/>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发包人向承包人预付工程款的时间和金额或占合同价款总额的比例： _______________________________________________________________</w:t>
      </w:r>
    </w:p>
    <w:p w14:paraId="48BACB5C">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扣回工程款的时间、比例：_____________________________________</w:t>
      </w:r>
    </w:p>
    <w:p w14:paraId="7D720D91">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全防护、文明施工措施费用的比例和时间：__________________________</w:t>
      </w:r>
    </w:p>
    <w:p w14:paraId="66203DB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29、工程量确认</w:t>
      </w:r>
    </w:p>
    <w:p w14:paraId="2F080C5C">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29.1承包人向工程师提交已完工程量报告的时间：____________________</w:t>
      </w:r>
    </w:p>
    <w:p w14:paraId="15DAEC54">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30、工程进度款结算与支付</w:t>
      </w:r>
    </w:p>
    <w:p w14:paraId="446F856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双方约定的工程进度款支付的方式、时间和比例是：___________________</w:t>
      </w:r>
    </w:p>
    <w:p w14:paraId="0CA6804E">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七、材料设备供应</w:t>
      </w:r>
    </w:p>
    <w:p w14:paraId="113EE70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31、发包人供应材料设备</w:t>
      </w:r>
    </w:p>
    <w:p w14:paraId="0DDD0B6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31.4发包人供应的材料设备与一览表不符时，双方约定发包人承担责任如下：</w:t>
      </w:r>
    </w:p>
    <w:p w14:paraId="77CCD4E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（1）材料设备单价与一览表不符：</w:t>
      </w:r>
      <w:r>
        <w:rPr>
          <w:rFonts w:hint="eastAsia" w:ascii="宋体" w:hAnsi="宋体" w:eastAsia="宋体" w:cs="宋体"/>
          <w:color w:val="auto"/>
          <w:sz w:val="24"/>
          <w:highlight w:val="none"/>
          <w:u w:val="single"/>
        </w:rPr>
        <w:t xml:space="preserve">  双方协商解决  </w:t>
      </w:r>
    </w:p>
    <w:p w14:paraId="1C1F55B3">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（2）材料设备的品种、规格、型号、质量等级与一览表不符：</w:t>
      </w:r>
      <w:r>
        <w:rPr>
          <w:rFonts w:hint="eastAsia" w:ascii="宋体" w:hAnsi="宋体" w:eastAsia="宋体" w:cs="宋体"/>
          <w:color w:val="auto"/>
          <w:sz w:val="24"/>
          <w:highlight w:val="none"/>
          <w:u w:val="single"/>
        </w:rPr>
        <w:t>执行合同条款规定。</w:t>
      </w:r>
    </w:p>
    <w:p w14:paraId="6ADD7D7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（3）承包人可代为调剂串换的材料：</w:t>
      </w:r>
      <w:r>
        <w:rPr>
          <w:rFonts w:hint="eastAsia" w:ascii="宋体" w:hAnsi="宋体" w:eastAsia="宋体" w:cs="宋体"/>
          <w:color w:val="auto"/>
          <w:sz w:val="24"/>
          <w:highlight w:val="none"/>
          <w:u w:val="single"/>
        </w:rPr>
        <w:t xml:space="preserve">  执行合同条款规定 。</w:t>
      </w:r>
    </w:p>
    <w:p w14:paraId="5DD9693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（4）到货地点与一览表不符：</w:t>
      </w:r>
      <w:r>
        <w:rPr>
          <w:rFonts w:hint="eastAsia" w:ascii="宋体" w:hAnsi="宋体" w:eastAsia="宋体" w:cs="宋体"/>
          <w:color w:val="auto"/>
          <w:sz w:val="24"/>
          <w:highlight w:val="none"/>
          <w:u w:val="single"/>
        </w:rPr>
        <w:t xml:space="preserve">  执行合同条款规定。</w:t>
      </w:r>
    </w:p>
    <w:p w14:paraId="4B8B9231">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（5）供应数量与一览表不符：</w:t>
      </w:r>
      <w:r>
        <w:rPr>
          <w:rFonts w:hint="eastAsia" w:ascii="宋体" w:hAnsi="宋体" w:eastAsia="宋体" w:cs="宋体"/>
          <w:color w:val="auto"/>
          <w:sz w:val="24"/>
          <w:highlight w:val="none"/>
          <w:u w:val="single"/>
        </w:rPr>
        <w:t xml:space="preserve">  执行合同条款规定。</w:t>
      </w:r>
    </w:p>
    <w:p w14:paraId="4B9496F2">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（6）到货时间与一览表不符：</w:t>
      </w:r>
      <w:r>
        <w:rPr>
          <w:rFonts w:hint="eastAsia" w:ascii="宋体" w:hAnsi="宋体" w:eastAsia="宋体" w:cs="宋体"/>
          <w:color w:val="auto"/>
          <w:sz w:val="24"/>
          <w:highlight w:val="none"/>
          <w:u w:val="single"/>
        </w:rPr>
        <w:t xml:space="preserve">  执行合同条款规定</w:t>
      </w:r>
    </w:p>
    <w:p w14:paraId="5225AE26">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31.6发包人供应材料设备的结算方法：</w:t>
      </w:r>
      <w:r>
        <w:rPr>
          <w:rFonts w:hint="eastAsia" w:ascii="宋体" w:hAnsi="宋体" w:eastAsia="宋体" w:cs="宋体"/>
          <w:color w:val="auto"/>
          <w:sz w:val="24"/>
          <w:highlight w:val="none"/>
          <w:u w:val="single"/>
        </w:rPr>
        <w:t>按招标文件规定价格从当月进度款中扣除。</w:t>
      </w:r>
    </w:p>
    <w:p w14:paraId="2B24F0FE">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32、承包人采购材料设备</w:t>
      </w:r>
    </w:p>
    <w:p w14:paraId="6E35F2B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32.1承包人采购材料设备的约定：</w:t>
      </w:r>
    </w:p>
    <w:p w14:paraId="7782D100">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_承包人采购材料材料设备在采购前10日内向发包人提供材料设备样品。质量指标，各种相关技术参数，由发包人认质认价后批量采购。</w:t>
      </w:r>
    </w:p>
    <w:p w14:paraId="43339094">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八、工程变更</w:t>
      </w:r>
    </w:p>
    <w:p w14:paraId="401CB8B5">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color w:val="auto"/>
          <w:sz w:val="24"/>
          <w:highlight w:val="none"/>
        </w:rPr>
        <w:t xml:space="preserve">  工程设计变更以设计院出具书面报告由发包人认可认准。</w:t>
      </w:r>
    </w:p>
    <w:p w14:paraId="00A46505">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九、竣工验收与结算</w:t>
      </w:r>
    </w:p>
    <w:p w14:paraId="25D2193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36、竣工验收</w:t>
      </w:r>
    </w:p>
    <w:p w14:paraId="672DF68E">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36.1承包人提供竣工图的约定：</w:t>
      </w:r>
      <w:r>
        <w:rPr>
          <w:rFonts w:hint="eastAsia" w:ascii="宋体" w:hAnsi="宋体" w:eastAsia="宋体" w:cs="宋体"/>
          <w:color w:val="auto"/>
          <w:sz w:val="24"/>
          <w:highlight w:val="none"/>
          <w:u w:val="single"/>
        </w:rPr>
        <w:t>提供竣工图纸及竣工资料文件三套。</w:t>
      </w:r>
    </w:p>
    <w:p w14:paraId="48BCA4DF">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36.6中间交工工程的范围和竣工时间：</w:t>
      </w:r>
      <w:r>
        <w:rPr>
          <w:rFonts w:hint="eastAsia" w:ascii="宋体" w:hAnsi="宋体" w:eastAsia="宋体" w:cs="宋体"/>
          <w:color w:val="auto"/>
          <w:sz w:val="24"/>
          <w:highlight w:val="none"/>
          <w:u w:val="single"/>
        </w:rPr>
        <w:t xml:space="preserve">  执行合同条款规定。</w:t>
      </w:r>
    </w:p>
    <w:p w14:paraId="2AD001DD">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37、竣工结算</w:t>
      </w:r>
    </w:p>
    <w:p w14:paraId="7F58BE84">
      <w:pPr>
        <w:widowControl/>
        <w:shd w:val="clear"/>
        <w:spacing w:line="360" w:lineRule="auto"/>
        <w:ind w:firstLine="600" w:firstLineChars="25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结算审查期限：</w:t>
      </w:r>
      <w:r>
        <w:rPr>
          <w:rFonts w:hint="eastAsia" w:ascii="宋体" w:hAnsi="宋体" w:eastAsia="宋体" w:cs="宋体"/>
          <w:color w:val="auto"/>
          <w:sz w:val="24"/>
          <w:highlight w:val="none"/>
          <w:u w:val="single"/>
        </w:rPr>
        <w:t xml:space="preserve"> 全部资料提交后6个月内完成审计。</w:t>
      </w:r>
    </w:p>
    <w:p w14:paraId="4CDCB0A4">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十、违约、索赔和争议</w:t>
      </w:r>
    </w:p>
    <w:p w14:paraId="4A8A96F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39、违约</w:t>
      </w:r>
    </w:p>
    <w:p w14:paraId="4FE029DD">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39.1本合同中关于发包人违约的具体责任如下：</w:t>
      </w:r>
    </w:p>
    <w:p w14:paraId="529A5FB4">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本合同通用条款第28.1条约定发包人违约应承担的违约责任：</w:t>
      </w:r>
      <w:r>
        <w:rPr>
          <w:rFonts w:hint="eastAsia" w:ascii="宋体" w:hAnsi="宋体" w:eastAsia="宋体" w:cs="宋体"/>
          <w:color w:val="auto"/>
          <w:sz w:val="24"/>
          <w:highlight w:val="none"/>
          <w:u w:val="single"/>
        </w:rPr>
        <w:t>执行合同通用条款。</w:t>
      </w:r>
    </w:p>
    <w:p w14:paraId="60034459">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本合同通用条款第30.5款约定发包人违约应承担的违约责任：</w:t>
      </w:r>
      <w:r>
        <w:rPr>
          <w:rFonts w:hint="eastAsia" w:ascii="宋体" w:hAnsi="宋体" w:eastAsia="宋体" w:cs="宋体"/>
          <w:color w:val="auto"/>
          <w:sz w:val="24"/>
          <w:highlight w:val="none"/>
          <w:u w:val="single"/>
        </w:rPr>
        <w:t>执行合同通用条款。</w:t>
      </w:r>
    </w:p>
    <w:p w14:paraId="2387A770">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本合同通用条款第37.6款约定发包人违约应承担的违约责任：</w:t>
      </w:r>
      <w:r>
        <w:rPr>
          <w:rFonts w:hint="eastAsia" w:ascii="宋体" w:hAnsi="宋体" w:eastAsia="宋体" w:cs="宋体"/>
          <w:color w:val="auto"/>
          <w:sz w:val="24"/>
          <w:highlight w:val="none"/>
          <w:u w:val="single"/>
        </w:rPr>
        <w:t>执行合同通用条款。</w:t>
      </w:r>
    </w:p>
    <w:p w14:paraId="1794AE90">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双方约定的发包人其他违约责任：</w:t>
      </w:r>
      <w:r>
        <w:rPr>
          <w:rFonts w:hint="eastAsia" w:ascii="宋体" w:hAnsi="宋体" w:eastAsia="宋体" w:cs="宋体"/>
          <w:color w:val="auto"/>
          <w:sz w:val="24"/>
          <w:highlight w:val="none"/>
          <w:u w:val="single"/>
        </w:rPr>
        <w:t>执行合同通用条款。</w:t>
      </w:r>
    </w:p>
    <w:p w14:paraId="29B7132C">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39.2本合同中关于承包人违约的具体责任如下：</w:t>
      </w:r>
    </w:p>
    <w:p w14:paraId="56C29291">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本合同通用条款第14.2款约定承包人违约承担的违约责任</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w:t>
      </w:r>
    </w:p>
    <w:p w14:paraId="73AC29FA">
      <w:pPr>
        <w:widowControl/>
        <w:shd w:val="clea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本合同通用条款第15.1款约定承包人违约应承担的违约责任：</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w:t>
      </w:r>
    </w:p>
    <w:p w14:paraId="33EEBA6C">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双方约定的承包人其他违约责任：</w:t>
      </w:r>
      <w:r>
        <w:rPr>
          <w:rFonts w:hint="eastAsia" w:ascii="宋体" w:hAnsi="宋体" w:eastAsia="宋体" w:cs="宋体"/>
          <w:color w:val="auto"/>
          <w:sz w:val="24"/>
          <w:highlight w:val="none"/>
          <w:u w:val="single"/>
        </w:rPr>
        <w:t xml:space="preserve">  执行合同通用条款。</w:t>
      </w:r>
    </w:p>
    <w:p w14:paraId="275FFF5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41、争议</w:t>
      </w:r>
    </w:p>
    <w:p w14:paraId="0E682DB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41.1双方当事人约定，在履行合同过程中产生争议时：</w:t>
      </w:r>
    </w:p>
    <w:p w14:paraId="7D47953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（1）请</w:t>
      </w:r>
      <w:r>
        <w:rPr>
          <w:rFonts w:hint="eastAsia" w:ascii="宋体" w:hAnsi="宋体" w:eastAsia="宋体" w:cs="宋体"/>
          <w:color w:val="auto"/>
          <w:sz w:val="24"/>
          <w:highlight w:val="none"/>
          <w:u w:val="single"/>
        </w:rPr>
        <w:t>_建设管理部门_</w:t>
      </w:r>
      <w:r>
        <w:rPr>
          <w:rFonts w:hint="eastAsia" w:ascii="宋体" w:hAnsi="宋体" w:eastAsia="宋体" w:cs="宋体"/>
          <w:color w:val="auto"/>
          <w:sz w:val="24"/>
          <w:highlight w:val="none"/>
        </w:rPr>
        <w:t>调解；</w:t>
      </w:r>
    </w:p>
    <w:p w14:paraId="3FF6C6B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（2）合同争议调解不成的，按下列第</w:t>
      </w:r>
      <w:r>
        <w:rPr>
          <w:rFonts w:hint="eastAsia" w:ascii="宋体" w:hAnsi="宋体" w:eastAsia="宋体" w:cs="宋体"/>
          <w:color w:val="auto"/>
          <w:sz w:val="24"/>
          <w:highlight w:val="none"/>
          <w:u w:val="single"/>
        </w:rPr>
        <w:t>（1）</w:t>
      </w:r>
      <w:r>
        <w:rPr>
          <w:rFonts w:hint="eastAsia" w:ascii="宋体" w:hAnsi="宋体" w:eastAsia="宋体" w:cs="宋体"/>
          <w:color w:val="auto"/>
          <w:sz w:val="24"/>
          <w:highlight w:val="none"/>
        </w:rPr>
        <w:t>种方式解决：</w:t>
      </w:r>
    </w:p>
    <w:p w14:paraId="57E4200B">
      <w:pPr>
        <w:widowControl/>
        <w:shd w:val="clear"/>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1）提交 </w:t>
      </w:r>
      <w:r>
        <w:rPr>
          <w:rFonts w:hint="eastAsia" w:ascii="宋体" w:hAnsi="宋体" w:eastAsia="宋体" w:cs="宋体"/>
          <w:color w:val="auto"/>
          <w:sz w:val="24"/>
          <w:highlight w:val="none"/>
          <w:u w:val="single"/>
        </w:rPr>
        <w:t>宝鸡市</w:t>
      </w:r>
      <w:r>
        <w:rPr>
          <w:rFonts w:hint="eastAsia" w:ascii="宋体" w:hAnsi="宋体" w:eastAsia="宋体" w:cs="宋体"/>
          <w:color w:val="auto"/>
          <w:sz w:val="24"/>
          <w:highlight w:val="none"/>
          <w:u w:val="single"/>
          <w:lang w:eastAsia="zh-CN"/>
        </w:rPr>
        <w:t>凤县</w:t>
      </w:r>
      <w:r>
        <w:rPr>
          <w:rFonts w:hint="eastAsia" w:ascii="宋体" w:hAnsi="宋体" w:eastAsia="宋体" w:cs="宋体"/>
          <w:color w:val="auto"/>
          <w:sz w:val="24"/>
          <w:highlight w:val="none"/>
        </w:rPr>
        <w:t>仲裁委员会申请仲裁；</w:t>
      </w:r>
    </w:p>
    <w:p w14:paraId="0636B8B8">
      <w:pPr>
        <w:widowControl/>
        <w:shd w:val="clear"/>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2）依法向____________人民法院提起诉讼。</w:t>
      </w:r>
    </w:p>
    <w:p w14:paraId="16F3B785">
      <w:pPr>
        <w:widowControl/>
        <w:shd w:val="clea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十一、其他</w:t>
      </w:r>
    </w:p>
    <w:p w14:paraId="4C4CC82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42、工程分包</w:t>
      </w:r>
    </w:p>
    <w:p w14:paraId="44E453C1">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42.1本工程发包人同意承包人分包的专业工程：</w:t>
      </w:r>
      <w:r>
        <w:rPr>
          <w:rFonts w:hint="eastAsia" w:ascii="宋体" w:hAnsi="宋体" w:eastAsia="宋体" w:cs="宋体"/>
          <w:color w:val="auto"/>
          <w:sz w:val="24"/>
          <w:highlight w:val="none"/>
          <w:u w:val="single"/>
        </w:rPr>
        <w:t xml:space="preserve">  无  </w:t>
      </w:r>
    </w:p>
    <w:p w14:paraId="2C0195AE">
      <w:pPr>
        <w:widowControl/>
        <w:shd w:val="clear"/>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分包施工单位为：</w:t>
      </w:r>
      <w:r>
        <w:rPr>
          <w:rFonts w:hint="eastAsia" w:ascii="宋体" w:hAnsi="宋体" w:eastAsia="宋体" w:cs="宋体"/>
          <w:color w:val="auto"/>
          <w:sz w:val="24"/>
          <w:highlight w:val="none"/>
          <w:u w:val="single"/>
        </w:rPr>
        <w:t xml:space="preserve">  无  </w:t>
      </w:r>
    </w:p>
    <w:p w14:paraId="11AA9C2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43、不可抗力</w:t>
      </w:r>
    </w:p>
    <w:p w14:paraId="3DBA313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43.1双方关于不可抗力的约定：</w:t>
      </w:r>
      <w:r>
        <w:rPr>
          <w:rFonts w:hint="eastAsia" w:ascii="宋体" w:hAnsi="宋体" w:eastAsia="宋体" w:cs="宋体"/>
          <w:color w:val="auto"/>
          <w:sz w:val="24"/>
          <w:highlight w:val="none"/>
          <w:u w:val="single"/>
        </w:rPr>
        <w:t xml:space="preserve">  按国家相关规定执行。</w:t>
      </w:r>
    </w:p>
    <w:p w14:paraId="331C7D5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44、保险</w:t>
      </w:r>
    </w:p>
    <w:p w14:paraId="63A5AF4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本工程双方约定投保内容如下：</w:t>
      </w:r>
    </w:p>
    <w:p w14:paraId="7AF2479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（1）发包人投保内容：</w:t>
      </w:r>
      <w:r>
        <w:rPr>
          <w:rFonts w:hint="eastAsia" w:ascii="宋体" w:hAnsi="宋体" w:eastAsia="宋体" w:cs="宋体"/>
          <w:color w:val="auto"/>
          <w:sz w:val="24"/>
          <w:highlight w:val="none"/>
          <w:u w:val="single"/>
        </w:rPr>
        <w:t xml:space="preserve">  现场工程师意外伤害险。</w:t>
      </w:r>
    </w:p>
    <w:p w14:paraId="1D3BD091">
      <w:pPr>
        <w:widowControl/>
        <w:shd w:val="clear"/>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发包人委托承包人办理的保险事项：</w:t>
      </w:r>
      <w:r>
        <w:rPr>
          <w:rFonts w:hint="eastAsia" w:ascii="宋体" w:hAnsi="宋体" w:eastAsia="宋体" w:cs="宋体"/>
          <w:color w:val="auto"/>
          <w:sz w:val="24"/>
          <w:highlight w:val="none"/>
          <w:u w:val="single"/>
        </w:rPr>
        <w:t xml:space="preserve">  无  </w:t>
      </w:r>
    </w:p>
    <w:p w14:paraId="321FD12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（2）承包人投保内容：</w:t>
      </w:r>
      <w:r>
        <w:rPr>
          <w:rFonts w:hint="eastAsia" w:ascii="宋体" w:hAnsi="宋体" w:eastAsia="宋体" w:cs="宋体"/>
          <w:color w:val="auto"/>
          <w:sz w:val="24"/>
          <w:highlight w:val="none"/>
          <w:u w:val="single"/>
        </w:rPr>
        <w:t xml:space="preserve"> 施工现场一切险种 </w:t>
      </w:r>
      <w:r>
        <w:rPr>
          <w:rFonts w:hint="eastAsia" w:ascii="宋体" w:hAnsi="宋体" w:eastAsia="宋体" w:cs="宋体"/>
          <w:color w:val="auto"/>
          <w:sz w:val="24"/>
          <w:highlight w:val="none"/>
        </w:rPr>
        <w:t>。</w:t>
      </w:r>
    </w:p>
    <w:p w14:paraId="24A8220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45、担保</w:t>
      </w:r>
    </w:p>
    <w:p w14:paraId="371DFD61">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本工程双方约定担保事项如下：</w:t>
      </w:r>
    </w:p>
    <w:p w14:paraId="45DB835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（1）发包人向承包人提供支付担保，担保方式为：____________________，担保金额：______________________，担保有效期：________________________。</w:t>
      </w:r>
    </w:p>
    <w:p w14:paraId="4295715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（2）承包人向发包人提供履约担保，担保方式为：___________________，担保金额：____________________，担保有效期：______________________。</w:t>
      </w:r>
    </w:p>
    <w:p w14:paraId="4437CCCE">
      <w:pPr>
        <w:widowControl/>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（3）双方约定的其他担保事项：</w:t>
      </w:r>
      <w:r>
        <w:rPr>
          <w:rFonts w:hint="eastAsia" w:ascii="宋体" w:hAnsi="宋体" w:eastAsia="宋体" w:cs="宋体"/>
          <w:color w:val="auto"/>
          <w:sz w:val="24"/>
          <w:highlight w:val="none"/>
          <w:u w:val="single"/>
        </w:rPr>
        <w:t xml:space="preserve">  无  。</w:t>
      </w:r>
    </w:p>
    <w:p w14:paraId="6302D10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50、合同份数</w:t>
      </w:r>
    </w:p>
    <w:p w14:paraId="52195A9D">
      <w:pPr>
        <w:widowControl/>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50.</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双方约定合同副本份数：</w:t>
      </w:r>
      <w:r>
        <w:rPr>
          <w:rFonts w:hint="eastAsia" w:ascii="宋体" w:hAnsi="宋体" w:eastAsia="宋体" w:cs="宋体"/>
          <w:color w:val="auto"/>
          <w:sz w:val="24"/>
          <w:highlight w:val="none"/>
          <w:u w:val="single"/>
        </w:rPr>
        <w:t xml:space="preserve">  正本贰份，副本  份  </w:t>
      </w:r>
    </w:p>
    <w:p w14:paraId="37AFC0BC">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51、补充条款</w:t>
      </w:r>
    </w:p>
    <w:p w14:paraId="23C18038">
      <w:pPr>
        <w:widowControl/>
        <w:shd w:val="clear"/>
        <w:spacing w:line="400" w:lineRule="auto"/>
        <w:ind w:firstLine="480" w:firstLineChars="200"/>
        <w:rPr>
          <w:rFonts w:hint="eastAsia" w:ascii="宋体" w:hAnsi="宋体" w:eastAsia="宋体" w:cs="宋体"/>
          <w:color w:val="auto"/>
          <w:sz w:val="24"/>
          <w:highlight w:val="none"/>
        </w:rPr>
      </w:pPr>
    </w:p>
    <w:p w14:paraId="3FE2A39E">
      <w:pPr>
        <w:pStyle w:val="23"/>
        <w:shd w:val="clear"/>
        <w:spacing w:before="0" w:beforeAutospacing="0" w:after="0" w:afterAutospacing="0" w:line="400" w:lineRule="auto"/>
        <w:ind w:firstLine="480" w:firstLineChars="200"/>
        <w:jc w:val="both"/>
        <w:rPr>
          <w:rFonts w:hint="eastAsia" w:ascii="宋体" w:hAnsi="宋体" w:eastAsia="宋体" w:cs="宋体"/>
          <w:color w:val="auto"/>
          <w:highlight w:val="none"/>
        </w:rPr>
        <w:sectPr>
          <w:footerReference r:id="rId8" w:type="default"/>
          <w:pgSz w:w="11849" w:h="16781"/>
          <w:pgMar w:top="1440" w:right="1080" w:bottom="1440" w:left="1080" w:header="720" w:footer="720" w:gutter="0"/>
          <w:pgNumType w:fmt="decimal"/>
          <w:cols w:space="0" w:num="1"/>
          <w:rtlGutter w:val="0"/>
          <w:docGrid w:linePitch="0" w:charSpace="0"/>
        </w:sectPr>
      </w:pPr>
      <w:r>
        <w:rPr>
          <w:rFonts w:hint="eastAsia" w:ascii="宋体" w:hAnsi="宋体" w:eastAsia="宋体" w:cs="宋体"/>
          <w:color w:val="auto"/>
          <w:highlight w:val="none"/>
        </w:rPr>
        <w:t>附件3：工程质量保修书</w:t>
      </w:r>
    </w:p>
    <w:p w14:paraId="5FC43AE0">
      <w:pPr>
        <w:pStyle w:val="23"/>
        <w:shd w:val="clear"/>
        <w:spacing w:before="0" w:beforeAutospacing="0" w:after="0" w:afterAutospacing="0" w:line="300" w:lineRule="auto"/>
        <w:jc w:val="both"/>
        <w:rPr>
          <w:rFonts w:hint="eastAsia" w:ascii="宋体" w:hAnsi="宋体" w:eastAsia="宋体" w:cs="宋体"/>
          <w:color w:val="auto"/>
          <w:sz w:val="21"/>
          <w:szCs w:val="18"/>
          <w:highlight w:val="none"/>
        </w:rPr>
      </w:pPr>
    </w:p>
    <w:p w14:paraId="5DF85F2C">
      <w:pPr>
        <w:pStyle w:val="23"/>
        <w:shd w:val="clear"/>
        <w:spacing w:before="0" w:beforeAutospacing="0" w:after="0" w:afterAutospacing="0" w:line="300" w:lineRule="auto"/>
        <w:jc w:val="both"/>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附件1：</w:t>
      </w:r>
    </w:p>
    <w:p w14:paraId="6A632AEF">
      <w:pPr>
        <w:pStyle w:val="23"/>
        <w:shd w:val="clear"/>
        <w:spacing w:before="0" w:beforeAutospacing="0" w:after="0" w:afterAutospacing="0" w:line="300" w:lineRule="auto"/>
        <w:jc w:val="center"/>
        <w:rPr>
          <w:rFonts w:hint="eastAsia" w:ascii="宋体" w:hAnsi="宋体" w:eastAsia="宋体" w:cs="宋体"/>
          <w:b/>
          <w:bCs/>
          <w:color w:val="auto"/>
          <w:sz w:val="36"/>
          <w:szCs w:val="18"/>
          <w:highlight w:val="none"/>
        </w:rPr>
      </w:pPr>
      <w:r>
        <w:rPr>
          <w:rFonts w:hint="eastAsia" w:ascii="宋体" w:hAnsi="宋体" w:eastAsia="宋体" w:cs="宋体"/>
          <w:b/>
          <w:bCs/>
          <w:color w:val="auto"/>
          <w:sz w:val="36"/>
          <w:szCs w:val="18"/>
          <w:highlight w:val="none"/>
        </w:rPr>
        <w:t>承包人承揽工程项目一览表</w:t>
      </w:r>
    </w:p>
    <w:tbl>
      <w:tblPr>
        <w:tblStyle w:val="26"/>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747"/>
        <w:gridCol w:w="749"/>
        <w:gridCol w:w="753"/>
        <w:gridCol w:w="550"/>
        <w:gridCol w:w="1050"/>
        <w:gridCol w:w="1536"/>
        <w:gridCol w:w="1226"/>
        <w:gridCol w:w="900"/>
        <w:gridCol w:w="876"/>
      </w:tblGrid>
      <w:tr w14:paraId="6970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37F19818">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单位工程名称</w:t>
            </w:r>
          </w:p>
        </w:tc>
        <w:tc>
          <w:tcPr>
            <w:tcW w:w="378" w:type="pct"/>
            <w:noWrap w:val="0"/>
            <w:vAlign w:val="center"/>
          </w:tcPr>
          <w:p w14:paraId="26F82732">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建设</w:t>
            </w:r>
          </w:p>
          <w:p w14:paraId="0111371F">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规模</w:t>
            </w:r>
          </w:p>
        </w:tc>
        <w:tc>
          <w:tcPr>
            <w:tcW w:w="379" w:type="pct"/>
            <w:noWrap w:val="0"/>
            <w:vAlign w:val="center"/>
          </w:tcPr>
          <w:p w14:paraId="6AAC5337">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建筑</w:t>
            </w:r>
          </w:p>
          <w:p w14:paraId="22E864AB">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面积</w:t>
            </w:r>
          </w:p>
        </w:tc>
        <w:tc>
          <w:tcPr>
            <w:tcW w:w="381" w:type="pct"/>
            <w:noWrap w:val="0"/>
            <w:vAlign w:val="center"/>
          </w:tcPr>
          <w:p w14:paraId="42A610A9">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结构</w:t>
            </w:r>
          </w:p>
        </w:tc>
        <w:tc>
          <w:tcPr>
            <w:tcW w:w="278" w:type="pct"/>
            <w:noWrap w:val="0"/>
            <w:vAlign w:val="center"/>
          </w:tcPr>
          <w:p w14:paraId="06A34F58">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层数</w:t>
            </w:r>
          </w:p>
        </w:tc>
        <w:tc>
          <w:tcPr>
            <w:tcW w:w="531" w:type="pct"/>
            <w:noWrap w:val="0"/>
            <w:vAlign w:val="center"/>
          </w:tcPr>
          <w:p w14:paraId="7187C75F">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跨度</w:t>
            </w:r>
          </w:p>
          <w:p w14:paraId="6DB1D0EC">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（米）</w:t>
            </w:r>
          </w:p>
        </w:tc>
        <w:tc>
          <w:tcPr>
            <w:tcW w:w="776" w:type="pct"/>
            <w:noWrap w:val="0"/>
            <w:vAlign w:val="center"/>
          </w:tcPr>
          <w:p w14:paraId="1955D5E4">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设备安装内容</w:t>
            </w:r>
          </w:p>
        </w:tc>
        <w:tc>
          <w:tcPr>
            <w:tcW w:w="620" w:type="pct"/>
            <w:noWrap w:val="0"/>
            <w:vAlign w:val="center"/>
          </w:tcPr>
          <w:p w14:paraId="72B9B735">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工程造价（元）</w:t>
            </w:r>
          </w:p>
        </w:tc>
        <w:tc>
          <w:tcPr>
            <w:tcW w:w="455" w:type="pct"/>
            <w:noWrap w:val="0"/>
            <w:vAlign w:val="center"/>
          </w:tcPr>
          <w:p w14:paraId="78ED70E9">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开工</w:t>
            </w:r>
          </w:p>
          <w:p w14:paraId="27020686">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日期</w:t>
            </w:r>
          </w:p>
        </w:tc>
        <w:tc>
          <w:tcPr>
            <w:tcW w:w="443" w:type="pct"/>
            <w:noWrap w:val="0"/>
            <w:vAlign w:val="center"/>
          </w:tcPr>
          <w:p w14:paraId="1F0941E1">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竣工</w:t>
            </w:r>
          </w:p>
          <w:p w14:paraId="3286356D">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日期</w:t>
            </w:r>
          </w:p>
        </w:tc>
      </w:tr>
      <w:tr w14:paraId="2056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1A2F51A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18AB6BA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47A45DB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2CD625D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20A89D7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75082FB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736D1AE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315C0B0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4249A77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3A99F763">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714F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36BBB52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2E7D841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64FAB6B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1D98C9A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68BF00A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37DF586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3C3C0B8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1AF53A6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7807FAD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0EA7BF77">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67F7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5312E36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2B452B2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3275783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1E0167C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6F7B846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0B2690C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389E10D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22DAC69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03BEF9F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42DD446D">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7687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738BF93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2930FBE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5A65174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6F2703E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73F7F5E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01E4EC7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0BE7BB4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3A9E89A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610C0B9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02B13105">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19F9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2FC37C6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24090E9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31EFDB5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4FE08FF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459A29E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2D842C4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6CD944F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094CF67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7A3B179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5F91B4EB">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4327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751D197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381C6C6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7DF1466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7742390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1461AA3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18F80BD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40802C7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5E7694A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6357473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15477E3D">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47F4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5F15D7A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402FAF6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6E9EECE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72E8301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787AA4E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3183593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4DDEDF0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3E04FE6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4CB9001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7910E1E0">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1470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18ECAD8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6053707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28C8836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2D264BE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28E2CCA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1293552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43010C2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7A5AC3D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613BC8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3E93EA6A">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2F31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2EC6305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6403805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6ACA260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1B51C48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10047A1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1F37035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1E446D5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037F997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33D890F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0B13F7B9">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3F9C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3FADC21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3E2538E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5333FF8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0325BD7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234A565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203BB6A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02845A8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65CF4F4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9278FE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0EF58071">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6632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5" w:type="pct"/>
            <w:noWrap w:val="0"/>
            <w:vAlign w:val="center"/>
          </w:tcPr>
          <w:p w14:paraId="4F062FA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474B3FC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2BC662B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4C0F656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2B78F32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30BE331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37DA81F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521EEA0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955ADA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163337DD">
            <w:pPr>
              <w:pStyle w:val="23"/>
              <w:shd w:val="clear"/>
              <w:spacing w:before="0" w:beforeAutospacing="0" w:after="0" w:afterAutospacing="0"/>
              <w:jc w:val="center"/>
              <w:rPr>
                <w:rFonts w:hint="eastAsia" w:ascii="宋体" w:hAnsi="宋体" w:eastAsia="宋体" w:cs="宋体"/>
                <w:color w:val="auto"/>
                <w:sz w:val="21"/>
                <w:szCs w:val="18"/>
                <w:highlight w:val="none"/>
              </w:rPr>
            </w:pPr>
          </w:p>
        </w:tc>
      </w:tr>
    </w:tbl>
    <w:p w14:paraId="650565A8">
      <w:pPr>
        <w:pStyle w:val="23"/>
        <w:shd w:val="clear"/>
        <w:spacing w:before="0" w:beforeAutospacing="0" w:after="0" w:afterAutospacing="0" w:line="300" w:lineRule="auto"/>
        <w:jc w:val="both"/>
        <w:rPr>
          <w:rFonts w:hint="eastAsia" w:ascii="宋体" w:hAnsi="宋体" w:eastAsia="宋体" w:cs="宋体"/>
          <w:color w:val="auto"/>
          <w:sz w:val="21"/>
          <w:szCs w:val="18"/>
          <w:highlight w:val="none"/>
        </w:rPr>
        <w:sectPr>
          <w:headerReference r:id="rId9" w:type="first"/>
          <w:pgSz w:w="11849" w:h="16781"/>
          <w:pgMar w:top="1440" w:right="1080" w:bottom="1440" w:left="1080" w:header="720" w:footer="720" w:gutter="0"/>
          <w:pgNumType w:fmt="decimal"/>
          <w:cols w:space="0" w:num="1"/>
          <w:rtlGutter w:val="0"/>
          <w:docGrid w:linePitch="0" w:charSpace="0"/>
        </w:sectPr>
      </w:pPr>
    </w:p>
    <w:p w14:paraId="60485E6B">
      <w:pPr>
        <w:pStyle w:val="23"/>
        <w:shd w:val="clear"/>
        <w:spacing w:before="0" w:beforeAutospacing="0" w:after="0" w:afterAutospacing="0" w:line="300" w:lineRule="auto"/>
        <w:jc w:val="both"/>
        <w:rPr>
          <w:rFonts w:hint="eastAsia" w:ascii="宋体" w:hAnsi="宋体" w:eastAsia="宋体" w:cs="宋体"/>
          <w:color w:val="auto"/>
          <w:sz w:val="21"/>
          <w:szCs w:val="18"/>
          <w:highlight w:val="none"/>
        </w:rPr>
      </w:pPr>
    </w:p>
    <w:p w14:paraId="36E03E30">
      <w:pPr>
        <w:pStyle w:val="23"/>
        <w:shd w:val="clear"/>
        <w:spacing w:before="0" w:beforeAutospacing="0" w:after="0" w:afterAutospacing="0" w:line="300" w:lineRule="auto"/>
        <w:jc w:val="both"/>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附件2：</w:t>
      </w:r>
    </w:p>
    <w:p w14:paraId="1C57FFE1">
      <w:pPr>
        <w:pStyle w:val="23"/>
        <w:shd w:val="clear"/>
        <w:spacing w:before="0" w:beforeAutospacing="0" w:after="0" w:afterAutospacing="0" w:line="300" w:lineRule="auto"/>
        <w:jc w:val="center"/>
        <w:rPr>
          <w:rFonts w:hint="eastAsia" w:ascii="宋体" w:hAnsi="宋体" w:eastAsia="宋体" w:cs="宋体"/>
          <w:bCs/>
          <w:color w:val="auto"/>
          <w:sz w:val="36"/>
          <w:szCs w:val="18"/>
          <w:highlight w:val="none"/>
        </w:rPr>
      </w:pPr>
      <w:r>
        <w:rPr>
          <w:rFonts w:hint="eastAsia" w:ascii="宋体" w:hAnsi="宋体" w:eastAsia="宋体" w:cs="宋体"/>
          <w:bCs/>
          <w:color w:val="auto"/>
          <w:sz w:val="36"/>
          <w:szCs w:val="18"/>
          <w:highlight w:val="none"/>
        </w:rPr>
        <w:t>发包供应材料设备一览表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406"/>
        <w:gridCol w:w="712"/>
        <w:gridCol w:w="426"/>
        <w:gridCol w:w="619"/>
        <w:gridCol w:w="632"/>
        <w:gridCol w:w="886"/>
        <w:gridCol w:w="886"/>
        <w:gridCol w:w="886"/>
        <w:gridCol w:w="886"/>
      </w:tblGrid>
      <w:tr w14:paraId="2618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3A93D816">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序号</w:t>
            </w:r>
          </w:p>
        </w:tc>
        <w:tc>
          <w:tcPr>
            <w:tcW w:w="2406" w:type="dxa"/>
            <w:noWrap w:val="0"/>
            <w:vAlign w:val="center"/>
          </w:tcPr>
          <w:p w14:paraId="4021B409">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材料设备品种</w:t>
            </w:r>
          </w:p>
        </w:tc>
        <w:tc>
          <w:tcPr>
            <w:tcW w:w="712" w:type="dxa"/>
            <w:noWrap w:val="0"/>
            <w:vAlign w:val="center"/>
          </w:tcPr>
          <w:p w14:paraId="0BB32738">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规格</w:t>
            </w:r>
          </w:p>
          <w:p w14:paraId="1A1158AE">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型号</w:t>
            </w:r>
          </w:p>
        </w:tc>
        <w:tc>
          <w:tcPr>
            <w:tcW w:w="426" w:type="dxa"/>
            <w:noWrap w:val="0"/>
            <w:vAlign w:val="center"/>
          </w:tcPr>
          <w:p w14:paraId="51A82731">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单位</w:t>
            </w:r>
          </w:p>
        </w:tc>
        <w:tc>
          <w:tcPr>
            <w:tcW w:w="619" w:type="dxa"/>
            <w:noWrap w:val="0"/>
            <w:vAlign w:val="center"/>
          </w:tcPr>
          <w:p w14:paraId="744AB305">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数量</w:t>
            </w:r>
          </w:p>
        </w:tc>
        <w:tc>
          <w:tcPr>
            <w:tcW w:w="632" w:type="dxa"/>
            <w:noWrap w:val="0"/>
            <w:vAlign w:val="center"/>
          </w:tcPr>
          <w:p w14:paraId="6578ABA9">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单价</w:t>
            </w:r>
          </w:p>
        </w:tc>
        <w:tc>
          <w:tcPr>
            <w:tcW w:w="886" w:type="dxa"/>
            <w:noWrap w:val="0"/>
            <w:vAlign w:val="center"/>
          </w:tcPr>
          <w:p w14:paraId="525799D2">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质量</w:t>
            </w:r>
          </w:p>
          <w:p w14:paraId="26F5A415">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等级</w:t>
            </w:r>
          </w:p>
        </w:tc>
        <w:tc>
          <w:tcPr>
            <w:tcW w:w="886" w:type="dxa"/>
            <w:noWrap w:val="0"/>
            <w:vAlign w:val="center"/>
          </w:tcPr>
          <w:p w14:paraId="67B2DAAE">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供应</w:t>
            </w:r>
          </w:p>
          <w:p w14:paraId="67F73CDB">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时间</w:t>
            </w:r>
          </w:p>
        </w:tc>
        <w:tc>
          <w:tcPr>
            <w:tcW w:w="886" w:type="dxa"/>
            <w:noWrap w:val="0"/>
            <w:vAlign w:val="center"/>
          </w:tcPr>
          <w:p w14:paraId="1734365B">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送达</w:t>
            </w:r>
          </w:p>
          <w:p w14:paraId="3A8764D2">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地点</w:t>
            </w:r>
          </w:p>
        </w:tc>
        <w:tc>
          <w:tcPr>
            <w:tcW w:w="886" w:type="dxa"/>
            <w:noWrap w:val="0"/>
            <w:vAlign w:val="center"/>
          </w:tcPr>
          <w:p w14:paraId="21B44F31">
            <w:pPr>
              <w:pStyle w:val="23"/>
              <w:shd w:val="clear"/>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备注</w:t>
            </w:r>
          </w:p>
        </w:tc>
      </w:tr>
      <w:tr w14:paraId="68DB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5C1D28D5">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41D9669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722069B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0FA66CE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079B93A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7525EC2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DCD1EA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6EB07B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D6CBE9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73F95FC">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141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1D72871E">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35FEB55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59ACF2D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3DE4655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650AF09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35C7AE4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865C04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1FEDD4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BBC178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D626326">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5CF1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36C1D33E">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72947AB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71EF197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031E70D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4AAF361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32116F0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8F0E9E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846BC7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DCEAA5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DE66452">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4A60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5D23AD50">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4C7DC14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5F1FFDC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4C9AF8A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5BE697C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3746EB1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336761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6BD46E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E1ECC4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D7526A9">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102D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4126E5AF">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41BDAFC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31258DC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4B8900C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3C4D467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32B9658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20589C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4F8EE5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9E6352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63CF9EC">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3DE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07946FFC">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7FE58DB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2C5F462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5219DAB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2CC4C24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666E0F4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E440A7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4DA380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DE3DDF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4E16902">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6564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59F527A6">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3624C72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344868C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4DFD95D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15E3E21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69F9A87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54CCF1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6BFD31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FEB642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B5DB307">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3580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1933896A">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5CF3E11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0BE3908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4CA2839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1B91F8D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5449892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FA33FF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E021F4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62C5A2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C883392">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2815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21829A4F">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2D2D2C9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1314FEA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A63615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2C3F29E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695FF12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01BDF0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5A4B11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AC0997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665C447">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3EEA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6A33E3FE">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64C7621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7BEA499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798AE3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790413C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71408F2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4817AC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038D18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0C01ED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BE46F3C">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7C79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1D2AFDCC">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226568C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2CE8955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814B50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55E0A61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17756EE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18B452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B80F0F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A30642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97E7062">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2595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14661F78">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04B6A89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481769F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502A614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656DF4B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2A1A74B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CE0B7C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BE1934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5A7B45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AA9EC06">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78E8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5DE6FB55">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68C9695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28DB56F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43D901C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7B3507E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648B918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4AA694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DAF6AC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9DBE35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63EA96B">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2BA5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34975433">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1BC1FC1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506B622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C6C5C7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3E467EE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0867A836">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3EA7B6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3D343D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1AE15D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CF8C0F4">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74B8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2AE79813">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2AD3B60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5CA4A3D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5CE0B65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4D88B67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58CFB02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202CBC4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3126D64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7A84548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5C0477C1">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3BE0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51865BFA">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FE11BF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8C2537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68AD6E02">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09EADE7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128DFDA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24A2FF3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6088C67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34F8B7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ECF825A">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6FB0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34E89E37">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47CDAE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6BDCDF4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6462CE6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6AEB4CA0">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280E161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9ADF33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55A62A1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35144AE3">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7279350E">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1E7D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6778B8D0">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3F4682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9B1DE6D">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3D12A0FB">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2A0D0D8C">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04C58A8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6496E2E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28267C17">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7666AFF9">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20CE335F">
            <w:pPr>
              <w:pStyle w:val="23"/>
              <w:shd w:val="clear"/>
              <w:spacing w:before="0" w:beforeAutospacing="0" w:after="0" w:afterAutospacing="0"/>
              <w:jc w:val="center"/>
              <w:rPr>
                <w:rFonts w:hint="eastAsia" w:ascii="宋体" w:hAnsi="宋体" w:eastAsia="宋体" w:cs="宋体"/>
                <w:color w:val="auto"/>
                <w:sz w:val="21"/>
                <w:szCs w:val="18"/>
                <w:highlight w:val="none"/>
              </w:rPr>
            </w:pPr>
          </w:p>
        </w:tc>
      </w:tr>
      <w:tr w14:paraId="6C33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7A8F4601">
            <w:pPr>
              <w:pStyle w:val="23"/>
              <w:shd w:val="clear"/>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2ABDFD0F">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15541A5">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35140AA4">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0E8E336A">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00384F0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E31E38E">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286086E8">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35907C91">
            <w:pPr>
              <w:pStyle w:val="23"/>
              <w:shd w:val="clear"/>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4CE3FD57">
            <w:pPr>
              <w:pStyle w:val="23"/>
              <w:shd w:val="clear"/>
              <w:spacing w:before="0" w:beforeAutospacing="0" w:after="0" w:afterAutospacing="0"/>
              <w:jc w:val="center"/>
              <w:rPr>
                <w:rFonts w:hint="eastAsia" w:ascii="宋体" w:hAnsi="宋体" w:eastAsia="宋体" w:cs="宋体"/>
                <w:color w:val="auto"/>
                <w:sz w:val="21"/>
                <w:szCs w:val="18"/>
                <w:highlight w:val="none"/>
              </w:rPr>
            </w:pPr>
          </w:p>
        </w:tc>
      </w:tr>
    </w:tbl>
    <w:p w14:paraId="45645AED">
      <w:pPr>
        <w:pStyle w:val="23"/>
        <w:shd w:val="clear"/>
        <w:spacing w:before="0" w:beforeAutospacing="0" w:after="0" w:afterAutospacing="0" w:line="300" w:lineRule="auto"/>
        <w:jc w:val="both"/>
        <w:rPr>
          <w:rFonts w:hint="eastAsia" w:ascii="宋体" w:hAnsi="宋体" w:eastAsia="宋体" w:cs="宋体"/>
          <w:color w:val="auto"/>
          <w:szCs w:val="18"/>
          <w:highlight w:val="none"/>
        </w:rPr>
      </w:pPr>
      <w:r>
        <w:rPr>
          <w:rFonts w:hint="eastAsia" w:ascii="宋体" w:hAnsi="宋体" w:eastAsia="宋体" w:cs="宋体"/>
          <w:color w:val="auto"/>
          <w:szCs w:val="18"/>
          <w:highlight w:val="none"/>
        </w:rPr>
        <w:br w:type="page"/>
      </w:r>
      <w:r>
        <w:rPr>
          <w:rFonts w:hint="eastAsia" w:ascii="宋体" w:hAnsi="宋体" w:eastAsia="宋体" w:cs="宋体"/>
          <w:color w:val="auto"/>
          <w:szCs w:val="18"/>
          <w:highlight w:val="none"/>
        </w:rPr>
        <w:t>附件3：</w:t>
      </w:r>
    </w:p>
    <w:p w14:paraId="7DBE311D">
      <w:pPr>
        <w:widowControl/>
        <w:shd w:val="clea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工程质量保修书</w:t>
      </w:r>
    </w:p>
    <w:p w14:paraId="76C8D9D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发包人(全称)： ________________________________</w:t>
      </w:r>
    </w:p>
    <w:p w14:paraId="4DABD8BA">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承包人(全称)： ________________________________</w:t>
      </w:r>
    </w:p>
    <w:p w14:paraId="6258E96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为保证________________________________________（工程名称）在合理使用期限内正常使用，发包人、承包人协商一致签订工程质量保修书。承包人在质量保修期内按照有关管理规定及双方约定承担工程质量保修责任。</w:t>
      </w:r>
    </w:p>
    <w:p w14:paraId="04B75E05">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一、工程质量保修范围和内容 </w:t>
      </w:r>
    </w:p>
    <w:p w14:paraId="6E696B1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质量保修范围：具体质量保修内容双方约定如下： </w:t>
      </w:r>
    </w:p>
    <w:p w14:paraId="180A5621">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本工程合同规定工程范围内由承包人的所有工程内容为工程质量保修范围的内容。</w:t>
      </w:r>
    </w:p>
    <w:p w14:paraId="5BBB743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二、质量保修期 </w:t>
      </w:r>
    </w:p>
    <w:p w14:paraId="1E09CD4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双方根据《建设工程质量管理条例》及有关规定，约定本工程的质量保修期如下：</w:t>
      </w:r>
    </w:p>
    <w:p w14:paraId="25936C3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1.地基基础工程和主体结构工程为设计文件规定的该工程合理使用年限； </w:t>
      </w:r>
    </w:p>
    <w:p w14:paraId="3F7DDB2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2.屋面防水工程、有防水要求的卫生间、房间和外墙面的防渗漏</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w:t>
      </w:r>
    </w:p>
    <w:p w14:paraId="65B8FEBD">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3.装修工程为</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年； </w:t>
      </w:r>
    </w:p>
    <w:p w14:paraId="6766DA3F">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4.电气管线、给排水管道、设备安装工程为 </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w:t>
      </w:r>
    </w:p>
    <w:p w14:paraId="22B4642C">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5.供热与供冷系统为</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个采暖期、供冷期；</w:t>
      </w:r>
    </w:p>
    <w:p w14:paraId="53D7F06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6.小区内的给排水设施、道路等配套工程为</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年； </w:t>
      </w:r>
    </w:p>
    <w:p w14:paraId="03B94F02">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7.其他工程保修期限约定如下：</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                            </w:t>
      </w:r>
    </w:p>
    <w:p w14:paraId="6C62139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质量保修期自工程竣工验收合格之日起计算。</w:t>
      </w:r>
    </w:p>
    <w:p w14:paraId="557FD1C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三、质量保修责任 </w:t>
      </w:r>
    </w:p>
    <w:p w14:paraId="7069333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1、属于保修范围和内容的项目，承包人应在接到修理通知之日后7天内派人修理。承包人不在约定期限内派人修理，发包人可委托其他人员修理，保修费用从质量保修金内扣除。 </w:t>
      </w:r>
    </w:p>
    <w:p w14:paraId="606DE82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2、发生须紧急抢修事故（如上水跑水、暖气漏水漏气、燃气漏气等），承包人接到事故通知后，应立即到达事故现场抢修。非承包人施工质量引起的事故，抢修费用由发包人承担。 </w:t>
      </w:r>
    </w:p>
    <w:p w14:paraId="47798013">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3、在国家规定的工程合理使用期限内，承包人确保地基基础工程和主体结构的质量。因承包人原因致使工程在合理使用期限内造成人身和财产损害的，承包人应承担损害赔偿责任。 </w:t>
      </w:r>
    </w:p>
    <w:p w14:paraId="5939FD1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四、质量保修金的支付 </w:t>
      </w:r>
    </w:p>
    <w:p w14:paraId="473C01B6">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本工程约定的工程质量保修金为施工合同价款的__________%。 </w:t>
      </w:r>
    </w:p>
    <w:p w14:paraId="34C54876">
      <w:pPr>
        <w:widowControl/>
        <w:shd w:val="clear"/>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本工程双方约定承包人向发包人支付工程质量保修金金额为________（大写）。质量保修金银行利率为</w:t>
      </w:r>
      <w:r>
        <w:rPr>
          <w:rFonts w:hint="eastAsia" w:ascii="宋体" w:hAnsi="宋体" w:eastAsia="宋体" w:cs="宋体"/>
          <w:color w:val="auto"/>
          <w:sz w:val="24"/>
          <w:highlight w:val="none"/>
          <w:u w:val="single"/>
        </w:rPr>
        <w:t>_无_</w:t>
      </w:r>
      <w:r>
        <w:rPr>
          <w:rFonts w:hint="eastAsia" w:ascii="宋体" w:hAnsi="宋体" w:eastAsia="宋体" w:cs="宋体"/>
          <w:color w:val="auto"/>
          <w:sz w:val="24"/>
          <w:highlight w:val="none"/>
        </w:rPr>
        <w:t xml:space="preserve">。 </w:t>
      </w:r>
    </w:p>
    <w:p w14:paraId="649B9FDD">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五、质量保修金的返还 </w:t>
      </w:r>
    </w:p>
    <w:p w14:paraId="4C7FE84B">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发包人在质量保修期满后14天内，将剩余保修金和利息返还承包人。 </w:t>
      </w:r>
    </w:p>
    <w:p w14:paraId="07522367">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六、其他 </w:t>
      </w:r>
    </w:p>
    <w:p w14:paraId="5FB61FA8">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双方约定的其他工程质量保修事项：</w:t>
      </w:r>
      <w:r>
        <w:rPr>
          <w:rFonts w:hint="eastAsia" w:ascii="宋体" w:hAnsi="宋体" w:eastAsia="宋体" w:cs="宋体"/>
          <w:color w:val="auto"/>
          <w:sz w:val="24"/>
          <w:highlight w:val="none"/>
          <w:u w:val="single"/>
        </w:rPr>
        <w:t xml:space="preserve">  无  。</w:t>
      </w:r>
    </w:p>
    <w:p w14:paraId="4A60DB00">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本工程质量保修作书为施工合同的附件，由施工合同发包人、承包人双方共同签订。</w:t>
      </w:r>
    </w:p>
    <w:p w14:paraId="2F50EB72">
      <w:pPr>
        <w:widowControl/>
        <w:shd w:val="clear"/>
        <w:spacing w:line="360" w:lineRule="auto"/>
        <w:ind w:firstLine="480" w:firstLineChars="200"/>
        <w:rPr>
          <w:rFonts w:hint="eastAsia" w:ascii="宋体" w:hAnsi="宋体" w:eastAsia="宋体" w:cs="宋体"/>
          <w:color w:val="auto"/>
          <w:sz w:val="24"/>
          <w:highlight w:val="none"/>
        </w:rPr>
      </w:pPr>
    </w:p>
    <w:p w14:paraId="400ADB5D">
      <w:pPr>
        <w:widowControl/>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A623A8E">
      <w:pPr>
        <w:widowControl/>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发 包 人（公章）：_______________  承 包 人（公章）：________________</w:t>
      </w:r>
    </w:p>
    <w:p w14:paraId="17173C53">
      <w:pPr>
        <w:widowControl/>
        <w:shd w:val="clear"/>
        <w:spacing w:line="360" w:lineRule="auto"/>
        <w:ind w:firstLine="480" w:firstLineChars="200"/>
        <w:outlineLvl w:val="9"/>
        <w:rPr>
          <w:rFonts w:hint="eastAsia" w:ascii="宋体" w:hAnsi="宋体" w:eastAsia="宋体" w:cs="宋体"/>
          <w:color w:val="auto"/>
          <w:sz w:val="24"/>
          <w:highlight w:val="none"/>
        </w:rPr>
      </w:pPr>
    </w:p>
    <w:p w14:paraId="139D5EF8">
      <w:pPr>
        <w:widowControl/>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法定代表人（签字）：_____________  法定代表人（签字）：______________</w:t>
      </w:r>
    </w:p>
    <w:p w14:paraId="5AAA649F">
      <w:pPr>
        <w:widowControl/>
        <w:shd w:val="clear"/>
        <w:spacing w:line="360" w:lineRule="auto"/>
        <w:ind w:firstLine="480" w:firstLineChars="200"/>
        <w:outlineLvl w:val="9"/>
        <w:rPr>
          <w:rFonts w:hint="eastAsia" w:ascii="宋体" w:hAnsi="宋体" w:eastAsia="宋体" w:cs="宋体"/>
          <w:color w:val="auto"/>
          <w:sz w:val="24"/>
          <w:highlight w:val="none"/>
        </w:rPr>
      </w:pPr>
    </w:p>
    <w:p w14:paraId="6316C9B9">
      <w:pPr>
        <w:shd w:val="clear"/>
        <w:spacing w:before="0" w:after="0" w:line="480" w:lineRule="auto"/>
        <w:jc w:val="center"/>
        <w:outlineLvl w:val="9"/>
        <w:rPr>
          <w:rFonts w:hint="eastAsia" w:ascii="宋体" w:hAnsi="宋体" w:eastAsia="宋体" w:cs="宋体"/>
          <w:color w:val="auto"/>
          <w:sz w:val="24"/>
          <w:highlight w:val="none"/>
        </w:rPr>
      </w:pPr>
      <w:bookmarkStart w:id="58" w:name="_Toc18015"/>
      <w:r>
        <w:rPr>
          <w:rFonts w:hint="eastAsia" w:ascii="宋体" w:hAnsi="宋体" w:eastAsia="宋体" w:cs="宋体"/>
          <w:color w:val="auto"/>
          <w:sz w:val="24"/>
          <w:highlight w:val="none"/>
        </w:rPr>
        <w:t>_____年_____月_____日                 _____ 年_____月_____日</w:t>
      </w:r>
      <w:bookmarkEnd w:id="58"/>
    </w:p>
    <w:p w14:paraId="72E13D90">
      <w:pPr>
        <w:shd w:val="clear"/>
        <w:spacing w:line="360" w:lineRule="auto"/>
        <w:ind w:firstLine="4400" w:firstLineChars="2000"/>
        <w:rPr>
          <w:rFonts w:hint="eastAsia" w:ascii="宋体" w:hAnsi="宋体" w:eastAsia="宋体" w:cs="宋体"/>
          <w:sz w:val="22"/>
          <w:szCs w:val="22"/>
        </w:rPr>
      </w:pPr>
    </w:p>
    <w:p w14:paraId="02D58EBD">
      <w:pPr>
        <w:shd w:val="clea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14BB1D4E">
      <w:pPr>
        <w:pStyle w:val="2"/>
        <w:shd w:val="clear"/>
        <w:spacing w:before="0" w:after="0" w:line="480" w:lineRule="auto"/>
        <w:jc w:val="center"/>
        <w:rPr>
          <w:rFonts w:hint="eastAsia" w:ascii="宋体" w:hAnsi="宋体" w:eastAsia="宋体" w:cs="宋体"/>
          <w:color w:val="auto"/>
          <w:highlight w:val="none"/>
          <w:lang w:val="en-US" w:eastAsia="zh-CN"/>
        </w:rPr>
      </w:pPr>
      <w:bookmarkStart w:id="59" w:name="_Toc24072"/>
      <w:r>
        <w:rPr>
          <w:rFonts w:hint="eastAsia" w:ascii="宋体" w:hAnsi="宋体" w:eastAsia="宋体" w:cs="宋体"/>
          <w:color w:val="auto"/>
          <w:highlight w:val="none"/>
        </w:rPr>
        <w:t xml:space="preserve">第六章 </w:t>
      </w:r>
      <w:bookmarkEnd w:id="57"/>
      <w:r>
        <w:rPr>
          <w:rFonts w:hint="eastAsia" w:ascii="宋体" w:hAnsi="宋体" w:eastAsia="宋体" w:cs="宋体"/>
          <w:color w:val="auto"/>
          <w:highlight w:val="none"/>
          <w:lang w:val="en-US" w:eastAsia="zh-CN"/>
        </w:rPr>
        <w:t>磋商响应文件组成部分</w:t>
      </w:r>
      <w:bookmarkEnd w:id="59"/>
    </w:p>
    <w:p w14:paraId="4C03081A">
      <w:pPr>
        <w:shd w:val="clear"/>
        <w:spacing w:line="480" w:lineRule="auto"/>
        <w:jc w:val="both"/>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t>一、</w:t>
      </w:r>
      <w:r>
        <w:rPr>
          <w:rFonts w:hint="eastAsia" w:ascii="宋体" w:hAnsi="宋体" w:eastAsia="宋体" w:cs="宋体"/>
          <w:b/>
          <w:bCs/>
          <w:sz w:val="22"/>
          <w:szCs w:val="22"/>
          <w:lang w:val="en-US" w:eastAsia="zh-CN"/>
        </w:rPr>
        <w:t>响应</w:t>
      </w:r>
      <w:r>
        <w:rPr>
          <w:rFonts w:hint="eastAsia" w:ascii="宋体" w:hAnsi="宋体" w:eastAsia="宋体" w:cs="宋体"/>
          <w:b/>
          <w:bCs/>
          <w:sz w:val="22"/>
          <w:szCs w:val="22"/>
          <w:lang w:eastAsia="zh-CN"/>
        </w:rPr>
        <w:t>文件格式</w:t>
      </w:r>
    </w:p>
    <w:p w14:paraId="4AF6241E">
      <w:pPr>
        <w:shd w:val="clear"/>
        <w:spacing w:line="480" w:lineRule="auto"/>
        <w:jc w:val="both"/>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二、资质证明文件</w:t>
      </w:r>
    </w:p>
    <w:p w14:paraId="1640BD80">
      <w:pPr>
        <w:shd w:val="clear"/>
        <w:spacing w:line="480" w:lineRule="auto"/>
        <w:jc w:val="both"/>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三、符合性证明文件</w:t>
      </w:r>
    </w:p>
    <w:p w14:paraId="6F6CE387">
      <w:pPr>
        <w:shd w:val="clear"/>
        <w:spacing w:line="480" w:lineRule="auto"/>
        <w:jc w:val="both"/>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四、响应方案</w:t>
      </w:r>
    </w:p>
    <w:p w14:paraId="7520D6E1">
      <w:pPr>
        <w:shd w:val="clear"/>
        <w:spacing w:line="360" w:lineRule="auto"/>
        <w:ind w:firstLine="4003" w:firstLineChars="1246"/>
        <w:rPr>
          <w:rFonts w:hint="eastAsia" w:ascii="宋体" w:hAnsi="宋体" w:eastAsia="宋体" w:cs="宋体"/>
          <w:b/>
          <w:color w:val="auto"/>
          <w:sz w:val="32"/>
          <w:szCs w:val="32"/>
          <w:highlight w:val="none"/>
        </w:rPr>
      </w:pPr>
    </w:p>
    <w:p w14:paraId="52D3E3C0">
      <w:pPr>
        <w:shd w:val="clear"/>
        <w:spacing w:line="360" w:lineRule="auto"/>
        <w:ind w:firstLine="4003" w:firstLineChars="1246"/>
        <w:rPr>
          <w:rFonts w:hint="eastAsia" w:ascii="宋体" w:hAnsi="宋体" w:eastAsia="宋体" w:cs="宋体"/>
          <w:b/>
          <w:color w:val="auto"/>
          <w:sz w:val="32"/>
          <w:szCs w:val="32"/>
          <w:highlight w:val="none"/>
        </w:rPr>
      </w:pPr>
    </w:p>
    <w:p w14:paraId="606C8904">
      <w:pPr>
        <w:shd w:val="clear"/>
        <w:spacing w:line="360" w:lineRule="auto"/>
        <w:ind w:firstLine="4003" w:firstLineChars="1246"/>
        <w:rPr>
          <w:rFonts w:hint="eastAsia" w:ascii="宋体" w:hAnsi="宋体" w:eastAsia="宋体" w:cs="宋体"/>
          <w:b/>
          <w:color w:val="auto"/>
          <w:sz w:val="32"/>
          <w:szCs w:val="32"/>
          <w:highlight w:val="none"/>
        </w:rPr>
      </w:pPr>
    </w:p>
    <w:p w14:paraId="6865465D">
      <w:pPr>
        <w:pStyle w:val="44"/>
        <w:shd w:val="clear"/>
        <w:rPr>
          <w:rFonts w:hint="eastAsia" w:ascii="宋体" w:hAnsi="宋体" w:eastAsia="宋体" w:cs="宋体"/>
          <w:b/>
          <w:color w:val="auto"/>
          <w:sz w:val="32"/>
          <w:szCs w:val="32"/>
          <w:highlight w:val="none"/>
        </w:rPr>
      </w:pPr>
    </w:p>
    <w:p w14:paraId="285036C6">
      <w:pPr>
        <w:pStyle w:val="44"/>
        <w:shd w:val="clear"/>
        <w:rPr>
          <w:rFonts w:hint="eastAsia" w:ascii="宋体" w:hAnsi="宋体" w:eastAsia="宋体" w:cs="宋体"/>
          <w:b/>
          <w:color w:val="auto"/>
          <w:sz w:val="32"/>
          <w:szCs w:val="32"/>
          <w:highlight w:val="none"/>
        </w:rPr>
      </w:pPr>
    </w:p>
    <w:p w14:paraId="2288F2DF">
      <w:pPr>
        <w:pStyle w:val="44"/>
        <w:shd w:val="clear"/>
        <w:rPr>
          <w:rFonts w:hint="eastAsia" w:ascii="宋体" w:hAnsi="宋体" w:eastAsia="宋体" w:cs="宋体"/>
          <w:b/>
          <w:color w:val="auto"/>
          <w:sz w:val="32"/>
          <w:szCs w:val="32"/>
          <w:highlight w:val="none"/>
        </w:rPr>
      </w:pPr>
    </w:p>
    <w:p w14:paraId="3A37588C">
      <w:pPr>
        <w:pStyle w:val="44"/>
        <w:shd w:val="clear"/>
        <w:ind w:left="0" w:leftChars="0" w:firstLine="0" w:firstLineChars="0"/>
        <w:rPr>
          <w:rFonts w:hint="eastAsia" w:ascii="宋体" w:hAnsi="宋体" w:eastAsia="宋体" w:cs="宋体"/>
          <w:b/>
          <w:color w:val="auto"/>
          <w:sz w:val="32"/>
          <w:szCs w:val="32"/>
          <w:highlight w:val="none"/>
        </w:rPr>
      </w:pPr>
    </w:p>
    <w:p w14:paraId="7BCB992F">
      <w:pPr>
        <w:pStyle w:val="44"/>
        <w:shd w:val="clear"/>
        <w:rPr>
          <w:rFonts w:hint="eastAsia" w:ascii="宋体" w:hAnsi="宋体" w:eastAsia="宋体" w:cs="宋体"/>
          <w:b/>
          <w:color w:val="auto"/>
          <w:sz w:val="32"/>
          <w:szCs w:val="32"/>
          <w:highlight w:val="none"/>
        </w:rPr>
      </w:pPr>
    </w:p>
    <w:p w14:paraId="04778A2E">
      <w:pPr>
        <w:pStyle w:val="44"/>
        <w:shd w:val="clear"/>
        <w:rPr>
          <w:rFonts w:hint="eastAsia" w:ascii="宋体" w:hAnsi="宋体" w:eastAsia="宋体" w:cs="宋体"/>
          <w:b/>
          <w:color w:val="auto"/>
          <w:sz w:val="32"/>
          <w:szCs w:val="32"/>
          <w:highlight w:val="none"/>
        </w:rPr>
      </w:pPr>
    </w:p>
    <w:p w14:paraId="7C82210F">
      <w:pPr>
        <w:shd w:val="clear"/>
        <w:spacing w:line="360" w:lineRule="auto"/>
        <w:ind w:firstLine="4003" w:firstLineChars="1246"/>
        <w:rPr>
          <w:rFonts w:hint="eastAsia" w:ascii="宋体" w:hAnsi="宋体" w:eastAsia="宋体" w:cs="宋体"/>
          <w:b/>
          <w:color w:val="auto"/>
          <w:sz w:val="32"/>
          <w:szCs w:val="32"/>
          <w:highlight w:val="none"/>
        </w:rPr>
      </w:pPr>
    </w:p>
    <w:p w14:paraId="039A035D">
      <w:pPr>
        <w:shd w:val="clear"/>
        <w:spacing w:line="360" w:lineRule="auto"/>
        <w:jc w:val="both"/>
        <w:rPr>
          <w:rFonts w:hint="eastAsia" w:ascii="宋体" w:hAnsi="宋体" w:eastAsia="宋体" w:cs="宋体"/>
          <w:b/>
          <w:bCs/>
          <w:color w:val="auto"/>
          <w:szCs w:val="24"/>
          <w:highlight w:val="none"/>
        </w:rPr>
      </w:pPr>
      <w:r>
        <w:rPr>
          <w:rFonts w:hint="eastAsia" w:ascii="宋体" w:hAnsi="宋体" w:eastAsia="宋体" w:cs="宋体"/>
          <w:b/>
          <w:bCs/>
          <w:lang w:val="en-US" w:eastAsia="zh-CN"/>
        </w:rPr>
        <w:t>注：</w:t>
      </w:r>
      <w:r>
        <w:rPr>
          <w:rFonts w:hint="eastAsia" w:ascii="宋体" w:hAnsi="宋体" w:eastAsia="宋体" w:cs="宋体"/>
          <w:b/>
          <w:bCs/>
          <w:color w:val="auto"/>
          <w:szCs w:val="24"/>
          <w:highlight w:val="none"/>
          <w:lang w:val="en-US" w:eastAsia="zh-CN"/>
        </w:rPr>
        <w:t>响应</w:t>
      </w:r>
      <w:r>
        <w:rPr>
          <w:rFonts w:hint="eastAsia" w:ascii="宋体" w:hAnsi="宋体" w:eastAsia="宋体" w:cs="宋体"/>
          <w:b/>
          <w:bCs/>
          <w:color w:val="auto"/>
          <w:szCs w:val="24"/>
          <w:highlight w:val="none"/>
        </w:rPr>
        <w:t>文件编制说明</w:t>
      </w:r>
    </w:p>
    <w:p w14:paraId="69C9B712">
      <w:pPr>
        <w:shd w:val="clear"/>
        <w:spacing w:line="360" w:lineRule="auto"/>
        <w:ind w:left="280" w:leftChars="100" w:firstLine="422" w:firstLineChars="15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lang w:val="en-US" w:eastAsia="zh-CN"/>
        </w:rPr>
        <w:t>1</w:t>
      </w:r>
      <w:r>
        <w:rPr>
          <w:rFonts w:hint="eastAsia" w:ascii="宋体" w:hAnsi="宋体" w:eastAsia="宋体" w:cs="宋体"/>
          <w:b/>
          <w:bCs/>
          <w:color w:val="auto"/>
          <w:szCs w:val="24"/>
          <w:highlight w:val="none"/>
        </w:rPr>
        <w:t>、</w:t>
      </w:r>
      <w:r>
        <w:rPr>
          <w:rFonts w:hint="eastAsia" w:ascii="宋体" w:hAnsi="宋体" w:eastAsia="宋体" w:cs="宋体"/>
          <w:b/>
          <w:bCs/>
          <w:color w:val="auto"/>
          <w:szCs w:val="24"/>
          <w:highlight w:val="none"/>
          <w:lang w:val="en-US" w:eastAsia="zh-CN"/>
        </w:rPr>
        <w:t>响应</w:t>
      </w:r>
      <w:r>
        <w:rPr>
          <w:rFonts w:hint="eastAsia" w:ascii="宋体" w:hAnsi="宋体" w:eastAsia="宋体" w:cs="宋体"/>
          <w:b/>
          <w:bCs/>
          <w:color w:val="auto"/>
          <w:szCs w:val="24"/>
          <w:highlight w:val="none"/>
        </w:rPr>
        <w:t>文件的编制应按照样本格式提供的内容，做出逐一明确的答复；</w:t>
      </w:r>
      <w:r>
        <w:rPr>
          <w:rFonts w:hint="eastAsia" w:ascii="宋体" w:hAnsi="宋体" w:eastAsia="宋体" w:cs="宋体"/>
          <w:b/>
          <w:bCs/>
          <w:color w:val="auto"/>
          <w:szCs w:val="24"/>
          <w:highlight w:val="none"/>
          <w:lang w:val="en-US" w:eastAsia="zh-CN"/>
        </w:rPr>
        <w:t>供应商</w:t>
      </w:r>
      <w:r>
        <w:rPr>
          <w:rFonts w:hint="eastAsia" w:ascii="宋体" w:hAnsi="宋体" w:eastAsia="宋体" w:cs="宋体"/>
          <w:b/>
          <w:bCs/>
          <w:color w:val="auto"/>
          <w:szCs w:val="24"/>
          <w:highlight w:val="none"/>
        </w:rPr>
        <w:t>认为有必要，还可以做其它补充说明。</w:t>
      </w:r>
      <w:r>
        <w:rPr>
          <w:rFonts w:hint="eastAsia" w:ascii="宋体" w:hAnsi="宋体" w:eastAsia="宋体" w:cs="宋体"/>
          <w:b/>
          <w:bCs/>
          <w:color w:val="auto"/>
          <w:szCs w:val="24"/>
          <w:highlight w:val="none"/>
        </w:rPr>
        <w:cr/>
      </w:r>
      <w:r>
        <w:rPr>
          <w:rFonts w:hint="eastAsia" w:ascii="宋体" w:hAnsi="宋体" w:eastAsia="宋体" w:cs="宋体"/>
          <w:b/>
          <w:bCs/>
          <w:color w:val="auto"/>
          <w:szCs w:val="24"/>
          <w:highlight w:val="none"/>
        </w:rPr>
        <w:t xml:space="preserve">   </w:t>
      </w:r>
      <w:r>
        <w:rPr>
          <w:rFonts w:hint="eastAsia" w:ascii="宋体" w:hAnsi="宋体" w:eastAsia="宋体" w:cs="宋体"/>
          <w:b/>
          <w:bCs/>
          <w:color w:val="auto"/>
          <w:szCs w:val="24"/>
          <w:highlight w:val="none"/>
          <w:lang w:val="en-US" w:eastAsia="zh-CN"/>
        </w:rPr>
        <w:t>2</w:t>
      </w:r>
      <w:r>
        <w:rPr>
          <w:rFonts w:hint="eastAsia" w:ascii="宋体" w:hAnsi="宋体" w:eastAsia="宋体" w:cs="宋体"/>
          <w:b/>
          <w:bCs/>
          <w:color w:val="auto"/>
          <w:szCs w:val="24"/>
          <w:highlight w:val="none"/>
        </w:rPr>
        <w:t>、</w:t>
      </w:r>
      <w:r>
        <w:rPr>
          <w:rFonts w:hint="eastAsia" w:ascii="宋体" w:hAnsi="宋体" w:eastAsia="宋体" w:cs="宋体"/>
          <w:b/>
          <w:bCs/>
          <w:color w:val="auto"/>
          <w:szCs w:val="24"/>
          <w:highlight w:val="none"/>
          <w:lang w:val="en-US" w:eastAsia="zh-CN"/>
        </w:rPr>
        <w:t>供应商</w:t>
      </w:r>
      <w:r>
        <w:rPr>
          <w:rFonts w:hint="eastAsia" w:ascii="宋体" w:hAnsi="宋体" w:eastAsia="宋体" w:cs="宋体"/>
          <w:b/>
          <w:bCs/>
          <w:color w:val="auto"/>
          <w:szCs w:val="24"/>
          <w:highlight w:val="none"/>
        </w:rPr>
        <w:t>必须按照</w:t>
      </w:r>
      <w:r>
        <w:rPr>
          <w:rFonts w:hint="eastAsia" w:ascii="宋体" w:hAnsi="宋体" w:eastAsia="宋体" w:cs="宋体"/>
          <w:b/>
          <w:bCs/>
          <w:color w:val="auto"/>
          <w:szCs w:val="24"/>
          <w:highlight w:val="none"/>
          <w:lang w:val="en-US" w:eastAsia="zh-CN"/>
        </w:rPr>
        <w:t>磋商</w:t>
      </w:r>
      <w:r>
        <w:rPr>
          <w:rFonts w:hint="eastAsia" w:ascii="宋体" w:hAnsi="宋体" w:eastAsia="宋体" w:cs="宋体"/>
          <w:b/>
          <w:bCs/>
          <w:color w:val="auto"/>
          <w:szCs w:val="24"/>
          <w:highlight w:val="none"/>
        </w:rPr>
        <w:t>文件的规定和要求由法定代表人或被授权人签字（或盖章），并加盖</w:t>
      </w:r>
      <w:r>
        <w:rPr>
          <w:rFonts w:hint="eastAsia" w:ascii="宋体" w:hAnsi="宋体" w:eastAsia="宋体" w:cs="宋体"/>
          <w:b/>
          <w:bCs/>
          <w:color w:val="auto"/>
          <w:szCs w:val="24"/>
          <w:highlight w:val="none"/>
          <w:lang w:val="en-US" w:eastAsia="zh-CN"/>
        </w:rPr>
        <w:t>供应商</w:t>
      </w:r>
      <w:r>
        <w:rPr>
          <w:rFonts w:hint="eastAsia" w:ascii="宋体" w:hAnsi="宋体" w:eastAsia="宋体" w:cs="宋体"/>
          <w:b/>
          <w:bCs/>
          <w:color w:val="auto"/>
          <w:szCs w:val="24"/>
          <w:highlight w:val="none"/>
        </w:rPr>
        <w:t>公章。</w:t>
      </w:r>
    </w:p>
    <w:p w14:paraId="0B3FE497">
      <w:pPr>
        <w:pStyle w:val="10"/>
        <w:shd w:val="clear"/>
        <w:rPr>
          <w:rFonts w:hint="eastAsia" w:ascii="宋体" w:hAnsi="宋体" w:eastAsia="宋体" w:cs="宋体"/>
          <w:color w:val="auto"/>
          <w:sz w:val="24"/>
          <w:highlight w:val="none"/>
        </w:rPr>
      </w:pPr>
    </w:p>
    <w:p w14:paraId="4F8F1601">
      <w:pPr>
        <w:pStyle w:val="10"/>
        <w:shd w:val="clear"/>
        <w:rPr>
          <w:rFonts w:hint="eastAsia" w:ascii="宋体" w:hAnsi="宋体" w:eastAsia="宋体" w:cs="宋体"/>
          <w:color w:val="auto"/>
          <w:sz w:val="24"/>
          <w:highlight w:val="none"/>
        </w:rPr>
      </w:pPr>
    </w:p>
    <w:p w14:paraId="5D198EF9">
      <w:pPr>
        <w:pStyle w:val="10"/>
        <w:shd w:val="clear"/>
        <w:rPr>
          <w:rFonts w:hint="eastAsia" w:ascii="宋体" w:hAnsi="宋体" w:eastAsia="宋体" w:cs="宋体"/>
          <w:color w:val="auto"/>
          <w:sz w:val="24"/>
          <w:highlight w:val="none"/>
        </w:rPr>
      </w:pPr>
    </w:p>
    <w:p w14:paraId="66F830D5">
      <w:pPr>
        <w:pStyle w:val="10"/>
        <w:shd w:val="clear"/>
        <w:rPr>
          <w:rFonts w:hint="eastAsia" w:ascii="宋体" w:hAnsi="宋体" w:eastAsia="宋体" w:cs="宋体"/>
          <w:color w:val="auto"/>
          <w:sz w:val="24"/>
          <w:highlight w:val="none"/>
        </w:rPr>
      </w:pPr>
    </w:p>
    <w:p w14:paraId="73E1CDDC">
      <w:pPr>
        <w:pStyle w:val="3"/>
        <w:shd w:val="clear"/>
        <w:spacing w:before="0" w:after="0" w:line="240" w:lineRule="auto"/>
        <w:rPr>
          <w:rFonts w:hint="eastAsia" w:ascii="宋体" w:hAnsi="宋体" w:eastAsia="宋体" w:cs="宋体"/>
          <w:sz w:val="28"/>
          <w:szCs w:val="28"/>
          <w:lang w:val="en-US" w:eastAsia="zh-CN"/>
        </w:rPr>
      </w:pPr>
      <w:bookmarkStart w:id="60" w:name="_Toc30377"/>
      <w:r>
        <w:rPr>
          <w:rFonts w:hint="eastAsia" w:ascii="宋体" w:hAnsi="宋体" w:eastAsia="宋体" w:cs="宋体"/>
          <w:lang w:val="en-US" w:eastAsia="zh-CN"/>
        </w:rPr>
        <w:t>一、响应文件格式</w:t>
      </w:r>
      <w:bookmarkEnd w:id="60"/>
    </w:p>
    <w:p w14:paraId="15ED6D37">
      <w:pPr>
        <w:shd w:val="clear"/>
        <w:outlineLvl w:val="9"/>
        <w:rPr>
          <w:rFonts w:hint="eastAsia" w:ascii="宋体" w:hAnsi="宋体" w:eastAsia="宋体" w:cs="宋体"/>
          <w:b/>
          <w:bCs/>
          <w:sz w:val="28"/>
          <w:szCs w:val="28"/>
          <w:lang w:val="en-US" w:eastAsia="zh-CN"/>
        </w:rPr>
      </w:pPr>
    </w:p>
    <w:p w14:paraId="5AC967F3">
      <w:pPr>
        <w:shd w:val="clear"/>
        <w:outlineLvl w:val="9"/>
        <w:rPr>
          <w:rFonts w:hint="eastAsia" w:ascii="宋体" w:hAnsi="宋体" w:eastAsia="宋体" w:cs="宋体"/>
          <w:b/>
          <w:bCs/>
          <w:sz w:val="28"/>
          <w:szCs w:val="28"/>
          <w:lang w:val="en-US" w:eastAsia="zh-CN"/>
        </w:rPr>
      </w:pPr>
    </w:p>
    <w:p w14:paraId="226130DA">
      <w:pPr>
        <w:shd w:val="clear"/>
        <w:outlineLvl w:val="9"/>
        <w:rPr>
          <w:rFonts w:hint="eastAsia" w:ascii="宋体" w:hAnsi="宋体" w:eastAsia="宋体" w:cs="宋体"/>
          <w:b/>
          <w:bCs/>
          <w:color w:val="auto"/>
          <w:sz w:val="32"/>
          <w:szCs w:val="32"/>
          <w:highlight w:val="none"/>
        </w:rPr>
      </w:pPr>
      <w:r>
        <w:rPr>
          <w:rFonts w:hint="eastAsia" w:ascii="宋体" w:hAnsi="宋体" w:eastAsia="宋体" w:cs="宋体"/>
          <w:b/>
          <w:bCs/>
          <w:sz w:val="28"/>
          <w:szCs w:val="28"/>
          <w:lang w:val="en-US" w:eastAsia="zh-CN"/>
        </w:rPr>
        <w:t>1.封面</w:t>
      </w:r>
    </w:p>
    <w:p w14:paraId="6173E12A">
      <w:pPr>
        <w:shd w:val="clear"/>
        <w:jc w:val="right"/>
        <w:rPr>
          <w:rFonts w:hint="eastAsia" w:ascii="宋体" w:hAnsi="宋体" w:eastAsia="宋体" w:cs="宋体"/>
          <w:b/>
          <w:color w:val="auto"/>
          <w:sz w:val="36"/>
          <w:szCs w:val="36"/>
          <w:highlight w:val="none"/>
          <w:bdr w:val="single" w:color="auto" w:sz="4" w:space="0"/>
          <w:shd w:val="pct10" w:color="auto" w:fill="FFFFFF"/>
        </w:rPr>
      </w:pPr>
      <w:r>
        <w:rPr>
          <w:rFonts w:hint="eastAsia" w:ascii="宋体" w:hAnsi="宋体" w:eastAsia="宋体" w:cs="宋体"/>
          <w:b/>
          <w:color w:val="auto"/>
          <w:sz w:val="36"/>
          <w:szCs w:val="36"/>
          <w:highlight w:val="none"/>
        </w:rPr>
        <w:t xml:space="preserve">       </w:t>
      </w:r>
      <w:r>
        <w:rPr>
          <w:rFonts w:hint="eastAsia" w:ascii="宋体" w:hAnsi="宋体" w:eastAsia="宋体" w:cs="宋体"/>
          <w:b/>
          <w:color w:val="auto"/>
          <w:sz w:val="36"/>
          <w:szCs w:val="36"/>
          <w:highlight w:val="none"/>
          <w:bdr w:val="single" w:color="auto" w:sz="4" w:space="0"/>
          <w:shd w:val="pct10" w:color="auto" w:fill="FFFFFF"/>
        </w:rPr>
        <w:t>政府采购项目</w:t>
      </w:r>
    </w:p>
    <w:p w14:paraId="6C65D068">
      <w:pPr>
        <w:shd w:val="clea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 </w:t>
      </w:r>
    </w:p>
    <w:p w14:paraId="6D8823B9">
      <w:pPr>
        <w:shd w:val="clear"/>
        <w:autoSpaceDE w:val="0"/>
        <w:autoSpaceDN w:val="0"/>
        <w:adjustRightInd w:val="0"/>
        <w:snapToGrid w:val="0"/>
        <w:spacing w:line="360" w:lineRule="auto"/>
        <w:jc w:val="left"/>
        <w:rPr>
          <w:rFonts w:hint="eastAsia" w:ascii="宋体" w:hAnsi="宋体" w:eastAsia="宋体" w:cs="宋体"/>
          <w:b/>
          <w:color w:val="FF0000"/>
          <w:sz w:val="36"/>
          <w:szCs w:val="36"/>
          <w:highlight w:val="none"/>
        </w:rPr>
      </w:pPr>
      <w:r>
        <w:rPr>
          <w:rFonts w:hint="eastAsia" w:ascii="宋体" w:hAnsi="宋体" w:eastAsia="宋体" w:cs="宋体"/>
          <w:b/>
          <w:color w:val="auto"/>
          <w:sz w:val="36"/>
          <w:szCs w:val="36"/>
          <w:highlight w:val="none"/>
        </w:rPr>
        <w:t>文件编号:</w:t>
      </w:r>
      <w:r>
        <w:rPr>
          <w:rFonts w:hint="eastAsia" w:ascii="宋体" w:hAnsi="宋体" w:eastAsia="宋体" w:cs="宋体"/>
          <w:b/>
          <w:color w:val="auto"/>
          <w:sz w:val="36"/>
          <w:szCs w:val="36"/>
          <w:highlight w:val="none"/>
          <w:lang w:val="zh-CN" w:eastAsia="zh-CN"/>
        </w:rPr>
        <w:t>HRCZB-2025-011GC</w:t>
      </w:r>
    </w:p>
    <w:p w14:paraId="099458D5">
      <w:pPr>
        <w:shd w:val="clear"/>
        <w:spacing w:before="120" w:beforeLines="50" w:line="800" w:lineRule="exact"/>
        <w:ind w:right="-1165" w:rightChars="-416"/>
        <w:jc w:val="center"/>
        <w:rPr>
          <w:rFonts w:hint="eastAsia" w:ascii="宋体" w:hAnsi="宋体" w:eastAsia="宋体" w:cs="宋体"/>
          <w:b/>
          <w:bCs/>
          <w:color w:val="auto"/>
          <w:sz w:val="32"/>
          <w:szCs w:val="32"/>
          <w:highlight w:val="none"/>
          <w:lang w:eastAsia="zh-CN"/>
        </w:rPr>
      </w:pPr>
    </w:p>
    <w:p w14:paraId="0809D04A">
      <w:pPr>
        <w:shd w:val="clear"/>
        <w:spacing w:before="120" w:beforeLines="50" w:line="800" w:lineRule="exact"/>
        <w:ind w:right="-1165" w:rightChars="-416"/>
        <w:jc w:val="left"/>
        <w:rPr>
          <w:rFonts w:hint="default" w:ascii="宋体" w:hAnsi="宋体" w:cs="宋体"/>
          <w:b/>
          <w:bCs/>
          <w:color w:val="auto"/>
          <w:sz w:val="52"/>
          <w:szCs w:val="52"/>
          <w:highlight w:val="none"/>
          <w:lang w:val="en-US" w:eastAsia="zh-CN"/>
        </w:rPr>
      </w:pPr>
      <w:r>
        <w:rPr>
          <w:rFonts w:hint="eastAsia" w:ascii="宋体" w:hAnsi="宋体" w:cs="宋体"/>
          <w:b/>
          <w:bCs/>
          <w:color w:val="auto"/>
          <w:sz w:val="52"/>
          <w:szCs w:val="52"/>
          <w:highlight w:val="none"/>
          <w:lang w:val="en-US" w:eastAsia="zh-CN"/>
        </w:rPr>
        <w:t>2025年河口镇安河寺村水毁道路修复项目</w:t>
      </w:r>
    </w:p>
    <w:p w14:paraId="19FC91B9">
      <w:pPr>
        <w:shd w:val="clear"/>
        <w:spacing w:before="120" w:beforeLines="50" w:line="800" w:lineRule="exact"/>
        <w:ind w:right="-1165" w:rightChars="-416" w:firstLine="2409" w:firstLineChars="400"/>
        <w:rPr>
          <w:rFonts w:hint="eastAsia" w:ascii="宋体" w:hAnsi="宋体" w:eastAsia="宋体" w:cs="宋体"/>
          <w:b/>
          <w:bCs/>
          <w:color w:val="auto"/>
          <w:spacing w:val="20"/>
          <w:kern w:val="0"/>
          <w:sz w:val="56"/>
          <w:szCs w:val="56"/>
          <w:highlight w:val="none"/>
        </w:rPr>
      </w:pPr>
    </w:p>
    <w:p w14:paraId="252A0E7A">
      <w:pPr>
        <w:pStyle w:val="16"/>
        <w:rPr>
          <w:rFonts w:hint="eastAsia"/>
        </w:rPr>
      </w:pPr>
    </w:p>
    <w:p w14:paraId="325BB4C5">
      <w:pPr>
        <w:shd w:val="clear"/>
        <w:spacing w:before="120" w:beforeLines="50" w:line="800" w:lineRule="exact"/>
        <w:ind w:right="-1165" w:rightChars="-416" w:firstLine="2409" w:firstLineChars="400"/>
        <w:rPr>
          <w:rFonts w:hint="eastAsia" w:ascii="宋体" w:hAnsi="宋体" w:eastAsia="宋体" w:cs="宋体"/>
          <w:b/>
          <w:bCs/>
          <w:color w:val="auto"/>
          <w:spacing w:val="20"/>
          <w:kern w:val="0"/>
          <w:sz w:val="56"/>
          <w:szCs w:val="56"/>
          <w:highlight w:val="none"/>
        </w:rPr>
      </w:pPr>
      <w:r>
        <w:rPr>
          <w:rFonts w:hint="eastAsia" w:ascii="宋体" w:hAnsi="宋体" w:eastAsia="宋体" w:cs="宋体"/>
          <w:b/>
          <w:bCs/>
          <w:color w:val="auto"/>
          <w:spacing w:val="20"/>
          <w:kern w:val="0"/>
          <w:sz w:val="56"/>
          <w:szCs w:val="56"/>
          <w:highlight w:val="none"/>
        </w:rPr>
        <w:t>磋商响应文件</w:t>
      </w:r>
    </w:p>
    <w:p w14:paraId="21A8892C">
      <w:pPr>
        <w:shd w:val="clear"/>
        <w:rPr>
          <w:rFonts w:hint="eastAsia" w:ascii="宋体" w:hAnsi="宋体" w:eastAsia="宋体" w:cs="宋体"/>
          <w:color w:val="auto"/>
          <w:sz w:val="32"/>
          <w:highlight w:val="none"/>
        </w:rPr>
      </w:pPr>
    </w:p>
    <w:p w14:paraId="4E43ED4B">
      <w:pPr>
        <w:shd w:val="clear"/>
        <w:rPr>
          <w:rFonts w:hint="eastAsia" w:ascii="宋体" w:hAnsi="宋体" w:eastAsia="宋体" w:cs="宋体"/>
          <w:color w:val="auto"/>
          <w:sz w:val="32"/>
          <w:highlight w:val="none"/>
        </w:rPr>
      </w:pPr>
    </w:p>
    <w:p w14:paraId="56B8F2E6">
      <w:pPr>
        <w:shd w:val="clear"/>
        <w:spacing w:before="168" w:beforeLines="70"/>
        <w:rPr>
          <w:rFonts w:hint="eastAsia" w:ascii="宋体" w:hAnsi="宋体" w:eastAsia="宋体" w:cs="宋体"/>
          <w:b/>
          <w:color w:val="auto"/>
          <w:spacing w:val="8"/>
          <w:szCs w:val="28"/>
          <w:highlight w:val="none"/>
        </w:rPr>
      </w:pPr>
    </w:p>
    <w:p w14:paraId="581EC4FE">
      <w:pPr>
        <w:shd w:val="clear"/>
        <w:spacing w:before="168" w:beforeLines="70"/>
        <w:rPr>
          <w:rFonts w:hint="eastAsia" w:ascii="宋体" w:hAnsi="宋体" w:eastAsia="宋体" w:cs="宋体"/>
          <w:b/>
          <w:color w:val="auto"/>
          <w:spacing w:val="8"/>
          <w:szCs w:val="28"/>
          <w:highlight w:val="none"/>
        </w:rPr>
      </w:pPr>
    </w:p>
    <w:p w14:paraId="28E93E9B">
      <w:pPr>
        <w:pStyle w:val="16"/>
        <w:rPr>
          <w:rFonts w:hint="eastAsia"/>
        </w:rPr>
      </w:pPr>
    </w:p>
    <w:p w14:paraId="1F6DEA9F">
      <w:pPr>
        <w:shd w:val="clear"/>
        <w:spacing w:before="168" w:beforeLines="70"/>
        <w:rPr>
          <w:rFonts w:hint="eastAsia" w:ascii="宋体" w:hAnsi="宋体" w:eastAsia="宋体" w:cs="宋体"/>
          <w:b/>
          <w:color w:val="auto"/>
          <w:spacing w:val="8"/>
          <w:szCs w:val="28"/>
          <w:highlight w:val="none"/>
        </w:rPr>
      </w:pPr>
    </w:p>
    <w:p w14:paraId="7C950D96">
      <w:pPr>
        <w:shd w:val="clear"/>
        <w:spacing w:before="168" w:beforeLines="70"/>
        <w:rPr>
          <w:rFonts w:hint="eastAsia" w:ascii="宋体" w:hAnsi="宋体" w:eastAsia="宋体" w:cs="宋体"/>
          <w:b/>
          <w:color w:val="auto"/>
          <w:spacing w:val="8"/>
          <w:szCs w:val="28"/>
          <w:highlight w:val="none"/>
        </w:rPr>
      </w:pPr>
    </w:p>
    <w:p w14:paraId="17571208">
      <w:pPr>
        <w:shd w:val="clear"/>
        <w:spacing w:before="168" w:beforeLines="70"/>
        <w:ind w:firstLine="2080" w:firstLineChars="700"/>
        <w:rPr>
          <w:rFonts w:hint="eastAsia" w:ascii="宋体" w:hAnsi="宋体" w:eastAsia="宋体" w:cs="宋体"/>
          <w:b/>
          <w:color w:val="auto"/>
          <w:spacing w:val="8"/>
          <w:szCs w:val="28"/>
          <w:highlight w:val="none"/>
        </w:rPr>
      </w:pPr>
    </w:p>
    <w:p w14:paraId="0B1AECFA">
      <w:pPr>
        <w:shd w:val="clear"/>
        <w:spacing w:beforeLines="70" w:line="360" w:lineRule="auto"/>
        <w:ind w:firstLine="1188" w:firstLineChars="400"/>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b/>
          <w:color w:val="auto"/>
          <w:spacing w:val="8"/>
          <w:sz w:val="28"/>
          <w:szCs w:val="28"/>
          <w:highlight w:val="none"/>
          <w:lang w:eastAsia="zh-CN"/>
        </w:rPr>
        <w:t>投标供应商</w:t>
      </w:r>
      <w:r>
        <w:rPr>
          <w:rFonts w:hint="eastAsia" w:ascii="宋体" w:hAnsi="宋体" w:eastAsia="宋体" w:cs="宋体"/>
          <w:b/>
          <w:color w:val="auto"/>
          <w:spacing w:val="8"/>
          <w:sz w:val="28"/>
          <w:szCs w:val="28"/>
          <w:highlight w:val="none"/>
        </w:rPr>
        <w:t>：</w:t>
      </w:r>
      <w:r>
        <w:rPr>
          <w:rFonts w:hint="eastAsia" w:ascii="宋体" w:hAnsi="宋体" w:eastAsia="宋体" w:cs="宋体"/>
          <w:b/>
          <w:color w:val="auto"/>
          <w:spacing w:val="8"/>
          <w:sz w:val="28"/>
          <w:szCs w:val="28"/>
          <w:highlight w:val="none"/>
          <w:u w:val="single"/>
          <w:lang w:val="en-US" w:eastAsia="zh-CN"/>
        </w:rPr>
        <w:t xml:space="preserve">               </w:t>
      </w:r>
      <w:r>
        <w:rPr>
          <w:rFonts w:hint="eastAsia" w:ascii="宋体" w:hAnsi="宋体" w:eastAsia="宋体" w:cs="宋体"/>
          <w:b/>
          <w:color w:val="auto"/>
          <w:spacing w:val="8"/>
          <w:sz w:val="28"/>
          <w:szCs w:val="28"/>
          <w:highlight w:val="none"/>
          <w:u w:val="none"/>
          <w:lang w:val="en-US" w:eastAsia="zh-CN"/>
        </w:rPr>
        <w:t>（盖单位章）</w:t>
      </w:r>
    </w:p>
    <w:p w14:paraId="4A4C4509">
      <w:pPr>
        <w:shd w:val="clear"/>
        <w:spacing w:line="360" w:lineRule="auto"/>
        <w:ind w:firstLine="1661" w:firstLineChars="591"/>
        <w:rPr>
          <w:rFonts w:hint="eastAsia" w:ascii="宋体" w:hAnsi="宋体" w:eastAsia="宋体" w:cs="宋体"/>
          <w:b/>
          <w:color w:val="auto"/>
          <w:sz w:val="28"/>
          <w:szCs w:val="28"/>
          <w:highlight w:val="none"/>
        </w:rPr>
      </w:pPr>
    </w:p>
    <w:p w14:paraId="03CCEA8C">
      <w:pPr>
        <w:shd w:val="clear"/>
        <w:spacing w:line="360" w:lineRule="auto"/>
        <w:ind w:firstLine="1124" w:firstLineChars="400"/>
        <w:rPr>
          <w:rFonts w:hint="eastAsia" w:ascii="宋体" w:hAnsi="宋体" w:eastAsia="宋体" w:cs="宋体"/>
          <w:b/>
          <w:color w:val="auto"/>
          <w:sz w:val="32"/>
          <w:szCs w:val="32"/>
          <w:highlight w:val="none"/>
        </w:rPr>
      </w:pPr>
      <w:r>
        <w:rPr>
          <w:rFonts w:hint="eastAsia" w:ascii="宋体" w:hAnsi="宋体" w:eastAsia="宋体" w:cs="宋体"/>
          <w:b/>
          <w:color w:val="auto"/>
          <w:sz w:val="28"/>
          <w:szCs w:val="28"/>
          <w:highlight w:val="none"/>
        </w:rPr>
        <w:t xml:space="preserve">时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间：</w:t>
      </w:r>
      <w:r>
        <w:rPr>
          <w:rFonts w:hint="eastAsia" w:ascii="宋体" w:hAnsi="宋体" w:eastAsia="宋体" w:cs="宋体"/>
          <w:b/>
          <w:color w:val="auto"/>
          <w:szCs w:val="28"/>
          <w:highlight w:val="none"/>
          <w:u w:val="single"/>
        </w:rPr>
        <w:t xml:space="preserve">                     </w:t>
      </w:r>
      <w:bookmarkStart w:id="61" w:name="_Toc170980552"/>
      <w:bookmarkStart w:id="62" w:name="_Toc167591043"/>
      <w:bookmarkStart w:id="63" w:name="_Toc175033592"/>
      <w:bookmarkStart w:id="64" w:name="_Toc170980453"/>
      <w:bookmarkStart w:id="65" w:name="_Toc154482479"/>
      <w:bookmarkStart w:id="66" w:name="_Toc169846873"/>
      <w:bookmarkStart w:id="67" w:name="_Toc169838532"/>
      <w:bookmarkStart w:id="68" w:name="_Toc167591144"/>
      <w:bookmarkStart w:id="69" w:name="_Toc193126881"/>
      <w:bookmarkStart w:id="70" w:name="_Toc194663918"/>
      <w:bookmarkStart w:id="71" w:name="_Toc169846776"/>
      <w:bookmarkStart w:id="72" w:name="_Toc167591330"/>
      <w:bookmarkStart w:id="73" w:name="_Toc175032437"/>
      <w:bookmarkStart w:id="74" w:name="_Toc188808833"/>
      <w:bookmarkStart w:id="75" w:name="_Toc167849360"/>
      <w:bookmarkStart w:id="76" w:name="_Toc167590775"/>
      <w:bookmarkStart w:id="77" w:name="_Toc167591492"/>
      <w:bookmarkStart w:id="78" w:name="_Toc193187097"/>
      <w:bookmarkStart w:id="79" w:name="_Toc173549978"/>
    </w:p>
    <w:p w14:paraId="1BC66902">
      <w:pPr>
        <w:pStyle w:val="3"/>
        <w:shd w:val="clear"/>
        <w:rPr>
          <w:rFonts w:hint="eastAsia" w:ascii="宋体" w:hAnsi="宋体" w:eastAsia="宋体" w:cs="宋体"/>
          <w:lang w:val="en-US" w:eastAsia="zh-CN"/>
        </w:rPr>
      </w:pPr>
      <w:bookmarkStart w:id="80" w:name="_Toc19175"/>
      <w:r>
        <w:rPr>
          <w:rFonts w:hint="eastAsia" w:ascii="宋体" w:hAnsi="宋体" w:eastAsia="宋体" w:cs="宋体"/>
          <w:lang w:val="en-US" w:eastAsia="zh-CN"/>
        </w:rPr>
        <w:t>二、资质证明文件</w:t>
      </w:r>
      <w:bookmarkEnd w:id="80"/>
    </w:p>
    <w:p w14:paraId="2FE0D80B">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1.营业执照等主体资格证明文件</w:t>
      </w:r>
    </w:p>
    <w:p w14:paraId="0B1EBF75">
      <w:pPr>
        <w:shd w:val="clear"/>
        <w:spacing w:line="360" w:lineRule="auto"/>
        <w:outlineLvl w:val="9"/>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2.财务状况报告</w:t>
      </w:r>
      <w:r>
        <w:rPr>
          <w:rFonts w:hint="eastAsia" w:ascii="宋体" w:hAnsi="宋体" w:cs="宋体"/>
          <w:b w:val="0"/>
          <w:bCs w:val="0"/>
          <w:sz w:val="28"/>
          <w:szCs w:val="28"/>
          <w:lang w:val="en-US" w:eastAsia="zh-CN"/>
        </w:rPr>
        <w:t>或资信证明</w:t>
      </w:r>
    </w:p>
    <w:p w14:paraId="53B84B95">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3.社保缴纳证明</w:t>
      </w:r>
    </w:p>
    <w:p w14:paraId="2506EC17">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4.税收缴纳证明</w:t>
      </w:r>
    </w:p>
    <w:p w14:paraId="6969ED44">
      <w:pPr>
        <w:shd w:val="clear"/>
        <w:spacing w:line="360" w:lineRule="auto"/>
        <w:outlineLvl w:val="9"/>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5.信用承诺</w:t>
      </w:r>
      <w:r>
        <w:rPr>
          <w:rFonts w:hint="eastAsia" w:ascii="宋体" w:hAnsi="宋体" w:cs="宋体"/>
          <w:b w:val="0"/>
          <w:bCs w:val="0"/>
          <w:sz w:val="28"/>
          <w:szCs w:val="28"/>
          <w:lang w:val="en-US" w:eastAsia="zh-CN"/>
        </w:rPr>
        <w:t>书</w:t>
      </w:r>
    </w:p>
    <w:p w14:paraId="3B12C807">
      <w:pPr>
        <w:shd w:val="clear"/>
        <w:spacing w:line="360" w:lineRule="auto"/>
        <w:outlineLvl w:val="9"/>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6.控股管理关系</w:t>
      </w:r>
      <w:r>
        <w:rPr>
          <w:rFonts w:hint="eastAsia" w:ascii="宋体" w:hAnsi="宋体" w:cs="宋体"/>
          <w:b w:val="0"/>
          <w:bCs w:val="0"/>
          <w:sz w:val="28"/>
          <w:szCs w:val="28"/>
          <w:lang w:val="en-US" w:eastAsia="zh-CN"/>
        </w:rPr>
        <w:t>承诺书</w:t>
      </w:r>
    </w:p>
    <w:p w14:paraId="2FA694AE">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7.书面声明（格式见附件一）</w:t>
      </w:r>
    </w:p>
    <w:p w14:paraId="43A03761">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8.法定代表人授权委托书（格式见附件二）</w:t>
      </w:r>
    </w:p>
    <w:p w14:paraId="0D8B47AB">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9.所必需的设备和专业技术能力的承诺书</w:t>
      </w:r>
    </w:p>
    <w:p w14:paraId="117C20FD">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10.企业资质及项目经理资格证明文件</w:t>
      </w:r>
    </w:p>
    <w:p w14:paraId="65815B2E">
      <w:pPr>
        <w:shd w:val="clear"/>
        <w:spacing w:line="360" w:lineRule="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11.中小企业声明函（格式见附件三）</w:t>
      </w:r>
    </w:p>
    <w:p w14:paraId="4235C7D8">
      <w:pPr>
        <w:pStyle w:val="10"/>
        <w:shd w:val="clear"/>
        <w:rPr>
          <w:rFonts w:hint="eastAsia" w:ascii="宋体" w:hAnsi="宋体" w:eastAsia="宋体" w:cs="宋体"/>
          <w:lang w:val="en-US" w:eastAsia="zh-CN"/>
        </w:rPr>
      </w:pPr>
    </w:p>
    <w:p w14:paraId="3910D00F">
      <w:pPr>
        <w:shd w:val="clear"/>
        <w:rPr>
          <w:rFonts w:hint="eastAsia" w:ascii="宋体" w:hAnsi="宋体" w:eastAsia="宋体" w:cs="宋体"/>
          <w:b/>
          <w:color w:val="FF0000"/>
          <w:sz w:val="30"/>
          <w:szCs w:val="30"/>
          <w:highlight w:val="none"/>
          <w:lang w:val="en-US" w:eastAsia="zh-CN"/>
        </w:rPr>
      </w:pP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48DC245C">
      <w:pPr>
        <w:shd w:val="clear"/>
        <w:rPr>
          <w:rFonts w:hint="eastAsia" w:ascii="宋体" w:hAnsi="宋体" w:eastAsia="宋体" w:cs="宋体"/>
          <w:b/>
          <w:bCs/>
          <w:color w:val="auto"/>
          <w:sz w:val="24"/>
          <w:szCs w:val="22"/>
          <w:lang w:val="en-US" w:eastAsia="zh-CN"/>
        </w:rPr>
      </w:pPr>
      <w:r>
        <w:rPr>
          <w:rFonts w:hint="eastAsia" w:ascii="宋体" w:hAnsi="宋体" w:eastAsia="宋体" w:cs="宋体"/>
          <w:b/>
          <w:bCs/>
          <w:color w:val="auto"/>
          <w:sz w:val="24"/>
          <w:szCs w:val="22"/>
          <w:lang w:val="en-US" w:eastAsia="zh-CN"/>
        </w:rPr>
        <w:br w:type="page"/>
      </w:r>
    </w:p>
    <w:p w14:paraId="10F8784C">
      <w:pPr>
        <w:pStyle w:val="7"/>
        <w:shd w:val="clear"/>
        <w:ind w:firstLine="0"/>
        <w:jc w:val="both"/>
        <w:outlineLvl w:val="9"/>
        <w:rPr>
          <w:rFonts w:hint="eastAsia" w:ascii="宋体" w:hAnsi="宋体" w:eastAsia="宋体" w:cs="宋体"/>
          <w:color w:val="auto"/>
          <w:highlight w:val="none"/>
          <w:lang w:eastAsia="zh-CN"/>
        </w:rPr>
      </w:pPr>
      <w:r>
        <w:rPr>
          <w:rFonts w:hint="eastAsia" w:ascii="宋体" w:hAnsi="宋体" w:eastAsia="宋体" w:cs="宋体"/>
          <w:color w:val="auto"/>
          <w:sz w:val="24"/>
          <w:szCs w:val="18"/>
          <w:highlight w:val="none"/>
          <w:lang w:eastAsia="zh-CN"/>
        </w:rPr>
        <w:t>附件一：</w:t>
      </w:r>
    </w:p>
    <w:p w14:paraId="4BC7D57D">
      <w:pPr>
        <w:pStyle w:val="7"/>
        <w:shd w:val="clear"/>
        <w:ind w:firstLine="0"/>
        <w:jc w:val="center"/>
        <w:outlineLvl w:val="9"/>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无重大违法记录声明</w:t>
      </w:r>
    </w:p>
    <w:p w14:paraId="21D7C7D6">
      <w:pPr>
        <w:shd w:val="clear"/>
        <w:spacing w:line="360" w:lineRule="auto"/>
        <w:ind w:firstLine="240" w:firstLineChars="100"/>
        <w:outlineLvl w:val="9"/>
        <w:rPr>
          <w:rFonts w:hint="eastAsia" w:ascii="宋体" w:hAnsi="宋体" w:eastAsia="宋体" w:cs="宋体"/>
          <w:color w:val="auto"/>
          <w:sz w:val="24"/>
          <w:highlight w:val="none"/>
        </w:rPr>
      </w:pPr>
    </w:p>
    <w:p w14:paraId="094B5B48">
      <w:pPr>
        <w:shd w:val="clear"/>
        <w:spacing w:line="360" w:lineRule="auto"/>
        <w:outlineLvl w:val="9"/>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华睿诚项目管理有限公司</w:t>
      </w:r>
    </w:p>
    <w:p w14:paraId="67DA19C9">
      <w:pPr>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（供应商名称）郑重声明，我方参加贵公司组织的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活动前三年内无重大违法活动记录，符合《中华人民共和国政府采购法》规定的供应商资格条件。我方对此声明负全部法律责任。</w:t>
      </w:r>
    </w:p>
    <w:p w14:paraId="0CA91550">
      <w:pPr>
        <w:shd w:val="clear"/>
        <w:spacing w:line="360" w:lineRule="auto"/>
        <w:ind w:firstLine="240" w:firstLineChars="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特此声明。</w:t>
      </w:r>
    </w:p>
    <w:p w14:paraId="51772FE3">
      <w:pPr>
        <w:shd w:val="clear"/>
        <w:spacing w:line="360" w:lineRule="auto"/>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注：成立不足三年的供应商提供自成立之日起至开标之日止的无重大违法记录声明。</w:t>
      </w:r>
    </w:p>
    <w:p w14:paraId="4451C9D3">
      <w:pPr>
        <w:shd w:val="clear"/>
        <w:spacing w:line="360" w:lineRule="auto"/>
        <w:ind w:firstLine="4759" w:firstLineChars="1983"/>
        <w:outlineLvl w:val="9"/>
        <w:rPr>
          <w:rFonts w:hint="eastAsia" w:ascii="宋体" w:hAnsi="宋体" w:eastAsia="宋体" w:cs="宋体"/>
          <w:color w:val="auto"/>
          <w:sz w:val="24"/>
          <w:szCs w:val="28"/>
          <w:highlight w:val="none"/>
        </w:rPr>
      </w:pPr>
    </w:p>
    <w:p w14:paraId="3B70C24D">
      <w:pPr>
        <w:shd w:val="clear"/>
        <w:spacing w:line="360" w:lineRule="auto"/>
        <w:ind w:firstLine="4759" w:firstLineChars="1983"/>
        <w:outlineLvl w:val="9"/>
        <w:rPr>
          <w:rFonts w:hint="eastAsia" w:ascii="宋体" w:hAnsi="宋体" w:eastAsia="宋体" w:cs="宋体"/>
          <w:color w:val="auto"/>
          <w:sz w:val="24"/>
          <w:szCs w:val="28"/>
          <w:highlight w:val="none"/>
        </w:rPr>
      </w:pPr>
    </w:p>
    <w:p w14:paraId="0F851FBE">
      <w:pPr>
        <w:shd w:val="clea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w:t>
      </w:r>
      <w:r>
        <w:rPr>
          <w:rFonts w:hint="eastAsia" w:ascii="宋体" w:hAnsi="宋体" w:eastAsia="宋体" w:cs="宋体"/>
          <w:color w:val="auto"/>
          <w:sz w:val="24"/>
          <w:szCs w:val="28"/>
          <w:highlight w:val="none"/>
          <w:lang w:eastAsia="zh-CN"/>
        </w:rPr>
        <w:t>名</w:t>
      </w:r>
      <w:r>
        <w:rPr>
          <w:rFonts w:hint="eastAsia" w:ascii="宋体" w:hAnsi="宋体" w:eastAsia="宋体" w:cs="宋体"/>
          <w:color w:val="auto"/>
          <w:sz w:val="24"/>
          <w:szCs w:val="28"/>
          <w:highlight w:val="none"/>
        </w:rPr>
        <w:t>称(盖章)：</w:t>
      </w:r>
    </w:p>
    <w:p w14:paraId="4E73ECC7">
      <w:pPr>
        <w:shd w:val="clea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  期：</w:t>
      </w:r>
    </w:p>
    <w:p w14:paraId="4A168C22">
      <w:pPr>
        <w:shd w:val="clear"/>
        <w:spacing w:line="360" w:lineRule="auto"/>
        <w:outlineLvl w:val="9"/>
        <w:rPr>
          <w:rFonts w:hint="eastAsia" w:ascii="宋体" w:hAnsi="宋体" w:eastAsia="宋体" w:cs="宋体"/>
          <w:color w:val="auto"/>
          <w:highlight w:val="none"/>
        </w:rPr>
      </w:pPr>
    </w:p>
    <w:p w14:paraId="793C77F5">
      <w:pPr>
        <w:shd w:val="clear"/>
        <w:spacing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r>
        <w:rPr>
          <w:rFonts w:hint="eastAsia" w:ascii="宋体" w:hAnsi="宋体" w:eastAsia="宋体" w:cs="宋体"/>
          <w:b w:val="0"/>
          <w:bCs w:val="0"/>
          <w:color w:val="auto"/>
          <w:sz w:val="24"/>
          <w:szCs w:val="24"/>
          <w:highlight w:val="none"/>
          <w:lang w:val="en-US" w:eastAsia="zh-CN"/>
        </w:rPr>
        <w:t>附件二：</w:t>
      </w:r>
    </w:p>
    <w:p w14:paraId="593AC6C2">
      <w:pPr>
        <w:shd w:val="clear"/>
        <w:spacing w:line="360" w:lineRule="auto"/>
        <w:ind w:left="280" w:leftChars="1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-1、法定代表人资格证明书</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2608"/>
        <w:gridCol w:w="1484"/>
        <w:gridCol w:w="1728"/>
        <w:gridCol w:w="2078"/>
      </w:tblGrid>
      <w:tr w14:paraId="374E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5"/>
            <w:noWrap w:val="0"/>
            <w:vAlign w:val="top"/>
          </w:tcPr>
          <w:p w14:paraId="35E0B798">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致：</w:t>
            </w:r>
            <w:r>
              <w:rPr>
                <w:rFonts w:hint="eastAsia" w:ascii="宋体" w:hAnsi="宋体" w:cs="宋体"/>
                <w:bCs/>
                <w:caps/>
                <w:color w:val="auto"/>
                <w:sz w:val="24"/>
                <w:szCs w:val="24"/>
                <w:highlight w:val="none"/>
                <w:lang w:eastAsia="zh-CN"/>
              </w:rPr>
              <w:t>华睿诚项目管理有限公司</w:t>
            </w:r>
          </w:p>
        </w:tc>
      </w:tr>
      <w:tr w14:paraId="251A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6" w:type="pct"/>
            <w:noWrap w:val="0"/>
            <w:vAlign w:val="center"/>
          </w:tcPr>
          <w:p w14:paraId="0572F707">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4203" w:type="pct"/>
            <w:gridSpan w:val="4"/>
            <w:noWrap w:val="0"/>
            <w:vAlign w:val="top"/>
          </w:tcPr>
          <w:p w14:paraId="5A50A69F">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6605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96" w:type="pct"/>
            <w:noWrap w:val="0"/>
            <w:vAlign w:val="center"/>
          </w:tcPr>
          <w:p w14:paraId="1967A721">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文件编号</w:t>
            </w:r>
          </w:p>
        </w:tc>
        <w:tc>
          <w:tcPr>
            <w:tcW w:w="4203" w:type="pct"/>
            <w:gridSpan w:val="4"/>
            <w:noWrap w:val="0"/>
            <w:vAlign w:val="top"/>
          </w:tcPr>
          <w:p w14:paraId="256CB52A">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51A6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96" w:type="pct"/>
            <w:noWrap w:val="0"/>
            <w:vAlign w:val="center"/>
          </w:tcPr>
          <w:p w14:paraId="23105515">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   限</w:t>
            </w:r>
          </w:p>
        </w:tc>
        <w:tc>
          <w:tcPr>
            <w:tcW w:w="4203" w:type="pct"/>
            <w:gridSpan w:val="4"/>
            <w:noWrap w:val="0"/>
            <w:vAlign w:val="center"/>
          </w:tcPr>
          <w:p w14:paraId="0E38FBC8">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办理本次</w:t>
            </w:r>
            <w:r>
              <w:rPr>
                <w:rFonts w:hint="eastAsia" w:ascii="宋体" w:hAnsi="宋体" w:eastAsia="宋体" w:cs="宋体"/>
                <w:bCs/>
                <w:caps/>
                <w:color w:val="auto"/>
                <w:sz w:val="24"/>
                <w:szCs w:val="24"/>
                <w:highlight w:val="none"/>
                <w:lang w:eastAsia="zh-CN"/>
              </w:rPr>
              <w:t>磋商</w:t>
            </w:r>
            <w:r>
              <w:rPr>
                <w:rFonts w:hint="eastAsia" w:ascii="宋体" w:hAnsi="宋体" w:eastAsia="宋体" w:cs="宋体"/>
                <w:bCs/>
                <w:caps/>
                <w:color w:val="auto"/>
                <w:sz w:val="24"/>
                <w:szCs w:val="24"/>
                <w:highlight w:val="none"/>
              </w:rPr>
              <w:t>采购项目的投标、联系、洽谈、签约、执行等具体事务，签署全部有关文件、文书、协议及合同。</w:t>
            </w:r>
          </w:p>
        </w:tc>
      </w:tr>
      <w:tr w14:paraId="1044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noWrap w:val="0"/>
            <w:vAlign w:val="center"/>
          </w:tcPr>
          <w:p w14:paraId="30B40B26">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有效期</w:t>
            </w:r>
          </w:p>
        </w:tc>
        <w:tc>
          <w:tcPr>
            <w:tcW w:w="4203" w:type="pct"/>
            <w:gridSpan w:val="4"/>
            <w:noWrap w:val="0"/>
            <w:vAlign w:val="center"/>
          </w:tcPr>
          <w:p w14:paraId="4E622359">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color w:val="auto"/>
                <w:sz w:val="24"/>
                <w:szCs w:val="24"/>
                <w:highlight w:val="none"/>
              </w:rPr>
              <w:t>自提交投标文件的截止之日起90个日历日</w:t>
            </w:r>
          </w:p>
        </w:tc>
      </w:tr>
      <w:tr w14:paraId="45A4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restart"/>
            <w:noWrap w:val="0"/>
            <w:vAlign w:val="center"/>
          </w:tcPr>
          <w:p w14:paraId="4FE60735">
            <w:pPr>
              <w:shd w:val="clear"/>
              <w:tabs>
                <w:tab w:val="right" w:leader="dot" w:pos="9022"/>
              </w:tabs>
              <w:autoSpaceDE w:val="0"/>
              <w:autoSpaceDN w:val="0"/>
              <w:adjustRightInd w:val="0"/>
              <w:spacing w:line="240" w:lineRule="auto"/>
              <w:ind w:firstLine="240" w:firstLineChars="100"/>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w:t>
            </w:r>
          </w:p>
          <w:p w14:paraId="7CA6C117">
            <w:pPr>
              <w:shd w:val="clear"/>
              <w:tabs>
                <w:tab w:val="right" w:leader="dot" w:pos="9022"/>
              </w:tabs>
              <w:autoSpaceDE w:val="0"/>
              <w:autoSpaceDN w:val="0"/>
              <w:adjustRightInd w:val="0"/>
              <w:spacing w:line="240" w:lineRule="auto"/>
              <w:ind w:firstLine="240" w:firstLineChars="100"/>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信息</w:t>
            </w:r>
          </w:p>
        </w:tc>
        <w:tc>
          <w:tcPr>
            <w:tcW w:w="1388" w:type="pct"/>
            <w:noWrap w:val="0"/>
            <w:vAlign w:val="top"/>
          </w:tcPr>
          <w:p w14:paraId="4DDE00DA">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2814" w:type="pct"/>
            <w:gridSpan w:val="3"/>
            <w:noWrap w:val="0"/>
            <w:vAlign w:val="top"/>
          </w:tcPr>
          <w:p w14:paraId="5325D26F">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0B0D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6CD3A1B1">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266D5B8C">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2814" w:type="pct"/>
            <w:gridSpan w:val="3"/>
            <w:noWrap w:val="0"/>
            <w:vAlign w:val="top"/>
          </w:tcPr>
          <w:p w14:paraId="717F002E">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0EA4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3859A78A">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41566959">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lang w:eastAsia="zh-CN"/>
              </w:rPr>
              <w:t>统一社会信用代码</w:t>
            </w:r>
          </w:p>
        </w:tc>
        <w:tc>
          <w:tcPr>
            <w:tcW w:w="2814" w:type="pct"/>
            <w:gridSpan w:val="3"/>
            <w:noWrap w:val="0"/>
            <w:vAlign w:val="top"/>
          </w:tcPr>
          <w:p w14:paraId="19EC5494">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270B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4C3A04A9">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34237FF0">
            <w:pPr>
              <w:shd w:val="clear"/>
              <w:tabs>
                <w:tab w:val="right" w:leader="dot" w:pos="9022"/>
              </w:tabs>
              <w:spacing w:line="24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工商登记机关</w:t>
            </w:r>
          </w:p>
        </w:tc>
        <w:tc>
          <w:tcPr>
            <w:tcW w:w="2814" w:type="pct"/>
            <w:gridSpan w:val="3"/>
            <w:noWrap w:val="0"/>
            <w:vAlign w:val="top"/>
          </w:tcPr>
          <w:p w14:paraId="5B6E9700">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75A9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6829851D">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18AD9BE3">
            <w:pPr>
              <w:shd w:val="clear"/>
              <w:tabs>
                <w:tab w:val="right" w:leader="dot" w:pos="9022"/>
              </w:tabs>
              <w:spacing w:line="24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网        址</w:t>
            </w:r>
          </w:p>
        </w:tc>
        <w:tc>
          <w:tcPr>
            <w:tcW w:w="2814" w:type="pct"/>
            <w:gridSpan w:val="3"/>
            <w:noWrap w:val="0"/>
            <w:vAlign w:val="top"/>
          </w:tcPr>
          <w:p w14:paraId="497FDA26">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4972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restart"/>
            <w:noWrap w:val="0"/>
            <w:vAlign w:val="center"/>
          </w:tcPr>
          <w:p w14:paraId="66A62DEC">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w:t>
            </w:r>
          </w:p>
          <w:p w14:paraId="6FA688BB">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表人</w:t>
            </w:r>
          </w:p>
        </w:tc>
        <w:tc>
          <w:tcPr>
            <w:tcW w:w="1388" w:type="pct"/>
            <w:noWrap w:val="0"/>
            <w:vAlign w:val="top"/>
          </w:tcPr>
          <w:p w14:paraId="4ABC8B1B">
            <w:pPr>
              <w:shd w:val="clea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    名</w:t>
            </w:r>
          </w:p>
        </w:tc>
        <w:tc>
          <w:tcPr>
            <w:tcW w:w="790" w:type="pct"/>
            <w:noWrap w:val="0"/>
            <w:vAlign w:val="top"/>
          </w:tcPr>
          <w:p w14:paraId="49B4AD88">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c>
          <w:tcPr>
            <w:tcW w:w="920" w:type="pct"/>
            <w:noWrap w:val="0"/>
            <w:vAlign w:val="top"/>
          </w:tcPr>
          <w:p w14:paraId="50F9C28A">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102" w:type="pct"/>
            <w:noWrap w:val="0"/>
            <w:vAlign w:val="top"/>
          </w:tcPr>
          <w:p w14:paraId="2FB1AC82">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6DBA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145F0922">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6B2C1ED0">
            <w:pPr>
              <w:shd w:val="clea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    务</w:t>
            </w:r>
          </w:p>
        </w:tc>
        <w:tc>
          <w:tcPr>
            <w:tcW w:w="790" w:type="pct"/>
            <w:noWrap w:val="0"/>
            <w:vAlign w:val="top"/>
          </w:tcPr>
          <w:p w14:paraId="7E237FD4">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c>
          <w:tcPr>
            <w:tcW w:w="920" w:type="pct"/>
            <w:noWrap w:val="0"/>
            <w:vAlign w:val="top"/>
          </w:tcPr>
          <w:p w14:paraId="61CECB68">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102" w:type="pct"/>
            <w:noWrap w:val="0"/>
            <w:vAlign w:val="top"/>
          </w:tcPr>
          <w:p w14:paraId="5E992FF1">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1447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41E2E3D7">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43375931">
            <w:pPr>
              <w:shd w:val="clea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传    真</w:t>
            </w:r>
          </w:p>
        </w:tc>
        <w:tc>
          <w:tcPr>
            <w:tcW w:w="2814" w:type="pct"/>
            <w:gridSpan w:val="3"/>
            <w:noWrap w:val="0"/>
            <w:vAlign w:val="top"/>
          </w:tcPr>
          <w:p w14:paraId="21F4E630">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3513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96" w:type="pct"/>
            <w:vMerge w:val="continue"/>
            <w:noWrap w:val="0"/>
            <w:vAlign w:val="center"/>
          </w:tcPr>
          <w:p w14:paraId="1E00A15E">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8" w:type="pct"/>
            <w:noWrap w:val="0"/>
            <w:vAlign w:val="top"/>
          </w:tcPr>
          <w:p w14:paraId="758F6394">
            <w:pPr>
              <w:shd w:val="clea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2814" w:type="pct"/>
            <w:gridSpan w:val="3"/>
            <w:noWrap w:val="0"/>
            <w:vAlign w:val="top"/>
          </w:tcPr>
          <w:p w14:paraId="77B022B7">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7C3E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5000" w:type="pct"/>
            <w:gridSpan w:val="5"/>
            <w:noWrap w:val="0"/>
            <w:vAlign w:val="top"/>
          </w:tcPr>
          <w:p w14:paraId="3303D163">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7E8393E3">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54E0CE5B">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w:t>
            </w:r>
            <w:r>
              <w:rPr>
                <w:rFonts w:hint="eastAsia" w:ascii="宋体" w:hAnsi="宋体" w:eastAsia="宋体" w:cs="宋体"/>
                <w:bCs/>
                <w:caps/>
                <w:color w:val="auto"/>
                <w:sz w:val="24"/>
                <w:szCs w:val="24"/>
                <w:highlight w:val="none"/>
                <w:lang w:eastAsia="zh-CN"/>
              </w:rPr>
              <w:t>正反面</w:t>
            </w:r>
            <w:r>
              <w:rPr>
                <w:rFonts w:hint="eastAsia" w:ascii="宋体" w:hAnsi="宋体" w:eastAsia="宋体" w:cs="宋体"/>
                <w:bCs/>
                <w:caps/>
                <w:color w:val="auto"/>
                <w:sz w:val="24"/>
                <w:szCs w:val="24"/>
                <w:highlight w:val="none"/>
              </w:rPr>
              <w:t>复印件</w:t>
            </w:r>
          </w:p>
          <w:p w14:paraId="5D81AC55">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019E3301">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79D33501">
            <w:pPr>
              <w:shd w:val="clear"/>
              <w:tabs>
                <w:tab w:val="right" w:leader="dot" w:pos="9022"/>
              </w:tabs>
              <w:autoSpaceDE w:val="0"/>
              <w:autoSpaceDN w:val="0"/>
              <w:adjustRightInd w:val="0"/>
              <w:spacing w:line="240" w:lineRule="auto"/>
              <w:jc w:val="both"/>
              <w:rPr>
                <w:rFonts w:hint="eastAsia" w:ascii="宋体" w:hAnsi="宋体" w:eastAsia="宋体" w:cs="宋体"/>
                <w:color w:val="auto"/>
                <w:spacing w:val="-4"/>
                <w:sz w:val="24"/>
                <w:szCs w:val="24"/>
                <w:highlight w:val="none"/>
              </w:rPr>
            </w:pPr>
          </w:p>
          <w:p w14:paraId="182139F2">
            <w:pPr>
              <w:shd w:val="clea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r>
      <w:tr w14:paraId="5222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00" w:type="pct"/>
            <w:gridSpan w:val="5"/>
            <w:noWrap w:val="0"/>
            <w:vAlign w:val="top"/>
          </w:tcPr>
          <w:p w14:paraId="073B2A11">
            <w:pPr>
              <w:shd w:val="clea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法定代表人签字</w:t>
            </w:r>
            <w:r>
              <w:rPr>
                <w:rFonts w:hint="eastAsia" w:ascii="宋体" w:hAnsi="宋体" w:eastAsia="宋体" w:cs="宋体"/>
                <w:bCs/>
                <w:caps/>
                <w:color w:val="auto"/>
                <w:sz w:val="24"/>
                <w:szCs w:val="24"/>
                <w:highlight w:val="none"/>
                <w:lang w:eastAsia="zh-CN"/>
              </w:rPr>
              <w:t>及</w:t>
            </w:r>
            <w:r>
              <w:rPr>
                <w:rFonts w:hint="eastAsia" w:ascii="宋体" w:hAnsi="宋体" w:eastAsia="宋体" w:cs="宋体"/>
                <w:bCs/>
                <w:caps/>
                <w:color w:val="auto"/>
                <w:sz w:val="24"/>
                <w:szCs w:val="24"/>
                <w:highlight w:val="none"/>
              </w:rPr>
              <w:t>盖章：</w:t>
            </w:r>
          </w:p>
        </w:tc>
      </w:tr>
    </w:tbl>
    <w:p w14:paraId="32FEF0B9">
      <w:pPr>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pacing w:val="4"/>
          <w:sz w:val="24"/>
          <w:szCs w:val="24"/>
          <w:highlight w:val="none"/>
          <w:lang w:val="en-US"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投标供应商</w:t>
      </w:r>
      <w:r>
        <w:rPr>
          <w:rFonts w:hint="eastAsia" w:ascii="宋体" w:hAnsi="宋体" w:eastAsia="宋体" w:cs="宋体"/>
          <w:color w:val="auto"/>
          <w:sz w:val="24"/>
          <w:szCs w:val="24"/>
          <w:highlight w:val="none"/>
        </w:rPr>
        <w:t>单位公章）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 期：</w:t>
      </w:r>
    </w:p>
    <w:p w14:paraId="58238884">
      <w:pPr>
        <w:shd w:val="clear"/>
        <w:spacing w:line="360" w:lineRule="auto"/>
        <w:ind w:left="280" w:leftChars="1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-2、法定代表人授权委托书</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321"/>
        <w:gridCol w:w="960"/>
        <w:gridCol w:w="879"/>
        <w:gridCol w:w="163"/>
        <w:gridCol w:w="1279"/>
        <w:gridCol w:w="3398"/>
      </w:tblGrid>
      <w:tr w14:paraId="0C76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000" w:type="pct"/>
            <w:gridSpan w:val="7"/>
            <w:noWrap w:val="0"/>
            <w:vAlign w:val="top"/>
          </w:tcPr>
          <w:p w14:paraId="0370D8CC">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致：</w:t>
            </w:r>
            <w:r>
              <w:rPr>
                <w:rFonts w:hint="eastAsia" w:ascii="宋体" w:hAnsi="宋体" w:cs="宋体"/>
                <w:bCs/>
                <w:caps/>
                <w:color w:val="auto"/>
                <w:sz w:val="24"/>
                <w:szCs w:val="24"/>
                <w:highlight w:val="none"/>
                <w:lang w:eastAsia="zh-CN"/>
              </w:rPr>
              <w:t>华睿诚项目管理有限公司</w:t>
            </w:r>
          </w:p>
        </w:tc>
      </w:tr>
      <w:tr w14:paraId="7CDD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restart"/>
            <w:noWrap w:val="0"/>
            <w:vAlign w:val="center"/>
          </w:tcPr>
          <w:p w14:paraId="6D8FAB32">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w:t>
            </w:r>
          </w:p>
          <w:p w14:paraId="120200B9">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权项</w:t>
            </w:r>
          </w:p>
          <w:p w14:paraId="029B3485">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目与</w:t>
            </w:r>
          </w:p>
          <w:p w14:paraId="5D431DF7">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内容</w:t>
            </w:r>
          </w:p>
        </w:tc>
        <w:tc>
          <w:tcPr>
            <w:tcW w:w="703" w:type="pct"/>
            <w:noWrap w:val="0"/>
            <w:vAlign w:val="top"/>
          </w:tcPr>
          <w:p w14:paraId="36C7762B">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3553" w:type="pct"/>
            <w:gridSpan w:val="5"/>
            <w:noWrap w:val="0"/>
            <w:vAlign w:val="top"/>
          </w:tcPr>
          <w:p w14:paraId="764ED583">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r>
      <w:tr w14:paraId="0D64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continue"/>
            <w:noWrap w:val="0"/>
            <w:vAlign w:val="top"/>
          </w:tcPr>
          <w:p w14:paraId="7512BF6E">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703" w:type="pct"/>
            <w:noWrap w:val="0"/>
            <w:vAlign w:val="top"/>
          </w:tcPr>
          <w:p w14:paraId="6664A235">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文件编号</w:t>
            </w:r>
          </w:p>
        </w:tc>
        <w:tc>
          <w:tcPr>
            <w:tcW w:w="3553" w:type="pct"/>
            <w:gridSpan w:val="5"/>
            <w:noWrap w:val="0"/>
            <w:vAlign w:val="top"/>
          </w:tcPr>
          <w:p w14:paraId="07F3F2F5">
            <w:pPr>
              <w:shd w:val="clear"/>
              <w:tabs>
                <w:tab w:val="right" w:leader="dot" w:pos="9022"/>
              </w:tabs>
              <w:autoSpaceDE w:val="0"/>
              <w:autoSpaceDN w:val="0"/>
              <w:adjustRightInd w:val="0"/>
              <w:spacing w:line="360" w:lineRule="auto"/>
              <w:ind w:firstLine="1200" w:firstLineChars="500"/>
              <w:jc w:val="left"/>
              <w:rPr>
                <w:rFonts w:hint="eastAsia" w:ascii="宋体" w:hAnsi="宋体" w:eastAsia="宋体" w:cs="宋体"/>
                <w:bCs/>
                <w:caps/>
                <w:color w:val="auto"/>
                <w:sz w:val="24"/>
                <w:szCs w:val="24"/>
                <w:highlight w:val="none"/>
              </w:rPr>
            </w:pPr>
          </w:p>
        </w:tc>
      </w:tr>
      <w:tr w14:paraId="3614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42" w:type="pct"/>
            <w:vMerge w:val="continue"/>
            <w:noWrap w:val="0"/>
            <w:vAlign w:val="top"/>
          </w:tcPr>
          <w:p w14:paraId="3E13E6F8">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703" w:type="pct"/>
            <w:noWrap w:val="0"/>
            <w:vAlign w:val="center"/>
          </w:tcPr>
          <w:p w14:paraId="7C855ECF">
            <w:pPr>
              <w:shd w:val="clear"/>
              <w:tabs>
                <w:tab w:val="right" w:leader="dot" w:pos="9022"/>
              </w:tabs>
              <w:autoSpaceDE w:val="0"/>
              <w:autoSpaceDN w:val="0"/>
              <w:adjustRightInd w:val="0"/>
              <w:spacing w:line="360" w:lineRule="auto"/>
              <w:jc w:val="both"/>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授权范围</w:t>
            </w:r>
          </w:p>
        </w:tc>
        <w:tc>
          <w:tcPr>
            <w:tcW w:w="3553" w:type="pct"/>
            <w:gridSpan w:val="5"/>
            <w:noWrap w:val="0"/>
            <w:vAlign w:val="top"/>
          </w:tcPr>
          <w:p w14:paraId="5199F460">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全权办理本次</w:t>
            </w:r>
            <w:r>
              <w:rPr>
                <w:rFonts w:hint="eastAsia" w:ascii="宋体" w:hAnsi="宋体" w:eastAsia="宋体" w:cs="宋体"/>
                <w:bCs/>
                <w:caps/>
                <w:color w:val="auto"/>
                <w:sz w:val="24"/>
                <w:szCs w:val="24"/>
                <w:highlight w:val="none"/>
                <w:lang w:eastAsia="zh-CN"/>
              </w:rPr>
              <w:t>磋商</w:t>
            </w:r>
            <w:r>
              <w:rPr>
                <w:rFonts w:hint="eastAsia" w:ascii="宋体" w:hAnsi="宋体" w:eastAsia="宋体" w:cs="宋体"/>
                <w:bCs/>
                <w:caps/>
                <w:color w:val="auto"/>
                <w:sz w:val="24"/>
                <w:szCs w:val="24"/>
                <w:highlight w:val="none"/>
              </w:rPr>
              <w:t>采购项目的投标、联系、洽谈、签约、执行等具体事务，签署全部有关文件、文书、协议及合同。</w:t>
            </w:r>
          </w:p>
        </w:tc>
      </w:tr>
      <w:tr w14:paraId="6E4C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continue"/>
            <w:noWrap w:val="0"/>
            <w:vAlign w:val="top"/>
          </w:tcPr>
          <w:p w14:paraId="6EA4BC1F">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703" w:type="pct"/>
            <w:noWrap w:val="0"/>
            <w:vAlign w:val="top"/>
          </w:tcPr>
          <w:p w14:paraId="48058E22">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法律责任</w:t>
            </w:r>
          </w:p>
        </w:tc>
        <w:tc>
          <w:tcPr>
            <w:tcW w:w="3553" w:type="pct"/>
            <w:gridSpan w:val="5"/>
            <w:noWrap w:val="0"/>
            <w:vAlign w:val="top"/>
          </w:tcPr>
          <w:p w14:paraId="243C34C5">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本公司对被授权人在本项目中的签名承担全部法律责任。</w:t>
            </w:r>
          </w:p>
        </w:tc>
      </w:tr>
      <w:tr w14:paraId="7BEB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continue"/>
            <w:noWrap w:val="0"/>
            <w:vAlign w:val="top"/>
          </w:tcPr>
          <w:p w14:paraId="0E6DF19B">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703" w:type="pct"/>
            <w:noWrap w:val="0"/>
            <w:vAlign w:val="center"/>
          </w:tcPr>
          <w:p w14:paraId="2859C16B">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授权期限</w:t>
            </w:r>
          </w:p>
        </w:tc>
        <w:tc>
          <w:tcPr>
            <w:tcW w:w="3553" w:type="pct"/>
            <w:gridSpan w:val="5"/>
            <w:noWrap w:val="0"/>
            <w:vAlign w:val="center"/>
          </w:tcPr>
          <w:p w14:paraId="08BE83B4">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本授权书</w:t>
            </w:r>
            <w:r>
              <w:rPr>
                <w:rFonts w:hint="eastAsia" w:ascii="宋体" w:hAnsi="宋体" w:eastAsia="宋体" w:cs="宋体"/>
                <w:color w:val="auto"/>
                <w:sz w:val="24"/>
                <w:szCs w:val="24"/>
                <w:highlight w:val="none"/>
              </w:rPr>
              <w:t>自提交投标文件的截止之日起90个日历日</w:t>
            </w:r>
          </w:p>
        </w:tc>
      </w:tr>
      <w:tr w14:paraId="20F3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restart"/>
            <w:noWrap w:val="0"/>
            <w:vAlign w:val="center"/>
          </w:tcPr>
          <w:p w14:paraId="44729404">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企业信息</w:t>
            </w:r>
          </w:p>
        </w:tc>
        <w:tc>
          <w:tcPr>
            <w:tcW w:w="1214" w:type="pct"/>
            <w:gridSpan w:val="2"/>
            <w:noWrap w:val="0"/>
            <w:vAlign w:val="top"/>
          </w:tcPr>
          <w:p w14:paraId="37D35A0C">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3042" w:type="pct"/>
            <w:gridSpan w:val="4"/>
            <w:noWrap w:val="0"/>
            <w:vAlign w:val="center"/>
          </w:tcPr>
          <w:p w14:paraId="7103E929">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5A54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continue"/>
            <w:noWrap w:val="0"/>
            <w:vAlign w:val="top"/>
          </w:tcPr>
          <w:p w14:paraId="77B04F3C">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1214" w:type="pct"/>
            <w:gridSpan w:val="2"/>
            <w:noWrap w:val="0"/>
            <w:vAlign w:val="top"/>
          </w:tcPr>
          <w:p w14:paraId="3BF59748">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3042" w:type="pct"/>
            <w:gridSpan w:val="4"/>
            <w:noWrap w:val="0"/>
            <w:vAlign w:val="center"/>
          </w:tcPr>
          <w:p w14:paraId="01B0DEC6">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2874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continue"/>
            <w:noWrap w:val="0"/>
            <w:vAlign w:val="top"/>
          </w:tcPr>
          <w:p w14:paraId="16B79632">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1214" w:type="pct"/>
            <w:gridSpan w:val="2"/>
            <w:noWrap w:val="0"/>
            <w:vAlign w:val="top"/>
          </w:tcPr>
          <w:p w14:paraId="1A9DBCC8">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lang w:eastAsia="zh-CN"/>
              </w:rPr>
              <w:t>统一社会信用代码</w:t>
            </w:r>
          </w:p>
        </w:tc>
        <w:tc>
          <w:tcPr>
            <w:tcW w:w="3042" w:type="pct"/>
            <w:gridSpan w:val="4"/>
            <w:noWrap w:val="0"/>
            <w:vAlign w:val="center"/>
          </w:tcPr>
          <w:p w14:paraId="765B58AD">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0A06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restart"/>
            <w:noWrap w:val="0"/>
            <w:vAlign w:val="center"/>
          </w:tcPr>
          <w:p w14:paraId="3D9F771F">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w:t>
            </w:r>
          </w:p>
        </w:tc>
        <w:tc>
          <w:tcPr>
            <w:tcW w:w="703" w:type="pct"/>
            <w:noWrap w:val="0"/>
            <w:vAlign w:val="center"/>
          </w:tcPr>
          <w:p w14:paraId="7D133285">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姓名</w:t>
            </w:r>
          </w:p>
        </w:tc>
        <w:tc>
          <w:tcPr>
            <w:tcW w:w="1066" w:type="pct"/>
            <w:gridSpan w:val="3"/>
            <w:noWrap w:val="0"/>
            <w:vAlign w:val="center"/>
          </w:tcPr>
          <w:p w14:paraId="21667D4B">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81" w:type="pct"/>
            <w:noWrap w:val="0"/>
            <w:vAlign w:val="center"/>
          </w:tcPr>
          <w:p w14:paraId="5BFC30EB">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806" w:type="pct"/>
            <w:noWrap w:val="0"/>
            <w:vAlign w:val="center"/>
          </w:tcPr>
          <w:p w14:paraId="66E7BA30">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r>
      <w:tr w14:paraId="373D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continue"/>
            <w:noWrap w:val="0"/>
            <w:vAlign w:val="center"/>
          </w:tcPr>
          <w:p w14:paraId="0559888B">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703" w:type="pct"/>
            <w:noWrap w:val="0"/>
            <w:vAlign w:val="center"/>
          </w:tcPr>
          <w:p w14:paraId="62BF3F57">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职务</w:t>
            </w:r>
          </w:p>
        </w:tc>
        <w:tc>
          <w:tcPr>
            <w:tcW w:w="1066" w:type="pct"/>
            <w:gridSpan w:val="3"/>
            <w:noWrap w:val="0"/>
            <w:vAlign w:val="center"/>
          </w:tcPr>
          <w:p w14:paraId="40F316E6">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81" w:type="pct"/>
            <w:noWrap w:val="0"/>
            <w:vAlign w:val="center"/>
          </w:tcPr>
          <w:p w14:paraId="372FE2DF">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806" w:type="pct"/>
            <w:noWrap w:val="0"/>
            <w:vAlign w:val="center"/>
          </w:tcPr>
          <w:p w14:paraId="7A2F2504">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52A7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vMerge w:val="restart"/>
            <w:noWrap w:val="0"/>
            <w:vAlign w:val="center"/>
          </w:tcPr>
          <w:p w14:paraId="6AD278B1">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w:t>
            </w:r>
          </w:p>
        </w:tc>
        <w:tc>
          <w:tcPr>
            <w:tcW w:w="703" w:type="pct"/>
            <w:noWrap w:val="0"/>
            <w:vAlign w:val="center"/>
          </w:tcPr>
          <w:p w14:paraId="6CFBB82E">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姓名</w:t>
            </w:r>
          </w:p>
        </w:tc>
        <w:tc>
          <w:tcPr>
            <w:tcW w:w="1066" w:type="pct"/>
            <w:gridSpan w:val="3"/>
            <w:noWrap w:val="0"/>
            <w:vAlign w:val="center"/>
          </w:tcPr>
          <w:p w14:paraId="7494EC24">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81" w:type="pct"/>
            <w:noWrap w:val="0"/>
            <w:vAlign w:val="center"/>
          </w:tcPr>
          <w:p w14:paraId="37011553">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806" w:type="pct"/>
            <w:noWrap w:val="0"/>
            <w:vAlign w:val="center"/>
          </w:tcPr>
          <w:p w14:paraId="04B186D0">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r>
      <w:tr w14:paraId="641D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42" w:type="pct"/>
            <w:vMerge w:val="continue"/>
            <w:noWrap w:val="0"/>
            <w:vAlign w:val="top"/>
          </w:tcPr>
          <w:p w14:paraId="6732384D">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703" w:type="pct"/>
            <w:noWrap w:val="0"/>
            <w:vAlign w:val="center"/>
          </w:tcPr>
          <w:p w14:paraId="3CCD6648">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职务</w:t>
            </w:r>
          </w:p>
        </w:tc>
        <w:tc>
          <w:tcPr>
            <w:tcW w:w="1066" w:type="pct"/>
            <w:gridSpan w:val="3"/>
            <w:noWrap w:val="0"/>
            <w:vAlign w:val="center"/>
          </w:tcPr>
          <w:p w14:paraId="09B5A7CC">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81" w:type="pct"/>
            <w:noWrap w:val="0"/>
            <w:vAlign w:val="center"/>
          </w:tcPr>
          <w:p w14:paraId="13E96958">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806" w:type="pct"/>
            <w:noWrap w:val="0"/>
            <w:vAlign w:val="top"/>
          </w:tcPr>
          <w:p w14:paraId="50155008">
            <w:pPr>
              <w:shd w:val="clea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00B3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pct"/>
            <w:noWrap w:val="0"/>
            <w:vAlign w:val="top"/>
          </w:tcPr>
          <w:p w14:paraId="6DB505F4">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4257" w:type="pct"/>
            <w:gridSpan w:val="6"/>
            <w:noWrap w:val="0"/>
            <w:vAlign w:val="top"/>
          </w:tcPr>
          <w:p w14:paraId="704C93B8">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r>
      <w:tr w14:paraId="16DF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jc w:val="center"/>
        </w:trPr>
        <w:tc>
          <w:tcPr>
            <w:tcW w:w="2424" w:type="pct"/>
            <w:gridSpan w:val="4"/>
            <w:noWrap w:val="0"/>
            <w:vAlign w:val="center"/>
          </w:tcPr>
          <w:p w14:paraId="6298955C">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w:t>
            </w:r>
            <w:r>
              <w:rPr>
                <w:rFonts w:hint="eastAsia" w:ascii="宋体" w:hAnsi="宋体" w:eastAsia="宋体" w:cs="宋体"/>
                <w:bCs/>
                <w:caps/>
                <w:color w:val="auto"/>
                <w:sz w:val="24"/>
                <w:szCs w:val="24"/>
                <w:highlight w:val="none"/>
                <w:lang w:eastAsia="zh-CN"/>
              </w:rPr>
              <w:t>正反面</w:t>
            </w:r>
            <w:r>
              <w:rPr>
                <w:rFonts w:hint="eastAsia" w:ascii="宋体" w:hAnsi="宋体" w:eastAsia="宋体" w:cs="宋体"/>
                <w:bCs/>
                <w:caps/>
                <w:color w:val="auto"/>
                <w:sz w:val="24"/>
                <w:szCs w:val="24"/>
                <w:highlight w:val="none"/>
              </w:rPr>
              <w:t>复印件</w:t>
            </w:r>
          </w:p>
          <w:p w14:paraId="24299AC5">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p w14:paraId="7ADDC098">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2575" w:type="pct"/>
            <w:gridSpan w:val="3"/>
            <w:noWrap w:val="0"/>
            <w:vAlign w:val="center"/>
          </w:tcPr>
          <w:p w14:paraId="5441B433">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被授权人身份证</w:t>
            </w:r>
            <w:r>
              <w:rPr>
                <w:rFonts w:hint="eastAsia" w:ascii="宋体" w:hAnsi="宋体" w:eastAsia="宋体" w:cs="宋体"/>
                <w:bCs/>
                <w:caps/>
                <w:color w:val="auto"/>
                <w:sz w:val="24"/>
                <w:szCs w:val="24"/>
                <w:highlight w:val="none"/>
                <w:lang w:eastAsia="zh-CN"/>
              </w:rPr>
              <w:t>正反面</w:t>
            </w:r>
            <w:r>
              <w:rPr>
                <w:rFonts w:hint="eastAsia" w:ascii="宋体" w:hAnsi="宋体" w:eastAsia="宋体" w:cs="宋体"/>
                <w:bCs/>
                <w:caps/>
                <w:color w:val="auto"/>
                <w:sz w:val="24"/>
                <w:szCs w:val="24"/>
                <w:highlight w:val="none"/>
              </w:rPr>
              <w:t>复印件</w:t>
            </w:r>
          </w:p>
          <w:p w14:paraId="02C09B2C">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p w14:paraId="7F0B0B1A">
            <w:pPr>
              <w:shd w:val="clea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r>
      <w:tr w14:paraId="6730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000" w:type="pct"/>
            <w:gridSpan w:val="7"/>
            <w:tcBorders>
              <w:bottom w:val="single" w:color="auto" w:sz="4" w:space="0"/>
            </w:tcBorders>
            <w:noWrap w:val="0"/>
            <w:vAlign w:val="center"/>
          </w:tcPr>
          <w:p w14:paraId="2704408B">
            <w:pPr>
              <w:shd w:val="clea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w:t>
            </w:r>
            <w:r>
              <w:rPr>
                <w:rFonts w:hint="eastAsia" w:ascii="宋体" w:hAnsi="宋体" w:eastAsia="宋体" w:cs="宋体"/>
                <w:bCs/>
                <w:caps/>
                <w:color w:val="auto"/>
                <w:sz w:val="24"/>
                <w:szCs w:val="24"/>
                <w:highlight w:val="none"/>
                <w:lang w:eastAsia="zh-CN"/>
              </w:rPr>
              <w:t>及被授权人</w:t>
            </w:r>
            <w:r>
              <w:rPr>
                <w:rFonts w:hint="eastAsia" w:ascii="宋体" w:hAnsi="宋体" w:eastAsia="宋体" w:cs="宋体"/>
                <w:bCs/>
                <w:caps/>
                <w:color w:val="auto"/>
                <w:sz w:val="24"/>
                <w:szCs w:val="24"/>
                <w:highlight w:val="none"/>
              </w:rPr>
              <w:t>签字或盖章：</w:t>
            </w:r>
          </w:p>
        </w:tc>
      </w:tr>
    </w:tbl>
    <w:p w14:paraId="7C67A2D0">
      <w:pPr>
        <w:shd w:val="clear"/>
        <w:autoSpaceDE w:val="0"/>
        <w:autoSpaceDN w:val="0"/>
        <w:adjustRightInd w:val="0"/>
        <w:snapToGri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color w:val="auto"/>
          <w:spacing w:val="4"/>
          <w:sz w:val="24"/>
          <w:szCs w:val="24"/>
          <w:highlight w:val="none"/>
          <w:lang w:val="en-US" w:eastAsia="zh-CN"/>
        </w:rPr>
        <w:t>供应商</w:t>
      </w:r>
      <w:r>
        <w:rPr>
          <w:rFonts w:hint="eastAsia" w:ascii="宋体" w:hAnsi="宋体" w:eastAsia="宋体" w:cs="宋体"/>
          <w:bCs/>
          <w:caps/>
          <w:color w:val="auto"/>
          <w:sz w:val="24"/>
          <w:szCs w:val="24"/>
          <w:highlight w:val="none"/>
        </w:rPr>
        <w:t>名称：</w:t>
      </w:r>
      <w:r>
        <w:rPr>
          <w:rFonts w:hint="eastAsia" w:ascii="宋体" w:hAnsi="宋体" w:eastAsia="宋体" w:cs="宋体"/>
          <w:bCs/>
          <w:caps/>
          <w:color w:val="auto"/>
          <w:sz w:val="24"/>
          <w:szCs w:val="24"/>
          <w:highlight w:val="none"/>
          <w:u w:val="single"/>
        </w:rPr>
        <w:t xml:space="preserve">             </w:t>
      </w:r>
      <w:r>
        <w:rPr>
          <w:rFonts w:hint="eastAsia" w:ascii="宋体" w:hAnsi="宋体" w:eastAsia="宋体" w:cs="宋体"/>
          <w:bCs/>
          <w:caps/>
          <w:color w:val="auto"/>
          <w:sz w:val="24"/>
          <w:szCs w:val="24"/>
          <w:highlight w:val="none"/>
        </w:rPr>
        <w:t>（</w:t>
      </w:r>
      <w:r>
        <w:rPr>
          <w:rFonts w:hint="eastAsia" w:ascii="宋体" w:hAnsi="宋体" w:eastAsia="宋体" w:cs="宋体"/>
          <w:bCs/>
          <w:caps/>
          <w:color w:val="auto"/>
          <w:sz w:val="24"/>
          <w:szCs w:val="24"/>
          <w:highlight w:val="none"/>
          <w:lang w:eastAsia="zh-CN"/>
        </w:rPr>
        <w:t>投标供应商</w:t>
      </w:r>
      <w:r>
        <w:rPr>
          <w:rFonts w:hint="eastAsia" w:ascii="宋体" w:hAnsi="宋体" w:eastAsia="宋体" w:cs="宋体"/>
          <w:bCs/>
          <w:caps/>
          <w:color w:val="auto"/>
          <w:sz w:val="24"/>
          <w:szCs w:val="24"/>
          <w:highlight w:val="none"/>
        </w:rPr>
        <w:t xml:space="preserve">单位公章）     日 期：  </w:t>
      </w:r>
    </w:p>
    <w:p w14:paraId="7F9817E5">
      <w:pPr>
        <w:pStyle w:val="7"/>
        <w:numPr>
          <w:ilvl w:val="0"/>
          <w:numId w:val="0"/>
        </w:numPr>
        <w:shd w:val="clear"/>
        <w:spacing w:line="360" w:lineRule="auto"/>
        <w:jc w:val="both"/>
        <w:outlineLvl w:val="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b w:val="0"/>
          <w:bCs w:val="0"/>
          <w:color w:val="auto"/>
          <w:kern w:val="0"/>
          <w:sz w:val="24"/>
          <w:szCs w:val="24"/>
          <w:highlight w:val="none"/>
          <w:lang w:val="en-US" w:eastAsia="zh-CN" w:bidi="ar-SA"/>
        </w:rPr>
        <w:t>附件三：《中小企业声明函》</w:t>
      </w:r>
    </w:p>
    <w:p w14:paraId="7D8DCC35">
      <w:pPr>
        <w:pStyle w:val="7"/>
        <w:keepNext w:val="0"/>
        <w:keepLines w:val="0"/>
        <w:pageBreakBefore w:val="0"/>
        <w:numPr>
          <w:ilvl w:val="0"/>
          <w:numId w:val="0"/>
        </w:numPr>
        <w:shd w:val="clear"/>
        <w:kinsoku/>
        <w:wordWrap/>
        <w:overflowPunct/>
        <w:topLinePunct w:val="0"/>
        <w:autoSpaceDE/>
        <w:autoSpaceDN/>
        <w:bidi w:val="0"/>
        <w:adjustRightInd/>
        <w:snapToGrid/>
        <w:spacing w:line="312" w:lineRule="auto"/>
        <w:jc w:val="center"/>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kern w:val="2"/>
          <w:sz w:val="24"/>
          <w:szCs w:val="24"/>
          <w:highlight w:val="none"/>
          <w:lang w:val="en-US" w:eastAsia="en-US" w:bidi="ar-SA"/>
        </w:rPr>
        <w:t>中小企业声明函</w:t>
      </w:r>
      <w:r>
        <w:rPr>
          <w:rFonts w:hint="eastAsia" w:ascii="宋体" w:hAnsi="宋体" w:cs="宋体"/>
          <w:b/>
          <w:bCs/>
          <w:color w:val="auto"/>
          <w:kern w:val="2"/>
          <w:sz w:val="24"/>
          <w:szCs w:val="24"/>
          <w:highlight w:val="none"/>
          <w:lang w:val="en-US" w:eastAsia="zh-CN" w:bidi="ar-SA"/>
        </w:rPr>
        <w:t>（工程）</w:t>
      </w:r>
    </w:p>
    <w:p w14:paraId="51F87E16">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 （联合体）参加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F42BC76">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w:t>
      </w:r>
      <w:r>
        <w:rPr>
          <w:rFonts w:hint="eastAsia" w:ascii="宋体" w:hAnsi="宋体" w:eastAsia="宋体" w:cs="宋体"/>
          <w:color w:val="auto"/>
          <w:sz w:val="24"/>
          <w:szCs w:val="24"/>
          <w:highlight w:val="none"/>
          <w:u w:val="single"/>
        </w:rPr>
        <w:t xml:space="preserve"> （标的名称）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 ，属于（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65C6300F">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w:t>
      </w:r>
      <w:r>
        <w:rPr>
          <w:rFonts w:hint="eastAsia" w:ascii="宋体" w:hAnsi="宋体" w:eastAsia="宋体" w:cs="宋体"/>
          <w:color w:val="auto"/>
          <w:sz w:val="24"/>
          <w:szCs w:val="24"/>
          <w:highlight w:val="none"/>
          <w:u w:val="single"/>
        </w:rPr>
        <w:t xml:space="preserve"> （标的名称）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3F5F75DB">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 </w:t>
      </w:r>
    </w:p>
    <w:p w14:paraId="1CBB5E96">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以上企业，不属于大企业的分支机构，不存在控股股东为大企业的情形，也不存在与大企业的负责人为同一人的情形。 </w:t>
      </w:r>
    </w:p>
    <w:p w14:paraId="59816CF8">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本企业对上述声明内容的真实性负责。如有虚假，将依法承担相应责任。 </w:t>
      </w:r>
    </w:p>
    <w:p w14:paraId="50D43604">
      <w:pPr>
        <w:keepNext w:val="0"/>
        <w:keepLines w:val="0"/>
        <w:pageBreakBefore w:val="0"/>
        <w:widowControl w:val="0"/>
        <w:shd w:val="clear"/>
        <w:kinsoku/>
        <w:wordWrap/>
        <w:overflowPunct/>
        <w:topLinePunct w:val="0"/>
        <w:autoSpaceDE/>
        <w:autoSpaceDN/>
        <w:bidi w:val="0"/>
        <w:adjustRightInd/>
        <w:snapToGrid/>
        <w:spacing w:line="312" w:lineRule="auto"/>
        <w:ind w:firstLine="496"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            </w:t>
      </w:r>
    </w:p>
    <w:p w14:paraId="0FC1DEA4">
      <w:pPr>
        <w:keepNext w:val="0"/>
        <w:keepLines w:val="0"/>
        <w:pageBreakBefore w:val="0"/>
        <w:widowControl w:val="0"/>
        <w:shd w:val="clear"/>
        <w:kinsoku/>
        <w:wordWrap/>
        <w:overflowPunct/>
        <w:topLinePunct w:val="0"/>
        <w:autoSpaceDE/>
        <w:autoSpaceDN/>
        <w:bidi w:val="0"/>
        <w:adjustRightInd/>
        <w:snapToGrid/>
        <w:spacing w:before="156" w:beforeLines="50" w:after="156" w:afterLines="50" w:line="312" w:lineRule="auto"/>
        <w:ind w:left="4896" w:hanging="4216" w:hangingChars="17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lang w:val="en-US" w:eastAsia="zh-CN"/>
        </w:rPr>
        <w:t>供应商</w:t>
      </w:r>
      <w:r>
        <w:rPr>
          <w:rFonts w:hint="eastAsia" w:ascii="宋体" w:hAnsi="宋体" w:eastAsia="宋体" w:cs="宋体"/>
          <w:color w:val="auto"/>
          <w:spacing w:val="4"/>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单位公章）</w:t>
      </w:r>
    </w:p>
    <w:p w14:paraId="061FF24F">
      <w:pPr>
        <w:keepNext w:val="0"/>
        <w:keepLines w:val="0"/>
        <w:pageBreakBefore w:val="0"/>
        <w:widowControl w:val="0"/>
        <w:shd w:val="clear"/>
        <w:kinsoku/>
        <w:wordWrap/>
        <w:overflowPunct/>
        <w:topLinePunct w:val="0"/>
        <w:autoSpaceDE/>
        <w:autoSpaceDN/>
        <w:bidi w:val="0"/>
        <w:adjustRightInd/>
        <w:snapToGrid/>
        <w:spacing w:before="156" w:beforeLines="50" w:after="156" w:afterLines="50" w:line="312" w:lineRule="auto"/>
        <w:ind w:firstLine="3360" w:firstLineChars="14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    年   月   日</w:t>
      </w:r>
    </w:p>
    <w:p w14:paraId="2C8A7252">
      <w:pPr>
        <w:pStyle w:val="45"/>
        <w:keepNext w:val="0"/>
        <w:keepLines w:val="0"/>
        <w:pageBreakBefore w:val="0"/>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color w:val="auto"/>
          <w:sz w:val="24"/>
          <w:szCs w:val="24"/>
          <w:highlight w:val="none"/>
          <w:lang w:val="en-US" w:eastAsia="zh-CN"/>
        </w:rPr>
      </w:pPr>
    </w:p>
    <w:p w14:paraId="03BC50D3">
      <w:pPr>
        <w:pStyle w:val="45"/>
        <w:keepNext w:val="0"/>
        <w:keepLines w:val="0"/>
        <w:pageBreakBefore w:val="0"/>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备注：</w:t>
      </w:r>
    </w:p>
    <w:p w14:paraId="665D8882">
      <w:pPr>
        <w:pStyle w:val="45"/>
        <w:keepNext w:val="0"/>
        <w:keepLines w:val="0"/>
        <w:pageBreakBefore w:val="0"/>
        <w:widowControl/>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1.从业人员、营业收入、资产总额填报上一年度数据，无上一年度数据的新成立企业可不填报。</w:t>
      </w:r>
    </w:p>
    <w:p w14:paraId="7371C4F9">
      <w:pPr>
        <w:pStyle w:val="45"/>
        <w:keepNext w:val="0"/>
        <w:keepLines w:val="0"/>
        <w:pageBreakBefore w:val="0"/>
        <w:widowControl/>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2.填写前请认真阅读《工业和信息化部　国家统计局　国家发展和改革委员会　财政部关于印发中小企业划型标准规定的通知》(工信部联企业〔2011〕300号)和《财政部、工业和信息化部关于印发〈政府采购促进中小企业发展管理办法〉的通知》（财库﹝2020﹞46 号）相关规定。</w:t>
      </w:r>
    </w:p>
    <w:p w14:paraId="78971191">
      <w:pPr>
        <w:pStyle w:val="45"/>
        <w:keepNext w:val="0"/>
        <w:keepLines w:val="0"/>
        <w:pageBreakBefore w:val="0"/>
        <w:widowControl/>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3.本项目采购标的对应的中小企业划分标准所属行业为建筑业。（所属行业类别供应商不得更改，否则，造成不利影响供应商自行承担）</w:t>
      </w:r>
    </w:p>
    <w:p w14:paraId="22D8C44E">
      <w:pPr>
        <w:shd w:val="clear"/>
        <w:jc w:val="both"/>
        <w:outlineLvl w:val="9"/>
        <w:rPr>
          <w:rFonts w:hint="eastAsia" w:ascii="宋体" w:hAnsi="宋体" w:eastAsia="宋体" w:cs="宋体"/>
          <w:b/>
          <w:color w:val="auto"/>
          <w:sz w:val="32"/>
          <w:szCs w:val="28"/>
          <w:highlight w:val="none"/>
          <w:lang w:eastAsia="zh-CN"/>
        </w:rPr>
      </w:pPr>
    </w:p>
    <w:p w14:paraId="0CA611CE">
      <w:pPr>
        <w:shd w:val="clear"/>
        <w:jc w:val="both"/>
        <w:outlineLvl w:val="1"/>
        <w:rPr>
          <w:rFonts w:hint="eastAsia" w:ascii="宋体" w:hAnsi="宋体" w:eastAsia="宋体" w:cs="宋体"/>
          <w:b/>
          <w:color w:val="auto"/>
          <w:sz w:val="32"/>
          <w:szCs w:val="28"/>
          <w:highlight w:val="none"/>
          <w:lang w:eastAsia="zh-CN"/>
        </w:rPr>
      </w:pPr>
      <w:r>
        <w:rPr>
          <w:rFonts w:hint="eastAsia" w:ascii="宋体" w:hAnsi="宋体" w:eastAsia="宋体" w:cs="宋体"/>
          <w:b/>
          <w:color w:val="auto"/>
          <w:sz w:val="32"/>
          <w:szCs w:val="28"/>
          <w:highlight w:val="none"/>
          <w:lang w:eastAsia="zh-CN"/>
        </w:rPr>
        <w:t>三、符合性证明文件</w:t>
      </w:r>
    </w:p>
    <w:p w14:paraId="3D1AA1C0">
      <w:pPr>
        <w:shd w:val="clear"/>
        <w:spacing w:line="360" w:lineRule="auto"/>
        <w:jc w:val="both"/>
        <w:outlineLvl w:val="9"/>
        <w:rPr>
          <w:rFonts w:hint="eastAsia" w:ascii="宋体" w:hAnsi="宋体" w:eastAsia="宋体" w:cs="宋体"/>
          <w:b/>
          <w:bCs/>
          <w:color w:val="auto"/>
          <w:sz w:val="16"/>
          <w:szCs w:val="16"/>
          <w:highlight w:val="none"/>
          <w:lang w:val="en-US" w:eastAsia="zh-CN"/>
        </w:rPr>
      </w:pPr>
    </w:p>
    <w:p w14:paraId="42C3ACBA">
      <w:pPr>
        <w:shd w:val="clear"/>
        <w:spacing w:line="360" w:lineRule="auto"/>
        <w:jc w:val="both"/>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1、响应</w:t>
      </w:r>
      <w:r>
        <w:rPr>
          <w:rFonts w:hint="eastAsia" w:ascii="宋体" w:hAnsi="宋体" w:eastAsia="宋体" w:cs="宋体"/>
          <w:b/>
          <w:bCs/>
          <w:color w:val="auto"/>
          <w:sz w:val="32"/>
          <w:szCs w:val="32"/>
          <w:highlight w:val="none"/>
        </w:rPr>
        <w:t>函</w:t>
      </w:r>
    </w:p>
    <w:p w14:paraId="10B2D197">
      <w:pPr>
        <w:shd w:val="clea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bookmarkStart w:id="81" w:name="_Hlt520355938"/>
      <w:bookmarkEnd w:id="81"/>
      <w:bookmarkStart w:id="82" w:name="_Hlt520356243"/>
      <w:bookmarkEnd w:id="82"/>
      <w:r>
        <w:rPr>
          <w:rFonts w:hint="eastAsia" w:ascii="宋体" w:hAnsi="宋体" w:cs="宋体"/>
          <w:color w:val="auto"/>
          <w:sz w:val="24"/>
          <w:highlight w:val="none"/>
          <w:lang w:eastAsia="zh-CN"/>
        </w:rPr>
        <w:t>华睿诚项目管理有限公司</w:t>
      </w:r>
    </w:p>
    <w:p w14:paraId="1382E70E">
      <w:pPr>
        <w:shd w:val="clear"/>
        <w:tabs>
          <w:tab w:val="left" w:pos="3500"/>
          <w:tab w:val="left" w:pos="3700"/>
        </w:tabs>
        <w:spacing w:line="360" w:lineRule="auto"/>
        <w:ind w:firstLine="480" w:firstLineChars="200"/>
        <w:outlineLvl w:val="9"/>
        <w:rPr>
          <w:rFonts w:hint="eastAsia" w:ascii="宋体" w:hAnsi="宋体" w:eastAsia="宋体" w:cs="宋体"/>
          <w:bCs/>
          <w:color w:val="auto"/>
          <w:sz w:val="24"/>
          <w:highlight w:val="none"/>
        </w:rPr>
      </w:pPr>
      <w:bookmarkStart w:id="83" w:name="_Toc403027470"/>
      <w:bookmarkStart w:id="84" w:name="_Toc7447441"/>
      <w:r>
        <w:rPr>
          <w:rFonts w:hint="eastAsia" w:ascii="宋体" w:hAnsi="宋体" w:eastAsia="宋体" w:cs="宋体"/>
          <w:bCs/>
          <w:color w:val="auto"/>
          <w:sz w:val="24"/>
          <w:highlight w:val="none"/>
        </w:rPr>
        <w:t>1、我方具备本项目竞争性磋商文件中规定的资格条件。</w:t>
      </w:r>
    </w:p>
    <w:p w14:paraId="612BC2C4">
      <w:pPr>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2、根据你方出售的</w:t>
      </w:r>
      <w:r>
        <w:rPr>
          <w:rFonts w:hint="eastAsia" w:ascii="宋体" w:hAnsi="宋体" w:eastAsia="宋体" w:cs="宋体"/>
          <w:b/>
          <w:color w:val="auto"/>
          <w:sz w:val="24"/>
          <w:highlight w:val="none"/>
          <w:u w:val="single"/>
        </w:rPr>
        <w:t xml:space="preserve">           </w:t>
      </w:r>
      <w:r>
        <w:rPr>
          <w:rFonts w:hint="eastAsia" w:ascii="宋体" w:hAnsi="宋体" w:eastAsia="宋体" w:cs="宋体"/>
          <w:color w:val="auto"/>
          <w:sz w:val="24"/>
          <w:highlight w:val="none"/>
        </w:rPr>
        <w:t>项目竞争性磋商文件，经研究上述竞争性磋商响应文件的磋商须知、合同条款、图纸、工程建设标准、工程量清单和答疑纪要及其它有关文件后，我方愿以(大写)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人民币（RMB￥</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元）的磋商报价承包上述工程的施工、竣工，并承担任何质量缺陷保修责任。</w:t>
      </w:r>
    </w:p>
    <w:p w14:paraId="66981534">
      <w:pPr>
        <w:shd w:val="clear"/>
        <w:spacing w:line="360" w:lineRule="auto"/>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3、我方已详细审阅全部磋商响应文件，确认无误。提交磋商响应</w:t>
      </w:r>
      <w:r>
        <w:rPr>
          <w:rFonts w:hint="eastAsia" w:ascii="宋体" w:hAnsi="宋体" w:eastAsia="宋体" w:cs="宋体"/>
          <w:color w:val="auto"/>
          <w:sz w:val="24"/>
          <w:highlight w:val="none"/>
          <w:lang w:eastAsia="zh-CN"/>
        </w:rPr>
        <w:t>文件电子版</w:t>
      </w:r>
      <w:r>
        <w:rPr>
          <w:rFonts w:hint="eastAsia" w:ascii="宋体" w:hAnsi="宋体" w:eastAsia="宋体" w:cs="宋体"/>
          <w:color w:val="auto"/>
          <w:sz w:val="24"/>
          <w:highlight w:val="none"/>
          <w:lang w:val="en-US" w:eastAsia="zh-CN"/>
        </w:rPr>
        <w:t>一</w:t>
      </w:r>
      <w:r>
        <w:rPr>
          <w:rFonts w:hint="eastAsia" w:ascii="宋体" w:hAnsi="宋体" w:eastAsia="宋体" w:cs="宋体"/>
          <w:color w:val="auto"/>
          <w:sz w:val="24"/>
          <w:highlight w:val="none"/>
          <w:lang w:eastAsia="zh-CN"/>
        </w:rPr>
        <w:t>份。</w:t>
      </w:r>
    </w:p>
    <w:p w14:paraId="778540AD">
      <w:pPr>
        <w:shd w:val="clea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4、我方保证上述磋商报价不低于我单位工程施工的成本价。</w:t>
      </w:r>
    </w:p>
    <w:p w14:paraId="4A984765">
      <w:pPr>
        <w:shd w:val="clea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pacing w:val="-4"/>
          <w:sz w:val="24"/>
          <w:highlight w:val="none"/>
        </w:rPr>
        <w:t>若我方成交，我方保证按磋商工期</w:t>
      </w:r>
      <w:r>
        <w:rPr>
          <w:rFonts w:hint="eastAsia" w:ascii="宋体" w:hAnsi="宋体" w:eastAsia="宋体" w:cs="宋体"/>
          <w:color w:val="auto"/>
          <w:spacing w:val="-4"/>
          <w:sz w:val="24"/>
          <w:highlight w:val="none"/>
          <w:u w:val="single"/>
        </w:rPr>
        <w:t xml:space="preserve">       </w:t>
      </w:r>
      <w:r>
        <w:rPr>
          <w:rFonts w:hint="eastAsia" w:ascii="宋体" w:hAnsi="宋体" w:eastAsia="宋体" w:cs="宋体"/>
          <w:color w:val="auto"/>
          <w:spacing w:val="-4"/>
          <w:sz w:val="24"/>
          <w:highlight w:val="none"/>
        </w:rPr>
        <w:t>日历天。</w:t>
      </w:r>
    </w:p>
    <w:p w14:paraId="333A1443">
      <w:pPr>
        <w:shd w:val="clear"/>
        <w:spacing w:line="54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pacing w:val="-4"/>
          <w:sz w:val="24"/>
          <w:highlight w:val="none"/>
        </w:rPr>
        <w:t>若我方成交</w:t>
      </w:r>
      <w:r>
        <w:rPr>
          <w:rFonts w:hint="eastAsia" w:ascii="宋体" w:hAnsi="宋体" w:eastAsia="宋体" w:cs="宋体"/>
          <w:color w:val="auto"/>
          <w:sz w:val="24"/>
          <w:highlight w:val="none"/>
        </w:rPr>
        <w:t>，我方保证工程质量</w:t>
      </w:r>
      <w:r>
        <w:rPr>
          <w:rFonts w:hint="eastAsia" w:ascii="宋体" w:hAnsi="宋体" w:eastAsia="宋体" w:cs="宋体"/>
          <w:color w:val="auto"/>
          <w:sz w:val="24"/>
          <w:highlight w:val="none"/>
          <w:lang w:eastAsia="zh-CN"/>
        </w:rPr>
        <w:t>标准</w:t>
      </w:r>
      <w:r>
        <w:rPr>
          <w:rFonts w:hint="eastAsia" w:ascii="宋体" w:hAnsi="宋体" w:eastAsia="宋体" w:cs="宋体"/>
          <w:color w:val="auto"/>
          <w:sz w:val="24"/>
          <w:highlight w:val="none"/>
        </w:rPr>
        <w:t>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。本工程项目经理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A0AF52D">
      <w:pPr>
        <w:shd w:val="clear"/>
        <w:spacing w:line="54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7、若我方成交，我方保证安全文明施工达到文明工地标准。</w:t>
      </w:r>
    </w:p>
    <w:p w14:paraId="40BFDAA9">
      <w:pPr>
        <w:shd w:val="clear"/>
        <w:spacing w:line="54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r>
        <w:rPr>
          <w:rFonts w:hint="eastAsia" w:ascii="宋体" w:hAnsi="宋体" w:eastAsia="宋体" w:cs="宋体"/>
          <w:bCs/>
          <w:caps/>
          <w:color w:val="auto"/>
          <w:sz w:val="24"/>
          <w:highlight w:val="none"/>
        </w:rPr>
        <w:t>磋商有效期为自提交磋商响应文件的截止之日起90个日历日。</w:t>
      </w:r>
    </w:p>
    <w:p w14:paraId="3173E5A4">
      <w:pPr>
        <w:shd w:val="clea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9、在合同协议书正式签署生效之前，你方的竞争性磋商文件、答疑纪要、成交通知书和本竞争性磋商响应文件</w:t>
      </w:r>
      <w:r>
        <w:rPr>
          <w:rFonts w:hint="eastAsia" w:ascii="宋体" w:hAnsi="宋体" w:eastAsia="宋体" w:cs="宋体"/>
          <w:color w:val="auto"/>
          <w:spacing w:val="-6"/>
          <w:sz w:val="24"/>
          <w:highlight w:val="none"/>
        </w:rPr>
        <w:t>将构成我们约束双方之间共同遵守的文件，对双方具有约束力。</w:t>
      </w:r>
    </w:p>
    <w:p w14:paraId="3DF9A10C">
      <w:pPr>
        <w:shd w:val="clea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10、</w:t>
      </w:r>
      <w:r>
        <w:rPr>
          <w:rFonts w:hint="eastAsia" w:ascii="宋体" w:hAnsi="宋体" w:eastAsia="宋体" w:cs="宋体"/>
          <w:color w:val="auto"/>
          <w:spacing w:val="-16"/>
          <w:sz w:val="24"/>
          <w:highlight w:val="none"/>
        </w:rPr>
        <w:t>我方已提交了</w:t>
      </w:r>
      <w:r>
        <w:rPr>
          <w:rFonts w:hint="eastAsia" w:ascii="宋体" w:hAnsi="宋体" w:eastAsia="宋体" w:cs="宋体"/>
          <w:color w:val="auto"/>
          <w:spacing w:val="-16"/>
          <w:sz w:val="24"/>
          <w:highlight w:val="none"/>
          <w:u w:val="single"/>
        </w:rPr>
        <w:t xml:space="preserve">          </w:t>
      </w:r>
      <w:r>
        <w:rPr>
          <w:rFonts w:hint="eastAsia" w:ascii="宋体" w:hAnsi="宋体" w:eastAsia="宋体" w:cs="宋体"/>
          <w:color w:val="auto"/>
          <w:spacing w:val="-16"/>
          <w:sz w:val="24"/>
          <w:highlight w:val="none"/>
        </w:rPr>
        <w:t>元人民币作为磋商保证金。</w:t>
      </w:r>
    </w:p>
    <w:p w14:paraId="59F65CD3">
      <w:pPr>
        <w:shd w:val="clea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11、我方理解你方不负担我们的任何</w:t>
      </w:r>
      <w:r>
        <w:rPr>
          <w:rFonts w:hint="eastAsia" w:ascii="宋体" w:hAnsi="宋体" w:eastAsia="宋体" w:cs="宋体"/>
          <w:color w:val="auto"/>
          <w:spacing w:val="-16"/>
          <w:sz w:val="24"/>
          <w:highlight w:val="none"/>
        </w:rPr>
        <w:t>磋商</w:t>
      </w:r>
      <w:r>
        <w:rPr>
          <w:rFonts w:hint="eastAsia" w:ascii="宋体" w:hAnsi="宋体" w:eastAsia="宋体" w:cs="宋体"/>
          <w:color w:val="auto"/>
          <w:sz w:val="24"/>
          <w:highlight w:val="none"/>
        </w:rPr>
        <w:t>费用，我方不要求你方对未成交原因作任何解释，也不退回竞争性磋商响应文件。</w:t>
      </w:r>
    </w:p>
    <w:p w14:paraId="432F5297">
      <w:pPr>
        <w:shd w:val="clear"/>
        <w:spacing w:line="540" w:lineRule="exact"/>
        <w:ind w:firstLine="400" w:firstLineChars="200"/>
        <w:outlineLvl w:val="9"/>
        <w:rPr>
          <w:rFonts w:hint="eastAsia" w:ascii="宋体" w:hAnsi="宋体" w:eastAsia="宋体" w:cs="宋体"/>
          <w:color w:val="auto"/>
          <w:sz w:val="24"/>
          <w:highlight w:val="none"/>
        </w:rPr>
      </w:pPr>
      <w:r>
        <w:rPr>
          <w:rFonts w:hint="eastAsia" w:ascii="宋体" w:hAnsi="宋体" w:eastAsia="宋体" w:cs="宋体"/>
          <w:color w:val="auto"/>
          <w:spacing w:val="-20"/>
          <w:sz w:val="24"/>
          <w:highlight w:val="none"/>
        </w:rPr>
        <w:t>注</w:t>
      </w:r>
      <w:r>
        <w:rPr>
          <w:rFonts w:hint="eastAsia" w:ascii="宋体" w:hAnsi="宋体" w:eastAsia="宋体" w:cs="宋体"/>
          <w:color w:val="auto"/>
          <w:sz w:val="24"/>
          <w:highlight w:val="none"/>
        </w:rPr>
        <w:t>：磋商报价应与清单的报价汇总表数字一致。精确到元.角.分。</w:t>
      </w:r>
    </w:p>
    <w:p w14:paraId="14F0090D">
      <w:pPr>
        <w:shd w:val="clear"/>
        <w:spacing w:line="360" w:lineRule="auto"/>
        <w:ind w:firstLine="1200" w:firstLineChars="5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应  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（盖章）   </w:t>
      </w:r>
    </w:p>
    <w:p w14:paraId="2EBC6B26">
      <w:pPr>
        <w:shd w:val="clear"/>
        <w:spacing w:line="360" w:lineRule="auto"/>
        <w:ind w:firstLine="1200" w:firstLineChars="5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单 位 地 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val="en-US" w:eastAsia="zh-CN"/>
        </w:rPr>
        <w:t xml:space="preserve">   </w:t>
      </w:r>
    </w:p>
    <w:p w14:paraId="25489EF8">
      <w:pPr>
        <w:shd w:val="clear"/>
        <w:spacing w:line="360" w:lineRule="auto"/>
        <w:ind w:firstLine="1200" w:firstLineChars="500"/>
        <w:outlineLvl w:val="9"/>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法定代表人或被授权人：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（签字或盖章）</w:t>
      </w:r>
    </w:p>
    <w:p w14:paraId="6CDFDD13">
      <w:pPr>
        <w:shd w:val="clear"/>
        <w:spacing w:line="360" w:lineRule="auto"/>
        <w:ind w:firstLine="1200" w:firstLineChars="5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电</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话：</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 xml:space="preserve"> </w:t>
      </w:r>
    </w:p>
    <w:p w14:paraId="090EADF0">
      <w:pPr>
        <w:shd w:val="clear"/>
        <w:spacing w:line="360" w:lineRule="auto"/>
        <w:ind w:firstLine="1200" w:firstLineChars="500"/>
        <w:outlineLvl w:val="9"/>
        <w:rPr>
          <w:rFonts w:hint="eastAsia" w:ascii="宋体" w:hAnsi="宋体" w:eastAsia="宋体" w:cs="宋体"/>
          <w:bCs/>
          <w:caps/>
          <w:color w:val="auto"/>
          <w:sz w:val="24"/>
          <w:szCs w:val="24"/>
          <w:highlight w:val="none"/>
        </w:rPr>
      </w:pPr>
      <w:r>
        <w:rPr>
          <w:rFonts w:hint="eastAsia" w:ascii="宋体" w:hAnsi="宋体" w:eastAsia="宋体" w:cs="宋体"/>
          <w:color w:val="auto"/>
          <w:sz w:val="24"/>
          <w:highlight w:val="none"/>
        </w:rPr>
        <w:t xml:space="preserve">日       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年  </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 xml:space="preserve"> 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r>
        <w:rPr>
          <w:rFonts w:hint="eastAsia" w:ascii="宋体" w:hAnsi="宋体" w:eastAsia="宋体" w:cs="宋体"/>
          <w:b/>
          <w:bCs/>
          <w:color w:val="auto"/>
          <w:sz w:val="28"/>
          <w:szCs w:val="28"/>
          <w:highlight w:val="none"/>
          <w:lang w:eastAsia="zh-CN"/>
        </w:rPr>
        <w:br w:type="page"/>
      </w:r>
      <w:bookmarkEnd w:id="83"/>
      <w:bookmarkEnd w:id="84"/>
    </w:p>
    <w:p w14:paraId="594C4C9E">
      <w:pPr>
        <w:shd w:val="clear"/>
        <w:jc w:val="both"/>
        <w:outlineLvl w:val="2"/>
        <w:rPr>
          <w:rFonts w:hint="eastAsia" w:ascii="宋体" w:hAnsi="宋体" w:eastAsia="宋体" w:cs="宋体"/>
          <w:b/>
          <w:bCs/>
          <w:color w:val="auto"/>
          <w:sz w:val="28"/>
          <w:szCs w:val="28"/>
          <w:highlight w:val="none"/>
        </w:rPr>
      </w:pPr>
      <w:bookmarkStart w:id="85" w:name="_Toc7447442"/>
      <w:r>
        <w:rPr>
          <w:rFonts w:hint="eastAsia" w:ascii="宋体" w:hAnsi="宋体" w:eastAsia="宋体" w:cs="宋体"/>
          <w:b/>
          <w:bCs/>
          <w:color w:val="auto"/>
          <w:sz w:val="28"/>
          <w:szCs w:val="28"/>
          <w:highlight w:val="none"/>
          <w:lang w:val="en-US" w:eastAsia="zh-CN"/>
        </w:rPr>
        <w:t>2、第一次磋商报价表</w:t>
      </w:r>
      <w:r>
        <w:rPr>
          <w:rFonts w:hint="eastAsia" w:ascii="宋体" w:hAnsi="宋体" w:eastAsia="宋体" w:cs="宋体"/>
          <w:b/>
          <w:bCs/>
          <w:color w:val="auto"/>
          <w:sz w:val="28"/>
          <w:szCs w:val="28"/>
          <w:highlight w:val="none"/>
        </w:rPr>
        <w:t xml:space="preserve"> </w:t>
      </w:r>
      <w:bookmarkEnd w:id="85"/>
    </w:p>
    <w:p w14:paraId="273871AC">
      <w:pPr>
        <w:pStyle w:val="13"/>
        <w:shd w:val="clear"/>
        <w:spacing w:line="360" w:lineRule="auto"/>
        <w:outlineLvl w:val="9"/>
        <w:rPr>
          <w:rFonts w:hint="eastAsia" w:ascii="宋体" w:hAnsi="宋体" w:eastAsia="宋体" w:cs="宋体"/>
          <w:color w:val="auto"/>
          <w:sz w:val="24"/>
          <w:highlight w:val="none"/>
        </w:rPr>
      </w:pPr>
    </w:p>
    <w:p w14:paraId="44C702C5">
      <w:pPr>
        <w:pStyle w:val="13"/>
        <w:shd w:val="clear"/>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采购编号：</w:t>
      </w:r>
      <w:r>
        <w:rPr>
          <w:rFonts w:hint="eastAsia" w:ascii="宋体" w:hAnsi="宋体" w:eastAsia="宋体" w:cs="宋体"/>
          <w:color w:val="auto"/>
          <w:sz w:val="24"/>
          <w:highlight w:val="none"/>
          <w:u w:val="single"/>
          <w:lang w:eastAsia="zh-CN"/>
        </w:rPr>
        <w:t xml:space="preserve">                          </w:t>
      </w:r>
    </w:p>
    <w:p w14:paraId="1A376C55">
      <w:pPr>
        <w:pStyle w:val="13"/>
        <w:shd w:val="clear"/>
        <w:spacing w:line="360" w:lineRule="auto"/>
        <w:outlineLvl w:val="9"/>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31D69D94">
      <w:pPr>
        <w:shd w:val="clear"/>
        <w:spacing w:line="360" w:lineRule="auto"/>
        <w:jc w:val="right"/>
        <w:outlineLvl w:val="9"/>
        <w:rPr>
          <w:rFonts w:hint="eastAsia" w:ascii="宋体" w:hAnsi="宋体" w:eastAsia="宋体" w:cs="宋体"/>
          <w:bCs/>
          <w:color w:val="auto"/>
          <w:kern w:val="2"/>
          <w:sz w:val="32"/>
          <w:szCs w:val="32"/>
          <w:highlight w:val="none"/>
        </w:rPr>
      </w:pPr>
      <w:r>
        <w:rPr>
          <w:rFonts w:hint="eastAsia" w:ascii="宋体" w:hAnsi="宋体" w:eastAsia="宋体" w:cs="宋体"/>
          <w:color w:val="auto"/>
          <w:sz w:val="24"/>
          <w:highlight w:val="none"/>
        </w:rPr>
        <w:t>单位 ：元（保留小数点后两位）</w:t>
      </w:r>
    </w:p>
    <w:tbl>
      <w:tblPr>
        <w:tblStyle w:val="26"/>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7060"/>
      </w:tblGrid>
      <w:tr w14:paraId="12DA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2245" w:type="dxa"/>
            <w:noWrap w:val="0"/>
            <w:vAlign w:val="top"/>
          </w:tcPr>
          <w:p w14:paraId="625C8BE3">
            <w:pPr>
              <w:pStyle w:val="50"/>
              <w:shd w:val="clear"/>
              <w:tabs>
                <w:tab w:val="left" w:pos="1860"/>
                <w:tab w:val="center" w:pos="4680"/>
              </w:tabs>
              <w:spacing w:line="540" w:lineRule="exac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磋商总价</w:t>
            </w:r>
          </w:p>
          <w:p w14:paraId="5296E072">
            <w:pPr>
              <w:pStyle w:val="50"/>
              <w:shd w:val="clear"/>
              <w:tabs>
                <w:tab w:val="left" w:pos="1860"/>
                <w:tab w:val="center" w:pos="4680"/>
              </w:tabs>
              <w:spacing w:line="540" w:lineRule="exact"/>
              <w:outlineLvl w:val="9"/>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（人民币:元）</w:t>
            </w:r>
          </w:p>
        </w:tc>
        <w:tc>
          <w:tcPr>
            <w:tcW w:w="7060" w:type="dxa"/>
            <w:noWrap w:val="0"/>
            <w:vAlign w:val="top"/>
          </w:tcPr>
          <w:p w14:paraId="3CFB5768">
            <w:pPr>
              <w:pStyle w:val="50"/>
              <w:shd w:val="clear"/>
              <w:tabs>
                <w:tab w:val="left" w:pos="1860"/>
                <w:tab w:val="center" w:pos="4680"/>
              </w:tabs>
              <w:spacing w:line="540" w:lineRule="exact"/>
              <w:jc w:val="both"/>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大  写：</w:t>
            </w:r>
          </w:p>
          <w:p w14:paraId="370D312F">
            <w:pPr>
              <w:pStyle w:val="50"/>
              <w:shd w:val="clear"/>
              <w:tabs>
                <w:tab w:val="left" w:pos="1860"/>
                <w:tab w:val="center" w:pos="4680"/>
              </w:tabs>
              <w:spacing w:line="540" w:lineRule="exact"/>
              <w:jc w:val="both"/>
              <w:outlineLvl w:val="9"/>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小  写：</w:t>
            </w:r>
          </w:p>
        </w:tc>
      </w:tr>
      <w:tr w14:paraId="7EA4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2245" w:type="dxa"/>
            <w:noWrap w:val="0"/>
            <w:vAlign w:val="top"/>
          </w:tcPr>
          <w:p w14:paraId="19D5B15C">
            <w:pPr>
              <w:pStyle w:val="50"/>
              <w:shd w:val="clear"/>
              <w:tabs>
                <w:tab w:val="left" w:pos="1860"/>
                <w:tab w:val="center" w:pos="4680"/>
              </w:tabs>
              <w:spacing w:line="540" w:lineRule="exac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工期</w:t>
            </w:r>
          </w:p>
          <w:p w14:paraId="179E28AC">
            <w:pPr>
              <w:pStyle w:val="50"/>
              <w:shd w:val="clear"/>
              <w:tabs>
                <w:tab w:val="left" w:pos="1860"/>
                <w:tab w:val="center" w:pos="4680"/>
              </w:tabs>
              <w:spacing w:line="540" w:lineRule="exac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（日历</w:t>
            </w:r>
            <w:r>
              <w:rPr>
                <w:rFonts w:hint="eastAsia" w:ascii="宋体" w:hAnsi="宋体" w:eastAsia="宋体" w:cs="宋体"/>
                <w:b w:val="0"/>
                <w:color w:val="auto"/>
                <w:sz w:val="24"/>
                <w:szCs w:val="24"/>
                <w:highlight w:val="none"/>
                <w:lang w:eastAsia="zh-CN"/>
              </w:rPr>
              <w:t>天</w:t>
            </w:r>
            <w:r>
              <w:rPr>
                <w:rFonts w:hint="eastAsia" w:ascii="宋体" w:hAnsi="宋体" w:eastAsia="宋体" w:cs="宋体"/>
                <w:b w:val="0"/>
                <w:color w:val="auto"/>
                <w:sz w:val="24"/>
                <w:szCs w:val="24"/>
                <w:highlight w:val="none"/>
              </w:rPr>
              <w:t>）</w:t>
            </w:r>
          </w:p>
        </w:tc>
        <w:tc>
          <w:tcPr>
            <w:tcW w:w="7060" w:type="dxa"/>
            <w:noWrap w:val="0"/>
            <w:vAlign w:val="top"/>
          </w:tcPr>
          <w:p w14:paraId="347DDF77">
            <w:pPr>
              <w:pStyle w:val="50"/>
              <w:shd w:val="clear"/>
              <w:tabs>
                <w:tab w:val="left" w:pos="1860"/>
                <w:tab w:val="center" w:pos="4680"/>
              </w:tabs>
              <w:spacing w:line="540" w:lineRule="exact"/>
              <w:jc w:val="both"/>
              <w:outlineLvl w:val="9"/>
              <w:rPr>
                <w:rFonts w:hint="eastAsia" w:ascii="宋体" w:hAnsi="宋体" w:eastAsia="宋体" w:cs="宋体"/>
                <w:color w:val="auto"/>
                <w:sz w:val="24"/>
                <w:szCs w:val="24"/>
                <w:highlight w:val="none"/>
              </w:rPr>
            </w:pPr>
          </w:p>
        </w:tc>
      </w:tr>
      <w:tr w14:paraId="15D4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45" w:type="dxa"/>
            <w:noWrap w:val="0"/>
            <w:vAlign w:val="top"/>
          </w:tcPr>
          <w:p w14:paraId="3E87B8B0">
            <w:pPr>
              <w:pStyle w:val="50"/>
              <w:shd w:val="clear"/>
              <w:tabs>
                <w:tab w:val="left" w:pos="1860"/>
                <w:tab w:val="center" w:pos="4680"/>
              </w:tabs>
              <w:spacing w:line="540" w:lineRule="exac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项目经理</w:t>
            </w:r>
          </w:p>
        </w:tc>
        <w:tc>
          <w:tcPr>
            <w:tcW w:w="7060" w:type="dxa"/>
            <w:noWrap w:val="0"/>
            <w:vAlign w:val="top"/>
          </w:tcPr>
          <w:p w14:paraId="63777053">
            <w:pPr>
              <w:pStyle w:val="50"/>
              <w:shd w:val="clear"/>
              <w:tabs>
                <w:tab w:val="left" w:pos="1860"/>
                <w:tab w:val="center" w:pos="4680"/>
              </w:tabs>
              <w:spacing w:line="540" w:lineRule="exact"/>
              <w:jc w:val="both"/>
              <w:outlineLvl w:val="9"/>
              <w:rPr>
                <w:rFonts w:hint="eastAsia" w:ascii="宋体" w:hAnsi="宋体" w:eastAsia="宋体" w:cs="宋体"/>
                <w:color w:val="auto"/>
                <w:sz w:val="24"/>
                <w:szCs w:val="24"/>
                <w:highlight w:val="none"/>
              </w:rPr>
            </w:pPr>
          </w:p>
        </w:tc>
      </w:tr>
      <w:tr w14:paraId="4EA5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9305" w:type="dxa"/>
            <w:gridSpan w:val="2"/>
            <w:noWrap w:val="0"/>
            <w:vAlign w:val="top"/>
          </w:tcPr>
          <w:p w14:paraId="4F3EA2F7">
            <w:pPr>
              <w:pStyle w:val="50"/>
              <w:shd w:val="clear"/>
              <w:tabs>
                <w:tab w:val="left" w:pos="1860"/>
                <w:tab w:val="center" w:pos="4680"/>
              </w:tabs>
              <w:spacing w:line="540" w:lineRule="exact"/>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i w:val="0"/>
                <w:color w:val="auto"/>
                <w:kern w:val="0"/>
                <w:sz w:val="24"/>
                <w:szCs w:val="24"/>
                <w:highlight w:val="none"/>
                <w:u w:val="none"/>
                <w:lang w:val="en-US" w:eastAsia="zh-CN" w:bidi="ar"/>
              </w:rPr>
              <w:t>备注：</w:t>
            </w:r>
            <w:r>
              <w:rPr>
                <w:rFonts w:hint="eastAsia" w:ascii="宋体" w:hAnsi="宋体" w:eastAsia="宋体" w:cs="宋体"/>
                <w:b/>
                <w:bCs/>
                <w:color w:val="auto"/>
                <w:kern w:val="2"/>
                <w:sz w:val="24"/>
                <w:szCs w:val="24"/>
                <w:lang w:val="en-US" w:eastAsia="zh-CN" w:bidi="ar-SA"/>
              </w:rPr>
              <w:t>磋商报价应是竞争性磋商响应文件所确定的磋商范围内的全部工作内容的价格体现，包括本项目所涉及的人员、</w:t>
            </w:r>
            <w:r>
              <w:rPr>
                <w:rFonts w:hint="eastAsia" w:hAnsi="宋体" w:cs="宋体"/>
                <w:b/>
                <w:bCs/>
                <w:color w:val="auto"/>
                <w:kern w:val="2"/>
                <w:sz w:val="24"/>
                <w:szCs w:val="24"/>
                <w:lang w:val="en-US" w:eastAsia="zh-CN" w:bidi="ar-SA"/>
              </w:rPr>
              <w:t>材料、税金、施工、机械、利润</w:t>
            </w:r>
            <w:r>
              <w:rPr>
                <w:rFonts w:hint="eastAsia" w:ascii="宋体" w:hAnsi="宋体" w:eastAsia="宋体" w:cs="宋体"/>
                <w:b/>
                <w:bCs/>
                <w:color w:val="auto"/>
                <w:kern w:val="2"/>
                <w:sz w:val="24"/>
                <w:szCs w:val="24"/>
                <w:lang w:val="en-US" w:eastAsia="zh-CN" w:bidi="ar-SA"/>
              </w:rPr>
              <w:t>及其他相关伴随费用的全部费用。</w:t>
            </w:r>
          </w:p>
        </w:tc>
      </w:tr>
    </w:tbl>
    <w:p w14:paraId="5D55BE91">
      <w:pPr>
        <w:shd w:val="clear"/>
        <w:spacing w:before="194" w:beforeLines="50"/>
        <w:ind w:left="423" w:hanging="470" w:hangingChars="196"/>
        <w:jc w:val="left"/>
        <w:rPr>
          <w:rFonts w:hint="eastAsia" w:ascii="宋体" w:hAnsi="宋体" w:eastAsia="宋体" w:cs="宋体"/>
          <w:color w:val="auto"/>
          <w:sz w:val="24"/>
          <w:szCs w:val="24"/>
          <w:highlight w:val="none"/>
        </w:rPr>
      </w:pPr>
      <w:bookmarkStart w:id="86" w:name="_Toc7447443"/>
      <w:bookmarkStart w:id="87" w:name="_Toc433961643"/>
    </w:p>
    <w:p w14:paraId="257ED460">
      <w:pPr>
        <w:shd w:val="clear"/>
        <w:spacing w:before="194" w:beforeLines="50"/>
        <w:ind w:left="423" w:hanging="470" w:hangingChars="19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说明：1、报价应按总报价填写，精确到小数点后两位，大小写不一致时，以大写为准；</w:t>
      </w:r>
    </w:p>
    <w:p w14:paraId="2B7614B3">
      <w:pPr>
        <w:shd w:val="clear"/>
        <w:spacing w:before="194" w:beforeLines="50"/>
        <w:ind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2、本表所</w:t>
      </w:r>
      <w:r>
        <w:rPr>
          <w:rFonts w:hint="eastAsia" w:ascii="宋体" w:hAnsi="宋体" w:cs="宋体"/>
          <w:color w:val="auto"/>
          <w:sz w:val="24"/>
          <w:szCs w:val="24"/>
          <w:highlight w:val="none"/>
          <w:lang w:eastAsia="zh-CN"/>
        </w:rPr>
        <w:t>填</w:t>
      </w:r>
      <w:r>
        <w:rPr>
          <w:rFonts w:hint="eastAsia" w:ascii="宋体" w:hAnsi="宋体" w:eastAsia="宋体" w:cs="宋体"/>
          <w:color w:val="auto"/>
          <w:sz w:val="24"/>
          <w:szCs w:val="24"/>
          <w:highlight w:val="none"/>
        </w:rPr>
        <w:t>数据与</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其地方表述不一致时，以本表为准。</w:t>
      </w:r>
    </w:p>
    <w:p w14:paraId="40664447">
      <w:pPr>
        <w:shd w:val="clear"/>
        <w:spacing w:line="360" w:lineRule="auto"/>
        <w:outlineLvl w:val="9"/>
        <w:rPr>
          <w:rFonts w:hint="eastAsia" w:ascii="宋体" w:hAnsi="宋体" w:eastAsia="宋体" w:cs="宋体"/>
          <w:color w:val="auto"/>
          <w:sz w:val="24"/>
          <w:szCs w:val="28"/>
          <w:highlight w:val="none"/>
        </w:rPr>
      </w:pPr>
    </w:p>
    <w:p w14:paraId="7F3942D7">
      <w:pPr>
        <w:shd w:val="clear"/>
        <w:spacing w:line="360" w:lineRule="auto"/>
        <w:outlineLvl w:val="9"/>
        <w:rPr>
          <w:rFonts w:hint="eastAsia" w:ascii="宋体" w:hAnsi="宋体" w:eastAsia="宋体" w:cs="宋体"/>
          <w:color w:val="auto"/>
          <w:sz w:val="24"/>
          <w:szCs w:val="28"/>
          <w:highlight w:val="none"/>
        </w:rPr>
      </w:pPr>
    </w:p>
    <w:p w14:paraId="68103C91">
      <w:pPr>
        <w:shd w:val="clea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供应商全称(盖章)：</w:t>
      </w:r>
    </w:p>
    <w:p w14:paraId="5B290F37">
      <w:pPr>
        <w:shd w:val="clea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法定代表人或授权代表人(</w:t>
      </w:r>
      <w:r>
        <w:rPr>
          <w:rFonts w:hint="eastAsia" w:ascii="宋体" w:hAnsi="宋体" w:eastAsia="宋体" w:cs="宋体"/>
          <w:color w:val="auto"/>
          <w:sz w:val="24"/>
          <w:highlight w:val="none"/>
        </w:rPr>
        <w:t>签字或盖章</w:t>
      </w:r>
      <w:r>
        <w:rPr>
          <w:rFonts w:hint="eastAsia" w:ascii="宋体" w:hAnsi="宋体" w:eastAsia="宋体" w:cs="宋体"/>
          <w:color w:val="auto"/>
          <w:sz w:val="24"/>
          <w:szCs w:val="28"/>
          <w:highlight w:val="none"/>
        </w:rPr>
        <w:t>)：</w:t>
      </w:r>
    </w:p>
    <w:p w14:paraId="23684427">
      <w:pPr>
        <w:shd w:val="clea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  期：</w:t>
      </w:r>
    </w:p>
    <w:p w14:paraId="2DF5947E">
      <w:pPr>
        <w:pStyle w:val="45"/>
        <w:shd w:val="clear"/>
        <w:spacing w:line="360" w:lineRule="auto"/>
        <w:ind w:firstLineChars="71"/>
        <w:jc w:val="both"/>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br w:type="page"/>
      </w:r>
      <w:bookmarkEnd w:id="86"/>
      <w:bookmarkEnd w:id="87"/>
      <w:bookmarkStart w:id="88" w:name="_Toc65"/>
      <w:bookmarkStart w:id="89" w:name="_Toc7447444"/>
    </w:p>
    <w:p w14:paraId="7B57711C">
      <w:pPr>
        <w:pStyle w:val="45"/>
        <w:numPr>
          <w:ilvl w:val="0"/>
          <w:numId w:val="0"/>
        </w:numPr>
        <w:shd w:val="clear"/>
        <w:spacing w:line="360" w:lineRule="auto"/>
        <w:jc w:val="both"/>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3、分项报价表</w:t>
      </w:r>
    </w:p>
    <w:p w14:paraId="7ABBF1C8">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1296008E">
      <w:pPr>
        <w:shd w:val="clear" w:color="auto"/>
        <w:spacing w:line="320" w:lineRule="exact"/>
        <w:jc w:val="center"/>
        <w:rPr>
          <w:rFonts w:hint="eastAsia" w:ascii="宋体" w:hAnsi="宋体" w:eastAsia="宋体" w:cs="宋体"/>
          <w:b/>
          <w:i w:val="0"/>
          <w:caps w:val="0"/>
          <w:color w:val="auto"/>
          <w:spacing w:val="0"/>
          <w:kern w:val="0"/>
          <w:sz w:val="32"/>
          <w:szCs w:val="32"/>
          <w:shd w:val="clear" w:fill="FFFFFF"/>
          <w:lang w:val="en-US" w:eastAsia="zh-CN" w:bidi="ar"/>
        </w:rPr>
      </w:pPr>
    </w:p>
    <w:p w14:paraId="2D0FAB6D">
      <w:pPr>
        <w:shd w:val="clear" w:color="auto"/>
        <w:spacing w:line="360" w:lineRule="auto"/>
        <w:jc w:val="center"/>
        <w:rPr>
          <w:rFonts w:hint="eastAsia" w:ascii="宋体" w:hAnsi="宋体" w:eastAsia="宋体" w:cs="宋体"/>
          <w:b/>
          <w:color w:val="auto"/>
          <w:kern w:val="2"/>
          <w:sz w:val="28"/>
          <w:szCs w:val="28"/>
          <w:highlight w:val="none"/>
          <w:lang w:val="en-US" w:eastAsia="zh-CN" w:bidi="ar-SA"/>
        </w:rPr>
      </w:pPr>
      <w:r>
        <w:rPr>
          <w:rFonts w:hint="eastAsia" w:ascii="宋体" w:hAnsi="宋体" w:cs="宋体"/>
          <w:b/>
          <w:bCs/>
          <w:color w:val="auto"/>
          <w:sz w:val="44"/>
          <w:szCs w:val="44"/>
          <w:highlight w:val="none"/>
          <w:lang w:val="en-US" w:eastAsia="zh-CN"/>
        </w:rPr>
        <w:t>2025年河口镇安河寺村水毁道路修复项目</w:t>
      </w:r>
    </w:p>
    <w:p w14:paraId="736E3FFF">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3F84BE7B">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038986C7">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74463919">
      <w:pPr>
        <w:shd w:val="clear" w:color="auto"/>
        <w:spacing w:line="320" w:lineRule="exact"/>
        <w:ind w:firstLine="843" w:firstLineChars="300"/>
        <w:jc w:val="both"/>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编制单位：</w:t>
      </w:r>
      <w:r>
        <w:rPr>
          <w:rFonts w:hint="eastAsia" w:ascii="宋体" w:hAnsi="宋体" w:eastAsia="宋体" w:cs="宋体"/>
          <w:b/>
          <w:color w:val="auto"/>
          <w:kern w:val="2"/>
          <w:sz w:val="28"/>
          <w:szCs w:val="28"/>
          <w:highlight w:val="none"/>
          <w:u w:val="single"/>
          <w:lang w:val="en-US" w:eastAsia="zh-CN" w:bidi="ar-SA"/>
        </w:rPr>
        <w:t xml:space="preserve">                          </w:t>
      </w:r>
      <w:r>
        <w:rPr>
          <w:rFonts w:hint="eastAsia" w:ascii="宋体" w:hAnsi="宋体" w:eastAsia="宋体" w:cs="宋体"/>
          <w:b/>
          <w:color w:val="auto"/>
          <w:kern w:val="2"/>
          <w:sz w:val="28"/>
          <w:szCs w:val="28"/>
          <w:highlight w:val="none"/>
          <w:lang w:val="en-US" w:eastAsia="zh-CN" w:bidi="ar-SA"/>
        </w:rPr>
        <w:t xml:space="preserve"> (单位盖章)</w:t>
      </w:r>
    </w:p>
    <w:p w14:paraId="3948865F">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1EFEAFF1">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33CA86E2">
      <w:pPr>
        <w:pStyle w:val="10"/>
        <w:shd w:val="clear" w:color="auto"/>
        <w:rPr>
          <w:rFonts w:hint="eastAsia" w:ascii="宋体" w:hAnsi="宋体" w:eastAsia="宋体" w:cs="宋体"/>
          <w:b/>
          <w:color w:val="auto"/>
          <w:kern w:val="2"/>
          <w:sz w:val="28"/>
          <w:szCs w:val="28"/>
          <w:highlight w:val="none"/>
          <w:lang w:val="en-US" w:eastAsia="zh-CN" w:bidi="ar-SA"/>
        </w:rPr>
      </w:pPr>
    </w:p>
    <w:p w14:paraId="020464FE">
      <w:pPr>
        <w:shd w:val="clear" w:color="auto"/>
        <w:spacing w:line="320" w:lineRule="exact"/>
        <w:ind w:firstLine="843" w:firstLineChars="300"/>
        <w:jc w:val="both"/>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法定代表人</w:t>
      </w:r>
    </w:p>
    <w:p w14:paraId="23FA6EA0">
      <w:pPr>
        <w:shd w:val="clear" w:color="auto"/>
        <w:tabs>
          <w:tab w:val="left" w:pos="8100"/>
        </w:tabs>
        <w:spacing w:line="320" w:lineRule="exact"/>
        <w:ind w:firstLine="843" w:firstLineChars="300"/>
        <w:jc w:val="both"/>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 xml:space="preserve">或其授权人： </w:t>
      </w:r>
      <w:r>
        <w:rPr>
          <w:rFonts w:hint="eastAsia" w:ascii="宋体" w:hAnsi="宋体" w:eastAsia="宋体" w:cs="宋体"/>
          <w:b/>
          <w:color w:val="auto"/>
          <w:kern w:val="2"/>
          <w:sz w:val="28"/>
          <w:szCs w:val="28"/>
          <w:highlight w:val="none"/>
          <w:u w:val="single"/>
          <w:lang w:val="en-US" w:eastAsia="zh-CN" w:bidi="ar-SA"/>
        </w:rPr>
        <w:t xml:space="preserve">                       </w:t>
      </w:r>
      <w:r>
        <w:rPr>
          <w:rFonts w:hint="eastAsia" w:ascii="宋体" w:hAnsi="宋体" w:eastAsia="宋体" w:cs="宋体"/>
          <w:b/>
          <w:color w:val="auto"/>
          <w:kern w:val="2"/>
          <w:sz w:val="28"/>
          <w:szCs w:val="28"/>
          <w:highlight w:val="none"/>
          <w:lang w:val="en-US" w:eastAsia="zh-CN" w:bidi="ar-SA"/>
        </w:rPr>
        <w:t>(签字或盖章)</w:t>
      </w:r>
    </w:p>
    <w:p w14:paraId="49C65991">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 xml:space="preserve">  </w:t>
      </w:r>
    </w:p>
    <w:p w14:paraId="31C3FA80">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6F47302A">
      <w:pPr>
        <w:shd w:val="clear" w:color="auto"/>
        <w:spacing w:line="320" w:lineRule="exact"/>
        <w:ind w:firstLine="562" w:firstLineChars="200"/>
        <w:jc w:val="center"/>
        <w:rPr>
          <w:rFonts w:hint="eastAsia" w:ascii="宋体" w:hAnsi="宋体" w:eastAsia="宋体" w:cs="宋体"/>
          <w:b/>
          <w:color w:val="auto"/>
          <w:kern w:val="2"/>
          <w:sz w:val="28"/>
          <w:szCs w:val="28"/>
          <w:highlight w:val="none"/>
          <w:lang w:val="en-US" w:eastAsia="zh-CN" w:bidi="ar-SA"/>
        </w:rPr>
      </w:pPr>
    </w:p>
    <w:p w14:paraId="0D46D3D0">
      <w:pPr>
        <w:shd w:val="clear" w:color="auto"/>
        <w:spacing w:line="320" w:lineRule="exact"/>
        <w:ind w:firstLine="562" w:firstLineChars="200"/>
        <w:jc w:val="center"/>
        <w:rPr>
          <w:rFonts w:hint="eastAsia" w:ascii="宋体" w:hAnsi="宋体" w:eastAsia="宋体" w:cs="宋体"/>
          <w:b/>
          <w:color w:val="auto"/>
          <w:kern w:val="2"/>
          <w:sz w:val="28"/>
          <w:szCs w:val="28"/>
          <w:highlight w:val="none"/>
          <w:lang w:val="en-US" w:eastAsia="zh-CN" w:bidi="ar-SA"/>
        </w:rPr>
      </w:pPr>
    </w:p>
    <w:p w14:paraId="25FE93CC">
      <w:pPr>
        <w:shd w:val="clear" w:color="auto"/>
        <w:spacing w:line="320" w:lineRule="exact"/>
        <w:ind w:firstLine="843" w:firstLineChars="300"/>
        <w:jc w:val="both"/>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编  制  人：</w:t>
      </w:r>
      <w:r>
        <w:rPr>
          <w:rFonts w:hint="eastAsia" w:ascii="宋体" w:hAnsi="宋体" w:eastAsia="宋体" w:cs="宋体"/>
          <w:b/>
          <w:color w:val="auto"/>
          <w:kern w:val="2"/>
          <w:sz w:val="28"/>
          <w:szCs w:val="28"/>
          <w:highlight w:val="none"/>
          <w:u w:val="single"/>
          <w:lang w:val="en-US" w:eastAsia="zh-CN" w:bidi="ar-SA"/>
        </w:rPr>
        <w:t xml:space="preserve">                </w:t>
      </w:r>
      <w:r>
        <w:rPr>
          <w:rFonts w:hint="eastAsia" w:ascii="宋体" w:hAnsi="宋体" w:cs="宋体"/>
          <w:b/>
          <w:color w:val="auto"/>
          <w:kern w:val="2"/>
          <w:sz w:val="28"/>
          <w:szCs w:val="28"/>
          <w:highlight w:val="none"/>
          <w:u w:val="single"/>
          <w:lang w:val="en-US" w:eastAsia="zh-CN" w:bidi="ar-SA"/>
        </w:rPr>
        <w:t xml:space="preserve"> </w:t>
      </w:r>
      <w:r>
        <w:rPr>
          <w:rFonts w:hint="eastAsia" w:ascii="宋体" w:hAnsi="宋体" w:eastAsia="宋体" w:cs="宋体"/>
          <w:b/>
          <w:color w:val="auto"/>
          <w:kern w:val="2"/>
          <w:sz w:val="28"/>
          <w:szCs w:val="28"/>
          <w:highlight w:val="none"/>
          <w:u w:val="single"/>
          <w:lang w:val="en-US" w:eastAsia="zh-CN" w:bidi="ar-SA"/>
        </w:rPr>
        <w:t xml:space="preserve"> </w:t>
      </w:r>
      <w:r>
        <w:rPr>
          <w:rFonts w:hint="eastAsia" w:ascii="宋体" w:hAnsi="宋体" w:eastAsia="宋体" w:cs="宋体"/>
          <w:b/>
          <w:color w:val="auto"/>
          <w:kern w:val="2"/>
          <w:sz w:val="28"/>
          <w:szCs w:val="28"/>
          <w:highlight w:val="none"/>
          <w:lang w:val="en-US" w:eastAsia="zh-CN" w:bidi="ar-SA"/>
        </w:rPr>
        <w:t xml:space="preserve"> (造价人员签字盖专用章)</w:t>
      </w:r>
    </w:p>
    <w:p w14:paraId="0D720A13">
      <w:pPr>
        <w:shd w:val="clear" w:color="auto"/>
        <w:spacing w:line="320" w:lineRule="exact"/>
        <w:ind w:firstLine="562" w:firstLineChars="200"/>
        <w:jc w:val="center"/>
        <w:rPr>
          <w:rFonts w:hint="eastAsia" w:ascii="宋体" w:hAnsi="宋体" w:eastAsia="宋体" w:cs="宋体"/>
          <w:b/>
          <w:color w:val="auto"/>
          <w:kern w:val="2"/>
          <w:sz w:val="28"/>
          <w:szCs w:val="28"/>
          <w:highlight w:val="none"/>
          <w:lang w:val="en-US" w:eastAsia="zh-CN" w:bidi="ar-SA"/>
        </w:rPr>
      </w:pPr>
    </w:p>
    <w:p w14:paraId="5A9551B2">
      <w:pPr>
        <w:shd w:val="clear" w:color="auto"/>
        <w:spacing w:line="320" w:lineRule="exact"/>
        <w:ind w:firstLine="562" w:firstLineChars="200"/>
        <w:jc w:val="center"/>
        <w:rPr>
          <w:rFonts w:hint="eastAsia" w:ascii="宋体" w:hAnsi="宋体" w:eastAsia="宋体" w:cs="宋体"/>
          <w:b/>
          <w:color w:val="auto"/>
          <w:kern w:val="2"/>
          <w:sz w:val="28"/>
          <w:szCs w:val="28"/>
          <w:highlight w:val="none"/>
          <w:lang w:val="en-US" w:eastAsia="zh-CN" w:bidi="ar-SA"/>
        </w:rPr>
      </w:pPr>
    </w:p>
    <w:p w14:paraId="042FB3A4">
      <w:pPr>
        <w:shd w:val="clear" w:color="auto"/>
        <w:spacing w:line="320" w:lineRule="exact"/>
        <w:ind w:firstLine="562" w:firstLineChars="200"/>
        <w:jc w:val="center"/>
        <w:rPr>
          <w:rFonts w:hint="eastAsia" w:ascii="宋体" w:hAnsi="宋体" w:eastAsia="宋体" w:cs="宋体"/>
          <w:b/>
          <w:color w:val="auto"/>
          <w:kern w:val="2"/>
          <w:sz w:val="28"/>
          <w:szCs w:val="28"/>
          <w:highlight w:val="none"/>
          <w:lang w:val="en-US" w:eastAsia="zh-CN" w:bidi="ar-SA"/>
        </w:rPr>
      </w:pPr>
    </w:p>
    <w:p w14:paraId="23F3BCBE">
      <w:pPr>
        <w:shd w:val="clear" w:color="auto"/>
        <w:spacing w:line="320" w:lineRule="exact"/>
        <w:ind w:firstLine="562" w:firstLineChars="200"/>
        <w:jc w:val="center"/>
        <w:rPr>
          <w:rFonts w:hint="eastAsia" w:ascii="宋体" w:hAnsi="宋体" w:eastAsia="宋体" w:cs="宋体"/>
          <w:b/>
          <w:color w:val="auto"/>
          <w:kern w:val="2"/>
          <w:sz w:val="28"/>
          <w:szCs w:val="28"/>
          <w:highlight w:val="none"/>
          <w:lang w:val="en-US" w:eastAsia="zh-CN" w:bidi="ar-SA"/>
        </w:rPr>
      </w:pPr>
    </w:p>
    <w:p w14:paraId="7A0F8E38">
      <w:pPr>
        <w:shd w:val="clear" w:color="auto"/>
        <w:spacing w:line="320" w:lineRule="exact"/>
        <w:ind w:firstLine="843" w:firstLineChars="300"/>
        <w:jc w:val="both"/>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复  核  人：</w:t>
      </w:r>
      <w:r>
        <w:rPr>
          <w:rFonts w:hint="eastAsia" w:ascii="宋体" w:hAnsi="宋体" w:eastAsia="宋体" w:cs="宋体"/>
          <w:b/>
          <w:color w:val="auto"/>
          <w:kern w:val="2"/>
          <w:sz w:val="28"/>
          <w:szCs w:val="28"/>
          <w:highlight w:val="none"/>
          <w:u w:val="single"/>
          <w:lang w:val="en-US" w:eastAsia="zh-CN" w:bidi="ar-SA"/>
        </w:rPr>
        <w:t xml:space="preserve">                   </w:t>
      </w:r>
      <w:r>
        <w:rPr>
          <w:rFonts w:hint="eastAsia" w:ascii="宋体" w:hAnsi="宋体" w:eastAsia="宋体" w:cs="宋体"/>
          <w:b/>
          <w:color w:val="auto"/>
          <w:kern w:val="2"/>
          <w:sz w:val="28"/>
          <w:szCs w:val="28"/>
          <w:highlight w:val="none"/>
          <w:lang w:val="en-US" w:eastAsia="zh-CN" w:bidi="ar-SA"/>
        </w:rPr>
        <w:t>(造价人员签字盖专用章)</w:t>
      </w:r>
    </w:p>
    <w:p w14:paraId="6E90C356">
      <w:pPr>
        <w:shd w:val="clear" w:color="auto"/>
        <w:jc w:val="both"/>
        <w:rPr>
          <w:rFonts w:hint="eastAsia" w:ascii="宋体" w:hAnsi="宋体" w:eastAsia="宋体" w:cs="宋体"/>
          <w:b/>
          <w:color w:val="auto"/>
          <w:kern w:val="2"/>
          <w:sz w:val="28"/>
          <w:szCs w:val="28"/>
          <w:highlight w:val="none"/>
          <w:lang w:val="en-US" w:eastAsia="zh-CN" w:bidi="ar-SA"/>
        </w:rPr>
      </w:pPr>
    </w:p>
    <w:p w14:paraId="62667783">
      <w:pPr>
        <w:shd w:val="clear" w:color="auto"/>
        <w:tabs>
          <w:tab w:val="left" w:pos="2564"/>
          <w:tab w:val="center" w:pos="4213"/>
        </w:tabs>
        <w:jc w:val="center"/>
        <w:outlineLvl w:val="9"/>
        <w:rPr>
          <w:rFonts w:hint="eastAsia" w:ascii="宋体" w:hAnsi="宋体" w:eastAsia="宋体" w:cs="宋体"/>
          <w:b/>
          <w:color w:val="auto"/>
          <w:kern w:val="2"/>
          <w:sz w:val="28"/>
          <w:szCs w:val="28"/>
          <w:highlight w:val="none"/>
          <w:lang w:val="en-US" w:eastAsia="zh-CN" w:bidi="ar-SA"/>
        </w:rPr>
      </w:pPr>
    </w:p>
    <w:p w14:paraId="6BAE68C0">
      <w:pPr>
        <w:shd w:val="clear"/>
        <w:outlineLvl w:val="9"/>
        <w:rPr>
          <w:rFonts w:hint="eastAsia" w:ascii="宋体" w:hAnsi="宋体" w:eastAsia="宋体" w:cs="宋体"/>
          <w:b/>
          <w:color w:val="auto"/>
          <w:kern w:val="2"/>
          <w:sz w:val="28"/>
          <w:szCs w:val="28"/>
          <w:highlight w:val="none"/>
          <w:lang w:val="en-US" w:eastAsia="zh-CN" w:bidi="ar-SA"/>
        </w:rPr>
      </w:pPr>
    </w:p>
    <w:p w14:paraId="7A68BC12">
      <w:pPr>
        <w:shd w:val="clear"/>
        <w:rPr>
          <w:rFonts w:hint="eastAsia" w:ascii="宋体" w:hAnsi="宋体" w:eastAsia="宋体" w:cs="宋体"/>
          <w:lang w:val="en-US" w:eastAsia="zh-CN"/>
        </w:rPr>
      </w:pPr>
    </w:p>
    <w:p w14:paraId="2C50E1B0">
      <w:pPr>
        <w:shd w:val="clear" w:color="auto"/>
        <w:tabs>
          <w:tab w:val="left" w:pos="2564"/>
          <w:tab w:val="center" w:pos="4213"/>
        </w:tabs>
        <w:jc w:val="center"/>
        <w:rPr>
          <w:rFonts w:hint="eastAsia" w:ascii="宋体" w:hAnsi="宋体" w:eastAsia="宋体" w:cs="宋体"/>
          <w:b/>
          <w:color w:val="auto"/>
          <w:kern w:val="2"/>
          <w:sz w:val="28"/>
          <w:szCs w:val="28"/>
          <w:highlight w:val="none"/>
          <w:lang w:val="en-US" w:eastAsia="zh-CN" w:bidi="ar-SA"/>
        </w:rPr>
      </w:pPr>
    </w:p>
    <w:p w14:paraId="296C8D1D">
      <w:pPr>
        <w:shd w:val="clear" w:color="auto"/>
        <w:tabs>
          <w:tab w:val="left" w:pos="2564"/>
          <w:tab w:val="center" w:pos="4213"/>
        </w:tabs>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 xml:space="preserve">  年   月   日</w:t>
      </w:r>
    </w:p>
    <w:p w14:paraId="4AE00205">
      <w:pPr>
        <w:shd w:val="clear" w:color="auto"/>
        <w:tabs>
          <w:tab w:val="left" w:pos="2564"/>
          <w:tab w:val="center" w:pos="4213"/>
        </w:tabs>
        <w:jc w:val="center"/>
        <w:rPr>
          <w:rFonts w:hint="eastAsia" w:ascii="宋体" w:hAnsi="宋体" w:eastAsia="宋体" w:cs="宋体"/>
          <w:b/>
          <w:color w:val="auto"/>
          <w:kern w:val="2"/>
          <w:sz w:val="28"/>
          <w:szCs w:val="28"/>
          <w:highlight w:val="none"/>
          <w:lang w:val="en-US" w:eastAsia="zh-CN" w:bidi="ar-SA"/>
        </w:rPr>
      </w:pPr>
    </w:p>
    <w:p w14:paraId="3456D22A">
      <w:pPr>
        <w:shd w:val="clear" w:color="auto"/>
        <w:jc w:val="center"/>
        <w:rPr>
          <w:rFonts w:hint="eastAsia" w:ascii="宋体" w:hAnsi="宋体" w:eastAsia="宋体" w:cs="宋体"/>
          <w:b/>
          <w:color w:val="auto"/>
          <w:kern w:val="2"/>
          <w:sz w:val="28"/>
          <w:szCs w:val="28"/>
          <w:highlight w:val="none"/>
          <w:lang w:val="en-US" w:eastAsia="zh-CN" w:bidi="ar-SA"/>
        </w:rPr>
      </w:pPr>
    </w:p>
    <w:p w14:paraId="7569B30C">
      <w:pPr>
        <w:pStyle w:val="45"/>
        <w:numPr>
          <w:ilvl w:val="0"/>
          <w:numId w:val="0"/>
        </w:numPr>
        <w:shd w:val="clear"/>
        <w:spacing w:line="360" w:lineRule="auto"/>
        <w:jc w:val="both"/>
        <w:outlineLvl w:val="9"/>
        <w:rPr>
          <w:rFonts w:hint="eastAsia" w:ascii="宋体" w:hAnsi="宋体" w:eastAsia="宋体" w:cs="宋体"/>
          <w:b/>
          <w:color w:val="auto"/>
          <w:highlight w:val="none"/>
          <w:lang w:val="en-US" w:eastAsia="zh-CN"/>
        </w:rPr>
      </w:pPr>
    </w:p>
    <w:p w14:paraId="1321F14B">
      <w:pPr>
        <w:shd w:val="clear"/>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br w:type="page"/>
      </w:r>
    </w:p>
    <w:p w14:paraId="588B6ED8">
      <w:pPr>
        <w:pStyle w:val="45"/>
        <w:shd w:val="clear"/>
        <w:spacing w:line="360" w:lineRule="auto"/>
        <w:ind w:firstLineChars="71"/>
        <w:jc w:val="both"/>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4、磋商保证金缴纳凭证</w:t>
      </w:r>
      <w:bookmarkEnd w:id="88"/>
    </w:p>
    <w:bookmarkEnd w:id="89"/>
    <w:p w14:paraId="759EAF0D">
      <w:pPr>
        <w:widowControl/>
        <w:shd w:val="clear"/>
        <w:spacing w:line="360" w:lineRule="auto"/>
        <w:outlineLvl w:val="2"/>
        <w:rPr>
          <w:rFonts w:hint="eastAsia" w:ascii="宋体" w:hAnsi="宋体" w:eastAsia="宋体" w:cs="宋体"/>
          <w:color w:val="auto"/>
          <w:sz w:val="28"/>
          <w:szCs w:val="21"/>
          <w:highlight w:val="none"/>
          <w:lang w:val="en-US" w:eastAsia="zh-CN"/>
        </w:rPr>
      </w:pPr>
      <w:r>
        <w:rPr>
          <w:rFonts w:hint="eastAsia" w:ascii="宋体" w:hAnsi="宋体" w:eastAsia="宋体" w:cs="宋体"/>
          <w:color w:val="auto"/>
          <w:sz w:val="24"/>
          <w:highlight w:val="none"/>
        </w:rPr>
        <w:br w:type="page"/>
      </w:r>
      <w:r>
        <w:rPr>
          <w:rFonts w:hint="eastAsia" w:ascii="宋体" w:hAnsi="宋体" w:eastAsia="宋体" w:cs="宋体"/>
          <w:b/>
          <w:bCs/>
          <w:color w:val="auto"/>
          <w:sz w:val="28"/>
          <w:szCs w:val="21"/>
          <w:highlight w:val="none"/>
          <w:lang w:val="en-US" w:eastAsia="zh-CN"/>
        </w:rPr>
        <w:t>5、供应商承诺书</w:t>
      </w:r>
      <w:r>
        <w:rPr>
          <w:rFonts w:hint="eastAsia" w:ascii="宋体" w:hAnsi="宋体" w:eastAsia="宋体" w:cs="宋体"/>
          <w:color w:val="auto"/>
          <w:sz w:val="28"/>
          <w:szCs w:val="21"/>
          <w:highlight w:val="none"/>
          <w:lang w:val="en-US" w:eastAsia="zh-CN"/>
        </w:rPr>
        <w:t xml:space="preserve">        </w:t>
      </w:r>
    </w:p>
    <w:p w14:paraId="12BDBAF1">
      <w:pPr>
        <w:widowControl/>
        <w:shd w:val="clear"/>
        <w:spacing w:line="360" w:lineRule="auto"/>
        <w:ind w:firstLine="3373" w:firstLineChars="1200"/>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陕西省政府采购</w:t>
      </w:r>
      <w:r>
        <w:rPr>
          <w:rFonts w:hint="eastAsia" w:ascii="宋体" w:hAnsi="宋体" w:eastAsia="宋体" w:cs="宋体"/>
          <w:b/>
          <w:bCs/>
          <w:color w:val="auto"/>
          <w:kern w:val="0"/>
          <w:sz w:val="28"/>
          <w:szCs w:val="28"/>
          <w:highlight w:val="none"/>
          <w:lang w:val="en-US" w:eastAsia="zh-CN"/>
        </w:rPr>
        <w:t>供应商</w:t>
      </w:r>
    </w:p>
    <w:p w14:paraId="1D785F15">
      <w:pPr>
        <w:widowControl/>
        <w:shd w:val="clea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拒绝政府采购领域商业贿赂承诺书</w:t>
      </w:r>
    </w:p>
    <w:p w14:paraId="4B462ACD">
      <w:pPr>
        <w:shd w:val="clear"/>
        <w:jc w:val="center"/>
        <w:outlineLvl w:val="9"/>
        <w:rPr>
          <w:rFonts w:hint="eastAsia" w:ascii="宋体" w:hAnsi="宋体" w:eastAsia="宋体" w:cs="宋体"/>
          <w:b/>
          <w:bCs/>
          <w:color w:val="auto"/>
          <w:sz w:val="28"/>
          <w:szCs w:val="28"/>
          <w:highlight w:val="none"/>
        </w:rPr>
      </w:pPr>
    </w:p>
    <w:p w14:paraId="2481A90D">
      <w:pPr>
        <w:pStyle w:val="52"/>
        <w:shd w:val="clear"/>
        <w:spacing w:line="360" w:lineRule="auto"/>
        <w:ind w:left="239" w:firstLine="470"/>
        <w:jc w:val="left"/>
        <w:outlineLvl w:val="9"/>
        <w:rPr>
          <w:rFonts w:hint="eastAsia" w:ascii="宋体" w:hAnsi="宋体" w:eastAsia="宋体" w:cs="宋体"/>
          <w:color w:val="auto"/>
          <w:sz w:val="24"/>
          <w:szCs w:val="24"/>
          <w:highlight w:val="none"/>
        </w:rPr>
      </w:pPr>
    </w:p>
    <w:p w14:paraId="4357AC43">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为响应党中央、国务院关于治理政府采购领域商业贿赂行为的号召，我公司在此庄严承诺：</w:t>
      </w:r>
    </w:p>
    <w:p w14:paraId="5BFB53CD">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1、在参与政府采购活动中遵纪守法、诚信经营、公平竞标。</w:t>
      </w:r>
    </w:p>
    <w:p w14:paraId="0BCEAF62">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2、不向政府采购人、采购代理机构和政府采购评审专家进行任何形式的商业贿赂以谋取交易机会。</w:t>
      </w:r>
    </w:p>
    <w:p w14:paraId="58658B6D">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3、不向政府采购代理机构和采购人提供虚假资质文件或采用虚假应标方式参与政府采购市场竞争并谋取中标、成交。</w:t>
      </w:r>
    </w:p>
    <w:p w14:paraId="6AA09D70">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4、不采取“围标、陪标”等商业欺诈手段获得政府采购定单。</w:t>
      </w:r>
    </w:p>
    <w:p w14:paraId="1CCCF93F">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5、不采取不正当手段诋毁、排挤其他供应商。</w:t>
      </w:r>
    </w:p>
    <w:p w14:paraId="08C1699A">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6、不在提供商品和服务时“偷梁换柱、以次充好”损害采购人的合法权益。</w:t>
      </w:r>
    </w:p>
    <w:p w14:paraId="6F47D95C">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7、不与采购人、采购代理机构政府采购评审专家或其它供应商恶意串通，进行质疑和投诉，维护政府采购市场秩序。</w:t>
      </w:r>
    </w:p>
    <w:p w14:paraId="532D0D87">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8、尊重和接受政府采购监督管理部门的监督和政府采购代理机构招标采购要求，承担因违约行为给采购人造成的损失。</w:t>
      </w:r>
    </w:p>
    <w:p w14:paraId="2128449E">
      <w:pPr>
        <w:pStyle w:val="52"/>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24CFED35">
      <w:pPr>
        <w:pStyle w:val="52"/>
        <w:shd w:val="clear"/>
        <w:spacing w:line="360" w:lineRule="auto"/>
        <w:jc w:val="left"/>
        <w:outlineLvl w:val="9"/>
        <w:rPr>
          <w:rFonts w:hint="eastAsia" w:ascii="宋体" w:hAnsi="宋体" w:eastAsia="宋体" w:cs="宋体"/>
          <w:color w:val="auto"/>
          <w:sz w:val="24"/>
          <w:szCs w:val="24"/>
          <w:highlight w:val="none"/>
        </w:rPr>
      </w:pPr>
    </w:p>
    <w:p w14:paraId="5289A7ED">
      <w:pPr>
        <w:pStyle w:val="52"/>
        <w:shd w:val="clear"/>
        <w:spacing w:line="360" w:lineRule="auto"/>
        <w:jc w:val="left"/>
        <w:outlineLvl w:val="9"/>
        <w:rPr>
          <w:rFonts w:hint="eastAsia" w:ascii="宋体" w:hAnsi="宋体" w:eastAsia="宋体" w:cs="宋体"/>
          <w:color w:val="auto"/>
          <w:sz w:val="24"/>
          <w:szCs w:val="24"/>
          <w:highlight w:val="none"/>
        </w:rPr>
      </w:pPr>
    </w:p>
    <w:p w14:paraId="16BE39E7">
      <w:pPr>
        <w:shd w:val="clear"/>
        <w:spacing w:line="360" w:lineRule="auto"/>
        <w:ind w:firstLine="480" w:firstLineChars="200"/>
        <w:jc w:val="left"/>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 承诺单位：　</w:t>
      </w:r>
      <w:r>
        <w:rPr>
          <w:rFonts w:hint="eastAsia" w:ascii="宋体" w:hAnsi="宋体" w:eastAsia="宋体" w:cs="宋体"/>
          <w:color w:val="auto"/>
          <w:kern w:val="0"/>
          <w:szCs w:val="24"/>
          <w:highlight w:val="none"/>
          <w:u w:val="single"/>
        </w:rPr>
        <w:t>　                 　</w:t>
      </w:r>
      <w:r>
        <w:rPr>
          <w:rFonts w:hint="eastAsia" w:ascii="宋体" w:hAnsi="宋体" w:eastAsia="宋体" w:cs="宋体"/>
          <w:color w:val="auto"/>
          <w:kern w:val="0"/>
          <w:sz w:val="24"/>
          <w:szCs w:val="24"/>
          <w:highlight w:val="none"/>
          <w:lang w:val="en-US" w:eastAsia="zh-CN" w:bidi="ar-SA"/>
        </w:rPr>
        <w:t>（盖章）</w:t>
      </w:r>
    </w:p>
    <w:p w14:paraId="74FD0C71">
      <w:pPr>
        <w:widowControl w:val="0"/>
        <w:numPr>
          <w:ilvl w:val="0"/>
          <w:numId w:val="0"/>
        </w:numPr>
        <w:shd w:val="clear"/>
        <w:spacing w:line="360" w:lineRule="auto"/>
        <w:jc w:val="center"/>
        <w:outlineLvl w:val="9"/>
        <w:rPr>
          <w:rFonts w:hint="eastAsia" w:ascii="宋体" w:hAnsi="宋体" w:eastAsia="宋体" w:cs="宋体"/>
          <w:b/>
          <w:bCs/>
          <w:color w:val="auto"/>
          <w:sz w:val="28"/>
          <w:szCs w:val="28"/>
          <w:highlight w:val="none"/>
          <w:lang w:eastAsia="zh-CN"/>
        </w:rPr>
      </w:pPr>
      <w:bookmarkStart w:id="90" w:name="_Toc7447450"/>
    </w:p>
    <w:p w14:paraId="487FCF8E">
      <w:pPr>
        <w:shd w:val="clear"/>
        <w:spacing w:line="360" w:lineRule="auto"/>
        <w:ind w:firstLine="2160" w:firstLineChars="900"/>
        <w:rPr>
          <w:rFonts w:hint="eastAsia" w:ascii="宋体" w:hAnsi="宋体" w:eastAsia="宋体" w:cs="宋体"/>
          <w:color w:val="auto"/>
          <w:kern w:val="0"/>
          <w:sz w:val="24"/>
          <w:szCs w:val="24"/>
          <w:highlight w:val="none"/>
          <w:lang w:val="en-US" w:eastAsia="zh-CN" w:bidi="ar-SA"/>
        </w:rPr>
        <w:sectPr>
          <w:footerReference r:id="rId11" w:type="first"/>
          <w:footerReference r:id="rId10" w:type="default"/>
          <w:pgSz w:w="11905" w:h="16838"/>
          <w:pgMar w:top="1440" w:right="1080" w:bottom="1440" w:left="1080" w:header="720" w:footer="7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宋体" w:hAnsi="宋体" w:eastAsia="宋体" w:cs="宋体"/>
          <w:color w:val="auto"/>
          <w:kern w:val="0"/>
          <w:sz w:val="24"/>
          <w:szCs w:val="24"/>
          <w:highlight w:val="none"/>
          <w:lang w:val="en-US" w:eastAsia="zh-CN" w:bidi="ar-SA"/>
        </w:rPr>
        <w:t xml:space="preserve">年　　月　　日 </w:t>
      </w:r>
    </w:p>
    <w:bookmarkEnd w:id="90"/>
    <w:p w14:paraId="7D0D992B">
      <w:pPr>
        <w:shd w:val="clear"/>
        <w:spacing w:line="360" w:lineRule="auto"/>
        <w:jc w:val="both"/>
        <w:outlineLvl w:val="2"/>
        <w:rPr>
          <w:rFonts w:hint="eastAsia" w:ascii="宋体" w:hAnsi="宋体" w:eastAsia="宋体" w:cs="宋体"/>
          <w:color w:val="auto"/>
          <w:sz w:val="28"/>
          <w:szCs w:val="28"/>
          <w:highlight w:val="none"/>
          <w:lang w:eastAsia="zh-CN"/>
        </w:rPr>
      </w:pPr>
      <w:bookmarkStart w:id="91" w:name="_Toc7447451"/>
      <w:r>
        <w:rPr>
          <w:rFonts w:hint="eastAsia" w:ascii="宋体" w:hAnsi="宋体" w:eastAsia="宋体" w:cs="宋体"/>
          <w:b/>
          <w:bCs/>
          <w:color w:val="auto"/>
          <w:sz w:val="28"/>
          <w:szCs w:val="28"/>
          <w:highlight w:val="none"/>
          <w:lang w:val="en-US" w:eastAsia="zh-CN"/>
        </w:rPr>
        <w:t>6、</w:t>
      </w:r>
      <w:r>
        <w:rPr>
          <w:rFonts w:hint="eastAsia" w:ascii="宋体" w:hAnsi="宋体" w:eastAsia="宋体" w:cs="宋体"/>
          <w:b/>
          <w:bCs/>
          <w:color w:val="auto"/>
          <w:sz w:val="28"/>
          <w:szCs w:val="28"/>
          <w:highlight w:val="none"/>
        </w:rPr>
        <w:t>商务</w:t>
      </w:r>
      <w:r>
        <w:rPr>
          <w:rFonts w:hint="eastAsia" w:ascii="宋体" w:hAnsi="宋体" w:eastAsia="宋体" w:cs="宋体"/>
          <w:b/>
          <w:bCs/>
          <w:color w:val="auto"/>
          <w:sz w:val="28"/>
          <w:szCs w:val="28"/>
          <w:highlight w:val="none"/>
          <w:lang w:eastAsia="zh-CN"/>
        </w:rPr>
        <w:t>响应</w:t>
      </w:r>
      <w:bookmarkEnd w:id="91"/>
      <w:r>
        <w:rPr>
          <w:rFonts w:hint="eastAsia" w:ascii="宋体" w:hAnsi="宋体" w:eastAsia="宋体" w:cs="宋体"/>
          <w:b/>
          <w:bCs/>
          <w:color w:val="auto"/>
          <w:sz w:val="28"/>
          <w:szCs w:val="28"/>
          <w:highlight w:val="none"/>
          <w:lang w:eastAsia="zh-CN"/>
        </w:rPr>
        <w:t>偏</w:t>
      </w:r>
      <w:r>
        <w:rPr>
          <w:rFonts w:hint="eastAsia" w:ascii="宋体" w:hAnsi="宋体" w:cs="宋体"/>
          <w:b/>
          <w:bCs/>
          <w:color w:val="auto"/>
          <w:sz w:val="28"/>
          <w:szCs w:val="28"/>
          <w:highlight w:val="none"/>
          <w:lang w:val="en-US" w:eastAsia="zh-CN"/>
        </w:rPr>
        <w:t>离</w:t>
      </w:r>
      <w:r>
        <w:rPr>
          <w:rFonts w:hint="eastAsia" w:ascii="宋体" w:hAnsi="宋体" w:eastAsia="宋体" w:cs="宋体"/>
          <w:b/>
          <w:bCs/>
          <w:color w:val="auto"/>
          <w:sz w:val="28"/>
          <w:szCs w:val="28"/>
          <w:highlight w:val="none"/>
          <w:lang w:eastAsia="zh-CN"/>
        </w:rPr>
        <w:t>表</w:t>
      </w:r>
    </w:p>
    <w:p w14:paraId="4DBE9BBC">
      <w:pPr>
        <w:pStyle w:val="13"/>
        <w:shd w:val="clear"/>
        <w:spacing w:line="360" w:lineRule="auto"/>
        <w:outlineLvl w:val="9"/>
        <w:rPr>
          <w:rFonts w:hint="eastAsia" w:ascii="宋体" w:hAnsi="宋体" w:eastAsia="宋体" w:cs="宋体"/>
          <w:color w:val="auto"/>
          <w:sz w:val="24"/>
          <w:highlight w:val="none"/>
        </w:rPr>
      </w:pPr>
    </w:p>
    <w:p w14:paraId="74D73B51">
      <w:pPr>
        <w:pStyle w:val="13"/>
        <w:shd w:val="clear"/>
        <w:spacing w:line="360" w:lineRule="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采购编号：</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lang w:val="en-US" w:eastAsia="zh-CN"/>
        </w:rPr>
        <w:t xml:space="preserve">            </w:t>
      </w:r>
    </w:p>
    <w:p w14:paraId="423AA17B">
      <w:pPr>
        <w:pStyle w:val="13"/>
        <w:shd w:val="clear"/>
        <w:spacing w:line="360" w:lineRule="auto"/>
        <w:outlineLvl w:val="9"/>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1681A112">
      <w:pPr>
        <w:pStyle w:val="13"/>
        <w:shd w:val="clear"/>
        <w:spacing w:line="360" w:lineRule="auto"/>
        <w:outlineLvl w:val="9"/>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供 应 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tbl>
      <w:tblPr>
        <w:tblStyle w:val="26"/>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5"/>
        <w:gridCol w:w="3055"/>
        <w:gridCol w:w="3988"/>
        <w:gridCol w:w="1214"/>
      </w:tblGrid>
      <w:tr w14:paraId="648F9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2" w:hRule="atLeast"/>
          <w:jc w:val="center"/>
        </w:trPr>
        <w:tc>
          <w:tcPr>
            <w:tcW w:w="528" w:type="pct"/>
            <w:noWrap w:val="0"/>
            <w:vAlign w:val="center"/>
          </w:tcPr>
          <w:p w14:paraId="0C05133C">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654" w:type="pct"/>
            <w:noWrap w:val="0"/>
            <w:vAlign w:val="center"/>
          </w:tcPr>
          <w:p w14:paraId="76E2E8ED">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文件商务要求</w:t>
            </w:r>
          </w:p>
        </w:tc>
        <w:tc>
          <w:tcPr>
            <w:tcW w:w="2159" w:type="pct"/>
            <w:noWrap w:val="0"/>
            <w:vAlign w:val="center"/>
          </w:tcPr>
          <w:p w14:paraId="77DEDF5A">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文件商务响应描述</w:t>
            </w:r>
          </w:p>
        </w:tc>
        <w:tc>
          <w:tcPr>
            <w:tcW w:w="657" w:type="pct"/>
            <w:noWrap w:val="0"/>
            <w:vAlign w:val="center"/>
          </w:tcPr>
          <w:p w14:paraId="58E4BFB9">
            <w:pPr>
              <w:shd w:val="clea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偏离</w:t>
            </w:r>
          </w:p>
        </w:tc>
      </w:tr>
      <w:tr w14:paraId="3B09C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528" w:type="pct"/>
            <w:noWrap w:val="0"/>
            <w:vAlign w:val="center"/>
          </w:tcPr>
          <w:p w14:paraId="431BFFF9">
            <w:pPr>
              <w:shd w:val="clear"/>
              <w:spacing w:line="360" w:lineRule="auto"/>
              <w:jc w:val="center"/>
              <w:outlineLvl w:val="9"/>
              <w:rPr>
                <w:rFonts w:hint="eastAsia" w:ascii="宋体" w:hAnsi="宋体" w:eastAsia="宋体" w:cs="宋体"/>
                <w:color w:val="auto"/>
                <w:sz w:val="24"/>
                <w:highlight w:val="none"/>
              </w:rPr>
            </w:pPr>
          </w:p>
        </w:tc>
        <w:tc>
          <w:tcPr>
            <w:tcW w:w="1654" w:type="pct"/>
            <w:noWrap w:val="0"/>
            <w:vAlign w:val="center"/>
          </w:tcPr>
          <w:p w14:paraId="506CBEA5">
            <w:pPr>
              <w:shd w:val="clear"/>
              <w:spacing w:line="360" w:lineRule="auto"/>
              <w:jc w:val="center"/>
              <w:outlineLvl w:val="9"/>
              <w:rPr>
                <w:rFonts w:hint="eastAsia" w:ascii="宋体" w:hAnsi="宋体" w:eastAsia="宋体" w:cs="宋体"/>
                <w:color w:val="auto"/>
                <w:sz w:val="24"/>
                <w:highlight w:val="none"/>
              </w:rPr>
            </w:pPr>
          </w:p>
        </w:tc>
        <w:tc>
          <w:tcPr>
            <w:tcW w:w="2159" w:type="pct"/>
            <w:noWrap w:val="0"/>
            <w:vAlign w:val="center"/>
          </w:tcPr>
          <w:p w14:paraId="6348D169">
            <w:pPr>
              <w:shd w:val="clear"/>
              <w:spacing w:line="360" w:lineRule="auto"/>
              <w:jc w:val="center"/>
              <w:outlineLvl w:val="9"/>
              <w:rPr>
                <w:rFonts w:hint="eastAsia" w:ascii="宋体" w:hAnsi="宋体" w:eastAsia="宋体" w:cs="宋体"/>
                <w:color w:val="auto"/>
                <w:sz w:val="24"/>
                <w:highlight w:val="none"/>
              </w:rPr>
            </w:pPr>
          </w:p>
        </w:tc>
        <w:tc>
          <w:tcPr>
            <w:tcW w:w="657" w:type="pct"/>
            <w:noWrap w:val="0"/>
            <w:vAlign w:val="center"/>
          </w:tcPr>
          <w:p w14:paraId="535D781E">
            <w:pPr>
              <w:shd w:val="clear"/>
              <w:spacing w:line="360" w:lineRule="auto"/>
              <w:jc w:val="center"/>
              <w:outlineLvl w:val="9"/>
              <w:rPr>
                <w:rFonts w:hint="eastAsia" w:ascii="宋体" w:hAnsi="宋体" w:eastAsia="宋体" w:cs="宋体"/>
                <w:b/>
                <w:color w:val="auto"/>
                <w:sz w:val="24"/>
                <w:highlight w:val="none"/>
              </w:rPr>
            </w:pPr>
          </w:p>
        </w:tc>
      </w:tr>
      <w:tr w14:paraId="1DB57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8" w:hRule="atLeast"/>
          <w:jc w:val="center"/>
        </w:trPr>
        <w:tc>
          <w:tcPr>
            <w:tcW w:w="528" w:type="pct"/>
            <w:noWrap w:val="0"/>
            <w:vAlign w:val="center"/>
          </w:tcPr>
          <w:p w14:paraId="19F21F7D">
            <w:pPr>
              <w:shd w:val="clear"/>
              <w:spacing w:line="360" w:lineRule="auto"/>
              <w:jc w:val="center"/>
              <w:outlineLvl w:val="9"/>
              <w:rPr>
                <w:rFonts w:hint="eastAsia" w:ascii="宋体" w:hAnsi="宋体" w:eastAsia="宋体" w:cs="宋体"/>
                <w:color w:val="auto"/>
                <w:sz w:val="24"/>
                <w:highlight w:val="none"/>
              </w:rPr>
            </w:pPr>
          </w:p>
        </w:tc>
        <w:tc>
          <w:tcPr>
            <w:tcW w:w="1654" w:type="pct"/>
            <w:noWrap w:val="0"/>
            <w:vAlign w:val="center"/>
          </w:tcPr>
          <w:p w14:paraId="46A76873">
            <w:pPr>
              <w:shd w:val="clear"/>
              <w:spacing w:line="360" w:lineRule="auto"/>
              <w:jc w:val="center"/>
              <w:outlineLvl w:val="9"/>
              <w:rPr>
                <w:rFonts w:hint="eastAsia" w:ascii="宋体" w:hAnsi="宋体" w:eastAsia="宋体" w:cs="宋体"/>
                <w:color w:val="auto"/>
                <w:sz w:val="24"/>
                <w:highlight w:val="none"/>
              </w:rPr>
            </w:pPr>
          </w:p>
        </w:tc>
        <w:tc>
          <w:tcPr>
            <w:tcW w:w="2159" w:type="pct"/>
            <w:noWrap w:val="0"/>
            <w:vAlign w:val="center"/>
          </w:tcPr>
          <w:p w14:paraId="0F08187A">
            <w:pPr>
              <w:shd w:val="clear"/>
              <w:spacing w:line="360" w:lineRule="auto"/>
              <w:jc w:val="center"/>
              <w:outlineLvl w:val="9"/>
              <w:rPr>
                <w:rFonts w:hint="eastAsia" w:ascii="宋体" w:hAnsi="宋体" w:eastAsia="宋体" w:cs="宋体"/>
                <w:color w:val="auto"/>
                <w:sz w:val="24"/>
                <w:highlight w:val="none"/>
              </w:rPr>
            </w:pPr>
          </w:p>
        </w:tc>
        <w:tc>
          <w:tcPr>
            <w:tcW w:w="657" w:type="pct"/>
            <w:noWrap w:val="0"/>
            <w:vAlign w:val="center"/>
          </w:tcPr>
          <w:p w14:paraId="54B0F875">
            <w:pPr>
              <w:shd w:val="clear"/>
              <w:spacing w:line="360" w:lineRule="auto"/>
              <w:jc w:val="center"/>
              <w:outlineLvl w:val="9"/>
              <w:rPr>
                <w:rFonts w:hint="eastAsia" w:ascii="宋体" w:hAnsi="宋体" w:eastAsia="宋体" w:cs="宋体"/>
                <w:b/>
                <w:color w:val="auto"/>
                <w:sz w:val="24"/>
                <w:highlight w:val="none"/>
              </w:rPr>
            </w:pPr>
          </w:p>
        </w:tc>
      </w:tr>
      <w:tr w14:paraId="77081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528" w:type="pct"/>
            <w:noWrap w:val="0"/>
            <w:vAlign w:val="center"/>
          </w:tcPr>
          <w:p w14:paraId="46B96A41">
            <w:pPr>
              <w:shd w:val="clear"/>
              <w:spacing w:line="360" w:lineRule="auto"/>
              <w:jc w:val="center"/>
              <w:outlineLvl w:val="9"/>
              <w:rPr>
                <w:rFonts w:hint="eastAsia" w:ascii="宋体" w:hAnsi="宋体" w:eastAsia="宋体" w:cs="宋体"/>
                <w:color w:val="auto"/>
                <w:sz w:val="24"/>
                <w:highlight w:val="none"/>
              </w:rPr>
            </w:pPr>
          </w:p>
        </w:tc>
        <w:tc>
          <w:tcPr>
            <w:tcW w:w="1654" w:type="pct"/>
            <w:noWrap w:val="0"/>
            <w:vAlign w:val="center"/>
          </w:tcPr>
          <w:p w14:paraId="70BB2F30">
            <w:pPr>
              <w:shd w:val="clear"/>
              <w:spacing w:line="360" w:lineRule="auto"/>
              <w:jc w:val="center"/>
              <w:outlineLvl w:val="9"/>
              <w:rPr>
                <w:rFonts w:hint="eastAsia" w:ascii="宋体" w:hAnsi="宋体" w:eastAsia="宋体" w:cs="宋体"/>
                <w:color w:val="auto"/>
                <w:sz w:val="24"/>
                <w:highlight w:val="none"/>
              </w:rPr>
            </w:pPr>
          </w:p>
        </w:tc>
        <w:tc>
          <w:tcPr>
            <w:tcW w:w="2159" w:type="pct"/>
            <w:noWrap w:val="0"/>
            <w:vAlign w:val="center"/>
          </w:tcPr>
          <w:p w14:paraId="2F236040">
            <w:pPr>
              <w:shd w:val="clear"/>
              <w:spacing w:line="360" w:lineRule="auto"/>
              <w:jc w:val="center"/>
              <w:outlineLvl w:val="9"/>
              <w:rPr>
                <w:rFonts w:hint="eastAsia" w:ascii="宋体" w:hAnsi="宋体" w:eastAsia="宋体" w:cs="宋体"/>
                <w:color w:val="auto"/>
                <w:sz w:val="24"/>
                <w:highlight w:val="none"/>
              </w:rPr>
            </w:pPr>
          </w:p>
        </w:tc>
        <w:tc>
          <w:tcPr>
            <w:tcW w:w="657" w:type="pct"/>
            <w:noWrap w:val="0"/>
            <w:vAlign w:val="center"/>
          </w:tcPr>
          <w:p w14:paraId="3FCFB669">
            <w:pPr>
              <w:shd w:val="clear"/>
              <w:spacing w:line="360" w:lineRule="auto"/>
              <w:jc w:val="center"/>
              <w:outlineLvl w:val="9"/>
              <w:rPr>
                <w:rFonts w:hint="eastAsia" w:ascii="宋体" w:hAnsi="宋体" w:eastAsia="宋体" w:cs="宋体"/>
                <w:b/>
                <w:color w:val="auto"/>
                <w:sz w:val="24"/>
                <w:highlight w:val="none"/>
              </w:rPr>
            </w:pPr>
          </w:p>
        </w:tc>
      </w:tr>
      <w:tr w14:paraId="6C7A4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528" w:type="pct"/>
            <w:noWrap w:val="0"/>
            <w:vAlign w:val="center"/>
          </w:tcPr>
          <w:p w14:paraId="58BCF3AA">
            <w:pPr>
              <w:shd w:val="clear"/>
              <w:spacing w:line="360" w:lineRule="auto"/>
              <w:jc w:val="center"/>
              <w:outlineLvl w:val="9"/>
              <w:rPr>
                <w:rFonts w:hint="eastAsia" w:ascii="宋体" w:hAnsi="宋体" w:eastAsia="宋体" w:cs="宋体"/>
                <w:color w:val="auto"/>
                <w:sz w:val="24"/>
                <w:highlight w:val="none"/>
              </w:rPr>
            </w:pPr>
          </w:p>
        </w:tc>
        <w:tc>
          <w:tcPr>
            <w:tcW w:w="1654" w:type="pct"/>
            <w:noWrap w:val="0"/>
            <w:vAlign w:val="center"/>
          </w:tcPr>
          <w:p w14:paraId="38A618D5">
            <w:pPr>
              <w:shd w:val="clear"/>
              <w:spacing w:line="360" w:lineRule="auto"/>
              <w:jc w:val="center"/>
              <w:outlineLvl w:val="9"/>
              <w:rPr>
                <w:rFonts w:hint="eastAsia" w:ascii="宋体" w:hAnsi="宋体" w:eastAsia="宋体" w:cs="宋体"/>
                <w:color w:val="auto"/>
                <w:sz w:val="24"/>
                <w:highlight w:val="none"/>
              </w:rPr>
            </w:pPr>
          </w:p>
        </w:tc>
        <w:tc>
          <w:tcPr>
            <w:tcW w:w="2159" w:type="pct"/>
            <w:noWrap w:val="0"/>
            <w:vAlign w:val="center"/>
          </w:tcPr>
          <w:p w14:paraId="3D8C1DCA">
            <w:pPr>
              <w:shd w:val="clear"/>
              <w:spacing w:line="360" w:lineRule="auto"/>
              <w:jc w:val="center"/>
              <w:outlineLvl w:val="9"/>
              <w:rPr>
                <w:rFonts w:hint="eastAsia" w:ascii="宋体" w:hAnsi="宋体" w:eastAsia="宋体" w:cs="宋体"/>
                <w:color w:val="auto"/>
                <w:sz w:val="24"/>
                <w:highlight w:val="none"/>
              </w:rPr>
            </w:pPr>
          </w:p>
        </w:tc>
        <w:tc>
          <w:tcPr>
            <w:tcW w:w="657" w:type="pct"/>
            <w:noWrap w:val="0"/>
            <w:vAlign w:val="center"/>
          </w:tcPr>
          <w:p w14:paraId="219D201D">
            <w:pPr>
              <w:shd w:val="clear"/>
              <w:spacing w:line="360" w:lineRule="auto"/>
              <w:jc w:val="center"/>
              <w:outlineLvl w:val="9"/>
              <w:rPr>
                <w:rFonts w:hint="eastAsia" w:ascii="宋体" w:hAnsi="宋体" w:eastAsia="宋体" w:cs="宋体"/>
                <w:b/>
                <w:color w:val="auto"/>
                <w:sz w:val="24"/>
                <w:highlight w:val="none"/>
              </w:rPr>
            </w:pPr>
          </w:p>
        </w:tc>
      </w:tr>
      <w:tr w14:paraId="7CBE5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528" w:type="pct"/>
            <w:noWrap w:val="0"/>
            <w:vAlign w:val="center"/>
          </w:tcPr>
          <w:p w14:paraId="6B5CC194">
            <w:pPr>
              <w:shd w:val="clear"/>
              <w:spacing w:line="360" w:lineRule="auto"/>
              <w:jc w:val="center"/>
              <w:outlineLvl w:val="9"/>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备注</w:t>
            </w:r>
          </w:p>
        </w:tc>
        <w:tc>
          <w:tcPr>
            <w:tcW w:w="1654" w:type="pct"/>
            <w:noWrap w:val="0"/>
            <w:vAlign w:val="center"/>
          </w:tcPr>
          <w:p w14:paraId="789B66D2">
            <w:pPr>
              <w:shd w:val="clear"/>
              <w:spacing w:line="360" w:lineRule="auto"/>
              <w:jc w:val="center"/>
              <w:outlineLvl w:val="9"/>
              <w:rPr>
                <w:rFonts w:hint="default" w:ascii="宋体" w:hAnsi="宋体" w:eastAsia="宋体" w:cs="宋体"/>
                <w:color w:val="auto"/>
                <w:sz w:val="24"/>
                <w:highlight w:val="none"/>
                <w:lang w:val="en-US"/>
              </w:rPr>
            </w:pPr>
          </w:p>
        </w:tc>
        <w:tc>
          <w:tcPr>
            <w:tcW w:w="2159" w:type="pct"/>
            <w:noWrap w:val="0"/>
            <w:vAlign w:val="center"/>
          </w:tcPr>
          <w:p w14:paraId="7C7408C9">
            <w:pPr>
              <w:shd w:val="clear"/>
              <w:spacing w:line="360" w:lineRule="auto"/>
              <w:jc w:val="center"/>
              <w:outlineLvl w:val="9"/>
              <w:rPr>
                <w:rFonts w:hint="default" w:ascii="宋体" w:hAnsi="宋体" w:eastAsia="宋体" w:cs="宋体"/>
                <w:color w:val="auto"/>
                <w:sz w:val="24"/>
                <w:highlight w:val="none"/>
                <w:lang w:val="en-US"/>
              </w:rPr>
            </w:pPr>
          </w:p>
        </w:tc>
        <w:tc>
          <w:tcPr>
            <w:tcW w:w="657" w:type="pct"/>
            <w:noWrap w:val="0"/>
            <w:vAlign w:val="center"/>
          </w:tcPr>
          <w:p w14:paraId="11B361B6">
            <w:pPr>
              <w:shd w:val="clear"/>
              <w:spacing w:line="360" w:lineRule="auto"/>
              <w:jc w:val="center"/>
              <w:outlineLvl w:val="9"/>
              <w:rPr>
                <w:rFonts w:hint="eastAsia" w:ascii="宋体" w:hAnsi="宋体" w:eastAsia="宋体" w:cs="宋体"/>
                <w:b/>
                <w:color w:val="auto"/>
                <w:sz w:val="24"/>
                <w:highlight w:val="none"/>
              </w:rPr>
            </w:pPr>
          </w:p>
        </w:tc>
      </w:tr>
    </w:tbl>
    <w:p w14:paraId="1E9F8C59">
      <w:pPr>
        <w:shd w:val="clear"/>
        <w:autoSpaceDE w:val="0"/>
        <w:autoSpaceDN w:val="0"/>
        <w:adjustRightInd w:val="0"/>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注：1、</w:t>
      </w:r>
      <w:r>
        <w:rPr>
          <w:rFonts w:hint="eastAsia" w:ascii="宋体" w:hAnsi="宋体" w:eastAsia="宋体" w:cs="宋体"/>
          <w:color w:val="auto"/>
          <w:sz w:val="24"/>
          <w:highlight w:val="none"/>
        </w:rPr>
        <w:t>商务合同条款各条目是对</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提出的最低要求，将作为</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人与</w:t>
      </w:r>
      <w:r>
        <w:rPr>
          <w:rFonts w:hint="eastAsia" w:ascii="宋体" w:hAnsi="宋体" w:eastAsia="宋体" w:cs="宋体"/>
          <w:color w:val="auto"/>
          <w:sz w:val="24"/>
          <w:highlight w:val="none"/>
          <w:lang w:eastAsia="zh-CN"/>
        </w:rPr>
        <w:t>成交</w:t>
      </w:r>
      <w:r>
        <w:rPr>
          <w:rFonts w:hint="eastAsia" w:ascii="宋体" w:hAnsi="宋体" w:eastAsia="宋体" w:cs="宋体"/>
          <w:color w:val="auto"/>
          <w:sz w:val="24"/>
          <w:highlight w:val="none"/>
        </w:rPr>
        <w:t>人签定合同的基本要求。</w:t>
      </w:r>
    </w:p>
    <w:p w14:paraId="12CFDCE5">
      <w:pPr>
        <w:pStyle w:val="13"/>
        <w:shd w:val="clea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2、凡是</w:t>
      </w:r>
      <w:r>
        <w:rPr>
          <w:rFonts w:hint="eastAsia" w:ascii="宋体" w:hAnsi="宋体" w:eastAsia="宋体" w:cs="宋体"/>
          <w:color w:val="auto"/>
          <w:sz w:val="24"/>
          <w:highlight w:val="none"/>
          <w:lang w:eastAsia="zh-CN"/>
        </w:rPr>
        <w:t>磋商响应文件</w:t>
      </w:r>
      <w:r>
        <w:rPr>
          <w:rFonts w:hint="eastAsia" w:ascii="宋体" w:hAnsi="宋体" w:eastAsia="宋体" w:cs="宋体"/>
          <w:color w:val="auto"/>
          <w:sz w:val="24"/>
          <w:highlight w:val="none"/>
        </w:rPr>
        <w:t>的商务条款与</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文件的商务条款之间存在负偏离（即不能满足</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文件要求）的，</w:t>
      </w:r>
      <w:r>
        <w:rPr>
          <w:rFonts w:hint="eastAsia" w:ascii="宋体" w:hAnsi="宋体" w:eastAsia="宋体" w:cs="宋体"/>
          <w:color w:val="auto"/>
          <w:sz w:val="24"/>
          <w:highlight w:val="none"/>
          <w:lang w:eastAsia="zh-CN"/>
        </w:rPr>
        <w:t>按废标处理</w:t>
      </w:r>
      <w:r>
        <w:rPr>
          <w:rFonts w:hint="eastAsia" w:ascii="宋体" w:hAnsi="宋体" w:eastAsia="宋体" w:cs="宋体"/>
          <w:color w:val="auto"/>
          <w:sz w:val="24"/>
          <w:highlight w:val="none"/>
        </w:rPr>
        <w:t>。</w:t>
      </w:r>
    </w:p>
    <w:p w14:paraId="5BC9317E">
      <w:pPr>
        <w:pStyle w:val="13"/>
        <w:shd w:val="clear"/>
        <w:spacing w:line="360" w:lineRule="auto"/>
        <w:outlineLvl w:val="9"/>
        <w:rPr>
          <w:rFonts w:hint="eastAsia" w:ascii="宋体" w:hAnsi="宋体" w:eastAsia="宋体" w:cs="宋体"/>
          <w:color w:val="auto"/>
          <w:sz w:val="24"/>
          <w:highlight w:val="none"/>
        </w:rPr>
      </w:pPr>
    </w:p>
    <w:p w14:paraId="0A090F09">
      <w:pPr>
        <w:shd w:val="clear"/>
        <w:spacing w:line="360" w:lineRule="auto"/>
        <w:ind w:firstLine="4759" w:firstLineChars="1983"/>
        <w:outlineLvl w:val="9"/>
        <w:rPr>
          <w:rFonts w:hint="eastAsia" w:ascii="宋体" w:hAnsi="宋体" w:eastAsia="宋体" w:cs="宋体"/>
          <w:color w:val="auto"/>
          <w:sz w:val="24"/>
          <w:szCs w:val="28"/>
          <w:highlight w:val="none"/>
        </w:rPr>
      </w:pPr>
    </w:p>
    <w:p w14:paraId="20B16915">
      <w:pPr>
        <w:shd w:val="clear"/>
        <w:spacing w:line="360" w:lineRule="auto"/>
        <w:ind w:left="280" w:leftChars="1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u w:val="none"/>
          <w:lang w:val="en-US" w:eastAsia="zh-CN"/>
        </w:rPr>
        <w:t>供应商</w:t>
      </w:r>
      <w:r>
        <w:rPr>
          <w:rFonts w:hint="eastAsia" w:ascii="宋体" w:hAnsi="宋体" w:eastAsia="宋体" w:cs="宋体"/>
          <w:color w:val="auto"/>
          <w:sz w:val="24"/>
          <w:szCs w:val="22"/>
          <w:highlight w:val="none"/>
          <w:u w:val="none"/>
          <w:lang w:eastAsia="zh-CN"/>
        </w:rPr>
        <w:t>名称：</w:t>
      </w:r>
      <w:r>
        <w:rPr>
          <w:rFonts w:hint="eastAsia" w:ascii="宋体" w:hAnsi="宋体" w:eastAsia="宋体" w:cs="宋体"/>
          <w:color w:val="auto"/>
          <w:sz w:val="24"/>
          <w:szCs w:val="22"/>
          <w:highlight w:val="none"/>
          <w:u w:val="none"/>
        </w:rPr>
        <w:t xml:space="preserve"> </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供应商</w:t>
      </w:r>
      <w:r>
        <w:rPr>
          <w:rFonts w:hint="eastAsia" w:ascii="宋体" w:hAnsi="宋体" w:eastAsia="宋体" w:cs="宋体"/>
          <w:color w:val="auto"/>
          <w:sz w:val="24"/>
          <w:szCs w:val="22"/>
          <w:highlight w:val="none"/>
        </w:rPr>
        <w:t xml:space="preserve">单位公章） </w:t>
      </w:r>
    </w:p>
    <w:p w14:paraId="1107606C">
      <w:pPr>
        <w:shd w:val="clear"/>
        <w:spacing w:line="360" w:lineRule="auto"/>
        <w:ind w:firstLine="240" w:firstLineChars="100"/>
        <w:rPr>
          <w:rFonts w:hint="eastAsia" w:ascii="宋体" w:hAnsi="宋体" w:eastAsia="宋体" w:cs="宋体"/>
          <w:color w:val="auto"/>
          <w:sz w:val="24"/>
          <w:szCs w:val="22"/>
          <w:highlight w:val="none"/>
        </w:rPr>
      </w:pPr>
    </w:p>
    <w:p w14:paraId="0776E6BB">
      <w:pPr>
        <w:shd w:val="clear"/>
        <w:spacing w:line="360" w:lineRule="auto"/>
        <w:ind w:firstLine="240" w:firstLineChars="100"/>
        <w:rPr>
          <w:rFonts w:hint="eastAsia" w:ascii="宋体" w:hAnsi="宋体" w:eastAsia="宋体" w:cs="宋体"/>
          <w:color w:val="auto"/>
          <w:highlight w:val="none"/>
          <w:u w:val="single"/>
        </w:rPr>
      </w:pPr>
      <w:r>
        <w:rPr>
          <w:rFonts w:hint="eastAsia" w:ascii="宋体" w:hAnsi="宋体" w:eastAsia="宋体" w:cs="宋体"/>
          <w:color w:val="auto"/>
          <w:sz w:val="24"/>
          <w:szCs w:val="22"/>
          <w:highlight w:val="none"/>
        </w:rPr>
        <w:t xml:space="preserve">日 </w:t>
      </w:r>
      <w:r>
        <w:rPr>
          <w:rFonts w:hint="eastAsia" w:ascii="宋体" w:hAnsi="宋体" w:eastAsia="宋体" w:cs="宋体"/>
          <w:color w:val="auto"/>
          <w:sz w:val="24"/>
          <w:szCs w:val="22"/>
          <w:highlight w:val="none"/>
          <w:lang w:val="en-US" w:eastAsia="zh-CN"/>
        </w:rPr>
        <w:t xml:space="preserve">     </w:t>
      </w:r>
      <w:r>
        <w:rPr>
          <w:rFonts w:hint="eastAsia" w:ascii="宋体" w:hAnsi="宋体" w:eastAsia="宋体" w:cs="宋体"/>
          <w:color w:val="auto"/>
          <w:sz w:val="24"/>
          <w:szCs w:val="22"/>
          <w:highlight w:val="none"/>
        </w:rPr>
        <w:t>期：</w:t>
      </w:r>
      <w:r>
        <w:rPr>
          <w:rFonts w:hint="eastAsia" w:ascii="宋体" w:hAnsi="宋体" w:eastAsia="宋体" w:cs="宋体"/>
          <w:color w:val="auto"/>
          <w:sz w:val="24"/>
          <w:szCs w:val="18"/>
          <w:highlight w:val="none"/>
          <w:u w:val="single"/>
        </w:rPr>
        <w:t xml:space="preserve">   </w:t>
      </w:r>
      <w:r>
        <w:rPr>
          <w:rFonts w:hint="eastAsia" w:ascii="宋体" w:hAnsi="宋体" w:eastAsia="宋体" w:cs="宋体"/>
          <w:color w:val="auto"/>
          <w:highlight w:val="none"/>
          <w:u w:val="single"/>
        </w:rPr>
        <w:t xml:space="preserve">         </w:t>
      </w:r>
    </w:p>
    <w:p w14:paraId="5CB724AE">
      <w:pPr>
        <w:shd w:val="clear"/>
        <w:spacing w:line="360" w:lineRule="auto"/>
        <w:outlineLvl w:val="9"/>
        <w:rPr>
          <w:rFonts w:hint="eastAsia" w:ascii="宋体" w:hAnsi="宋体" w:eastAsia="宋体" w:cs="宋体"/>
          <w:color w:val="auto"/>
          <w:sz w:val="24"/>
          <w:szCs w:val="28"/>
          <w:highlight w:val="none"/>
        </w:rPr>
      </w:pPr>
    </w:p>
    <w:p w14:paraId="71420234">
      <w:pPr>
        <w:numPr>
          <w:ilvl w:val="0"/>
          <w:numId w:val="4"/>
        </w:numPr>
        <w:shd w:val="clear"/>
        <w:ind w:left="0" w:firstLine="0"/>
        <w:jc w:val="both"/>
        <w:outlineLvl w:val="1"/>
        <w:rPr>
          <w:rFonts w:hint="eastAsia" w:ascii="宋体" w:hAnsi="宋体" w:eastAsia="宋体" w:cs="宋体"/>
          <w:b/>
          <w:bCs/>
          <w:color w:val="auto"/>
          <w:sz w:val="28"/>
          <w:szCs w:val="28"/>
          <w:highlight w:val="none"/>
          <w:lang w:eastAsia="zh-CN"/>
        </w:rPr>
      </w:pPr>
      <w:bookmarkStart w:id="92" w:name="_Toc7447452"/>
      <w:r>
        <w:rPr>
          <w:rFonts w:hint="eastAsia" w:ascii="宋体" w:hAnsi="宋体" w:eastAsia="宋体" w:cs="宋体"/>
          <w:color w:val="auto"/>
          <w:sz w:val="28"/>
          <w:szCs w:val="28"/>
          <w:highlight w:val="none"/>
          <w:lang w:eastAsia="zh-CN"/>
        </w:rPr>
        <w:br w:type="page"/>
      </w:r>
      <w:bookmarkEnd w:id="92"/>
      <w:bookmarkStart w:id="93" w:name="_Toc7447453"/>
      <w:r>
        <w:rPr>
          <w:rFonts w:hint="eastAsia" w:ascii="宋体" w:hAnsi="宋体" w:eastAsia="宋体" w:cs="宋体"/>
          <w:b/>
          <w:bCs/>
          <w:color w:val="auto"/>
          <w:sz w:val="28"/>
          <w:szCs w:val="28"/>
          <w:highlight w:val="none"/>
          <w:lang w:eastAsia="zh-CN"/>
        </w:rPr>
        <w:t>响应方案</w:t>
      </w:r>
      <w:bookmarkEnd w:id="93"/>
    </w:p>
    <w:p w14:paraId="45F20D5B">
      <w:pPr>
        <w:pStyle w:val="44"/>
        <w:shd w:val="clear"/>
        <w:ind w:left="0" w:leftChars="0" w:firstLine="0" w:firstLineChars="0"/>
        <w:rPr>
          <w:rFonts w:hint="eastAsia" w:ascii="宋体" w:hAnsi="宋体" w:eastAsia="宋体" w:cs="宋体"/>
          <w:color w:val="auto"/>
          <w:kern w:val="2"/>
          <w:sz w:val="28"/>
          <w:szCs w:val="28"/>
          <w:highlight w:val="none"/>
          <w:lang w:val="en-US" w:eastAsia="en-US" w:bidi="ar-SA"/>
        </w:rPr>
      </w:pPr>
      <w:bookmarkStart w:id="94" w:name="_Toc7447454"/>
    </w:p>
    <w:p w14:paraId="528829BB">
      <w:pPr>
        <w:pStyle w:val="45"/>
        <w:numPr>
          <w:ilvl w:val="0"/>
          <w:numId w:val="0"/>
        </w:numPr>
        <w:shd w:val="clear"/>
        <w:spacing w:line="360" w:lineRule="auto"/>
        <w:outlineLvl w:val="2"/>
        <w:rPr>
          <w:rFonts w:hint="eastAsia" w:ascii="宋体" w:hAnsi="宋体" w:eastAsia="宋体" w:cs="宋体"/>
          <w:b/>
          <w:bCs/>
          <w:color w:val="auto"/>
          <w:szCs w:val="28"/>
          <w:highlight w:val="none"/>
          <w:lang w:eastAsia="zh-CN"/>
        </w:rPr>
      </w:pPr>
      <w:r>
        <w:rPr>
          <w:rFonts w:hint="eastAsia" w:ascii="宋体" w:hAnsi="宋体" w:eastAsia="宋体" w:cs="宋体"/>
          <w:b/>
          <w:bCs/>
          <w:color w:val="auto"/>
          <w:szCs w:val="28"/>
          <w:highlight w:val="none"/>
          <w:lang w:val="en-US" w:eastAsia="zh-CN"/>
        </w:rPr>
        <w:t>1、</w:t>
      </w:r>
      <w:r>
        <w:rPr>
          <w:rFonts w:hint="eastAsia" w:ascii="宋体" w:hAnsi="宋体" w:eastAsia="宋体" w:cs="宋体"/>
          <w:b/>
          <w:bCs/>
          <w:color w:val="auto"/>
          <w:szCs w:val="28"/>
          <w:highlight w:val="none"/>
          <w:lang w:eastAsia="zh-CN"/>
        </w:rPr>
        <w:t>供应商概况及其性质</w:t>
      </w:r>
    </w:p>
    <w:tbl>
      <w:tblPr>
        <w:tblStyle w:val="26"/>
        <w:tblW w:w="891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01"/>
        <w:gridCol w:w="949"/>
        <w:gridCol w:w="2299"/>
        <w:gridCol w:w="1685"/>
        <w:gridCol w:w="2485"/>
      </w:tblGrid>
      <w:tr w14:paraId="1E00F44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1501" w:type="dxa"/>
            <w:vAlign w:val="center"/>
          </w:tcPr>
          <w:p w14:paraId="72AA867C">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kern w:val="0"/>
                <w:sz w:val="24"/>
                <w:szCs w:val="24"/>
                <w:highlight w:val="none"/>
              </w:rPr>
              <w:t>名称</w:t>
            </w:r>
          </w:p>
        </w:tc>
        <w:tc>
          <w:tcPr>
            <w:tcW w:w="7418" w:type="dxa"/>
            <w:gridSpan w:val="4"/>
            <w:vAlign w:val="center"/>
          </w:tcPr>
          <w:p w14:paraId="0F78F105">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1D6A9B2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1501" w:type="dxa"/>
            <w:vAlign w:val="center"/>
          </w:tcPr>
          <w:p w14:paraId="6B60E019">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p>
        </w:tc>
        <w:tc>
          <w:tcPr>
            <w:tcW w:w="3248" w:type="dxa"/>
            <w:gridSpan w:val="2"/>
            <w:vAlign w:val="center"/>
          </w:tcPr>
          <w:p w14:paraId="5EA03DBB">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0ED04156">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2485" w:type="dxa"/>
            <w:vAlign w:val="center"/>
          </w:tcPr>
          <w:p w14:paraId="39641EE1">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0E47FAB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0" w:hRule="atLeast"/>
          <w:jc w:val="center"/>
        </w:trPr>
        <w:tc>
          <w:tcPr>
            <w:tcW w:w="1501" w:type="dxa"/>
            <w:vMerge w:val="restart"/>
            <w:vAlign w:val="center"/>
          </w:tcPr>
          <w:p w14:paraId="00532CAE">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联系方式</w:t>
            </w:r>
          </w:p>
        </w:tc>
        <w:tc>
          <w:tcPr>
            <w:tcW w:w="949" w:type="dxa"/>
            <w:vAlign w:val="center"/>
          </w:tcPr>
          <w:p w14:paraId="72A3C4C9">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联系人</w:t>
            </w:r>
          </w:p>
        </w:tc>
        <w:tc>
          <w:tcPr>
            <w:tcW w:w="2299" w:type="dxa"/>
            <w:vAlign w:val="center"/>
          </w:tcPr>
          <w:p w14:paraId="3ACC8A2E">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7E5058D9">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c>
          <w:tcPr>
            <w:tcW w:w="2485" w:type="dxa"/>
            <w:vAlign w:val="center"/>
          </w:tcPr>
          <w:p w14:paraId="5C507E6F">
            <w:pPr>
              <w:keepNext/>
              <w:keepLines/>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2C72B2B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jc w:val="center"/>
        </w:trPr>
        <w:tc>
          <w:tcPr>
            <w:tcW w:w="1501" w:type="dxa"/>
            <w:vMerge w:val="continue"/>
            <w:vAlign w:val="center"/>
          </w:tcPr>
          <w:p w14:paraId="47709437">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949" w:type="dxa"/>
            <w:vAlign w:val="center"/>
          </w:tcPr>
          <w:p w14:paraId="44870E63">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2299" w:type="dxa"/>
            <w:vAlign w:val="center"/>
          </w:tcPr>
          <w:p w14:paraId="537120D3">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5EAAA3A0">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网址</w:t>
            </w:r>
          </w:p>
        </w:tc>
        <w:tc>
          <w:tcPr>
            <w:tcW w:w="2485" w:type="dxa"/>
            <w:vAlign w:val="center"/>
          </w:tcPr>
          <w:p w14:paraId="2205B579">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237B3B1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1501" w:type="dxa"/>
            <w:vAlign w:val="center"/>
          </w:tcPr>
          <w:p w14:paraId="565D4CF0">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949" w:type="dxa"/>
            <w:vAlign w:val="center"/>
          </w:tcPr>
          <w:p w14:paraId="50B6EDC8">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99" w:type="dxa"/>
            <w:vAlign w:val="center"/>
          </w:tcPr>
          <w:p w14:paraId="7E3A360F">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7E65BE3B">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c>
          <w:tcPr>
            <w:tcW w:w="2485" w:type="dxa"/>
            <w:vAlign w:val="center"/>
          </w:tcPr>
          <w:p w14:paraId="12868B52">
            <w:pPr>
              <w:shd w:val="clea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3B6DDB7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501" w:type="dxa"/>
            <w:vAlign w:val="center"/>
          </w:tcPr>
          <w:p w14:paraId="5B986A24">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项目经理</w:t>
            </w:r>
          </w:p>
        </w:tc>
        <w:tc>
          <w:tcPr>
            <w:tcW w:w="949" w:type="dxa"/>
            <w:vAlign w:val="center"/>
          </w:tcPr>
          <w:p w14:paraId="423BD7DE">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99" w:type="dxa"/>
            <w:vAlign w:val="center"/>
          </w:tcPr>
          <w:p w14:paraId="1AEB5A64">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156922FB">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c>
          <w:tcPr>
            <w:tcW w:w="2485" w:type="dxa"/>
            <w:vAlign w:val="center"/>
          </w:tcPr>
          <w:p w14:paraId="7CB8939D">
            <w:pPr>
              <w:shd w:val="clea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0B53115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1501" w:type="dxa"/>
            <w:vAlign w:val="center"/>
          </w:tcPr>
          <w:p w14:paraId="22A19D7B">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p>
        </w:tc>
        <w:tc>
          <w:tcPr>
            <w:tcW w:w="3248" w:type="dxa"/>
            <w:gridSpan w:val="2"/>
            <w:vAlign w:val="center"/>
          </w:tcPr>
          <w:p w14:paraId="7739391B">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59D6D977">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tc>
        <w:tc>
          <w:tcPr>
            <w:tcW w:w="2485" w:type="dxa"/>
            <w:vAlign w:val="center"/>
          </w:tcPr>
          <w:p w14:paraId="5021FCBA">
            <w:pPr>
              <w:shd w:val="clea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44E39F4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0" w:hRule="atLeast"/>
          <w:jc w:val="center"/>
        </w:trPr>
        <w:tc>
          <w:tcPr>
            <w:tcW w:w="1501" w:type="dxa"/>
            <w:vAlign w:val="center"/>
          </w:tcPr>
          <w:p w14:paraId="6C4E1C9F">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统一社会信用代码</w:t>
            </w:r>
          </w:p>
        </w:tc>
        <w:tc>
          <w:tcPr>
            <w:tcW w:w="3248" w:type="dxa"/>
            <w:gridSpan w:val="2"/>
            <w:vAlign w:val="center"/>
          </w:tcPr>
          <w:p w14:paraId="0B60A31B">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45B46F48">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c>
          <w:tcPr>
            <w:tcW w:w="2485" w:type="dxa"/>
            <w:vAlign w:val="center"/>
          </w:tcPr>
          <w:p w14:paraId="6DD31025">
            <w:pPr>
              <w:shd w:val="clea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0275D82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047" w:hRule="atLeast"/>
          <w:jc w:val="center"/>
        </w:trPr>
        <w:tc>
          <w:tcPr>
            <w:tcW w:w="1501" w:type="dxa"/>
            <w:vAlign w:val="center"/>
          </w:tcPr>
          <w:p w14:paraId="03632E5C">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经营范围</w:t>
            </w:r>
          </w:p>
        </w:tc>
        <w:tc>
          <w:tcPr>
            <w:tcW w:w="7418" w:type="dxa"/>
            <w:gridSpan w:val="4"/>
            <w:vAlign w:val="center"/>
          </w:tcPr>
          <w:p w14:paraId="2F5EDA2F">
            <w:pPr>
              <w:shd w:val="clear"/>
              <w:autoSpaceDE w:val="0"/>
              <w:autoSpaceDN w:val="0"/>
              <w:adjustRightInd w:val="0"/>
              <w:spacing w:line="400" w:lineRule="exact"/>
              <w:rPr>
                <w:rFonts w:hint="eastAsia" w:ascii="宋体" w:hAnsi="宋体" w:eastAsia="宋体" w:cs="宋体"/>
                <w:b/>
                <w:bCs/>
                <w:color w:val="auto"/>
                <w:kern w:val="0"/>
                <w:sz w:val="24"/>
                <w:szCs w:val="24"/>
                <w:highlight w:val="none"/>
              </w:rPr>
            </w:pPr>
          </w:p>
        </w:tc>
      </w:tr>
      <w:tr w14:paraId="623C55D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653" w:hRule="atLeast"/>
          <w:jc w:val="center"/>
        </w:trPr>
        <w:tc>
          <w:tcPr>
            <w:tcW w:w="1501" w:type="dxa"/>
            <w:vAlign w:val="top"/>
          </w:tcPr>
          <w:p w14:paraId="1C7FE62B">
            <w:pPr>
              <w:shd w:val="clea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418" w:type="dxa"/>
            <w:gridSpan w:val="4"/>
            <w:vAlign w:val="top"/>
          </w:tcPr>
          <w:p w14:paraId="7D2038D6">
            <w:pPr>
              <w:shd w:val="clear"/>
              <w:autoSpaceDE w:val="0"/>
              <w:autoSpaceDN w:val="0"/>
              <w:adjustRightInd w:val="0"/>
              <w:spacing w:line="400" w:lineRule="exact"/>
              <w:jc w:val="left"/>
              <w:rPr>
                <w:rFonts w:hint="eastAsia" w:ascii="宋体" w:hAnsi="宋体" w:eastAsia="宋体" w:cs="宋体"/>
                <w:color w:val="auto"/>
                <w:kern w:val="0"/>
                <w:sz w:val="24"/>
                <w:szCs w:val="24"/>
                <w:highlight w:val="none"/>
              </w:rPr>
            </w:pPr>
          </w:p>
        </w:tc>
      </w:tr>
    </w:tbl>
    <w:p w14:paraId="253C3B07">
      <w:pPr>
        <w:shd w:val="clear"/>
        <w:rPr>
          <w:rFonts w:hint="eastAsia" w:ascii="宋体" w:hAnsi="宋体" w:eastAsia="宋体" w:cs="宋体"/>
          <w:color w:val="auto"/>
          <w:highlight w:val="none"/>
        </w:rPr>
      </w:pPr>
    </w:p>
    <w:p w14:paraId="5799E72E">
      <w:pPr>
        <w:shd w:val="clear"/>
        <w:spacing w:line="360" w:lineRule="auto"/>
        <w:ind w:firstLine="470" w:firstLineChars="196"/>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lang w:val="en-US" w:eastAsia="zh-CN"/>
        </w:rPr>
        <w:t>供应商</w:t>
      </w:r>
      <w:r>
        <w:rPr>
          <w:rFonts w:hint="eastAsia" w:ascii="宋体" w:hAnsi="宋体" w:eastAsia="宋体" w:cs="宋体"/>
          <w:bCs/>
          <w:color w:val="auto"/>
          <w:sz w:val="24"/>
          <w:szCs w:val="22"/>
          <w:highlight w:val="none"/>
        </w:rPr>
        <w:t>名称:</w:t>
      </w:r>
      <w:r>
        <w:rPr>
          <w:rFonts w:hint="eastAsia" w:ascii="宋体" w:hAnsi="宋体" w:eastAsia="宋体" w:cs="宋体"/>
          <w:bCs/>
          <w:color w:val="auto"/>
          <w:sz w:val="24"/>
          <w:szCs w:val="22"/>
          <w:highlight w:val="none"/>
          <w:u w:val="single"/>
        </w:rPr>
        <w:t xml:space="preserve">                    </w:t>
      </w: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供应商</w:t>
      </w:r>
      <w:r>
        <w:rPr>
          <w:rFonts w:hint="eastAsia" w:ascii="宋体" w:hAnsi="宋体" w:eastAsia="宋体" w:cs="宋体"/>
          <w:bCs/>
          <w:color w:val="auto"/>
          <w:sz w:val="24"/>
          <w:szCs w:val="22"/>
          <w:highlight w:val="none"/>
        </w:rPr>
        <w:t>加盖公章）</w:t>
      </w:r>
    </w:p>
    <w:p w14:paraId="2F1676DC">
      <w:pPr>
        <w:shd w:val="clear"/>
        <w:spacing w:line="360" w:lineRule="auto"/>
        <w:ind w:firstLine="470" w:firstLineChars="196"/>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2"/>
          <w:highlight w:val="none"/>
        </w:rPr>
        <w:t>日   期：     年    月    日</w:t>
      </w:r>
    </w:p>
    <w:p w14:paraId="6B256947">
      <w:pPr>
        <w:pStyle w:val="45"/>
        <w:shd w:val="clear"/>
        <w:spacing w:line="360" w:lineRule="auto"/>
        <w:ind w:firstLine="131" w:firstLineChars="62"/>
        <w:jc w:val="left"/>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注：后附下列资料</w:t>
      </w:r>
    </w:p>
    <w:p w14:paraId="1DB75444">
      <w:pPr>
        <w:pStyle w:val="45"/>
        <w:shd w:val="clear"/>
        <w:spacing w:line="360" w:lineRule="auto"/>
        <w:ind w:firstLine="131" w:firstLineChars="62"/>
        <w:jc w:val="left"/>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.残疾人福利性单位声明函（如适用，请提供，格式见附件</w:t>
      </w:r>
      <w:r>
        <w:rPr>
          <w:rFonts w:hint="eastAsia" w:ascii="宋体" w:hAnsi="宋体" w:eastAsia="宋体" w:cs="宋体"/>
          <w:b/>
          <w:bCs/>
          <w:color w:val="auto"/>
          <w:sz w:val="21"/>
          <w:szCs w:val="21"/>
          <w:highlight w:val="none"/>
          <w:lang w:eastAsia="zh-CN"/>
        </w:rPr>
        <w:t>一</w:t>
      </w:r>
      <w:r>
        <w:rPr>
          <w:rFonts w:hint="eastAsia" w:ascii="宋体" w:hAnsi="宋体" w:eastAsia="宋体" w:cs="宋体"/>
          <w:b/>
          <w:bCs/>
          <w:color w:val="auto"/>
          <w:sz w:val="21"/>
          <w:szCs w:val="21"/>
          <w:highlight w:val="none"/>
        </w:rPr>
        <w:t>）；</w:t>
      </w:r>
    </w:p>
    <w:p w14:paraId="71C5EE64">
      <w:pPr>
        <w:pStyle w:val="45"/>
        <w:shd w:val="clear"/>
        <w:spacing w:line="360" w:lineRule="auto"/>
        <w:ind w:firstLine="131" w:firstLineChars="62"/>
        <w:jc w:val="left"/>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.监狱企业证明文件（如适用，请提供证明材料）；</w:t>
      </w:r>
    </w:p>
    <w:p w14:paraId="11528174">
      <w:pPr>
        <w:pStyle w:val="45"/>
        <w:shd w:val="clear"/>
        <w:spacing w:line="360" w:lineRule="auto"/>
        <w:ind w:firstLine="131" w:firstLineChars="62"/>
        <w:jc w:val="left"/>
        <w:outlineLvl w:val="9"/>
        <w:rPr>
          <w:rFonts w:hint="eastAsia" w:ascii="宋体" w:hAnsi="宋体" w:eastAsia="宋体" w:cs="宋体"/>
          <w:b/>
          <w:bCs/>
          <w:color w:val="auto"/>
          <w:sz w:val="21"/>
          <w:szCs w:val="21"/>
          <w:highlight w:val="none"/>
        </w:rPr>
        <w:sectPr>
          <w:headerReference r:id="rId13" w:type="first"/>
          <w:footerReference r:id="rId15" w:type="first"/>
          <w:headerReference r:id="rId12" w:type="default"/>
          <w:footerReference r:id="rId14" w:type="default"/>
          <w:pgSz w:w="11905" w:h="16838"/>
          <w:pgMar w:top="1440" w:right="1080" w:bottom="1440" w:left="1080" w:header="935" w:footer="10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.其他资料。</w:t>
      </w:r>
    </w:p>
    <w:bookmarkEnd w:id="94"/>
    <w:p w14:paraId="053B0EF0">
      <w:pPr>
        <w:pStyle w:val="45"/>
        <w:shd w:val="clear"/>
        <w:spacing w:line="360" w:lineRule="auto"/>
        <w:ind w:firstLine="149" w:firstLineChars="62"/>
        <w:jc w:val="both"/>
        <w:outlineLvl w:val="9"/>
        <w:rPr>
          <w:rFonts w:hint="eastAsia" w:ascii="宋体" w:hAnsi="宋体" w:eastAsia="宋体" w:cs="宋体"/>
          <w:b/>
          <w:color w:val="auto"/>
          <w:spacing w:val="6"/>
          <w:szCs w:val="24"/>
          <w:highlight w:val="none"/>
        </w:rPr>
      </w:pPr>
      <w:r>
        <w:rPr>
          <w:rFonts w:hint="eastAsia" w:ascii="宋体" w:hAnsi="宋体" w:eastAsia="宋体" w:cs="宋体"/>
          <w:b/>
          <w:bCs/>
          <w:color w:val="auto"/>
          <w:kern w:val="0"/>
          <w:sz w:val="24"/>
          <w:szCs w:val="24"/>
          <w:highlight w:val="none"/>
          <w:lang w:val="en-US" w:eastAsia="zh-CN" w:bidi="ar-SA"/>
        </w:rPr>
        <w:t>附件一：《残疾人福利性单位声明函》（若有）</w:t>
      </w:r>
    </w:p>
    <w:p w14:paraId="40DF0402">
      <w:pPr>
        <w:shd w:val="clear"/>
        <w:spacing w:line="360" w:lineRule="auto"/>
        <w:jc w:val="center"/>
        <w:rPr>
          <w:rFonts w:hint="eastAsia" w:ascii="宋体" w:hAnsi="宋体" w:eastAsia="宋体" w:cs="宋体"/>
          <w:b w:val="0"/>
          <w:bCs w:val="0"/>
          <w:color w:val="auto"/>
          <w:kern w:val="2"/>
          <w:sz w:val="24"/>
          <w:szCs w:val="24"/>
          <w:highlight w:val="none"/>
          <w:lang w:val="en-US" w:eastAsia="en-US" w:bidi="ar-SA"/>
        </w:rPr>
      </w:pPr>
    </w:p>
    <w:p w14:paraId="29ECA115">
      <w:pPr>
        <w:shd w:val="clear"/>
        <w:spacing w:line="360" w:lineRule="auto"/>
        <w:jc w:val="center"/>
        <w:rPr>
          <w:rFonts w:hint="eastAsia" w:ascii="宋体" w:hAnsi="宋体" w:eastAsia="宋体" w:cs="宋体"/>
          <w:b w:val="0"/>
          <w:bCs w:val="0"/>
          <w:color w:val="auto"/>
          <w:kern w:val="2"/>
          <w:sz w:val="24"/>
          <w:szCs w:val="24"/>
          <w:highlight w:val="none"/>
          <w:lang w:val="en-US" w:eastAsia="en-US" w:bidi="ar-SA"/>
        </w:rPr>
      </w:pPr>
      <w:r>
        <w:rPr>
          <w:rFonts w:hint="eastAsia" w:ascii="宋体" w:hAnsi="宋体" w:eastAsia="宋体" w:cs="宋体"/>
          <w:b w:val="0"/>
          <w:bCs w:val="0"/>
          <w:color w:val="auto"/>
          <w:kern w:val="2"/>
          <w:sz w:val="24"/>
          <w:szCs w:val="24"/>
          <w:highlight w:val="none"/>
          <w:lang w:val="en-US" w:eastAsia="en-US" w:bidi="ar-SA"/>
        </w:rPr>
        <w:t>残疾人福利性单位声明函</w:t>
      </w:r>
    </w:p>
    <w:p w14:paraId="39BC5D79">
      <w:pPr>
        <w:shd w:val="clear"/>
        <w:spacing w:line="360" w:lineRule="auto"/>
        <w:rPr>
          <w:rFonts w:hint="eastAsia" w:ascii="宋体" w:hAnsi="宋体" w:eastAsia="宋体" w:cs="宋体"/>
          <w:b/>
          <w:bCs/>
          <w:color w:val="auto"/>
          <w:kern w:val="2"/>
          <w:sz w:val="24"/>
          <w:szCs w:val="24"/>
          <w:highlight w:val="none"/>
          <w:lang w:val="en-US" w:eastAsia="en-US" w:bidi="ar-SA"/>
        </w:rPr>
      </w:pPr>
    </w:p>
    <w:p w14:paraId="0F27442F">
      <w:pPr>
        <w:shd w:val="clear"/>
        <w:spacing w:line="360" w:lineRule="auto"/>
        <w:ind w:firstLine="504" w:firstLineChars="200"/>
        <w:rPr>
          <w:rFonts w:hint="eastAsia" w:ascii="宋体" w:hAnsi="宋体" w:eastAsia="宋体" w:cs="宋体"/>
          <w:color w:val="auto"/>
          <w:spacing w:val="6"/>
          <w:sz w:val="24"/>
          <w:szCs w:val="22"/>
          <w:highlight w:val="none"/>
        </w:rPr>
      </w:pPr>
      <w:r>
        <w:rPr>
          <w:rFonts w:hint="eastAsia" w:ascii="宋体" w:hAnsi="宋体" w:eastAsia="宋体" w:cs="宋体"/>
          <w:color w:val="auto"/>
          <w:spacing w:val="6"/>
          <w:sz w:val="24"/>
          <w:szCs w:val="22"/>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2"/>
          <w:highlight w:val="none"/>
        </w:rPr>
        <w:t>〔2017〕 141</w:t>
      </w:r>
      <w:r>
        <w:rPr>
          <w:rFonts w:hint="eastAsia" w:ascii="宋体" w:hAnsi="宋体" w:eastAsia="宋体" w:cs="宋体"/>
          <w:color w:val="auto"/>
          <w:spacing w:val="6"/>
          <w:sz w:val="24"/>
          <w:szCs w:val="2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117BEF5">
      <w:pPr>
        <w:shd w:val="clear"/>
        <w:spacing w:line="360" w:lineRule="auto"/>
        <w:ind w:firstLine="504" w:firstLineChars="200"/>
        <w:rPr>
          <w:rFonts w:hint="eastAsia" w:ascii="宋体" w:hAnsi="宋体" w:eastAsia="宋体" w:cs="宋体"/>
          <w:color w:val="auto"/>
          <w:spacing w:val="6"/>
          <w:sz w:val="24"/>
          <w:szCs w:val="22"/>
          <w:highlight w:val="none"/>
        </w:rPr>
      </w:pPr>
      <w:r>
        <w:rPr>
          <w:rFonts w:hint="eastAsia" w:ascii="宋体" w:hAnsi="宋体" w:eastAsia="宋体" w:cs="宋体"/>
          <w:color w:val="auto"/>
          <w:spacing w:val="6"/>
          <w:sz w:val="24"/>
          <w:szCs w:val="22"/>
          <w:highlight w:val="none"/>
        </w:rPr>
        <w:t>本单位对上述声明的真实性负责。如有虚假，将依法承担相应责任。</w:t>
      </w:r>
    </w:p>
    <w:p w14:paraId="637B835D">
      <w:pPr>
        <w:shd w:val="clear"/>
        <w:spacing w:line="360" w:lineRule="auto"/>
        <w:ind w:firstLine="584" w:firstLineChars="200"/>
        <w:rPr>
          <w:rFonts w:hint="eastAsia" w:ascii="宋体" w:hAnsi="宋体" w:eastAsia="宋体" w:cs="宋体"/>
          <w:color w:val="auto"/>
          <w:spacing w:val="6"/>
          <w:szCs w:val="24"/>
          <w:highlight w:val="none"/>
        </w:rPr>
      </w:pPr>
    </w:p>
    <w:p w14:paraId="4D7FF726">
      <w:pPr>
        <w:shd w:val="clear"/>
        <w:spacing w:line="360" w:lineRule="auto"/>
        <w:ind w:firstLine="584" w:firstLineChars="200"/>
        <w:rPr>
          <w:rFonts w:hint="eastAsia" w:ascii="宋体" w:hAnsi="宋体" w:eastAsia="宋体" w:cs="宋体"/>
          <w:color w:val="auto"/>
          <w:spacing w:val="6"/>
          <w:szCs w:val="24"/>
          <w:highlight w:val="none"/>
        </w:rPr>
      </w:pPr>
    </w:p>
    <w:p w14:paraId="5039B6EA">
      <w:pPr>
        <w:shd w:val="clear"/>
        <w:spacing w:before="156" w:beforeLines="50" w:after="156" w:afterLines="50" w:line="360" w:lineRule="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lang w:val="en-US" w:eastAsia="zh-CN"/>
        </w:rPr>
        <w:t xml:space="preserve">      供应商</w:t>
      </w:r>
      <w:r>
        <w:rPr>
          <w:rFonts w:hint="eastAsia" w:ascii="宋体" w:hAnsi="宋体" w:eastAsia="宋体" w:cs="宋体"/>
          <w:bCs/>
          <w:color w:val="auto"/>
          <w:sz w:val="24"/>
          <w:szCs w:val="24"/>
          <w:highlight w:val="none"/>
        </w:rPr>
        <w:t>名称</w:t>
      </w:r>
      <w:r>
        <w:rPr>
          <w:rFonts w:hint="eastAsia" w:ascii="宋体" w:hAnsi="宋体" w:eastAsia="宋体" w:cs="宋体"/>
          <w:color w:val="auto"/>
          <w:spacing w:val="4"/>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单位公章）</w:t>
      </w:r>
    </w:p>
    <w:p w14:paraId="0DBCF8BC">
      <w:pPr>
        <w:shd w:val="clear"/>
        <w:adjustRightInd w:val="0"/>
        <w:snapToGrid w:val="0"/>
        <w:spacing w:line="360" w:lineRule="auto"/>
        <w:ind w:right="4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    年   月   日</w:t>
      </w:r>
    </w:p>
    <w:p w14:paraId="636491C5">
      <w:pPr>
        <w:shd w:val="clear"/>
        <w:rPr>
          <w:rFonts w:hint="eastAsia" w:ascii="宋体" w:hAnsi="宋体" w:eastAsia="宋体" w:cs="宋体"/>
          <w:color w:val="auto"/>
          <w:kern w:val="2"/>
          <w:sz w:val="24"/>
          <w:szCs w:val="24"/>
          <w:highlight w:val="none"/>
          <w:lang w:val="en-US" w:eastAsia="en-US" w:bidi="ar-SA"/>
        </w:rPr>
      </w:pPr>
    </w:p>
    <w:p w14:paraId="457C1DA8">
      <w:pPr>
        <w:pStyle w:val="25"/>
        <w:shd w:val="clear"/>
        <w:rPr>
          <w:rFonts w:hint="eastAsia" w:ascii="宋体" w:hAnsi="宋体" w:eastAsia="宋体" w:cs="宋体"/>
          <w:color w:val="auto"/>
          <w:highlight w:val="none"/>
        </w:rPr>
      </w:pPr>
    </w:p>
    <w:p w14:paraId="2F43D16D">
      <w:pPr>
        <w:shd w:val="clear"/>
        <w:spacing w:line="600" w:lineRule="exact"/>
        <w:rPr>
          <w:rFonts w:hint="eastAsia" w:ascii="宋体" w:hAnsi="宋体" w:eastAsia="宋体" w:cs="宋体"/>
          <w:b/>
          <w:sz w:val="24"/>
        </w:rPr>
      </w:pPr>
      <w:r>
        <w:rPr>
          <w:rFonts w:hint="eastAsia" w:ascii="宋体" w:hAnsi="宋体" w:eastAsia="宋体" w:cs="宋体"/>
          <w:color w:val="auto"/>
          <w:highlight w:val="none"/>
        </w:rPr>
        <w:br w:type="page"/>
      </w:r>
      <w:r>
        <w:rPr>
          <w:rFonts w:hint="eastAsia" w:ascii="宋体" w:hAnsi="宋体" w:eastAsia="宋体" w:cs="宋体"/>
          <w:b/>
          <w:sz w:val="24"/>
        </w:rPr>
        <w:t>监狱企业证明文件（若有）</w:t>
      </w:r>
    </w:p>
    <w:p w14:paraId="57BCEDE8">
      <w:pPr>
        <w:shd w:val="clear"/>
        <w:snapToGrid w:val="0"/>
        <w:spacing w:line="360" w:lineRule="auto"/>
        <w:ind w:firstLine="504" w:firstLineChars="200"/>
        <w:rPr>
          <w:rFonts w:hint="eastAsia" w:ascii="宋体" w:hAnsi="宋体" w:eastAsia="宋体" w:cs="宋体"/>
          <w:spacing w:val="6"/>
          <w:sz w:val="24"/>
        </w:rPr>
      </w:pPr>
    </w:p>
    <w:p w14:paraId="29FD2E80">
      <w:pPr>
        <w:shd w:val="clear"/>
        <w:snapToGrid w:val="0"/>
        <w:spacing w:line="360" w:lineRule="auto"/>
        <w:ind w:firstLine="504" w:firstLineChars="200"/>
        <w:rPr>
          <w:rFonts w:hint="eastAsia" w:ascii="宋体" w:hAnsi="宋体" w:eastAsia="宋体" w:cs="宋体"/>
          <w:sz w:val="24"/>
        </w:rPr>
      </w:pPr>
      <w:r>
        <w:rPr>
          <w:rFonts w:hint="eastAsia" w:ascii="宋体" w:hAnsi="宋体" w:eastAsia="宋体" w:cs="宋体"/>
          <w:spacing w:val="6"/>
          <w:sz w:val="24"/>
        </w:rPr>
        <w:t xml:space="preserve"> 说明：根据</w:t>
      </w:r>
      <w:r>
        <w:rPr>
          <w:rFonts w:hint="eastAsia" w:ascii="宋体" w:hAnsi="宋体" w:eastAsia="宋体" w:cs="宋体"/>
          <w:sz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14:paraId="4B22DE03">
      <w:pPr>
        <w:pStyle w:val="44"/>
        <w:shd w:val="clear"/>
        <w:rPr>
          <w:rFonts w:hint="eastAsia" w:ascii="宋体" w:hAnsi="宋体" w:eastAsia="宋体" w:cs="宋体"/>
          <w:b/>
          <w:color w:val="auto"/>
          <w:sz w:val="44"/>
          <w:szCs w:val="44"/>
          <w:highlight w:val="none"/>
          <w:lang w:val="en-US" w:eastAsia="zh-CN"/>
        </w:rPr>
      </w:pPr>
      <w:r>
        <w:rPr>
          <w:rFonts w:hint="eastAsia" w:ascii="宋体" w:hAnsi="宋体" w:eastAsia="宋体" w:cs="宋体"/>
          <w:b/>
          <w:bCs/>
          <w:color w:val="auto"/>
          <w:szCs w:val="28"/>
          <w:highlight w:val="none"/>
          <w:lang w:val="en-US" w:eastAsia="zh-CN"/>
        </w:rPr>
        <w:br w:type="page"/>
      </w:r>
    </w:p>
    <w:p w14:paraId="52D08DA4">
      <w:pPr>
        <w:pStyle w:val="45"/>
        <w:shd w:val="clear"/>
        <w:spacing w:line="360" w:lineRule="auto"/>
        <w:ind w:left="0" w:leftChars="0" w:firstLine="0" w:firstLineChars="0"/>
        <w:outlineLvl w:val="2"/>
        <w:rPr>
          <w:rFonts w:hint="eastAsia" w:ascii="宋体" w:hAnsi="宋体" w:eastAsia="宋体" w:cs="宋体"/>
          <w:b/>
          <w:bCs/>
          <w:color w:val="auto"/>
          <w:szCs w:val="28"/>
          <w:highlight w:val="none"/>
          <w:lang w:eastAsia="zh-CN"/>
        </w:rPr>
      </w:pPr>
      <w:bookmarkStart w:id="95" w:name="_Toc23813"/>
      <w:r>
        <w:rPr>
          <w:rFonts w:hint="eastAsia" w:ascii="宋体" w:hAnsi="宋体" w:eastAsia="宋体" w:cs="宋体"/>
          <w:b/>
          <w:bCs/>
          <w:color w:val="auto"/>
          <w:szCs w:val="28"/>
          <w:highlight w:val="none"/>
          <w:lang w:val="en-US" w:eastAsia="zh-CN"/>
        </w:rPr>
        <w:t>2、</w:t>
      </w:r>
      <w:r>
        <w:rPr>
          <w:rFonts w:hint="eastAsia" w:ascii="宋体" w:hAnsi="宋体" w:eastAsia="宋体" w:cs="宋体"/>
          <w:b/>
          <w:bCs/>
          <w:color w:val="auto"/>
          <w:szCs w:val="28"/>
          <w:highlight w:val="none"/>
          <w:lang w:eastAsia="zh-CN"/>
        </w:rPr>
        <w:t>技术文件</w:t>
      </w:r>
      <w:bookmarkEnd w:id="95"/>
    </w:p>
    <w:p w14:paraId="014BDBFC">
      <w:pPr>
        <w:shd w:val="clear"/>
        <w:spacing w:line="360" w:lineRule="auto"/>
        <w:jc w:val="center"/>
        <w:outlineLvl w:val="9"/>
        <w:rPr>
          <w:rFonts w:hint="eastAsia" w:ascii="宋体" w:hAnsi="宋体" w:eastAsia="宋体" w:cs="宋体"/>
          <w:b/>
          <w:bCs/>
          <w:color w:val="auto"/>
          <w:sz w:val="28"/>
          <w:szCs w:val="28"/>
          <w:highlight w:val="none"/>
        </w:rPr>
      </w:pPr>
      <w:bookmarkStart w:id="96" w:name="_Toc11620"/>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供应商</w:t>
      </w:r>
      <w:r>
        <w:rPr>
          <w:rFonts w:hint="eastAsia" w:ascii="宋体" w:hAnsi="宋体" w:eastAsia="宋体" w:cs="宋体"/>
          <w:b/>
          <w:bCs/>
          <w:color w:val="auto"/>
          <w:sz w:val="28"/>
          <w:szCs w:val="28"/>
          <w:highlight w:val="none"/>
          <w:lang w:eastAsia="zh-CN"/>
        </w:rPr>
        <w:t>根据评标办法细则格式自拟、自行阐述</w:t>
      </w:r>
      <w:r>
        <w:rPr>
          <w:rFonts w:hint="eastAsia" w:ascii="宋体" w:hAnsi="宋体" w:eastAsia="宋体" w:cs="宋体"/>
          <w:b/>
          <w:bCs/>
          <w:color w:val="auto"/>
          <w:sz w:val="28"/>
          <w:szCs w:val="28"/>
          <w:highlight w:val="none"/>
        </w:rPr>
        <w:t>）</w:t>
      </w:r>
      <w:bookmarkEnd w:id="96"/>
    </w:p>
    <w:p w14:paraId="060337DA">
      <w:pPr>
        <w:pStyle w:val="44"/>
        <w:shd w:val="clear"/>
        <w:rPr>
          <w:rFonts w:hint="eastAsia" w:ascii="宋体" w:hAnsi="宋体" w:eastAsia="宋体" w:cs="宋体"/>
          <w:b/>
          <w:color w:val="auto"/>
          <w:sz w:val="44"/>
          <w:szCs w:val="44"/>
          <w:highlight w:val="none"/>
        </w:rPr>
      </w:pPr>
    </w:p>
    <w:p w14:paraId="4510B068">
      <w:pPr>
        <w:pStyle w:val="7"/>
        <w:numPr>
          <w:ilvl w:val="0"/>
          <w:numId w:val="0"/>
        </w:numPr>
        <w:shd w:val="clear"/>
        <w:rPr>
          <w:rFonts w:hint="eastAsia" w:ascii="宋体" w:hAnsi="宋体" w:eastAsia="宋体" w:cs="宋体"/>
          <w:lang w:val="en-US" w:eastAsia="zh-CN"/>
        </w:rPr>
      </w:pPr>
    </w:p>
    <w:p w14:paraId="7DA3FC30">
      <w:pPr>
        <w:shd w:val="clear"/>
        <w:rPr>
          <w:rFonts w:hint="eastAsia" w:ascii="宋体" w:hAnsi="宋体" w:eastAsia="宋体" w:cs="宋体"/>
          <w:b/>
          <w:color w:val="auto"/>
          <w:highlight w:val="none"/>
          <w:lang w:val="en-US" w:eastAsia="zh-CN"/>
        </w:rPr>
      </w:pPr>
    </w:p>
    <w:p w14:paraId="77D14071">
      <w:pPr>
        <w:shd w:val="clear"/>
        <w:spacing w:line="360" w:lineRule="auto"/>
        <w:rPr>
          <w:rFonts w:hint="eastAsia" w:ascii="宋体" w:hAnsi="宋体" w:eastAsia="宋体" w:cs="宋体"/>
          <w:b/>
          <w:color w:val="auto"/>
          <w:highlight w:val="none"/>
          <w:lang w:val="en-US" w:eastAsia="zh-CN"/>
        </w:rPr>
      </w:pPr>
    </w:p>
    <w:p w14:paraId="66135E88">
      <w:pPr>
        <w:numPr>
          <w:ilvl w:val="0"/>
          <w:numId w:val="0"/>
        </w:numPr>
        <w:shd w:val="clear"/>
        <w:spacing w:line="360" w:lineRule="auto"/>
        <w:jc w:val="left"/>
        <w:outlineLvl w:val="2"/>
        <w:rPr>
          <w:rFonts w:hint="eastAsia" w:ascii="宋体" w:hAnsi="宋体" w:eastAsia="宋体" w:cs="宋体"/>
          <w:color w:val="auto"/>
          <w:highlight w:val="none"/>
        </w:rPr>
      </w:pPr>
      <w:r>
        <w:rPr>
          <w:rFonts w:hint="eastAsia" w:ascii="宋体" w:hAnsi="宋体" w:eastAsia="宋体" w:cs="宋体"/>
          <w:b/>
          <w:color w:val="auto"/>
          <w:highlight w:val="none"/>
          <w:lang w:val="en-US" w:eastAsia="zh-CN"/>
        </w:rPr>
        <w:br w:type="page"/>
      </w:r>
      <w:bookmarkStart w:id="97" w:name="_Toc7761"/>
      <w:r>
        <w:rPr>
          <w:rFonts w:hint="eastAsia" w:ascii="宋体" w:hAnsi="宋体" w:eastAsia="宋体" w:cs="宋体"/>
          <w:b/>
          <w:bCs/>
          <w:color w:val="auto"/>
          <w:kern w:val="2"/>
          <w:sz w:val="28"/>
          <w:szCs w:val="28"/>
          <w:highlight w:val="none"/>
          <w:lang w:val="en-US" w:eastAsia="zh-CN" w:bidi="ar-SA"/>
        </w:rPr>
        <w:t>3</w:t>
      </w:r>
      <w:r>
        <w:rPr>
          <w:rFonts w:hint="eastAsia" w:ascii="宋体" w:hAnsi="宋体" w:eastAsia="宋体" w:cs="宋体"/>
          <w:b/>
          <w:color w:val="auto"/>
          <w:highlight w:val="none"/>
          <w:lang w:eastAsia="zh-CN"/>
        </w:rPr>
        <w:t>、</w:t>
      </w:r>
      <w:r>
        <w:rPr>
          <w:rFonts w:hint="eastAsia" w:ascii="宋体" w:hAnsi="宋体" w:eastAsia="宋体" w:cs="宋体"/>
          <w:b/>
          <w:bCs/>
          <w:color w:val="auto"/>
          <w:kern w:val="2"/>
          <w:sz w:val="28"/>
          <w:szCs w:val="28"/>
          <w:highlight w:val="none"/>
          <w:lang w:val="zh-CN" w:eastAsia="zh-CN" w:bidi="ar-SA"/>
        </w:rPr>
        <w:t>提供</w:t>
      </w:r>
      <w:r>
        <w:rPr>
          <w:rFonts w:hint="eastAsia" w:ascii="宋体" w:hAnsi="宋体" w:eastAsia="宋体" w:cs="宋体"/>
          <w:b/>
          <w:bCs/>
          <w:color w:val="auto"/>
          <w:kern w:val="2"/>
          <w:sz w:val="28"/>
          <w:szCs w:val="28"/>
          <w:highlight w:val="none"/>
          <w:lang w:val="en-US" w:eastAsia="zh-CN" w:bidi="ar-SA"/>
        </w:rPr>
        <w:t>2022年01月01日</w:t>
      </w:r>
      <w:r>
        <w:rPr>
          <w:rFonts w:hint="eastAsia" w:ascii="宋体" w:hAnsi="宋体" w:eastAsia="宋体" w:cs="宋体"/>
          <w:b/>
          <w:bCs/>
          <w:color w:val="auto"/>
          <w:kern w:val="2"/>
          <w:sz w:val="28"/>
          <w:szCs w:val="28"/>
          <w:highlight w:val="none"/>
          <w:lang w:val="zh-CN" w:eastAsia="zh-CN" w:bidi="ar-SA"/>
        </w:rPr>
        <w:t>至今</w:t>
      </w:r>
      <w:r>
        <w:rPr>
          <w:rFonts w:hint="eastAsia" w:ascii="宋体" w:hAnsi="宋体" w:eastAsia="宋体" w:cs="宋体"/>
          <w:b/>
          <w:bCs/>
          <w:color w:val="auto"/>
          <w:kern w:val="2"/>
          <w:sz w:val="28"/>
          <w:szCs w:val="28"/>
          <w:highlight w:val="none"/>
          <w:lang w:val="en-US" w:eastAsia="zh-CN" w:bidi="ar-SA"/>
        </w:rPr>
        <w:t>完成的类似业绩证明材料</w:t>
      </w:r>
      <w:bookmarkEnd w:id="97"/>
    </w:p>
    <w:p w14:paraId="5F943AC1">
      <w:pPr>
        <w:shd w:val="clear"/>
        <w:rPr>
          <w:rFonts w:hint="eastAsia" w:ascii="宋体" w:hAnsi="宋体" w:eastAsia="宋体" w:cs="宋体"/>
          <w:color w:val="auto"/>
          <w:highlight w:val="none"/>
        </w:rPr>
      </w:pPr>
    </w:p>
    <w:p w14:paraId="7E43B4FB">
      <w:pPr>
        <w:pStyle w:val="10"/>
        <w:shd w:val="clear"/>
        <w:rPr>
          <w:rFonts w:hint="eastAsia" w:ascii="宋体" w:hAnsi="宋体" w:eastAsia="宋体" w:cs="宋体"/>
          <w:color w:val="auto"/>
          <w:highlight w:val="none"/>
        </w:rPr>
      </w:pPr>
    </w:p>
    <w:p w14:paraId="3BD7D19E">
      <w:pPr>
        <w:shd w:val="clear"/>
        <w:rPr>
          <w:rFonts w:hint="eastAsia" w:ascii="宋体" w:hAnsi="宋体" w:eastAsia="宋体" w:cs="宋体"/>
          <w:color w:val="auto"/>
          <w:highlight w:val="none"/>
        </w:rPr>
      </w:pPr>
    </w:p>
    <w:p w14:paraId="10E4E341">
      <w:pPr>
        <w:pStyle w:val="10"/>
        <w:shd w:val="clear"/>
        <w:rPr>
          <w:rFonts w:hint="eastAsia" w:ascii="宋体" w:hAnsi="宋体" w:eastAsia="宋体" w:cs="宋体"/>
          <w:color w:val="auto"/>
          <w:highlight w:val="none"/>
        </w:rPr>
      </w:pPr>
    </w:p>
    <w:p w14:paraId="26BB9DAD">
      <w:pPr>
        <w:pStyle w:val="44"/>
        <w:shd w:val="clear"/>
        <w:spacing w:line="360" w:lineRule="auto"/>
        <w:ind w:left="0" w:leftChars="0" w:firstLine="0" w:firstLineChars="0"/>
        <w:rPr>
          <w:rFonts w:hint="eastAsia" w:ascii="宋体" w:hAnsi="宋体" w:eastAsia="宋体" w:cs="宋体"/>
          <w:b w:val="0"/>
          <w:bCs w:val="0"/>
          <w:sz w:val="24"/>
          <w:szCs w:val="24"/>
          <w:highlight w:val="none"/>
          <w:lang w:val="en-US" w:eastAsia="zh-CN"/>
        </w:rPr>
      </w:pPr>
    </w:p>
    <w:sectPr>
      <w:headerReference r:id="rId16" w:type="default"/>
      <w:footerReference r:id="rId17" w:type="default"/>
      <w:pgSz w:w="11849" w:h="16781"/>
      <w:pgMar w:top="1440" w:right="1080" w:bottom="1440" w:left="1080" w:header="720" w:footer="72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Arial Unicode MS">
    <w:altName w:val="宋体"/>
    <w:panose1 w:val="020B0604020202020204"/>
    <w:charset w:val="86"/>
    <w:family w:val="roman"/>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81A6B">
    <w:pPr>
      <w:spacing w:line="280" w:lineRule="exact"/>
      <w:jc w:val="center"/>
      <w:rPr>
        <w:rFonts w:hint="eastAsia" w:ascii="宋体" w:hAnsi="宋体"/>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ED8A1">
    <w:pPr>
      <w:pStyle w:val="16"/>
      <w:rPr>
        <w:rFonts w:hint="eastAsia" w:ascii="宋体" w:hAnsi="宋体"/>
        <w:b/>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E1D71">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01E1D71">
                    <w:pPr>
                      <w:pStyle w:val="16"/>
                    </w:pPr>
                    <w:r>
                      <w:fldChar w:fldCharType="begin"/>
                    </w:r>
                    <w:r>
                      <w:instrText xml:space="preserve"> PAGE  \* MERGEFORMAT </w:instrText>
                    </w:r>
                    <w:r>
                      <w:fldChar w:fldCharType="separate"/>
                    </w:r>
                    <w:r>
                      <w:t>2</w:t>
                    </w:r>
                    <w:r>
                      <w:fldChar w:fldCharType="end"/>
                    </w:r>
                  </w:p>
                </w:txbxContent>
              </v:textbox>
            </v:shape>
          </w:pict>
        </mc:Fallback>
      </mc:AlternateContent>
    </w:r>
  </w:p>
  <w:p w14:paraId="322910A6">
    <w:pPr>
      <w:spacing w:line="280" w:lineRule="exact"/>
      <w:jc w:val="left"/>
      <w:rPr>
        <w:rFonts w:hint="eastAsia" w:ascii="楷体" w:hAnsi="楷体" w:eastAsia="楷体" w:cs="楷体"/>
        <w:b/>
        <w:sz w:val="18"/>
        <w:szCs w:val="18"/>
        <w:u w:val="single"/>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AD21">
    <w:pPr>
      <w:pStyle w:val="16"/>
      <w:rPr>
        <w:rFonts w:hint="eastAsia"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7F27E">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FA7F27E">
                    <w:pPr>
                      <w:pStyle w:val="16"/>
                    </w:pPr>
                    <w:r>
                      <w:fldChar w:fldCharType="begin"/>
                    </w:r>
                    <w:r>
                      <w:instrText xml:space="preserve"> PAGE  \* MERGEFORMAT </w:instrText>
                    </w:r>
                    <w:r>
                      <w:fldChar w:fldCharType="separate"/>
                    </w:r>
                    <w:r>
                      <w:t>2</w:t>
                    </w:r>
                    <w:r>
                      <w:fldChar w:fldCharType="end"/>
                    </w:r>
                  </w:p>
                </w:txbxContent>
              </v:textbox>
            </v:shape>
          </w:pict>
        </mc:Fallback>
      </mc:AlternateContent>
    </w:r>
  </w:p>
  <w:p w14:paraId="544627C6">
    <w:pPr>
      <w:spacing w:line="280" w:lineRule="exact"/>
      <w:jc w:val="left"/>
      <w:rPr>
        <w:rFonts w:hint="eastAsia" w:ascii="楷体" w:hAnsi="楷体" w:eastAsia="楷体" w:cs="楷体"/>
        <w:b/>
        <w:sz w:val="18"/>
        <w:szCs w:val="18"/>
        <w:u w:val="single"/>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F3BE3">
    <w:pPr>
      <w:pStyle w:val="16"/>
      <w:rPr>
        <w:rFonts w:hint="eastAsia" w:ascii="宋体" w:hAnsi="宋体"/>
        <w:b/>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71AA0">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F971AA0">
                    <w:pPr>
                      <w:pStyle w:val="16"/>
                    </w:pPr>
                    <w:r>
                      <w:fldChar w:fldCharType="begin"/>
                    </w:r>
                    <w:r>
                      <w:instrText xml:space="preserve"> PAGE  \* MERGEFORMAT </w:instrText>
                    </w:r>
                    <w:r>
                      <w:fldChar w:fldCharType="separate"/>
                    </w:r>
                    <w:r>
                      <w:t>2</w:t>
                    </w:r>
                    <w:r>
                      <w:fldChar w:fldCharType="end"/>
                    </w:r>
                  </w:p>
                </w:txbxContent>
              </v:textbox>
            </v:shape>
          </w:pict>
        </mc:Fallback>
      </mc:AlternateContent>
    </w:r>
  </w:p>
  <w:p w14:paraId="7936B54E">
    <w:pPr>
      <w:spacing w:line="280" w:lineRule="exact"/>
      <w:jc w:val="left"/>
      <w:rPr>
        <w:rFonts w:hint="eastAsia" w:ascii="楷体" w:hAnsi="楷体" w:eastAsia="楷体" w:cs="楷体"/>
        <w:b/>
        <w:sz w:val="18"/>
        <w:szCs w:val="18"/>
        <w:u w:val="single"/>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08705">
    <w:pPr>
      <w:pStyle w:val="1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BAF8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9DBAF8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705B3">
    <w:pPr>
      <w:pStyle w:val="16"/>
      <w:rPr>
        <w:rFonts w:hint="eastAsia" w:ascii="宋体" w:hAnsi="宋体" w:eastAsia="宋体" w:cs="宋体"/>
        <w:b/>
        <w:sz w:val="18"/>
        <w:szCs w:val="18"/>
        <w:u w:val="single"/>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9A2BB">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779A2BB">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D3CD">
    <w:pPr>
      <w:pStyle w:val="16"/>
      <w:jc w:val="center"/>
      <w:rPr>
        <w:rFonts w:hint="eastAsia" w:ascii="宋体" w:hAnsi="宋体" w:eastAsia="宋体" w:cs="宋体"/>
        <w:b/>
        <w:sz w:val="18"/>
        <w:szCs w:val="1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E69E8">
                          <w:pPr>
                            <w:pStyle w:val="16"/>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A3E69E8">
                    <w:pPr>
                      <w:pStyle w:val="16"/>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16D1">
    <w:pPr>
      <w:pStyle w:val="16"/>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B3BB0">
                          <w:pPr>
                            <w:pStyle w:val="16"/>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8DB3BB0">
                    <w:pPr>
                      <w:pStyle w:val="16"/>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3ABEA">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D84C1">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15C4E">
    <w:pPr>
      <w:spacing w:line="480" w:lineRule="exact"/>
      <w:jc w:val="left"/>
      <w:rPr>
        <w:rFonts w:hint="eastAsia"/>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2A448">
    <w:pPr>
      <w:pStyle w:val="48"/>
      <w:ind w:left="0" w:leftChars="0" w:firstLine="0" w:firstLineChars="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0FFFA">
    <w:pPr>
      <w:spacing w:line="480" w:lineRule="exact"/>
      <w:jc w:val="left"/>
      <w:rPr>
        <w:rFonts w:hint="eastAsia"/>
        <w:u w:val="non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DAFF2">
    <w:pPr>
      <w:spacing w:line="480" w:lineRule="exact"/>
      <w:rPr>
        <w:rFonts w:hint="eastAsia" w:ascii="宋体" w:hAnsi="宋体" w:eastAsia="宋体" w:cs="宋体"/>
        <w:b/>
        <w:sz w:val="18"/>
        <w:szCs w:val="18"/>
        <w:u w:val="single"/>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9DFBA">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F1E840"/>
    <w:multiLevelType w:val="singleLevel"/>
    <w:tmpl w:val="CAF1E840"/>
    <w:lvl w:ilvl="0" w:tentative="0">
      <w:start w:val="1"/>
      <w:numFmt w:val="chineseCounting"/>
      <w:suff w:val="nothing"/>
      <w:lvlText w:val="%1、"/>
      <w:lvlJc w:val="left"/>
      <w:rPr>
        <w:rFonts w:hint="eastAsia"/>
      </w:rPr>
    </w:lvl>
  </w:abstractNum>
  <w:abstractNum w:abstractNumId="1">
    <w:nsid w:val="09084DF0"/>
    <w:multiLevelType w:val="singleLevel"/>
    <w:tmpl w:val="09084DF0"/>
    <w:lvl w:ilvl="0" w:tentative="0">
      <w:start w:val="1"/>
      <w:numFmt w:val="decimal"/>
      <w:suff w:val="nothing"/>
      <w:lvlText w:val="%1、"/>
      <w:lvlJc w:val="left"/>
    </w:lvl>
  </w:abstractNum>
  <w:abstractNum w:abstractNumId="2">
    <w:nsid w:val="1695A40C"/>
    <w:multiLevelType w:val="singleLevel"/>
    <w:tmpl w:val="1695A40C"/>
    <w:lvl w:ilvl="0" w:tentative="0">
      <w:start w:val="4"/>
      <w:numFmt w:val="chineseCounting"/>
      <w:suff w:val="nothing"/>
      <w:lvlText w:val="%1、"/>
      <w:lvlJc w:val="left"/>
      <w:rPr>
        <w:rFonts w:hint="eastAsia"/>
      </w:rPr>
    </w:lvl>
  </w:abstractNum>
  <w:abstractNum w:abstractNumId="3">
    <w:nsid w:val="74466E67"/>
    <w:multiLevelType w:val="singleLevel"/>
    <w:tmpl w:val="74466E67"/>
    <w:lvl w:ilvl="0" w:tentative="0">
      <w:start w:val="9"/>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lN2Y2MTkzNmMwM2JjZmE2ZjhjY2Q2ZjhiMTA2OTMifQ=="/>
  </w:docVars>
  <w:rsids>
    <w:rsidRoot w:val="00172A27"/>
    <w:rsid w:val="000327F6"/>
    <w:rsid w:val="00045065"/>
    <w:rsid w:val="000A5622"/>
    <w:rsid w:val="000B6C73"/>
    <w:rsid w:val="000C2BD6"/>
    <w:rsid w:val="000C4415"/>
    <w:rsid w:val="00100064"/>
    <w:rsid w:val="00115AAC"/>
    <w:rsid w:val="0011644B"/>
    <w:rsid w:val="00122C37"/>
    <w:rsid w:val="00154C51"/>
    <w:rsid w:val="00171711"/>
    <w:rsid w:val="00185B7D"/>
    <w:rsid w:val="0019698F"/>
    <w:rsid w:val="001B22D4"/>
    <w:rsid w:val="001C06FB"/>
    <w:rsid w:val="001C1ABD"/>
    <w:rsid w:val="001D2BD3"/>
    <w:rsid w:val="001D426C"/>
    <w:rsid w:val="001E4660"/>
    <w:rsid w:val="0020267C"/>
    <w:rsid w:val="002033ED"/>
    <w:rsid w:val="00207591"/>
    <w:rsid w:val="00226DAE"/>
    <w:rsid w:val="002535DB"/>
    <w:rsid w:val="0027327C"/>
    <w:rsid w:val="002A34CB"/>
    <w:rsid w:val="002B4F45"/>
    <w:rsid w:val="002F0354"/>
    <w:rsid w:val="002F2353"/>
    <w:rsid w:val="003002FF"/>
    <w:rsid w:val="00327CB1"/>
    <w:rsid w:val="00343467"/>
    <w:rsid w:val="003C12E5"/>
    <w:rsid w:val="003D6B36"/>
    <w:rsid w:val="004154A2"/>
    <w:rsid w:val="0042300E"/>
    <w:rsid w:val="004240D3"/>
    <w:rsid w:val="00440BD6"/>
    <w:rsid w:val="0049673E"/>
    <w:rsid w:val="004A2CEB"/>
    <w:rsid w:val="004B0F3F"/>
    <w:rsid w:val="0050445E"/>
    <w:rsid w:val="005212ED"/>
    <w:rsid w:val="005322C2"/>
    <w:rsid w:val="005614EC"/>
    <w:rsid w:val="00561A71"/>
    <w:rsid w:val="005644F0"/>
    <w:rsid w:val="00593135"/>
    <w:rsid w:val="00593DC2"/>
    <w:rsid w:val="005D40F4"/>
    <w:rsid w:val="005D4C63"/>
    <w:rsid w:val="005E6C89"/>
    <w:rsid w:val="005E73F8"/>
    <w:rsid w:val="00696295"/>
    <w:rsid w:val="006D228F"/>
    <w:rsid w:val="006D7968"/>
    <w:rsid w:val="0071157D"/>
    <w:rsid w:val="00716C3B"/>
    <w:rsid w:val="00717621"/>
    <w:rsid w:val="00773939"/>
    <w:rsid w:val="007807AC"/>
    <w:rsid w:val="007848F5"/>
    <w:rsid w:val="0078569D"/>
    <w:rsid w:val="007F0790"/>
    <w:rsid w:val="007F728E"/>
    <w:rsid w:val="0080580E"/>
    <w:rsid w:val="00815F66"/>
    <w:rsid w:val="008233A0"/>
    <w:rsid w:val="00827953"/>
    <w:rsid w:val="00841734"/>
    <w:rsid w:val="00852266"/>
    <w:rsid w:val="008540C9"/>
    <w:rsid w:val="008624DE"/>
    <w:rsid w:val="00873D7C"/>
    <w:rsid w:val="008A5B2E"/>
    <w:rsid w:val="008C0B23"/>
    <w:rsid w:val="008C4A57"/>
    <w:rsid w:val="008F2B4E"/>
    <w:rsid w:val="0090097E"/>
    <w:rsid w:val="00953321"/>
    <w:rsid w:val="00987446"/>
    <w:rsid w:val="009C427D"/>
    <w:rsid w:val="009D02D1"/>
    <w:rsid w:val="009E68AC"/>
    <w:rsid w:val="009F2E6D"/>
    <w:rsid w:val="00A3396F"/>
    <w:rsid w:val="00A33C3E"/>
    <w:rsid w:val="00A54F18"/>
    <w:rsid w:val="00A64246"/>
    <w:rsid w:val="00A77550"/>
    <w:rsid w:val="00A83DDA"/>
    <w:rsid w:val="00A948D4"/>
    <w:rsid w:val="00AB4B44"/>
    <w:rsid w:val="00AD2ECE"/>
    <w:rsid w:val="00AF4AE0"/>
    <w:rsid w:val="00AF5B67"/>
    <w:rsid w:val="00B04B38"/>
    <w:rsid w:val="00B11373"/>
    <w:rsid w:val="00B12E38"/>
    <w:rsid w:val="00B5117E"/>
    <w:rsid w:val="00B83327"/>
    <w:rsid w:val="00B8680E"/>
    <w:rsid w:val="00BA0FA9"/>
    <w:rsid w:val="00BC3A6C"/>
    <w:rsid w:val="00BE7797"/>
    <w:rsid w:val="00C45AF9"/>
    <w:rsid w:val="00C577DE"/>
    <w:rsid w:val="00C62A64"/>
    <w:rsid w:val="00CA303A"/>
    <w:rsid w:val="00CB5577"/>
    <w:rsid w:val="00CC7B04"/>
    <w:rsid w:val="00CF2944"/>
    <w:rsid w:val="00D061D0"/>
    <w:rsid w:val="00D11DA0"/>
    <w:rsid w:val="00D52F63"/>
    <w:rsid w:val="00D533F8"/>
    <w:rsid w:val="00D86811"/>
    <w:rsid w:val="00D97E9A"/>
    <w:rsid w:val="00DA2E3D"/>
    <w:rsid w:val="00DB5E90"/>
    <w:rsid w:val="00DC01F9"/>
    <w:rsid w:val="00E17760"/>
    <w:rsid w:val="00E17F64"/>
    <w:rsid w:val="00E255C8"/>
    <w:rsid w:val="00EA5DF1"/>
    <w:rsid w:val="00EB4222"/>
    <w:rsid w:val="00EC5246"/>
    <w:rsid w:val="00ED3BFA"/>
    <w:rsid w:val="00ED6E0D"/>
    <w:rsid w:val="00EF5DC7"/>
    <w:rsid w:val="00F440D8"/>
    <w:rsid w:val="00F54007"/>
    <w:rsid w:val="00F56EA8"/>
    <w:rsid w:val="00FA380A"/>
    <w:rsid w:val="00FA7B3F"/>
    <w:rsid w:val="00FA7B49"/>
    <w:rsid w:val="00FB2306"/>
    <w:rsid w:val="00FD1BB0"/>
    <w:rsid w:val="011B6335"/>
    <w:rsid w:val="01247E92"/>
    <w:rsid w:val="01302038"/>
    <w:rsid w:val="013D01DA"/>
    <w:rsid w:val="013E61E2"/>
    <w:rsid w:val="0146666F"/>
    <w:rsid w:val="014866DE"/>
    <w:rsid w:val="0151278F"/>
    <w:rsid w:val="01537696"/>
    <w:rsid w:val="015E0FC4"/>
    <w:rsid w:val="016E79BB"/>
    <w:rsid w:val="017579A8"/>
    <w:rsid w:val="017B0014"/>
    <w:rsid w:val="017F3B76"/>
    <w:rsid w:val="0189362A"/>
    <w:rsid w:val="01957E27"/>
    <w:rsid w:val="01B75576"/>
    <w:rsid w:val="01BA6963"/>
    <w:rsid w:val="01D3571A"/>
    <w:rsid w:val="01DB7EBC"/>
    <w:rsid w:val="01DE4684"/>
    <w:rsid w:val="01EE0F89"/>
    <w:rsid w:val="020E7FE4"/>
    <w:rsid w:val="021138F7"/>
    <w:rsid w:val="02330D66"/>
    <w:rsid w:val="02402483"/>
    <w:rsid w:val="02535CBD"/>
    <w:rsid w:val="02565D28"/>
    <w:rsid w:val="025F4662"/>
    <w:rsid w:val="02685C0C"/>
    <w:rsid w:val="02750116"/>
    <w:rsid w:val="027B694F"/>
    <w:rsid w:val="02886058"/>
    <w:rsid w:val="028E2239"/>
    <w:rsid w:val="029929F4"/>
    <w:rsid w:val="02BA5F5E"/>
    <w:rsid w:val="02FF5E45"/>
    <w:rsid w:val="03037514"/>
    <w:rsid w:val="03117BB8"/>
    <w:rsid w:val="03154BFE"/>
    <w:rsid w:val="031B7704"/>
    <w:rsid w:val="03284584"/>
    <w:rsid w:val="032C7BBE"/>
    <w:rsid w:val="032F672A"/>
    <w:rsid w:val="0337542F"/>
    <w:rsid w:val="036B7036"/>
    <w:rsid w:val="037B2DC4"/>
    <w:rsid w:val="0384101C"/>
    <w:rsid w:val="0389225D"/>
    <w:rsid w:val="038B5BC4"/>
    <w:rsid w:val="03A21034"/>
    <w:rsid w:val="03AE6C4A"/>
    <w:rsid w:val="03E5328D"/>
    <w:rsid w:val="03F54682"/>
    <w:rsid w:val="04022BFE"/>
    <w:rsid w:val="04160FDC"/>
    <w:rsid w:val="04236CFF"/>
    <w:rsid w:val="042A2F4E"/>
    <w:rsid w:val="043F0A08"/>
    <w:rsid w:val="046C750A"/>
    <w:rsid w:val="047D0094"/>
    <w:rsid w:val="04810C66"/>
    <w:rsid w:val="04A06914"/>
    <w:rsid w:val="04AF3C14"/>
    <w:rsid w:val="04C20084"/>
    <w:rsid w:val="04CB0091"/>
    <w:rsid w:val="04CD0710"/>
    <w:rsid w:val="04E56551"/>
    <w:rsid w:val="050665A2"/>
    <w:rsid w:val="050A3B09"/>
    <w:rsid w:val="051931EE"/>
    <w:rsid w:val="051A7389"/>
    <w:rsid w:val="052B4CCF"/>
    <w:rsid w:val="052C47CE"/>
    <w:rsid w:val="053C0C8A"/>
    <w:rsid w:val="053D6438"/>
    <w:rsid w:val="05757CF3"/>
    <w:rsid w:val="0583125F"/>
    <w:rsid w:val="058C5B63"/>
    <w:rsid w:val="0593682F"/>
    <w:rsid w:val="05A63BA7"/>
    <w:rsid w:val="05CF6454"/>
    <w:rsid w:val="05DA305B"/>
    <w:rsid w:val="05E63E64"/>
    <w:rsid w:val="05F93A16"/>
    <w:rsid w:val="05FC5A7E"/>
    <w:rsid w:val="060834FC"/>
    <w:rsid w:val="06107E61"/>
    <w:rsid w:val="06152050"/>
    <w:rsid w:val="061A133C"/>
    <w:rsid w:val="061B574F"/>
    <w:rsid w:val="06233449"/>
    <w:rsid w:val="062539FF"/>
    <w:rsid w:val="06313475"/>
    <w:rsid w:val="06465301"/>
    <w:rsid w:val="064B142F"/>
    <w:rsid w:val="064D39BE"/>
    <w:rsid w:val="065456E8"/>
    <w:rsid w:val="06605533"/>
    <w:rsid w:val="06643F74"/>
    <w:rsid w:val="067F3398"/>
    <w:rsid w:val="06805006"/>
    <w:rsid w:val="068F173C"/>
    <w:rsid w:val="06946962"/>
    <w:rsid w:val="06B44960"/>
    <w:rsid w:val="06E31D05"/>
    <w:rsid w:val="06E92D95"/>
    <w:rsid w:val="06ED0F82"/>
    <w:rsid w:val="06F84E27"/>
    <w:rsid w:val="06FA011B"/>
    <w:rsid w:val="070A0C8B"/>
    <w:rsid w:val="071F3C81"/>
    <w:rsid w:val="073B34E2"/>
    <w:rsid w:val="073F0AAA"/>
    <w:rsid w:val="0746789B"/>
    <w:rsid w:val="074958E1"/>
    <w:rsid w:val="074A2F16"/>
    <w:rsid w:val="076158D7"/>
    <w:rsid w:val="076A5EBC"/>
    <w:rsid w:val="076D638D"/>
    <w:rsid w:val="077A2252"/>
    <w:rsid w:val="077B0190"/>
    <w:rsid w:val="07A22D90"/>
    <w:rsid w:val="07B0770E"/>
    <w:rsid w:val="07B1083A"/>
    <w:rsid w:val="07B30AD6"/>
    <w:rsid w:val="07D433FC"/>
    <w:rsid w:val="07D63C79"/>
    <w:rsid w:val="07DA257E"/>
    <w:rsid w:val="07DF5C96"/>
    <w:rsid w:val="07F615C4"/>
    <w:rsid w:val="08147C2D"/>
    <w:rsid w:val="08237D7E"/>
    <w:rsid w:val="08326375"/>
    <w:rsid w:val="084558C8"/>
    <w:rsid w:val="08471B54"/>
    <w:rsid w:val="08477B23"/>
    <w:rsid w:val="08691F12"/>
    <w:rsid w:val="086A1FB2"/>
    <w:rsid w:val="086D2DAD"/>
    <w:rsid w:val="089820E6"/>
    <w:rsid w:val="08A454C4"/>
    <w:rsid w:val="08B43636"/>
    <w:rsid w:val="08B5088C"/>
    <w:rsid w:val="08B81AB7"/>
    <w:rsid w:val="08BD1E5D"/>
    <w:rsid w:val="08CE4F66"/>
    <w:rsid w:val="08E072B5"/>
    <w:rsid w:val="0933033E"/>
    <w:rsid w:val="093916BA"/>
    <w:rsid w:val="094277A9"/>
    <w:rsid w:val="09447444"/>
    <w:rsid w:val="09472B84"/>
    <w:rsid w:val="09473C48"/>
    <w:rsid w:val="09574568"/>
    <w:rsid w:val="09581E0B"/>
    <w:rsid w:val="097529BD"/>
    <w:rsid w:val="097C14E4"/>
    <w:rsid w:val="097F0E7D"/>
    <w:rsid w:val="098C2909"/>
    <w:rsid w:val="09965236"/>
    <w:rsid w:val="09991C69"/>
    <w:rsid w:val="099E02A7"/>
    <w:rsid w:val="09B13158"/>
    <w:rsid w:val="09C35018"/>
    <w:rsid w:val="09CA0D26"/>
    <w:rsid w:val="09CB04E0"/>
    <w:rsid w:val="09DE594A"/>
    <w:rsid w:val="09EA74F6"/>
    <w:rsid w:val="0A0328E2"/>
    <w:rsid w:val="0A147843"/>
    <w:rsid w:val="0A25011B"/>
    <w:rsid w:val="0A2B1C44"/>
    <w:rsid w:val="0A2E4D05"/>
    <w:rsid w:val="0A381EFB"/>
    <w:rsid w:val="0A39513C"/>
    <w:rsid w:val="0A411229"/>
    <w:rsid w:val="0A432A99"/>
    <w:rsid w:val="0A4A67CC"/>
    <w:rsid w:val="0A4F4254"/>
    <w:rsid w:val="0A54652A"/>
    <w:rsid w:val="0A6846F0"/>
    <w:rsid w:val="0A6F565E"/>
    <w:rsid w:val="0A704A0A"/>
    <w:rsid w:val="0A854E82"/>
    <w:rsid w:val="0A97793B"/>
    <w:rsid w:val="0AA634B8"/>
    <w:rsid w:val="0AA97D04"/>
    <w:rsid w:val="0ABA1FAF"/>
    <w:rsid w:val="0AC567DB"/>
    <w:rsid w:val="0AD54E41"/>
    <w:rsid w:val="0AE709DF"/>
    <w:rsid w:val="0AF7675C"/>
    <w:rsid w:val="0AF835DA"/>
    <w:rsid w:val="0AFA72AE"/>
    <w:rsid w:val="0B095AB3"/>
    <w:rsid w:val="0B0C62A2"/>
    <w:rsid w:val="0B0D2A56"/>
    <w:rsid w:val="0B0E58C2"/>
    <w:rsid w:val="0B1E5942"/>
    <w:rsid w:val="0B200E5B"/>
    <w:rsid w:val="0B6D703F"/>
    <w:rsid w:val="0B6E6D14"/>
    <w:rsid w:val="0BA60D89"/>
    <w:rsid w:val="0BCC230C"/>
    <w:rsid w:val="0BCC2F96"/>
    <w:rsid w:val="0BF876CE"/>
    <w:rsid w:val="0C2F012D"/>
    <w:rsid w:val="0C3B56A2"/>
    <w:rsid w:val="0C3E353A"/>
    <w:rsid w:val="0C62191E"/>
    <w:rsid w:val="0C6236CC"/>
    <w:rsid w:val="0C777ECF"/>
    <w:rsid w:val="0C7B75A3"/>
    <w:rsid w:val="0CB25A78"/>
    <w:rsid w:val="0CB4281B"/>
    <w:rsid w:val="0CD96BAA"/>
    <w:rsid w:val="0D0273AB"/>
    <w:rsid w:val="0D285093"/>
    <w:rsid w:val="0D3B22CE"/>
    <w:rsid w:val="0D565170"/>
    <w:rsid w:val="0D6D43C6"/>
    <w:rsid w:val="0D784CA6"/>
    <w:rsid w:val="0D7956A0"/>
    <w:rsid w:val="0D870F11"/>
    <w:rsid w:val="0D927FE1"/>
    <w:rsid w:val="0D933D59"/>
    <w:rsid w:val="0DA25EB9"/>
    <w:rsid w:val="0DB241E0"/>
    <w:rsid w:val="0DC20E8F"/>
    <w:rsid w:val="0DC465E5"/>
    <w:rsid w:val="0DD136ED"/>
    <w:rsid w:val="0DE10621"/>
    <w:rsid w:val="0DE16873"/>
    <w:rsid w:val="0DE53ECB"/>
    <w:rsid w:val="0DEF4B48"/>
    <w:rsid w:val="0DFE11D3"/>
    <w:rsid w:val="0DFF319D"/>
    <w:rsid w:val="0E001623"/>
    <w:rsid w:val="0E2A6683"/>
    <w:rsid w:val="0E381816"/>
    <w:rsid w:val="0E3C2E78"/>
    <w:rsid w:val="0E457A83"/>
    <w:rsid w:val="0E4816A8"/>
    <w:rsid w:val="0E5F3AD9"/>
    <w:rsid w:val="0E6354DA"/>
    <w:rsid w:val="0E6A6868"/>
    <w:rsid w:val="0E763266"/>
    <w:rsid w:val="0E861A41"/>
    <w:rsid w:val="0E930ADC"/>
    <w:rsid w:val="0E951C6F"/>
    <w:rsid w:val="0EAF71B9"/>
    <w:rsid w:val="0EB472AB"/>
    <w:rsid w:val="0EBA4655"/>
    <w:rsid w:val="0EBD3686"/>
    <w:rsid w:val="0ED60507"/>
    <w:rsid w:val="0ED85EC8"/>
    <w:rsid w:val="0EDF39E8"/>
    <w:rsid w:val="0EE030C6"/>
    <w:rsid w:val="0EEE110C"/>
    <w:rsid w:val="0F121DFA"/>
    <w:rsid w:val="0F1A1CEB"/>
    <w:rsid w:val="0F1B4A74"/>
    <w:rsid w:val="0F227143"/>
    <w:rsid w:val="0F317386"/>
    <w:rsid w:val="0F59068B"/>
    <w:rsid w:val="0F8366B0"/>
    <w:rsid w:val="0F921E5B"/>
    <w:rsid w:val="0F960548"/>
    <w:rsid w:val="0F9C51B3"/>
    <w:rsid w:val="0FA71DF7"/>
    <w:rsid w:val="0FB241F9"/>
    <w:rsid w:val="0FB80442"/>
    <w:rsid w:val="0FEB39C6"/>
    <w:rsid w:val="0FFF1232"/>
    <w:rsid w:val="100625C1"/>
    <w:rsid w:val="10080CB0"/>
    <w:rsid w:val="101D3B8F"/>
    <w:rsid w:val="10220057"/>
    <w:rsid w:val="10280789"/>
    <w:rsid w:val="1032546D"/>
    <w:rsid w:val="103E3BC2"/>
    <w:rsid w:val="103F11B1"/>
    <w:rsid w:val="10686DD7"/>
    <w:rsid w:val="107A5A50"/>
    <w:rsid w:val="108A1AC6"/>
    <w:rsid w:val="1097352B"/>
    <w:rsid w:val="10997518"/>
    <w:rsid w:val="10AF15D8"/>
    <w:rsid w:val="10B265D2"/>
    <w:rsid w:val="10D17073"/>
    <w:rsid w:val="10DC65A3"/>
    <w:rsid w:val="10E52127"/>
    <w:rsid w:val="10F16E41"/>
    <w:rsid w:val="10F171B9"/>
    <w:rsid w:val="10F231DF"/>
    <w:rsid w:val="10F5774F"/>
    <w:rsid w:val="11147358"/>
    <w:rsid w:val="11410EBA"/>
    <w:rsid w:val="11427674"/>
    <w:rsid w:val="114D7EBC"/>
    <w:rsid w:val="11660E72"/>
    <w:rsid w:val="11731ED8"/>
    <w:rsid w:val="119C75A5"/>
    <w:rsid w:val="11AD5A49"/>
    <w:rsid w:val="11B06FEC"/>
    <w:rsid w:val="11B202C7"/>
    <w:rsid w:val="11B20C52"/>
    <w:rsid w:val="11B568C8"/>
    <w:rsid w:val="11BE1577"/>
    <w:rsid w:val="11C4650B"/>
    <w:rsid w:val="11C52622"/>
    <w:rsid w:val="11F87AE5"/>
    <w:rsid w:val="11FD0FCC"/>
    <w:rsid w:val="122519E7"/>
    <w:rsid w:val="122B4561"/>
    <w:rsid w:val="12344B73"/>
    <w:rsid w:val="124D5887"/>
    <w:rsid w:val="126D73FC"/>
    <w:rsid w:val="127B6546"/>
    <w:rsid w:val="12836D9F"/>
    <w:rsid w:val="12890C4A"/>
    <w:rsid w:val="128A0C76"/>
    <w:rsid w:val="128E689D"/>
    <w:rsid w:val="1293075D"/>
    <w:rsid w:val="129739A4"/>
    <w:rsid w:val="12A14A7B"/>
    <w:rsid w:val="12A156A8"/>
    <w:rsid w:val="12A97701"/>
    <w:rsid w:val="12B409A5"/>
    <w:rsid w:val="12B97435"/>
    <w:rsid w:val="12C74322"/>
    <w:rsid w:val="12DB468D"/>
    <w:rsid w:val="12E070F9"/>
    <w:rsid w:val="12F379FC"/>
    <w:rsid w:val="1305613B"/>
    <w:rsid w:val="13193128"/>
    <w:rsid w:val="131C52B5"/>
    <w:rsid w:val="13235868"/>
    <w:rsid w:val="13346CAC"/>
    <w:rsid w:val="1336396D"/>
    <w:rsid w:val="13394A5B"/>
    <w:rsid w:val="13497394"/>
    <w:rsid w:val="135A334F"/>
    <w:rsid w:val="135E5D77"/>
    <w:rsid w:val="13643A08"/>
    <w:rsid w:val="136D627A"/>
    <w:rsid w:val="13724398"/>
    <w:rsid w:val="137E6124"/>
    <w:rsid w:val="138111EE"/>
    <w:rsid w:val="13824C83"/>
    <w:rsid w:val="138A4EA7"/>
    <w:rsid w:val="13A96D9D"/>
    <w:rsid w:val="13C33F86"/>
    <w:rsid w:val="13D91890"/>
    <w:rsid w:val="13E64BE3"/>
    <w:rsid w:val="13E929AC"/>
    <w:rsid w:val="13E930BA"/>
    <w:rsid w:val="13F16E5E"/>
    <w:rsid w:val="13F82B68"/>
    <w:rsid w:val="13FC5058"/>
    <w:rsid w:val="1416492A"/>
    <w:rsid w:val="142C5957"/>
    <w:rsid w:val="1446686F"/>
    <w:rsid w:val="14660439"/>
    <w:rsid w:val="146C35B2"/>
    <w:rsid w:val="146C5222"/>
    <w:rsid w:val="146D2ACB"/>
    <w:rsid w:val="1489757B"/>
    <w:rsid w:val="149C3645"/>
    <w:rsid w:val="14C64A14"/>
    <w:rsid w:val="15035321"/>
    <w:rsid w:val="150A2FF4"/>
    <w:rsid w:val="151117F4"/>
    <w:rsid w:val="15167956"/>
    <w:rsid w:val="15263A3E"/>
    <w:rsid w:val="154222ED"/>
    <w:rsid w:val="154C5959"/>
    <w:rsid w:val="154D33BD"/>
    <w:rsid w:val="15500D3E"/>
    <w:rsid w:val="15512C1A"/>
    <w:rsid w:val="15690045"/>
    <w:rsid w:val="15940F8F"/>
    <w:rsid w:val="15A80E00"/>
    <w:rsid w:val="15AA3F09"/>
    <w:rsid w:val="15B11243"/>
    <w:rsid w:val="15D32F45"/>
    <w:rsid w:val="15D37B32"/>
    <w:rsid w:val="15D72551"/>
    <w:rsid w:val="15DC3758"/>
    <w:rsid w:val="15EB77CB"/>
    <w:rsid w:val="15ED414A"/>
    <w:rsid w:val="15F03BC4"/>
    <w:rsid w:val="16113A6D"/>
    <w:rsid w:val="16184DFC"/>
    <w:rsid w:val="162A47DD"/>
    <w:rsid w:val="163C264A"/>
    <w:rsid w:val="16493F29"/>
    <w:rsid w:val="164A09B4"/>
    <w:rsid w:val="16554771"/>
    <w:rsid w:val="16585CCF"/>
    <w:rsid w:val="165967D8"/>
    <w:rsid w:val="168A1109"/>
    <w:rsid w:val="1695469E"/>
    <w:rsid w:val="16A82624"/>
    <w:rsid w:val="16AE0DFA"/>
    <w:rsid w:val="16B14A23"/>
    <w:rsid w:val="16BA18F3"/>
    <w:rsid w:val="16BB7FDD"/>
    <w:rsid w:val="16BC1CD4"/>
    <w:rsid w:val="16C35E35"/>
    <w:rsid w:val="16C770FE"/>
    <w:rsid w:val="16C80BA2"/>
    <w:rsid w:val="16D927DD"/>
    <w:rsid w:val="16E8283F"/>
    <w:rsid w:val="16F17D8A"/>
    <w:rsid w:val="16FD38E2"/>
    <w:rsid w:val="17005FBC"/>
    <w:rsid w:val="170F4521"/>
    <w:rsid w:val="171E1B23"/>
    <w:rsid w:val="171F40CB"/>
    <w:rsid w:val="172942B2"/>
    <w:rsid w:val="17302FB6"/>
    <w:rsid w:val="1733347C"/>
    <w:rsid w:val="175005C5"/>
    <w:rsid w:val="175055D6"/>
    <w:rsid w:val="175956CC"/>
    <w:rsid w:val="176F07FB"/>
    <w:rsid w:val="177C171E"/>
    <w:rsid w:val="178B4A91"/>
    <w:rsid w:val="17AF2C3B"/>
    <w:rsid w:val="17B13C76"/>
    <w:rsid w:val="17B40C26"/>
    <w:rsid w:val="17BC1C5C"/>
    <w:rsid w:val="17C62296"/>
    <w:rsid w:val="17CC7FFB"/>
    <w:rsid w:val="17FB00E8"/>
    <w:rsid w:val="18004664"/>
    <w:rsid w:val="18096C97"/>
    <w:rsid w:val="180C273E"/>
    <w:rsid w:val="18100480"/>
    <w:rsid w:val="1812319A"/>
    <w:rsid w:val="181746F0"/>
    <w:rsid w:val="181810E3"/>
    <w:rsid w:val="1819154B"/>
    <w:rsid w:val="18433922"/>
    <w:rsid w:val="18477349"/>
    <w:rsid w:val="18736C61"/>
    <w:rsid w:val="18890233"/>
    <w:rsid w:val="188C1B9A"/>
    <w:rsid w:val="189D15A6"/>
    <w:rsid w:val="18B33F11"/>
    <w:rsid w:val="18F558C8"/>
    <w:rsid w:val="19045B0B"/>
    <w:rsid w:val="19124546"/>
    <w:rsid w:val="191E39FF"/>
    <w:rsid w:val="191E489B"/>
    <w:rsid w:val="192A37C4"/>
    <w:rsid w:val="19320D13"/>
    <w:rsid w:val="194A24B2"/>
    <w:rsid w:val="194E797F"/>
    <w:rsid w:val="195257A2"/>
    <w:rsid w:val="199F78EA"/>
    <w:rsid w:val="19BE56ED"/>
    <w:rsid w:val="19DF68EA"/>
    <w:rsid w:val="19FC3BBB"/>
    <w:rsid w:val="1A2E72EB"/>
    <w:rsid w:val="1A4968EB"/>
    <w:rsid w:val="1A656561"/>
    <w:rsid w:val="1A700211"/>
    <w:rsid w:val="1A78055F"/>
    <w:rsid w:val="1A7F6362"/>
    <w:rsid w:val="1A922568"/>
    <w:rsid w:val="1AA67A69"/>
    <w:rsid w:val="1AA827BF"/>
    <w:rsid w:val="1AAC1492"/>
    <w:rsid w:val="1ABF12A4"/>
    <w:rsid w:val="1AC35C43"/>
    <w:rsid w:val="1AD968F1"/>
    <w:rsid w:val="1ADA0917"/>
    <w:rsid w:val="1AED191D"/>
    <w:rsid w:val="1B075D1D"/>
    <w:rsid w:val="1B141CEE"/>
    <w:rsid w:val="1B1E69E8"/>
    <w:rsid w:val="1B24410A"/>
    <w:rsid w:val="1B2770C4"/>
    <w:rsid w:val="1B2D71D1"/>
    <w:rsid w:val="1B32070E"/>
    <w:rsid w:val="1B371349"/>
    <w:rsid w:val="1B487F31"/>
    <w:rsid w:val="1B542B81"/>
    <w:rsid w:val="1B634E28"/>
    <w:rsid w:val="1B68176B"/>
    <w:rsid w:val="1B8865E6"/>
    <w:rsid w:val="1B90152F"/>
    <w:rsid w:val="1BAA0724"/>
    <w:rsid w:val="1BAA1175"/>
    <w:rsid w:val="1BB80002"/>
    <w:rsid w:val="1BD81D53"/>
    <w:rsid w:val="1BEE6BEA"/>
    <w:rsid w:val="1BFF3836"/>
    <w:rsid w:val="1C052A7D"/>
    <w:rsid w:val="1C2D168A"/>
    <w:rsid w:val="1C2D19DF"/>
    <w:rsid w:val="1C514B7E"/>
    <w:rsid w:val="1C5F782F"/>
    <w:rsid w:val="1C663F30"/>
    <w:rsid w:val="1C6A6B78"/>
    <w:rsid w:val="1C6F4E53"/>
    <w:rsid w:val="1C7B4A4F"/>
    <w:rsid w:val="1C9468DC"/>
    <w:rsid w:val="1CA75D01"/>
    <w:rsid w:val="1CAB2142"/>
    <w:rsid w:val="1CC42BDF"/>
    <w:rsid w:val="1CC950A2"/>
    <w:rsid w:val="1CE6771E"/>
    <w:rsid w:val="1D037CB9"/>
    <w:rsid w:val="1D1553F8"/>
    <w:rsid w:val="1D312395"/>
    <w:rsid w:val="1D36686F"/>
    <w:rsid w:val="1D396D4A"/>
    <w:rsid w:val="1D4973CD"/>
    <w:rsid w:val="1D542100"/>
    <w:rsid w:val="1D544B32"/>
    <w:rsid w:val="1D5B0857"/>
    <w:rsid w:val="1D6A3F1B"/>
    <w:rsid w:val="1D6D1775"/>
    <w:rsid w:val="1D6E4657"/>
    <w:rsid w:val="1D8965DF"/>
    <w:rsid w:val="1D8A2A83"/>
    <w:rsid w:val="1D90722B"/>
    <w:rsid w:val="1D927929"/>
    <w:rsid w:val="1D9E02DC"/>
    <w:rsid w:val="1DAD09D5"/>
    <w:rsid w:val="1DAF4266"/>
    <w:rsid w:val="1DB23D88"/>
    <w:rsid w:val="1DB52A07"/>
    <w:rsid w:val="1DB679B6"/>
    <w:rsid w:val="1DC0379C"/>
    <w:rsid w:val="1DC67833"/>
    <w:rsid w:val="1DDE06FD"/>
    <w:rsid w:val="1DE46B66"/>
    <w:rsid w:val="1E241105"/>
    <w:rsid w:val="1E283E93"/>
    <w:rsid w:val="1E5032E7"/>
    <w:rsid w:val="1E576198"/>
    <w:rsid w:val="1E776FA8"/>
    <w:rsid w:val="1E83385A"/>
    <w:rsid w:val="1E976754"/>
    <w:rsid w:val="1EA35AC9"/>
    <w:rsid w:val="1EE36AF5"/>
    <w:rsid w:val="1EE66455"/>
    <w:rsid w:val="1EEB2ABC"/>
    <w:rsid w:val="1F1116D7"/>
    <w:rsid w:val="1F232988"/>
    <w:rsid w:val="1F2C1918"/>
    <w:rsid w:val="1F3200E5"/>
    <w:rsid w:val="1F39012D"/>
    <w:rsid w:val="1F3B231E"/>
    <w:rsid w:val="1F3C1B5B"/>
    <w:rsid w:val="1F501AAA"/>
    <w:rsid w:val="1F521022"/>
    <w:rsid w:val="1F774B6C"/>
    <w:rsid w:val="1F7D51C6"/>
    <w:rsid w:val="1F8F07D6"/>
    <w:rsid w:val="1F923E71"/>
    <w:rsid w:val="1FC76194"/>
    <w:rsid w:val="1FD61EA2"/>
    <w:rsid w:val="1FD926CB"/>
    <w:rsid w:val="1FDE0E75"/>
    <w:rsid w:val="1FE6737E"/>
    <w:rsid w:val="1FE8583F"/>
    <w:rsid w:val="1FE87B63"/>
    <w:rsid w:val="1FF12140"/>
    <w:rsid w:val="1FFE5062"/>
    <w:rsid w:val="201B41D5"/>
    <w:rsid w:val="20295438"/>
    <w:rsid w:val="2035677C"/>
    <w:rsid w:val="204A798E"/>
    <w:rsid w:val="204D4CD3"/>
    <w:rsid w:val="2059562E"/>
    <w:rsid w:val="208259E0"/>
    <w:rsid w:val="20847771"/>
    <w:rsid w:val="208C6B12"/>
    <w:rsid w:val="20B56086"/>
    <w:rsid w:val="20C216BE"/>
    <w:rsid w:val="20E467EA"/>
    <w:rsid w:val="210757FE"/>
    <w:rsid w:val="210E6490"/>
    <w:rsid w:val="21113BF7"/>
    <w:rsid w:val="21262AC3"/>
    <w:rsid w:val="213E22A0"/>
    <w:rsid w:val="213E7F04"/>
    <w:rsid w:val="21465993"/>
    <w:rsid w:val="21495E9E"/>
    <w:rsid w:val="21633F88"/>
    <w:rsid w:val="217869A3"/>
    <w:rsid w:val="21910644"/>
    <w:rsid w:val="21C85928"/>
    <w:rsid w:val="21D91DC1"/>
    <w:rsid w:val="21DC1146"/>
    <w:rsid w:val="21E1488C"/>
    <w:rsid w:val="220D4F50"/>
    <w:rsid w:val="221A59A6"/>
    <w:rsid w:val="222825E0"/>
    <w:rsid w:val="222839F2"/>
    <w:rsid w:val="222F6F12"/>
    <w:rsid w:val="22333CFA"/>
    <w:rsid w:val="223E5368"/>
    <w:rsid w:val="224075CC"/>
    <w:rsid w:val="224079F9"/>
    <w:rsid w:val="2251773B"/>
    <w:rsid w:val="22696476"/>
    <w:rsid w:val="22715FC0"/>
    <w:rsid w:val="22736D94"/>
    <w:rsid w:val="227975A9"/>
    <w:rsid w:val="227C3D97"/>
    <w:rsid w:val="227C4964"/>
    <w:rsid w:val="22844BA2"/>
    <w:rsid w:val="228F6446"/>
    <w:rsid w:val="22904DF6"/>
    <w:rsid w:val="22952E2E"/>
    <w:rsid w:val="22BA2AC9"/>
    <w:rsid w:val="22C97BAA"/>
    <w:rsid w:val="22E012D1"/>
    <w:rsid w:val="23031D2D"/>
    <w:rsid w:val="23037D08"/>
    <w:rsid w:val="230902AD"/>
    <w:rsid w:val="23111926"/>
    <w:rsid w:val="2312593A"/>
    <w:rsid w:val="231C1863"/>
    <w:rsid w:val="231D4C95"/>
    <w:rsid w:val="23430ED0"/>
    <w:rsid w:val="23492FEA"/>
    <w:rsid w:val="235F406A"/>
    <w:rsid w:val="23653F2A"/>
    <w:rsid w:val="2371604F"/>
    <w:rsid w:val="239E692A"/>
    <w:rsid w:val="23A46882"/>
    <w:rsid w:val="23B048C6"/>
    <w:rsid w:val="23BD043D"/>
    <w:rsid w:val="23D26F32"/>
    <w:rsid w:val="23DD1CA1"/>
    <w:rsid w:val="23EE7EF8"/>
    <w:rsid w:val="23F24841"/>
    <w:rsid w:val="23FA1861"/>
    <w:rsid w:val="24423D78"/>
    <w:rsid w:val="24455865"/>
    <w:rsid w:val="244B5715"/>
    <w:rsid w:val="24942439"/>
    <w:rsid w:val="24977834"/>
    <w:rsid w:val="24AA6BDC"/>
    <w:rsid w:val="24AB32DF"/>
    <w:rsid w:val="24AF0749"/>
    <w:rsid w:val="24AF12B2"/>
    <w:rsid w:val="24BE0243"/>
    <w:rsid w:val="24CC0250"/>
    <w:rsid w:val="24D13640"/>
    <w:rsid w:val="24D3608E"/>
    <w:rsid w:val="24F0333E"/>
    <w:rsid w:val="24F370CF"/>
    <w:rsid w:val="24F55290"/>
    <w:rsid w:val="24F8107D"/>
    <w:rsid w:val="252058E2"/>
    <w:rsid w:val="2554503E"/>
    <w:rsid w:val="25570F74"/>
    <w:rsid w:val="255913B1"/>
    <w:rsid w:val="25665B84"/>
    <w:rsid w:val="256B741C"/>
    <w:rsid w:val="256C0FB5"/>
    <w:rsid w:val="256C234F"/>
    <w:rsid w:val="257432E3"/>
    <w:rsid w:val="25755904"/>
    <w:rsid w:val="258A6494"/>
    <w:rsid w:val="25996C6B"/>
    <w:rsid w:val="25AA73F4"/>
    <w:rsid w:val="25B679B8"/>
    <w:rsid w:val="25D02FFD"/>
    <w:rsid w:val="25DB0737"/>
    <w:rsid w:val="25DF1492"/>
    <w:rsid w:val="25E76599"/>
    <w:rsid w:val="25ED7C21"/>
    <w:rsid w:val="25EF2012"/>
    <w:rsid w:val="25FC3C4D"/>
    <w:rsid w:val="260F2758"/>
    <w:rsid w:val="26137BEB"/>
    <w:rsid w:val="26417F35"/>
    <w:rsid w:val="26554E3C"/>
    <w:rsid w:val="266046AC"/>
    <w:rsid w:val="267B565F"/>
    <w:rsid w:val="26945741"/>
    <w:rsid w:val="26956887"/>
    <w:rsid w:val="26A02447"/>
    <w:rsid w:val="26D03A4F"/>
    <w:rsid w:val="26D94133"/>
    <w:rsid w:val="26F431BA"/>
    <w:rsid w:val="26F44EED"/>
    <w:rsid w:val="26FE03F5"/>
    <w:rsid w:val="271E1A50"/>
    <w:rsid w:val="27263CA1"/>
    <w:rsid w:val="272A4721"/>
    <w:rsid w:val="272C0D3F"/>
    <w:rsid w:val="272D3F2A"/>
    <w:rsid w:val="27391066"/>
    <w:rsid w:val="275F43DA"/>
    <w:rsid w:val="27732C02"/>
    <w:rsid w:val="279E4EF7"/>
    <w:rsid w:val="27AE639B"/>
    <w:rsid w:val="27B079C1"/>
    <w:rsid w:val="27BA21B7"/>
    <w:rsid w:val="27D642F4"/>
    <w:rsid w:val="27E3288F"/>
    <w:rsid w:val="27F97FE9"/>
    <w:rsid w:val="2814689C"/>
    <w:rsid w:val="281F5DBD"/>
    <w:rsid w:val="282C72A3"/>
    <w:rsid w:val="282F71E1"/>
    <w:rsid w:val="283B38A8"/>
    <w:rsid w:val="2852419D"/>
    <w:rsid w:val="28565744"/>
    <w:rsid w:val="28610762"/>
    <w:rsid w:val="286C41F3"/>
    <w:rsid w:val="28727E5A"/>
    <w:rsid w:val="28732366"/>
    <w:rsid w:val="287C56BE"/>
    <w:rsid w:val="28811E52"/>
    <w:rsid w:val="2883240B"/>
    <w:rsid w:val="28893937"/>
    <w:rsid w:val="28986450"/>
    <w:rsid w:val="28996A68"/>
    <w:rsid w:val="28A91EC8"/>
    <w:rsid w:val="28AF2C05"/>
    <w:rsid w:val="28C6316C"/>
    <w:rsid w:val="28CB4DDC"/>
    <w:rsid w:val="28DA35D4"/>
    <w:rsid w:val="28DD4774"/>
    <w:rsid w:val="28E45DF1"/>
    <w:rsid w:val="28F0335B"/>
    <w:rsid w:val="28F80E75"/>
    <w:rsid w:val="28FD4B5E"/>
    <w:rsid w:val="29025905"/>
    <w:rsid w:val="291E3799"/>
    <w:rsid w:val="29361D11"/>
    <w:rsid w:val="29437F8A"/>
    <w:rsid w:val="29513E9D"/>
    <w:rsid w:val="296323DF"/>
    <w:rsid w:val="296E3259"/>
    <w:rsid w:val="2990381D"/>
    <w:rsid w:val="29905216"/>
    <w:rsid w:val="29B16187"/>
    <w:rsid w:val="29B35088"/>
    <w:rsid w:val="29CF2848"/>
    <w:rsid w:val="29DB3601"/>
    <w:rsid w:val="29E54E2D"/>
    <w:rsid w:val="29F8108E"/>
    <w:rsid w:val="29FE3F5A"/>
    <w:rsid w:val="2A091A87"/>
    <w:rsid w:val="2A0A45B0"/>
    <w:rsid w:val="2A2B739C"/>
    <w:rsid w:val="2A30670E"/>
    <w:rsid w:val="2A3C7518"/>
    <w:rsid w:val="2A3E2EBF"/>
    <w:rsid w:val="2A484A56"/>
    <w:rsid w:val="2A72150C"/>
    <w:rsid w:val="2A754076"/>
    <w:rsid w:val="2AE141B6"/>
    <w:rsid w:val="2AF03B34"/>
    <w:rsid w:val="2AF0559F"/>
    <w:rsid w:val="2B0B681C"/>
    <w:rsid w:val="2B164E19"/>
    <w:rsid w:val="2B1B1B92"/>
    <w:rsid w:val="2B1E2CD5"/>
    <w:rsid w:val="2B303442"/>
    <w:rsid w:val="2B345CDB"/>
    <w:rsid w:val="2B37601D"/>
    <w:rsid w:val="2B451883"/>
    <w:rsid w:val="2B4E4A8E"/>
    <w:rsid w:val="2B512E9C"/>
    <w:rsid w:val="2B5F5ABE"/>
    <w:rsid w:val="2B6228C3"/>
    <w:rsid w:val="2BAD7356"/>
    <w:rsid w:val="2BBD04C8"/>
    <w:rsid w:val="2BCA63E5"/>
    <w:rsid w:val="2BD25E8D"/>
    <w:rsid w:val="2BD44863"/>
    <w:rsid w:val="2BDF28B4"/>
    <w:rsid w:val="2BE91B3D"/>
    <w:rsid w:val="2BFA7026"/>
    <w:rsid w:val="2C0F631D"/>
    <w:rsid w:val="2C2E396A"/>
    <w:rsid w:val="2C313F6E"/>
    <w:rsid w:val="2C35538F"/>
    <w:rsid w:val="2C3D3EC5"/>
    <w:rsid w:val="2C412166"/>
    <w:rsid w:val="2C564D86"/>
    <w:rsid w:val="2C797B17"/>
    <w:rsid w:val="2C9224AC"/>
    <w:rsid w:val="2C96001E"/>
    <w:rsid w:val="2C9B12CE"/>
    <w:rsid w:val="2CA8303D"/>
    <w:rsid w:val="2CAF01C0"/>
    <w:rsid w:val="2CC17B44"/>
    <w:rsid w:val="2CC656B3"/>
    <w:rsid w:val="2CC86FD6"/>
    <w:rsid w:val="2CD61401"/>
    <w:rsid w:val="2CF123CB"/>
    <w:rsid w:val="2D0D656C"/>
    <w:rsid w:val="2D145EC5"/>
    <w:rsid w:val="2D1C6DA5"/>
    <w:rsid w:val="2D211F5E"/>
    <w:rsid w:val="2D2D0D2A"/>
    <w:rsid w:val="2D2F0ED7"/>
    <w:rsid w:val="2D3452F7"/>
    <w:rsid w:val="2D641E53"/>
    <w:rsid w:val="2D6C3387"/>
    <w:rsid w:val="2D7C0D07"/>
    <w:rsid w:val="2D7C3A6A"/>
    <w:rsid w:val="2D964B2C"/>
    <w:rsid w:val="2D964DEF"/>
    <w:rsid w:val="2DCE44C2"/>
    <w:rsid w:val="2E151B50"/>
    <w:rsid w:val="2E1C47CC"/>
    <w:rsid w:val="2E200FA9"/>
    <w:rsid w:val="2E206AEC"/>
    <w:rsid w:val="2E257331"/>
    <w:rsid w:val="2E3256A1"/>
    <w:rsid w:val="2E370DEE"/>
    <w:rsid w:val="2E382DE5"/>
    <w:rsid w:val="2E4D6547"/>
    <w:rsid w:val="2E6E3CFB"/>
    <w:rsid w:val="2E74387D"/>
    <w:rsid w:val="2E930F46"/>
    <w:rsid w:val="2E9E2C80"/>
    <w:rsid w:val="2EA57831"/>
    <w:rsid w:val="2EAE482B"/>
    <w:rsid w:val="2EB46300"/>
    <w:rsid w:val="2EB95320"/>
    <w:rsid w:val="2EBB4650"/>
    <w:rsid w:val="2EBD1E5E"/>
    <w:rsid w:val="2ECE640C"/>
    <w:rsid w:val="2ED85923"/>
    <w:rsid w:val="2EE356A6"/>
    <w:rsid w:val="2EEC0DD1"/>
    <w:rsid w:val="2EF24461"/>
    <w:rsid w:val="2EFD2D39"/>
    <w:rsid w:val="2EFF109D"/>
    <w:rsid w:val="2F087B7B"/>
    <w:rsid w:val="2F1523C9"/>
    <w:rsid w:val="2F324093"/>
    <w:rsid w:val="2F4D56BE"/>
    <w:rsid w:val="2F6A2443"/>
    <w:rsid w:val="2F7A4D80"/>
    <w:rsid w:val="2F7B222C"/>
    <w:rsid w:val="2F8256E8"/>
    <w:rsid w:val="2F94032C"/>
    <w:rsid w:val="2FB029FA"/>
    <w:rsid w:val="2FB36078"/>
    <w:rsid w:val="2FC524E1"/>
    <w:rsid w:val="2FE0721C"/>
    <w:rsid w:val="2FE36023"/>
    <w:rsid w:val="2FEF1E38"/>
    <w:rsid w:val="300D740D"/>
    <w:rsid w:val="301047AD"/>
    <w:rsid w:val="3015291F"/>
    <w:rsid w:val="3023097B"/>
    <w:rsid w:val="302B7D68"/>
    <w:rsid w:val="30324129"/>
    <w:rsid w:val="3036148E"/>
    <w:rsid w:val="303F0287"/>
    <w:rsid w:val="30567D0A"/>
    <w:rsid w:val="30600615"/>
    <w:rsid w:val="306B161D"/>
    <w:rsid w:val="30700C68"/>
    <w:rsid w:val="307134C3"/>
    <w:rsid w:val="307B42B2"/>
    <w:rsid w:val="307E7949"/>
    <w:rsid w:val="308A7D8A"/>
    <w:rsid w:val="30AB3978"/>
    <w:rsid w:val="30BE41F9"/>
    <w:rsid w:val="30D02144"/>
    <w:rsid w:val="30D43C9A"/>
    <w:rsid w:val="30DF4157"/>
    <w:rsid w:val="30DF67EA"/>
    <w:rsid w:val="30EA42FD"/>
    <w:rsid w:val="31191C5C"/>
    <w:rsid w:val="311E37B6"/>
    <w:rsid w:val="3126467E"/>
    <w:rsid w:val="31371E66"/>
    <w:rsid w:val="313A668D"/>
    <w:rsid w:val="313D179D"/>
    <w:rsid w:val="3148438F"/>
    <w:rsid w:val="314F4AAE"/>
    <w:rsid w:val="3157339C"/>
    <w:rsid w:val="31641EFD"/>
    <w:rsid w:val="31796C3F"/>
    <w:rsid w:val="318178A1"/>
    <w:rsid w:val="319637E8"/>
    <w:rsid w:val="31AC5F6D"/>
    <w:rsid w:val="31AC70E0"/>
    <w:rsid w:val="31B65AEE"/>
    <w:rsid w:val="31BC773E"/>
    <w:rsid w:val="31C003CA"/>
    <w:rsid w:val="31C31761"/>
    <w:rsid w:val="31C5610F"/>
    <w:rsid w:val="31CC63F4"/>
    <w:rsid w:val="31DA376C"/>
    <w:rsid w:val="31F77B64"/>
    <w:rsid w:val="32075FF9"/>
    <w:rsid w:val="32090E37"/>
    <w:rsid w:val="32155EF0"/>
    <w:rsid w:val="322130A9"/>
    <w:rsid w:val="322D2641"/>
    <w:rsid w:val="323B661A"/>
    <w:rsid w:val="323C3AE6"/>
    <w:rsid w:val="323E0027"/>
    <w:rsid w:val="324046CF"/>
    <w:rsid w:val="324F174E"/>
    <w:rsid w:val="32506261"/>
    <w:rsid w:val="325B7388"/>
    <w:rsid w:val="32622C94"/>
    <w:rsid w:val="326C191E"/>
    <w:rsid w:val="3276317E"/>
    <w:rsid w:val="32895D67"/>
    <w:rsid w:val="3293193F"/>
    <w:rsid w:val="32936E35"/>
    <w:rsid w:val="32970C22"/>
    <w:rsid w:val="32B13C6D"/>
    <w:rsid w:val="32BC242C"/>
    <w:rsid w:val="32CA6456"/>
    <w:rsid w:val="32CE4D68"/>
    <w:rsid w:val="32CF18CC"/>
    <w:rsid w:val="32CF72BF"/>
    <w:rsid w:val="32EC51EE"/>
    <w:rsid w:val="32F07E9E"/>
    <w:rsid w:val="32FB2F34"/>
    <w:rsid w:val="330975F6"/>
    <w:rsid w:val="330D0BEB"/>
    <w:rsid w:val="330D25C6"/>
    <w:rsid w:val="3314149D"/>
    <w:rsid w:val="331A2870"/>
    <w:rsid w:val="331B6640"/>
    <w:rsid w:val="33287688"/>
    <w:rsid w:val="33434310"/>
    <w:rsid w:val="33451EAB"/>
    <w:rsid w:val="3348319F"/>
    <w:rsid w:val="334B3FAB"/>
    <w:rsid w:val="33585C2A"/>
    <w:rsid w:val="335A2349"/>
    <w:rsid w:val="33635381"/>
    <w:rsid w:val="33730803"/>
    <w:rsid w:val="337E22EA"/>
    <w:rsid w:val="338656E4"/>
    <w:rsid w:val="339133B6"/>
    <w:rsid w:val="3394597F"/>
    <w:rsid w:val="33A61841"/>
    <w:rsid w:val="33B50C44"/>
    <w:rsid w:val="33C07AF4"/>
    <w:rsid w:val="33D53ED4"/>
    <w:rsid w:val="342015F4"/>
    <w:rsid w:val="342A5E41"/>
    <w:rsid w:val="3434509F"/>
    <w:rsid w:val="344B6ED4"/>
    <w:rsid w:val="344C4197"/>
    <w:rsid w:val="34673B12"/>
    <w:rsid w:val="34674ABF"/>
    <w:rsid w:val="3476002E"/>
    <w:rsid w:val="347667AF"/>
    <w:rsid w:val="34887B2C"/>
    <w:rsid w:val="348C3ACA"/>
    <w:rsid w:val="349D2C44"/>
    <w:rsid w:val="34A76F0A"/>
    <w:rsid w:val="34DB2F73"/>
    <w:rsid w:val="34E03DB5"/>
    <w:rsid w:val="34E82C66"/>
    <w:rsid w:val="350807A8"/>
    <w:rsid w:val="3510672F"/>
    <w:rsid w:val="35224BBB"/>
    <w:rsid w:val="352819E8"/>
    <w:rsid w:val="352E7721"/>
    <w:rsid w:val="35450298"/>
    <w:rsid w:val="35565D17"/>
    <w:rsid w:val="355B616C"/>
    <w:rsid w:val="355B7C45"/>
    <w:rsid w:val="355D247E"/>
    <w:rsid w:val="35802D60"/>
    <w:rsid w:val="358D55F1"/>
    <w:rsid w:val="3590064E"/>
    <w:rsid w:val="35972A5A"/>
    <w:rsid w:val="35A00BD9"/>
    <w:rsid w:val="35B93CDA"/>
    <w:rsid w:val="35CC5F98"/>
    <w:rsid w:val="35DA3A24"/>
    <w:rsid w:val="35E61BC9"/>
    <w:rsid w:val="35F26FC0"/>
    <w:rsid w:val="36010FB1"/>
    <w:rsid w:val="36090959"/>
    <w:rsid w:val="360D1836"/>
    <w:rsid w:val="361A0C8A"/>
    <w:rsid w:val="361E4D56"/>
    <w:rsid w:val="36200F2E"/>
    <w:rsid w:val="362152FD"/>
    <w:rsid w:val="362241CC"/>
    <w:rsid w:val="36281F27"/>
    <w:rsid w:val="363A5D48"/>
    <w:rsid w:val="36527A5E"/>
    <w:rsid w:val="36675EE2"/>
    <w:rsid w:val="36712425"/>
    <w:rsid w:val="367528E0"/>
    <w:rsid w:val="369B64AE"/>
    <w:rsid w:val="369C4142"/>
    <w:rsid w:val="36A6210C"/>
    <w:rsid w:val="36AF4CB9"/>
    <w:rsid w:val="36BE599C"/>
    <w:rsid w:val="36C25D64"/>
    <w:rsid w:val="36C91E36"/>
    <w:rsid w:val="36E47938"/>
    <w:rsid w:val="36EB5659"/>
    <w:rsid w:val="36F87994"/>
    <w:rsid w:val="36FD7B0D"/>
    <w:rsid w:val="3708258A"/>
    <w:rsid w:val="37082CF7"/>
    <w:rsid w:val="37154F64"/>
    <w:rsid w:val="37274FD9"/>
    <w:rsid w:val="37277667"/>
    <w:rsid w:val="372C087B"/>
    <w:rsid w:val="37346646"/>
    <w:rsid w:val="37377380"/>
    <w:rsid w:val="373C66E6"/>
    <w:rsid w:val="37464DA1"/>
    <w:rsid w:val="37995199"/>
    <w:rsid w:val="37A12C57"/>
    <w:rsid w:val="37A83DDA"/>
    <w:rsid w:val="37B502A5"/>
    <w:rsid w:val="37D5242B"/>
    <w:rsid w:val="37DD3F0B"/>
    <w:rsid w:val="37FD7D7C"/>
    <w:rsid w:val="381E13AC"/>
    <w:rsid w:val="38206066"/>
    <w:rsid w:val="38267191"/>
    <w:rsid w:val="382E442C"/>
    <w:rsid w:val="383704C4"/>
    <w:rsid w:val="38455ACD"/>
    <w:rsid w:val="384B29B7"/>
    <w:rsid w:val="384D4981"/>
    <w:rsid w:val="38521F98"/>
    <w:rsid w:val="38564E76"/>
    <w:rsid w:val="38782A52"/>
    <w:rsid w:val="38867B64"/>
    <w:rsid w:val="38A23BFF"/>
    <w:rsid w:val="38B70A56"/>
    <w:rsid w:val="38BB5D8F"/>
    <w:rsid w:val="38D536BD"/>
    <w:rsid w:val="38DC150C"/>
    <w:rsid w:val="38FC59F0"/>
    <w:rsid w:val="39005CE7"/>
    <w:rsid w:val="390B1242"/>
    <w:rsid w:val="393974D7"/>
    <w:rsid w:val="393A3DBD"/>
    <w:rsid w:val="39434054"/>
    <w:rsid w:val="39602492"/>
    <w:rsid w:val="39680B72"/>
    <w:rsid w:val="398217F2"/>
    <w:rsid w:val="39981C2C"/>
    <w:rsid w:val="399E405C"/>
    <w:rsid w:val="39AE0DA3"/>
    <w:rsid w:val="39AE41DE"/>
    <w:rsid w:val="39D07618"/>
    <w:rsid w:val="39D36E4D"/>
    <w:rsid w:val="39D66DBF"/>
    <w:rsid w:val="39DB6ED1"/>
    <w:rsid w:val="39E62C55"/>
    <w:rsid w:val="39EB3821"/>
    <w:rsid w:val="39F50E33"/>
    <w:rsid w:val="3A030CCA"/>
    <w:rsid w:val="3A06784F"/>
    <w:rsid w:val="3A092EFA"/>
    <w:rsid w:val="3A105C66"/>
    <w:rsid w:val="3A347BA7"/>
    <w:rsid w:val="3A576C59"/>
    <w:rsid w:val="3A5B05CE"/>
    <w:rsid w:val="3A7C2F10"/>
    <w:rsid w:val="3A81001B"/>
    <w:rsid w:val="3A851961"/>
    <w:rsid w:val="3A863A18"/>
    <w:rsid w:val="3A93382A"/>
    <w:rsid w:val="3AA210C4"/>
    <w:rsid w:val="3AB5279B"/>
    <w:rsid w:val="3AC23405"/>
    <w:rsid w:val="3AC27A31"/>
    <w:rsid w:val="3AD51B36"/>
    <w:rsid w:val="3AE65EB9"/>
    <w:rsid w:val="3AEC54A8"/>
    <w:rsid w:val="3AF03D2B"/>
    <w:rsid w:val="3AF2458C"/>
    <w:rsid w:val="3AF30F35"/>
    <w:rsid w:val="3AF410E4"/>
    <w:rsid w:val="3B0D14D6"/>
    <w:rsid w:val="3B186BAE"/>
    <w:rsid w:val="3B3F2668"/>
    <w:rsid w:val="3B415444"/>
    <w:rsid w:val="3B44499C"/>
    <w:rsid w:val="3B4C4A5B"/>
    <w:rsid w:val="3B4E2997"/>
    <w:rsid w:val="3B655A3A"/>
    <w:rsid w:val="3B765F9D"/>
    <w:rsid w:val="3B784C97"/>
    <w:rsid w:val="3B895BE4"/>
    <w:rsid w:val="3BBF0221"/>
    <w:rsid w:val="3BCF4AA0"/>
    <w:rsid w:val="3BD62D21"/>
    <w:rsid w:val="3BE677F1"/>
    <w:rsid w:val="3BE858FF"/>
    <w:rsid w:val="3BEA4491"/>
    <w:rsid w:val="3BF03FA1"/>
    <w:rsid w:val="3BFF4A3E"/>
    <w:rsid w:val="3C0F1D99"/>
    <w:rsid w:val="3C117AFC"/>
    <w:rsid w:val="3C196564"/>
    <w:rsid w:val="3C1E1F51"/>
    <w:rsid w:val="3C31002E"/>
    <w:rsid w:val="3C3927B0"/>
    <w:rsid w:val="3C5C33E5"/>
    <w:rsid w:val="3C626BC9"/>
    <w:rsid w:val="3C672E60"/>
    <w:rsid w:val="3C694662"/>
    <w:rsid w:val="3C7A1ABD"/>
    <w:rsid w:val="3C975A23"/>
    <w:rsid w:val="3CBF0DCB"/>
    <w:rsid w:val="3CCD7E3F"/>
    <w:rsid w:val="3CCF5D27"/>
    <w:rsid w:val="3CD127FC"/>
    <w:rsid w:val="3CDD0F17"/>
    <w:rsid w:val="3CDE0DDF"/>
    <w:rsid w:val="3CEB6971"/>
    <w:rsid w:val="3CEE62D5"/>
    <w:rsid w:val="3D063397"/>
    <w:rsid w:val="3D1612F6"/>
    <w:rsid w:val="3D3C3AED"/>
    <w:rsid w:val="3D49491C"/>
    <w:rsid w:val="3D506198"/>
    <w:rsid w:val="3D742981"/>
    <w:rsid w:val="3D822082"/>
    <w:rsid w:val="3D86660C"/>
    <w:rsid w:val="3D982CB1"/>
    <w:rsid w:val="3DA51518"/>
    <w:rsid w:val="3DAA0345"/>
    <w:rsid w:val="3DB421A0"/>
    <w:rsid w:val="3DBF5617"/>
    <w:rsid w:val="3DC01453"/>
    <w:rsid w:val="3DD85298"/>
    <w:rsid w:val="3DE8273D"/>
    <w:rsid w:val="3DF75171"/>
    <w:rsid w:val="3DFD1F83"/>
    <w:rsid w:val="3DFE042B"/>
    <w:rsid w:val="3DFE77CF"/>
    <w:rsid w:val="3E051DE8"/>
    <w:rsid w:val="3E064613"/>
    <w:rsid w:val="3E1D67D6"/>
    <w:rsid w:val="3E295173"/>
    <w:rsid w:val="3E3E516D"/>
    <w:rsid w:val="3E4D2EF7"/>
    <w:rsid w:val="3E4F60C2"/>
    <w:rsid w:val="3E684914"/>
    <w:rsid w:val="3E6D40DE"/>
    <w:rsid w:val="3EA52AE3"/>
    <w:rsid w:val="3EB0577A"/>
    <w:rsid w:val="3EB70DA6"/>
    <w:rsid w:val="3EBC4035"/>
    <w:rsid w:val="3ED92EFE"/>
    <w:rsid w:val="3EEC33A9"/>
    <w:rsid w:val="3EF267BD"/>
    <w:rsid w:val="3EF95FFE"/>
    <w:rsid w:val="3F1D7BCF"/>
    <w:rsid w:val="3F204A99"/>
    <w:rsid w:val="3F2D7071"/>
    <w:rsid w:val="3F32132C"/>
    <w:rsid w:val="3F332837"/>
    <w:rsid w:val="3F36071C"/>
    <w:rsid w:val="3F38621C"/>
    <w:rsid w:val="3F57699B"/>
    <w:rsid w:val="3F786788"/>
    <w:rsid w:val="3F8E13DE"/>
    <w:rsid w:val="3F9B2476"/>
    <w:rsid w:val="3FA13DEA"/>
    <w:rsid w:val="3FA64287"/>
    <w:rsid w:val="3FAF7CCF"/>
    <w:rsid w:val="3FB3410F"/>
    <w:rsid w:val="3FC84C9E"/>
    <w:rsid w:val="3FCA1B42"/>
    <w:rsid w:val="3FD41E4F"/>
    <w:rsid w:val="3FD44C52"/>
    <w:rsid w:val="3FD85478"/>
    <w:rsid w:val="4008024D"/>
    <w:rsid w:val="40090017"/>
    <w:rsid w:val="40093884"/>
    <w:rsid w:val="401F6C03"/>
    <w:rsid w:val="402146F9"/>
    <w:rsid w:val="403365E8"/>
    <w:rsid w:val="40436D96"/>
    <w:rsid w:val="404B79F8"/>
    <w:rsid w:val="40684300"/>
    <w:rsid w:val="406B5C08"/>
    <w:rsid w:val="406C464C"/>
    <w:rsid w:val="40840CD2"/>
    <w:rsid w:val="4096730E"/>
    <w:rsid w:val="409C70B2"/>
    <w:rsid w:val="40A02788"/>
    <w:rsid w:val="40AB0497"/>
    <w:rsid w:val="40B2779A"/>
    <w:rsid w:val="40C402B9"/>
    <w:rsid w:val="40CD59A9"/>
    <w:rsid w:val="40DC68A2"/>
    <w:rsid w:val="40F94FF7"/>
    <w:rsid w:val="411150E1"/>
    <w:rsid w:val="41126768"/>
    <w:rsid w:val="411E0EED"/>
    <w:rsid w:val="41313092"/>
    <w:rsid w:val="41342F1C"/>
    <w:rsid w:val="413A43FF"/>
    <w:rsid w:val="41594AAB"/>
    <w:rsid w:val="416255A9"/>
    <w:rsid w:val="416408B3"/>
    <w:rsid w:val="416D7EF0"/>
    <w:rsid w:val="417B26FB"/>
    <w:rsid w:val="417E338B"/>
    <w:rsid w:val="417F12B7"/>
    <w:rsid w:val="418F600A"/>
    <w:rsid w:val="4194521D"/>
    <w:rsid w:val="41A926E2"/>
    <w:rsid w:val="41B7726E"/>
    <w:rsid w:val="41C7462F"/>
    <w:rsid w:val="41DA54D8"/>
    <w:rsid w:val="41E66E11"/>
    <w:rsid w:val="41F12FE5"/>
    <w:rsid w:val="41FA4A3C"/>
    <w:rsid w:val="4208031C"/>
    <w:rsid w:val="42312482"/>
    <w:rsid w:val="4234358D"/>
    <w:rsid w:val="42424EE2"/>
    <w:rsid w:val="42491085"/>
    <w:rsid w:val="42555CF4"/>
    <w:rsid w:val="425B0788"/>
    <w:rsid w:val="426E6B65"/>
    <w:rsid w:val="4294451E"/>
    <w:rsid w:val="42A25448"/>
    <w:rsid w:val="42B65C4E"/>
    <w:rsid w:val="42B75478"/>
    <w:rsid w:val="42BB0055"/>
    <w:rsid w:val="42C43F0C"/>
    <w:rsid w:val="42CD644A"/>
    <w:rsid w:val="42D737C5"/>
    <w:rsid w:val="42E419B0"/>
    <w:rsid w:val="42E8372F"/>
    <w:rsid w:val="42EB54C2"/>
    <w:rsid w:val="42F223AD"/>
    <w:rsid w:val="430826C4"/>
    <w:rsid w:val="430D78C6"/>
    <w:rsid w:val="431033BD"/>
    <w:rsid w:val="433A371A"/>
    <w:rsid w:val="434B19EE"/>
    <w:rsid w:val="43584C70"/>
    <w:rsid w:val="4381785E"/>
    <w:rsid w:val="4383495D"/>
    <w:rsid w:val="438376F3"/>
    <w:rsid w:val="4387467C"/>
    <w:rsid w:val="43956DE7"/>
    <w:rsid w:val="43AC215C"/>
    <w:rsid w:val="43BD3D85"/>
    <w:rsid w:val="43DF347A"/>
    <w:rsid w:val="43E83614"/>
    <w:rsid w:val="44004F9E"/>
    <w:rsid w:val="44240331"/>
    <w:rsid w:val="4427077C"/>
    <w:rsid w:val="44343752"/>
    <w:rsid w:val="444520FD"/>
    <w:rsid w:val="444A101C"/>
    <w:rsid w:val="445E66A7"/>
    <w:rsid w:val="446852AD"/>
    <w:rsid w:val="446F759B"/>
    <w:rsid w:val="447B17CD"/>
    <w:rsid w:val="447F09DF"/>
    <w:rsid w:val="448160DE"/>
    <w:rsid w:val="44816F9D"/>
    <w:rsid w:val="44AB5D13"/>
    <w:rsid w:val="44B44858"/>
    <w:rsid w:val="44BE3E76"/>
    <w:rsid w:val="44E26451"/>
    <w:rsid w:val="44F91551"/>
    <w:rsid w:val="452D25F5"/>
    <w:rsid w:val="45332247"/>
    <w:rsid w:val="45423D83"/>
    <w:rsid w:val="454A0A68"/>
    <w:rsid w:val="455A248C"/>
    <w:rsid w:val="45652AF8"/>
    <w:rsid w:val="45684BA8"/>
    <w:rsid w:val="45795008"/>
    <w:rsid w:val="457C0654"/>
    <w:rsid w:val="45844431"/>
    <w:rsid w:val="458E23F3"/>
    <w:rsid w:val="45B222C8"/>
    <w:rsid w:val="45C34DF0"/>
    <w:rsid w:val="45CE2A73"/>
    <w:rsid w:val="45DD15D4"/>
    <w:rsid w:val="45ED064D"/>
    <w:rsid w:val="46094EB3"/>
    <w:rsid w:val="460F14C8"/>
    <w:rsid w:val="46162E4E"/>
    <w:rsid w:val="461A17B1"/>
    <w:rsid w:val="46205E07"/>
    <w:rsid w:val="46213240"/>
    <w:rsid w:val="46252D4D"/>
    <w:rsid w:val="46334018"/>
    <w:rsid w:val="4638462A"/>
    <w:rsid w:val="46387C31"/>
    <w:rsid w:val="464E7278"/>
    <w:rsid w:val="465B53CD"/>
    <w:rsid w:val="46613679"/>
    <w:rsid w:val="4669507C"/>
    <w:rsid w:val="468518EA"/>
    <w:rsid w:val="46A613B3"/>
    <w:rsid w:val="46CE47EC"/>
    <w:rsid w:val="46DA3884"/>
    <w:rsid w:val="46DC24F1"/>
    <w:rsid w:val="46EA4DCC"/>
    <w:rsid w:val="46EC1452"/>
    <w:rsid w:val="47082795"/>
    <w:rsid w:val="4712301E"/>
    <w:rsid w:val="471D19C3"/>
    <w:rsid w:val="47226130"/>
    <w:rsid w:val="4723347D"/>
    <w:rsid w:val="47410DDF"/>
    <w:rsid w:val="47460F19"/>
    <w:rsid w:val="475065D5"/>
    <w:rsid w:val="476513C6"/>
    <w:rsid w:val="4778684C"/>
    <w:rsid w:val="477A234C"/>
    <w:rsid w:val="477D70FC"/>
    <w:rsid w:val="477E4FF4"/>
    <w:rsid w:val="47891107"/>
    <w:rsid w:val="47923B78"/>
    <w:rsid w:val="47A054BC"/>
    <w:rsid w:val="47AF3744"/>
    <w:rsid w:val="47B9793D"/>
    <w:rsid w:val="47CD6B6F"/>
    <w:rsid w:val="47EB3DDE"/>
    <w:rsid w:val="48085595"/>
    <w:rsid w:val="481F5625"/>
    <w:rsid w:val="482617AF"/>
    <w:rsid w:val="48344A52"/>
    <w:rsid w:val="48380285"/>
    <w:rsid w:val="48382F58"/>
    <w:rsid w:val="48401776"/>
    <w:rsid w:val="48546305"/>
    <w:rsid w:val="485F5CAF"/>
    <w:rsid w:val="488937B4"/>
    <w:rsid w:val="4889717B"/>
    <w:rsid w:val="489B7650"/>
    <w:rsid w:val="48B273CB"/>
    <w:rsid w:val="48C53DC3"/>
    <w:rsid w:val="48C95729"/>
    <w:rsid w:val="48C96EBA"/>
    <w:rsid w:val="48CB08FD"/>
    <w:rsid w:val="48D61428"/>
    <w:rsid w:val="48D77B39"/>
    <w:rsid w:val="490C2DB1"/>
    <w:rsid w:val="49166B47"/>
    <w:rsid w:val="491D58A0"/>
    <w:rsid w:val="492152F7"/>
    <w:rsid w:val="49275E34"/>
    <w:rsid w:val="493E4399"/>
    <w:rsid w:val="49521CA9"/>
    <w:rsid w:val="49544A87"/>
    <w:rsid w:val="49670D3C"/>
    <w:rsid w:val="4967648B"/>
    <w:rsid w:val="496A0BF5"/>
    <w:rsid w:val="49870D1A"/>
    <w:rsid w:val="498F599D"/>
    <w:rsid w:val="499B5CB2"/>
    <w:rsid w:val="49A93BD9"/>
    <w:rsid w:val="49D22F38"/>
    <w:rsid w:val="49E37654"/>
    <w:rsid w:val="49E77726"/>
    <w:rsid w:val="49EE37B0"/>
    <w:rsid w:val="49F134DB"/>
    <w:rsid w:val="49F51EDB"/>
    <w:rsid w:val="4A0F6F03"/>
    <w:rsid w:val="4A163D85"/>
    <w:rsid w:val="4A256B80"/>
    <w:rsid w:val="4A2F6758"/>
    <w:rsid w:val="4A3724C0"/>
    <w:rsid w:val="4A417D43"/>
    <w:rsid w:val="4A445C00"/>
    <w:rsid w:val="4A4B0B6E"/>
    <w:rsid w:val="4A600544"/>
    <w:rsid w:val="4A64489F"/>
    <w:rsid w:val="4A6B0275"/>
    <w:rsid w:val="4A7B074B"/>
    <w:rsid w:val="4A885999"/>
    <w:rsid w:val="4A92402C"/>
    <w:rsid w:val="4A9641DF"/>
    <w:rsid w:val="4AC36B97"/>
    <w:rsid w:val="4AC668D2"/>
    <w:rsid w:val="4AD90A31"/>
    <w:rsid w:val="4AE74C1E"/>
    <w:rsid w:val="4AFE6B89"/>
    <w:rsid w:val="4B097BAB"/>
    <w:rsid w:val="4B0A3436"/>
    <w:rsid w:val="4B181409"/>
    <w:rsid w:val="4B1D2F8C"/>
    <w:rsid w:val="4B33411D"/>
    <w:rsid w:val="4B3E382E"/>
    <w:rsid w:val="4B461F2B"/>
    <w:rsid w:val="4B7A4E6B"/>
    <w:rsid w:val="4B8B5A92"/>
    <w:rsid w:val="4B8E2E8F"/>
    <w:rsid w:val="4BA14D61"/>
    <w:rsid w:val="4BA52C90"/>
    <w:rsid w:val="4BA77ED2"/>
    <w:rsid w:val="4BB1347D"/>
    <w:rsid w:val="4BBA72B0"/>
    <w:rsid w:val="4BBD439D"/>
    <w:rsid w:val="4BC32129"/>
    <w:rsid w:val="4BC54262"/>
    <w:rsid w:val="4BDA0ED5"/>
    <w:rsid w:val="4BDF599F"/>
    <w:rsid w:val="4BF227B8"/>
    <w:rsid w:val="4BF46E98"/>
    <w:rsid w:val="4C030443"/>
    <w:rsid w:val="4C097B79"/>
    <w:rsid w:val="4C313266"/>
    <w:rsid w:val="4C3C7455"/>
    <w:rsid w:val="4C5B371A"/>
    <w:rsid w:val="4C5D40AD"/>
    <w:rsid w:val="4C6A119A"/>
    <w:rsid w:val="4C6F16A7"/>
    <w:rsid w:val="4C773B54"/>
    <w:rsid w:val="4C79769B"/>
    <w:rsid w:val="4C9C45AC"/>
    <w:rsid w:val="4CA846DC"/>
    <w:rsid w:val="4CAC4275"/>
    <w:rsid w:val="4CAF5386"/>
    <w:rsid w:val="4CBA50E3"/>
    <w:rsid w:val="4CC85386"/>
    <w:rsid w:val="4CD46FC7"/>
    <w:rsid w:val="4CDB2104"/>
    <w:rsid w:val="4D037ABE"/>
    <w:rsid w:val="4D0553D3"/>
    <w:rsid w:val="4D06044C"/>
    <w:rsid w:val="4D1E44D1"/>
    <w:rsid w:val="4D465DA8"/>
    <w:rsid w:val="4D4C6B4F"/>
    <w:rsid w:val="4D537083"/>
    <w:rsid w:val="4D557D51"/>
    <w:rsid w:val="4D5932DC"/>
    <w:rsid w:val="4D5C57A0"/>
    <w:rsid w:val="4D991B96"/>
    <w:rsid w:val="4D9B33CB"/>
    <w:rsid w:val="4DA82DA2"/>
    <w:rsid w:val="4DBB14D7"/>
    <w:rsid w:val="4DD86643"/>
    <w:rsid w:val="4DE25D7D"/>
    <w:rsid w:val="4DF3347D"/>
    <w:rsid w:val="4DFC7D24"/>
    <w:rsid w:val="4E021CE6"/>
    <w:rsid w:val="4E0220ED"/>
    <w:rsid w:val="4E0260A9"/>
    <w:rsid w:val="4E074369"/>
    <w:rsid w:val="4E322FBF"/>
    <w:rsid w:val="4E532D51"/>
    <w:rsid w:val="4E5D6980"/>
    <w:rsid w:val="4E6924D8"/>
    <w:rsid w:val="4E853B08"/>
    <w:rsid w:val="4E8B2A9D"/>
    <w:rsid w:val="4E9E1C29"/>
    <w:rsid w:val="4E9E23DD"/>
    <w:rsid w:val="4EA20082"/>
    <w:rsid w:val="4EA23714"/>
    <w:rsid w:val="4EA54396"/>
    <w:rsid w:val="4EA62C8C"/>
    <w:rsid w:val="4EAA4484"/>
    <w:rsid w:val="4EBA52B1"/>
    <w:rsid w:val="4EC216CF"/>
    <w:rsid w:val="4EC40568"/>
    <w:rsid w:val="4F0202C8"/>
    <w:rsid w:val="4F115764"/>
    <w:rsid w:val="4F2204BE"/>
    <w:rsid w:val="4F371340"/>
    <w:rsid w:val="4F493C9D"/>
    <w:rsid w:val="4F546152"/>
    <w:rsid w:val="4F5C0387"/>
    <w:rsid w:val="4F7A7412"/>
    <w:rsid w:val="4F7B2E66"/>
    <w:rsid w:val="4F7D589F"/>
    <w:rsid w:val="4F7D74A2"/>
    <w:rsid w:val="4F837021"/>
    <w:rsid w:val="4F924CE0"/>
    <w:rsid w:val="4F9E7B97"/>
    <w:rsid w:val="4FA021BE"/>
    <w:rsid w:val="4FBA3ACA"/>
    <w:rsid w:val="4FBB4517"/>
    <w:rsid w:val="4FC155E1"/>
    <w:rsid w:val="4FC261F0"/>
    <w:rsid w:val="4FCB3237"/>
    <w:rsid w:val="4FCE44B1"/>
    <w:rsid w:val="4FE007A6"/>
    <w:rsid w:val="4FF16AEC"/>
    <w:rsid w:val="50037246"/>
    <w:rsid w:val="500D2F12"/>
    <w:rsid w:val="501039DF"/>
    <w:rsid w:val="504274B2"/>
    <w:rsid w:val="504D47CC"/>
    <w:rsid w:val="50624FF5"/>
    <w:rsid w:val="507032D0"/>
    <w:rsid w:val="50760251"/>
    <w:rsid w:val="508769D8"/>
    <w:rsid w:val="508B02F3"/>
    <w:rsid w:val="50927935"/>
    <w:rsid w:val="50A839D1"/>
    <w:rsid w:val="50AA3EE6"/>
    <w:rsid w:val="50C97249"/>
    <w:rsid w:val="50CA6717"/>
    <w:rsid w:val="50D70E34"/>
    <w:rsid w:val="50DE31B0"/>
    <w:rsid w:val="50E269EF"/>
    <w:rsid w:val="50EC2BCA"/>
    <w:rsid w:val="50FB25CF"/>
    <w:rsid w:val="510F5CB6"/>
    <w:rsid w:val="5126166B"/>
    <w:rsid w:val="512C2E00"/>
    <w:rsid w:val="514C175F"/>
    <w:rsid w:val="515B5BEE"/>
    <w:rsid w:val="51844B18"/>
    <w:rsid w:val="519035B6"/>
    <w:rsid w:val="5191496F"/>
    <w:rsid w:val="519B2FFB"/>
    <w:rsid w:val="51AE4DB8"/>
    <w:rsid w:val="51D42C95"/>
    <w:rsid w:val="51E608FC"/>
    <w:rsid w:val="51F50FAE"/>
    <w:rsid w:val="51F903FC"/>
    <w:rsid w:val="51FB1986"/>
    <w:rsid w:val="520B1386"/>
    <w:rsid w:val="521D297A"/>
    <w:rsid w:val="5222639A"/>
    <w:rsid w:val="52272346"/>
    <w:rsid w:val="522741A6"/>
    <w:rsid w:val="52432C25"/>
    <w:rsid w:val="52614A8E"/>
    <w:rsid w:val="52776CE2"/>
    <w:rsid w:val="527A5F1B"/>
    <w:rsid w:val="527F656A"/>
    <w:rsid w:val="52913101"/>
    <w:rsid w:val="529B5B9D"/>
    <w:rsid w:val="529F5124"/>
    <w:rsid w:val="52A00ECB"/>
    <w:rsid w:val="52A70384"/>
    <w:rsid w:val="52AD4542"/>
    <w:rsid w:val="52B636DD"/>
    <w:rsid w:val="52C43E23"/>
    <w:rsid w:val="52C71500"/>
    <w:rsid w:val="52CE65A8"/>
    <w:rsid w:val="52D3090B"/>
    <w:rsid w:val="52E34DBC"/>
    <w:rsid w:val="52F14884"/>
    <w:rsid w:val="532145E9"/>
    <w:rsid w:val="535733B5"/>
    <w:rsid w:val="53576453"/>
    <w:rsid w:val="53620E89"/>
    <w:rsid w:val="536275BE"/>
    <w:rsid w:val="5372614B"/>
    <w:rsid w:val="537644A3"/>
    <w:rsid w:val="5387235B"/>
    <w:rsid w:val="538C402A"/>
    <w:rsid w:val="5393457C"/>
    <w:rsid w:val="53A206C2"/>
    <w:rsid w:val="53AC1D52"/>
    <w:rsid w:val="53B05DCE"/>
    <w:rsid w:val="53B46C9D"/>
    <w:rsid w:val="53B65CA7"/>
    <w:rsid w:val="53BE210C"/>
    <w:rsid w:val="53C36FD6"/>
    <w:rsid w:val="53D963A2"/>
    <w:rsid w:val="53E50B71"/>
    <w:rsid w:val="53FD32A8"/>
    <w:rsid w:val="540B5711"/>
    <w:rsid w:val="5429409D"/>
    <w:rsid w:val="542B1BC3"/>
    <w:rsid w:val="542E50F6"/>
    <w:rsid w:val="54325F10"/>
    <w:rsid w:val="5440264B"/>
    <w:rsid w:val="54462559"/>
    <w:rsid w:val="544B7B6F"/>
    <w:rsid w:val="545E17F4"/>
    <w:rsid w:val="546143E9"/>
    <w:rsid w:val="546B1FBF"/>
    <w:rsid w:val="546E385E"/>
    <w:rsid w:val="5475299E"/>
    <w:rsid w:val="54752E3E"/>
    <w:rsid w:val="54761801"/>
    <w:rsid w:val="547B37BB"/>
    <w:rsid w:val="54841300"/>
    <w:rsid w:val="5489250E"/>
    <w:rsid w:val="5495703C"/>
    <w:rsid w:val="54985506"/>
    <w:rsid w:val="54AB2FBA"/>
    <w:rsid w:val="54B5784B"/>
    <w:rsid w:val="54BA7EA4"/>
    <w:rsid w:val="54BF2D11"/>
    <w:rsid w:val="54C12CEA"/>
    <w:rsid w:val="54C27FF5"/>
    <w:rsid w:val="54C87412"/>
    <w:rsid w:val="54CA34E0"/>
    <w:rsid w:val="54E41CA2"/>
    <w:rsid w:val="54E921AD"/>
    <w:rsid w:val="54F10F26"/>
    <w:rsid w:val="54FF79A8"/>
    <w:rsid w:val="55056BCC"/>
    <w:rsid w:val="552177A3"/>
    <w:rsid w:val="552B2379"/>
    <w:rsid w:val="553C7E1E"/>
    <w:rsid w:val="553D672C"/>
    <w:rsid w:val="55546CCD"/>
    <w:rsid w:val="558A0B6B"/>
    <w:rsid w:val="55991115"/>
    <w:rsid w:val="559B524A"/>
    <w:rsid w:val="55AE4B76"/>
    <w:rsid w:val="55BB5298"/>
    <w:rsid w:val="55BD52C8"/>
    <w:rsid w:val="55CC551E"/>
    <w:rsid w:val="55D94248"/>
    <w:rsid w:val="55E4027B"/>
    <w:rsid w:val="55EC390A"/>
    <w:rsid w:val="55F32475"/>
    <w:rsid w:val="55F6001A"/>
    <w:rsid w:val="55F82812"/>
    <w:rsid w:val="560839BA"/>
    <w:rsid w:val="560E1C75"/>
    <w:rsid w:val="56134213"/>
    <w:rsid w:val="56273D07"/>
    <w:rsid w:val="562A168B"/>
    <w:rsid w:val="56431446"/>
    <w:rsid w:val="564E1B99"/>
    <w:rsid w:val="565F5B54"/>
    <w:rsid w:val="566861D2"/>
    <w:rsid w:val="56981066"/>
    <w:rsid w:val="5698296C"/>
    <w:rsid w:val="569B72DC"/>
    <w:rsid w:val="56A90C09"/>
    <w:rsid w:val="56AB6FEB"/>
    <w:rsid w:val="56BF08AB"/>
    <w:rsid w:val="56C63ABD"/>
    <w:rsid w:val="56D36446"/>
    <w:rsid w:val="56E16569"/>
    <w:rsid w:val="56F221ED"/>
    <w:rsid w:val="57064096"/>
    <w:rsid w:val="572D2431"/>
    <w:rsid w:val="57316FCA"/>
    <w:rsid w:val="573945F7"/>
    <w:rsid w:val="57476459"/>
    <w:rsid w:val="574C5AC3"/>
    <w:rsid w:val="575907F5"/>
    <w:rsid w:val="57654793"/>
    <w:rsid w:val="57743436"/>
    <w:rsid w:val="5774427A"/>
    <w:rsid w:val="577479A3"/>
    <w:rsid w:val="57753474"/>
    <w:rsid w:val="57785367"/>
    <w:rsid w:val="577D144A"/>
    <w:rsid w:val="577D428D"/>
    <w:rsid w:val="578E07D6"/>
    <w:rsid w:val="57A02FAD"/>
    <w:rsid w:val="57A35F14"/>
    <w:rsid w:val="57A61D96"/>
    <w:rsid w:val="57A95DBD"/>
    <w:rsid w:val="57AA20FA"/>
    <w:rsid w:val="57AC4BFF"/>
    <w:rsid w:val="57B10004"/>
    <w:rsid w:val="57CC4E3B"/>
    <w:rsid w:val="57E81072"/>
    <w:rsid w:val="57EB141C"/>
    <w:rsid w:val="57FE314A"/>
    <w:rsid w:val="580D1891"/>
    <w:rsid w:val="581559E9"/>
    <w:rsid w:val="582E4460"/>
    <w:rsid w:val="58324B5A"/>
    <w:rsid w:val="58454D01"/>
    <w:rsid w:val="585E53D0"/>
    <w:rsid w:val="586B07E0"/>
    <w:rsid w:val="586E26F4"/>
    <w:rsid w:val="58723C7C"/>
    <w:rsid w:val="58747421"/>
    <w:rsid w:val="587D4A6C"/>
    <w:rsid w:val="588949DD"/>
    <w:rsid w:val="5895585D"/>
    <w:rsid w:val="58A62BA4"/>
    <w:rsid w:val="58D82A10"/>
    <w:rsid w:val="58EA2684"/>
    <w:rsid w:val="58F75CB5"/>
    <w:rsid w:val="58FB6EA7"/>
    <w:rsid w:val="59126EAD"/>
    <w:rsid w:val="59145DC3"/>
    <w:rsid w:val="591744C4"/>
    <w:rsid w:val="59274A42"/>
    <w:rsid w:val="592F76F7"/>
    <w:rsid w:val="593F3293"/>
    <w:rsid w:val="5974265D"/>
    <w:rsid w:val="598221CE"/>
    <w:rsid w:val="598475E5"/>
    <w:rsid w:val="598B6B18"/>
    <w:rsid w:val="5996188C"/>
    <w:rsid w:val="59964116"/>
    <w:rsid w:val="59A77200"/>
    <w:rsid w:val="59AB73DE"/>
    <w:rsid w:val="59AC5554"/>
    <w:rsid w:val="59AF0404"/>
    <w:rsid w:val="59B040F9"/>
    <w:rsid w:val="59B811D2"/>
    <w:rsid w:val="59C14ADA"/>
    <w:rsid w:val="59CC1752"/>
    <w:rsid w:val="59D92F77"/>
    <w:rsid w:val="59E545C2"/>
    <w:rsid w:val="59E7556E"/>
    <w:rsid w:val="59F92E55"/>
    <w:rsid w:val="5A01761B"/>
    <w:rsid w:val="5A0F708E"/>
    <w:rsid w:val="5A184089"/>
    <w:rsid w:val="5A201F46"/>
    <w:rsid w:val="5A382944"/>
    <w:rsid w:val="5A3C63D1"/>
    <w:rsid w:val="5A3D7BE8"/>
    <w:rsid w:val="5A3F1C9A"/>
    <w:rsid w:val="5A435B69"/>
    <w:rsid w:val="5A5974B5"/>
    <w:rsid w:val="5A6A2CF6"/>
    <w:rsid w:val="5A786A3C"/>
    <w:rsid w:val="5A7F7417"/>
    <w:rsid w:val="5AB81209"/>
    <w:rsid w:val="5AC54F7B"/>
    <w:rsid w:val="5AC63126"/>
    <w:rsid w:val="5ACA61DE"/>
    <w:rsid w:val="5AE25E7F"/>
    <w:rsid w:val="5AE34FA5"/>
    <w:rsid w:val="5AEB6E3E"/>
    <w:rsid w:val="5AFE2270"/>
    <w:rsid w:val="5B022F52"/>
    <w:rsid w:val="5B0359C4"/>
    <w:rsid w:val="5B0B44FC"/>
    <w:rsid w:val="5B1102A4"/>
    <w:rsid w:val="5B132DCD"/>
    <w:rsid w:val="5B163AB7"/>
    <w:rsid w:val="5B280C0A"/>
    <w:rsid w:val="5B340E49"/>
    <w:rsid w:val="5B3F3E24"/>
    <w:rsid w:val="5B491B70"/>
    <w:rsid w:val="5B5C259B"/>
    <w:rsid w:val="5B747E35"/>
    <w:rsid w:val="5B7C67B1"/>
    <w:rsid w:val="5B9D1E91"/>
    <w:rsid w:val="5BB75893"/>
    <w:rsid w:val="5BC03756"/>
    <w:rsid w:val="5BD7618C"/>
    <w:rsid w:val="5BEA3CFF"/>
    <w:rsid w:val="5BFF3207"/>
    <w:rsid w:val="5C063CBF"/>
    <w:rsid w:val="5C092DAD"/>
    <w:rsid w:val="5C096452"/>
    <w:rsid w:val="5C14118E"/>
    <w:rsid w:val="5C1902CA"/>
    <w:rsid w:val="5C1B4CCD"/>
    <w:rsid w:val="5C3D2493"/>
    <w:rsid w:val="5C4833FA"/>
    <w:rsid w:val="5C760207"/>
    <w:rsid w:val="5C783D36"/>
    <w:rsid w:val="5C792732"/>
    <w:rsid w:val="5C8A3266"/>
    <w:rsid w:val="5C9B135A"/>
    <w:rsid w:val="5CA009AE"/>
    <w:rsid w:val="5CBE5FD4"/>
    <w:rsid w:val="5CC02A2D"/>
    <w:rsid w:val="5CC10B53"/>
    <w:rsid w:val="5CD34A43"/>
    <w:rsid w:val="5CD52D99"/>
    <w:rsid w:val="5CF16BBD"/>
    <w:rsid w:val="5CFC40FC"/>
    <w:rsid w:val="5D0B0B11"/>
    <w:rsid w:val="5D157B4B"/>
    <w:rsid w:val="5D197C22"/>
    <w:rsid w:val="5D3A73E5"/>
    <w:rsid w:val="5D481DCF"/>
    <w:rsid w:val="5D506423"/>
    <w:rsid w:val="5D5D0718"/>
    <w:rsid w:val="5D8044CD"/>
    <w:rsid w:val="5D831818"/>
    <w:rsid w:val="5D865323"/>
    <w:rsid w:val="5D8E0ABF"/>
    <w:rsid w:val="5D912BD6"/>
    <w:rsid w:val="5DA02272"/>
    <w:rsid w:val="5DA362FB"/>
    <w:rsid w:val="5DA36E72"/>
    <w:rsid w:val="5DBC5B7A"/>
    <w:rsid w:val="5DD44A34"/>
    <w:rsid w:val="5DEA5A02"/>
    <w:rsid w:val="5DED613B"/>
    <w:rsid w:val="5DF36809"/>
    <w:rsid w:val="5DF671F6"/>
    <w:rsid w:val="5DFF1869"/>
    <w:rsid w:val="5E115985"/>
    <w:rsid w:val="5E1C432A"/>
    <w:rsid w:val="5E3E2B7D"/>
    <w:rsid w:val="5E446844"/>
    <w:rsid w:val="5E451AD3"/>
    <w:rsid w:val="5E5B4E53"/>
    <w:rsid w:val="5E5F5F04"/>
    <w:rsid w:val="5E622D62"/>
    <w:rsid w:val="5E81788F"/>
    <w:rsid w:val="5E877319"/>
    <w:rsid w:val="5E8832BB"/>
    <w:rsid w:val="5EA277F6"/>
    <w:rsid w:val="5EAC1B52"/>
    <w:rsid w:val="5EB60D10"/>
    <w:rsid w:val="5EB70430"/>
    <w:rsid w:val="5EBE2B1D"/>
    <w:rsid w:val="5ED00BDD"/>
    <w:rsid w:val="5EF56019"/>
    <w:rsid w:val="5EFD399F"/>
    <w:rsid w:val="5F301EF4"/>
    <w:rsid w:val="5F443B39"/>
    <w:rsid w:val="5F4A1EEF"/>
    <w:rsid w:val="5F4D50E3"/>
    <w:rsid w:val="5F69507D"/>
    <w:rsid w:val="5F7E1FCE"/>
    <w:rsid w:val="5F7F101B"/>
    <w:rsid w:val="5F8A1C50"/>
    <w:rsid w:val="5F965F3F"/>
    <w:rsid w:val="5FA36B47"/>
    <w:rsid w:val="5FB55316"/>
    <w:rsid w:val="5FCD1325"/>
    <w:rsid w:val="5FD97465"/>
    <w:rsid w:val="5FF7246A"/>
    <w:rsid w:val="6005021E"/>
    <w:rsid w:val="602005D7"/>
    <w:rsid w:val="603349F6"/>
    <w:rsid w:val="60373A03"/>
    <w:rsid w:val="60485260"/>
    <w:rsid w:val="604C7106"/>
    <w:rsid w:val="60531502"/>
    <w:rsid w:val="60550939"/>
    <w:rsid w:val="60636507"/>
    <w:rsid w:val="6072694E"/>
    <w:rsid w:val="60760CD7"/>
    <w:rsid w:val="607E60DD"/>
    <w:rsid w:val="608A1236"/>
    <w:rsid w:val="608A48D5"/>
    <w:rsid w:val="60912CAB"/>
    <w:rsid w:val="60AF6A08"/>
    <w:rsid w:val="60B028DC"/>
    <w:rsid w:val="60C50EA7"/>
    <w:rsid w:val="60C53F67"/>
    <w:rsid w:val="60C5514D"/>
    <w:rsid w:val="60C702D9"/>
    <w:rsid w:val="60C90799"/>
    <w:rsid w:val="60E8781E"/>
    <w:rsid w:val="60F37822"/>
    <w:rsid w:val="611934DB"/>
    <w:rsid w:val="611E75B6"/>
    <w:rsid w:val="61247BC4"/>
    <w:rsid w:val="612B00AD"/>
    <w:rsid w:val="61516DE0"/>
    <w:rsid w:val="615545F7"/>
    <w:rsid w:val="615C44CF"/>
    <w:rsid w:val="61660A6E"/>
    <w:rsid w:val="61677FB2"/>
    <w:rsid w:val="617912AD"/>
    <w:rsid w:val="61902523"/>
    <w:rsid w:val="61BE1DA1"/>
    <w:rsid w:val="61D04BB6"/>
    <w:rsid w:val="61D11C46"/>
    <w:rsid w:val="61F90087"/>
    <w:rsid w:val="61FC4B9F"/>
    <w:rsid w:val="621A7528"/>
    <w:rsid w:val="62282544"/>
    <w:rsid w:val="62361E5F"/>
    <w:rsid w:val="62552403"/>
    <w:rsid w:val="625737B6"/>
    <w:rsid w:val="628232F6"/>
    <w:rsid w:val="628B309E"/>
    <w:rsid w:val="629D16DF"/>
    <w:rsid w:val="62A3326C"/>
    <w:rsid w:val="62A52B40"/>
    <w:rsid w:val="62CD7D0E"/>
    <w:rsid w:val="62DF384D"/>
    <w:rsid w:val="62FD6A68"/>
    <w:rsid w:val="63020C6D"/>
    <w:rsid w:val="6306375E"/>
    <w:rsid w:val="63096A4E"/>
    <w:rsid w:val="63145DAC"/>
    <w:rsid w:val="63491078"/>
    <w:rsid w:val="634A37D1"/>
    <w:rsid w:val="63605AB8"/>
    <w:rsid w:val="63651355"/>
    <w:rsid w:val="63807109"/>
    <w:rsid w:val="639420DB"/>
    <w:rsid w:val="6397584A"/>
    <w:rsid w:val="63A86D8C"/>
    <w:rsid w:val="63B303C2"/>
    <w:rsid w:val="63D01B63"/>
    <w:rsid w:val="63D376E1"/>
    <w:rsid w:val="63D90944"/>
    <w:rsid w:val="63E560A7"/>
    <w:rsid w:val="640268FA"/>
    <w:rsid w:val="64035A9B"/>
    <w:rsid w:val="640E58D1"/>
    <w:rsid w:val="64144421"/>
    <w:rsid w:val="642D2C6F"/>
    <w:rsid w:val="64326D27"/>
    <w:rsid w:val="64374055"/>
    <w:rsid w:val="643979E4"/>
    <w:rsid w:val="64412342"/>
    <w:rsid w:val="6448099E"/>
    <w:rsid w:val="6448736A"/>
    <w:rsid w:val="64650188"/>
    <w:rsid w:val="648F557E"/>
    <w:rsid w:val="64915A72"/>
    <w:rsid w:val="64A40EDD"/>
    <w:rsid w:val="64A579FD"/>
    <w:rsid w:val="64AC4960"/>
    <w:rsid w:val="64C00105"/>
    <w:rsid w:val="64C1335B"/>
    <w:rsid w:val="64D9169E"/>
    <w:rsid w:val="64DD3919"/>
    <w:rsid w:val="64F41B5D"/>
    <w:rsid w:val="65154749"/>
    <w:rsid w:val="651925FD"/>
    <w:rsid w:val="652017A8"/>
    <w:rsid w:val="65381C0E"/>
    <w:rsid w:val="65462CEC"/>
    <w:rsid w:val="655B17E2"/>
    <w:rsid w:val="656755AB"/>
    <w:rsid w:val="65716C34"/>
    <w:rsid w:val="657D59D8"/>
    <w:rsid w:val="65852BD6"/>
    <w:rsid w:val="65A06CCA"/>
    <w:rsid w:val="65BA4B36"/>
    <w:rsid w:val="65BD0BB8"/>
    <w:rsid w:val="65C60C19"/>
    <w:rsid w:val="65D522B9"/>
    <w:rsid w:val="65DD37E3"/>
    <w:rsid w:val="65E7730A"/>
    <w:rsid w:val="660101C9"/>
    <w:rsid w:val="66153231"/>
    <w:rsid w:val="66261918"/>
    <w:rsid w:val="66284820"/>
    <w:rsid w:val="662A6544"/>
    <w:rsid w:val="662B2A66"/>
    <w:rsid w:val="66402691"/>
    <w:rsid w:val="667D168A"/>
    <w:rsid w:val="668C5856"/>
    <w:rsid w:val="668F4233"/>
    <w:rsid w:val="669335F3"/>
    <w:rsid w:val="66951DEB"/>
    <w:rsid w:val="66AB16A8"/>
    <w:rsid w:val="66BC2660"/>
    <w:rsid w:val="66BD0D09"/>
    <w:rsid w:val="66D06C26"/>
    <w:rsid w:val="66EA286B"/>
    <w:rsid w:val="66F62740"/>
    <w:rsid w:val="670F0ED0"/>
    <w:rsid w:val="67441E1C"/>
    <w:rsid w:val="67535248"/>
    <w:rsid w:val="6759214B"/>
    <w:rsid w:val="675B2367"/>
    <w:rsid w:val="676A4358"/>
    <w:rsid w:val="677127D1"/>
    <w:rsid w:val="677133A0"/>
    <w:rsid w:val="678C2521"/>
    <w:rsid w:val="6791557B"/>
    <w:rsid w:val="679B287B"/>
    <w:rsid w:val="67A46D80"/>
    <w:rsid w:val="67CC4A91"/>
    <w:rsid w:val="67D64059"/>
    <w:rsid w:val="67DE35A2"/>
    <w:rsid w:val="67E14471"/>
    <w:rsid w:val="67E34E14"/>
    <w:rsid w:val="67E37F38"/>
    <w:rsid w:val="67E46CB1"/>
    <w:rsid w:val="67FB1B8B"/>
    <w:rsid w:val="68026C7B"/>
    <w:rsid w:val="68180529"/>
    <w:rsid w:val="681A18DB"/>
    <w:rsid w:val="6827064D"/>
    <w:rsid w:val="682B3AE8"/>
    <w:rsid w:val="68396AA2"/>
    <w:rsid w:val="685A5F86"/>
    <w:rsid w:val="685B512C"/>
    <w:rsid w:val="686C7912"/>
    <w:rsid w:val="6870599E"/>
    <w:rsid w:val="68784853"/>
    <w:rsid w:val="68792AA5"/>
    <w:rsid w:val="688866BA"/>
    <w:rsid w:val="68937E00"/>
    <w:rsid w:val="689D55EC"/>
    <w:rsid w:val="68AB6102"/>
    <w:rsid w:val="68AF6678"/>
    <w:rsid w:val="68B34466"/>
    <w:rsid w:val="68B55D06"/>
    <w:rsid w:val="68BD2630"/>
    <w:rsid w:val="68BD37F2"/>
    <w:rsid w:val="68C26C96"/>
    <w:rsid w:val="68E76E46"/>
    <w:rsid w:val="68EF0FB9"/>
    <w:rsid w:val="69055652"/>
    <w:rsid w:val="690D484B"/>
    <w:rsid w:val="69396506"/>
    <w:rsid w:val="69500B79"/>
    <w:rsid w:val="69584526"/>
    <w:rsid w:val="69675B74"/>
    <w:rsid w:val="69730836"/>
    <w:rsid w:val="697702A5"/>
    <w:rsid w:val="69821E2D"/>
    <w:rsid w:val="69975C7F"/>
    <w:rsid w:val="69A147E3"/>
    <w:rsid w:val="69A237F1"/>
    <w:rsid w:val="69B875FD"/>
    <w:rsid w:val="69D163C0"/>
    <w:rsid w:val="69D64A51"/>
    <w:rsid w:val="69D65CD5"/>
    <w:rsid w:val="69D81A4D"/>
    <w:rsid w:val="69DC1BB5"/>
    <w:rsid w:val="69E345E8"/>
    <w:rsid w:val="69E71C90"/>
    <w:rsid w:val="69E91FA0"/>
    <w:rsid w:val="69EC3867"/>
    <w:rsid w:val="6A040A94"/>
    <w:rsid w:val="6A4031C4"/>
    <w:rsid w:val="6A5449E6"/>
    <w:rsid w:val="6A623161"/>
    <w:rsid w:val="6A6B28C1"/>
    <w:rsid w:val="6A734C34"/>
    <w:rsid w:val="6A7F33A9"/>
    <w:rsid w:val="6A8614A9"/>
    <w:rsid w:val="6A905F36"/>
    <w:rsid w:val="6A916F52"/>
    <w:rsid w:val="6A935974"/>
    <w:rsid w:val="6A97383E"/>
    <w:rsid w:val="6A9F1D97"/>
    <w:rsid w:val="6AA33E09"/>
    <w:rsid w:val="6AB072F2"/>
    <w:rsid w:val="6AB9187F"/>
    <w:rsid w:val="6AC329A9"/>
    <w:rsid w:val="6ACE260D"/>
    <w:rsid w:val="6AD76352"/>
    <w:rsid w:val="6B02105A"/>
    <w:rsid w:val="6B241461"/>
    <w:rsid w:val="6B434A8C"/>
    <w:rsid w:val="6B525520"/>
    <w:rsid w:val="6B5C1F43"/>
    <w:rsid w:val="6B6B0204"/>
    <w:rsid w:val="6B752EC5"/>
    <w:rsid w:val="6B7D7253"/>
    <w:rsid w:val="6B83565B"/>
    <w:rsid w:val="6B87197D"/>
    <w:rsid w:val="6B9E58E7"/>
    <w:rsid w:val="6B9F3924"/>
    <w:rsid w:val="6BBC4A20"/>
    <w:rsid w:val="6BD20B98"/>
    <w:rsid w:val="6BD91E39"/>
    <w:rsid w:val="6BD9508A"/>
    <w:rsid w:val="6BEA3A67"/>
    <w:rsid w:val="6C045B35"/>
    <w:rsid w:val="6C0B52C6"/>
    <w:rsid w:val="6C0B610A"/>
    <w:rsid w:val="6C1720CA"/>
    <w:rsid w:val="6C242181"/>
    <w:rsid w:val="6C3E1D8C"/>
    <w:rsid w:val="6C42289C"/>
    <w:rsid w:val="6C4F1D22"/>
    <w:rsid w:val="6C5B77B1"/>
    <w:rsid w:val="6C6E7361"/>
    <w:rsid w:val="6C7C7E4B"/>
    <w:rsid w:val="6C856063"/>
    <w:rsid w:val="6C9360FF"/>
    <w:rsid w:val="6C953299"/>
    <w:rsid w:val="6C977F2F"/>
    <w:rsid w:val="6CAE0D30"/>
    <w:rsid w:val="6CB93EE7"/>
    <w:rsid w:val="6CC12AE2"/>
    <w:rsid w:val="6CD711ED"/>
    <w:rsid w:val="6CDA55DB"/>
    <w:rsid w:val="6CF5432A"/>
    <w:rsid w:val="6CF9722E"/>
    <w:rsid w:val="6D093871"/>
    <w:rsid w:val="6D0D5FE0"/>
    <w:rsid w:val="6D194C0E"/>
    <w:rsid w:val="6D262AD0"/>
    <w:rsid w:val="6D3A754E"/>
    <w:rsid w:val="6D573318"/>
    <w:rsid w:val="6D5767B8"/>
    <w:rsid w:val="6DAF3888"/>
    <w:rsid w:val="6DB66549"/>
    <w:rsid w:val="6DBC2EBB"/>
    <w:rsid w:val="6DF8799B"/>
    <w:rsid w:val="6E014B77"/>
    <w:rsid w:val="6E0476FE"/>
    <w:rsid w:val="6E2C3AD0"/>
    <w:rsid w:val="6E5257D2"/>
    <w:rsid w:val="6E5B2C4D"/>
    <w:rsid w:val="6E601A68"/>
    <w:rsid w:val="6E602011"/>
    <w:rsid w:val="6E7770F6"/>
    <w:rsid w:val="6E78078B"/>
    <w:rsid w:val="6EB5235D"/>
    <w:rsid w:val="6EC802E2"/>
    <w:rsid w:val="6ED01875"/>
    <w:rsid w:val="6EE82E5B"/>
    <w:rsid w:val="6EEC7F85"/>
    <w:rsid w:val="6EF02346"/>
    <w:rsid w:val="6EF50254"/>
    <w:rsid w:val="6EF50DEC"/>
    <w:rsid w:val="6EF85645"/>
    <w:rsid w:val="6EFC14BD"/>
    <w:rsid w:val="6EFC30E9"/>
    <w:rsid w:val="6F0B58D2"/>
    <w:rsid w:val="6F0D666B"/>
    <w:rsid w:val="6F250C8F"/>
    <w:rsid w:val="6F3A63B1"/>
    <w:rsid w:val="6F433E0D"/>
    <w:rsid w:val="6F5C219B"/>
    <w:rsid w:val="6F651FD5"/>
    <w:rsid w:val="6F671BDB"/>
    <w:rsid w:val="6F6F326D"/>
    <w:rsid w:val="6F777EAE"/>
    <w:rsid w:val="6F7B6482"/>
    <w:rsid w:val="6F7B7A02"/>
    <w:rsid w:val="6F806276"/>
    <w:rsid w:val="6F906926"/>
    <w:rsid w:val="6F9D22F1"/>
    <w:rsid w:val="6FA80114"/>
    <w:rsid w:val="6FC37F08"/>
    <w:rsid w:val="6FDB5DF3"/>
    <w:rsid w:val="6FEC08A7"/>
    <w:rsid w:val="70704677"/>
    <w:rsid w:val="70747068"/>
    <w:rsid w:val="70932B72"/>
    <w:rsid w:val="7096077F"/>
    <w:rsid w:val="70990584"/>
    <w:rsid w:val="70AE379B"/>
    <w:rsid w:val="70BE1773"/>
    <w:rsid w:val="70CE142D"/>
    <w:rsid w:val="70E826D9"/>
    <w:rsid w:val="70ED2282"/>
    <w:rsid w:val="70F9789F"/>
    <w:rsid w:val="7105445C"/>
    <w:rsid w:val="71096990"/>
    <w:rsid w:val="710A100B"/>
    <w:rsid w:val="71112066"/>
    <w:rsid w:val="71135521"/>
    <w:rsid w:val="711B729F"/>
    <w:rsid w:val="71216126"/>
    <w:rsid w:val="712F7E4B"/>
    <w:rsid w:val="713171CD"/>
    <w:rsid w:val="71392D06"/>
    <w:rsid w:val="713A23A1"/>
    <w:rsid w:val="71517EE3"/>
    <w:rsid w:val="71560FD3"/>
    <w:rsid w:val="7172737E"/>
    <w:rsid w:val="717E2663"/>
    <w:rsid w:val="71863E99"/>
    <w:rsid w:val="71B0505E"/>
    <w:rsid w:val="71BE59CD"/>
    <w:rsid w:val="71C27838"/>
    <w:rsid w:val="71C61D26"/>
    <w:rsid w:val="71DF419D"/>
    <w:rsid w:val="71ED62B2"/>
    <w:rsid w:val="71FB5DE1"/>
    <w:rsid w:val="72035716"/>
    <w:rsid w:val="7207180A"/>
    <w:rsid w:val="72114785"/>
    <w:rsid w:val="72146978"/>
    <w:rsid w:val="721A7282"/>
    <w:rsid w:val="722874FA"/>
    <w:rsid w:val="72304AA0"/>
    <w:rsid w:val="723839D1"/>
    <w:rsid w:val="72625DB5"/>
    <w:rsid w:val="72810791"/>
    <w:rsid w:val="72931749"/>
    <w:rsid w:val="72963829"/>
    <w:rsid w:val="72CB65F3"/>
    <w:rsid w:val="72CD4305"/>
    <w:rsid w:val="72D27193"/>
    <w:rsid w:val="72D62627"/>
    <w:rsid w:val="72F650B7"/>
    <w:rsid w:val="730E0277"/>
    <w:rsid w:val="732A08A1"/>
    <w:rsid w:val="733D059E"/>
    <w:rsid w:val="73416402"/>
    <w:rsid w:val="735D61C9"/>
    <w:rsid w:val="736B1B84"/>
    <w:rsid w:val="737B26A0"/>
    <w:rsid w:val="737C169B"/>
    <w:rsid w:val="737C1B7D"/>
    <w:rsid w:val="738670B7"/>
    <w:rsid w:val="7394357D"/>
    <w:rsid w:val="739C1D3D"/>
    <w:rsid w:val="73A0012B"/>
    <w:rsid w:val="73B21197"/>
    <w:rsid w:val="73BA0747"/>
    <w:rsid w:val="73E51333"/>
    <w:rsid w:val="73E613F5"/>
    <w:rsid w:val="73E7169E"/>
    <w:rsid w:val="73EB05CF"/>
    <w:rsid w:val="73F97190"/>
    <w:rsid w:val="73F97679"/>
    <w:rsid w:val="74025CA1"/>
    <w:rsid w:val="740369F3"/>
    <w:rsid w:val="740F0863"/>
    <w:rsid w:val="741445C2"/>
    <w:rsid w:val="7419315D"/>
    <w:rsid w:val="74287801"/>
    <w:rsid w:val="744C64FD"/>
    <w:rsid w:val="745B7503"/>
    <w:rsid w:val="745F0B77"/>
    <w:rsid w:val="746B1F62"/>
    <w:rsid w:val="74716BB5"/>
    <w:rsid w:val="747D3BF3"/>
    <w:rsid w:val="7481692F"/>
    <w:rsid w:val="749420DC"/>
    <w:rsid w:val="74A96AE7"/>
    <w:rsid w:val="74AE6FA0"/>
    <w:rsid w:val="74FC6F38"/>
    <w:rsid w:val="74FE7827"/>
    <w:rsid w:val="754425EF"/>
    <w:rsid w:val="755E7B87"/>
    <w:rsid w:val="756D0BFC"/>
    <w:rsid w:val="757A3FB0"/>
    <w:rsid w:val="758A6ABD"/>
    <w:rsid w:val="758B6411"/>
    <w:rsid w:val="7599721F"/>
    <w:rsid w:val="759C2559"/>
    <w:rsid w:val="75AA5940"/>
    <w:rsid w:val="75AB0AA6"/>
    <w:rsid w:val="75C4732A"/>
    <w:rsid w:val="75C839E5"/>
    <w:rsid w:val="75CE593C"/>
    <w:rsid w:val="75D51537"/>
    <w:rsid w:val="75D9535A"/>
    <w:rsid w:val="75E7607C"/>
    <w:rsid w:val="75FF0362"/>
    <w:rsid w:val="76040BF4"/>
    <w:rsid w:val="762C626B"/>
    <w:rsid w:val="767A1407"/>
    <w:rsid w:val="76831738"/>
    <w:rsid w:val="768A78DE"/>
    <w:rsid w:val="7692546B"/>
    <w:rsid w:val="76960CC6"/>
    <w:rsid w:val="76A21126"/>
    <w:rsid w:val="76B70F18"/>
    <w:rsid w:val="76C232D1"/>
    <w:rsid w:val="76CA684A"/>
    <w:rsid w:val="76D4359C"/>
    <w:rsid w:val="76D65566"/>
    <w:rsid w:val="76D87B0D"/>
    <w:rsid w:val="76EC6B38"/>
    <w:rsid w:val="770D338F"/>
    <w:rsid w:val="77171366"/>
    <w:rsid w:val="771D2B87"/>
    <w:rsid w:val="771F2069"/>
    <w:rsid w:val="771F5DAD"/>
    <w:rsid w:val="771F6F0D"/>
    <w:rsid w:val="77471FC0"/>
    <w:rsid w:val="775765E4"/>
    <w:rsid w:val="779F420C"/>
    <w:rsid w:val="77AD276B"/>
    <w:rsid w:val="77B45455"/>
    <w:rsid w:val="77B83E65"/>
    <w:rsid w:val="77C3668D"/>
    <w:rsid w:val="77FB0A5B"/>
    <w:rsid w:val="780E2EA7"/>
    <w:rsid w:val="7819395D"/>
    <w:rsid w:val="78287F4D"/>
    <w:rsid w:val="78323777"/>
    <w:rsid w:val="784B2DB5"/>
    <w:rsid w:val="786100F2"/>
    <w:rsid w:val="78622141"/>
    <w:rsid w:val="786E00B9"/>
    <w:rsid w:val="7882385F"/>
    <w:rsid w:val="788E574F"/>
    <w:rsid w:val="78986E25"/>
    <w:rsid w:val="78B404DC"/>
    <w:rsid w:val="78CD7DE0"/>
    <w:rsid w:val="78E107E8"/>
    <w:rsid w:val="78F35A32"/>
    <w:rsid w:val="78F90A0C"/>
    <w:rsid w:val="78F92969"/>
    <w:rsid w:val="790311D7"/>
    <w:rsid w:val="792D123F"/>
    <w:rsid w:val="793622EC"/>
    <w:rsid w:val="79524DA4"/>
    <w:rsid w:val="797177C8"/>
    <w:rsid w:val="79796CE2"/>
    <w:rsid w:val="79812BB1"/>
    <w:rsid w:val="7984196A"/>
    <w:rsid w:val="798C5A9C"/>
    <w:rsid w:val="79A72DAD"/>
    <w:rsid w:val="79D833A4"/>
    <w:rsid w:val="7A261C3A"/>
    <w:rsid w:val="7A2F5B83"/>
    <w:rsid w:val="7A475B7A"/>
    <w:rsid w:val="7A4D387C"/>
    <w:rsid w:val="7A4E5D81"/>
    <w:rsid w:val="7A6E10EA"/>
    <w:rsid w:val="7A9A5781"/>
    <w:rsid w:val="7A9C2623"/>
    <w:rsid w:val="7AA37C6A"/>
    <w:rsid w:val="7AA62D8E"/>
    <w:rsid w:val="7ABA52F4"/>
    <w:rsid w:val="7AC46224"/>
    <w:rsid w:val="7AD3235D"/>
    <w:rsid w:val="7AD445A1"/>
    <w:rsid w:val="7AE3103E"/>
    <w:rsid w:val="7AED3A31"/>
    <w:rsid w:val="7AF24A8F"/>
    <w:rsid w:val="7AF66ABB"/>
    <w:rsid w:val="7AF71938"/>
    <w:rsid w:val="7B0501C8"/>
    <w:rsid w:val="7B105B71"/>
    <w:rsid w:val="7B157BF2"/>
    <w:rsid w:val="7B1A261A"/>
    <w:rsid w:val="7B2368A0"/>
    <w:rsid w:val="7B241EFA"/>
    <w:rsid w:val="7B3C3442"/>
    <w:rsid w:val="7B433220"/>
    <w:rsid w:val="7B462B56"/>
    <w:rsid w:val="7B5C7E9F"/>
    <w:rsid w:val="7B5F5E64"/>
    <w:rsid w:val="7B746733"/>
    <w:rsid w:val="7B791FBE"/>
    <w:rsid w:val="7B7A78AA"/>
    <w:rsid w:val="7B7B3224"/>
    <w:rsid w:val="7B7E5ABE"/>
    <w:rsid w:val="7B896288"/>
    <w:rsid w:val="7BA731A0"/>
    <w:rsid w:val="7BB51EF2"/>
    <w:rsid w:val="7BBA6099"/>
    <w:rsid w:val="7BBB5161"/>
    <w:rsid w:val="7BBC4E09"/>
    <w:rsid w:val="7BC11BFB"/>
    <w:rsid w:val="7BD14D95"/>
    <w:rsid w:val="7BD34D19"/>
    <w:rsid w:val="7BE9066A"/>
    <w:rsid w:val="7BEB3800"/>
    <w:rsid w:val="7BFB1E88"/>
    <w:rsid w:val="7C035163"/>
    <w:rsid w:val="7C054384"/>
    <w:rsid w:val="7C0B3DB1"/>
    <w:rsid w:val="7C2F3340"/>
    <w:rsid w:val="7C3D4512"/>
    <w:rsid w:val="7C472FA6"/>
    <w:rsid w:val="7C4C6036"/>
    <w:rsid w:val="7C5B65CD"/>
    <w:rsid w:val="7C5F1687"/>
    <w:rsid w:val="7C650823"/>
    <w:rsid w:val="7C6E25C8"/>
    <w:rsid w:val="7C730367"/>
    <w:rsid w:val="7CAA1027"/>
    <w:rsid w:val="7CDF366F"/>
    <w:rsid w:val="7CE374B4"/>
    <w:rsid w:val="7CFF1EC7"/>
    <w:rsid w:val="7CFF64A5"/>
    <w:rsid w:val="7D1D3160"/>
    <w:rsid w:val="7D242E7E"/>
    <w:rsid w:val="7D3A7A3D"/>
    <w:rsid w:val="7D6353C5"/>
    <w:rsid w:val="7D6E5996"/>
    <w:rsid w:val="7DA10183"/>
    <w:rsid w:val="7DDF61F2"/>
    <w:rsid w:val="7DE81ADB"/>
    <w:rsid w:val="7DF72FDB"/>
    <w:rsid w:val="7DFB3C5A"/>
    <w:rsid w:val="7E1D666F"/>
    <w:rsid w:val="7E4C0500"/>
    <w:rsid w:val="7E5A6A7D"/>
    <w:rsid w:val="7E853322"/>
    <w:rsid w:val="7E9958A6"/>
    <w:rsid w:val="7EB74AC2"/>
    <w:rsid w:val="7EB96B62"/>
    <w:rsid w:val="7ECD0781"/>
    <w:rsid w:val="7EEA7E01"/>
    <w:rsid w:val="7EF94661"/>
    <w:rsid w:val="7F115112"/>
    <w:rsid w:val="7F1C2A22"/>
    <w:rsid w:val="7F2469A7"/>
    <w:rsid w:val="7F3E1F53"/>
    <w:rsid w:val="7F3E6020"/>
    <w:rsid w:val="7F434318"/>
    <w:rsid w:val="7F522778"/>
    <w:rsid w:val="7F542F27"/>
    <w:rsid w:val="7F5C5679"/>
    <w:rsid w:val="7F645E05"/>
    <w:rsid w:val="7F771520"/>
    <w:rsid w:val="7F7B6B6B"/>
    <w:rsid w:val="7F9935D5"/>
    <w:rsid w:val="7FB43907"/>
    <w:rsid w:val="7FBB79EF"/>
    <w:rsid w:val="7FC20EB5"/>
    <w:rsid w:val="7FC407E2"/>
    <w:rsid w:val="7FCA19E0"/>
    <w:rsid w:val="7FDD37E9"/>
    <w:rsid w:val="7FE744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autoRedefine/>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autoRedefine/>
    <w:qFormat/>
    <w:uiPriority w:val="0"/>
    <w:pPr>
      <w:keepNext/>
      <w:keepLines/>
      <w:spacing w:before="260" w:beforeLines="0" w:after="260" w:afterLines="0" w:line="413"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28">
    <w:name w:val="Default Paragraph Font"/>
    <w:link w:val="29"/>
    <w:autoRedefine/>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7">
    <w:name w:val="Normal Indent"/>
    <w:basedOn w:val="1"/>
    <w:next w:val="8"/>
    <w:autoRedefine/>
    <w:qFormat/>
    <w:uiPriority w:val="0"/>
    <w:pPr>
      <w:ind w:firstLine="420"/>
    </w:pPr>
  </w:style>
  <w:style w:type="paragraph" w:styleId="8">
    <w:name w:val="toc 4"/>
    <w:basedOn w:val="1"/>
    <w:next w:val="1"/>
    <w:autoRedefine/>
    <w:qFormat/>
    <w:uiPriority w:val="39"/>
    <w:pPr>
      <w:ind w:left="630"/>
      <w:jc w:val="left"/>
    </w:pPr>
    <w:rPr>
      <w:rFonts w:ascii="Calibri" w:hAnsi="Calibri" w:cs="Calibri"/>
      <w:sz w:val="18"/>
      <w:szCs w:val="18"/>
    </w:rPr>
  </w:style>
  <w:style w:type="paragraph" w:styleId="9">
    <w:name w:val="Salutation"/>
    <w:basedOn w:val="1"/>
    <w:next w:val="1"/>
    <w:autoRedefine/>
    <w:qFormat/>
    <w:uiPriority w:val="0"/>
  </w:style>
  <w:style w:type="paragraph" w:styleId="10">
    <w:name w:val="Body Text"/>
    <w:basedOn w:val="1"/>
    <w:next w:val="1"/>
    <w:autoRedefine/>
    <w:qFormat/>
    <w:uiPriority w:val="0"/>
    <w:pPr>
      <w:spacing w:after="120" w:afterLines="0"/>
    </w:pPr>
  </w:style>
  <w:style w:type="paragraph" w:styleId="11">
    <w:name w:val="Body Text Indent"/>
    <w:basedOn w:val="1"/>
    <w:next w:val="12"/>
    <w:autoRedefine/>
    <w:qFormat/>
    <w:uiPriority w:val="0"/>
    <w:pPr>
      <w:widowControl/>
      <w:ind w:left="426" w:hanging="426" w:hangingChars="152"/>
      <w:jc w:val="left"/>
    </w:pPr>
    <w:rPr>
      <w:rFonts w:ascii="宋体"/>
      <w:kern w:val="0"/>
    </w:rPr>
  </w:style>
  <w:style w:type="paragraph" w:styleId="12">
    <w:name w:val="Body Text First Indent 2"/>
    <w:basedOn w:val="11"/>
    <w:next w:val="1"/>
    <w:autoRedefine/>
    <w:qFormat/>
    <w:uiPriority w:val="0"/>
    <w:pPr>
      <w:ind w:firstLine="420" w:firstLineChars="200"/>
    </w:pPr>
  </w:style>
  <w:style w:type="paragraph" w:styleId="13">
    <w:name w:val="Plain Text"/>
    <w:basedOn w:val="1"/>
    <w:autoRedefine/>
    <w:qFormat/>
    <w:uiPriority w:val="0"/>
    <w:rPr>
      <w:rFonts w:ascii="宋体" w:hAnsi="Courier New"/>
      <w:szCs w:val="20"/>
    </w:rPr>
  </w:style>
  <w:style w:type="paragraph" w:styleId="14">
    <w:name w:val="Date"/>
    <w:basedOn w:val="1"/>
    <w:next w:val="1"/>
    <w:link w:val="69"/>
    <w:autoRedefine/>
    <w:qFormat/>
    <w:uiPriority w:val="0"/>
  </w:style>
  <w:style w:type="paragraph" w:styleId="15">
    <w:name w:val="Body Text Indent 2"/>
    <w:basedOn w:val="1"/>
    <w:autoRedefine/>
    <w:qFormat/>
    <w:uiPriority w:val="0"/>
    <w:pPr>
      <w:spacing w:after="120" w:line="480" w:lineRule="auto"/>
      <w:ind w:left="420" w:leftChars="200"/>
    </w:pPr>
  </w:style>
  <w:style w:type="paragraph" w:styleId="16">
    <w:name w:val="footer"/>
    <w:basedOn w:val="1"/>
    <w:link w:val="67"/>
    <w:autoRedefine/>
    <w:qFormat/>
    <w:uiPriority w:val="99"/>
    <w:pPr>
      <w:tabs>
        <w:tab w:val="center" w:pos="4153"/>
        <w:tab w:val="right" w:pos="8306"/>
      </w:tabs>
      <w:snapToGrid w:val="0"/>
      <w:jc w:val="left"/>
    </w:pPr>
    <w:rPr>
      <w:sz w:val="18"/>
      <w:szCs w:val="18"/>
    </w:rPr>
  </w:style>
  <w:style w:type="paragraph" w:styleId="17">
    <w:name w:val="envelope return"/>
    <w:basedOn w:val="1"/>
    <w:autoRedefine/>
    <w:qFormat/>
    <w:uiPriority w:val="0"/>
    <w:pPr>
      <w:snapToGrid w:val="0"/>
    </w:pPr>
    <w:rPr>
      <w:rFonts w:ascii="Arial" w:hAnsi="Arial"/>
    </w:rPr>
  </w:style>
  <w:style w:type="paragraph" w:styleId="18">
    <w:name w:val="header"/>
    <w:basedOn w:val="1"/>
    <w:link w:val="72"/>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0"/>
  </w:style>
  <w:style w:type="paragraph" w:styleId="20">
    <w:name w:val="Body Text Indent 3"/>
    <w:basedOn w:val="1"/>
    <w:autoRedefine/>
    <w:qFormat/>
    <w:uiPriority w:val="0"/>
    <w:pPr>
      <w:spacing w:line="440" w:lineRule="exact"/>
      <w:ind w:firstLine="480" w:firstLineChars="200"/>
    </w:pPr>
    <w:rPr>
      <w:rFonts w:ascii="宋体" w:hAnsi="宋体" w:cs="Times New Roman"/>
      <w:color w:val="000000"/>
      <w:sz w:val="24"/>
    </w:rPr>
  </w:style>
  <w:style w:type="paragraph" w:styleId="21">
    <w:name w:val="Body Text 2"/>
    <w:basedOn w:val="1"/>
    <w:autoRedefine/>
    <w:unhideWhenUsed/>
    <w:qFormat/>
    <w:uiPriority w:val="99"/>
    <w:rPr>
      <w:rFonts w:ascii="楷体_GB2312" w:hAnsi="Copperplate Gothic Bold" w:eastAsia="楷体_GB2312"/>
      <w:sz w:val="28"/>
    </w:rPr>
  </w:style>
  <w:style w:type="paragraph" w:styleId="22">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3">
    <w:name w:val="Normal (Web)"/>
    <w:basedOn w:val="1"/>
    <w:autoRedefine/>
    <w:qFormat/>
    <w:uiPriority w:val="99"/>
    <w:pPr>
      <w:widowControl/>
      <w:spacing w:before="100" w:beforeLines="0" w:beforeAutospacing="1" w:after="100" w:afterLines="0" w:afterAutospacing="1"/>
      <w:jc w:val="left"/>
    </w:pPr>
    <w:rPr>
      <w:rFonts w:ascii="宋体" w:hAnsi="宋体" w:cs="宋体"/>
      <w:kern w:val="0"/>
      <w:sz w:val="24"/>
      <w:szCs w:val="24"/>
    </w:rPr>
  </w:style>
  <w:style w:type="paragraph" w:styleId="24">
    <w:name w:val="Title"/>
    <w:basedOn w:val="1"/>
    <w:next w:val="1"/>
    <w:autoRedefine/>
    <w:qFormat/>
    <w:uiPriority w:val="0"/>
    <w:pPr>
      <w:widowControl/>
      <w:spacing w:before="240" w:after="60"/>
      <w:jc w:val="center"/>
      <w:outlineLvl w:val="0"/>
    </w:pPr>
    <w:rPr>
      <w:rFonts w:ascii="Cambria" w:hAnsi="Cambria" w:cs="Times New Roman"/>
      <w:b/>
      <w:bCs/>
      <w:kern w:val="28"/>
      <w:sz w:val="32"/>
      <w:szCs w:val="32"/>
    </w:rPr>
  </w:style>
  <w:style w:type="paragraph" w:styleId="25">
    <w:name w:val="Body Text First Indent"/>
    <w:basedOn w:val="10"/>
    <w:next w:val="12"/>
    <w:autoRedefine/>
    <w:qFormat/>
    <w:uiPriority w:val="0"/>
    <w:pPr>
      <w:ind w:firstLine="420" w:firstLineChars="100"/>
    </w:pPr>
    <w:rPr>
      <w:rFonts w:eastAsia="仿宋_GB2312"/>
      <w:sz w:val="28"/>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默认段落字体 Para Char Char Char Char"/>
    <w:basedOn w:val="1"/>
    <w:link w:val="28"/>
    <w:autoRedefine/>
    <w:qFormat/>
    <w:uiPriority w:val="0"/>
  </w:style>
  <w:style w:type="character" w:styleId="30">
    <w:name w:val="Strong"/>
    <w:basedOn w:val="28"/>
    <w:autoRedefine/>
    <w:qFormat/>
    <w:uiPriority w:val="0"/>
    <w:rPr>
      <w:b/>
      <w:bCs/>
    </w:rPr>
  </w:style>
  <w:style w:type="character" w:styleId="31">
    <w:name w:val="page number"/>
    <w:basedOn w:val="28"/>
    <w:autoRedefine/>
    <w:qFormat/>
    <w:uiPriority w:val="0"/>
  </w:style>
  <w:style w:type="character" w:styleId="32">
    <w:name w:val="FollowedHyperlink"/>
    <w:basedOn w:val="28"/>
    <w:autoRedefine/>
    <w:qFormat/>
    <w:uiPriority w:val="0"/>
    <w:rPr>
      <w:color w:val="333333"/>
      <w:u w:val="none"/>
    </w:rPr>
  </w:style>
  <w:style w:type="character" w:styleId="33">
    <w:name w:val="Emphasis"/>
    <w:basedOn w:val="28"/>
    <w:autoRedefine/>
    <w:qFormat/>
    <w:uiPriority w:val="0"/>
  </w:style>
  <w:style w:type="character" w:styleId="34">
    <w:name w:val="HTML Definition"/>
    <w:basedOn w:val="28"/>
    <w:autoRedefine/>
    <w:qFormat/>
    <w:uiPriority w:val="0"/>
    <w:rPr>
      <w:i/>
      <w:iCs/>
      <w:color w:val="0082DF"/>
      <w:bdr w:val="single" w:color="0082DF" w:sz="4" w:space="0"/>
    </w:rPr>
  </w:style>
  <w:style w:type="character" w:styleId="35">
    <w:name w:val="HTML Typewriter"/>
    <w:basedOn w:val="28"/>
    <w:autoRedefine/>
    <w:qFormat/>
    <w:uiPriority w:val="0"/>
    <w:rPr>
      <w:rFonts w:hint="default" w:ascii="monospace" w:hAnsi="monospace" w:eastAsia="monospace" w:cs="monospace"/>
      <w:sz w:val="20"/>
    </w:rPr>
  </w:style>
  <w:style w:type="character" w:styleId="36">
    <w:name w:val="HTML Acronym"/>
    <w:basedOn w:val="28"/>
    <w:autoRedefine/>
    <w:qFormat/>
    <w:uiPriority w:val="0"/>
  </w:style>
  <w:style w:type="character" w:styleId="37">
    <w:name w:val="HTML Variable"/>
    <w:basedOn w:val="28"/>
    <w:autoRedefine/>
    <w:qFormat/>
    <w:uiPriority w:val="0"/>
  </w:style>
  <w:style w:type="character" w:styleId="38">
    <w:name w:val="Hyperlink"/>
    <w:autoRedefine/>
    <w:qFormat/>
    <w:uiPriority w:val="0"/>
    <w:rPr>
      <w:color w:val="0000FF"/>
      <w:u w:val="single"/>
    </w:rPr>
  </w:style>
  <w:style w:type="character" w:styleId="39">
    <w:name w:val="HTML Code"/>
    <w:basedOn w:val="28"/>
    <w:autoRedefine/>
    <w:qFormat/>
    <w:uiPriority w:val="0"/>
    <w:rPr>
      <w:rFonts w:hint="default" w:ascii="Consolas" w:hAnsi="Consolas" w:eastAsia="Consolas" w:cs="Consolas"/>
      <w:color w:val="C7254E"/>
      <w:sz w:val="21"/>
      <w:szCs w:val="21"/>
      <w:shd w:val="clear" w:fill="F9F2F4"/>
    </w:rPr>
  </w:style>
  <w:style w:type="character" w:styleId="40">
    <w:name w:val="HTML Cite"/>
    <w:basedOn w:val="28"/>
    <w:autoRedefine/>
    <w:qFormat/>
    <w:uiPriority w:val="0"/>
  </w:style>
  <w:style w:type="character" w:styleId="41">
    <w:name w:val="HTML Keyboard"/>
    <w:basedOn w:val="28"/>
    <w:autoRedefine/>
    <w:qFormat/>
    <w:uiPriority w:val="0"/>
    <w:rPr>
      <w:rFonts w:ascii="Consolas" w:hAnsi="Consolas" w:eastAsia="Consolas" w:cs="Consolas"/>
      <w:color w:val="FFFFFF"/>
      <w:sz w:val="21"/>
      <w:szCs w:val="21"/>
      <w:shd w:val="clear" w:fill="333333"/>
    </w:rPr>
  </w:style>
  <w:style w:type="character" w:styleId="42">
    <w:name w:val="HTML Sample"/>
    <w:basedOn w:val="28"/>
    <w:autoRedefine/>
    <w:qFormat/>
    <w:uiPriority w:val="0"/>
    <w:rPr>
      <w:rFonts w:hint="default" w:ascii="Consolas" w:hAnsi="Consolas" w:eastAsia="Consolas" w:cs="Consolas"/>
      <w:sz w:val="21"/>
      <w:szCs w:val="21"/>
    </w:rPr>
  </w:style>
  <w:style w:type="paragraph" w:styleId="43">
    <w:name w:val="Quote"/>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44">
    <w:name w:val="正文缩进1"/>
    <w:basedOn w:val="1"/>
    <w:autoRedefine/>
    <w:qFormat/>
    <w:uiPriority w:val="0"/>
    <w:pPr>
      <w:ind w:firstLine="420" w:firstLineChars="200"/>
    </w:pPr>
  </w:style>
  <w:style w:type="paragraph" w:customStyle="1" w:styleId="45">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6">
    <w:name w:val="xl48"/>
    <w:basedOn w:val="1"/>
    <w:autoRedefine/>
    <w:qFormat/>
    <w:uiPriority w:val="0"/>
    <w:pPr>
      <w:widowControl/>
      <w:pBdr>
        <w:bottom w:val="single" w:color="auto" w:sz="4" w:space="0"/>
      </w:pBdr>
      <w:spacing w:before="100" w:beforeLines="0" w:beforeAutospacing="1" w:after="100" w:afterLines="0" w:afterAutospacing="1"/>
      <w:jc w:val="center"/>
    </w:pPr>
    <w:rPr>
      <w:rFonts w:eastAsia="Arial Unicode MS"/>
      <w:kern w:val="0"/>
      <w:sz w:val="24"/>
      <w:szCs w:val="24"/>
    </w:rPr>
  </w:style>
  <w:style w:type="paragraph" w:customStyle="1" w:styleId="47">
    <w:name w:val="（符号）二标题总则"/>
    <w:basedOn w:val="1"/>
    <w:autoRedefine/>
    <w:qFormat/>
    <w:uiPriority w:val="0"/>
    <w:pPr>
      <w:spacing w:before="312" w:beforeLines="100" w:line="500" w:lineRule="atLeast"/>
      <w:jc w:val="center"/>
      <w:outlineLvl w:val="1"/>
    </w:pPr>
    <w:rPr>
      <w:rFonts w:ascii="华文中宋" w:hAnsi="华文中宋" w:eastAsia="华文中宋"/>
      <w:b/>
      <w:bCs/>
      <w:sz w:val="32"/>
      <w:szCs w:val="32"/>
    </w:rPr>
  </w:style>
  <w:style w:type="paragraph" w:customStyle="1" w:styleId="48">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49">
    <w:name w:val="(符号)四标题1.1"/>
    <w:basedOn w:val="1"/>
    <w:autoRedefine/>
    <w:qFormat/>
    <w:uiPriority w:val="0"/>
    <w:pPr>
      <w:tabs>
        <w:tab w:val="left" w:pos="700"/>
      </w:tabs>
      <w:spacing w:line="500" w:lineRule="atLeast"/>
      <w:ind w:left="700" w:hanging="700"/>
    </w:pPr>
    <w:rPr>
      <w:rFonts w:ascii="宋体" w:hAnsi="宋体"/>
      <w:color w:val="000000"/>
      <w:kern w:val="0"/>
      <w:sz w:val="24"/>
    </w:rPr>
  </w:style>
  <w:style w:type="paragraph" w:customStyle="1" w:styleId="50">
    <w:name w:val="目录"/>
    <w:basedOn w:val="1"/>
    <w:autoRedefine/>
    <w:qFormat/>
    <w:uiPriority w:val="0"/>
    <w:pPr>
      <w:widowControl/>
      <w:jc w:val="center"/>
    </w:pPr>
    <w:rPr>
      <w:rFonts w:ascii="宋体"/>
      <w:b/>
      <w:kern w:val="0"/>
      <w:sz w:val="36"/>
      <w:szCs w:val="20"/>
    </w:rPr>
  </w:style>
  <w:style w:type="paragraph" w:customStyle="1" w:styleId="51">
    <w:name w:val="目录文字"/>
    <w:basedOn w:val="1"/>
    <w:autoRedefine/>
    <w:qFormat/>
    <w:uiPriority w:val="0"/>
    <w:pPr>
      <w:widowControl/>
      <w:spacing w:line="480" w:lineRule="auto"/>
      <w:jc w:val="left"/>
    </w:pPr>
    <w:rPr>
      <w:rFonts w:ascii="宋体" w:hAnsi="宋体"/>
      <w:kern w:val="0"/>
      <w:sz w:val="24"/>
      <w:szCs w:val="20"/>
    </w:rPr>
  </w:style>
  <w:style w:type="paragraph" w:customStyle="1" w:styleId="52">
    <w:name w:val="p0"/>
    <w:basedOn w:val="1"/>
    <w:autoRedefine/>
    <w:qFormat/>
    <w:uiPriority w:val="0"/>
    <w:pPr>
      <w:widowControl/>
    </w:pPr>
    <w:rPr>
      <w:kern w:val="0"/>
      <w:szCs w:val="21"/>
    </w:rPr>
  </w:style>
  <w:style w:type="paragraph" w:customStyle="1" w:styleId="53">
    <w:name w:val="List Paragraph"/>
    <w:basedOn w:val="1"/>
    <w:autoRedefine/>
    <w:qFormat/>
    <w:uiPriority w:val="0"/>
    <w:pPr>
      <w:ind w:firstLine="420" w:firstLineChars="200"/>
    </w:pPr>
    <w:rPr>
      <w:rFonts w:ascii="宋体"/>
      <w:kern w:val="0"/>
      <w:sz w:val="24"/>
    </w:rPr>
  </w:style>
  <w:style w:type="paragraph" w:customStyle="1" w:styleId="54">
    <w:name w:val="Table Paragraph"/>
    <w:basedOn w:val="1"/>
    <w:autoRedefine/>
    <w:qFormat/>
    <w:uiPriority w:val="99"/>
    <w:pPr>
      <w:spacing w:before="13" w:line="192" w:lineRule="exact"/>
      <w:ind w:left="20"/>
      <w:jc w:val="center"/>
    </w:pPr>
    <w:rPr>
      <w:rFonts w:ascii="微软雅黑" w:hAnsi="微软雅黑" w:eastAsia="微软雅黑" w:cs="微软雅黑"/>
      <w:lang w:val="pt-PT" w:eastAsia="pt-PT"/>
    </w:rPr>
  </w:style>
  <w:style w:type="paragraph" w:customStyle="1" w:styleId="55">
    <w:name w:val="标书"/>
    <w:basedOn w:val="1"/>
    <w:autoRedefine/>
    <w:qFormat/>
    <w:uiPriority w:val="0"/>
    <w:pPr>
      <w:shd w:val="clear" w:color="auto" w:fill="FFFFFF"/>
      <w:spacing w:line="360" w:lineRule="auto"/>
      <w:ind w:firstLine="480"/>
      <w:jc w:val="left"/>
    </w:pPr>
    <w:rPr>
      <w:rFonts w:ascii="宋体" w:hAnsi="宋体"/>
      <w:sz w:val="24"/>
      <w:shd w:val="clear" w:color="auto" w:fill="FFFFFF"/>
    </w:rPr>
  </w:style>
  <w:style w:type="paragraph" w:customStyle="1" w:styleId="56">
    <w:name w:val="表 靠左"/>
    <w:basedOn w:val="1"/>
    <w:autoRedefine/>
    <w:qFormat/>
    <w:uiPriority w:val="0"/>
    <w:pPr>
      <w:widowControl w:val="0"/>
      <w:adjustRightInd/>
      <w:snapToGrid/>
      <w:spacing w:after="0"/>
    </w:pPr>
    <w:rPr>
      <w:rFonts w:ascii="宋体" w:hAnsi="宋体" w:eastAsia="宋体"/>
      <w:kern w:val="2"/>
      <w:sz w:val="21"/>
      <w:szCs w:val="21"/>
    </w:rPr>
  </w:style>
  <w:style w:type="paragraph" w:customStyle="1" w:styleId="57">
    <w:name w:val="(符号)三标题1."/>
    <w:basedOn w:val="1"/>
    <w:autoRedefine/>
    <w:qFormat/>
    <w:uiPriority w:val="0"/>
    <w:pPr>
      <w:tabs>
        <w:tab w:val="left" w:pos="420"/>
      </w:tabs>
      <w:spacing w:before="140" w:beforeLines="0" w:after="140" w:afterLines="0" w:line="500" w:lineRule="atLeast"/>
      <w:ind w:left="430" w:hanging="430"/>
      <w:outlineLvl w:val="2"/>
    </w:pPr>
    <w:rPr>
      <w:rFonts w:ascii="楷体_GB2312" w:hAnsi="宋体" w:eastAsia="楷体_GB2312"/>
      <w:b/>
      <w:bCs/>
    </w:rPr>
  </w:style>
  <w:style w:type="paragraph" w:customStyle="1" w:styleId="58">
    <w:name w:val="xl36"/>
    <w:basedOn w:val="1"/>
    <w:autoRedefine/>
    <w:qFormat/>
    <w:uiPriority w:val="0"/>
    <w:pPr>
      <w:widowControl/>
      <w:spacing w:before="100" w:beforeLines="0" w:after="100" w:afterLines="0"/>
      <w:jc w:val="center"/>
    </w:pPr>
    <w:rPr>
      <w:rFonts w:hint="eastAsia" w:ascii="宋体" w:hAnsi="宋体"/>
      <w:kern w:val="0"/>
      <w:sz w:val="24"/>
    </w:rPr>
  </w:style>
  <w:style w:type="paragraph" w:customStyle="1" w:styleId="59">
    <w:name w:val="p15"/>
    <w:basedOn w:val="1"/>
    <w:autoRedefine/>
    <w:qFormat/>
    <w:uiPriority w:val="99"/>
    <w:pPr>
      <w:widowControl/>
    </w:pPr>
    <w:rPr>
      <w:kern w:val="0"/>
      <w:szCs w:val="21"/>
    </w:rPr>
  </w:style>
  <w:style w:type="paragraph" w:customStyle="1" w:styleId="60">
    <w:name w:val="Heading 1"/>
    <w:basedOn w:val="1"/>
    <w:autoRedefine/>
    <w:qFormat/>
    <w:uiPriority w:val="0"/>
    <w:pPr>
      <w:autoSpaceDE w:val="0"/>
      <w:autoSpaceDN w:val="0"/>
      <w:adjustRightInd w:val="0"/>
      <w:ind w:left="1704"/>
      <w:jc w:val="left"/>
      <w:outlineLvl w:val="0"/>
    </w:pPr>
    <w:rPr>
      <w:rFonts w:ascii="黑体" w:eastAsia="黑体" w:cs="黑体"/>
      <w:b/>
      <w:bCs/>
      <w:kern w:val="0"/>
      <w:sz w:val="32"/>
      <w:szCs w:val="32"/>
    </w:rPr>
  </w:style>
  <w:style w:type="character" w:customStyle="1" w:styleId="61">
    <w:name w:val="font12"/>
    <w:basedOn w:val="28"/>
    <w:autoRedefine/>
    <w:qFormat/>
    <w:uiPriority w:val="0"/>
    <w:rPr>
      <w:rFonts w:ascii="Calibri" w:hAnsi="Calibri" w:cs="Calibri"/>
      <w:color w:val="000000"/>
      <w:sz w:val="21"/>
      <w:szCs w:val="21"/>
      <w:u w:val="none"/>
    </w:rPr>
  </w:style>
  <w:style w:type="character" w:customStyle="1" w:styleId="62">
    <w:name w:val="font81"/>
    <w:basedOn w:val="28"/>
    <w:autoRedefine/>
    <w:qFormat/>
    <w:uiPriority w:val="0"/>
    <w:rPr>
      <w:rFonts w:hint="eastAsia" w:ascii="宋体" w:hAnsi="宋体" w:eastAsia="宋体" w:cs="宋体"/>
      <w:color w:val="0070C0"/>
      <w:sz w:val="20"/>
      <w:szCs w:val="20"/>
      <w:u w:val="none"/>
    </w:rPr>
  </w:style>
  <w:style w:type="character" w:customStyle="1" w:styleId="63">
    <w:name w:val="font11"/>
    <w:autoRedefine/>
    <w:qFormat/>
    <w:uiPriority w:val="0"/>
    <w:rPr>
      <w:rFonts w:hint="eastAsia" w:ascii="宋体" w:hAnsi="宋体" w:eastAsia="宋体" w:cs="宋体"/>
      <w:color w:val="000000"/>
      <w:sz w:val="24"/>
      <w:szCs w:val="24"/>
      <w:u w:val="none"/>
    </w:rPr>
  </w:style>
  <w:style w:type="character" w:customStyle="1" w:styleId="64">
    <w:name w:val="font41"/>
    <w:autoRedefine/>
    <w:qFormat/>
    <w:uiPriority w:val="0"/>
    <w:rPr>
      <w:rFonts w:hint="eastAsia" w:ascii="仿宋" w:hAnsi="仿宋" w:eastAsia="仿宋" w:cs="仿宋"/>
      <w:color w:val="000000"/>
      <w:sz w:val="24"/>
      <w:szCs w:val="24"/>
      <w:u w:val="none"/>
    </w:rPr>
  </w:style>
  <w:style w:type="character" w:customStyle="1" w:styleId="65">
    <w:name w:val="font71"/>
    <w:autoRedefine/>
    <w:qFormat/>
    <w:uiPriority w:val="0"/>
    <w:rPr>
      <w:rFonts w:hint="eastAsia" w:ascii="宋体" w:hAnsi="宋体" w:eastAsia="宋体" w:cs="宋体"/>
      <w:color w:val="000000"/>
      <w:sz w:val="20"/>
      <w:szCs w:val="20"/>
      <w:u w:val="none"/>
    </w:rPr>
  </w:style>
  <w:style w:type="character" w:customStyle="1" w:styleId="66">
    <w:name w:val="font131"/>
    <w:basedOn w:val="28"/>
    <w:autoRedefine/>
    <w:qFormat/>
    <w:uiPriority w:val="0"/>
    <w:rPr>
      <w:rFonts w:hint="eastAsia" w:ascii="宋体" w:hAnsi="宋体" w:eastAsia="宋体" w:cs="宋体"/>
      <w:color w:val="000000"/>
      <w:sz w:val="20"/>
      <w:szCs w:val="20"/>
      <w:u w:val="none"/>
    </w:rPr>
  </w:style>
  <w:style w:type="character" w:customStyle="1" w:styleId="67">
    <w:name w:val="页脚 Char"/>
    <w:link w:val="16"/>
    <w:autoRedefine/>
    <w:qFormat/>
    <w:uiPriority w:val="99"/>
    <w:rPr>
      <w:rFonts w:eastAsia="宋体"/>
      <w:kern w:val="2"/>
      <w:sz w:val="18"/>
      <w:szCs w:val="18"/>
      <w:lang w:val="en-US" w:eastAsia="zh-CN" w:bidi="ar-SA"/>
    </w:rPr>
  </w:style>
  <w:style w:type="character" w:customStyle="1" w:styleId="68">
    <w:name w:val="font31"/>
    <w:basedOn w:val="28"/>
    <w:autoRedefine/>
    <w:qFormat/>
    <w:uiPriority w:val="0"/>
    <w:rPr>
      <w:rFonts w:hint="default" w:ascii="等线" w:hAnsi="等线" w:eastAsia="等线" w:cs="等线"/>
      <w:b/>
      <w:color w:val="000000"/>
      <w:sz w:val="20"/>
      <w:szCs w:val="20"/>
      <w:u w:val="none"/>
    </w:rPr>
  </w:style>
  <w:style w:type="character" w:customStyle="1" w:styleId="69">
    <w:name w:val="日期 Char"/>
    <w:link w:val="14"/>
    <w:autoRedefine/>
    <w:qFormat/>
    <w:locked/>
    <w:uiPriority w:val="0"/>
    <w:rPr>
      <w:kern w:val="2"/>
      <w:sz w:val="28"/>
    </w:rPr>
  </w:style>
  <w:style w:type="character" w:customStyle="1" w:styleId="70">
    <w:name w:val="font51"/>
    <w:autoRedefine/>
    <w:qFormat/>
    <w:uiPriority w:val="0"/>
    <w:rPr>
      <w:rFonts w:hint="eastAsia" w:ascii="宋体" w:hAnsi="宋体" w:eastAsia="宋体" w:cs="宋体"/>
      <w:color w:val="000000"/>
      <w:sz w:val="18"/>
      <w:szCs w:val="18"/>
      <w:u w:val="none"/>
    </w:rPr>
  </w:style>
  <w:style w:type="character" w:customStyle="1" w:styleId="71">
    <w:name w:val="font61"/>
    <w:autoRedefine/>
    <w:qFormat/>
    <w:uiPriority w:val="0"/>
    <w:rPr>
      <w:rFonts w:hint="eastAsia" w:ascii="宋体" w:hAnsi="宋体" w:eastAsia="宋体" w:cs="宋体"/>
      <w:b/>
      <w:color w:val="000000"/>
      <w:sz w:val="28"/>
      <w:szCs w:val="28"/>
      <w:u w:val="none"/>
    </w:rPr>
  </w:style>
  <w:style w:type="character" w:customStyle="1" w:styleId="72">
    <w:name w:val="页眉 Char"/>
    <w:link w:val="18"/>
    <w:autoRedefine/>
    <w:qFormat/>
    <w:uiPriority w:val="0"/>
    <w:rPr>
      <w:kern w:val="2"/>
      <w:sz w:val="18"/>
      <w:szCs w:val="18"/>
    </w:rPr>
  </w:style>
  <w:style w:type="character" w:customStyle="1" w:styleId="73">
    <w:name w:val="font141"/>
    <w:basedOn w:val="28"/>
    <w:autoRedefine/>
    <w:qFormat/>
    <w:uiPriority w:val="0"/>
    <w:rPr>
      <w:rFonts w:hint="eastAsia" w:ascii="宋体" w:hAnsi="宋体" w:eastAsia="宋体" w:cs="宋体"/>
      <w:color w:val="FF0000"/>
      <w:sz w:val="20"/>
      <w:szCs w:val="20"/>
      <w:u w:val="none"/>
    </w:rPr>
  </w:style>
  <w:style w:type="character" w:customStyle="1" w:styleId="74">
    <w:name w:val="page number"/>
    <w:basedOn w:val="28"/>
    <w:autoRedefine/>
    <w:qFormat/>
    <w:uiPriority w:val="0"/>
  </w:style>
  <w:style w:type="character" w:customStyle="1" w:styleId="75">
    <w:name w:val="font01"/>
    <w:basedOn w:val="28"/>
    <w:autoRedefine/>
    <w:qFormat/>
    <w:uiPriority w:val="0"/>
    <w:rPr>
      <w:rFonts w:hint="default" w:ascii="等线" w:hAnsi="等线" w:eastAsia="等线" w:cs="等线"/>
      <w:b/>
      <w:color w:val="FF0000"/>
      <w:sz w:val="20"/>
      <w:szCs w:val="20"/>
      <w:u w:val="none"/>
    </w:rPr>
  </w:style>
  <w:style w:type="paragraph" w:customStyle="1" w:styleId="76">
    <w:name w:val="列出段落1"/>
    <w:basedOn w:val="1"/>
    <w:autoRedefine/>
    <w:qFormat/>
    <w:uiPriority w:val="34"/>
    <w:pPr>
      <w:ind w:firstLine="420" w:firstLineChars="200"/>
      <w:jc w:val="left"/>
    </w:pPr>
    <w:rPr>
      <w:rFonts w:ascii="Times New Roman" w:hAnsi="Times New Roman" w:eastAsia="宋体" w:cs="Times New Roman"/>
      <w:szCs w:val="24"/>
    </w:rPr>
  </w:style>
  <w:style w:type="paragraph" w:customStyle="1" w:styleId="77">
    <w:name w:val="12 Table Text"/>
    <w:basedOn w:val="1"/>
    <w:autoRedefine/>
    <w:qFormat/>
    <w:uiPriority w:val="0"/>
    <w:pPr>
      <w:spacing w:beforeLines="10" w:afterLines="10"/>
      <w:jc w:val="left"/>
    </w:pPr>
    <w:rPr>
      <w:rFonts w:ascii="Calibri" w:hAnsi="Calibri" w:eastAsia="宋体" w:cs="Times New Roman"/>
      <w:szCs w:val="24"/>
    </w:rPr>
  </w:style>
  <w:style w:type="character" w:customStyle="1" w:styleId="78">
    <w:name w:val="button"/>
    <w:basedOn w:val="28"/>
    <w:autoRedefine/>
    <w:qFormat/>
    <w:uiPriority w:val="0"/>
  </w:style>
  <w:style w:type="character" w:customStyle="1" w:styleId="79">
    <w:name w:val="indent"/>
    <w:basedOn w:val="28"/>
    <w:autoRedefine/>
    <w:qFormat/>
    <w:uiPriority w:val="0"/>
  </w:style>
  <w:style w:type="character" w:customStyle="1" w:styleId="80">
    <w:name w:val="old"/>
    <w:basedOn w:val="28"/>
    <w:autoRedefine/>
    <w:qFormat/>
    <w:uiPriority w:val="0"/>
    <w:rPr>
      <w:color w:val="999999"/>
    </w:rPr>
  </w:style>
  <w:style w:type="character" w:customStyle="1" w:styleId="81">
    <w:name w:val="hour_am"/>
    <w:basedOn w:val="28"/>
    <w:autoRedefine/>
    <w:qFormat/>
    <w:uiPriority w:val="0"/>
  </w:style>
  <w:style w:type="character" w:customStyle="1" w:styleId="82">
    <w:name w:val="hover3"/>
    <w:basedOn w:val="28"/>
    <w:autoRedefine/>
    <w:qFormat/>
    <w:uiPriority w:val="0"/>
    <w:rPr>
      <w:shd w:val="clear" w:fill="EEEEEE"/>
    </w:rPr>
  </w:style>
  <w:style w:type="character" w:customStyle="1" w:styleId="83">
    <w:name w:val="glyphicon4"/>
    <w:basedOn w:val="28"/>
    <w:autoRedefine/>
    <w:qFormat/>
    <w:uiPriority w:val="0"/>
  </w:style>
  <w:style w:type="character" w:customStyle="1" w:styleId="84">
    <w:name w:val="hour_pm"/>
    <w:basedOn w:val="28"/>
    <w:autoRedefine/>
    <w:qFormat/>
    <w:uiPriority w:val="0"/>
  </w:style>
  <w:style w:type="character" w:customStyle="1" w:styleId="85">
    <w:name w:val="tmpztreemove_arrow"/>
    <w:basedOn w:val="28"/>
    <w:autoRedefine/>
    <w:qFormat/>
    <w:uiPriority w:val="0"/>
    <w:rPr>
      <w:shd w:val="clear" w:fill="FFFFFF"/>
    </w:rPr>
  </w:style>
  <w:style w:type="character" w:customStyle="1" w:styleId="86">
    <w:name w:val="proollist"/>
    <w:basedOn w:val="28"/>
    <w:autoRedefine/>
    <w:qFormat/>
    <w:uiPriority w:val="0"/>
  </w:style>
  <w:style w:type="character" w:customStyle="1" w:styleId="87">
    <w:name w:val="input-direction"/>
    <w:basedOn w:val="28"/>
    <w:autoRedefine/>
    <w:qFormat/>
    <w:uiPriority w:val="0"/>
    <w:rPr>
      <w:color w:val="FF6600"/>
    </w:rPr>
  </w:style>
  <w:style w:type="character" w:customStyle="1" w:styleId="88">
    <w:name w:val="span-long"/>
    <w:basedOn w:val="28"/>
    <w:autoRedefine/>
    <w:qFormat/>
    <w:uiPriority w:val="0"/>
  </w:style>
  <w:style w:type="character" w:customStyle="1" w:styleId="89">
    <w:name w:val="beforeinfotext"/>
    <w:basedOn w:val="28"/>
    <w:autoRedefine/>
    <w:qFormat/>
    <w:uiPriority w:val="0"/>
    <w:rPr>
      <w:color w:val="666666"/>
    </w:rPr>
  </w:style>
  <w:style w:type="character" w:customStyle="1" w:styleId="90">
    <w:name w:val="phone"/>
    <w:basedOn w:val="28"/>
    <w:autoRedefine/>
    <w:qFormat/>
    <w:uiPriority w:val="0"/>
    <w:rPr>
      <w:color w:val="FF8833"/>
      <w:sz w:val="18"/>
      <w:szCs w:val="18"/>
    </w:rPr>
  </w:style>
  <w:style w:type="character" w:customStyle="1" w:styleId="91">
    <w:name w:val="stclosebtn"/>
    <w:basedOn w:val="28"/>
    <w:autoRedefine/>
    <w:qFormat/>
    <w:uiPriority w:val="0"/>
  </w:style>
  <w:style w:type="character" w:customStyle="1" w:styleId="92">
    <w:name w:val="number"/>
    <w:basedOn w:val="28"/>
    <w:autoRedefine/>
    <w:qFormat/>
    <w:uiPriority w:val="0"/>
    <w:rPr>
      <w:color w:val="FF8833"/>
      <w:sz w:val="18"/>
      <w:szCs w:val="18"/>
    </w:rPr>
  </w:style>
  <w:style w:type="character" w:customStyle="1" w:styleId="93">
    <w:name w:val="hilite6"/>
    <w:basedOn w:val="28"/>
    <w:autoRedefine/>
    <w:qFormat/>
    <w:uiPriority w:val="0"/>
    <w:rPr>
      <w:color w:val="FFFFFF"/>
      <w:shd w:val="clear" w:fill="666677"/>
    </w:rPr>
  </w:style>
  <w:style w:type="character" w:customStyle="1" w:styleId="94">
    <w:name w:val="active6"/>
    <w:basedOn w:val="28"/>
    <w:autoRedefine/>
    <w:qFormat/>
    <w:uiPriority w:val="0"/>
    <w:rPr>
      <w:color w:val="00FF00"/>
      <w:shd w:val="clear" w:fill="000000"/>
    </w:rPr>
  </w:style>
  <w:style w:type="character" w:customStyle="1" w:styleId="95">
    <w:name w:val="hilite"/>
    <w:basedOn w:val="28"/>
    <w:autoRedefine/>
    <w:qFormat/>
    <w:uiPriority w:val="0"/>
    <w:rPr>
      <w:color w:val="FFFFFF"/>
      <w:shd w:val="clear" w:fill="666677"/>
    </w:rPr>
  </w:style>
  <w:style w:type="character" w:customStyle="1" w:styleId="96">
    <w:name w:val="button2"/>
    <w:basedOn w:val="28"/>
    <w:autoRedefine/>
    <w:qFormat/>
    <w:uiPriority w:val="0"/>
  </w:style>
  <w:style w:type="character" w:customStyle="1" w:styleId="97">
    <w:name w:val="hilite5"/>
    <w:basedOn w:val="28"/>
    <w:autoRedefine/>
    <w:qFormat/>
    <w:uiPriority w:val="0"/>
    <w:rPr>
      <w:color w:val="FFFFFF"/>
      <w:shd w:val="clear" w:fill="666677"/>
    </w:rPr>
  </w:style>
  <w:style w:type="character" w:customStyle="1" w:styleId="98">
    <w:name w:val="active4"/>
    <w:basedOn w:val="28"/>
    <w:autoRedefine/>
    <w:qFormat/>
    <w:uiPriority w:val="0"/>
    <w:rPr>
      <w:color w:val="00FF00"/>
      <w:shd w:val="clear" w:fill="000000"/>
    </w:rPr>
  </w:style>
  <w:style w:type="character" w:customStyle="1" w:styleId="99">
    <w:name w:val="hilite4"/>
    <w:basedOn w:val="28"/>
    <w:autoRedefine/>
    <w:qFormat/>
    <w:uiPriority w:val="0"/>
    <w:rPr>
      <w:color w:val="FFFFFF"/>
      <w:shd w:val="clear" w:fill="666677"/>
    </w:rPr>
  </w:style>
  <w:style w:type="paragraph" w:customStyle="1" w:styleId="100">
    <w:name w:val="title1"/>
    <w:basedOn w:val="1"/>
    <w:autoRedefine/>
    <w:qFormat/>
    <w:uiPriority w:val="0"/>
    <w:pPr>
      <w:spacing w:before="120" w:beforeAutospacing="0" w:after="0" w:afterAutospacing="0" w:line="360" w:lineRule="atLeast"/>
      <w:ind w:left="0" w:right="0"/>
      <w:jc w:val="left"/>
    </w:pPr>
    <w:rPr>
      <w:b/>
      <w:bCs/>
      <w:kern w:val="0"/>
      <w:sz w:val="19"/>
      <w:szCs w:val="19"/>
      <w:lang w:val="en-US" w:eastAsia="zh-CN" w:bidi="ar"/>
    </w:rPr>
  </w:style>
  <w:style w:type="character" w:customStyle="1" w:styleId="101">
    <w:name w:val="hover"/>
    <w:basedOn w:val="28"/>
    <w:autoRedefine/>
    <w:qFormat/>
    <w:uiPriority w:val="0"/>
    <w:rPr>
      <w:shd w:val="clear" w:fill="EEEEEE"/>
    </w:rPr>
  </w:style>
  <w:style w:type="paragraph" w:customStyle="1" w:styleId="102">
    <w:name w:val="无间隔1"/>
    <w:autoRedefine/>
    <w:qFormat/>
    <w:uiPriority w:val="1"/>
    <w:pPr>
      <w:widowControl w:val="0"/>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11949</Words>
  <Characters>13083</Characters>
  <Lines>394</Lines>
  <Paragraphs>111</Paragraphs>
  <TotalTime>1</TotalTime>
  <ScaleCrop>false</ScaleCrop>
  <LinksUpToDate>false</LinksUpToDate>
  <CharactersWithSpaces>13136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2019-10-09T01:56:00Z</dcterms:created>
  <dc:creator>MC SYSTEM</dc:creator>
  <cp:lastModifiedBy>WPS_1658106135</cp:lastModifiedBy>
  <cp:lastPrinted>2025-08-26T08:18:56Z</cp:lastPrinted>
  <dcterms:modified xsi:type="dcterms:W3CDTF">2025-08-26T08:19:39Z</dcterms:modified>
  <dc:title>政 府 采 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4866A94AB9C145ABA08D53D79F63DEF9_13</vt:lpwstr>
  </property>
  <property fmtid="{D5CDD505-2E9C-101B-9397-08002B2CF9AE}" pid="4" name="KSOTemplateDocerSaveRecord">
    <vt:lpwstr>eyJoZGlkIjoiNDI2NjdmZGRmOTY2OGI3NDJkODRjMWYxNzBjYmNhNTciLCJ1c2VySWQiOiIxMzg5MDA5NDczIn0=</vt:lpwstr>
  </property>
</Properties>
</file>