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E01EF">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项目编号：SXZCZB2025-ZCCS-0811</w:t>
      </w:r>
    </w:p>
    <w:p w14:paraId="36D28EF4">
      <w:pPr>
        <w:rPr>
          <w:rFonts w:hAnsi="宋体" w:cs="宋体"/>
          <w:b/>
          <w:color w:val="auto"/>
          <w:sz w:val="36"/>
          <w:highlight w:val="none"/>
        </w:rPr>
      </w:pPr>
      <w:r>
        <w:rPr>
          <w:rFonts w:hint="eastAsia" w:hAnsi="宋体" w:cs="宋体"/>
          <w:b/>
          <w:color w:val="auto"/>
          <w:sz w:val="36"/>
          <w:highlight w:val="none"/>
        </w:rPr>
        <w:t xml:space="preserve"> </w:t>
      </w:r>
    </w:p>
    <w:p w14:paraId="4FBFF887">
      <w:pPr>
        <w:rPr>
          <w:rFonts w:hAnsi="宋体" w:cs="宋体"/>
          <w:b/>
          <w:color w:val="auto"/>
          <w:sz w:val="36"/>
          <w:highlight w:val="none"/>
        </w:rPr>
      </w:pPr>
    </w:p>
    <w:p w14:paraId="2EE75C7A">
      <w:pPr>
        <w:rPr>
          <w:rFonts w:hAnsi="宋体" w:cs="宋体"/>
          <w:b/>
          <w:color w:val="auto"/>
          <w:sz w:val="56"/>
          <w:szCs w:val="56"/>
          <w:highlight w:val="none"/>
        </w:rPr>
      </w:pPr>
    </w:p>
    <w:p w14:paraId="5986DFBD">
      <w:pPr>
        <w:jc w:val="center"/>
        <w:rPr>
          <w:rFonts w:hAnsi="宋体" w:cs="宋体"/>
          <w:b/>
          <w:color w:val="auto"/>
          <w:sz w:val="36"/>
          <w:szCs w:val="36"/>
          <w:highlight w:val="none"/>
        </w:rPr>
      </w:pPr>
      <w:r>
        <w:rPr>
          <w:rFonts w:hint="eastAsia" w:hAnsi="宋体" w:cs="宋体"/>
          <w:b/>
          <w:color w:val="auto"/>
          <w:sz w:val="56"/>
          <w:szCs w:val="56"/>
          <w:highlight w:val="none"/>
          <w:lang w:val="en-US" w:eastAsia="zh-CN"/>
        </w:rPr>
        <w:t>西安市网络内容规范普法活动</w:t>
      </w:r>
    </w:p>
    <w:p w14:paraId="73C6EA5F">
      <w:pPr>
        <w:spacing w:line="780" w:lineRule="auto"/>
        <w:jc w:val="center"/>
        <w:rPr>
          <w:rFonts w:hAnsi="宋体" w:cs="宋体"/>
          <w:b/>
          <w:color w:val="auto"/>
          <w:sz w:val="72"/>
          <w:szCs w:val="72"/>
          <w:highlight w:val="none"/>
        </w:rPr>
      </w:pPr>
    </w:p>
    <w:p w14:paraId="11EF1DBE">
      <w:pPr>
        <w:spacing w:line="780" w:lineRule="auto"/>
        <w:jc w:val="both"/>
        <w:rPr>
          <w:rFonts w:hint="eastAsia" w:hAnsi="宋体" w:cs="宋体"/>
          <w:b/>
          <w:color w:val="auto"/>
          <w:sz w:val="72"/>
          <w:szCs w:val="72"/>
          <w:highlight w:val="none"/>
        </w:rPr>
      </w:pPr>
    </w:p>
    <w:p w14:paraId="5F5DD791">
      <w:pPr>
        <w:spacing w:line="780" w:lineRule="auto"/>
        <w:jc w:val="center"/>
        <w:rPr>
          <w:rFonts w:hint="eastAsia" w:hAnsi="宋体" w:cs="宋体"/>
          <w:b/>
          <w:color w:val="auto"/>
          <w:sz w:val="72"/>
          <w:szCs w:val="72"/>
          <w:highlight w:val="none"/>
        </w:rPr>
      </w:pPr>
    </w:p>
    <w:p w14:paraId="1ACE69C5">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7919D16D">
      <w:pPr>
        <w:rPr>
          <w:rFonts w:hAnsi="宋体" w:cs="宋体"/>
          <w:color w:val="auto"/>
          <w:highlight w:val="none"/>
        </w:rPr>
      </w:pPr>
      <w:bookmarkStart w:id="0" w:name="_Toc363463325"/>
    </w:p>
    <w:p w14:paraId="16A70289">
      <w:pPr>
        <w:rPr>
          <w:rFonts w:hAnsi="宋体" w:cs="宋体"/>
          <w:color w:val="auto"/>
          <w:highlight w:val="none"/>
        </w:rPr>
      </w:pPr>
    </w:p>
    <w:p w14:paraId="5C49C9D0">
      <w:pPr>
        <w:rPr>
          <w:rFonts w:hAnsi="宋体" w:cs="宋体"/>
          <w:color w:val="auto"/>
          <w:highlight w:val="none"/>
        </w:rPr>
      </w:pPr>
    </w:p>
    <w:bookmarkEnd w:id="0"/>
    <w:p w14:paraId="5408581C">
      <w:pPr>
        <w:rPr>
          <w:rFonts w:hAnsi="宋体" w:cs="宋体"/>
          <w:color w:val="auto"/>
          <w:sz w:val="18"/>
          <w:szCs w:val="18"/>
          <w:highlight w:val="none"/>
        </w:rPr>
      </w:pPr>
    </w:p>
    <w:p w14:paraId="08E41121">
      <w:pPr>
        <w:jc w:val="center"/>
        <w:rPr>
          <w:rFonts w:hAnsi="宋体" w:cs="宋体"/>
          <w:b/>
          <w:bCs/>
          <w:color w:val="auto"/>
          <w:sz w:val="32"/>
          <w:szCs w:val="32"/>
          <w:highlight w:val="none"/>
        </w:rPr>
      </w:pPr>
    </w:p>
    <w:p w14:paraId="12598404">
      <w:pPr>
        <w:pStyle w:val="8"/>
        <w:jc w:val="both"/>
        <w:rPr>
          <w:color w:val="auto"/>
          <w:highlight w:val="none"/>
        </w:rPr>
      </w:pPr>
    </w:p>
    <w:p w14:paraId="4F8AE926">
      <w:pPr>
        <w:jc w:val="center"/>
        <w:rPr>
          <w:rFonts w:hint="eastAsia" w:hAnsi="宋体" w:cs="宋体"/>
          <w:b/>
          <w:bCs/>
          <w:color w:val="auto"/>
          <w:sz w:val="32"/>
          <w:szCs w:val="32"/>
          <w:highlight w:val="none"/>
        </w:rPr>
      </w:pPr>
    </w:p>
    <w:p w14:paraId="3D3E308A">
      <w:pPr>
        <w:jc w:val="center"/>
        <w:rPr>
          <w:rFonts w:hAnsi="宋体" w:cs="宋体"/>
          <w:b/>
          <w:bCs/>
          <w:color w:val="auto"/>
          <w:sz w:val="32"/>
          <w:szCs w:val="32"/>
          <w:highlight w:val="none"/>
        </w:rPr>
      </w:pPr>
      <w:r>
        <w:rPr>
          <w:rFonts w:hint="eastAsia" w:hAnsi="宋体" w:cs="宋体"/>
          <w:b/>
          <w:bCs/>
          <w:color w:val="auto"/>
          <w:sz w:val="32"/>
          <w:szCs w:val="32"/>
          <w:highlight w:val="none"/>
        </w:rPr>
        <w:t>陕西至诚项目管理集团有限公司</w:t>
      </w:r>
    </w:p>
    <w:p w14:paraId="2FC31B0E">
      <w:pPr>
        <w:pStyle w:val="9"/>
        <w:ind w:left="0" w:leftChars="0" w:firstLine="0" w:firstLineChars="0"/>
        <w:jc w:val="center"/>
        <w:rPr>
          <w:b/>
          <w:bCs/>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b/>
          <w:bCs/>
          <w:color w:val="auto"/>
          <w:sz w:val="32"/>
          <w:szCs w:val="32"/>
          <w:highlight w:val="none"/>
        </w:rPr>
        <w:t>二〇二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八</w:t>
      </w:r>
      <w:r>
        <w:rPr>
          <w:rFonts w:hint="eastAsia"/>
          <w:b/>
          <w:bCs/>
          <w:color w:val="auto"/>
          <w:sz w:val="32"/>
          <w:szCs w:val="32"/>
          <w:highlight w:val="none"/>
        </w:rPr>
        <w:t>月</w:t>
      </w:r>
    </w:p>
    <w:p w14:paraId="2CD5B259">
      <w:pPr>
        <w:rPr>
          <w:rFonts w:hAnsi="宋体" w:cs="宋体"/>
          <w:color w:val="auto"/>
          <w:highlight w:val="none"/>
        </w:rPr>
      </w:pPr>
    </w:p>
    <w:p w14:paraId="71F604AF">
      <w:pPr>
        <w:jc w:val="center"/>
        <w:rPr>
          <w:rFonts w:hAnsi="宋体" w:cs="宋体"/>
          <w:b/>
          <w:color w:val="auto"/>
          <w:sz w:val="44"/>
          <w:szCs w:val="44"/>
          <w:highlight w:val="none"/>
        </w:rPr>
      </w:pPr>
      <w:r>
        <w:rPr>
          <w:rFonts w:hint="eastAsia" w:hAnsi="宋体" w:cs="宋体"/>
          <w:b/>
          <w:color w:val="auto"/>
          <w:sz w:val="44"/>
          <w:szCs w:val="44"/>
          <w:highlight w:val="none"/>
        </w:rPr>
        <w:t>目 录</w:t>
      </w:r>
    </w:p>
    <w:p w14:paraId="4699D3A8">
      <w:pPr>
        <w:jc w:val="center"/>
        <w:rPr>
          <w:color w:val="auto"/>
          <w:highlight w:val="none"/>
        </w:rPr>
      </w:pPr>
      <w:bookmarkStart w:id="1" w:name="_Toc20858"/>
      <w:bookmarkStart w:id="2" w:name="_Toc19886"/>
      <w:bookmarkStart w:id="3" w:name="_Toc5293"/>
      <w:bookmarkStart w:id="4" w:name="_Toc21518"/>
      <w:bookmarkStart w:id="5" w:name="_Toc389582033"/>
      <w:bookmarkStart w:id="6" w:name="_Toc16218"/>
      <w:bookmarkStart w:id="7" w:name="_Toc20652"/>
      <w:bookmarkStart w:id="8" w:name="_Toc27420"/>
      <w:bookmarkStart w:id="9" w:name="_Toc363474016"/>
      <w:bookmarkStart w:id="10" w:name="_Toc403077638"/>
      <w:bookmarkStart w:id="11" w:name="_Toc363473971"/>
    </w:p>
    <w:p w14:paraId="72101B57">
      <w:pPr>
        <w:pStyle w:val="16"/>
        <w:tabs>
          <w:tab w:val="right" w:leader="dot" w:pos="8787"/>
        </w:tabs>
        <w:rPr>
          <w:sz w:val="28"/>
          <w:szCs w:val="21"/>
          <w:highlight w:val="none"/>
        </w:rPr>
      </w:pPr>
      <w:r>
        <w:rPr>
          <w:rFonts w:hint="eastAsia" w:hAnsi="宋体" w:cs="宋体"/>
          <w:bCs/>
          <w:color w:val="auto"/>
          <w:sz w:val="32"/>
          <w:szCs w:val="32"/>
          <w:highlight w:val="none"/>
        </w:rPr>
        <w:fldChar w:fldCharType="begin"/>
      </w:r>
      <w:r>
        <w:rPr>
          <w:rFonts w:hint="eastAsia" w:hAnsi="宋体" w:cs="宋体"/>
          <w:bCs/>
          <w:color w:val="auto"/>
          <w:sz w:val="32"/>
          <w:szCs w:val="32"/>
          <w:highlight w:val="none"/>
        </w:rPr>
        <w:instrText xml:space="preserve">TOC \o "1-3" \h \u </w:instrText>
      </w:r>
      <w:r>
        <w:rPr>
          <w:rFonts w:hint="eastAsia" w:hAnsi="宋体" w:cs="宋体"/>
          <w:bCs/>
          <w:color w:val="auto"/>
          <w:sz w:val="32"/>
          <w:szCs w:val="32"/>
          <w:highlight w:val="none"/>
        </w:rPr>
        <w:fldChar w:fldCharType="separate"/>
      </w: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_Toc19312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_Toc19312 \h </w:instrText>
      </w:r>
      <w:r>
        <w:rPr>
          <w:sz w:val="28"/>
          <w:szCs w:val="21"/>
          <w:highlight w:val="none"/>
        </w:rPr>
        <w:fldChar w:fldCharType="separate"/>
      </w:r>
      <w:r>
        <w:rPr>
          <w:sz w:val="28"/>
          <w:szCs w:val="21"/>
          <w:highlight w:val="none"/>
        </w:rPr>
        <w:t>1</w:t>
      </w:r>
      <w:r>
        <w:rPr>
          <w:sz w:val="28"/>
          <w:szCs w:val="21"/>
          <w:highlight w:val="none"/>
        </w:rPr>
        <w:fldChar w:fldCharType="end"/>
      </w:r>
      <w:r>
        <w:rPr>
          <w:rFonts w:hint="eastAsia" w:hAnsi="宋体" w:cs="宋体"/>
          <w:bCs/>
          <w:color w:val="auto"/>
          <w:sz w:val="28"/>
          <w:szCs w:val="32"/>
          <w:highlight w:val="none"/>
        </w:rPr>
        <w:fldChar w:fldCharType="end"/>
      </w:r>
    </w:p>
    <w:p w14:paraId="6D710297">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_Toc5958 </w:instrText>
      </w:r>
      <w:r>
        <w:rPr>
          <w:rFonts w:hint="eastAsia" w:hAnsi="宋体" w:cs="宋体"/>
          <w:bCs/>
          <w:sz w:val="28"/>
          <w:szCs w:val="32"/>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_Toc5958 \h </w:instrText>
      </w:r>
      <w:r>
        <w:rPr>
          <w:sz w:val="28"/>
          <w:szCs w:val="21"/>
          <w:highlight w:val="none"/>
        </w:rPr>
        <w:fldChar w:fldCharType="separate"/>
      </w:r>
      <w:r>
        <w:rPr>
          <w:sz w:val="28"/>
          <w:szCs w:val="21"/>
          <w:highlight w:val="none"/>
        </w:rPr>
        <w:t>5</w:t>
      </w:r>
      <w:r>
        <w:rPr>
          <w:sz w:val="28"/>
          <w:szCs w:val="21"/>
          <w:highlight w:val="none"/>
        </w:rPr>
        <w:fldChar w:fldCharType="end"/>
      </w:r>
      <w:r>
        <w:rPr>
          <w:rFonts w:hint="eastAsia" w:hAnsi="宋体" w:cs="宋体"/>
          <w:bCs/>
          <w:color w:val="auto"/>
          <w:sz w:val="28"/>
          <w:szCs w:val="32"/>
          <w:highlight w:val="none"/>
        </w:rPr>
        <w:fldChar w:fldCharType="end"/>
      </w:r>
    </w:p>
    <w:p w14:paraId="1D3DB776">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_Toc11536 </w:instrText>
      </w:r>
      <w:r>
        <w:rPr>
          <w:rFonts w:hint="eastAsia" w:hAnsi="宋体" w:cs="宋体"/>
          <w:bCs/>
          <w:sz w:val="28"/>
          <w:szCs w:val="32"/>
          <w:highlight w:val="none"/>
        </w:rPr>
        <w:fldChar w:fldCharType="separate"/>
      </w:r>
      <w:r>
        <w:rPr>
          <w:rFonts w:hint="eastAsia" w:ascii="宋体" w:eastAsia="宋体" w:cs="宋体"/>
          <w:sz w:val="28"/>
          <w:szCs w:val="21"/>
          <w:highlight w:val="none"/>
        </w:rPr>
        <w:t xml:space="preserve">第三章 </w:t>
      </w:r>
      <w:r>
        <w:rPr>
          <w:rFonts w:hint="eastAsia" w:cs="宋体"/>
          <w:sz w:val="28"/>
          <w:szCs w:val="21"/>
          <w:highlight w:val="none"/>
          <w:lang w:val="en-US" w:eastAsia="zh-CN"/>
        </w:rPr>
        <w:t xml:space="preserve"> </w:t>
      </w:r>
      <w:r>
        <w:rPr>
          <w:rFonts w:hint="eastAsia" w:asci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_Toc11536 \h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hAnsi="宋体" w:cs="宋体"/>
          <w:bCs/>
          <w:color w:val="auto"/>
          <w:sz w:val="28"/>
          <w:szCs w:val="32"/>
          <w:highlight w:val="none"/>
        </w:rPr>
        <w:fldChar w:fldCharType="end"/>
      </w:r>
    </w:p>
    <w:p w14:paraId="1BAB869D">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_Toc2724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_Toc2724 \h </w:instrText>
      </w:r>
      <w:r>
        <w:rPr>
          <w:sz w:val="28"/>
          <w:szCs w:val="21"/>
          <w:highlight w:val="none"/>
        </w:rPr>
        <w:fldChar w:fldCharType="separate"/>
      </w:r>
      <w:r>
        <w:rPr>
          <w:sz w:val="28"/>
          <w:szCs w:val="21"/>
          <w:highlight w:val="none"/>
        </w:rPr>
        <w:t>31</w:t>
      </w:r>
      <w:r>
        <w:rPr>
          <w:sz w:val="28"/>
          <w:szCs w:val="21"/>
          <w:highlight w:val="none"/>
        </w:rPr>
        <w:fldChar w:fldCharType="end"/>
      </w:r>
      <w:r>
        <w:rPr>
          <w:rFonts w:hint="eastAsia" w:hAnsi="宋体" w:cs="宋体"/>
          <w:bCs/>
          <w:color w:val="auto"/>
          <w:sz w:val="28"/>
          <w:szCs w:val="32"/>
          <w:highlight w:val="none"/>
        </w:rPr>
        <w:fldChar w:fldCharType="end"/>
      </w:r>
    </w:p>
    <w:p w14:paraId="6E317B7F">
      <w:pPr>
        <w:pStyle w:val="16"/>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_Toc8072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_Toc8072 \h </w:instrText>
      </w:r>
      <w:r>
        <w:rPr>
          <w:sz w:val="28"/>
          <w:szCs w:val="21"/>
          <w:highlight w:val="none"/>
        </w:rPr>
        <w:fldChar w:fldCharType="separate"/>
      </w:r>
      <w:r>
        <w:rPr>
          <w:sz w:val="28"/>
          <w:szCs w:val="21"/>
          <w:highlight w:val="none"/>
        </w:rPr>
        <w:t>38</w:t>
      </w:r>
      <w:r>
        <w:rPr>
          <w:sz w:val="28"/>
          <w:szCs w:val="21"/>
          <w:highlight w:val="none"/>
        </w:rPr>
        <w:fldChar w:fldCharType="end"/>
      </w:r>
      <w:r>
        <w:rPr>
          <w:rFonts w:hint="eastAsia" w:hAnsi="宋体" w:cs="宋体"/>
          <w:bCs/>
          <w:color w:val="auto"/>
          <w:sz w:val="28"/>
          <w:szCs w:val="32"/>
          <w:highlight w:val="none"/>
        </w:rPr>
        <w:fldChar w:fldCharType="end"/>
      </w:r>
    </w:p>
    <w:p w14:paraId="0F2A7F9E">
      <w:pPr>
        <w:pStyle w:val="16"/>
        <w:tabs>
          <w:tab w:val="right" w:leader="dot" w:pos="8787"/>
        </w:tabs>
        <w:rPr>
          <w:rFonts w:hint="eastAsia" w:eastAsia="宋体"/>
          <w:sz w:val="28"/>
          <w:szCs w:val="21"/>
          <w:highlight w:val="none"/>
          <w:lang w:val="en-US" w:eastAsia="zh-CN"/>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_Toc16389 </w:instrText>
      </w:r>
      <w:r>
        <w:rPr>
          <w:rFonts w:hint="eastAsia" w:hAnsi="宋体" w:cs="宋体"/>
          <w:bCs/>
          <w:sz w:val="28"/>
          <w:szCs w:val="32"/>
          <w:highlight w:val="none"/>
        </w:rPr>
        <w:fldChar w:fldCharType="separate"/>
      </w:r>
      <w:r>
        <w:rPr>
          <w:rFonts w:hint="eastAsia" w:ascii="宋体" w:eastAsia="宋体" w:cs="宋体"/>
          <w:sz w:val="28"/>
          <w:szCs w:val="22"/>
          <w:highlight w:val="none"/>
        </w:rPr>
        <w:t>第六章  竞争性磋商响应文件格式</w:t>
      </w:r>
      <w:r>
        <w:rPr>
          <w:sz w:val="28"/>
          <w:szCs w:val="21"/>
          <w:highlight w:val="none"/>
        </w:rPr>
        <w:tab/>
      </w:r>
      <w:r>
        <w:rPr>
          <w:rFonts w:hint="eastAsia"/>
          <w:sz w:val="28"/>
          <w:szCs w:val="21"/>
          <w:highlight w:val="none"/>
          <w:lang w:val="en-US" w:eastAsia="zh-CN"/>
        </w:rPr>
        <w:t>4</w:t>
      </w:r>
      <w:r>
        <w:rPr>
          <w:rFonts w:hint="eastAsia" w:hAnsi="宋体" w:cs="宋体"/>
          <w:bCs/>
          <w:color w:val="auto"/>
          <w:sz w:val="28"/>
          <w:szCs w:val="32"/>
          <w:highlight w:val="none"/>
        </w:rPr>
        <w:fldChar w:fldCharType="end"/>
      </w:r>
      <w:r>
        <w:rPr>
          <w:rFonts w:hint="eastAsia" w:hAnsi="宋体" w:cs="宋体"/>
          <w:bCs/>
          <w:color w:val="auto"/>
          <w:sz w:val="28"/>
          <w:szCs w:val="32"/>
          <w:highlight w:val="none"/>
          <w:lang w:val="en-US" w:eastAsia="zh-CN"/>
        </w:rPr>
        <w:t>1</w:t>
      </w:r>
    </w:p>
    <w:p w14:paraId="1C3A9A11">
      <w:pPr>
        <w:pStyle w:val="16"/>
        <w:tabs>
          <w:tab w:val="right" w:leader="dot" w:pos="8302"/>
        </w:tabs>
        <w:spacing w:line="360" w:lineRule="auto"/>
        <w:rPr>
          <w:rFonts w:hAnsi="宋体" w:cs="宋体"/>
          <w:bCs/>
          <w:color w:val="auto"/>
          <w:sz w:val="36"/>
          <w:szCs w:val="36"/>
          <w:highlight w:val="none"/>
        </w:rPr>
      </w:pPr>
      <w:r>
        <w:rPr>
          <w:rFonts w:hint="eastAsia" w:hAnsi="宋体" w:cs="宋体"/>
          <w:bCs/>
          <w:color w:val="auto"/>
          <w:sz w:val="28"/>
          <w:szCs w:val="32"/>
          <w:highlight w:val="none"/>
        </w:rPr>
        <w:fldChar w:fldCharType="end"/>
      </w:r>
    </w:p>
    <w:p w14:paraId="20178623">
      <w:pPr>
        <w:pStyle w:val="2"/>
        <w:spacing w:beforeLines="100"/>
        <w:jc w:val="center"/>
        <w:rPr>
          <w:rFonts w:ascii="宋体" w:eastAsia="宋体" w:cs="宋体"/>
          <w:bCs/>
          <w:color w:val="auto"/>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0815BC85">
      <w:pPr>
        <w:pStyle w:val="2"/>
        <w:keepNext w:val="0"/>
        <w:keepLines/>
        <w:pageBreakBefore/>
        <w:spacing w:beforeLines="50" w:afterLines="50" w:line="360" w:lineRule="auto"/>
        <w:jc w:val="center"/>
        <w:rPr>
          <w:rFonts w:ascii="宋体" w:eastAsia="宋体" w:cs="宋体"/>
          <w:bCs/>
          <w:color w:val="auto"/>
          <w:sz w:val="36"/>
          <w:szCs w:val="36"/>
          <w:highlight w:val="none"/>
        </w:rPr>
      </w:pPr>
      <w:bookmarkStart w:id="12" w:name="_Toc19312"/>
      <w:bookmarkStart w:id="13" w:name="_Toc25782"/>
      <w:bookmarkStart w:id="14" w:name="_Toc2705"/>
      <w:bookmarkStart w:id="15" w:name="_Toc423973071"/>
      <w:r>
        <w:rPr>
          <w:rFonts w:hint="eastAsia" w:ascii="宋体" w:eastAsia="宋体" w:cs="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 w:val="36"/>
          <w:szCs w:val="36"/>
          <w:highlight w:val="none"/>
        </w:rPr>
        <w:t>竞争性磋商公告</w:t>
      </w:r>
      <w:bookmarkEnd w:id="8"/>
      <w:bookmarkEnd w:id="12"/>
      <w:bookmarkEnd w:id="13"/>
      <w:bookmarkEnd w:id="14"/>
      <w:bookmarkEnd w:id="15"/>
    </w:p>
    <w:p w14:paraId="631FC340">
      <w:pPr>
        <w:pStyle w:val="42"/>
        <w:spacing w:line="360" w:lineRule="auto"/>
        <w:outlineLvl w:val="5"/>
        <w:rPr>
          <w:rFonts w:hint="eastAsia" w:ascii="宋体" w:hAnsi="宋体" w:eastAsia="宋体" w:cs="宋体"/>
          <w:sz w:val="24"/>
          <w:szCs w:val="24"/>
        </w:rPr>
      </w:pPr>
      <w:bookmarkStart w:id="16" w:name="_Toc2929"/>
      <w:bookmarkStart w:id="17" w:name="_Toc389582035"/>
      <w:bookmarkStart w:id="18" w:name="_Toc29249"/>
      <w:bookmarkStart w:id="19" w:name="_Toc423973072"/>
      <w:r>
        <w:rPr>
          <w:rFonts w:hint="eastAsia" w:ascii="宋体" w:hAnsi="宋体" w:eastAsia="宋体" w:cs="宋体"/>
          <w:b/>
          <w:sz w:val="24"/>
          <w:szCs w:val="24"/>
        </w:rPr>
        <w:t>项目概况</w:t>
      </w:r>
    </w:p>
    <w:p w14:paraId="5DB722FA">
      <w:pPr>
        <w:pStyle w:val="4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西安市网络内容规范普法活动</w:t>
      </w:r>
      <w:r>
        <w:rPr>
          <w:rFonts w:hint="eastAsia" w:ascii="宋体" w:hAnsi="宋体" w:eastAsia="宋体" w:cs="宋体"/>
          <w:sz w:val="24"/>
          <w:szCs w:val="24"/>
        </w:rPr>
        <w:t>采购项目的潜在供应商应在陕西省西安市经济技术开发区未央路171-1号银池道拉斯财富中心21楼03室获取采购文件，并于2025年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分（北京时间）前提交响应文件。</w:t>
      </w:r>
    </w:p>
    <w:p w14:paraId="0A1E2AFD">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72FE0A8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项目编号：SXZCZB2025-ZCCS-0811</w:t>
      </w:r>
    </w:p>
    <w:p w14:paraId="2FFE50BA">
      <w:pPr>
        <w:pStyle w:val="42"/>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西安市网络内容规范普法活动</w:t>
      </w:r>
    </w:p>
    <w:p w14:paraId="4140E58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采购方式：竞争性磋商</w:t>
      </w:r>
      <w:bookmarkStart w:id="293" w:name="_GoBack"/>
      <w:bookmarkEnd w:id="293"/>
    </w:p>
    <w:p w14:paraId="380EC5E2">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27</w:t>
      </w:r>
      <w:r>
        <w:rPr>
          <w:rFonts w:hint="eastAsia" w:ascii="宋体" w:hAnsi="宋体" w:eastAsia="宋体" w:cs="宋体"/>
          <w:sz w:val="24"/>
          <w:szCs w:val="24"/>
        </w:rPr>
        <w:t>0,000.00元</w:t>
      </w:r>
    </w:p>
    <w:p w14:paraId="2BEE1F7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3D934EE4">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西安市网络内容规范普法活动</w:t>
      </w:r>
      <w:r>
        <w:rPr>
          <w:rFonts w:hint="eastAsia" w:ascii="宋体" w:hAnsi="宋体" w:eastAsia="宋体" w:cs="宋体"/>
          <w:sz w:val="24"/>
          <w:szCs w:val="24"/>
        </w:rPr>
        <w:t>):</w:t>
      </w:r>
    </w:p>
    <w:p w14:paraId="74602AB5">
      <w:pPr>
        <w:pStyle w:val="42"/>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val="en-US" w:eastAsia="zh-CN"/>
        </w:rPr>
        <w:t>27</w:t>
      </w:r>
      <w:r>
        <w:rPr>
          <w:rFonts w:hint="eastAsia" w:ascii="宋体" w:hAnsi="宋体" w:eastAsia="宋体" w:cs="宋体"/>
          <w:sz w:val="24"/>
          <w:szCs w:val="24"/>
        </w:rPr>
        <w:t>0,000.00元</w:t>
      </w:r>
    </w:p>
    <w:p w14:paraId="4ADFE701">
      <w:pPr>
        <w:pStyle w:val="42"/>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w:t>
      </w:r>
      <w:r>
        <w:rPr>
          <w:rFonts w:hint="eastAsia" w:ascii="宋体" w:hAnsi="宋体" w:eastAsia="宋体" w:cs="宋体"/>
          <w:sz w:val="24"/>
          <w:szCs w:val="24"/>
          <w:lang w:val="en-US" w:eastAsia="zh-CN"/>
        </w:rPr>
        <w:t>27</w:t>
      </w:r>
      <w:r>
        <w:rPr>
          <w:rFonts w:hint="eastAsia" w:ascii="宋体" w:hAnsi="宋体" w:eastAsia="宋体" w:cs="宋体"/>
          <w:sz w:val="24"/>
          <w:szCs w:val="24"/>
        </w:rPr>
        <w:t>0,000.00元</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37"/>
        <w:gridCol w:w="1537"/>
        <w:gridCol w:w="1537"/>
        <w:gridCol w:w="1537"/>
        <w:gridCol w:w="1537"/>
        <w:gridCol w:w="1572"/>
      </w:tblGrid>
      <w:tr w14:paraId="4634F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7" w:type="dxa"/>
            <w:vAlign w:val="center"/>
          </w:tcPr>
          <w:p w14:paraId="6BBB5338">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537" w:type="dxa"/>
            <w:vAlign w:val="center"/>
          </w:tcPr>
          <w:p w14:paraId="2B4443CB">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537" w:type="dxa"/>
            <w:vAlign w:val="center"/>
          </w:tcPr>
          <w:p w14:paraId="26AB9C7A">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537" w:type="dxa"/>
            <w:vAlign w:val="center"/>
          </w:tcPr>
          <w:p w14:paraId="016B3615">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537" w:type="dxa"/>
            <w:vAlign w:val="center"/>
          </w:tcPr>
          <w:p w14:paraId="5AFE2942">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572" w:type="dxa"/>
            <w:vAlign w:val="center"/>
          </w:tcPr>
          <w:p w14:paraId="3BF894EF">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60B50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7" w:type="dxa"/>
            <w:vAlign w:val="center"/>
          </w:tcPr>
          <w:p w14:paraId="3A115C7F">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537" w:type="dxa"/>
            <w:vAlign w:val="center"/>
          </w:tcPr>
          <w:p w14:paraId="55782627">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公共信息服务</w:t>
            </w:r>
          </w:p>
        </w:tc>
        <w:tc>
          <w:tcPr>
            <w:tcW w:w="1537" w:type="dxa"/>
            <w:vAlign w:val="center"/>
          </w:tcPr>
          <w:p w14:paraId="2686104C">
            <w:pPr>
              <w:pStyle w:val="42"/>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西安市网络内容规范普法活动</w:t>
            </w:r>
          </w:p>
        </w:tc>
        <w:tc>
          <w:tcPr>
            <w:tcW w:w="1537" w:type="dxa"/>
            <w:vAlign w:val="center"/>
          </w:tcPr>
          <w:p w14:paraId="1D25D36A">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1(项)</w:t>
            </w:r>
          </w:p>
        </w:tc>
        <w:tc>
          <w:tcPr>
            <w:tcW w:w="1537" w:type="dxa"/>
            <w:vAlign w:val="center"/>
          </w:tcPr>
          <w:p w14:paraId="6BCBCE0A">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572" w:type="dxa"/>
            <w:vAlign w:val="center"/>
          </w:tcPr>
          <w:p w14:paraId="62F689CE">
            <w:pPr>
              <w:pStyle w:val="42"/>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0,000.00</w:t>
            </w:r>
          </w:p>
        </w:tc>
      </w:tr>
    </w:tbl>
    <w:p w14:paraId="5EF67F63">
      <w:pPr>
        <w:pStyle w:val="42"/>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5867FF6D">
      <w:pPr>
        <w:pStyle w:val="42"/>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795D862C">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4002E64D">
      <w:pPr>
        <w:pStyle w:val="42"/>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791DF9C">
      <w:pPr>
        <w:pStyle w:val="42"/>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0561308D">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西安市网络内容规范普法活动</w:t>
      </w:r>
      <w:r>
        <w:rPr>
          <w:rFonts w:hint="eastAsia" w:ascii="宋体" w:hAnsi="宋体" w:eastAsia="宋体" w:cs="宋体"/>
          <w:sz w:val="24"/>
          <w:szCs w:val="24"/>
        </w:rPr>
        <w:t>)落实政府采购政策需满足的资格要求如下:</w:t>
      </w:r>
    </w:p>
    <w:p w14:paraId="3FC34C74">
      <w:pPr>
        <w:pStyle w:val="42"/>
        <w:spacing w:line="360" w:lineRule="auto"/>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（7）财政部发展改革委生态环境部市场监管总局关于调整优化节能产品、环境标志产品政府采购执行机制的通知（财库〔2019〕9号）；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（9）《关于印发节能产品政府采购品目清单的通知》--（财库〔2019〕19号）；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（10）《关于发布参与实施政府采购节能产品、环境标志产品认证机构名录的公告》—2019年第16号；</w:t>
      </w:r>
      <w:r>
        <w:rPr>
          <w:rFonts w:hint="eastAsia" w:ascii="宋体" w:hAnsi="宋体" w:eastAsia="宋体" w:cs="宋体"/>
          <w:sz w:val="24"/>
          <w:szCs w:val="24"/>
        </w:rPr>
        <w:br w:type="textWrapping"/>
      </w:r>
      <w:r>
        <w:rPr>
          <w:rFonts w:hint="eastAsia" w:ascii="宋体" w:hAnsi="宋体" w:eastAsia="宋体" w:cs="宋体"/>
          <w:sz w:val="24"/>
          <w:szCs w:val="24"/>
        </w:rPr>
        <w:t>（11）《关于运用政府采购政策支持乡村产业振兴的通知》（财库〔2021〕19号）；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（14）《关于进一步加强政府绿色采购有关问题的通知》（陕财办采〔2021〕29号）；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（15）《陕西省财政厅陕西省工业和信息化厅关于运用政府采购政策支持首台（套）及创新产品有关事项的通知》（陕财办采〔2021〕17号）；</w:t>
      </w:r>
      <w:r>
        <w:rPr>
          <w:rFonts w:hint="eastAsia" w:ascii="宋体" w:hAnsi="宋体" w:eastAsia="宋体" w:cs="宋体"/>
          <w:sz w:val="24"/>
          <w:szCs w:val="24"/>
        </w:rPr>
        <w:br w:type="textWrapping"/>
      </w:r>
      <w:r>
        <w:rPr>
          <w:rFonts w:hint="eastAsia" w:ascii="宋体" w:hAnsi="宋体" w:eastAsia="宋体" w:cs="宋体"/>
          <w:sz w:val="24"/>
          <w:szCs w:val="24"/>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rPr>
        <w:br w:type="textWrapping"/>
      </w:r>
      <w:r>
        <w:rPr>
          <w:rFonts w:hint="eastAsia" w:ascii="宋体" w:hAnsi="宋体" w:eastAsia="宋体" w:cs="宋体"/>
          <w:sz w:val="24"/>
          <w:szCs w:val="24"/>
        </w:rPr>
        <w:t>（17）其他需要落实的政府采购政策。</w:t>
      </w:r>
    </w:p>
    <w:p w14:paraId="56679416">
      <w:pPr>
        <w:pStyle w:val="42"/>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26F88F4">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西安市网络内容规范普法活动</w:t>
      </w:r>
      <w:r>
        <w:rPr>
          <w:rFonts w:hint="eastAsia" w:ascii="宋体" w:hAnsi="宋体" w:eastAsia="宋体" w:cs="宋体"/>
          <w:sz w:val="24"/>
          <w:szCs w:val="24"/>
        </w:rPr>
        <w:t>)特定资格要求如下:</w:t>
      </w:r>
    </w:p>
    <w:p w14:paraId="2751DA0C">
      <w:pPr>
        <w:pStyle w:val="42"/>
        <w:numPr>
          <w:ilvl w:val="0"/>
          <w:numId w:val="0"/>
        </w:numPr>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 xml:space="preserve">提供合格有效的法人或者其他组织的营业执照等证明文件，自然人的身份证明； </w:t>
      </w:r>
      <w:r>
        <w:rPr>
          <w:rFonts w:hint="eastAsia" w:ascii="宋体" w:hAnsi="宋体" w:eastAsia="宋体" w:cs="宋体"/>
          <w:sz w:val="24"/>
          <w:szCs w:val="24"/>
        </w:rPr>
        <w:br w:type="textWrapping"/>
      </w:r>
      <w:r>
        <w:rPr>
          <w:rFonts w:hint="eastAsia" w:ascii="宋体" w:hAnsi="宋体" w:eastAsia="宋体" w:cs="宋体"/>
          <w:sz w:val="24"/>
          <w:szCs w:val="24"/>
        </w:rPr>
        <w:t xml:space="preserve">（2）提供法定代表人授权书（附法定代表人、被授权人身份证复印件）及被授权人身份证原件（法定代表人直接参加投标，须提供法定代表人身份证明及身份证原件）； </w:t>
      </w:r>
      <w:r>
        <w:rPr>
          <w:rFonts w:hint="eastAsia" w:ascii="宋体" w:hAnsi="宋体" w:eastAsia="宋体" w:cs="宋体"/>
          <w:sz w:val="24"/>
          <w:szCs w:val="24"/>
        </w:rPr>
        <w:br w:type="textWrapping"/>
      </w:r>
      <w:r>
        <w:rPr>
          <w:rFonts w:hint="eastAsia" w:ascii="宋体" w:hAnsi="宋体" w:eastAsia="宋体" w:cs="宋体"/>
          <w:sz w:val="24"/>
          <w:szCs w:val="24"/>
        </w:rPr>
        <w:t xml:space="preserve">（3）财务状况报告：提供 2024 年度的财务审计报告（成立时间至提交磋商响应文件截止时间不足一年的可提供成立后任意时段的资产负债表），或开标时间前六个月内银行出具的资信证明； </w:t>
      </w:r>
      <w:r>
        <w:rPr>
          <w:rFonts w:hint="eastAsia" w:ascii="宋体" w:hAnsi="宋体" w:eastAsia="宋体" w:cs="宋体"/>
          <w:sz w:val="24"/>
          <w:szCs w:val="24"/>
        </w:rPr>
        <w:br w:type="textWrapping"/>
      </w:r>
      <w:r>
        <w:rPr>
          <w:rFonts w:hint="eastAsia" w:ascii="宋体" w:hAnsi="宋体" w:eastAsia="宋体" w:cs="宋体"/>
          <w:sz w:val="24"/>
          <w:szCs w:val="24"/>
        </w:rPr>
        <w:t xml:space="preserve">（4）税收缴纳证明：提供磋商响应文件截止日前任意一个月的纳税证明或完税证明（任意税种），依法免税的单位应提供相关证明材料;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（5）社会保障资金缴纳证明：提供磋商响应文件截止日前任意一个月的社会保障资金缴存单据或社保机构开具的社会保险参保缴费情况证明，依法不需要缴纳社会保障资金的单位应提供相关证明材料；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信用中国”网站下载的《信用信息报告》； </w:t>
      </w:r>
      <w:r>
        <w:rPr>
          <w:rFonts w:hint="eastAsia" w:ascii="宋体" w:hAnsi="宋体" w:eastAsia="宋体" w:cs="宋体"/>
          <w:sz w:val="24"/>
          <w:szCs w:val="24"/>
        </w:rPr>
        <w:br w:type="textWrapping"/>
      </w:r>
      <w:r>
        <w:rPr>
          <w:rFonts w:hint="eastAsia" w:ascii="宋体" w:hAnsi="宋体" w:eastAsia="宋体" w:cs="宋体"/>
          <w:sz w:val="24"/>
          <w:szCs w:val="24"/>
        </w:rPr>
        <w:t xml:space="preserve">（7）参加政府采购活动前 3 年内，在经营活动中没有重大违法记录的书面声明；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（8）提供具有履行合同所必需的设备和专业技术能力的承诺函；</w:t>
      </w:r>
    </w:p>
    <w:p w14:paraId="7BE2A1C2">
      <w:pPr>
        <w:pStyle w:val="42"/>
        <w:numPr>
          <w:ilvl w:val="0"/>
          <w:numId w:val="0"/>
        </w:numPr>
        <w:spacing w:line="360" w:lineRule="auto"/>
        <w:ind w:left="480" w:leftChars="0"/>
        <w:rPr>
          <w:rFonts w:hint="eastAsia" w:ascii="宋体" w:hAnsi="宋体" w:eastAsia="宋体" w:cs="宋体"/>
          <w:sz w:val="24"/>
          <w:szCs w:val="24"/>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9</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供应商提供中小企业声明函；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）本项目不接受联合体磋商（需提供承诺书）。</w:t>
      </w:r>
    </w:p>
    <w:p w14:paraId="33ACFF8E">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36095561">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时间： 2025年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 至 2025年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 ，每天上午 09:00:00 至 12:00:00 ，下午 14:00:00 至 17:00:00 （北京时间）</w:t>
      </w:r>
    </w:p>
    <w:p w14:paraId="1CAC6D35">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途径：陕西省西安市经济技术开发区未央路171-1号银池道拉斯财富中心21楼03室</w:t>
      </w:r>
    </w:p>
    <w:p w14:paraId="301D342E">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方式：现场获取</w:t>
      </w:r>
    </w:p>
    <w:p w14:paraId="352AB8CB">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售价：0元</w:t>
      </w:r>
    </w:p>
    <w:p w14:paraId="34435E2F">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782B0DF3">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截止时间： 2025年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时00分00秒 （北京时间）</w:t>
      </w:r>
    </w:p>
    <w:p w14:paraId="3C2BE955">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28C0DA6A">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0228C7E9">
      <w:pPr>
        <w:pStyle w:val="42"/>
        <w:spacing w:line="360" w:lineRule="auto"/>
        <w:rPr>
          <w:rFonts w:hint="eastAsia" w:ascii="宋体" w:hAnsi="宋体" w:eastAsia="宋体" w:cs="宋体"/>
          <w:sz w:val="24"/>
          <w:szCs w:val="24"/>
        </w:rPr>
      </w:pPr>
      <w:r>
        <w:rPr>
          <w:rFonts w:hint="eastAsia" w:ascii="宋体" w:hAnsi="宋体" w:eastAsia="宋体" w:cs="宋体"/>
          <w:sz w:val="24"/>
          <w:szCs w:val="24"/>
        </w:rPr>
        <w:t>时间： 2025年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15</w:t>
      </w:r>
      <w:r>
        <w:rPr>
          <w:rFonts w:hint="eastAsia" w:ascii="宋体" w:hAnsi="宋体" w:eastAsia="宋体" w:cs="宋体"/>
          <w:sz w:val="24"/>
          <w:szCs w:val="24"/>
        </w:rPr>
        <w:t>时00分00秒 （北京时间）</w:t>
      </w:r>
    </w:p>
    <w:p w14:paraId="753D35EF">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7232C6E0">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635B0909">
      <w:pPr>
        <w:pStyle w:val="42"/>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2FE2BC01">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0A53025B">
      <w:pPr>
        <w:pStyle w:val="42"/>
        <w:spacing w:line="360" w:lineRule="auto"/>
        <w:rPr>
          <w:rFonts w:hint="eastAsia" w:ascii="宋体" w:hAnsi="宋体" w:eastAsia="宋体" w:cs="宋体"/>
          <w:sz w:val="24"/>
          <w:szCs w:val="24"/>
        </w:rPr>
      </w:pPr>
      <w:r>
        <w:rPr>
          <w:rFonts w:hint="eastAsia" w:ascii="宋体" w:hAnsi="宋体" w:eastAsia="宋体" w:cs="宋体"/>
          <w:sz w:val="24"/>
          <w:szCs w:val="24"/>
          <w:shd w:val="clear" w:fill="FFFFFF"/>
        </w:rPr>
        <w:t>（1）供应商领取采购文件时，请携带单位介绍信及经办人身份证原件及复印件加盖公章；</w:t>
      </w:r>
    </w:p>
    <w:p w14:paraId="00D2B086">
      <w:pPr>
        <w:pStyle w:val="42"/>
        <w:spacing w:line="360" w:lineRule="auto"/>
        <w:jc w:val="both"/>
        <w:rPr>
          <w:rFonts w:hint="eastAsia" w:ascii="宋体" w:hAnsi="宋体" w:eastAsia="宋体" w:cs="宋体"/>
          <w:sz w:val="24"/>
          <w:szCs w:val="24"/>
        </w:rPr>
      </w:pPr>
      <w:r>
        <w:rPr>
          <w:rFonts w:hint="eastAsia" w:ascii="宋体" w:hAnsi="宋体" w:eastAsia="宋体" w:cs="宋体"/>
          <w:sz w:val="24"/>
          <w:szCs w:val="24"/>
          <w:shd w:val="clear" w:fill="FFFFFF"/>
        </w:rPr>
        <w:t>（2）请供应商按照《陕西省财政厅关于政府采购供应商注册登记有关事项的通知》中的要求，通过陕西省政府采购网（http://www.ccgp-shaanxi.gov.cn/）注册登记加入陕西省政府采购供应商库；</w:t>
      </w:r>
    </w:p>
    <w:p w14:paraId="27904A74">
      <w:pPr>
        <w:pStyle w:val="42"/>
        <w:spacing w:line="360" w:lineRule="auto"/>
        <w:jc w:val="both"/>
        <w:rPr>
          <w:rFonts w:hint="eastAsia" w:ascii="宋体" w:hAnsi="宋体" w:eastAsia="宋体" w:cs="宋体"/>
          <w:sz w:val="24"/>
          <w:szCs w:val="24"/>
        </w:rPr>
      </w:pPr>
      <w:r>
        <w:rPr>
          <w:rFonts w:hint="eastAsia" w:ascii="宋体" w:hAnsi="宋体" w:eastAsia="宋体" w:cs="宋体"/>
          <w:sz w:val="24"/>
          <w:szCs w:val="24"/>
          <w:shd w:val="clear" w:fill="FFFFFF"/>
        </w:rPr>
        <w:t>（3）本项目专门面向中小企业采购。</w:t>
      </w:r>
    </w:p>
    <w:p w14:paraId="52C98E37">
      <w:pPr>
        <w:pStyle w:val="42"/>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4A4F7A33">
      <w:pPr>
        <w:pStyle w:val="4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5269536A">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名称：中共西安市委网络安全和信息化委员会办公室</w:t>
      </w:r>
    </w:p>
    <w:p w14:paraId="73FD60F8">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地址：凤城八路99号</w:t>
      </w:r>
    </w:p>
    <w:p w14:paraId="381C1FF1">
      <w:pPr>
        <w:pStyle w:val="42"/>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029-86782935</w:t>
      </w:r>
    </w:p>
    <w:p w14:paraId="59EF1594">
      <w:pPr>
        <w:pStyle w:val="4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4D930E4B">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1C83CFD5">
      <w:pPr>
        <w:pStyle w:val="42"/>
        <w:spacing w:line="360" w:lineRule="auto"/>
        <w:rPr>
          <w:rFonts w:hint="eastAsia" w:ascii="宋体" w:hAnsi="宋体" w:eastAsia="宋体" w:cs="宋体"/>
          <w:sz w:val="24"/>
          <w:szCs w:val="24"/>
        </w:rPr>
      </w:pPr>
      <w:r>
        <w:rPr>
          <w:rFonts w:hint="eastAsia" w:ascii="宋体" w:hAnsi="宋体" w:eastAsia="宋体" w:cs="宋体"/>
          <w:sz w:val="24"/>
          <w:szCs w:val="24"/>
        </w:rPr>
        <w:t>地址：陕西省西安市经济技术开发区未央路171-1号银池道拉斯财富中心21楼03室</w:t>
      </w:r>
    </w:p>
    <w:p w14:paraId="414429AE">
      <w:pPr>
        <w:pStyle w:val="42"/>
        <w:spacing w:line="360" w:lineRule="auto"/>
        <w:rPr>
          <w:rFonts w:hint="eastAsia" w:ascii="宋体" w:hAnsi="宋体" w:eastAsia="宋体" w:cs="宋体"/>
          <w:sz w:val="24"/>
          <w:szCs w:val="24"/>
        </w:rPr>
      </w:pPr>
      <w:r>
        <w:rPr>
          <w:rFonts w:hint="eastAsia" w:ascii="宋体" w:hAnsi="宋体" w:eastAsia="宋体" w:cs="宋体"/>
          <w:sz w:val="24"/>
          <w:szCs w:val="24"/>
        </w:rPr>
        <w:t>联系方式：029-88219779</w:t>
      </w:r>
    </w:p>
    <w:p w14:paraId="31DAA8FC">
      <w:pPr>
        <w:pStyle w:val="42"/>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70FB05DA">
      <w:pPr>
        <w:pStyle w:val="42"/>
        <w:spacing w:line="360" w:lineRule="auto"/>
        <w:rPr>
          <w:rFonts w:hint="eastAsia" w:ascii="宋体" w:hAnsi="宋体" w:eastAsia="宋体" w:cs="宋体"/>
          <w:sz w:val="24"/>
          <w:szCs w:val="24"/>
        </w:rPr>
      </w:pPr>
      <w:r>
        <w:rPr>
          <w:rFonts w:hint="eastAsia" w:ascii="宋体" w:hAnsi="宋体" w:eastAsia="宋体" w:cs="宋体"/>
          <w:sz w:val="24"/>
          <w:szCs w:val="24"/>
        </w:rPr>
        <w:t>项目联系人：孙洋、康乐、常瑛</w:t>
      </w:r>
    </w:p>
    <w:p w14:paraId="503EE3D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rPr>
        <w:t>电话：029-88219779</w:t>
      </w:r>
    </w:p>
    <w:p w14:paraId="557B8D02">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p>
    <w:p w14:paraId="0FEADD95">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2BFA4856">
      <w:pPr>
        <w:keepNext w:val="0"/>
        <w:keepLines w:val="0"/>
        <w:pageBreakBefore w:val="0"/>
        <w:kinsoku/>
        <w:overflowPunct/>
        <w:topLinePunct w:val="0"/>
        <w:autoSpaceDE/>
        <w:autoSpaceDN/>
        <w:bidi w:val="0"/>
        <w:adjustRightInd/>
        <w:snapToGrid w:val="0"/>
        <w:spacing w:line="360"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w:t>
      </w:r>
      <w:r>
        <w:rPr>
          <w:rFonts w:hint="eastAsia" w:ascii="宋体"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年</w:t>
      </w:r>
      <w:r>
        <w:rPr>
          <w:rFonts w:hint="eastAsia" w:hAnsi="宋体" w:cs="宋体"/>
          <w:i w:val="0"/>
          <w:iCs w:val="0"/>
          <w:caps w:val="0"/>
          <w:color w:val="333333"/>
          <w:spacing w:val="0"/>
          <w:sz w:val="24"/>
          <w:szCs w:val="24"/>
          <w:highlight w:val="none"/>
          <w:shd w:val="clear" w:fill="FFFFFF"/>
          <w:lang w:val="en-US" w:eastAsia="zh-CN"/>
        </w:rPr>
        <w:t>08</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hAnsi="宋体" w:cs="宋体"/>
          <w:i w:val="0"/>
          <w:iCs w:val="0"/>
          <w:caps w:val="0"/>
          <w:color w:val="333333"/>
          <w:spacing w:val="0"/>
          <w:sz w:val="24"/>
          <w:szCs w:val="24"/>
          <w:highlight w:val="none"/>
          <w:shd w:val="clear" w:fill="FFFFFF"/>
          <w:lang w:val="en-US" w:eastAsia="zh-CN"/>
        </w:rPr>
        <w:t>18</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3576629A">
      <w:pPr>
        <w:keepNext w:val="0"/>
        <w:keepLines w:val="0"/>
        <w:pageBreakBefore w:val="0"/>
        <w:kinsoku/>
        <w:overflowPunct/>
        <w:topLinePunct w:val="0"/>
        <w:autoSpaceDE/>
        <w:autoSpaceDN/>
        <w:bidi w:val="0"/>
        <w:adjustRightInd/>
        <w:snapToGrid w:val="0"/>
        <w:spacing w:line="360" w:lineRule="auto"/>
        <w:ind w:left="0" w:firstLine="480" w:firstLineChars="200"/>
        <w:jc w:val="center"/>
        <w:textAlignment w:val="auto"/>
        <w:rPr>
          <w:rFonts w:hAnsi="宋体" w:cs="宋体"/>
          <w:color w:val="auto"/>
          <w:highlight w:val="none"/>
        </w:rPr>
      </w:pPr>
      <w:r>
        <w:rPr>
          <w:rFonts w:hint="eastAsia" w:hAnsi="宋体" w:cs="宋体"/>
          <w:color w:val="auto"/>
          <w:highlight w:val="none"/>
        </w:rPr>
        <w:br w:type="page"/>
      </w:r>
    </w:p>
    <w:p w14:paraId="49014355">
      <w:pPr>
        <w:spacing w:line="348" w:lineRule="auto"/>
        <w:ind w:right="119"/>
        <w:jc w:val="center"/>
        <w:outlineLvl w:val="0"/>
        <w:rPr>
          <w:rFonts w:hAnsi="宋体" w:cs="宋体"/>
          <w:bCs/>
          <w:color w:val="auto"/>
          <w:sz w:val="36"/>
          <w:szCs w:val="36"/>
          <w:highlight w:val="none"/>
        </w:rPr>
      </w:pPr>
      <w:bookmarkStart w:id="20" w:name="_Toc14793"/>
      <w:bookmarkStart w:id="21" w:name="_Toc5958"/>
      <w:bookmarkStart w:id="22" w:name="_Toc3334"/>
      <w:r>
        <w:rPr>
          <w:rFonts w:hint="eastAsia" w:hAnsi="宋体" w:cs="宋体"/>
          <w:b/>
          <w:bCs/>
          <w:color w:val="auto"/>
          <w:kern w:val="2"/>
          <w:sz w:val="36"/>
          <w:szCs w:val="36"/>
          <w:highlight w:val="none"/>
        </w:rPr>
        <w:t xml:space="preserve">第二章  </w:t>
      </w:r>
      <w:bookmarkEnd w:id="16"/>
      <w:bookmarkEnd w:id="17"/>
      <w:bookmarkStart w:id="23" w:name="OLE_LINK3"/>
      <w:r>
        <w:rPr>
          <w:rFonts w:hint="eastAsia" w:hAnsi="宋体" w:cs="宋体"/>
          <w:b/>
          <w:bCs/>
          <w:color w:val="auto"/>
          <w:kern w:val="2"/>
          <w:sz w:val="36"/>
          <w:szCs w:val="36"/>
          <w:highlight w:val="none"/>
        </w:rPr>
        <w:t>供应商须知</w:t>
      </w:r>
      <w:bookmarkEnd w:id="18"/>
      <w:bookmarkEnd w:id="19"/>
      <w:bookmarkEnd w:id="20"/>
      <w:bookmarkEnd w:id="21"/>
      <w:bookmarkEnd w:id="22"/>
      <w:bookmarkEnd w:id="23"/>
    </w:p>
    <w:p w14:paraId="5D7227CB">
      <w:pPr>
        <w:spacing w:line="440" w:lineRule="exact"/>
        <w:jc w:val="center"/>
        <w:outlineLvl w:val="1"/>
        <w:rPr>
          <w:rFonts w:hAnsi="宋体" w:cs="宋体"/>
          <w:b/>
          <w:bCs/>
          <w:color w:val="auto"/>
          <w:sz w:val="32"/>
          <w:szCs w:val="32"/>
          <w:highlight w:val="none"/>
        </w:rPr>
      </w:pPr>
      <w:bookmarkStart w:id="24" w:name="_Toc16830"/>
      <w:bookmarkStart w:id="25" w:name="_Toc23180"/>
      <w:bookmarkStart w:id="26" w:name="_Toc8846"/>
      <w:bookmarkStart w:id="27" w:name="_Toc4724"/>
      <w:bookmarkStart w:id="28" w:name="_Toc18299"/>
      <w:r>
        <w:rPr>
          <w:rFonts w:hint="eastAsia" w:hAnsi="宋体" w:cs="宋体"/>
          <w:b/>
          <w:bCs/>
          <w:color w:val="auto"/>
          <w:sz w:val="32"/>
          <w:szCs w:val="32"/>
          <w:highlight w:val="none"/>
        </w:rPr>
        <w:t>供应商须知前附表</w:t>
      </w:r>
      <w:bookmarkEnd w:id="24"/>
      <w:bookmarkEnd w:id="25"/>
      <w:bookmarkEnd w:id="26"/>
      <w:bookmarkEnd w:id="27"/>
      <w:bookmarkEnd w:id="28"/>
    </w:p>
    <w:p w14:paraId="33883874">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90"/>
        <w:gridCol w:w="7215"/>
      </w:tblGrid>
      <w:tr w14:paraId="3BC6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4" w:hRule="atLeast"/>
          <w:jc w:val="center"/>
        </w:trPr>
        <w:tc>
          <w:tcPr>
            <w:tcW w:w="592" w:type="dxa"/>
          </w:tcPr>
          <w:p w14:paraId="40FEFDA0">
            <w:pPr>
              <w:spacing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1090" w:type="dxa"/>
            <w:vAlign w:val="center"/>
          </w:tcPr>
          <w:p w14:paraId="7AF09C87">
            <w:pPr>
              <w:spacing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215" w:type="dxa"/>
          </w:tcPr>
          <w:p w14:paraId="51865534">
            <w:pPr>
              <w:spacing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6515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6BE1F498">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090" w:type="dxa"/>
            <w:vAlign w:val="center"/>
          </w:tcPr>
          <w:p w14:paraId="135C72DD">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215" w:type="dxa"/>
          </w:tcPr>
          <w:p w14:paraId="193EEB28">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5EE30CDA">
            <w:pPr>
              <w:spacing w:line="360" w:lineRule="auto"/>
              <w:rPr>
                <w:rFonts w:hAnsi="宋体" w:cs="宋体"/>
                <w:color w:val="auto"/>
                <w:szCs w:val="24"/>
                <w:highlight w:val="none"/>
              </w:rPr>
            </w:pPr>
            <w:r>
              <w:rPr>
                <w:rFonts w:hint="eastAsia" w:hAnsi="宋体" w:cs="宋体"/>
                <w:color w:val="auto"/>
                <w:szCs w:val="24"/>
                <w:highlight w:val="none"/>
              </w:rPr>
              <w:t>地        址：陕西省西安市经济技术开发区未央路171-1号银池道拉斯财富中心21楼03室</w:t>
            </w:r>
          </w:p>
          <w:p w14:paraId="14DB0196">
            <w:pPr>
              <w:spacing w:line="360" w:lineRule="auto"/>
              <w:rPr>
                <w:rFonts w:hAnsi="宋体" w:cs="宋体"/>
                <w:color w:val="auto"/>
                <w:szCs w:val="24"/>
                <w:highlight w:val="none"/>
              </w:rPr>
            </w:pPr>
            <w:r>
              <w:rPr>
                <w:rFonts w:hint="eastAsia" w:hAnsi="宋体" w:cs="宋体"/>
                <w:color w:val="auto"/>
                <w:szCs w:val="24"/>
                <w:highlight w:val="none"/>
              </w:rPr>
              <w:t>邮        编：710021</w:t>
            </w:r>
          </w:p>
          <w:p w14:paraId="05018384">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6DEA9619">
            <w:pPr>
              <w:spacing w:line="360" w:lineRule="auto"/>
              <w:rPr>
                <w:rFonts w:hAnsi="宋体" w:cs="宋体"/>
                <w:color w:val="auto"/>
                <w:szCs w:val="24"/>
                <w:highlight w:val="none"/>
              </w:rPr>
            </w:pPr>
            <w:r>
              <w:rPr>
                <w:rFonts w:hint="eastAsia" w:hAnsi="宋体" w:cs="宋体"/>
                <w:color w:val="auto"/>
                <w:szCs w:val="24"/>
                <w:highlight w:val="none"/>
              </w:rPr>
              <w:t>传        真：/</w:t>
            </w:r>
          </w:p>
        </w:tc>
      </w:tr>
      <w:tr w14:paraId="3255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592" w:type="dxa"/>
            <w:vAlign w:val="center"/>
          </w:tcPr>
          <w:p w14:paraId="2E039EB3">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090" w:type="dxa"/>
            <w:vAlign w:val="center"/>
          </w:tcPr>
          <w:p w14:paraId="6B9DB996">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215" w:type="dxa"/>
            <w:vAlign w:val="center"/>
          </w:tcPr>
          <w:p w14:paraId="7550C888">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2B9B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3" w:hRule="atLeast"/>
          <w:jc w:val="center"/>
        </w:trPr>
        <w:tc>
          <w:tcPr>
            <w:tcW w:w="592" w:type="dxa"/>
            <w:vAlign w:val="center"/>
          </w:tcPr>
          <w:p w14:paraId="6584740F">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090" w:type="dxa"/>
            <w:vAlign w:val="center"/>
          </w:tcPr>
          <w:p w14:paraId="0BB8DAB1">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215" w:type="dxa"/>
            <w:vAlign w:val="center"/>
          </w:tcPr>
          <w:p w14:paraId="5F4A6FBD">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CF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0B6FFA4">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090" w:type="dxa"/>
            <w:vAlign w:val="center"/>
          </w:tcPr>
          <w:p w14:paraId="0A70CCFA">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215" w:type="dxa"/>
            <w:vAlign w:val="center"/>
          </w:tcPr>
          <w:p w14:paraId="1E82EC9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85E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A16707D">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090" w:type="dxa"/>
            <w:vAlign w:val="center"/>
          </w:tcPr>
          <w:p w14:paraId="50B5962F">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215" w:type="dxa"/>
          </w:tcPr>
          <w:p w14:paraId="62D2CA46">
            <w:pPr>
              <w:spacing w:line="360" w:lineRule="auto"/>
              <w:ind w:firstLine="480"/>
              <w:rPr>
                <w:rFonts w:hAnsi="宋体" w:cs="宋体"/>
                <w:color w:val="auto"/>
                <w:szCs w:val="24"/>
                <w:highlight w:val="none"/>
              </w:rPr>
            </w:pPr>
            <w:r>
              <w:rPr>
                <w:rFonts w:hint="eastAsia" w:hAnsi="宋体" w:cs="宋体"/>
                <w:color w:val="auto"/>
                <w:szCs w:val="24"/>
                <w:highlight w:val="none"/>
              </w:rPr>
              <w:t>磋商报价：是供应商为完成本项目要求的全部服务内容最终价格的体现。</w:t>
            </w:r>
          </w:p>
          <w:p w14:paraId="1BF996A3">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40AD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E721574">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090" w:type="dxa"/>
            <w:vAlign w:val="center"/>
          </w:tcPr>
          <w:p w14:paraId="44B7D81A">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215" w:type="dxa"/>
          </w:tcPr>
          <w:p w14:paraId="356046ED">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572439F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（1）提供合格有效的法人或者其他组织的营业执照等证明文件，自然人的身份证明； </w:t>
            </w:r>
          </w:p>
          <w:p w14:paraId="658C1BF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（2）提供法定代表人授权书（附法定代表人、被授权人身份证复印件）及被授权人身份证原件（法定代表人直接参加投标，须提供法定代表人身份证明及身份证原件）； </w:t>
            </w:r>
          </w:p>
          <w:p w14:paraId="6864F48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（3）财务状况报告：提供 2024 年度的财务审计报告（成立时间至提交磋商响应文件截止时间不足一年的可提供成立后任意时段的资产负债表），或开标时间前六个月内银行出具的资信证明； </w:t>
            </w:r>
          </w:p>
          <w:p w14:paraId="56A7810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（4）税收缴纳证明：提供磋商响应文件截止日前任意一个月的纳税证明或完税证明（任意税种），依法免税的单位应提供相关证明材料; </w:t>
            </w:r>
          </w:p>
          <w:p w14:paraId="34F04F1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（5）社会保障资金缴纳证明：提供磋商响应文件截止日前任意一个月的社会保障资金缴存单据或社保机构开具的社会保险参保缴费情况证明，依法不需要缴纳社会保障资金的单位应提供相关证明材料； </w:t>
            </w:r>
          </w:p>
          <w:p w14:paraId="432DFE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信用中国”网站下载的《信用信息报告》； </w:t>
            </w:r>
          </w:p>
          <w:p w14:paraId="2EF7DAB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（7）参加政府采购活动前 3 年内，在经营活动中没有重大违法记录的书面声明； </w:t>
            </w:r>
          </w:p>
          <w:p w14:paraId="4399588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（8）提供具有履行合同所必需的设备和专业技术能力的承诺函；</w:t>
            </w:r>
          </w:p>
          <w:p w14:paraId="260AF9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（9）供应商提供中小企业声明函；</w:t>
            </w:r>
          </w:p>
          <w:p w14:paraId="4E808C1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sz w:val="24"/>
                <w:szCs w:val="24"/>
              </w:rPr>
              <w:t>（10）本项目不接受联合体磋商（需提供承诺书）。</w:t>
            </w:r>
          </w:p>
          <w:p w14:paraId="1F98C8F6">
            <w:pPr>
              <w:numPr>
                <w:ilvl w:val="0"/>
                <w:numId w:val="0"/>
              </w:num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w:t>
            </w:r>
            <w:r>
              <w:rPr>
                <w:rFonts w:hint="eastAsia" w:hAnsi="宋体" w:cs="宋体"/>
                <w:b/>
                <w:bCs/>
                <w:color w:val="auto"/>
                <w:szCs w:val="24"/>
                <w:highlight w:val="none"/>
                <w:lang w:val="en-US" w:eastAsia="zh-CN"/>
              </w:rPr>
              <w:t>1-10项</w:t>
            </w:r>
            <w:r>
              <w:rPr>
                <w:rFonts w:hint="eastAsia" w:hAnsi="宋体" w:cs="宋体"/>
                <w:b/>
                <w:bCs/>
                <w:color w:val="auto"/>
                <w:szCs w:val="24"/>
                <w:highlight w:val="none"/>
              </w:rPr>
              <w:t>为必备资质，缺一项或某项达不到要求，按无效磋商处理。</w:t>
            </w:r>
          </w:p>
        </w:tc>
      </w:tr>
      <w:tr w14:paraId="479E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2DF3111B">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1090" w:type="dxa"/>
            <w:vAlign w:val="center"/>
          </w:tcPr>
          <w:p w14:paraId="39ADB978">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215" w:type="dxa"/>
          </w:tcPr>
          <w:p w14:paraId="6A630669">
            <w:pPr>
              <w:spacing w:line="360" w:lineRule="auto"/>
              <w:ind w:firstLine="465"/>
              <w:rPr>
                <w:rFonts w:hAnsi="宋体" w:cs="宋体"/>
                <w:color w:val="auto"/>
                <w:szCs w:val="24"/>
                <w:highlight w:val="none"/>
              </w:rPr>
            </w:pPr>
            <w:r>
              <w:rPr>
                <w:rFonts w:hint="eastAsia" w:hAnsi="宋体" w:cs="宋体"/>
                <w:b/>
                <w:bCs/>
                <w:color w:val="auto"/>
                <w:szCs w:val="24"/>
                <w:highlight w:val="none"/>
              </w:rPr>
              <w:t>磋商保证金：本项目不缴纳磋商保证金</w:t>
            </w:r>
          </w:p>
          <w:p w14:paraId="21D0EE60">
            <w:pPr>
              <w:spacing w:line="360" w:lineRule="auto"/>
              <w:ind w:firstLine="465"/>
              <w:rPr>
                <w:rFonts w:hAnsi="宋体" w:cs="宋体"/>
                <w:color w:val="auto"/>
                <w:szCs w:val="24"/>
                <w:highlight w:val="none"/>
              </w:rPr>
            </w:pPr>
            <w:r>
              <w:rPr>
                <w:rFonts w:hint="eastAsia" w:hAnsi="宋体" w:cs="宋体"/>
                <w:color w:val="auto"/>
                <w:szCs w:val="24"/>
                <w:highlight w:val="none"/>
              </w:rPr>
              <w:t>磋商保证金的有效期与磋商有效期一致。</w:t>
            </w:r>
            <w:r>
              <w:rPr>
                <w:rFonts w:hint="eastAsia" w:hAnsi="宋体" w:cs="宋体"/>
                <w:color w:val="auto"/>
                <w:szCs w:val="22"/>
                <w:highlight w:val="none"/>
              </w:rPr>
              <w:t>担保机构出具的保函的有效期为磋商有效期延长一个月。</w:t>
            </w:r>
          </w:p>
          <w:p w14:paraId="2E095799">
            <w:pPr>
              <w:spacing w:line="360" w:lineRule="auto"/>
              <w:ind w:firstLine="480"/>
              <w:rPr>
                <w:rFonts w:hAnsi="宋体" w:cs="宋体"/>
                <w:color w:val="auto"/>
                <w:szCs w:val="24"/>
                <w:highlight w:val="none"/>
              </w:rPr>
            </w:pPr>
            <w:r>
              <w:rPr>
                <w:rFonts w:hint="eastAsia" w:hAnsi="宋体" w:cs="宋体"/>
                <w:color w:val="auto"/>
                <w:szCs w:val="24"/>
                <w:highlight w:val="none"/>
              </w:rPr>
              <w:t>磋商保证金的缴纳形式：转账、电汇、担保机构保函。</w:t>
            </w:r>
          </w:p>
          <w:p w14:paraId="427BE1FD">
            <w:pPr>
              <w:spacing w:line="360" w:lineRule="auto"/>
              <w:ind w:firstLine="480"/>
              <w:rPr>
                <w:rFonts w:hAnsi="宋体" w:cs="宋体"/>
                <w:color w:val="auto"/>
                <w:szCs w:val="24"/>
                <w:highlight w:val="none"/>
              </w:rPr>
            </w:pPr>
            <w:r>
              <w:rPr>
                <w:rFonts w:hint="eastAsia" w:hAnsi="宋体" w:cs="宋体"/>
                <w:color w:val="auto"/>
                <w:szCs w:val="24"/>
                <w:highlight w:val="none"/>
              </w:rPr>
              <w:t>供应商以银行转账、电汇形式交纳保证金的，须从基本账户转出，并且在磋商响应文件递交截止前到达采购代理机构指定账户（</w:t>
            </w:r>
            <w:r>
              <w:rPr>
                <w:rFonts w:hint="eastAsia" w:hAnsi="宋体" w:cs="宋体"/>
                <w:b/>
                <w:color w:val="auto"/>
                <w:szCs w:val="24"/>
                <w:highlight w:val="none"/>
              </w:rPr>
              <w:t>转账时请注明项目编号</w:t>
            </w:r>
            <w:r>
              <w:rPr>
                <w:rFonts w:hint="eastAsia" w:hAnsi="宋体" w:cs="宋体"/>
                <w:color w:val="auto"/>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21F3416D">
            <w:pPr>
              <w:spacing w:line="360" w:lineRule="auto"/>
              <w:ind w:firstLine="480"/>
              <w:rPr>
                <w:rFonts w:hAnsi="宋体" w:cs="宋体"/>
                <w:color w:val="auto"/>
                <w:szCs w:val="24"/>
                <w:highlight w:val="none"/>
              </w:rPr>
            </w:pPr>
            <w:r>
              <w:rPr>
                <w:rFonts w:hint="eastAsia" w:hAnsi="宋体" w:cs="宋体"/>
                <w:color w:val="auto"/>
                <w:szCs w:val="24"/>
                <w:highlight w:val="none"/>
              </w:rPr>
              <w:t>供应商以保函形式缴纳磋商保证金的，须在磋商响应文件递交截止时间前将担保机构保函</w:t>
            </w:r>
            <w:r>
              <w:rPr>
                <w:rFonts w:hint="eastAsia" w:hAnsi="宋体" w:cs="宋体"/>
                <w:b/>
                <w:bCs/>
                <w:color w:val="auto"/>
                <w:szCs w:val="24"/>
                <w:highlight w:val="none"/>
              </w:rPr>
              <w:t>正本原件</w:t>
            </w:r>
            <w:r>
              <w:rPr>
                <w:rFonts w:hint="eastAsia" w:hAnsi="宋体" w:cs="宋体"/>
                <w:color w:val="auto"/>
                <w:szCs w:val="24"/>
                <w:highlight w:val="none"/>
              </w:rPr>
              <w:t>提交至采购代理机构备案，并将保函正本复印件附在磋商响应文件规定处。</w:t>
            </w:r>
          </w:p>
        </w:tc>
      </w:tr>
      <w:tr w14:paraId="5176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305826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1090" w:type="dxa"/>
            <w:vAlign w:val="center"/>
          </w:tcPr>
          <w:p w14:paraId="6B6529FB">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215" w:type="dxa"/>
            <w:vAlign w:val="center"/>
          </w:tcPr>
          <w:p w14:paraId="2B6FDB05">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5B8D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2D6B2AA">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1090" w:type="dxa"/>
            <w:vAlign w:val="center"/>
          </w:tcPr>
          <w:p w14:paraId="278CB87E">
            <w:pPr>
              <w:spacing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215" w:type="dxa"/>
            <w:vAlign w:val="center"/>
          </w:tcPr>
          <w:p w14:paraId="073DFD16">
            <w:pPr>
              <w:spacing w:line="360" w:lineRule="auto"/>
              <w:rPr>
                <w:rFonts w:hAnsi="宋体" w:cs="宋体"/>
                <w:color w:val="auto"/>
                <w:szCs w:val="24"/>
                <w:highlight w:val="none"/>
              </w:rPr>
            </w:pPr>
            <w:r>
              <w:rPr>
                <w:rFonts w:hint="eastAsia" w:hAnsi="宋体" w:cs="宋体"/>
                <w:color w:val="auto"/>
                <w:szCs w:val="24"/>
                <w:highlight w:val="none"/>
              </w:rPr>
              <w:t>正本的份数：壹份；副本的份数：贰份；报价一览表：壹份；电子版（U盘）：壹份（需在盘面上标注供应商全称、项目名称、编号）。</w:t>
            </w:r>
          </w:p>
        </w:tc>
      </w:tr>
      <w:tr w14:paraId="33D8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B6D836B">
            <w:pPr>
              <w:spacing w:line="360" w:lineRule="auto"/>
              <w:jc w:val="center"/>
              <w:rPr>
                <w:rFonts w:hAnsi="宋体" w:cs="宋体"/>
                <w:color w:val="auto"/>
                <w:szCs w:val="24"/>
                <w:highlight w:val="none"/>
              </w:rPr>
            </w:pPr>
            <w:r>
              <w:rPr>
                <w:rFonts w:hint="eastAsia" w:hAnsi="宋体" w:cs="宋体"/>
                <w:color w:val="auto"/>
                <w:szCs w:val="24"/>
                <w:highlight w:val="none"/>
              </w:rPr>
              <w:t>10</w:t>
            </w:r>
          </w:p>
        </w:tc>
        <w:tc>
          <w:tcPr>
            <w:tcW w:w="1090" w:type="dxa"/>
            <w:vAlign w:val="center"/>
          </w:tcPr>
          <w:p w14:paraId="230634D3">
            <w:pPr>
              <w:spacing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215" w:type="dxa"/>
            <w:vAlign w:val="center"/>
          </w:tcPr>
          <w:p w14:paraId="786F0F1B">
            <w:pPr>
              <w:spacing w:line="360" w:lineRule="auto"/>
              <w:rPr>
                <w:rFonts w:hAnsi="宋体" w:cs="宋体"/>
                <w:color w:val="auto"/>
                <w:szCs w:val="24"/>
                <w:highlight w:val="none"/>
              </w:rPr>
            </w:pPr>
            <w:r>
              <w:rPr>
                <w:rFonts w:hint="eastAsia" w:hAnsi="宋体" w:cs="宋体"/>
                <w:color w:val="auto"/>
                <w:szCs w:val="24"/>
                <w:highlight w:val="none"/>
              </w:rPr>
              <w:t>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tc>
      </w:tr>
      <w:tr w14:paraId="3F73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1F9C6F20">
            <w:pPr>
              <w:spacing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1090" w:type="dxa"/>
            <w:vAlign w:val="center"/>
          </w:tcPr>
          <w:p w14:paraId="7424BB43">
            <w:pPr>
              <w:spacing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215" w:type="dxa"/>
          </w:tcPr>
          <w:p w14:paraId="567F3434">
            <w:pPr>
              <w:spacing w:line="360" w:lineRule="auto"/>
              <w:rPr>
                <w:rFonts w:hAnsi="宋体" w:cs="宋体"/>
                <w:color w:val="auto"/>
                <w:szCs w:val="24"/>
                <w:highlight w:val="none"/>
              </w:rPr>
            </w:pPr>
            <w:r>
              <w:rPr>
                <w:rFonts w:hint="eastAsia" w:hAnsi="宋体" w:cs="宋体"/>
                <w:color w:val="auto"/>
                <w:szCs w:val="24"/>
                <w:highlight w:val="none"/>
              </w:rPr>
              <w:t>磋商响应文件递交截止时间：详见磋商公告</w:t>
            </w:r>
          </w:p>
          <w:p w14:paraId="2413806B">
            <w:pPr>
              <w:spacing w:line="360" w:lineRule="auto"/>
              <w:jc w:val="left"/>
              <w:rPr>
                <w:rFonts w:hAnsi="宋体" w:cs="宋体"/>
                <w:color w:val="auto"/>
                <w:szCs w:val="24"/>
                <w:highlight w:val="none"/>
              </w:rPr>
            </w:pPr>
            <w:r>
              <w:rPr>
                <w:rFonts w:hint="eastAsia" w:hAnsi="宋体" w:cs="宋体"/>
                <w:color w:val="auto"/>
                <w:szCs w:val="24"/>
                <w:highlight w:val="none"/>
              </w:rPr>
              <w:t>磋商响应文件递交地址：</w:t>
            </w:r>
            <w:r>
              <w:rPr>
                <w:rFonts w:hint="eastAsia" w:ascii="宋体" w:hAnsi="宋体" w:eastAsia="宋体" w:cs="宋体"/>
                <w:sz w:val="24"/>
                <w:szCs w:val="24"/>
              </w:rPr>
              <w:t>陕西省西安市经济技术开发区未央路171-1号银池道拉斯财富中心21楼03室</w:t>
            </w:r>
          </w:p>
          <w:p w14:paraId="2C42C3D3">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156A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27488F04">
            <w:pPr>
              <w:spacing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1090" w:type="dxa"/>
            <w:vAlign w:val="center"/>
          </w:tcPr>
          <w:p w14:paraId="0C0570C0">
            <w:pPr>
              <w:spacing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215" w:type="dxa"/>
            <w:vAlign w:val="center"/>
          </w:tcPr>
          <w:p w14:paraId="00FB968C">
            <w:pPr>
              <w:spacing w:line="360" w:lineRule="auto"/>
              <w:rPr>
                <w:rFonts w:hAnsi="宋体" w:cs="宋体"/>
                <w:color w:val="auto"/>
                <w:szCs w:val="24"/>
                <w:highlight w:val="none"/>
              </w:rPr>
            </w:pPr>
            <w:r>
              <w:rPr>
                <w:rFonts w:hint="eastAsia" w:hAnsi="宋体" w:cs="宋体"/>
                <w:color w:val="auto"/>
                <w:szCs w:val="24"/>
                <w:highlight w:val="none"/>
              </w:rPr>
              <w:t>磋商时间：详见磋商公告</w:t>
            </w:r>
          </w:p>
          <w:p w14:paraId="418B2FCC">
            <w:pPr>
              <w:spacing w:line="360" w:lineRule="auto"/>
              <w:rPr>
                <w:rFonts w:hAnsi="宋体" w:cs="宋体"/>
                <w:color w:val="auto"/>
                <w:szCs w:val="24"/>
                <w:highlight w:val="none"/>
              </w:rPr>
            </w:pPr>
            <w:r>
              <w:rPr>
                <w:rFonts w:hint="eastAsia" w:hAnsi="宋体" w:cs="宋体"/>
                <w:color w:val="auto"/>
                <w:szCs w:val="24"/>
                <w:highlight w:val="none"/>
              </w:rPr>
              <w:t>磋商地点：</w:t>
            </w:r>
            <w:r>
              <w:rPr>
                <w:rFonts w:hint="eastAsia" w:ascii="宋体" w:hAnsi="宋体" w:eastAsia="宋体" w:cs="宋体"/>
                <w:sz w:val="24"/>
                <w:szCs w:val="24"/>
              </w:rPr>
              <w:t>陕西省西安市经济技术开发区未央路171-1号银池道拉斯财富中心21楼03室</w:t>
            </w:r>
          </w:p>
        </w:tc>
      </w:tr>
      <w:tr w14:paraId="3CE4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592" w:type="dxa"/>
            <w:vAlign w:val="center"/>
          </w:tcPr>
          <w:p w14:paraId="026FFAA2">
            <w:pPr>
              <w:spacing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1090" w:type="dxa"/>
            <w:vAlign w:val="center"/>
          </w:tcPr>
          <w:p w14:paraId="7E1EC5AB">
            <w:pPr>
              <w:spacing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215" w:type="dxa"/>
            <w:vAlign w:val="center"/>
          </w:tcPr>
          <w:p w14:paraId="5770893F">
            <w:pPr>
              <w:spacing w:afterLines="50" w:line="360" w:lineRule="auto"/>
              <w:jc w:val="left"/>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5787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5C92C32">
            <w:pPr>
              <w:spacing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1090" w:type="dxa"/>
            <w:vAlign w:val="center"/>
          </w:tcPr>
          <w:p w14:paraId="43810ABC">
            <w:pPr>
              <w:spacing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215" w:type="dxa"/>
            <w:vAlign w:val="center"/>
          </w:tcPr>
          <w:p w14:paraId="2AE7385C">
            <w:pPr>
              <w:spacing w:line="360" w:lineRule="auto"/>
              <w:rPr>
                <w:rFonts w:hAnsi="宋体" w:cs="宋体"/>
                <w:color w:val="auto"/>
                <w:szCs w:val="24"/>
                <w:highlight w:val="none"/>
              </w:rPr>
            </w:pPr>
            <w:r>
              <w:rPr>
                <w:rFonts w:hint="eastAsia" w:hAnsi="宋体" w:cs="宋体"/>
                <w:color w:val="auto"/>
                <w:szCs w:val="24"/>
                <w:highlight w:val="none"/>
              </w:rPr>
              <w:t>代理服务费：</w:t>
            </w:r>
          </w:p>
          <w:p w14:paraId="4B1EDDCE">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73C78E3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tc>
      </w:tr>
      <w:tr w14:paraId="0AD2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058E3002">
            <w:pPr>
              <w:spacing w:afterLines="50" w:line="360" w:lineRule="auto"/>
              <w:jc w:val="center"/>
              <w:rPr>
                <w:rFonts w:hAnsi="宋体" w:cs="宋体"/>
                <w:color w:val="auto"/>
                <w:szCs w:val="24"/>
                <w:highlight w:val="none"/>
              </w:rPr>
            </w:pPr>
            <w:r>
              <w:rPr>
                <w:rFonts w:hint="eastAsia" w:hAnsi="宋体" w:cs="宋体"/>
                <w:color w:val="auto"/>
                <w:szCs w:val="24"/>
                <w:highlight w:val="none"/>
              </w:rPr>
              <w:t>15</w:t>
            </w:r>
          </w:p>
        </w:tc>
        <w:tc>
          <w:tcPr>
            <w:tcW w:w="1090" w:type="dxa"/>
            <w:vAlign w:val="center"/>
          </w:tcPr>
          <w:p w14:paraId="2AB1CB54">
            <w:pPr>
              <w:spacing w:line="360" w:lineRule="auto"/>
              <w:jc w:val="center"/>
              <w:rPr>
                <w:rFonts w:hAnsi="宋体" w:cs="宋体"/>
                <w:color w:val="auto"/>
                <w:szCs w:val="24"/>
                <w:highlight w:val="none"/>
              </w:rPr>
            </w:pPr>
            <w:r>
              <w:rPr>
                <w:rFonts w:hint="eastAsia" w:hAnsi="宋体" w:cs="宋体"/>
                <w:color w:val="auto"/>
                <w:szCs w:val="24"/>
                <w:highlight w:val="none"/>
              </w:rPr>
              <w:t>踏勘</w:t>
            </w:r>
          </w:p>
          <w:p w14:paraId="32D637B1">
            <w:pPr>
              <w:spacing w:line="360" w:lineRule="auto"/>
              <w:jc w:val="center"/>
              <w:rPr>
                <w:rFonts w:hAnsi="宋体" w:cs="宋体"/>
                <w:color w:val="auto"/>
                <w:szCs w:val="24"/>
                <w:highlight w:val="none"/>
              </w:rPr>
            </w:pPr>
            <w:r>
              <w:rPr>
                <w:rFonts w:hint="eastAsia" w:hAnsi="宋体" w:cs="宋体"/>
                <w:color w:val="auto"/>
                <w:szCs w:val="24"/>
                <w:highlight w:val="none"/>
              </w:rPr>
              <w:t>现场</w:t>
            </w:r>
          </w:p>
        </w:tc>
        <w:tc>
          <w:tcPr>
            <w:tcW w:w="7215" w:type="dxa"/>
            <w:vAlign w:val="center"/>
          </w:tcPr>
          <w:p w14:paraId="75216FAE">
            <w:pPr>
              <w:spacing w:line="360" w:lineRule="auto"/>
              <w:rPr>
                <w:rFonts w:hAnsi="宋体" w:cs="宋体"/>
                <w:color w:val="auto"/>
                <w:szCs w:val="24"/>
                <w:highlight w:val="none"/>
              </w:rPr>
            </w:pPr>
            <w:r>
              <w:rPr>
                <w:rFonts w:hint="eastAsia" w:hAnsi="宋体" w:cs="宋体"/>
                <w:color w:val="auto"/>
                <w:szCs w:val="24"/>
                <w:highlight w:val="none"/>
              </w:rPr>
              <w:t>1）招标代理机构不组织统一踏勘，各供应商自行踏勘，相关费用及安全由供应商自行承担，踏勘时遵守相关规定，不得扰民。</w:t>
            </w:r>
          </w:p>
          <w:p w14:paraId="34A8761F">
            <w:pPr>
              <w:spacing w:line="360" w:lineRule="auto"/>
              <w:rPr>
                <w:rFonts w:hAnsi="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tc>
      </w:tr>
      <w:tr w14:paraId="64AB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3653198">
            <w:pPr>
              <w:spacing w:afterLines="50" w:line="360" w:lineRule="auto"/>
              <w:jc w:val="center"/>
              <w:rPr>
                <w:rFonts w:hAnsi="宋体" w:cs="宋体"/>
                <w:color w:val="auto"/>
                <w:szCs w:val="24"/>
                <w:highlight w:val="none"/>
              </w:rPr>
            </w:pPr>
            <w:r>
              <w:rPr>
                <w:rFonts w:hint="eastAsia" w:hAnsi="宋体" w:cs="宋体"/>
                <w:color w:val="auto"/>
                <w:szCs w:val="24"/>
                <w:highlight w:val="none"/>
              </w:rPr>
              <w:t>16</w:t>
            </w:r>
          </w:p>
        </w:tc>
        <w:tc>
          <w:tcPr>
            <w:tcW w:w="1090" w:type="dxa"/>
            <w:vAlign w:val="center"/>
          </w:tcPr>
          <w:p w14:paraId="71396A41">
            <w:pPr>
              <w:jc w:val="center"/>
              <w:rPr>
                <w:rFonts w:hAnsi="宋体" w:cs="宋体"/>
                <w:b/>
                <w:bCs/>
                <w:color w:val="auto"/>
                <w:szCs w:val="24"/>
                <w:highlight w:val="none"/>
              </w:rPr>
            </w:pPr>
            <w:r>
              <w:rPr>
                <w:rFonts w:hint="eastAsia" w:hAnsi="宋体" w:cs="宋体"/>
                <w:b/>
                <w:bCs/>
                <w:color w:val="auto"/>
                <w:szCs w:val="24"/>
                <w:highlight w:val="none"/>
              </w:rPr>
              <w:t>银行</w:t>
            </w:r>
          </w:p>
          <w:p w14:paraId="0A69684A">
            <w:pPr>
              <w:jc w:val="center"/>
              <w:rPr>
                <w:rFonts w:hAnsi="宋体" w:cs="宋体"/>
                <w:b/>
                <w:bCs/>
                <w:color w:val="auto"/>
                <w:szCs w:val="24"/>
                <w:highlight w:val="none"/>
              </w:rPr>
            </w:pPr>
            <w:r>
              <w:rPr>
                <w:rFonts w:hint="eastAsia" w:hAnsi="宋体" w:cs="宋体"/>
                <w:b/>
                <w:bCs/>
                <w:color w:val="auto"/>
                <w:szCs w:val="24"/>
                <w:highlight w:val="none"/>
              </w:rPr>
              <w:t>账户</w:t>
            </w:r>
          </w:p>
          <w:p w14:paraId="2A40E4B6">
            <w:pPr>
              <w:jc w:val="center"/>
              <w:rPr>
                <w:rFonts w:hAnsi="宋体" w:cs="宋体"/>
                <w:color w:val="auto"/>
                <w:szCs w:val="24"/>
                <w:highlight w:val="none"/>
              </w:rPr>
            </w:pPr>
            <w:r>
              <w:rPr>
                <w:rFonts w:hint="eastAsia" w:hAnsi="宋体" w:cs="宋体"/>
                <w:b/>
                <w:bCs/>
                <w:color w:val="auto"/>
                <w:szCs w:val="24"/>
                <w:highlight w:val="none"/>
              </w:rPr>
              <w:t>信息</w:t>
            </w:r>
          </w:p>
        </w:tc>
        <w:tc>
          <w:tcPr>
            <w:tcW w:w="7215" w:type="dxa"/>
            <w:vAlign w:val="center"/>
          </w:tcPr>
          <w:p w14:paraId="1791B035">
            <w:pPr>
              <w:spacing w:line="520" w:lineRule="exact"/>
              <w:rPr>
                <w:rFonts w:hAnsi="宋体" w:cs="宋体"/>
                <w:b/>
                <w:bCs/>
                <w:color w:val="auto"/>
                <w:szCs w:val="24"/>
                <w:highlight w:val="none"/>
              </w:rPr>
            </w:pPr>
            <w:r>
              <w:rPr>
                <w:rFonts w:hint="eastAsia" w:hAnsi="宋体" w:cs="宋体"/>
                <w:b/>
                <w:bCs/>
                <w:color w:val="auto"/>
                <w:szCs w:val="24"/>
                <w:highlight w:val="none"/>
              </w:rPr>
              <w:t>1、保证金及代理服务费账户：</w:t>
            </w:r>
          </w:p>
          <w:p w14:paraId="00FF08C4">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①采购代理机构开户名称: 陕西至诚项目管理集团有限公司</w:t>
            </w:r>
          </w:p>
          <w:p w14:paraId="5EBE964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②开户行名称：中国建设银行股份有限公司西安高新技术产业开发区支行</w:t>
            </w:r>
          </w:p>
          <w:p w14:paraId="2362D750">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③账号：61050192090000002152</w:t>
            </w:r>
          </w:p>
        </w:tc>
      </w:tr>
      <w:tr w14:paraId="345A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63ADEE15">
            <w:pPr>
              <w:spacing w:afterLines="50" w:line="360" w:lineRule="auto"/>
              <w:jc w:val="center"/>
              <w:rPr>
                <w:rFonts w:hAnsi="宋体" w:cs="宋体"/>
                <w:color w:val="auto"/>
                <w:szCs w:val="24"/>
                <w:highlight w:val="none"/>
              </w:rPr>
            </w:pPr>
            <w:r>
              <w:rPr>
                <w:rFonts w:hint="eastAsia" w:hAnsi="宋体" w:cs="宋体"/>
                <w:color w:val="auto"/>
                <w:szCs w:val="24"/>
                <w:highlight w:val="none"/>
              </w:rPr>
              <w:t>17</w:t>
            </w:r>
          </w:p>
        </w:tc>
        <w:tc>
          <w:tcPr>
            <w:tcW w:w="1090" w:type="dxa"/>
            <w:vAlign w:val="center"/>
          </w:tcPr>
          <w:p w14:paraId="30B1CF7F">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项目</w:t>
            </w:r>
          </w:p>
          <w:p w14:paraId="6556C214">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性质</w:t>
            </w:r>
          </w:p>
        </w:tc>
        <w:tc>
          <w:tcPr>
            <w:tcW w:w="7215" w:type="dxa"/>
            <w:vAlign w:val="center"/>
          </w:tcPr>
          <w:p w14:paraId="486F7896">
            <w:pPr>
              <w:spacing w:line="500" w:lineRule="exact"/>
              <w:rPr>
                <w:rFonts w:hAnsi="宋体" w:cs="宋体"/>
                <w:b/>
                <w:bCs/>
                <w:color w:val="auto"/>
                <w:szCs w:val="24"/>
                <w:highlight w:val="none"/>
              </w:rPr>
            </w:pPr>
            <w:r>
              <w:rPr>
                <w:rFonts w:hint="eastAsia" w:hAnsi="宋体" w:cs="宋体"/>
                <w:b/>
                <w:bCs/>
                <w:color w:val="auto"/>
                <w:szCs w:val="24"/>
                <w:highlight w:val="none"/>
              </w:rPr>
              <w:t>本项目专门面向中小企业</w:t>
            </w:r>
          </w:p>
        </w:tc>
      </w:tr>
      <w:tr w14:paraId="7105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F202D7E">
            <w:pPr>
              <w:spacing w:afterLines="50" w:line="360" w:lineRule="auto"/>
              <w:jc w:val="center"/>
              <w:rPr>
                <w:rFonts w:hAnsi="宋体" w:cs="宋体"/>
                <w:color w:val="auto"/>
                <w:szCs w:val="24"/>
                <w:highlight w:val="none"/>
              </w:rPr>
            </w:pPr>
            <w:r>
              <w:rPr>
                <w:rFonts w:hint="eastAsia" w:hAnsi="宋体" w:cs="宋体"/>
                <w:color w:val="auto"/>
                <w:szCs w:val="24"/>
                <w:highlight w:val="none"/>
              </w:rPr>
              <w:t>18</w:t>
            </w:r>
          </w:p>
        </w:tc>
        <w:tc>
          <w:tcPr>
            <w:tcW w:w="1090" w:type="dxa"/>
            <w:vAlign w:val="center"/>
          </w:tcPr>
          <w:p w14:paraId="564740BB">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lang w:val="en-US" w:eastAsia="zh-CN"/>
              </w:rPr>
              <w:t>项目</w:t>
            </w:r>
            <w:r>
              <w:rPr>
                <w:rFonts w:hint="eastAsia" w:hAnsi="宋体" w:cs="宋体"/>
                <w:b/>
                <w:bCs/>
                <w:color w:val="auto"/>
                <w:szCs w:val="24"/>
                <w:highlight w:val="none"/>
              </w:rPr>
              <w:t>所属行业</w:t>
            </w:r>
          </w:p>
        </w:tc>
        <w:tc>
          <w:tcPr>
            <w:tcW w:w="7215" w:type="dxa"/>
            <w:vAlign w:val="center"/>
          </w:tcPr>
          <w:p w14:paraId="3449D6A6">
            <w:pPr>
              <w:spacing w:line="500" w:lineRule="exact"/>
              <w:rPr>
                <w:rFonts w:hint="default" w:hAnsi="宋体" w:eastAsia="宋体" w:cs="宋体"/>
                <w:b/>
                <w:bCs/>
                <w:color w:val="auto"/>
                <w:szCs w:val="24"/>
                <w:highlight w:val="none"/>
                <w:lang w:val="en-US" w:eastAsia="zh-CN"/>
              </w:rPr>
            </w:pPr>
            <w:r>
              <w:rPr>
                <w:rFonts w:hint="eastAsia" w:hAnsi="宋体" w:cs="宋体"/>
                <w:b/>
                <w:bCs/>
                <w:color w:val="auto"/>
                <w:szCs w:val="24"/>
                <w:highlight w:val="none"/>
                <w:lang w:val="en-US" w:eastAsia="zh-CN"/>
              </w:rPr>
              <w:t>其他未列明行业</w:t>
            </w:r>
          </w:p>
        </w:tc>
      </w:tr>
      <w:tr w14:paraId="7BF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C9FC379">
            <w:pPr>
              <w:spacing w:afterLines="50" w:line="360" w:lineRule="auto"/>
              <w:jc w:val="center"/>
              <w:rPr>
                <w:rFonts w:hAnsi="宋体" w:cs="宋体"/>
                <w:color w:val="auto"/>
                <w:szCs w:val="24"/>
                <w:highlight w:val="none"/>
              </w:rPr>
            </w:pPr>
            <w:r>
              <w:rPr>
                <w:rFonts w:hint="eastAsia" w:hAnsi="宋体" w:cs="宋体"/>
                <w:color w:val="auto"/>
                <w:szCs w:val="24"/>
                <w:highlight w:val="none"/>
              </w:rPr>
              <w:t>19</w:t>
            </w:r>
          </w:p>
        </w:tc>
        <w:tc>
          <w:tcPr>
            <w:tcW w:w="1090" w:type="dxa"/>
            <w:vAlign w:val="center"/>
          </w:tcPr>
          <w:p w14:paraId="6E0953B7">
            <w:pPr>
              <w:widowControl/>
              <w:spacing w:line="360" w:lineRule="auto"/>
              <w:jc w:val="center"/>
              <w:rPr>
                <w:rFonts w:hAnsi="宋体" w:cs="宋体"/>
                <w:b/>
                <w:bCs/>
                <w:color w:val="auto"/>
                <w:szCs w:val="24"/>
                <w:highlight w:val="none"/>
              </w:rPr>
            </w:pPr>
            <w:r>
              <w:rPr>
                <w:rFonts w:hint="eastAsia" w:hAnsi="宋体" w:cs="宋体"/>
                <w:color w:val="auto"/>
                <w:kern w:val="2"/>
                <w:szCs w:val="24"/>
                <w:highlight w:val="none"/>
              </w:rPr>
              <w:t>其他</w:t>
            </w:r>
          </w:p>
        </w:tc>
        <w:tc>
          <w:tcPr>
            <w:tcW w:w="7215" w:type="dxa"/>
            <w:vAlign w:val="center"/>
          </w:tcPr>
          <w:p w14:paraId="29D6E129">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3D4B1D36">
            <w:pPr>
              <w:spacing w:line="360" w:lineRule="auto"/>
              <w:rPr>
                <w:rFonts w:hAnsi="宋体" w:cs="宋体"/>
                <w:color w:val="auto"/>
                <w:szCs w:val="32"/>
                <w:highlight w:val="none"/>
              </w:rPr>
            </w:pPr>
            <w:r>
              <w:rPr>
                <w:rFonts w:hint="eastAsia" w:hAnsi="宋体" w:cs="宋体"/>
                <w:color w:val="auto"/>
                <w:szCs w:val="32"/>
                <w:highlight w:val="none"/>
              </w:rPr>
              <w:t>(http://www.ccgp-shaanxi.gov.cn/zcdservice/zcd/shan xi/）在线申请，依法参加政府采购信用融资活动。</w:t>
            </w:r>
          </w:p>
          <w:p w14:paraId="1F9D64DF">
            <w:pPr>
              <w:spacing w:line="500" w:lineRule="exact"/>
              <w:ind w:firstLine="480" w:firstLineChars="200"/>
              <w:rPr>
                <w:rFonts w:hAnsi="宋体" w:cs="宋体"/>
                <w:b/>
                <w:bCs/>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BC42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592" w:type="dxa"/>
            <w:vAlign w:val="center"/>
          </w:tcPr>
          <w:p w14:paraId="4F46F68F">
            <w:pPr>
              <w:spacing w:afterLines="50" w:line="360" w:lineRule="auto"/>
              <w:jc w:val="center"/>
              <w:rPr>
                <w:rFonts w:hAnsi="宋体" w:cs="宋体"/>
                <w:color w:val="auto"/>
                <w:szCs w:val="24"/>
                <w:highlight w:val="none"/>
              </w:rPr>
            </w:pPr>
            <w:r>
              <w:rPr>
                <w:rFonts w:hint="eastAsia" w:hAnsi="宋体" w:cs="宋体"/>
                <w:color w:val="auto"/>
                <w:szCs w:val="24"/>
                <w:highlight w:val="none"/>
              </w:rPr>
              <w:t>20</w:t>
            </w:r>
          </w:p>
        </w:tc>
        <w:tc>
          <w:tcPr>
            <w:tcW w:w="1090" w:type="dxa"/>
            <w:vAlign w:val="center"/>
          </w:tcPr>
          <w:p w14:paraId="2496B58A">
            <w:pPr>
              <w:spacing w:line="312" w:lineRule="auto"/>
              <w:jc w:val="center"/>
              <w:rPr>
                <w:rFonts w:hAnsi="宋体" w:cs="宋体"/>
                <w:color w:val="auto"/>
                <w:kern w:val="2"/>
                <w:szCs w:val="24"/>
                <w:highlight w:val="none"/>
              </w:rPr>
            </w:pPr>
            <w:r>
              <w:rPr>
                <w:rFonts w:hint="eastAsia" w:hAnsi="宋体" w:cs="宋体"/>
                <w:color w:val="auto"/>
                <w:szCs w:val="24"/>
                <w:highlight w:val="none"/>
              </w:rPr>
              <w:t>价格得分扣减</w:t>
            </w:r>
          </w:p>
        </w:tc>
        <w:tc>
          <w:tcPr>
            <w:tcW w:w="7215" w:type="dxa"/>
            <w:vAlign w:val="center"/>
          </w:tcPr>
          <w:p w14:paraId="4B6AC743">
            <w:pPr>
              <w:spacing w:line="500" w:lineRule="exact"/>
              <w:ind w:firstLine="480" w:firstLineChars="200"/>
              <w:rPr>
                <w:rFonts w:hint="default" w:hAnsi="宋体" w:eastAsia="宋体" w:cs="宋体"/>
                <w:color w:val="auto"/>
                <w:szCs w:val="32"/>
                <w:highlight w:val="none"/>
                <w:lang w:val="en-US" w:eastAsia="zh-CN"/>
              </w:rPr>
            </w:pPr>
            <w:r>
              <w:rPr>
                <w:rFonts w:hint="eastAsia" w:hAnsi="宋体" w:cs="宋体"/>
                <w:color w:val="auto"/>
                <w:szCs w:val="32"/>
                <w:highlight w:val="none"/>
              </w:rPr>
              <w:t>对符合《政府采购促进中小企业发展管理办法》(财库(2020)46号)规定的小微企业(监狱企业视同小型、微型企业)的报价给予10%(10%-20%)的扣除,用扣除后的价格参加评审。</w:t>
            </w:r>
          </w:p>
        </w:tc>
      </w:tr>
      <w:tr w14:paraId="1AA6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3912B5">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21</w:t>
            </w:r>
          </w:p>
        </w:tc>
        <w:tc>
          <w:tcPr>
            <w:tcW w:w="1090" w:type="dxa"/>
            <w:vAlign w:val="center"/>
          </w:tcPr>
          <w:p w14:paraId="78C13052">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备注</w:t>
            </w:r>
          </w:p>
        </w:tc>
        <w:tc>
          <w:tcPr>
            <w:tcW w:w="7215" w:type="dxa"/>
            <w:vAlign w:val="center"/>
          </w:tcPr>
          <w:p w14:paraId="65589C0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235D0687">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color w:val="auto"/>
                <w:highlight w:val="none"/>
              </w:rPr>
              <w:fldChar w:fldCharType="begin"/>
            </w:r>
            <w:r>
              <w:rPr>
                <w:color w:val="auto"/>
                <w:highlight w:val="none"/>
              </w:rPr>
              <w:instrText xml:space="preserve"> HYPERLINK "http://www.ccgp-shaanxi.gov.cn/information/informationDetail.do?informationguid=8a85be3567ed23460167ed36804d0009" </w:instrText>
            </w:r>
            <w:r>
              <w:rPr>
                <w:color w:val="auto"/>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19637806">
      <w:pPr>
        <w:spacing w:beforeLines="50" w:afterLines="50"/>
        <w:jc w:val="center"/>
        <w:outlineLvl w:val="2"/>
        <w:rPr>
          <w:rFonts w:hAnsi="宋体" w:cs="宋体"/>
          <w:color w:val="auto"/>
          <w:sz w:val="32"/>
          <w:szCs w:val="32"/>
          <w:highlight w:val="none"/>
        </w:rPr>
      </w:pPr>
      <w:bookmarkStart w:id="29" w:name="_Toc363473972"/>
      <w:bookmarkStart w:id="30" w:name="_Toc363474017"/>
      <w:bookmarkStart w:id="31" w:name="_Toc403077639"/>
      <w:r>
        <w:rPr>
          <w:rFonts w:hint="eastAsia" w:hAnsi="宋体" w:cs="宋体"/>
          <w:b/>
          <w:color w:val="auto"/>
          <w:sz w:val="32"/>
          <w:szCs w:val="32"/>
          <w:highlight w:val="none"/>
        </w:rPr>
        <w:br w:type="page"/>
      </w:r>
      <w:bookmarkStart w:id="32" w:name="_Toc4670"/>
      <w:bookmarkStart w:id="33" w:name="_Toc27537"/>
      <w:bookmarkStart w:id="34" w:name="_Toc22284"/>
      <w:bookmarkStart w:id="35" w:name="_Toc3623"/>
      <w:bookmarkStart w:id="36" w:name="_Toc30660"/>
      <w:r>
        <w:rPr>
          <w:rFonts w:hint="eastAsia" w:hAnsi="宋体" w:cs="宋体"/>
          <w:b/>
          <w:color w:val="auto"/>
          <w:sz w:val="32"/>
          <w:szCs w:val="32"/>
          <w:highlight w:val="none"/>
        </w:rPr>
        <w:t>一.总  则</w:t>
      </w:r>
      <w:bookmarkEnd w:id="29"/>
      <w:bookmarkEnd w:id="30"/>
      <w:bookmarkEnd w:id="31"/>
      <w:bookmarkEnd w:id="32"/>
      <w:bookmarkEnd w:id="33"/>
      <w:bookmarkEnd w:id="34"/>
      <w:bookmarkEnd w:id="35"/>
      <w:bookmarkEnd w:id="36"/>
    </w:p>
    <w:p w14:paraId="1ADB0052">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466469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1.1本次竞争性磋商所签合同使用财政拨款支付，资金已落实到位。</w:t>
      </w:r>
    </w:p>
    <w:p w14:paraId="3F211C92">
      <w:pPr>
        <w:numPr>
          <w:ilvl w:val="0"/>
          <w:numId w:val="1"/>
        </w:numPr>
        <w:spacing w:line="500" w:lineRule="exact"/>
        <w:rPr>
          <w:rFonts w:hAnsi="宋体" w:cs="宋体"/>
          <w:b/>
          <w:color w:val="auto"/>
          <w:szCs w:val="24"/>
          <w:highlight w:val="none"/>
        </w:rPr>
      </w:pPr>
      <w:bookmarkStart w:id="37" w:name="_Toc363474018"/>
      <w:bookmarkStart w:id="38" w:name="_Toc403077640"/>
      <w:bookmarkStart w:id="39" w:name="_Toc363473973"/>
      <w:r>
        <w:rPr>
          <w:rFonts w:hint="eastAsia" w:hAnsi="宋体" w:cs="宋体"/>
          <w:b/>
          <w:color w:val="auto"/>
          <w:szCs w:val="24"/>
          <w:highlight w:val="none"/>
        </w:rPr>
        <w:t>名词解释</w:t>
      </w:r>
    </w:p>
    <w:p w14:paraId="4161EE52">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2.1采购人：中共西安市委网络安全和信息化委员会办公室</w:t>
      </w:r>
    </w:p>
    <w:p w14:paraId="4694902A">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2.2监督机构：同级人民政府财政部门</w:t>
      </w:r>
    </w:p>
    <w:p w14:paraId="02CE0AC5">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552D7157">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E00B95B">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195E3AD5">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EE4E20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7A93819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78133C73">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7B61084E">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D392DD">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4FD5D00D">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2DFA07BF">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w:t>
      </w:r>
      <w:r>
        <w:rPr>
          <w:rFonts w:hint="eastAsia" w:hAnsi="宋体" w:cs="宋体"/>
          <w:color w:val="auto"/>
          <w:sz w:val="22"/>
          <w:szCs w:val="22"/>
          <w:highlight w:val="none"/>
        </w:rPr>
        <w:t>中华人民共和国</w:t>
      </w:r>
      <w:r>
        <w:rPr>
          <w:rFonts w:hint="eastAsia" w:hAnsi="宋体" w:cs="宋体"/>
          <w:color w:val="auto"/>
          <w:szCs w:val="24"/>
          <w:highlight w:val="none"/>
        </w:rPr>
        <w:t>政府采购法》第二十二条第一款规定的供应商基本资格条件:</w:t>
      </w:r>
    </w:p>
    <w:p w14:paraId="7FD8B3D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38B4A69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3C4266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74088CA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43D03674">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37CBB19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323EC0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1673108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24CBFE7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49CD508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1396FB1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4BD4D566">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08250536">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7522E3F3">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5ECC2FA5">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7CBBC8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1B42C0B">
      <w:pPr>
        <w:keepNext/>
        <w:keepLines/>
        <w:spacing w:beforeLines="100" w:afterLines="50" w:line="360" w:lineRule="auto"/>
        <w:jc w:val="center"/>
        <w:outlineLvl w:val="2"/>
        <w:rPr>
          <w:rFonts w:hAnsi="宋体" w:cs="宋体"/>
          <w:b/>
          <w:color w:val="auto"/>
          <w:sz w:val="32"/>
          <w:szCs w:val="32"/>
          <w:highlight w:val="none"/>
        </w:rPr>
      </w:pPr>
      <w:bookmarkStart w:id="40" w:name="_Toc15249"/>
      <w:bookmarkStart w:id="41" w:name="_Toc31742"/>
      <w:bookmarkStart w:id="42" w:name="_Toc12362"/>
      <w:bookmarkStart w:id="43" w:name="_Toc27903"/>
      <w:bookmarkStart w:id="44" w:name="_Toc30698"/>
      <w:r>
        <w:rPr>
          <w:rFonts w:hint="eastAsia" w:hAnsi="宋体" w:cs="宋体"/>
          <w:b/>
          <w:color w:val="auto"/>
          <w:sz w:val="32"/>
          <w:szCs w:val="32"/>
          <w:highlight w:val="none"/>
        </w:rPr>
        <w:t>二.竞争性磋商文件</w:t>
      </w:r>
      <w:bookmarkEnd w:id="37"/>
      <w:bookmarkEnd w:id="38"/>
      <w:bookmarkEnd w:id="39"/>
      <w:bookmarkEnd w:id="40"/>
      <w:bookmarkEnd w:id="41"/>
      <w:bookmarkEnd w:id="42"/>
      <w:bookmarkEnd w:id="43"/>
      <w:bookmarkEnd w:id="44"/>
    </w:p>
    <w:p w14:paraId="2E1F033D">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0FEA25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094386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第一章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竞争性磋商公告</w:t>
      </w:r>
    </w:p>
    <w:p w14:paraId="4796F0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第二章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供应商须知</w:t>
      </w:r>
    </w:p>
    <w:p w14:paraId="3FA72E9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第三章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评审方法</w:t>
      </w:r>
    </w:p>
    <w:p w14:paraId="1613BF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第四章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合同条款及格式</w:t>
      </w:r>
    </w:p>
    <w:p w14:paraId="7E3B47C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第五章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磋商内容及技术要求</w:t>
      </w:r>
    </w:p>
    <w:p w14:paraId="36EF16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第六章 </w:t>
      </w:r>
      <w:r>
        <w:rPr>
          <w:rFonts w:hint="eastAsia" w:hAnsi="宋体" w:cs="宋体"/>
          <w:color w:val="auto"/>
          <w:szCs w:val="24"/>
          <w:highlight w:val="none"/>
          <w:lang w:val="en-US" w:eastAsia="zh-CN"/>
        </w:rPr>
        <w:t xml:space="preserve"> </w:t>
      </w:r>
      <w:r>
        <w:rPr>
          <w:rFonts w:hint="eastAsia" w:hAnsi="宋体" w:cs="宋体"/>
          <w:color w:val="auto"/>
          <w:szCs w:val="24"/>
          <w:highlight w:val="none"/>
        </w:rPr>
        <w:t>竞争性磋商响应文件构成及格式</w:t>
      </w:r>
    </w:p>
    <w:p w14:paraId="7900DBE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CD4567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7003D107">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50AFCD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076D4D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FD4AC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7.3已经购买竞争性磋商文件的供应商对竞争性磋商文件有疑问的，均应在磋商截止之日起3日前以书面形式向采购代理机构提出。采购代理机构视情况必要时将书面答复传送给所有获取竞争性磋商文件的供应商。</w:t>
      </w:r>
    </w:p>
    <w:p w14:paraId="124953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0623F531">
      <w:pPr>
        <w:keepNext/>
        <w:keepLines/>
        <w:spacing w:beforeLines="100" w:afterLines="50" w:line="360" w:lineRule="auto"/>
        <w:jc w:val="center"/>
        <w:outlineLvl w:val="2"/>
        <w:rPr>
          <w:rFonts w:hAnsi="宋体" w:cs="宋体"/>
          <w:b/>
          <w:color w:val="auto"/>
          <w:sz w:val="32"/>
          <w:szCs w:val="32"/>
          <w:highlight w:val="none"/>
        </w:rPr>
      </w:pPr>
      <w:bookmarkStart w:id="45" w:name="_Toc403077641"/>
      <w:bookmarkStart w:id="46" w:name="_Toc13771"/>
      <w:bookmarkStart w:id="47" w:name="_Toc26653"/>
      <w:bookmarkStart w:id="48" w:name="_Toc363474019"/>
      <w:bookmarkStart w:id="49" w:name="_Toc363473974"/>
      <w:bookmarkStart w:id="50" w:name="_Toc9512"/>
      <w:bookmarkStart w:id="51" w:name="_Toc4913"/>
      <w:bookmarkStart w:id="52" w:name="_Toc28227"/>
      <w:r>
        <w:rPr>
          <w:rFonts w:hint="eastAsia" w:hAnsi="宋体" w:cs="宋体"/>
          <w:b/>
          <w:color w:val="auto"/>
          <w:sz w:val="32"/>
          <w:szCs w:val="32"/>
          <w:highlight w:val="none"/>
        </w:rPr>
        <w:t>三.磋商响应文件的编制</w:t>
      </w:r>
      <w:bookmarkEnd w:id="45"/>
      <w:bookmarkEnd w:id="46"/>
      <w:bookmarkEnd w:id="47"/>
      <w:bookmarkEnd w:id="48"/>
      <w:bookmarkEnd w:id="49"/>
      <w:bookmarkEnd w:id="50"/>
      <w:bookmarkEnd w:id="51"/>
      <w:bookmarkEnd w:id="52"/>
    </w:p>
    <w:p w14:paraId="4C85A5E3">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6C632407">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73BE85E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6A92DD09">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002A7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406F4B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59187EF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5AB04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BE5DB4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0E2A411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306027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174BEB7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9B76B4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76A0083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202C8B02">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7E8BE697">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2DB6A8DB">
      <w:pPr>
        <w:spacing w:line="360" w:lineRule="auto"/>
        <w:ind w:firstLine="480"/>
        <w:rPr>
          <w:rFonts w:hAnsi="宋体" w:cs="宋体"/>
          <w:color w:val="auto"/>
          <w:szCs w:val="24"/>
          <w:highlight w:val="none"/>
        </w:rPr>
      </w:pPr>
      <w:r>
        <w:rPr>
          <w:rFonts w:hint="eastAsia" w:hAnsi="宋体" w:cs="宋体"/>
          <w:color w:val="auto"/>
          <w:szCs w:val="24"/>
          <w:highlight w:val="none"/>
        </w:rPr>
        <w:t>11.1磋商报价：磋商报价是供应商为完成本项目要求的全部服务内容最终价格的体现。</w:t>
      </w:r>
    </w:p>
    <w:p w14:paraId="202FCA5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p>
    <w:p w14:paraId="4EBBE46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B71CC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6299A00B">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77C317F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3F40E80">
      <w:pPr>
        <w:spacing w:line="360" w:lineRule="auto"/>
        <w:rPr>
          <w:rFonts w:hAnsi="宋体" w:cs="宋体"/>
          <w:b/>
          <w:color w:val="auto"/>
          <w:szCs w:val="24"/>
          <w:highlight w:val="none"/>
        </w:rPr>
      </w:pPr>
      <w:r>
        <w:rPr>
          <w:rFonts w:hint="eastAsia" w:hAnsi="宋体" w:cs="宋体"/>
          <w:b/>
          <w:color w:val="auto"/>
          <w:szCs w:val="24"/>
          <w:highlight w:val="none"/>
        </w:rPr>
        <w:t>13.证明服务符合竞争性磋商文件规定的文件</w:t>
      </w:r>
    </w:p>
    <w:p w14:paraId="2AA313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13.1供应商应在竞争性磋商响应文件中提交服务满足竞争性磋商文件要求并符合国家法律法规、行业管理部门要求的其他强制性标准的证明文件。</w:t>
      </w:r>
    </w:p>
    <w:p w14:paraId="6B2E4B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13.2 供应商须提供全部服务内容的详细说明。</w:t>
      </w:r>
    </w:p>
    <w:p w14:paraId="642B9FCB">
      <w:pPr>
        <w:spacing w:line="360" w:lineRule="auto"/>
        <w:rPr>
          <w:rFonts w:hAnsi="宋体" w:cs="宋体"/>
          <w:b/>
          <w:color w:val="auto"/>
          <w:szCs w:val="24"/>
          <w:highlight w:val="none"/>
        </w:rPr>
      </w:pPr>
      <w:r>
        <w:rPr>
          <w:rFonts w:hint="eastAsia" w:hAnsi="宋体" w:cs="宋体"/>
          <w:b/>
          <w:color w:val="auto"/>
          <w:szCs w:val="24"/>
          <w:highlight w:val="none"/>
        </w:rPr>
        <w:t>14.磋商保证金</w:t>
      </w:r>
    </w:p>
    <w:p w14:paraId="045BEBE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55D3F6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94752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9C4917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2C42A6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15EDC0D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2A667F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983600C">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5F5CFE1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02EF8A0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36E00E1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供应商成交后放弃成交或未能按规定签订合同；或未能按规定缴纳成交代理服务费。</w:t>
      </w:r>
    </w:p>
    <w:p w14:paraId="700151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7340649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73C9C56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B84C005">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3F680A6B">
      <w:pPr>
        <w:spacing w:line="360" w:lineRule="auto"/>
        <w:ind w:firstLine="480" w:firstLineChars="200"/>
        <w:rPr>
          <w:rFonts w:hAnsi="宋体" w:cs="宋体"/>
          <w:color w:val="auto"/>
          <w:szCs w:val="24"/>
          <w:highlight w:val="none"/>
        </w:rPr>
      </w:pPr>
      <w:bookmarkStart w:id="5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53"/>
    </w:p>
    <w:p w14:paraId="32BE68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D0C86D6">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1B4086A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color w:val="auto"/>
          <w:spacing w:val="4"/>
          <w:highlight w:val="none"/>
        </w:rPr>
        <w:t>电子版（U盘）</w:t>
      </w:r>
      <w:r>
        <w:rPr>
          <w:rFonts w:hint="eastAsia" w:hAnsi="宋体" w:cs="宋体"/>
          <w:color w:val="auto"/>
          <w:szCs w:val="24"/>
          <w:highlight w:val="none"/>
        </w:rPr>
        <w:t>并在盘面标注供应商全称、项目名称、项目编号，并与竞争性磋商响应文件同时递交。</w:t>
      </w:r>
    </w:p>
    <w:p w14:paraId="0C3B00A5">
      <w:pPr>
        <w:spacing w:line="500" w:lineRule="exact"/>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385F23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7078407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16.4供应商名称应填写全称。磋商响应文件正本及所有副本必须逐页加盖供应商公章（鲜章），否则按无效处理。</w:t>
      </w:r>
    </w:p>
    <w:p w14:paraId="2AADBCE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6C040207">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4ECE7AA5">
      <w:pPr>
        <w:keepNext/>
        <w:keepLines/>
        <w:spacing w:beforeLines="100" w:afterLines="50" w:line="360" w:lineRule="auto"/>
        <w:jc w:val="center"/>
        <w:outlineLvl w:val="2"/>
        <w:rPr>
          <w:rFonts w:hAnsi="宋体" w:cs="宋体"/>
          <w:b/>
          <w:color w:val="auto"/>
          <w:sz w:val="32"/>
          <w:szCs w:val="32"/>
          <w:highlight w:val="none"/>
        </w:rPr>
      </w:pPr>
      <w:bookmarkStart w:id="54" w:name="_Toc18686"/>
      <w:bookmarkStart w:id="55" w:name="_Toc20799"/>
      <w:bookmarkStart w:id="56" w:name="_Toc13194"/>
      <w:bookmarkStart w:id="57" w:name="_Toc12266"/>
      <w:bookmarkStart w:id="58" w:name="_Toc28120"/>
      <w:r>
        <w:rPr>
          <w:rFonts w:hint="eastAsia" w:hAnsi="宋体" w:cs="宋体"/>
          <w:b/>
          <w:color w:val="auto"/>
          <w:sz w:val="32"/>
          <w:szCs w:val="32"/>
          <w:highlight w:val="none"/>
        </w:rPr>
        <w:t>四.竞争性磋商响应文件的递交</w:t>
      </w:r>
      <w:bookmarkEnd w:id="54"/>
      <w:bookmarkEnd w:id="55"/>
      <w:bookmarkEnd w:id="56"/>
      <w:bookmarkEnd w:id="57"/>
      <w:bookmarkEnd w:id="58"/>
    </w:p>
    <w:p w14:paraId="7B0B077C">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BDAC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6DB5DBF3">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p w14:paraId="7EA8BC2F">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5AD868D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09FEAD0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602C93EF">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3）正本或副本“请勿在＿＿＿＿＿(磋商时间)之前启封”。</w:t>
      </w:r>
    </w:p>
    <w:p w14:paraId="6C74B98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17.4如果供应商未对竞争性磋商响应文件按上述要求进行完好密封，由此产生的不利后果由供应商自行承担。</w:t>
      </w:r>
    </w:p>
    <w:p w14:paraId="3D032E12">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296F6D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58D8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478F6E2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6B5374D6">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221E57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76F034F6">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72ABB31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70100D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19B944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4D74A7F4">
      <w:pPr>
        <w:keepNext/>
        <w:keepLines/>
        <w:spacing w:beforeLines="100" w:afterLines="50" w:line="360" w:lineRule="auto"/>
        <w:jc w:val="center"/>
        <w:outlineLvl w:val="2"/>
        <w:rPr>
          <w:rFonts w:hAnsi="宋体" w:cs="宋体"/>
          <w:b/>
          <w:color w:val="auto"/>
          <w:sz w:val="32"/>
          <w:szCs w:val="32"/>
          <w:highlight w:val="none"/>
        </w:rPr>
      </w:pPr>
      <w:bookmarkStart w:id="59" w:name="_Toc22043"/>
      <w:bookmarkStart w:id="60" w:name="_Toc15436"/>
      <w:bookmarkStart w:id="61" w:name="_Toc363473976"/>
      <w:bookmarkStart w:id="62" w:name="_Toc13669"/>
      <w:bookmarkStart w:id="63" w:name="_Toc25852"/>
      <w:bookmarkStart w:id="64" w:name="_Toc403077643"/>
      <w:bookmarkStart w:id="65" w:name="_Toc30850"/>
      <w:bookmarkStart w:id="66" w:name="_Toc363474021"/>
      <w:r>
        <w:rPr>
          <w:rFonts w:hint="eastAsia" w:hAnsi="宋体" w:cs="宋体"/>
          <w:b/>
          <w:color w:val="auto"/>
          <w:sz w:val="32"/>
          <w:szCs w:val="32"/>
          <w:highlight w:val="none"/>
        </w:rPr>
        <w:t>五.磋商与评标</w:t>
      </w:r>
      <w:bookmarkEnd w:id="59"/>
      <w:bookmarkEnd w:id="60"/>
      <w:bookmarkEnd w:id="61"/>
      <w:bookmarkEnd w:id="62"/>
      <w:bookmarkEnd w:id="63"/>
      <w:bookmarkEnd w:id="64"/>
      <w:bookmarkEnd w:id="65"/>
      <w:bookmarkEnd w:id="66"/>
    </w:p>
    <w:p w14:paraId="688393B9">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3384C4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641C8345">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21.2采购代理机构将做好磋商记录，存档备查。</w:t>
      </w:r>
    </w:p>
    <w:p w14:paraId="39105E2E">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61E0DBD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3A430B8E">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24FDDAF">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w:t>
      </w: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资格审查小组和磋商小组</w:t>
      </w:r>
      <w:r>
        <w:rPr>
          <w:rFonts w:hAnsi="宋体"/>
          <w:color w:val="auto"/>
          <w:szCs w:val="24"/>
          <w:highlight w:val="none"/>
        </w:rPr>
        <w:t>。</w:t>
      </w:r>
      <w:r>
        <w:rPr>
          <w:rFonts w:hint="eastAsia" w:hAnsi="宋体"/>
          <w:color w:val="auto"/>
          <w:szCs w:val="24"/>
          <w:highlight w:val="none"/>
        </w:rPr>
        <w:t>资格审查小组由采购人代表和代理机构代表组成，成员人数应当为3人以上单数。磋商小组由采购人代表和评审专家组成，成员人数应当为3人以上单数，其中采购人代表须持有授权书。磋商小组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r>
        <w:rPr>
          <w:rFonts w:hint="eastAsia" w:hAnsi="宋体" w:cs="宋体"/>
          <w:color w:val="auto"/>
          <w:szCs w:val="24"/>
          <w:highlight w:val="none"/>
        </w:rPr>
        <w:t>。</w:t>
      </w:r>
    </w:p>
    <w:p w14:paraId="056003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09ED7D6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DCDE2A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13A8C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394604D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514371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4AB278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5C141E5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5921A5B">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19A6A9E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E838D9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5BF93EF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2749A0A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6F99B6D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3C7903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4121109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C85A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3058CF4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5C13D53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2）竞争性磋商响应文件未按竞争性磋商文件要求密封、签署、盖章的；</w:t>
      </w:r>
    </w:p>
    <w:p w14:paraId="70939F8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3）供应商未提交有效的磋商保证金或金额不足的、磋商保证金形式不符合竞争性磋商文件要求的；</w:t>
      </w:r>
    </w:p>
    <w:p w14:paraId="647876C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4）资格证明文件不全的或无效的，或不符合国家规定的；</w:t>
      </w:r>
    </w:p>
    <w:p w14:paraId="39F18A5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5）竞争性磋商响应文件无供应商公章、无法定代表人签字或签字人无法定代表人有效委托书的；</w:t>
      </w:r>
    </w:p>
    <w:p w14:paraId="13220E6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8DF9A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7）供应商在同一份竞争性磋商响应文件中，有两个或多个报价的；</w:t>
      </w:r>
    </w:p>
    <w:p w14:paraId="4F465DF1">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8）存在有重大缺漏项和重大偏离的；</w:t>
      </w:r>
    </w:p>
    <w:p w14:paraId="1C8C044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7355132C">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10）磋商总报价低于成本或者高于竞争性磋商文件公布的采购预算的。</w:t>
      </w:r>
    </w:p>
    <w:p w14:paraId="79B5A6E2">
      <w:pPr>
        <w:pStyle w:val="19"/>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6FAD219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12）竞争性磋商响应文件不符合法律法规要求的；</w:t>
      </w:r>
    </w:p>
    <w:p w14:paraId="5B59D88F">
      <w:pPr>
        <w:pStyle w:val="19"/>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715251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950583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342EBB9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70AE23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2E8A21F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1B3237CE">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73D1F99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5FABAAEA">
      <w:pPr>
        <w:jc w:val="left"/>
        <w:rPr>
          <w:rFonts w:hAnsi="宋体" w:cs="宋体"/>
          <w:b/>
          <w:color w:val="auto"/>
          <w:szCs w:val="24"/>
          <w:highlight w:val="none"/>
        </w:rPr>
      </w:pPr>
      <w:r>
        <w:rPr>
          <w:rFonts w:hint="eastAsia" w:hAnsi="宋体" w:cs="宋体"/>
          <w:b/>
          <w:color w:val="auto"/>
          <w:szCs w:val="24"/>
          <w:highlight w:val="none"/>
        </w:rPr>
        <w:t>25．评审方法</w:t>
      </w:r>
    </w:p>
    <w:p w14:paraId="31C79E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AA06E22">
      <w:pPr>
        <w:keepNext/>
        <w:keepLines/>
        <w:spacing w:beforeLines="100" w:afterLines="50" w:line="360" w:lineRule="auto"/>
        <w:jc w:val="center"/>
        <w:outlineLvl w:val="2"/>
        <w:rPr>
          <w:rFonts w:hAnsi="宋体" w:cs="宋体"/>
          <w:b/>
          <w:color w:val="auto"/>
          <w:sz w:val="32"/>
          <w:szCs w:val="32"/>
          <w:highlight w:val="none"/>
        </w:rPr>
      </w:pPr>
      <w:bookmarkStart w:id="67" w:name="_Toc7759"/>
      <w:bookmarkStart w:id="68" w:name="_Toc29694"/>
      <w:bookmarkStart w:id="69" w:name="_Toc29146"/>
      <w:bookmarkStart w:id="70" w:name="_Toc15100"/>
      <w:bookmarkStart w:id="71" w:name="_Toc24420"/>
      <w:r>
        <w:rPr>
          <w:rFonts w:hint="eastAsia" w:hAnsi="宋体" w:cs="宋体"/>
          <w:b/>
          <w:color w:val="auto"/>
          <w:sz w:val="32"/>
          <w:szCs w:val="32"/>
          <w:highlight w:val="none"/>
        </w:rPr>
        <w:t>六.成交、通知与签约</w:t>
      </w:r>
      <w:bookmarkEnd w:id="67"/>
      <w:bookmarkEnd w:id="68"/>
      <w:bookmarkEnd w:id="69"/>
      <w:bookmarkEnd w:id="70"/>
      <w:bookmarkEnd w:id="71"/>
    </w:p>
    <w:p w14:paraId="0AB47BB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6247C1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675DB3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40B65E7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1C0C7B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19692BB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27AE075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77687630">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6634FE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1B418F7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99407AC">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408CA2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15A2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78D82F4B">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4443052B">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不足6000元按6000元收取。</w:t>
      </w:r>
    </w:p>
    <w:p w14:paraId="5556B5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29.2本项目代理服务费由中标单位支付，中标单位应依据成交金额向招标代理机构交纳招标代理服务费。</w:t>
      </w:r>
    </w:p>
    <w:p w14:paraId="2E319217">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19A3D154">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1、采购代理机构开户名称: 陕西至诚项目管理集团有限公司</w:t>
      </w:r>
    </w:p>
    <w:p w14:paraId="4F10F33C">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2、开户行名称：中国建设银行股份有限公司西安高新技术产业开发区支行</w:t>
      </w:r>
    </w:p>
    <w:p w14:paraId="6D8EC207">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3、账号：61050192090000002152</w:t>
      </w:r>
    </w:p>
    <w:p w14:paraId="6B0D706E">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B45F489">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B2289F">
      <w:pPr>
        <w:spacing w:line="500" w:lineRule="exact"/>
        <w:ind w:right="12" w:firstLine="480"/>
        <w:rPr>
          <w:rStyle w:val="25"/>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1E44F10C">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5C91B3">
      <w:pPr>
        <w:spacing w:line="500" w:lineRule="exact"/>
        <w:ind w:left="3" w:firstLine="518" w:firstLineChars="216"/>
        <w:rPr>
          <w:rStyle w:val="25"/>
          <w:rFonts w:hAnsi="宋体" w:cs="宋体"/>
          <w:b w:val="0"/>
          <w:color w:val="auto"/>
          <w:szCs w:val="24"/>
          <w:highlight w:val="none"/>
          <w:shd w:val="clear" w:color="auto" w:fill="FFFFFF"/>
        </w:rPr>
      </w:pPr>
      <w:r>
        <w:rPr>
          <w:rStyle w:val="25"/>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5131905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56588463">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5331BEE6">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6814B3D5">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01A0F197">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200C348A">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0559B8B6">
      <w:pPr>
        <w:spacing w:line="500" w:lineRule="exact"/>
        <w:ind w:right="12" w:firstLine="480" w:firstLineChars="200"/>
        <w:rPr>
          <w:rStyle w:val="25"/>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12BB8839">
      <w:pPr>
        <w:widowControl/>
        <w:spacing w:line="360" w:lineRule="auto"/>
        <w:ind w:firstLine="480" w:firstLineChars="200"/>
        <w:rPr>
          <w:rFonts w:hAnsi="宋体" w:cs="宋体"/>
          <w:color w:val="auto"/>
          <w:highlight w:val="none"/>
        </w:rPr>
      </w:pPr>
      <w:r>
        <w:rPr>
          <w:rFonts w:hint="eastAsia" w:hAnsi="宋体" w:cs="宋体"/>
          <w:color w:val="auto"/>
          <w:highlight w:val="none"/>
        </w:rPr>
        <w:t>30.6有下列情形之一的，属于无效质疑，采购代理机构和采购人不予受理：</w:t>
      </w:r>
    </w:p>
    <w:p w14:paraId="22BB598E">
      <w:pPr>
        <w:widowControl/>
        <w:spacing w:line="360" w:lineRule="auto"/>
        <w:ind w:firstLine="480" w:firstLineChars="200"/>
        <w:rPr>
          <w:rFonts w:hAnsi="宋体" w:cs="宋体"/>
          <w:color w:val="auto"/>
          <w:highlight w:val="none"/>
        </w:rPr>
      </w:pPr>
      <w:r>
        <w:rPr>
          <w:rFonts w:hint="eastAsia" w:hAnsi="宋体" w:cs="宋体"/>
          <w:color w:val="auto"/>
          <w:highlight w:val="none"/>
        </w:rPr>
        <w:t>30.6.1质疑供应商不是参与本次政府采购项目的供应商；</w:t>
      </w:r>
    </w:p>
    <w:p w14:paraId="58075677">
      <w:pPr>
        <w:widowControl/>
        <w:spacing w:line="360" w:lineRule="auto"/>
        <w:ind w:firstLine="480" w:firstLineChars="200"/>
        <w:rPr>
          <w:rFonts w:hAnsi="宋体" w:cs="宋体"/>
          <w:color w:val="auto"/>
          <w:highlight w:val="none"/>
        </w:rPr>
      </w:pPr>
      <w:r>
        <w:rPr>
          <w:rFonts w:hint="eastAsia" w:hAnsi="宋体" w:cs="宋体"/>
          <w:color w:val="auto"/>
          <w:highlight w:val="none"/>
        </w:rPr>
        <w:t>30.6.2质疑供应商与质疑事项不存在利害关系的；</w:t>
      </w:r>
    </w:p>
    <w:p w14:paraId="23E33EA5">
      <w:pPr>
        <w:widowControl/>
        <w:spacing w:line="360" w:lineRule="auto"/>
        <w:ind w:firstLine="480" w:firstLineChars="200"/>
        <w:rPr>
          <w:rFonts w:hAnsi="宋体" w:cs="宋体"/>
          <w:color w:val="auto"/>
          <w:highlight w:val="none"/>
        </w:rPr>
      </w:pPr>
      <w:r>
        <w:rPr>
          <w:rFonts w:hint="eastAsia" w:hAnsi="宋体" w:cs="宋体"/>
          <w:color w:val="auto"/>
          <w:highlight w:val="none"/>
        </w:rPr>
        <w:t>30.6.3未在法定期限内提出质疑的；</w:t>
      </w:r>
    </w:p>
    <w:p w14:paraId="536720BB">
      <w:pPr>
        <w:widowControl/>
        <w:spacing w:line="360" w:lineRule="auto"/>
        <w:ind w:firstLine="480" w:firstLineChars="200"/>
        <w:rPr>
          <w:rFonts w:hAnsi="宋体" w:cs="宋体"/>
          <w:color w:val="auto"/>
          <w:highlight w:val="none"/>
        </w:rPr>
      </w:pPr>
      <w:r>
        <w:rPr>
          <w:rFonts w:hint="eastAsia" w:hAnsi="宋体" w:cs="宋体"/>
          <w:color w:val="auto"/>
          <w:highlight w:val="none"/>
        </w:rPr>
        <w:t>30.6.4质疑未以书面形式提出，或质疑函主要内容构成不完整的；</w:t>
      </w:r>
    </w:p>
    <w:p w14:paraId="4651AB30">
      <w:pPr>
        <w:widowControl/>
        <w:spacing w:line="360" w:lineRule="auto"/>
        <w:ind w:firstLine="480" w:firstLineChars="200"/>
        <w:rPr>
          <w:rFonts w:hAnsi="宋体" w:cs="宋体"/>
          <w:color w:val="auto"/>
          <w:highlight w:val="none"/>
        </w:rPr>
      </w:pPr>
      <w:r>
        <w:rPr>
          <w:rFonts w:hint="eastAsia" w:hAnsi="宋体" w:cs="宋体"/>
          <w:color w:val="auto"/>
          <w:highlight w:val="none"/>
        </w:rPr>
        <w:t>30.6.5应当提交授权书而未提交的；</w:t>
      </w:r>
    </w:p>
    <w:p w14:paraId="29FD2410">
      <w:pPr>
        <w:widowControl/>
        <w:spacing w:line="360" w:lineRule="auto"/>
        <w:ind w:firstLine="480" w:firstLineChars="200"/>
        <w:rPr>
          <w:rFonts w:hAnsi="宋体" w:cs="宋体"/>
          <w:color w:val="auto"/>
          <w:highlight w:val="none"/>
        </w:rPr>
      </w:pPr>
      <w:r>
        <w:rPr>
          <w:rFonts w:hint="eastAsia" w:hAnsi="宋体" w:cs="宋体"/>
          <w:color w:val="auto"/>
          <w:highlight w:val="none"/>
        </w:rPr>
        <w:t>30.6.6以非法手段取得证据、材料的；</w:t>
      </w:r>
    </w:p>
    <w:p w14:paraId="292100D2">
      <w:pPr>
        <w:widowControl/>
        <w:spacing w:line="360" w:lineRule="auto"/>
        <w:ind w:firstLine="480" w:firstLineChars="200"/>
        <w:rPr>
          <w:rFonts w:hAnsi="宋体" w:cs="宋体"/>
          <w:color w:val="auto"/>
          <w:highlight w:val="none"/>
        </w:rPr>
      </w:pPr>
      <w:r>
        <w:rPr>
          <w:rFonts w:hint="eastAsia" w:hAnsi="宋体" w:cs="宋体"/>
          <w:color w:val="auto"/>
          <w:highlight w:val="none"/>
        </w:rPr>
        <w:t>30.6.7质疑答复后，同一质疑人就同一事项或同一采购程序环节再次提出质疑的；</w:t>
      </w:r>
    </w:p>
    <w:p w14:paraId="5ABFDDE9">
      <w:pPr>
        <w:widowControl/>
        <w:spacing w:line="360" w:lineRule="auto"/>
        <w:ind w:firstLine="480" w:firstLineChars="200"/>
        <w:rPr>
          <w:rFonts w:hAnsi="宋体" w:cs="宋体"/>
          <w:color w:val="auto"/>
          <w:highlight w:val="none"/>
        </w:rPr>
      </w:pPr>
      <w:r>
        <w:rPr>
          <w:rFonts w:hint="eastAsia" w:hAnsi="宋体" w:cs="宋体"/>
          <w:color w:val="auto"/>
          <w:highlight w:val="none"/>
        </w:rPr>
        <w:t>30.6.8不符合法律、法规、规章和政府采购监管机构规定的其他条件的。</w:t>
      </w:r>
    </w:p>
    <w:p w14:paraId="61BD182B">
      <w:pPr>
        <w:widowControl/>
        <w:spacing w:line="360" w:lineRule="auto"/>
        <w:ind w:firstLine="480" w:firstLineChars="200"/>
        <w:rPr>
          <w:rFonts w:hAnsi="宋体" w:cs="宋体"/>
          <w:color w:val="auto"/>
          <w:highlight w:val="none"/>
        </w:rPr>
      </w:pPr>
      <w:r>
        <w:rPr>
          <w:rFonts w:hint="eastAsia" w:hAnsi="宋体" w:cs="宋体"/>
          <w:color w:val="auto"/>
          <w:highlight w:val="none"/>
        </w:rPr>
        <w:t>30.7质疑答复</w:t>
      </w:r>
    </w:p>
    <w:p w14:paraId="654F04C9">
      <w:pPr>
        <w:widowControl/>
        <w:spacing w:line="360" w:lineRule="auto"/>
        <w:ind w:firstLine="480" w:firstLineChars="200"/>
        <w:rPr>
          <w:rFonts w:hAnsi="宋体" w:cs="宋体"/>
          <w:color w:val="auto"/>
          <w:highlight w:val="none"/>
        </w:rPr>
      </w:pPr>
      <w:r>
        <w:rPr>
          <w:rFonts w:hint="eastAsia" w:hAnsi="宋体" w:cs="宋体"/>
          <w:color w:val="auto"/>
          <w:highlight w:val="none"/>
        </w:rPr>
        <w:t>30.7.1采购人或采购代理机构在收到质疑函后7个工作日内作出答复，并以书面形式通知质疑供应商和其他有关供应商。</w:t>
      </w:r>
    </w:p>
    <w:p w14:paraId="2DC51516">
      <w:pPr>
        <w:spacing w:line="360" w:lineRule="auto"/>
        <w:rPr>
          <w:rFonts w:hAnsi="宋体" w:cs="宋体"/>
          <w:b/>
          <w:color w:val="auto"/>
          <w:szCs w:val="24"/>
          <w:highlight w:val="none"/>
        </w:rPr>
      </w:pPr>
      <w:r>
        <w:rPr>
          <w:rFonts w:hint="eastAsia" w:hAnsi="宋体" w:cs="宋体"/>
          <w:b/>
          <w:color w:val="auto"/>
          <w:szCs w:val="24"/>
          <w:highlight w:val="none"/>
        </w:rPr>
        <w:t>31.其他</w:t>
      </w:r>
    </w:p>
    <w:p w14:paraId="724483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31C508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7CE158A">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D33F824">
      <w:pPr>
        <w:spacing w:line="360" w:lineRule="auto"/>
        <w:ind w:firstLine="480" w:firstLineChars="200"/>
        <w:rPr>
          <w:rFonts w:hAnsi="宋体" w:cs="宋体"/>
          <w:color w:val="auto"/>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72" w:name="_Toc363474023"/>
    </w:p>
    <w:p w14:paraId="0A08DA7C">
      <w:pPr>
        <w:pStyle w:val="2"/>
        <w:numPr>
          <w:ilvl w:val="0"/>
          <w:numId w:val="0"/>
        </w:numPr>
        <w:jc w:val="center"/>
        <w:rPr>
          <w:rFonts w:ascii="宋体" w:eastAsia="宋体" w:cs="宋体"/>
          <w:color w:val="auto"/>
          <w:highlight w:val="none"/>
        </w:rPr>
      </w:pPr>
      <w:bookmarkStart w:id="73" w:name="_Toc25783"/>
      <w:bookmarkStart w:id="74" w:name="_Toc403077645"/>
      <w:bookmarkStart w:id="75" w:name="_Toc423973074"/>
      <w:r>
        <w:rPr>
          <w:rFonts w:hint="eastAsia" w:ascii="宋体" w:eastAsia="宋体" w:cs="宋体"/>
          <w:bCs/>
          <w:color w:val="auto"/>
          <w:sz w:val="36"/>
          <w:szCs w:val="36"/>
          <w:highlight w:val="none"/>
        </w:rPr>
        <w:br w:type="page"/>
      </w:r>
      <w:bookmarkStart w:id="76" w:name="_Toc22973"/>
      <w:r>
        <w:rPr>
          <w:rFonts w:hint="eastAsia" w:ascii="宋体" w:eastAsia="宋体" w:cs="宋体"/>
          <w:bCs/>
          <w:color w:val="auto"/>
          <w:sz w:val="36"/>
          <w:szCs w:val="36"/>
          <w:highlight w:val="none"/>
          <w:lang w:val="en-US" w:eastAsia="zh-CN"/>
        </w:rPr>
        <w:t>第三章</w:t>
      </w:r>
      <w:r>
        <w:rPr>
          <w:rFonts w:hint="eastAsia" w:ascii="宋体" w:eastAsia="宋体" w:cs="宋体"/>
          <w:bCs/>
          <w:color w:val="auto"/>
          <w:sz w:val="36"/>
          <w:szCs w:val="36"/>
          <w:highlight w:val="none"/>
        </w:rPr>
        <w:t xml:space="preserve">  </w:t>
      </w:r>
      <w:bookmarkStart w:id="77" w:name="_Toc9687"/>
      <w:bookmarkStart w:id="78" w:name="_Toc11536"/>
      <w:r>
        <w:rPr>
          <w:rFonts w:hint="eastAsia" w:ascii="宋体" w:eastAsia="宋体" w:cs="宋体"/>
          <w:bCs/>
          <w:color w:val="auto"/>
          <w:sz w:val="36"/>
          <w:szCs w:val="36"/>
          <w:highlight w:val="none"/>
        </w:rPr>
        <w:t>评审方法</w:t>
      </w:r>
      <w:bookmarkEnd w:id="76"/>
      <w:bookmarkEnd w:id="77"/>
      <w:bookmarkEnd w:id="78"/>
    </w:p>
    <w:p w14:paraId="54A0580A">
      <w:pPr>
        <w:spacing w:line="360" w:lineRule="auto"/>
        <w:outlineLvl w:val="1"/>
        <w:rPr>
          <w:rFonts w:hAnsi="宋体" w:cs="宋体"/>
          <w:b/>
          <w:color w:val="auto"/>
          <w:szCs w:val="24"/>
          <w:highlight w:val="none"/>
        </w:rPr>
      </w:pPr>
      <w:bookmarkStart w:id="79" w:name="_Toc32051"/>
      <w:bookmarkStart w:id="80" w:name="_Toc7988"/>
      <w:bookmarkStart w:id="81" w:name="_Toc23722"/>
      <w:bookmarkStart w:id="82" w:name="_Toc28665"/>
      <w:bookmarkStart w:id="83" w:name="_Toc26649"/>
      <w:bookmarkStart w:id="84" w:name="_Toc23762"/>
      <w:r>
        <w:rPr>
          <w:rFonts w:hint="eastAsia" w:hAnsi="宋体" w:cs="宋体"/>
          <w:b/>
          <w:color w:val="auto"/>
          <w:szCs w:val="24"/>
          <w:highlight w:val="none"/>
        </w:rPr>
        <w:t>一、评审方法</w:t>
      </w:r>
      <w:bookmarkEnd w:id="79"/>
      <w:bookmarkEnd w:id="80"/>
      <w:bookmarkEnd w:id="81"/>
      <w:bookmarkEnd w:id="82"/>
      <w:bookmarkEnd w:id="83"/>
      <w:bookmarkEnd w:id="84"/>
    </w:p>
    <w:p w14:paraId="6F03D154">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41B5FAF">
      <w:pPr>
        <w:spacing w:line="500" w:lineRule="exact"/>
        <w:outlineLvl w:val="1"/>
        <w:rPr>
          <w:rFonts w:hAnsi="宋体" w:cs="宋体"/>
          <w:b/>
          <w:color w:val="auto"/>
          <w:spacing w:val="4"/>
          <w:szCs w:val="24"/>
          <w:highlight w:val="none"/>
        </w:rPr>
      </w:pPr>
      <w:bookmarkStart w:id="85" w:name="_Toc20714"/>
      <w:bookmarkStart w:id="86" w:name="_Toc27029"/>
      <w:bookmarkStart w:id="87" w:name="_Toc20625"/>
      <w:bookmarkStart w:id="88" w:name="_Toc23145"/>
      <w:bookmarkStart w:id="89" w:name="_Toc2374"/>
      <w:bookmarkStart w:id="90" w:name="_Toc27615"/>
      <w:r>
        <w:rPr>
          <w:rFonts w:hint="eastAsia" w:hAnsi="宋体" w:cs="宋体"/>
          <w:b/>
          <w:color w:val="auto"/>
          <w:spacing w:val="4"/>
          <w:szCs w:val="24"/>
          <w:highlight w:val="none"/>
        </w:rPr>
        <w:t>二、评审程序</w:t>
      </w:r>
      <w:bookmarkEnd w:id="85"/>
      <w:bookmarkEnd w:id="86"/>
      <w:bookmarkEnd w:id="87"/>
      <w:bookmarkEnd w:id="88"/>
      <w:bookmarkEnd w:id="89"/>
      <w:bookmarkEnd w:id="90"/>
    </w:p>
    <w:p w14:paraId="749BD7B8">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42482F17">
      <w:pPr>
        <w:numPr>
          <w:ilvl w:val="0"/>
          <w:numId w:val="3"/>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468563AA">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lang w:val="en-US" w:eastAsia="zh-CN"/>
        </w:rPr>
        <w:t>采购人及采购代理机构</w:t>
      </w:r>
      <w:r>
        <w:rPr>
          <w:rFonts w:hint="eastAsia" w:hAnsi="宋体" w:cs="宋体"/>
          <w:color w:val="auto"/>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09A94C7">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3B894B9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3C28165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6BCFF41">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50DE92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6E8DF0E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w:t>
      </w:r>
    </w:p>
    <w:p w14:paraId="69C31024">
      <w:pPr>
        <w:spacing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66BE5529">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5069FA1">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4FBC21D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得内容，需经采购人代表确认。</w:t>
      </w:r>
    </w:p>
    <w:p w14:paraId="1CE6A32C">
      <w:pPr>
        <w:pStyle w:val="9"/>
        <w:ind w:firstLine="482"/>
        <w:rPr>
          <w:color w:val="auto"/>
          <w:kern w:val="0"/>
          <w:highlight w:val="none"/>
        </w:rPr>
      </w:pPr>
      <w:r>
        <w:rPr>
          <w:rFonts w:hint="eastAsia"/>
          <w:b/>
          <w:bCs/>
          <w:color w:val="auto"/>
          <w:highlight w:val="none"/>
        </w:rPr>
        <w:t>4、综合评审：</w:t>
      </w:r>
      <w:r>
        <w:rPr>
          <w:rFonts w:hint="eastAsia"/>
          <w:color w:val="auto"/>
          <w:kern w:val="0"/>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91" w:name="_Toc17111"/>
      <w:bookmarkStart w:id="92" w:name="_Toc7905"/>
      <w:bookmarkStart w:id="93" w:name="_Toc4428"/>
      <w:bookmarkStart w:id="94" w:name="_Toc24776"/>
      <w:bookmarkStart w:id="95" w:name="_Toc19221"/>
      <w:bookmarkStart w:id="96" w:name="_Toc30804"/>
      <w:r>
        <w:rPr>
          <w:rFonts w:hint="eastAsia" w:hAnsi="宋体" w:cs="宋体"/>
          <w:b/>
          <w:color w:val="auto"/>
          <w:szCs w:val="24"/>
          <w:highlight w:val="none"/>
        </w:rPr>
        <w:t>三、政策性扣减</w:t>
      </w:r>
      <w:bookmarkEnd w:id="91"/>
      <w:bookmarkEnd w:id="92"/>
      <w:bookmarkEnd w:id="93"/>
      <w:bookmarkEnd w:id="94"/>
      <w:bookmarkEnd w:id="95"/>
      <w:bookmarkEnd w:id="96"/>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BAE006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3、成交价格=成交供应商的有效磋商报价。</w:t>
      </w:r>
    </w:p>
    <w:p w14:paraId="68421BBD">
      <w:pPr>
        <w:spacing w:line="360" w:lineRule="auto"/>
        <w:ind w:firstLine="498" w:firstLineChars="200"/>
        <w:jc w:val="center"/>
        <w:outlineLvl w:val="1"/>
        <w:rPr>
          <w:rFonts w:hAnsi="宋体" w:cs="宋体"/>
          <w:b/>
          <w:color w:val="auto"/>
          <w:szCs w:val="24"/>
          <w:highlight w:val="none"/>
        </w:rPr>
      </w:pPr>
      <w:r>
        <w:rPr>
          <w:rFonts w:hint="eastAsia" w:hAnsi="宋体" w:cs="宋体"/>
          <w:b/>
          <w:color w:val="auto"/>
          <w:spacing w:val="4"/>
          <w:szCs w:val="24"/>
          <w:highlight w:val="none"/>
        </w:rPr>
        <w:br w:type="page"/>
      </w:r>
      <w:bookmarkStart w:id="97" w:name="_Toc23630"/>
      <w:bookmarkStart w:id="98" w:name="_Toc13330"/>
      <w:bookmarkStart w:id="99" w:name="_Toc28532"/>
      <w:bookmarkStart w:id="100" w:name="_Toc14745"/>
      <w:bookmarkStart w:id="101" w:name="_Toc4223"/>
      <w:bookmarkStart w:id="102" w:name="_Toc25458"/>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bookmarkEnd w:id="97"/>
      <w:bookmarkEnd w:id="98"/>
      <w:bookmarkEnd w:id="99"/>
      <w:bookmarkEnd w:id="100"/>
      <w:bookmarkEnd w:id="101"/>
      <w:bookmarkEnd w:id="102"/>
    </w:p>
    <w:p w14:paraId="349E0ED8">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评价和比较以磋商响应文件为依据，进行评审并按照百分制进行赋分。</w:t>
      </w:r>
    </w:p>
    <w:tbl>
      <w:tblPr>
        <w:tblStyle w:val="22"/>
        <w:tblpPr w:leftFromText="180" w:rightFromText="180" w:vertAnchor="text" w:horzAnchor="page" w:tblpXSpec="center" w:tblpY="86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6880"/>
        <w:gridCol w:w="870"/>
      </w:tblGrid>
      <w:tr w14:paraId="05CB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56" w:type="dxa"/>
            <w:noWrap w:val="0"/>
            <w:vAlign w:val="center"/>
          </w:tcPr>
          <w:p w14:paraId="5756594A">
            <w:pPr>
              <w:spacing w:line="360" w:lineRule="auto"/>
              <w:jc w:val="center"/>
              <w:rPr>
                <w:rFonts w:hint="eastAsia" w:hAnsi="宋体" w:cs="宋体"/>
                <w:color w:val="auto"/>
                <w:szCs w:val="24"/>
                <w:highlight w:val="none"/>
              </w:rPr>
            </w:pPr>
            <w:r>
              <w:rPr>
                <w:rFonts w:hint="eastAsia" w:hAnsi="宋体" w:cs="宋体"/>
                <w:color w:val="auto"/>
                <w:szCs w:val="24"/>
                <w:highlight w:val="none"/>
              </w:rPr>
              <w:t>评审内容</w:t>
            </w:r>
          </w:p>
        </w:tc>
        <w:tc>
          <w:tcPr>
            <w:tcW w:w="6880" w:type="dxa"/>
            <w:noWrap w:val="0"/>
            <w:vAlign w:val="center"/>
          </w:tcPr>
          <w:p w14:paraId="18C40626">
            <w:pPr>
              <w:spacing w:line="360" w:lineRule="auto"/>
              <w:ind w:firstLine="480" w:firstLineChars="200"/>
              <w:jc w:val="center"/>
              <w:rPr>
                <w:rFonts w:hint="eastAsia" w:hAnsi="宋体" w:cs="宋体"/>
                <w:color w:val="auto"/>
                <w:szCs w:val="24"/>
                <w:highlight w:val="none"/>
              </w:rPr>
            </w:pPr>
            <w:r>
              <w:rPr>
                <w:rFonts w:hint="eastAsia" w:hAnsi="宋体" w:cs="宋体"/>
                <w:color w:val="auto"/>
                <w:szCs w:val="24"/>
                <w:highlight w:val="none"/>
              </w:rPr>
              <w:t>评审原则与标准</w:t>
            </w:r>
          </w:p>
        </w:tc>
        <w:tc>
          <w:tcPr>
            <w:tcW w:w="870" w:type="dxa"/>
            <w:noWrap w:val="0"/>
            <w:vAlign w:val="center"/>
          </w:tcPr>
          <w:p w14:paraId="148F7D9A">
            <w:pPr>
              <w:spacing w:line="360" w:lineRule="auto"/>
              <w:jc w:val="center"/>
              <w:rPr>
                <w:rFonts w:hint="eastAsia" w:hAnsi="宋体" w:cs="宋体"/>
                <w:color w:val="auto"/>
                <w:szCs w:val="24"/>
                <w:highlight w:val="none"/>
              </w:rPr>
            </w:pPr>
            <w:r>
              <w:rPr>
                <w:rFonts w:hint="eastAsia" w:hAnsi="宋体" w:cs="宋体"/>
                <w:color w:val="auto"/>
                <w:szCs w:val="24"/>
                <w:highlight w:val="none"/>
              </w:rPr>
              <w:t>分值</w:t>
            </w:r>
          </w:p>
        </w:tc>
      </w:tr>
      <w:tr w14:paraId="65FE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656" w:type="dxa"/>
            <w:noWrap w:val="0"/>
            <w:vAlign w:val="center"/>
          </w:tcPr>
          <w:p w14:paraId="4A980532">
            <w:pPr>
              <w:spacing w:line="360" w:lineRule="auto"/>
              <w:jc w:val="center"/>
              <w:rPr>
                <w:rFonts w:hint="eastAsia" w:hAnsi="宋体" w:cs="宋体"/>
                <w:color w:val="auto"/>
                <w:szCs w:val="22"/>
                <w:highlight w:val="none"/>
              </w:rPr>
            </w:pPr>
            <w:r>
              <w:rPr>
                <w:rFonts w:hint="eastAsia" w:hAnsi="宋体" w:cs="宋体"/>
                <w:color w:val="auto"/>
                <w:szCs w:val="22"/>
                <w:highlight w:val="none"/>
              </w:rPr>
              <w:t>价格评审</w:t>
            </w:r>
          </w:p>
          <w:p w14:paraId="26ACAD65">
            <w:pPr>
              <w:spacing w:line="360" w:lineRule="auto"/>
              <w:jc w:val="center"/>
              <w:rPr>
                <w:rFonts w:hint="eastAsia" w:hAnsi="宋体" w:cs="宋体"/>
                <w:color w:val="auto"/>
                <w:szCs w:val="22"/>
                <w:highlight w:val="none"/>
              </w:rPr>
            </w:pPr>
            <w:r>
              <w:rPr>
                <w:rFonts w:hint="eastAsia" w:hAnsi="宋体" w:cs="宋体"/>
                <w:color w:val="auto"/>
                <w:szCs w:val="22"/>
                <w:highlight w:val="none"/>
              </w:rPr>
              <w:t>（</w:t>
            </w:r>
            <w:r>
              <w:rPr>
                <w:rFonts w:hint="eastAsia" w:hAnsi="宋体" w:cs="宋体"/>
                <w:color w:val="auto"/>
                <w:szCs w:val="22"/>
                <w:highlight w:val="none"/>
                <w:lang w:val="en-US" w:eastAsia="zh-CN"/>
              </w:rPr>
              <w:t>10</w:t>
            </w:r>
            <w:r>
              <w:rPr>
                <w:rFonts w:hint="eastAsia" w:hAnsi="宋体" w:cs="宋体"/>
                <w:color w:val="auto"/>
                <w:szCs w:val="22"/>
                <w:highlight w:val="none"/>
              </w:rPr>
              <w:t>分）</w:t>
            </w:r>
          </w:p>
        </w:tc>
        <w:tc>
          <w:tcPr>
            <w:tcW w:w="6880" w:type="dxa"/>
            <w:noWrap w:val="0"/>
            <w:vAlign w:val="center"/>
          </w:tcPr>
          <w:p w14:paraId="6E7CAD7C">
            <w:pPr>
              <w:rPr>
                <w:rFonts w:hint="eastAsia" w:hAnsi="宋体" w:cs="宋体"/>
                <w:color w:val="auto"/>
                <w:szCs w:val="24"/>
                <w:highlight w:val="none"/>
              </w:rPr>
            </w:pPr>
            <w:r>
              <w:rPr>
                <w:rFonts w:hint="eastAsia" w:hAnsi="宋体" w:cs="宋体"/>
                <w:color w:val="auto"/>
                <w:szCs w:val="24"/>
                <w:highlight w:val="none"/>
              </w:rPr>
              <w:t>满足磋商文件商务及技术要求且最后报价最低的供应商的价格为磋商基准价，其价格分为满分。</w:t>
            </w:r>
          </w:p>
          <w:p w14:paraId="36B7B8D3">
            <w:pPr>
              <w:rPr>
                <w:rFonts w:hint="eastAsia" w:hAnsi="宋体" w:cs="宋体"/>
                <w:color w:val="auto"/>
                <w:szCs w:val="24"/>
                <w:highlight w:val="none"/>
              </w:rPr>
            </w:pPr>
            <w:r>
              <w:rPr>
                <w:rFonts w:hint="eastAsia" w:hAnsi="宋体" w:cs="宋体"/>
                <w:color w:val="auto"/>
                <w:szCs w:val="24"/>
                <w:highlight w:val="none"/>
              </w:rPr>
              <w:t>报价得分=（磋商基准价/最后磋商报价）*价格分值</w:t>
            </w:r>
          </w:p>
        </w:tc>
        <w:tc>
          <w:tcPr>
            <w:tcW w:w="870" w:type="dxa"/>
            <w:noWrap w:val="0"/>
            <w:vAlign w:val="center"/>
          </w:tcPr>
          <w:p w14:paraId="683921EA">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14:paraId="3579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9" w:hRule="atLeast"/>
          <w:jc w:val="center"/>
        </w:trPr>
        <w:tc>
          <w:tcPr>
            <w:tcW w:w="1656" w:type="dxa"/>
            <w:noWrap w:val="0"/>
            <w:vAlign w:val="center"/>
          </w:tcPr>
          <w:p w14:paraId="41C7D059">
            <w:pPr>
              <w:pStyle w:val="33"/>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总体服务方案</w:t>
            </w:r>
          </w:p>
        </w:tc>
        <w:tc>
          <w:tcPr>
            <w:tcW w:w="6880" w:type="dxa"/>
            <w:noWrap w:val="0"/>
            <w:vAlign w:val="center"/>
          </w:tcPr>
          <w:p w14:paraId="5807CD12">
            <w:pPr>
              <w:numPr>
                <w:ilvl w:val="0"/>
                <w:numId w:val="0"/>
              </w:numPr>
              <w:jc w:val="left"/>
              <w:rPr>
                <w:rFonts w:hint="default" w:ascii="宋体" w:hAnsi="宋体" w:eastAsia="宋体" w:cs="宋体"/>
                <w:b/>
                <w:bCs/>
                <w:color w:val="auto"/>
                <w:highlight w:val="none"/>
                <w:lang w:val="en-US" w:eastAsia="zh-CN"/>
              </w:rPr>
            </w:pPr>
            <w:r>
              <w:rPr>
                <w:rFonts w:hint="eastAsia" w:ascii="宋体" w:hAnsi="宋体" w:eastAsia="宋体" w:cs="宋体"/>
                <w:b/>
                <w:bCs/>
                <w:color w:val="auto"/>
                <w:sz w:val="24"/>
                <w:lang w:val="en-US" w:eastAsia="zh-CN" w:bidi="ar-SA"/>
              </w:rPr>
              <w:t>一、</w:t>
            </w:r>
            <w:r>
              <w:rPr>
                <w:rFonts w:hint="default" w:ascii="宋体" w:hAnsi="宋体" w:eastAsia="宋体" w:cs="宋体"/>
                <w:b/>
                <w:bCs/>
                <w:color w:val="auto"/>
                <w:highlight w:val="none"/>
                <w:lang w:val="en-US" w:eastAsia="zh-CN"/>
              </w:rPr>
              <w:t>评审内容：</w:t>
            </w:r>
          </w:p>
          <w:p w14:paraId="781989BF">
            <w:pPr>
              <w:numPr>
                <w:ilvl w:val="0"/>
                <w:numId w:val="0"/>
              </w:numPr>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针对本项目提出适用于本项目的服务方案，包括①项目需求理解、②实施计划、③活动方案、④项目预估成果</w:t>
            </w:r>
          </w:p>
          <w:p w14:paraId="7EDC5E1A">
            <w:pPr>
              <w:numPr>
                <w:ilvl w:val="0"/>
                <w:numId w:val="0"/>
              </w:numPr>
              <w:ind w:left="0" w:leftChars="0" w:firstLine="0" w:firstLineChars="0"/>
              <w:jc w:val="left"/>
              <w:rPr>
                <w:rFonts w:hint="default" w:ascii="宋体" w:hAnsi="宋体" w:eastAsia="宋体" w:cs="宋体"/>
                <w:b/>
                <w:bCs/>
                <w:color w:val="auto"/>
                <w:highlight w:val="none"/>
                <w:lang w:val="en-US" w:eastAsia="zh-CN"/>
              </w:rPr>
            </w:pPr>
            <w:r>
              <w:rPr>
                <w:rFonts w:hint="eastAsia" w:ascii="宋体" w:hAnsi="宋体" w:eastAsia="宋体" w:cs="宋体"/>
                <w:b/>
                <w:bCs/>
                <w:color w:val="auto"/>
                <w:sz w:val="24"/>
                <w:lang w:val="en-US" w:eastAsia="zh-CN" w:bidi="ar-SA"/>
              </w:rPr>
              <w:t>二、</w:t>
            </w:r>
            <w:r>
              <w:rPr>
                <w:rFonts w:hint="default" w:ascii="宋体" w:hAnsi="宋体" w:eastAsia="宋体" w:cs="宋体"/>
                <w:b/>
                <w:bCs/>
                <w:color w:val="auto"/>
                <w:highlight w:val="none"/>
                <w:lang w:val="en-US" w:eastAsia="zh-CN"/>
              </w:rPr>
              <w:t>评审标准：</w:t>
            </w:r>
          </w:p>
          <w:p w14:paraId="3E3BD85F">
            <w:pPr>
              <w:numPr>
                <w:ilvl w:val="0"/>
                <w:numId w:val="4"/>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完整性：方案必须全面，对评审内容中的各项要求有详细描述； </w:t>
            </w:r>
          </w:p>
          <w:p w14:paraId="4686062A">
            <w:pPr>
              <w:numPr>
                <w:ilvl w:val="0"/>
                <w:numId w:val="4"/>
              </w:numPr>
              <w:ind w:left="0" w:leftChars="0" w:firstLine="0" w:firstLine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可实施性：切合本项目实际情况，提出步骤清晰、合理的方案； </w:t>
            </w:r>
          </w:p>
          <w:p w14:paraId="56754FA8">
            <w:pPr>
              <w:numPr>
                <w:ilvl w:val="0"/>
                <w:numId w:val="4"/>
              </w:numPr>
              <w:ind w:left="0" w:leftChars="0" w:firstLine="0" w:firstLine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针对性：方案能够紧扣项目实际情况，内容科学合理。 </w:t>
            </w:r>
          </w:p>
          <w:p w14:paraId="15DB4B15">
            <w:pPr>
              <w:numPr>
                <w:ilvl w:val="0"/>
                <w:numId w:val="0"/>
              </w:numPr>
              <w:ind w:left="0" w:leftChars="0" w:firstLine="0" w:firstLineChars="0"/>
              <w:jc w:val="left"/>
              <w:rPr>
                <w:rFonts w:hint="default" w:ascii="宋体" w:hAnsi="宋体" w:eastAsia="宋体" w:cs="宋体"/>
                <w:b/>
                <w:bCs/>
                <w:color w:val="auto"/>
                <w:highlight w:val="none"/>
                <w:lang w:val="en-US" w:eastAsia="zh-CN"/>
              </w:rPr>
            </w:pPr>
            <w:r>
              <w:rPr>
                <w:rFonts w:hint="eastAsia" w:ascii="宋体" w:hAnsi="宋体" w:eastAsia="宋体" w:cs="宋体"/>
                <w:b/>
                <w:bCs/>
                <w:color w:val="auto"/>
                <w:sz w:val="24"/>
                <w:lang w:val="en-US" w:eastAsia="zh-CN" w:bidi="ar-SA"/>
              </w:rPr>
              <w:t>三、</w:t>
            </w:r>
            <w:r>
              <w:rPr>
                <w:rFonts w:hint="default" w:ascii="宋体" w:hAnsi="宋体" w:eastAsia="宋体" w:cs="宋体"/>
                <w:b/>
                <w:bCs/>
                <w:color w:val="auto"/>
                <w:highlight w:val="none"/>
                <w:lang w:val="en-US" w:eastAsia="zh-CN"/>
              </w:rPr>
              <w:t>赋分标准（满分18分）</w:t>
            </w:r>
          </w:p>
          <w:p w14:paraId="0118C38F">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①项目需求理解：每完全满足一个评审标准得1.5分，满分4.5分； </w:t>
            </w:r>
          </w:p>
          <w:p w14:paraId="2ABD65FB">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②实施计划：每完全满足一个评审标准得1.5分，满分4.5分； </w:t>
            </w:r>
          </w:p>
          <w:p w14:paraId="451A5E74">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③活动方案：每完全满足一个评审标准得1.5分，满分4.5分。</w:t>
            </w:r>
          </w:p>
          <w:p w14:paraId="436A0BC1">
            <w:pPr>
              <w:numPr>
                <w:ilvl w:val="0"/>
                <w:numId w:val="0"/>
              </w:numPr>
              <w:ind w:left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④项目预估成果：每完全满足一个评审标准得1.5分，满分4.5分；</w:t>
            </w:r>
          </w:p>
        </w:tc>
        <w:tc>
          <w:tcPr>
            <w:tcW w:w="870" w:type="dxa"/>
            <w:noWrap w:val="0"/>
            <w:vAlign w:val="center"/>
          </w:tcPr>
          <w:p w14:paraId="25AB1D64">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18</w:t>
            </w:r>
            <w:r>
              <w:rPr>
                <w:rFonts w:hint="eastAsia" w:hAnsi="宋体" w:cs="宋体"/>
                <w:color w:val="auto"/>
                <w:szCs w:val="24"/>
                <w:highlight w:val="none"/>
              </w:rPr>
              <w:t>分</w:t>
            </w:r>
          </w:p>
        </w:tc>
      </w:tr>
      <w:tr w14:paraId="5A32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jc w:val="center"/>
        </w:trPr>
        <w:tc>
          <w:tcPr>
            <w:tcW w:w="1656" w:type="dxa"/>
            <w:noWrap w:val="0"/>
            <w:vAlign w:val="center"/>
          </w:tcPr>
          <w:p w14:paraId="7617F131">
            <w:pPr>
              <w:jc w:val="center"/>
              <w:rPr>
                <w:rFonts w:hint="default" w:hAnsi="宋体" w:eastAsia="宋体" w:cs="宋体"/>
                <w:color w:val="auto"/>
                <w:szCs w:val="24"/>
                <w:highlight w:val="none"/>
                <w:lang w:val="en-US" w:eastAsia="zh-CN"/>
              </w:rPr>
            </w:pPr>
            <w:r>
              <w:rPr>
                <w:rFonts w:hint="eastAsia" w:hAnsi="宋体" w:cs="宋体"/>
                <w:color w:val="auto"/>
                <w:sz w:val="24"/>
                <w:szCs w:val="24"/>
                <w:highlight w:val="none"/>
                <w:lang w:val="en-US" w:eastAsia="zh-CN"/>
              </w:rPr>
              <w:t>实施方案</w:t>
            </w:r>
          </w:p>
        </w:tc>
        <w:tc>
          <w:tcPr>
            <w:tcW w:w="6880" w:type="dxa"/>
            <w:noWrap w:val="0"/>
            <w:vAlign w:val="center"/>
          </w:tcPr>
          <w:p w14:paraId="4D786159">
            <w:pPr>
              <w:numPr>
                <w:ilvl w:val="0"/>
                <w:numId w:val="0"/>
              </w:numPr>
              <w:jc w:val="left"/>
              <w:rPr>
                <w:rFonts w:hint="eastAsia" w:eastAsia="宋体"/>
                <w:b/>
                <w:bCs/>
                <w:color w:val="auto"/>
                <w:highlight w:val="none"/>
                <w:lang w:eastAsia="zh-CN"/>
              </w:rPr>
            </w:pPr>
            <w:r>
              <w:rPr>
                <w:rFonts w:hint="eastAsia" w:ascii="宋体" w:hAnsi="Times New Roman" w:eastAsia="宋体" w:cs="Times New Roman"/>
                <w:b/>
                <w:bCs/>
                <w:color w:val="auto"/>
                <w:sz w:val="24"/>
                <w:lang w:val="en-US" w:eastAsia="zh-CN" w:bidi="ar-SA"/>
              </w:rPr>
              <w:t>一、</w:t>
            </w:r>
            <w:r>
              <w:rPr>
                <w:rFonts w:hint="eastAsia" w:eastAsia="宋体"/>
                <w:b/>
                <w:bCs/>
                <w:color w:val="auto"/>
                <w:highlight w:val="none"/>
                <w:lang w:eastAsia="zh-CN"/>
              </w:rPr>
              <w:t>评审内容：</w:t>
            </w:r>
          </w:p>
          <w:p w14:paraId="43B74ED5">
            <w:pPr>
              <w:numPr>
                <w:ilvl w:val="0"/>
                <w:numId w:val="0"/>
              </w:numPr>
              <w:jc w:val="left"/>
              <w:rPr>
                <w:rFonts w:hint="eastAsia" w:eastAsia="宋体"/>
                <w:color w:val="auto"/>
                <w:highlight w:val="none"/>
                <w:lang w:eastAsia="zh-CN"/>
              </w:rPr>
            </w:pPr>
            <w:r>
              <w:rPr>
                <w:rFonts w:hint="eastAsia" w:eastAsia="宋体"/>
                <w:color w:val="auto"/>
                <w:highlight w:val="none"/>
                <w:lang w:eastAsia="zh-CN"/>
              </w:rPr>
              <w:t>根据项目特点，有针对性的组织实施方案，包括①工作流程规划②各环节安排部署③协调方案；</w:t>
            </w:r>
          </w:p>
          <w:p w14:paraId="1642C3EA">
            <w:pPr>
              <w:numPr>
                <w:ilvl w:val="0"/>
                <w:numId w:val="0"/>
              </w:numPr>
              <w:ind w:left="0" w:leftChars="0" w:firstLine="0" w:firstLineChars="0"/>
              <w:jc w:val="left"/>
              <w:rPr>
                <w:rFonts w:hint="eastAsia" w:eastAsia="宋体"/>
                <w:b/>
                <w:bCs/>
                <w:color w:val="auto"/>
                <w:highlight w:val="none"/>
                <w:lang w:eastAsia="zh-CN"/>
              </w:rPr>
            </w:pPr>
            <w:r>
              <w:rPr>
                <w:rFonts w:hint="eastAsia" w:ascii="宋体" w:hAnsi="Times New Roman" w:eastAsia="宋体" w:cs="Times New Roman"/>
                <w:b/>
                <w:bCs/>
                <w:color w:val="auto"/>
                <w:sz w:val="24"/>
                <w:lang w:val="en-US" w:eastAsia="zh-CN" w:bidi="ar-SA"/>
              </w:rPr>
              <w:t>二、</w:t>
            </w:r>
            <w:r>
              <w:rPr>
                <w:rFonts w:hint="eastAsia" w:eastAsia="宋体"/>
                <w:b/>
                <w:bCs/>
                <w:color w:val="auto"/>
                <w:highlight w:val="none"/>
                <w:lang w:eastAsia="zh-CN"/>
              </w:rPr>
              <w:t xml:space="preserve">评审标准： </w:t>
            </w:r>
          </w:p>
          <w:p w14:paraId="6AF3325A">
            <w:pPr>
              <w:numPr>
                <w:ilvl w:val="0"/>
                <w:numId w:val="5"/>
              </w:numPr>
              <w:ind w:leftChars="0"/>
              <w:jc w:val="left"/>
              <w:rPr>
                <w:rFonts w:hint="eastAsia" w:eastAsia="宋体"/>
                <w:color w:val="auto"/>
                <w:highlight w:val="none"/>
                <w:lang w:eastAsia="zh-CN"/>
              </w:rPr>
            </w:pPr>
            <w:r>
              <w:rPr>
                <w:rFonts w:hint="eastAsia" w:eastAsia="宋体"/>
                <w:color w:val="auto"/>
                <w:highlight w:val="none"/>
                <w:lang w:eastAsia="zh-CN"/>
              </w:rPr>
              <w:t xml:space="preserve">完整性：方案必须全面，对评审内容中的各项要求有详细描述； </w:t>
            </w:r>
          </w:p>
          <w:p w14:paraId="4107A464">
            <w:pPr>
              <w:numPr>
                <w:ilvl w:val="0"/>
                <w:numId w:val="5"/>
              </w:numPr>
              <w:ind w:left="0" w:leftChars="0" w:firstLine="0" w:firstLineChars="0"/>
              <w:jc w:val="left"/>
              <w:rPr>
                <w:rFonts w:hint="eastAsia" w:eastAsia="宋体"/>
                <w:color w:val="auto"/>
                <w:highlight w:val="none"/>
                <w:lang w:eastAsia="zh-CN"/>
              </w:rPr>
            </w:pPr>
            <w:r>
              <w:rPr>
                <w:rFonts w:hint="eastAsia" w:eastAsia="宋体"/>
                <w:color w:val="auto"/>
                <w:highlight w:val="none"/>
                <w:lang w:eastAsia="zh-CN"/>
              </w:rPr>
              <w:t xml:space="preserve">可实施性：切合本项目实际情况，提出步骤清晰、合理的方案； </w:t>
            </w:r>
          </w:p>
          <w:p w14:paraId="0F09A850">
            <w:pPr>
              <w:numPr>
                <w:ilvl w:val="0"/>
                <w:numId w:val="5"/>
              </w:numPr>
              <w:ind w:left="0" w:leftChars="0" w:firstLine="0" w:firstLineChars="0"/>
              <w:jc w:val="left"/>
              <w:rPr>
                <w:rFonts w:hint="eastAsia" w:eastAsia="宋体"/>
                <w:color w:val="auto"/>
                <w:highlight w:val="none"/>
                <w:lang w:eastAsia="zh-CN"/>
              </w:rPr>
            </w:pPr>
            <w:r>
              <w:rPr>
                <w:rFonts w:hint="eastAsia" w:eastAsia="宋体"/>
                <w:color w:val="auto"/>
                <w:highlight w:val="none"/>
                <w:lang w:eastAsia="zh-CN"/>
              </w:rPr>
              <w:t xml:space="preserve">针对性：方案能够紧扣项目实际情况，内容科学合理。 </w:t>
            </w:r>
          </w:p>
          <w:p w14:paraId="51433F94">
            <w:pPr>
              <w:numPr>
                <w:ilvl w:val="0"/>
                <w:numId w:val="0"/>
              </w:numPr>
              <w:ind w:left="0" w:leftChars="0" w:firstLine="0" w:firstLineChars="0"/>
              <w:jc w:val="left"/>
              <w:rPr>
                <w:rFonts w:hint="eastAsia" w:eastAsia="宋体"/>
                <w:b/>
                <w:bCs/>
                <w:color w:val="auto"/>
                <w:highlight w:val="none"/>
                <w:lang w:eastAsia="zh-CN"/>
              </w:rPr>
            </w:pPr>
            <w:r>
              <w:rPr>
                <w:rFonts w:hint="eastAsia" w:ascii="宋体" w:hAnsi="Times New Roman" w:eastAsia="宋体" w:cs="Times New Roman"/>
                <w:b/>
                <w:bCs/>
                <w:color w:val="auto"/>
                <w:sz w:val="24"/>
                <w:lang w:val="en-US" w:eastAsia="zh-CN" w:bidi="ar-SA"/>
              </w:rPr>
              <w:t>三、</w:t>
            </w:r>
            <w:r>
              <w:rPr>
                <w:rFonts w:hint="eastAsia" w:eastAsia="宋体"/>
                <w:b/>
                <w:bCs/>
                <w:color w:val="auto"/>
                <w:highlight w:val="none"/>
                <w:lang w:eastAsia="zh-CN"/>
              </w:rPr>
              <w:t>赋分标准（满分</w:t>
            </w:r>
            <w:r>
              <w:rPr>
                <w:rFonts w:hint="eastAsia"/>
                <w:b/>
                <w:bCs/>
                <w:color w:val="auto"/>
                <w:highlight w:val="none"/>
                <w:lang w:val="en-US" w:eastAsia="zh-CN"/>
              </w:rPr>
              <w:t>9</w:t>
            </w:r>
            <w:r>
              <w:rPr>
                <w:rFonts w:hint="eastAsia" w:eastAsia="宋体"/>
                <w:b/>
                <w:bCs/>
                <w:color w:val="auto"/>
                <w:highlight w:val="none"/>
                <w:lang w:eastAsia="zh-CN"/>
              </w:rPr>
              <w:t>分）</w:t>
            </w:r>
          </w:p>
          <w:p w14:paraId="2CB7CE34">
            <w:pPr>
              <w:numPr>
                <w:ilvl w:val="0"/>
                <w:numId w:val="0"/>
              </w:numPr>
              <w:jc w:val="left"/>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highlight w:val="none"/>
                <w:lang w:eastAsia="zh-CN"/>
              </w:rPr>
              <w:t>①工作流程规划：每完全满足一个评审标准得1分，满分</w:t>
            </w:r>
            <w:r>
              <w:rPr>
                <w:rFonts w:hint="eastAsia" w:ascii="宋体" w:hAnsi="Times New Roman" w:eastAsia="宋体" w:cs="Times New Roman"/>
                <w:color w:val="auto"/>
                <w:highlight w:val="none"/>
                <w:lang w:val="en-US" w:eastAsia="zh-CN"/>
              </w:rPr>
              <w:t>3</w:t>
            </w:r>
            <w:r>
              <w:rPr>
                <w:rFonts w:hint="eastAsia" w:ascii="宋体" w:hAnsi="Times New Roman" w:eastAsia="宋体" w:cs="Times New Roman"/>
                <w:color w:val="auto"/>
                <w:highlight w:val="none"/>
                <w:lang w:eastAsia="zh-CN"/>
              </w:rPr>
              <w:t>分；</w:t>
            </w:r>
          </w:p>
          <w:p w14:paraId="70362C11">
            <w:pPr>
              <w:numPr>
                <w:ilvl w:val="0"/>
                <w:numId w:val="0"/>
              </w:numPr>
              <w:jc w:val="left"/>
              <w:rPr>
                <w:rFonts w:hint="eastAsia" w:ascii="宋体" w:hAnsi="Times New Roman" w:eastAsia="宋体" w:cs="Times New Roman"/>
                <w:color w:val="auto"/>
                <w:highlight w:val="none"/>
                <w:lang w:eastAsia="zh-CN"/>
              </w:rPr>
            </w:pPr>
            <w:r>
              <w:rPr>
                <w:rFonts w:hint="eastAsia" w:ascii="宋体" w:hAnsi="Times New Roman" w:eastAsia="宋体" w:cs="Times New Roman"/>
                <w:color w:val="auto"/>
                <w:highlight w:val="none"/>
                <w:lang w:eastAsia="zh-CN"/>
              </w:rPr>
              <w:t>②各环节安排部署：每完全满足一个评审标准得1分，满分</w:t>
            </w:r>
            <w:r>
              <w:rPr>
                <w:rFonts w:hint="eastAsia" w:ascii="宋体" w:hAnsi="Times New Roman" w:eastAsia="宋体" w:cs="Times New Roman"/>
                <w:color w:val="auto"/>
                <w:highlight w:val="none"/>
                <w:lang w:val="en-US" w:eastAsia="zh-CN"/>
              </w:rPr>
              <w:t>3</w:t>
            </w:r>
            <w:r>
              <w:rPr>
                <w:rFonts w:hint="eastAsia" w:ascii="宋体" w:hAnsi="Times New Roman" w:eastAsia="宋体" w:cs="Times New Roman"/>
                <w:color w:val="auto"/>
                <w:highlight w:val="none"/>
                <w:lang w:eastAsia="zh-CN"/>
              </w:rPr>
              <w:t>分；</w:t>
            </w:r>
          </w:p>
          <w:p w14:paraId="255C412A">
            <w:pPr>
              <w:numPr>
                <w:ilvl w:val="0"/>
                <w:numId w:val="0"/>
              </w:numPr>
              <w:jc w:val="left"/>
              <w:rPr>
                <w:rFonts w:hint="eastAsia" w:eastAsia="宋体"/>
                <w:color w:val="auto"/>
                <w:highlight w:val="none"/>
                <w:lang w:eastAsia="zh-CN"/>
              </w:rPr>
            </w:pPr>
            <w:r>
              <w:rPr>
                <w:rFonts w:hint="eastAsia" w:ascii="宋体" w:hAnsi="Times New Roman" w:eastAsia="宋体" w:cs="Times New Roman"/>
                <w:color w:val="auto"/>
                <w:highlight w:val="none"/>
                <w:lang w:eastAsia="zh-CN"/>
              </w:rPr>
              <w:t>③各部门协调方案：每完全满足一个评审标准得1分，满分</w:t>
            </w:r>
            <w:r>
              <w:rPr>
                <w:rFonts w:hint="eastAsia" w:ascii="宋体" w:hAnsi="Times New Roman" w:eastAsia="宋体" w:cs="Times New Roman"/>
                <w:color w:val="auto"/>
                <w:highlight w:val="none"/>
                <w:lang w:val="en-US" w:eastAsia="zh-CN"/>
              </w:rPr>
              <w:t>3</w:t>
            </w:r>
            <w:r>
              <w:rPr>
                <w:rFonts w:hint="eastAsia" w:ascii="宋体" w:hAnsi="Times New Roman" w:eastAsia="宋体" w:cs="Times New Roman"/>
                <w:color w:val="auto"/>
                <w:highlight w:val="none"/>
                <w:lang w:eastAsia="zh-CN"/>
              </w:rPr>
              <w:t>分；</w:t>
            </w:r>
          </w:p>
        </w:tc>
        <w:tc>
          <w:tcPr>
            <w:tcW w:w="870" w:type="dxa"/>
            <w:noWrap w:val="0"/>
            <w:vAlign w:val="center"/>
          </w:tcPr>
          <w:p w14:paraId="4676457F">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9</w:t>
            </w:r>
            <w:r>
              <w:rPr>
                <w:rFonts w:hint="eastAsia" w:hAnsi="宋体" w:cs="宋体"/>
                <w:color w:val="auto"/>
                <w:szCs w:val="24"/>
                <w:highlight w:val="none"/>
              </w:rPr>
              <w:t>分</w:t>
            </w:r>
          </w:p>
        </w:tc>
      </w:tr>
      <w:tr w14:paraId="106E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1" w:hRule="atLeast"/>
          <w:jc w:val="center"/>
        </w:trPr>
        <w:tc>
          <w:tcPr>
            <w:tcW w:w="1656" w:type="dxa"/>
            <w:noWrap w:val="0"/>
            <w:vAlign w:val="center"/>
          </w:tcPr>
          <w:p w14:paraId="13B9E482">
            <w:pPr>
              <w:jc w:val="center"/>
              <w:rPr>
                <w:rFonts w:hint="default" w:hAnsi="宋体" w:cs="宋体"/>
                <w:color w:val="auto"/>
                <w:szCs w:val="24"/>
                <w:highlight w:val="none"/>
                <w:lang w:val="en-US" w:eastAsia="zh-CN"/>
              </w:rPr>
            </w:pPr>
            <w:r>
              <w:rPr>
                <w:rFonts w:hint="eastAsia" w:hAnsi="Times New Roman" w:cs="Times New Roman"/>
                <w:color w:val="auto"/>
                <w:highlight w:val="none"/>
                <w:lang w:val="en-US" w:eastAsia="zh-CN"/>
              </w:rPr>
              <w:t>项目管理措施</w:t>
            </w:r>
          </w:p>
        </w:tc>
        <w:tc>
          <w:tcPr>
            <w:tcW w:w="6880" w:type="dxa"/>
            <w:noWrap w:val="0"/>
            <w:vAlign w:val="center"/>
          </w:tcPr>
          <w:p w14:paraId="323FCF2D">
            <w:pPr>
              <w:numPr>
                <w:ilvl w:val="0"/>
                <w:numId w:val="0"/>
              </w:numPr>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一、</w:t>
            </w:r>
            <w:r>
              <w:rPr>
                <w:rFonts w:hint="eastAsia" w:hAnsi="Times New Roman" w:cs="Times New Roman"/>
                <w:b/>
                <w:bCs/>
                <w:color w:val="auto"/>
                <w:highlight w:val="none"/>
                <w:lang w:val="en-US" w:eastAsia="zh-CN"/>
              </w:rPr>
              <w:t>评审内容：</w:t>
            </w:r>
          </w:p>
          <w:p w14:paraId="30ED6237">
            <w:pPr>
              <w:numPr>
                <w:ilvl w:val="0"/>
                <w:numId w:val="0"/>
              </w:num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针对采购需求提出适用于本项目的管理措施方案，方案包括： ①质量保证措施 ②质量管理体系③进度控制措施</w:t>
            </w:r>
            <w:r>
              <w:rPr>
                <w:rFonts w:hint="default" w:ascii="宋体" w:hAnsi="宋体" w:eastAsia="宋体" w:cs="宋体"/>
                <w:color w:val="auto"/>
                <w:highlight w:val="none"/>
                <w:lang w:val="en-US" w:eastAsia="zh-CN"/>
              </w:rPr>
              <w:t>④</w:t>
            </w:r>
            <w:r>
              <w:rPr>
                <w:rFonts w:hint="eastAsia" w:hAnsi="Times New Roman" w:cs="Times New Roman"/>
                <w:color w:val="auto"/>
                <w:highlight w:val="none"/>
                <w:lang w:val="en-US" w:eastAsia="zh-CN"/>
              </w:rPr>
              <w:t xml:space="preserve">项目人员管理措施 </w:t>
            </w:r>
          </w:p>
          <w:p w14:paraId="31C61E11">
            <w:pPr>
              <w:numPr>
                <w:ilvl w:val="0"/>
                <w:numId w:val="0"/>
              </w:numPr>
              <w:ind w:left="0" w:leftChars="0" w:firstLine="0" w:firstLineChars="0"/>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二、</w:t>
            </w:r>
            <w:r>
              <w:rPr>
                <w:rFonts w:hint="eastAsia" w:hAnsi="Times New Roman" w:cs="Times New Roman"/>
                <w:b/>
                <w:bCs/>
                <w:color w:val="auto"/>
                <w:highlight w:val="none"/>
                <w:lang w:val="en-US" w:eastAsia="zh-CN"/>
              </w:rPr>
              <w:t xml:space="preserve">评审标准： </w:t>
            </w:r>
          </w:p>
          <w:p w14:paraId="49059426">
            <w:pPr>
              <w:numPr>
                <w:ilvl w:val="0"/>
                <w:numId w:val="6"/>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完整性：方案必须全面，对评审内容中的各项要求有详细描述；</w:t>
            </w:r>
          </w:p>
          <w:p w14:paraId="17B3BF48">
            <w:pPr>
              <w:numPr>
                <w:ilvl w:val="0"/>
                <w:numId w:val="6"/>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可实施性：切合本项目实际情况，提出步骤清晰、合理的方案； </w:t>
            </w:r>
          </w:p>
          <w:p w14:paraId="72444A25">
            <w:pPr>
              <w:numPr>
                <w:ilvl w:val="0"/>
                <w:numId w:val="6"/>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针对性：方案能够紧扣项目实际情况，内容科学合理。 </w:t>
            </w:r>
          </w:p>
          <w:p w14:paraId="006C408C">
            <w:pPr>
              <w:numPr>
                <w:ilvl w:val="0"/>
                <w:numId w:val="0"/>
              </w:numPr>
              <w:ind w:left="0" w:leftChars="0" w:firstLine="0" w:firstLineChars="0"/>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三、</w:t>
            </w:r>
            <w:r>
              <w:rPr>
                <w:rFonts w:hint="eastAsia" w:hAnsi="Times New Roman" w:cs="Times New Roman"/>
                <w:b/>
                <w:bCs/>
                <w:color w:val="auto"/>
                <w:highlight w:val="none"/>
                <w:lang w:val="en-US" w:eastAsia="zh-CN"/>
              </w:rPr>
              <w:t>赋分标准（满分</w:t>
            </w:r>
            <w:r>
              <w:rPr>
                <w:rFonts w:hint="eastAsia" w:cs="Times New Roman"/>
                <w:b/>
                <w:bCs/>
                <w:color w:val="auto"/>
                <w:highlight w:val="none"/>
                <w:lang w:val="en-US" w:eastAsia="zh-CN"/>
              </w:rPr>
              <w:t>12</w:t>
            </w:r>
            <w:r>
              <w:rPr>
                <w:rFonts w:hint="eastAsia" w:hAnsi="Times New Roman" w:cs="Times New Roman"/>
                <w:b/>
                <w:bCs/>
                <w:color w:val="auto"/>
                <w:highlight w:val="none"/>
                <w:lang w:val="en-US" w:eastAsia="zh-CN"/>
              </w:rPr>
              <w:t>分）</w:t>
            </w:r>
          </w:p>
          <w:p w14:paraId="523F6C2E">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①质量保证措施：每完全满足一个评审标准得1分，满分3分； </w:t>
            </w:r>
          </w:p>
          <w:p w14:paraId="536B2945">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②质量管理体系：每完全满足一个评审标准得1分，满分3分； </w:t>
            </w:r>
          </w:p>
          <w:p w14:paraId="40D5DE63">
            <w:pPr>
              <w:numPr>
                <w:ilvl w:val="0"/>
                <w:numId w:val="0"/>
              </w:numPr>
              <w:ind w:leftChars="0"/>
              <w:jc w:val="left"/>
              <w:rPr>
                <w:rFonts w:hint="eastAsia" w:cs="Times New Roman"/>
                <w:color w:val="auto"/>
                <w:highlight w:val="none"/>
                <w:lang w:val="en-US" w:eastAsia="zh-CN"/>
              </w:rPr>
            </w:pPr>
            <w:r>
              <w:rPr>
                <w:rFonts w:hint="eastAsia" w:hAnsi="Times New Roman" w:cs="Times New Roman"/>
                <w:color w:val="auto"/>
                <w:highlight w:val="none"/>
                <w:lang w:val="en-US" w:eastAsia="zh-CN"/>
              </w:rPr>
              <w:t>③进度控制措施：每完全满足一个评审标准得1分，满分3分</w:t>
            </w:r>
            <w:r>
              <w:rPr>
                <w:rFonts w:hint="eastAsia" w:cs="Times New Roman"/>
                <w:color w:val="auto"/>
                <w:highlight w:val="none"/>
                <w:lang w:val="en-US" w:eastAsia="zh-CN"/>
              </w:rPr>
              <w:t>；</w:t>
            </w:r>
          </w:p>
          <w:p w14:paraId="151A22BD">
            <w:pPr>
              <w:numPr>
                <w:ilvl w:val="0"/>
                <w:numId w:val="0"/>
              </w:numPr>
              <w:ind w:leftChars="0"/>
              <w:jc w:val="left"/>
              <w:rPr>
                <w:rFonts w:hint="eastAsia" w:cs="Times New Roman"/>
                <w:color w:val="auto"/>
                <w:highlight w:val="none"/>
                <w:lang w:val="en-US" w:eastAsia="zh-CN"/>
              </w:rPr>
            </w:pPr>
            <w:r>
              <w:rPr>
                <w:rFonts w:hint="default" w:ascii="宋体" w:hAnsi="宋体" w:eastAsia="宋体" w:cs="宋体"/>
                <w:color w:val="auto"/>
                <w:highlight w:val="none"/>
                <w:lang w:val="en-US" w:eastAsia="zh-CN"/>
              </w:rPr>
              <w:t>④</w:t>
            </w:r>
            <w:r>
              <w:rPr>
                <w:rFonts w:hint="eastAsia" w:hAnsi="Times New Roman" w:cs="Times New Roman"/>
                <w:color w:val="auto"/>
                <w:highlight w:val="none"/>
                <w:lang w:val="en-US" w:eastAsia="zh-CN"/>
              </w:rPr>
              <w:t>项目人员管理措施</w:t>
            </w:r>
            <w:r>
              <w:rPr>
                <w:rFonts w:hint="eastAsia" w:cs="Times New Roman"/>
                <w:color w:val="auto"/>
                <w:highlight w:val="none"/>
                <w:lang w:val="en-US" w:eastAsia="zh-CN"/>
              </w:rPr>
              <w:t>：</w:t>
            </w:r>
            <w:r>
              <w:rPr>
                <w:rFonts w:hint="eastAsia" w:hAnsi="Times New Roman" w:cs="Times New Roman"/>
                <w:color w:val="auto"/>
                <w:highlight w:val="none"/>
                <w:lang w:val="en-US" w:eastAsia="zh-CN"/>
              </w:rPr>
              <w:t>每完全满足一个评审标准得1分，满分3分</w:t>
            </w:r>
            <w:r>
              <w:rPr>
                <w:rFonts w:hint="eastAsia" w:cs="Times New Roman"/>
                <w:color w:val="auto"/>
                <w:highlight w:val="none"/>
                <w:lang w:val="en-US" w:eastAsia="zh-CN"/>
              </w:rPr>
              <w:t>。</w:t>
            </w:r>
          </w:p>
        </w:tc>
        <w:tc>
          <w:tcPr>
            <w:tcW w:w="870" w:type="dxa"/>
            <w:noWrap w:val="0"/>
            <w:vAlign w:val="center"/>
          </w:tcPr>
          <w:p w14:paraId="5CDA27F6">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12分</w:t>
            </w:r>
          </w:p>
        </w:tc>
      </w:tr>
      <w:tr w14:paraId="2692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jc w:val="center"/>
        </w:trPr>
        <w:tc>
          <w:tcPr>
            <w:tcW w:w="1656" w:type="dxa"/>
            <w:noWrap w:val="0"/>
            <w:vAlign w:val="center"/>
          </w:tcPr>
          <w:p w14:paraId="3E1C7900">
            <w:pPr>
              <w:jc w:val="center"/>
              <w:rPr>
                <w:rFonts w:hint="eastAsia" w:ascii="宋体" w:hAnsi="宋体" w:eastAsia="宋体" w:cs="宋体"/>
                <w:color w:val="auto"/>
                <w:sz w:val="24"/>
                <w:szCs w:val="24"/>
                <w:highlight w:val="none"/>
                <w:lang w:val="en-US" w:eastAsia="zh-CN"/>
              </w:rPr>
            </w:pPr>
            <w:r>
              <w:rPr>
                <w:rFonts w:hint="eastAsia" w:hAnsi="Times New Roman" w:cs="Times New Roman"/>
                <w:color w:val="auto"/>
                <w:highlight w:val="none"/>
                <w:lang w:val="en-US" w:eastAsia="zh-CN"/>
              </w:rPr>
              <w:t>应急安全管理</w:t>
            </w:r>
          </w:p>
        </w:tc>
        <w:tc>
          <w:tcPr>
            <w:tcW w:w="6880" w:type="dxa"/>
            <w:noWrap w:val="0"/>
            <w:vAlign w:val="center"/>
          </w:tcPr>
          <w:p w14:paraId="5F7E8173">
            <w:pPr>
              <w:numPr>
                <w:ilvl w:val="0"/>
                <w:numId w:val="0"/>
              </w:numPr>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一、</w:t>
            </w:r>
            <w:r>
              <w:rPr>
                <w:rFonts w:hint="eastAsia" w:hAnsi="Times New Roman" w:cs="Times New Roman"/>
                <w:b/>
                <w:bCs/>
                <w:color w:val="auto"/>
                <w:highlight w:val="none"/>
                <w:lang w:val="en-US" w:eastAsia="zh-CN"/>
              </w:rPr>
              <w:t>评审内容：</w:t>
            </w:r>
          </w:p>
          <w:p w14:paraId="24EBFE54">
            <w:pPr>
              <w:numPr>
                <w:ilvl w:val="0"/>
                <w:numId w:val="0"/>
              </w:num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针对本项目提出适用于本项目的应急安全管理方案，方案包括： ① 突发应急事件预案②应急保障措施 </w:t>
            </w:r>
          </w:p>
          <w:p w14:paraId="123BB214">
            <w:pPr>
              <w:numPr>
                <w:ilvl w:val="0"/>
                <w:numId w:val="0"/>
              </w:numPr>
              <w:ind w:left="0" w:leftChars="0" w:firstLine="0" w:firstLineChars="0"/>
              <w:jc w:val="left"/>
              <w:rPr>
                <w:rFonts w:hint="eastAsia" w:hAnsi="Times New Roman" w:cs="Times New Roman"/>
                <w:color w:val="auto"/>
                <w:highlight w:val="none"/>
                <w:lang w:val="en-US" w:eastAsia="zh-CN"/>
              </w:rPr>
            </w:pPr>
            <w:r>
              <w:rPr>
                <w:rFonts w:hint="eastAsia" w:ascii="宋体" w:hAnsi="Times New Roman" w:eastAsia="宋体" w:cs="Times New Roman"/>
                <w:b/>
                <w:bCs/>
                <w:color w:val="auto"/>
                <w:sz w:val="24"/>
                <w:lang w:val="en-US" w:eastAsia="zh-CN" w:bidi="ar-SA"/>
              </w:rPr>
              <w:t>二、</w:t>
            </w:r>
            <w:r>
              <w:rPr>
                <w:rFonts w:hint="eastAsia" w:hAnsi="Times New Roman" w:cs="Times New Roman"/>
                <w:b/>
                <w:bCs/>
                <w:color w:val="auto"/>
                <w:highlight w:val="none"/>
                <w:lang w:val="en-US" w:eastAsia="zh-CN"/>
              </w:rPr>
              <w:t>评审标准：</w:t>
            </w:r>
            <w:r>
              <w:rPr>
                <w:rFonts w:hint="eastAsia" w:hAnsi="Times New Roman" w:cs="Times New Roman"/>
                <w:color w:val="auto"/>
                <w:highlight w:val="none"/>
                <w:lang w:val="en-US" w:eastAsia="zh-CN"/>
              </w:rPr>
              <w:t xml:space="preserve"> </w:t>
            </w:r>
          </w:p>
          <w:p w14:paraId="45400CE7">
            <w:pPr>
              <w:numPr>
                <w:ilvl w:val="0"/>
                <w:numId w:val="7"/>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完整性：方案必须全面，对评审内容中的各项要求有详细描述； </w:t>
            </w:r>
          </w:p>
          <w:p w14:paraId="4E9DEFB8">
            <w:pPr>
              <w:numPr>
                <w:ilvl w:val="0"/>
                <w:numId w:val="7"/>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可实施性：切合本项目实际情况，提出步骤清晰、合理的方案； </w:t>
            </w:r>
          </w:p>
          <w:p w14:paraId="4FFF9F23">
            <w:pPr>
              <w:numPr>
                <w:ilvl w:val="0"/>
                <w:numId w:val="7"/>
              </w:numPr>
              <w:ind w:left="0" w:leftChars="0" w:firstLine="0" w:firstLine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 xml:space="preserve">针对性：方案能够紧扣项目实际情况，内容科学合理。 </w:t>
            </w:r>
          </w:p>
          <w:p w14:paraId="3DDB8AF5">
            <w:pPr>
              <w:numPr>
                <w:ilvl w:val="0"/>
                <w:numId w:val="0"/>
              </w:numPr>
              <w:ind w:left="0" w:leftChars="0" w:firstLine="0" w:firstLineChars="0"/>
              <w:jc w:val="left"/>
              <w:rPr>
                <w:rFonts w:hint="eastAsia" w:hAnsi="Times New Roman" w:cs="Times New Roman"/>
                <w:b/>
                <w:bCs/>
                <w:color w:val="auto"/>
                <w:highlight w:val="none"/>
                <w:lang w:val="en-US" w:eastAsia="zh-CN"/>
              </w:rPr>
            </w:pPr>
            <w:r>
              <w:rPr>
                <w:rFonts w:hint="eastAsia" w:ascii="宋体" w:hAnsi="Times New Roman" w:eastAsia="宋体" w:cs="Times New Roman"/>
                <w:b/>
                <w:bCs/>
                <w:color w:val="auto"/>
                <w:sz w:val="24"/>
                <w:lang w:val="en-US" w:eastAsia="zh-CN" w:bidi="ar-SA"/>
              </w:rPr>
              <w:t>三、</w:t>
            </w:r>
            <w:r>
              <w:rPr>
                <w:rFonts w:hint="eastAsia" w:hAnsi="Times New Roman" w:cs="Times New Roman"/>
                <w:b/>
                <w:bCs/>
                <w:color w:val="auto"/>
                <w:highlight w:val="none"/>
                <w:lang w:val="en-US" w:eastAsia="zh-CN"/>
              </w:rPr>
              <w:t>赋分标准（满分12分）</w:t>
            </w:r>
          </w:p>
          <w:p w14:paraId="6E6E4A4F">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①突发应急事件预案：每完全满足一个评审标准得2分，满分6分；</w:t>
            </w:r>
          </w:p>
          <w:p w14:paraId="181CA627">
            <w:pPr>
              <w:numPr>
                <w:ilvl w:val="0"/>
                <w:numId w:val="0"/>
              </w:numPr>
              <w:ind w:leftChars="0"/>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②应急保障措施：每完全满足一个评审标准得2分，满分6分。</w:t>
            </w:r>
          </w:p>
        </w:tc>
        <w:tc>
          <w:tcPr>
            <w:tcW w:w="870" w:type="dxa"/>
            <w:noWrap w:val="0"/>
            <w:vAlign w:val="center"/>
          </w:tcPr>
          <w:p w14:paraId="7C3CCF8C">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12分</w:t>
            </w:r>
          </w:p>
        </w:tc>
      </w:tr>
      <w:tr w14:paraId="730A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1656" w:type="dxa"/>
            <w:noWrap w:val="0"/>
            <w:vAlign w:val="center"/>
          </w:tcPr>
          <w:p w14:paraId="7AAA6256">
            <w:pPr>
              <w:jc w:val="center"/>
              <w:rPr>
                <w:rFonts w:hint="eastAsia" w:hAnsi="Times New Roman" w:cs="Times New Roman"/>
                <w:color w:val="auto"/>
                <w:highlight w:val="none"/>
                <w:lang w:val="en-US" w:eastAsia="zh-CN"/>
              </w:rPr>
            </w:pPr>
            <w:r>
              <w:rPr>
                <w:rFonts w:hint="eastAsia" w:cs="Times New Roman"/>
                <w:color w:val="auto"/>
                <w:highlight w:val="none"/>
                <w:lang w:val="en-US" w:eastAsia="zh-CN"/>
              </w:rPr>
              <w:t>项目负责人</w:t>
            </w:r>
          </w:p>
        </w:tc>
        <w:tc>
          <w:tcPr>
            <w:tcW w:w="6880" w:type="dxa"/>
            <w:noWrap w:val="0"/>
            <w:vAlign w:val="center"/>
          </w:tcPr>
          <w:p w14:paraId="0789A997">
            <w:pPr>
              <w:keepNext w:val="0"/>
              <w:keepLines w:val="0"/>
              <w:widowControl/>
              <w:numPr>
                <w:ilvl w:val="0"/>
                <w:numId w:val="0"/>
              </w:numPr>
              <w:suppressLineNumbers w:val="0"/>
              <w:spacing w:line="360" w:lineRule="auto"/>
              <w:jc w:val="both"/>
              <w:rPr>
                <w:rFonts w:hint="eastAsia"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lang w:val="en-US" w:eastAsia="zh-CN" w:bidi="ar"/>
              </w:rPr>
              <w:t>1、</w:t>
            </w:r>
            <w:r>
              <w:rPr>
                <w:rFonts w:hint="eastAsia" w:hAnsi="宋体" w:cs="宋体"/>
                <w:color w:val="000000"/>
                <w:kern w:val="0"/>
                <w:sz w:val="24"/>
                <w:szCs w:val="24"/>
                <w:highlight w:val="none"/>
                <w:lang w:val="en-US" w:eastAsia="zh-CN" w:bidi="ar"/>
              </w:rPr>
              <w:t>项目负责人具有专科学历得2分，具有本科及以上学历得3分；（需提供学历证书）</w:t>
            </w:r>
          </w:p>
          <w:p w14:paraId="0BD16CF8">
            <w:pPr>
              <w:jc w:val="left"/>
              <w:rPr>
                <w:rFonts w:hint="default"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lang w:val="en-US" w:eastAsia="zh-CN" w:bidi="ar"/>
              </w:rPr>
              <w:t>2、项目负责人具有PMP证书或CPMP二级以上证书得3分；（需提证书）</w:t>
            </w:r>
          </w:p>
        </w:tc>
        <w:tc>
          <w:tcPr>
            <w:tcW w:w="870" w:type="dxa"/>
            <w:noWrap w:val="0"/>
            <w:vAlign w:val="center"/>
          </w:tcPr>
          <w:p w14:paraId="5F5C5BFF">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6分</w:t>
            </w:r>
          </w:p>
        </w:tc>
      </w:tr>
      <w:tr w14:paraId="6D82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656" w:type="dxa"/>
            <w:noWrap w:val="0"/>
            <w:vAlign w:val="center"/>
          </w:tcPr>
          <w:p w14:paraId="320CE058">
            <w:pPr>
              <w:jc w:val="center"/>
              <w:rPr>
                <w:rFonts w:hint="default" w:hAnsi="Times New Roman" w:cs="Times New Roman"/>
                <w:color w:val="auto"/>
                <w:highlight w:val="none"/>
                <w:lang w:val="en-US" w:eastAsia="zh-CN"/>
              </w:rPr>
            </w:pPr>
            <w:r>
              <w:rPr>
                <w:rFonts w:hint="eastAsia" w:cs="Times New Roman"/>
                <w:color w:val="auto"/>
                <w:highlight w:val="none"/>
                <w:lang w:val="en-US" w:eastAsia="zh-CN"/>
              </w:rPr>
              <w:t>团队人员</w:t>
            </w:r>
          </w:p>
        </w:tc>
        <w:tc>
          <w:tcPr>
            <w:tcW w:w="6880" w:type="dxa"/>
            <w:noWrap w:val="0"/>
            <w:vAlign w:val="center"/>
          </w:tcPr>
          <w:p w14:paraId="1E5D073B">
            <w:pPr>
              <w:numPr>
                <w:ilvl w:val="0"/>
                <w:numId w:val="0"/>
              </w:numPr>
              <w:jc w:val="left"/>
              <w:rPr>
                <w:rFonts w:hint="default" w:ascii="宋体" w:hAnsi="Times New Roman" w:eastAsia="宋体" w:cs="Times New Roman"/>
                <w:color w:val="auto"/>
                <w:highlight w:val="none"/>
                <w:lang w:val="en-US" w:eastAsia="zh-CN"/>
              </w:rPr>
            </w:pPr>
            <w:r>
              <w:rPr>
                <w:rFonts w:hint="eastAsia" w:ascii="宋体" w:hAnsi="宋体" w:eastAsia="宋体" w:cs="宋体"/>
                <w:sz w:val="24"/>
                <w:szCs w:val="24"/>
              </w:rPr>
              <w:t>根据本项目所配备项目组人员情况进行打分。服务团队不少于4人、团队分工和责任明晰、管理制度健全得6分，每增加一人加1分，共计10分。</w:t>
            </w:r>
          </w:p>
        </w:tc>
        <w:tc>
          <w:tcPr>
            <w:tcW w:w="870" w:type="dxa"/>
            <w:noWrap w:val="0"/>
            <w:vAlign w:val="center"/>
          </w:tcPr>
          <w:p w14:paraId="4F73639A">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10分</w:t>
            </w:r>
          </w:p>
        </w:tc>
      </w:tr>
      <w:tr w14:paraId="3D94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656" w:type="dxa"/>
            <w:noWrap w:val="0"/>
            <w:vAlign w:val="center"/>
          </w:tcPr>
          <w:p w14:paraId="42815359">
            <w:pPr>
              <w:pStyle w:val="33"/>
              <w:jc w:val="center"/>
              <w:rPr>
                <w:rFonts w:hint="eastAsia" w:ascii="宋体" w:hAnsi="宋体" w:eastAsia="宋体" w:cs="宋体"/>
                <w:color w:val="auto"/>
                <w:highlight w:val="none"/>
              </w:rPr>
            </w:pPr>
            <w:r>
              <w:rPr>
                <w:rFonts w:hint="eastAsia" w:hAnsi="宋体" w:eastAsia="宋体" w:cs="宋体"/>
                <w:color w:val="auto"/>
                <w:highlight w:val="none"/>
              </w:rPr>
              <w:t>合理化建议</w:t>
            </w:r>
          </w:p>
        </w:tc>
        <w:tc>
          <w:tcPr>
            <w:tcW w:w="6880" w:type="dxa"/>
            <w:noWrap w:val="0"/>
            <w:vAlign w:val="center"/>
          </w:tcPr>
          <w:p w14:paraId="4A8E1BBD">
            <w:pPr>
              <w:jc w:val="left"/>
              <w:rPr>
                <w:rFonts w:hint="eastAsia"/>
                <w:highlight w:val="none"/>
              </w:rPr>
            </w:pPr>
            <w:r>
              <w:rPr>
                <w:rFonts w:hint="eastAsia" w:ascii="宋体" w:hAnsi="宋体" w:eastAsia="宋体" w:cs="宋体"/>
                <w:szCs w:val="24"/>
                <w:highlight w:val="none"/>
                <w:lang w:val="en-US" w:eastAsia="zh-CN"/>
              </w:rPr>
              <w:t>供应商</w:t>
            </w:r>
            <w:r>
              <w:rPr>
                <w:rFonts w:hint="eastAsia" w:ascii="宋体" w:hAnsi="宋体" w:eastAsia="宋体" w:cs="宋体"/>
                <w:szCs w:val="24"/>
                <w:highlight w:val="none"/>
                <w:lang w:eastAsia="zh-CN"/>
              </w:rPr>
              <w:t>针对本项目提出有利于</w:t>
            </w:r>
            <w:r>
              <w:rPr>
                <w:rFonts w:hint="eastAsia" w:ascii="宋体" w:hAnsi="宋体" w:eastAsia="宋体" w:cs="宋体"/>
                <w:szCs w:val="24"/>
                <w:highlight w:val="none"/>
                <w:lang w:val="en-US" w:eastAsia="zh-CN"/>
              </w:rPr>
              <w:t>采购人</w:t>
            </w:r>
            <w:r>
              <w:rPr>
                <w:rFonts w:hint="eastAsia" w:ascii="宋体" w:hAnsi="宋体" w:eastAsia="宋体" w:cs="宋体"/>
                <w:szCs w:val="24"/>
                <w:highlight w:val="none"/>
                <w:lang w:eastAsia="zh-CN"/>
              </w:rPr>
              <w:t>的合理化建议，</w:t>
            </w:r>
            <w:r>
              <w:rPr>
                <w:rFonts w:hint="eastAsia" w:ascii="宋体" w:hAnsi="宋体" w:eastAsia="宋体" w:cs="宋体"/>
                <w:szCs w:val="24"/>
                <w:highlight w:val="none"/>
                <w:lang w:val="en-US" w:eastAsia="zh-CN"/>
              </w:rPr>
              <w:t>从积极意义、可行性、合理性等方面综合考虑</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合理化建议</w:t>
            </w:r>
            <w:r>
              <w:rPr>
                <w:rFonts w:hint="eastAsia" w:ascii="宋体" w:hAnsi="宋体" w:eastAsia="宋体" w:cs="宋体"/>
                <w:szCs w:val="24"/>
                <w:highlight w:val="none"/>
                <w:lang w:eastAsia="zh-CN"/>
              </w:rPr>
              <w:t>完善，切实可行</w:t>
            </w:r>
            <w:r>
              <w:rPr>
                <w:rFonts w:hint="eastAsia" w:ascii="宋体" w:hAnsi="宋体" w:eastAsia="宋体" w:cs="宋体"/>
                <w:szCs w:val="24"/>
                <w:highlight w:val="none"/>
                <w:lang w:val="en-US" w:eastAsia="zh-CN"/>
              </w:rPr>
              <w:t>的</w:t>
            </w:r>
            <w:r>
              <w:rPr>
                <w:rFonts w:hint="eastAsia" w:ascii="宋体" w:hAnsi="宋体" w:eastAsia="宋体" w:cs="宋体"/>
                <w:szCs w:val="24"/>
                <w:highlight w:val="none"/>
                <w:lang w:eastAsia="zh-CN"/>
              </w:rPr>
              <w:t>计</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lang w:eastAsia="zh-CN"/>
              </w:rPr>
              <w:t>分；</w:t>
            </w:r>
            <w:r>
              <w:rPr>
                <w:rFonts w:hint="eastAsia" w:ascii="宋体" w:hAnsi="宋体" w:eastAsia="宋体" w:cs="宋体"/>
                <w:szCs w:val="24"/>
                <w:highlight w:val="none"/>
                <w:lang w:val="en-US" w:eastAsia="zh-CN"/>
              </w:rPr>
              <w:t>合理化建议</w:t>
            </w:r>
            <w:r>
              <w:rPr>
                <w:rFonts w:hint="eastAsia" w:ascii="宋体" w:hAnsi="宋体" w:eastAsia="宋体" w:cs="宋体"/>
                <w:szCs w:val="24"/>
                <w:highlight w:val="none"/>
                <w:lang w:eastAsia="zh-CN"/>
              </w:rPr>
              <w:t>一般，基本可行</w:t>
            </w:r>
            <w:r>
              <w:rPr>
                <w:rFonts w:hint="eastAsia" w:ascii="宋体" w:hAnsi="宋体" w:eastAsia="宋体" w:cs="宋体"/>
                <w:szCs w:val="24"/>
                <w:highlight w:val="none"/>
                <w:lang w:val="en-US" w:eastAsia="zh-CN"/>
              </w:rPr>
              <w:t>的</w:t>
            </w:r>
            <w:r>
              <w:rPr>
                <w:rFonts w:hint="eastAsia" w:ascii="宋体" w:hAnsi="宋体" w:eastAsia="宋体" w:cs="宋体"/>
                <w:szCs w:val="24"/>
                <w:highlight w:val="none"/>
                <w:lang w:eastAsia="zh-CN"/>
              </w:rPr>
              <w:t>计</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lang w:eastAsia="zh-CN"/>
              </w:rPr>
              <w:t>分</w:t>
            </w:r>
            <w:r>
              <w:rPr>
                <w:rFonts w:hint="eastAsia" w:ascii="宋体" w:hAnsi="宋体" w:eastAsia="宋体" w:cs="宋体"/>
                <w:szCs w:val="24"/>
                <w:highlight w:val="none"/>
                <w:lang w:val="en-US" w:eastAsia="zh-CN"/>
              </w:rPr>
              <w:t>；未提供不得分。</w:t>
            </w:r>
          </w:p>
        </w:tc>
        <w:tc>
          <w:tcPr>
            <w:tcW w:w="870" w:type="dxa"/>
            <w:noWrap w:val="0"/>
            <w:vAlign w:val="center"/>
          </w:tcPr>
          <w:p w14:paraId="6FB6CF9C">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6</w:t>
            </w:r>
            <w:r>
              <w:rPr>
                <w:rFonts w:hint="eastAsia" w:hAnsi="宋体" w:cs="宋体"/>
                <w:color w:val="auto"/>
                <w:szCs w:val="24"/>
                <w:highlight w:val="none"/>
              </w:rPr>
              <w:t>分</w:t>
            </w:r>
          </w:p>
        </w:tc>
      </w:tr>
      <w:tr w14:paraId="3FAC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656" w:type="dxa"/>
            <w:noWrap w:val="0"/>
            <w:vAlign w:val="center"/>
          </w:tcPr>
          <w:p w14:paraId="09FA0467">
            <w:pPr>
              <w:pStyle w:val="33"/>
              <w:jc w:val="center"/>
              <w:rPr>
                <w:rFonts w:hint="eastAsia" w:hAnsi="宋体" w:eastAsia="宋体" w:cs="宋体"/>
                <w:color w:val="auto"/>
                <w:highlight w:val="none"/>
              </w:rPr>
            </w:pPr>
            <w:r>
              <w:rPr>
                <w:rFonts w:hint="eastAsia" w:hAnsi="宋体" w:eastAsia="宋体" w:cs="宋体"/>
                <w:color w:val="auto"/>
                <w:highlight w:val="none"/>
                <w:lang w:val="en-US" w:eastAsia="zh-CN"/>
              </w:rPr>
              <w:t>服务承诺</w:t>
            </w:r>
          </w:p>
        </w:tc>
        <w:tc>
          <w:tcPr>
            <w:tcW w:w="6880" w:type="dxa"/>
            <w:noWrap w:val="0"/>
            <w:vAlign w:val="center"/>
          </w:tcPr>
          <w:p w14:paraId="651BB8AE">
            <w:pPr>
              <w:jc w:val="left"/>
              <w:rPr>
                <w:rFonts w:hint="default" w:hAnsi="Times New Roman" w:cs="Times New Roman"/>
                <w:color w:val="auto"/>
                <w:highlight w:val="none"/>
                <w:lang w:val="en-US" w:eastAsia="zh-CN"/>
              </w:rPr>
            </w:pPr>
            <w:r>
              <w:rPr>
                <w:rFonts w:hint="eastAsia" w:hAnsi="Times New Roman" w:cs="Times New Roman"/>
                <w:color w:val="auto"/>
                <w:highlight w:val="none"/>
                <w:lang w:val="en-US" w:eastAsia="zh-CN"/>
              </w:rPr>
              <w:t>针对本采购项目及采购人实际需求提供详细具体可行的服务措施承诺及详尽可行的服务实施计划，并阐明可提供的咨询或后续服务内容计</w:t>
            </w:r>
            <w:r>
              <w:rPr>
                <w:rFonts w:hint="eastAsia" w:cs="Times New Roman"/>
                <w:color w:val="auto"/>
                <w:highlight w:val="none"/>
                <w:lang w:val="en-US" w:eastAsia="zh-CN"/>
              </w:rPr>
              <w:t>5</w:t>
            </w:r>
            <w:r>
              <w:rPr>
                <w:rFonts w:hint="eastAsia" w:hAnsi="Times New Roman" w:cs="Times New Roman"/>
                <w:color w:val="auto"/>
                <w:highlight w:val="none"/>
                <w:lang w:val="en-US" w:eastAsia="zh-CN"/>
              </w:rPr>
              <w:t>分；提供的内容较为详尽，描述欠合理的计</w:t>
            </w:r>
            <w:r>
              <w:rPr>
                <w:rFonts w:hint="eastAsia" w:cs="Times New Roman"/>
                <w:color w:val="auto"/>
                <w:highlight w:val="none"/>
                <w:lang w:val="en-US" w:eastAsia="zh-CN"/>
              </w:rPr>
              <w:t>2</w:t>
            </w:r>
            <w:r>
              <w:rPr>
                <w:rFonts w:hint="eastAsia" w:hAnsi="Times New Roman" w:cs="Times New Roman"/>
                <w:color w:val="auto"/>
                <w:highlight w:val="none"/>
                <w:lang w:val="en-US" w:eastAsia="zh-CN"/>
              </w:rPr>
              <w:t>分</w:t>
            </w:r>
            <w:r>
              <w:rPr>
                <w:rFonts w:hint="eastAsia" w:cs="Times New Roman"/>
                <w:color w:val="auto"/>
                <w:highlight w:val="none"/>
                <w:lang w:val="en-US" w:eastAsia="zh-CN"/>
              </w:rPr>
              <w:t>；未提供不得分</w:t>
            </w:r>
          </w:p>
        </w:tc>
        <w:tc>
          <w:tcPr>
            <w:tcW w:w="870" w:type="dxa"/>
            <w:noWrap w:val="0"/>
            <w:vAlign w:val="center"/>
          </w:tcPr>
          <w:p w14:paraId="138720F3">
            <w:pPr>
              <w:spacing w:line="360" w:lineRule="auto"/>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5分</w:t>
            </w:r>
          </w:p>
        </w:tc>
      </w:tr>
      <w:tr w14:paraId="75B3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656" w:type="dxa"/>
            <w:noWrap w:val="0"/>
            <w:vAlign w:val="center"/>
          </w:tcPr>
          <w:p w14:paraId="0B7E9E5A">
            <w:pPr>
              <w:spacing w:line="320" w:lineRule="exact"/>
              <w:ind w:right="113"/>
              <w:jc w:val="center"/>
              <w:rPr>
                <w:rFonts w:hint="eastAsia" w:hAnsi="宋体" w:cs="宋体"/>
                <w:color w:val="auto"/>
                <w:szCs w:val="24"/>
                <w:highlight w:val="none"/>
              </w:rPr>
            </w:pPr>
            <w:r>
              <w:rPr>
                <w:rFonts w:hint="eastAsia" w:hAnsi="宋体" w:cs="宋体"/>
                <w:color w:val="auto"/>
                <w:szCs w:val="24"/>
                <w:highlight w:val="none"/>
              </w:rPr>
              <w:t>业绩</w:t>
            </w:r>
          </w:p>
        </w:tc>
        <w:tc>
          <w:tcPr>
            <w:tcW w:w="6880" w:type="dxa"/>
            <w:noWrap w:val="0"/>
            <w:vAlign w:val="center"/>
          </w:tcPr>
          <w:p w14:paraId="2BD4ACC7">
            <w:pPr>
              <w:pStyle w:val="33"/>
              <w:jc w:val="both"/>
              <w:rPr>
                <w:rFonts w:hint="eastAsia" w:ascii="宋体" w:hAnsi="宋体"/>
                <w:color w:val="auto"/>
                <w:szCs w:val="22"/>
                <w:highlight w:val="none"/>
              </w:rPr>
            </w:pPr>
            <w:r>
              <w:rPr>
                <w:rFonts w:hint="eastAsia" w:ascii="宋体" w:hAnsi="宋体"/>
                <w:color w:val="auto"/>
                <w:szCs w:val="22"/>
                <w:highlight w:val="none"/>
              </w:rPr>
              <w:t>提供</w:t>
            </w:r>
            <w:r>
              <w:rPr>
                <w:rFonts w:hint="eastAsia" w:ascii="宋体" w:hAnsi="宋体"/>
                <w:color w:val="auto"/>
                <w:szCs w:val="22"/>
                <w:highlight w:val="none"/>
                <w:lang w:val="en-US" w:eastAsia="zh-CN"/>
              </w:rPr>
              <w:t>2022年6月以后</w:t>
            </w:r>
            <w:r>
              <w:rPr>
                <w:rFonts w:hint="eastAsia" w:ascii="宋体" w:hAnsi="宋体"/>
                <w:color w:val="auto"/>
                <w:szCs w:val="22"/>
                <w:highlight w:val="none"/>
                <w:lang w:eastAsia="zh-CN"/>
              </w:rPr>
              <w:t>类似</w:t>
            </w:r>
            <w:r>
              <w:rPr>
                <w:rFonts w:hint="eastAsia" w:ascii="宋体" w:hAnsi="宋体"/>
                <w:color w:val="auto"/>
                <w:szCs w:val="22"/>
                <w:highlight w:val="none"/>
                <w:lang w:val="en-US" w:eastAsia="zh-CN"/>
              </w:rPr>
              <w:t>本</w:t>
            </w:r>
            <w:r>
              <w:rPr>
                <w:rFonts w:hint="eastAsia" w:ascii="宋体" w:hAnsi="宋体"/>
                <w:color w:val="auto"/>
                <w:szCs w:val="22"/>
                <w:highlight w:val="none"/>
              </w:rPr>
              <w:t>项目业绩，每提供一份计</w:t>
            </w:r>
            <w:r>
              <w:rPr>
                <w:rFonts w:hint="eastAsia" w:ascii="宋体" w:hAnsi="宋体"/>
                <w:color w:val="auto"/>
                <w:szCs w:val="22"/>
                <w:highlight w:val="none"/>
                <w:lang w:val="en-US" w:eastAsia="zh-CN"/>
              </w:rPr>
              <w:t>3</w:t>
            </w:r>
            <w:r>
              <w:rPr>
                <w:rFonts w:hint="eastAsia" w:ascii="宋体" w:hAnsi="宋体"/>
                <w:color w:val="auto"/>
                <w:szCs w:val="22"/>
                <w:highlight w:val="none"/>
              </w:rPr>
              <w:t>分，满分</w:t>
            </w:r>
            <w:r>
              <w:rPr>
                <w:rFonts w:hint="eastAsia" w:ascii="宋体" w:hAnsi="宋体"/>
                <w:color w:val="auto"/>
                <w:szCs w:val="22"/>
                <w:highlight w:val="none"/>
                <w:lang w:val="en-US" w:eastAsia="zh-CN"/>
              </w:rPr>
              <w:t>12</w:t>
            </w:r>
            <w:r>
              <w:rPr>
                <w:rFonts w:hint="eastAsia" w:ascii="宋体" w:hAnsi="宋体"/>
                <w:color w:val="auto"/>
                <w:szCs w:val="22"/>
                <w:highlight w:val="none"/>
              </w:rPr>
              <w:t>分（业绩以合同复印件</w:t>
            </w:r>
            <w:r>
              <w:rPr>
                <w:rFonts w:hint="eastAsia" w:ascii="宋体" w:hAnsi="宋体"/>
                <w:color w:val="auto"/>
                <w:szCs w:val="22"/>
                <w:highlight w:val="none"/>
                <w:lang w:eastAsia="zh-CN"/>
              </w:rPr>
              <w:t>或中标通知书</w:t>
            </w:r>
            <w:r>
              <w:rPr>
                <w:rFonts w:hint="eastAsia" w:ascii="宋体" w:hAnsi="宋体"/>
                <w:color w:val="auto"/>
                <w:szCs w:val="22"/>
                <w:highlight w:val="none"/>
              </w:rPr>
              <w:t>为依据）。</w:t>
            </w:r>
          </w:p>
        </w:tc>
        <w:tc>
          <w:tcPr>
            <w:tcW w:w="870" w:type="dxa"/>
            <w:noWrap w:val="0"/>
            <w:vAlign w:val="center"/>
          </w:tcPr>
          <w:p w14:paraId="4F77CF1F">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12</w:t>
            </w:r>
            <w:r>
              <w:rPr>
                <w:rFonts w:hint="eastAsia" w:hAnsi="宋体" w:cs="宋体"/>
                <w:color w:val="auto"/>
                <w:szCs w:val="24"/>
                <w:highlight w:val="none"/>
              </w:rPr>
              <w:t>分</w:t>
            </w:r>
          </w:p>
        </w:tc>
      </w:tr>
    </w:tbl>
    <w:p w14:paraId="6F76C401">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4F6D5DBD">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13F7A836">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48696715">
      <w:pPr>
        <w:pStyle w:val="17"/>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4EDB189C">
      <w:pPr>
        <w:pStyle w:val="2"/>
        <w:jc w:val="center"/>
        <w:rPr>
          <w:rFonts w:ascii="宋体" w:eastAsia="宋体" w:cs="宋体"/>
          <w:bCs/>
          <w:color w:val="auto"/>
          <w:sz w:val="36"/>
          <w:szCs w:val="36"/>
          <w:highlight w:val="none"/>
        </w:rPr>
      </w:pPr>
      <w:bookmarkStart w:id="103" w:name="_Toc8788"/>
      <w:bookmarkStart w:id="104" w:name="_Toc10029"/>
      <w:bookmarkStart w:id="105" w:name="_Toc2724"/>
      <w:r>
        <w:rPr>
          <w:rFonts w:hint="eastAsia" w:ascii="宋体" w:eastAsia="宋体" w:cs="宋体"/>
          <w:bCs/>
          <w:color w:val="auto"/>
          <w:sz w:val="36"/>
          <w:szCs w:val="36"/>
          <w:highlight w:val="none"/>
        </w:rPr>
        <w:t>第四章  合同条款及格式</w:t>
      </w:r>
      <w:bookmarkEnd w:id="73"/>
      <w:bookmarkEnd w:id="74"/>
      <w:bookmarkEnd w:id="75"/>
      <w:bookmarkEnd w:id="103"/>
      <w:bookmarkEnd w:id="104"/>
      <w:bookmarkEnd w:id="105"/>
    </w:p>
    <w:p w14:paraId="534FA0C1">
      <w:pPr>
        <w:tabs>
          <w:tab w:val="left" w:pos="210"/>
          <w:tab w:val="left" w:pos="525"/>
        </w:tabs>
        <w:spacing w:line="360" w:lineRule="auto"/>
        <w:jc w:val="center"/>
        <w:outlineLvl w:val="1"/>
        <w:rPr>
          <w:rFonts w:hAnsi="宋体" w:cs="宋体"/>
          <w:color w:val="auto"/>
          <w:sz w:val="32"/>
          <w:szCs w:val="32"/>
          <w:highlight w:val="none"/>
        </w:rPr>
      </w:pPr>
      <w:bookmarkStart w:id="106" w:name="_Toc32476"/>
      <w:bookmarkStart w:id="107" w:name="_Toc24218"/>
      <w:bookmarkStart w:id="108" w:name="_Toc23705"/>
      <w:bookmarkStart w:id="109" w:name="_Toc26300"/>
      <w:bookmarkStart w:id="110" w:name="_Toc3424"/>
      <w:bookmarkStart w:id="111" w:name="_Toc20005"/>
      <w:r>
        <w:rPr>
          <w:rFonts w:hint="eastAsia" w:hAnsi="宋体" w:cs="宋体"/>
          <w:b/>
          <w:bCs/>
          <w:color w:val="auto"/>
          <w:sz w:val="32"/>
          <w:szCs w:val="32"/>
          <w:highlight w:val="none"/>
        </w:rPr>
        <w:t>合同前附表</w:t>
      </w:r>
      <w:bookmarkEnd w:id="106"/>
      <w:bookmarkEnd w:id="107"/>
      <w:bookmarkEnd w:id="108"/>
      <w:bookmarkEnd w:id="109"/>
      <w:bookmarkEnd w:id="110"/>
      <w:bookmarkEnd w:id="111"/>
    </w:p>
    <w:p w14:paraId="545D4F3B">
      <w:pPr>
        <w:rPr>
          <w:rFonts w:hAnsi="宋体" w:cs="宋体"/>
          <w:color w:val="auto"/>
          <w:highlight w:val="none"/>
        </w:rPr>
      </w:pPr>
    </w:p>
    <w:p w14:paraId="735DCC63">
      <w:pPr>
        <w:rPr>
          <w:rFonts w:hAnsi="宋体" w:cs="宋体"/>
          <w:color w:val="auto"/>
          <w:szCs w:val="24"/>
          <w:highlight w:val="none"/>
        </w:rPr>
      </w:pPr>
      <w:r>
        <w:rPr>
          <w:rFonts w:hint="eastAsia" w:hAnsi="宋体" w:cs="宋体"/>
          <w:color w:val="auto"/>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2"/>
        <w:gridCol w:w="8440"/>
      </w:tblGrid>
      <w:tr w14:paraId="60181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65D53542">
            <w:pPr>
              <w:spacing w:line="360" w:lineRule="auto"/>
              <w:jc w:val="center"/>
              <w:rPr>
                <w:rFonts w:hAnsi="宋体" w:cs="宋体"/>
                <w:color w:val="auto"/>
                <w:sz w:val="24"/>
                <w:szCs w:val="24"/>
                <w:highlight w:val="none"/>
              </w:rPr>
            </w:pPr>
            <w:r>
              <w:rPr>
                <w:rFonts w:hint="eastAsia" w:hAnsi="宋体" w:cs="宋体"/>
                <w:color w:val="auto"/>
                <w:sz w:val="24"/>
                <w:szCs w:val="24"/>
                <w:highlight w:val="none"/>
              </w:rPr>
              <w:t>条款号</w:t>
            </w:r>
          </w:p>
        </w:tc>
        <w:tc>
          <w:tcPr>
            <w:tcW w:w="8440" w:type="dxa"/>
            <w:vAlign w:val="center"/>
          </w:tcPr>
          <w:p w14:paraId="230CB974">
            <w:pPr>
              <w:spacing w:line="360" w:lineRule="auto"/>
              <w:jc w:val="center"/>
              <w:rPr>
                <w:rFonts w:hAnsi="宋体" w:cs="宋体"/>
                <w:color w:val="auto"/>
                <w:sz w:val="24"/>
                <w:szCs w:val="24"/>
                <w:highlight w:val="none"/>
              </w:rPr>
            </w:pPr>
            <w:r>
              <w:rPr>
                <w:rFonts w:hint="eastAsia" w:hAnsi="宋体" w:cs="宋体"/>
                <w:color w:val="auto"/>
                <w:sz w:val="24"/>
                <w:szCs w:val="24"/>
                <w:highlight w:val="none"/>
              </w:rPr>
              <w:t>内      容</w:t>
            </w:r>
          </w:p>
        </w:tc>
      </w:tr>
      <w:tr w14:paraId="19CE6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4DAA6E84">
            <w:pPr>
              <w:spacing w:line="360" w:lineRule="auto"/>
              <w:jc w:val="center"/>
              <w:rPr>
                <w:rFonts w:hAnsi="宋体" w:cs="宋体"/>
                <w:color w:val="auto"/>
                <w:sz w:val="24"/>
                <w:szCs w:val="24"/>
                <w:highlight w:val="none"/>
              </w:rPr>
            </w:pPr>
            <w:r>
              <w:rPr>
                <w:rFonts w:hint="eastAsia" w:hAnsi="宋体" w:cs="宋体"/>
                <w:color w:val="auto"/>
                <w:sz w:val="24"/>
                <w:szCs w:val="24"/>
                <w:highlight w:val="none"/>
              </w:rPr>
              <w:t>1</w:t>
            </w:r>
          </w:p>
        </w:tc>
        <w:tc>
          <w:tcPr>
            <w:tcW w:w="8440" w:type="dxa"/>
            <w:vAlign w:val="center"/>
          </w:tcPr>
          <w:p w14:paraId="7425C9C2">
            <w:pPr>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采购人名称：中共西安市委网络安全和信息化委员会办公室</w:t>
            </w:r>
          </w:p>
          <w:p w14:paraId="3CBA9BD3">
            <w:pPr>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地      址：陕西省西安市凤城八路99号</w:t>
            </w:r>
          </w:p>
          <w:p w14:paraId="2D253657">
            <w:pPr>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项目名称：</w:t>
            </w:r>
            <w:r>
              <w:rPr>
                <w:rFonts w:hint="eastAsia" w:hAnsi="宋体" w:cs="宋体"/>
                <w:color w:val="auto"/>
                <w:sz w:val="24"/>
                <w:szCs w:val="24"/>
                <w:highlight w:val="none"/>
                <w:lang w:eastAsia="zh-CN"/>
              </w:rPr>
              <w:t>西安市网络内容规范普法活动</w:t>
            </w:r>
          </w:p>
        </w:tc>
      </w:tr>
      <w:tr w14:paraId="43A4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7448F80C">
            <w:pPr>
              <w:spacing w:line="360" w:lineRule="auto"/>
              <w:jc w:val="center"/>
              <w:rPr>
                <w:rFonts w:hAnsi="宋体" w:cs="宋体"/>
                <w:color w:val="auto"/>
                <w:sz w:val="24"/>
                <w:szCs w:val="24"/>
                <w:highlight w:val="none"/>
              </w:rPr>
            </w:pPr>
            <w:r>
              <w:rPr>
                <w:rFonts w:hint="eastAsia" w:hAnsi="宋体" w:cs="宋体"/>
                <w:color w:val="auto"/>
                <w:sz w:val="24"/>
                <w:szCs w:val="24"/>
                <w:highlight w:val="none"/>
              </w:rPr>
              <w:t>2</w:t>
            </w:r>
          </w:p>
        </w:tc>
        <w:tc>
          <w:tcPr>
            <w:tcW w:w="8440" w:type="dxa"/>
            <w:vAlign w:val="center"/>
          </w:tcPr>
          <w:p w14:paraId="4604D0A2">
            <w:pPr>
              <w:spacing w:line="360" w:lineRule="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项目实施地点：</w:t>
            </w:r>
            <w:r>
              <w:rPr>
                <w:rFonts w:hint="eastAsia" w:hAnsi="宋体" w:cs="宋体"/>
                <w:color w:val="auto"/>
                <w:sz w:val="24"/>
                <w:szCs w:val="24"/>
                <w:highlight w:val="none"/>
                <w:lang w:val="en-US" w:eastAsia="zh-CN"/>
              </w:rPr>
              <w:t>西安</w:t>
            </w:r>
          </w:p>
        </w:tc>
      </w:tr>
      <w:tr w14:paraId="4187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17C5F44">
            <w:pPr>
              <w:spacing w:line="360" w:lineRule="auto"/>
              <w:jc w:val="center"/>
              <w:rPr>
                <w:rFonts w:hAnsi="宋体" w:cs="宋体"/>
                <w:color w:val="auto"/>
                <w:sz w:val="24"/>
                <w:szCs w:val="24"/>
                <w:highlight w:val="none"/>
              </w:rPr>
            </w:pPr>
            <w:r>
              <w:rPr>
                <w:rFonts w:hint="eastAsia" w:hAnsi="宋体" w:cs="宋体"/>
                <w:color w:val="auto"/>
                <w:sz w:val="24"/>
                <w:szCs w:val="24"/>
                <w:highlight w:val="none"/>
              </w:rPr>
              <w:t>3</w:t>
            </w:r>
          </w:p>
        </w:tc>
        <w:tc>
          <w:tcPr>
            <w:tcW w:w="8440" w:type="dxa"/>
            <w:vAlign w:val="center"/>
          </w:tcPr>
          <w:p w14:paraId="35848137">
            <w:pPr>
              <w:pStyle w:val="7"/>
              <w:ind w:firstLine="0" w:firstLineChars="0"/>
              <w:rPr>
                <w:rFonts w:hint="default" w:hAnsi="宋体" w:eastAsia="宋体" w:cs="宋体"/>
                <w:color w:val="auto"/>
                <w:sz w:val="24"/>
                <w:szCs w:val="24"/>
                <w:highlight w:val="none"/>
                <w:lang w:val="en-US" w:eastAsia="zh-CN"/>
              </w:rPr>
            </w:pPr>
            <w:r>
              <w:rPr>
                <w:rFonts w:hint="eastAsia" w:ascii="宋体" w:hAnsi="宋体" w:cs="宋体"/>
                <w:color w:val="auto"/>
                <w:sz w:val="24"/>
                <w:szCs w:val="24"/>
                <w:highlight w:val="none"/>
              </w:rPr>
              <w:t>服务期限：</w:t>
            </w:r>
            <w:r>
              <w:rPr>
                <w:rFonts w:hint="eastAsia" w:ascii="宋体" w:hAnsi="宋体" w:cs="宋体"/>
                <w:color w:val="auto"/>
                <w:sz w:val="24"/>
                <w:szCs w:val="24"/>
                <w:highlight w:val="none"/>
                <w:lang w:val="en-US" w:eastAsia="zh-CN"/>
              </w:rPr>
              <w:t>合同签订之日起至2025年11月30日前完成整体项目</w:t>
            </w:r>
          </w:p>
        </w:tc>
      </w:tr>
      <w:tr w14:paraId="42B00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5F5D66E7">
            <w:pPr>
              <w:spacing w:line="360" w:lineRule="auto"/>
              <w:jc w:val="center"/>
              <w:rPr>
                <w:rFonts w:hAnsi="宋体" w:cs="宋体"/>
                <w:color w:val="auto"/>
                <w:sz w:val="24"/>
                <w:szCs w:val="24"/>
                <w:highlight w:val="none"/>
              </w:rPr>
            </w:pPr>
            <w:r>
              <w:rPr>
                <w:rFonts w:hint="eastAsia" w:hAnsi="宋体" w:cs="宋体"/>
                <w:color w:val="auto"/>
                <w:sz w:val="24"/>
                <w:szCs w:val="24"/>
                <w:highlight w:val="none"/>
              </w:rPr>
              <w:t>4</w:t>
            </w:r>
          </w:p>
        </w:tc>
        <w:tc>
          <w:tcPr>
            <w:tcW w:w="8440" w:type="dxa"/>
            <w:vAlign w:val="center"/>
          </w:tcPr>
          <w:p w14:paraId="6A9CC273">
            <w:pPr>
              <w:spacing w:line="360" w:lineRule="auto"/>
              <w:rPr>
                <w:rFonts w:hAnsi="宋体" w:cs="宋体"/>
                <w:b/>
                <w:color w:val="auto"/>
                <w:sz w:val="24"/>
                <w:szCs w:val="24"/>
                <w:highlight w:val="none"/>
              </w:rPr>
            </w:pPr>
            <w:r>
              <w:rPr>
                <w:rFonts w:hint="eastAsia" w:hAnsi="宋体" w:cs="宋体"/>
                <w:b/>
                <w:color w:val="auto"/>
                <w:sz w:val="24"/>
                <w:szCs w:val="24"/>
                <w:highlight w:val="none"/>
              </w:rPr>
              <w:t>付款：</w:t>
            </w:r>
          </w:p>
          <w:p w14:paraId="0247E17D">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1.合同总价即成交价，不受市场价变化或实际工作量变化的影响。供应商应在磋商报价表中标明完成本次磋商所要求的全部服务的所有费用。</w:t>
            </w:r>
          </w:p>
          <w:p w14:paraId="0B171F78">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2.付款方式和程序：</w:t>
            </w:r>
          </w:p>
          <w:p w14:paraId="746F0C34">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2.1由采购人负责结算，在付款前，供应商必须开具全额发票给采购人（附详细清单）。</w:t>
            </w:r>
          </w:p>
          <w:p w14:paraId="1D7F835B">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2.2付款方式：</w:t>
            </w:r>
          </w:p>
          <w:p w14:paraId="2DD5A7C7">
            <w:pPr>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合同签订且供应商开具增值税正式发票后的10个工作日内，以银行转账形式向其支付本合同总费用的70%；合作结束后供应商提供结案报告，经市委网信办验收合格出具验收报告和绩效目标后30个工作日内，向供应商支付剩余30%服务费用。（具体以签订合同为准）。</w:t>
            </w:r>
          </w:p>
          <w:p w14:paraId="11EE0127">
            <w:pPr>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2.3支付方式：银行转账</w:t>
            </w:r>
          </w:p>
        </w:tc>
      </w:tr>
      <w:tr w14:paraId="5A27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07D15F05">
            <w:pPr>
              <w:spacing w:line="360" w:lineRule="auto"/>
              <w:jc w:val="center"/>
              <w:rPr>
                <w:rFonts w:hAnsi="宋体" w:cs="宋体"/>
                <w:color w:val="auto"/>
                <w:sz w:val="24"/>
                <w:szCs w:val="24"/>
                <w:highlight w:val="none"/>
              </w:rPr>
            </w:pPr>
            <w:r>
              <w:rPr>
                <w:rFonts w:hint="eastAsia" w:hAnsi="宋体" w:cs="宋体"/>
                <w:color w:val="auto"/>
                <w:sz w:val="24"/>
                <w:szCs w:val="24"/>
                <w:highlight w:val="none"/>
              </w:rPr>
              <w:t>5</w:t>
            </w:r>
          </w:p>
        </w:tc>
        <w:tc>
          <w:tcPr>
            <w:tcW w:w="8440" w:type="dxa"/>
            <w:vAlign w:val="center"/>
          </w:tcPr>
          <w:p w14:paraId="7FC41AE5">
            <w:pPr>
              <w:spacing w:line="360" w:lineRule="auto"/>
              <w:rPr>
                <w:rFonts w:hAnsi="宋体" w:cs="宋体"/>
                <w:b/>
                <w:color w:val="auto"/>
                <w:sz w:val="24"/>
                <w:szCs w:val="24"/>
                <w:highlight w:val="none"/>
              </w:rPr>
            </w:pPr>
            <w:r>
              <w:rPr>
                <w:rFonts w:hint="eastAsia" w:hAnsi="宋体" w:cs="宋体"/>
                <w:b/>
                <w:color w:val="auto"/>
                <w:sz w:val="24"/>
                <w:szCs w:val="24"/>
                <w:highlight w:val="none"/>
              </w:rPr>
              <w:t>服务支持：</w:t>
            </w:r>
          </w:p>
          <w:p w14:paraId="49B1D659">
            <w:pPr>
              <w:spacing w:line="360" w:lineRule="auto"/>
              <w:ind w:firstLine="480" w:firstLineChars="200"/>
              <w:jc w:val="left"/>
              <w:rPr>
                <w:rFonts w:hAnsi="宋体" w:cs="宋体"/>
                <w:color w:val="auto"/>
                <w:sz w:val="24"/>
                <w:szCs w:val="24"/>
                <w:highlight w:val="none"/>
              </w:rPr>
            </w:pPr>
            <w:r>
              <w:rPr>
                <w:rFonts w:hint="eastAsia" w:hAnsi="宋体" w:cs="宋体"/>
                <w:bCs/>
                <w:color w:val="auto"/>
                <w:sz w:val="24"/>
                <w:szCs w:val="24"/>
                <w:highlight w:val="none"/>
              </w:rPr>
              <w:t>供应商在项目实施过程中，质量保障人员、资源不足或者执行不力，给项目质量带来的风险超出采购人认定的允许范围时，采购人可终止本项目的合作并进行索赔。</w:t>
            </w:r>
          </w:p>
        </w:tc>
      </w:tr>
      <w:tr w14:paraId="3267A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4CAB2C9F">
            <w:pPr>
              <w:spacing w:line="360" w:lineRule="auto"/>
              <w:jc w:val="center"/>
              <w:rPr>
                <w:rFonts w:hAnsi="宋体" w:cs="宋体"/>
                <w:color w:val="auto"/>
                <w:sz w:val="24"/>
                <w:szCs w:val="24"/>
                <w:highlight w:val="none"/>
              </w:rPr>
            </w:pPr>
            <w:r>
              <w:rPr>
                <w:rFonts w:hint="eastAsia" w:hAnsi="宋体" w:cs="宋体"/>
                <w:color w:val="auto"/>
                <w:sz w:val="24"/>
                <w:szCs w:val="24"/>
                <w:highlight w:val="none"/>
              </w:rPr>
              <w:t>6</w:t>
            </w:r>
          </w:p>
        </w:tc>
        <w:tc>
          <w:tcPr>
            <w:tcW w:w="8440" w:type="dxa"/>
            <w:vAlign w:val="center"/>
          </w:tcPr>
          <w:p w14:paraId="53C90ADF">
            <w:pPr>
              <w:spacing w:line="360" w:lineRule="auto"/>
              <w:rPr>
                <w:rFonts w:hAnsi="宋体" w:cs="宋体"/>
                <w:b/>
                <w:color w:val="auto"/>
                <w:sz w:val="24"/>
                <w:szCs w:val="24"/>
                <w:highlight w:val="none"/>
              </w:rPr>
            </w:pPr>
            <w:r>
              <w:rPr>
                <w:rFonts w:hint="eastAsia" w:hAnsi="宋体" w:cs="宋体"/>
                <w:b/>
                <w:color w:val="auto"/>
                <w:sz w:val="24"/>
                <w:szCs w:val="24"/>
                <w:highlight w:val="none"/>
              </w:rPr>
              <w:t>知识产权、专利权：</w:t>
            </w:r>
          </w:p>
          <w:p w14:paraId="011EEA6E">
            <w:pPr>
              <w:tabs>
                <w:tab w:val="left" w:pos="498"/>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2DEA5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0" w:hRule="atLeast"/>
        </w:trPr>
        <w:tc>
          <w:tcPr>
            <w:tcW w:w="912" w:type="dxa"/>
            <w:vAlign w:val="center"/>
          </w:tcPr>
          <w:p w14:paraId="51DED298">
            <w:pPr>
              <w:spacing w:line="360" w:lineRule="auto"/>
              <w:jc w:val="center"/>
              <w:rPr>
                <w:rFonts w:hAnsi="宋体" w:cs="宋体"/>
                <w:color w:val="auto"/>
                <w:sz w:val="24"/>
                <w:szCs w:val="24"/>
                <w:highlight w:val="none"/>
              </w:rPr>
            </w:pPr>
            <w:r>
              <w:rPr>
                <w:rFonts w:hint="eastAsia" w:hAnsi="宋体" w:cs="宋体"/>
                <w:color w:val="auto"/>
                <w:sz w:val="24"/>
                <w:szCs w:val="24"/>
                <w:highlight w:val="none"/>
              </w:rPr>
              <w:t>7</w:t>
            </w:r>
          </w:p>
        </w:tc>
        <w:tc>
          <w:tcPr>
            <w:tcW w:w="8440" w:type="dxa"/>
            <w:vAlign w:val="center"/>
          </w:tcPr>
          <w:p w14:paraId="417F6DB1">
            <w:pPr>
              <w:spacing w:line="360" w:lineRule="auto"/>
              <w:rPr>
                <w:rFonts w:hAnsi="宋体" w:cs="宋体"/>
                <w:b/>
                <w:color w:val="auto"/>
                <w:sz w:val="24"/>
                <w:szCs w:val="24"/>
                <w:highlight w:val="none"/>
              </w:rPr>
            </w:pPr>
            <w:r>
              <w:rPr>
                <w:rFonts w:hint="eastAsia" w:hAnsi="宋体" w:cs="宋体"/>
                <w:b/>
                <w:color w:val="auto"/>
                <w:sz w:val="24"/>
                <w:szCs w:val="24"/>
                <w:highlight w:val="none"/>
              </w:rPr>
              <w:t>违约责任：</w:t>
            </w:r>
          </w:p>
          <w:p w14:paraId="11A3C416">
            <w:pPr>
              <w:tabs>
                <w:tab w:val="left" w:pos="152"/>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1、按《中华人民共和国民法典》中的相关条款执行。</w:t>
            </w:r>
          </w:p>
          <w:p w14:paraId="363EEA23">
            <w:pPr>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tc>
      </w:tr>
      <w:tr w14:paraId="540C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12" w:type="dxa"/>
            <w:vAlign w:val="center"/>
          </w:tcPr>
          <w:p w14:paraId="3218D71C">
            <w:pPr>
              <w:spacing w:line="360" w:lineRule="auto"/>
              <w:jc w:val="center"/>
              <w:rPr>
                <w:rFonts w:hAnsi="宋体" w:cs="宋体"/>
                <w:color w:val="auto"/>
                <w:sz w:val="24"/>
                <w:szCs w:val="24"/>
                <w:highlight w:val="none"/>
              </w:rPr>
            </w:pPr>
            <w:r>
              <w:rPr>
                <w:rFonts w:hint="eastAsia" w:hAnsi="宋体" w:cs="宋体"/>
                <w:color w:val="auto"/>
                <w:sz w:val="24"/>
                <w:szCs w:val="24"/>
                <w:highlight w:val="none"/>
              </w:rPr>
              <w:t>8</w:t>
            </w:r>
          </w:p>
        </w:tc>
        <w:tc>
          <w:tcPr>
            <w:tcW w:w="8440" w:type="dxa"/>
            <w:vAlign w:val="center"/>
          </w:tcPr>
          <w:p w14:paraId="4EA77D40">
            <w:pPr>
              <w:spacing w:line="360" w:lineRule="auto"/>
              <w:rPr>
                <w:rFonts w:hAnsi="宋体" w:cs="宋体"/>
                <w:b/>
                <w:color w:val="auto"/>
                <w:sz w:val="24"/>
                <w:szCs w:val="24"/>
                <w:highlight w:val="none"/>
              </w:rPr>
            </w:pPr>
            <w:r>
              <w:rPr>
                <w:rFonts w:hint="eastAsia" w:hAnsi="宋体" w:cs="宋体"/>
                <w:b/>
                <w:color w:val="auto"/>
                <w:sz w:val="24"/>
                <w:szCs w:val="24"/>
                <w:highlight w:val="none"/>
              </w:rPr>
              <w:t>政府采购合同：</w:t>
            </w:r>
          </w:p>
          <w:p w14:paraId="580B0E61">
            <w:p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政府采购合同适用中华人民共和国民法典。采购人和供应商之间的权利和义务，应当按照平等、自愿的原则以合同方式约定。</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采购人与中标、成交供应商应当在中标、成交通知书发出之日起二十五日内，按照采购文件确定的事项签订政府采购合同。</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4B43C2F4">
            <w:pPr>
              <w:pStyle w:val="12"/>
              <w:spacing w:line="360" w:lineRule="auto"/>
              <w:ind w:firstLine="480" w:firstLineChars="200"/>
              <w:rPr>
                <w:rFonts w:hAnsi="宋体" w:cs="宋体"/>
                <w:color w:val="auto"/>
                <w:kern w:val="0"/>
                <w:sz w:val="24"/>
                <w:szCs w:val="24"/>
                <w:highlight w:val="none"/>
              </w:rPr>
            </w:pPr>
            <w:r>
              <w:rPr>
                <w:rFonts w:hint="eastAsia" w:hAnsi="宋体" w:cs="宋体"/>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政府采购合同的双方当事人不得擅自变更、中止或者终止合同。</w:t>
            </w:r>
            <w:r>
              <w:rPr>
                <w:rFonts w:hint="eastAsia" w:hAnsi="宋体" w:cs="宋体"/>
                <w:color w:val="auto"/>
                <w:sz w:val="24"/>
                <w:szCs w:val="24"/>
                <w:highlight w:val="none"/>
              </w:rPr>
              <w:br w:type="textWrapping"/>
            </w:r>
            <w:r>
              <w:rPr>
                <w:rFonts w:hint="eastAsia" w:hAnsi="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7C64B045">
      <w:pPr>
        <w:rPr>
          <w:rFonts w:hAnsi="宋体" w:cs="宋体"/>
          <w:color w:val="auto"/>
          <w:sz w:val="32"/>
          <w:highlight w:val="none"/>
        </w:rPr>
      </w:pPr>
      <w:bookmarkStart w:id="112" w:name="_Toc29888"/>
      <w:bookmarkStart w:id="113" w:name="_Toc4679"/>
      <w:bookmarkStart w:id="114" w:name="_Toc19246"/>
      <w:bookmarkStart w:id="115" w:name="_Toc423973075"/>
      <w:bookmarkStart w:id="116" w:name="_Toc19199"/>
      <w:bookmarkStart w:id="117" w:name="_Toc31520"/>
      <w:bookmarkStart w:id="118" w:name="_Toc389582037"/>
      <w:bookmarkStart w:id="119" w:name="_Toc8333"/>
      <w:bookmarkStart w:id="120" w:name="_Toc26595"/>
      <w:r>
        <w:rPr>
          <w:rFonts w:hint="eastAsia" w:hAnsi="宋体" w:cs="宋体"/>
          <w:b/>
          <w:bCs/>
          <w:color w:val="auto"/>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589A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3B8905A9">
            <w:pPr>
              <w:jc w:val="center"/>
              <w:rPr>
                <w:rFonts w:hAnsi="宋体" w:cs="宋体"/>
                <w:b/>
                <w:color w:val="auto"/>
                <w:sz w:val="30"/>
                <w:szCs w:val="30"/>
                <w:highlight w:val="none"/>
              </w:rPr>
            </w:pPr>
            <w:r>
              <w:rPr>
                <w:rFonts w:hint="eastAsia" w:hAnsi="宋体" w:cs="宋体"/>
                <w:b/>
                <w:color w:val="auto"/>
                <w:sz w:val="30"/>
                <w:szCs w:val="30"/>
                <w:highlight w:val="none"/>
              </w:rPr>
              <w:t>竞争性磋商采购</w:t>
            </w:r>
          </w:p>
        </w:tc>
      </w:tr>
    </w:tbl>
    <w:p w14:paraId="3EAA67CA">
      <w:pPr>
        <w:outlineLvl w:val="1"/>
        <w:rPr>
          <w:rFonts w:hAnsi="宋体" w:cs="宋体"/>
          <w:b/>
          <w:color w:val="auto"/>
          <w:sz w:val="32"/>
          <w:szCs w:val="32"/>
          <w:highlight w:val="none"/>
        </w:rPr>
      </w:pPr>
      <w:bookmarkStart w:id="121" w:name="_Toc5216"/>
      <w:bookmarkStart w:id="122" w:name="_Toc7874"/>
      <w:bookmarkStart w:id="123" w:name="_Toc22328"/>
      <w:bookmarkStart w:id="124" w:name="_Toc18120"/>
      <w:bookmarkStart w:id="125" w:name="_Toc1362"/>
      <w:bookmarkStart w:id="126" w:name="_Toc24004"/>
      <w:r>
        <w:rPr>
          <w:rFonts w:hint="eastAsia" w:hAnsi="宋体" w:cs="宋体"/>
          <w:b/>
          <w:color w:val="auto"/>
          <w:sz w:val="32"/>
          <w:szCs w:val="32"/>
          <w:highlight w:val="none"/>
        </w:rPr>
        <w:t>政府采购项目</w:t>
      </w:r>
      <w:r>
        <w:rPr>
          <w:rFonts w:hint="eastAsia" w:hAnsi="宋体" w:cs="宋体"/>
          <w:b/>
          <w:bCs/>
          <w:color w:val="auto"/>
          <w:sz w:val="28"/>
          <w:szCs w:val="28"/>
          <w:highlight w:val="none"/>
        </w:rPr>
        <w:t>（</w:t>
      </w:r>
      <w:r>
        <w:rPr>
          <w:rFonts w:hint="eastAsia" w:hAnsi="宋体" w:cs="宋体"/>
          <w:b/>
          <w:color w:val="auto"/>
          <w:sz w:val="32"/>
          <w:szCs w:val="32"/>
          <w:highlight w:val="none"/>
        </w:rPr>
        <w:t>仅供参考）</w:t>
      </w:r>
      <w:bookmarkEnd w:id="121"/>
      <w:bookmarkEnd w:id="122"/>
      <w:bookmarkEnd w:id="123"/>
      <w:bookmarkEnd w:id="124"/>
      <w:bookmarkEnd w:id="125"/>
      <w:bookmarkEnd w:id="126"/>
      <w:r>
        <w:rPr>
          <w:rFonts w:hint="eastAsia" w:hAnsi="宋体" w:cs="宋体"/>
          <w:b/>
          <w:color w:val="auto"/>
          <w:sz w:val="32"/>
          <w:szCs w:val="32"/>
          <w:highlight w:val="none"/>
        </w:rPr>
        <w:t xml:space="preserve">                  </w:t>
      </w:r>
    </w:p>
    <w:p w14:paraId="370ADD14">
      <w:pPr>
        <w:rPr>
          <w:rFonts w:hAnsi="宋体" w:cs="宋体"/>
          <w:b/>
          <w:color w:val="auto"/>
          <w:sz w:val="32"/>
          <w:szCs w:val="32"/>
          <w:highlight w:val="none"/>
        </w:rPr>
      </w:pPr>
      <w:r>
        <w:rPr>
          <w:rFonts w:hint="eastAsia" w:hAnsi="宋体" w:cs="宋体"/>
          <w:b/>
          <w:color w:val="auto"/>
          <w:sz w:val="32"/>
          <w:szCs w:val="32"/>
          <w:highlight w:val="none"/>
        </w:rPr>
        <w:t xml:space="preserve">          </w:t>
      </w:r>
    </w:p>
    <w:p w14:paraId="59B487EE">
      <w:pPr>
        <w:jc w:val="center"/>
        <w:rPr>
          <w:rFonts w:hAnsi="宋体" w:cs="宋体"/>
          <w:color w:val="auto"/>
          <w:sz w:val="52"/>
          <w:szCs w:val="52"/>
          <w:highlight w:val="none"/>
        </w:rPr>
      </w:pPr>
    </w:p>
    <w:p w14:paraId="07AABEC9">
      <w:pPr>
        <w:jc w:val="center"/>
        <w:rPr>
          <w:rFonts w:hAnsi="宋体" w:cs="宋体"/>
          <w:color w:val="auto"/>
          <w:sz w:val="52"/>
          <w:szCs w:val="52"/>
          <w:highlight w:val="none"/>
        </w:rPr>
      </w:pPr>
    </w:p>
    <w:p w14:paraId="34927123">
      <w:pPr>
        <w:jc w:val="center"/>
        <w:rPr>
          <w:rFonts w:hAnsi="宋体" w:cs="宋体"/>
          <w:b/>
          <w:snapToGrid w:val="0"/>
          <w:color w:val="auto"/>
          <w:sz w:val="48"/>
          <w:szCs w:val="48"/>
          <w:highlight w:val="none"/>
          <w:u w:val="single"/>
        </w:rPr>
      </w:pPr>
      <w:r>
        <w:rPr>
          <w:rFonts w:hint="eastAsia" w:hAnsi="宋体" w:cs="宋体"/>
          <w:b/>
          <w:snapToGrid w:val="0"/>
          <w:color w:val="auto"/>
          <w:sz w:val="48"/>
          <w:szCs w:val="48"/>
          <w:highlight w:val="none"/>
          <w:u w:val="single"/>
        </w:rPr>
        <w:t>(项目名称)</w:t>
      </w:r>
    </w:p>
    <w:p w14:paraId="582BF8DC">
      <w:pPr>
        <w:jc w:val="center"/>
        <w:rPr>
          <w:rFonts w:hAnsi="宋体" w:cs="宋体"/>
          <w:b/>
          <w:color w:val="auto"/>
          <w:sz w:val="72"/>
          <w:szCs w:val="72"/>
          <w:highlight w:val="none"/>
        </w:rPr>
      </w:pPr>
      <w:r>
        <w:rPr>
          <w:rFonts w:hint="eastAsia" w:hAnsi="宋体" w:cs="宋体"/>
          <w:b/>
          <w:color w:val="auto"/>
          <w:sz w:val="72"/>
          <w:szCs w:val="72"/>
          <w:highlight w:val="none"/>
        </w:rPr>
        <w:t>服 务 合 同</w:t>
      </w:r>
    </w:p>
    <w:p w14:paraId="3859833D">
      <w:pPr>
        <w:jc w:val="center"/>
        <w:rPr>
          <w:rFonts w:hAnsi="宋体" w:cs="宋体"/>
          <w:color w:val="auto"/>
          <w:sz w:val="30"/>
          <w:szCs w:val="30"/>
          <w:highlight w:val="none"/>
        </w:rPr>
      </w:pPr>
      <w:r>
        <w:rPr>
          <w:rFonts w:hint="eastAsia" w:hAnsi="宋体" w:cs="宋体"/>
          <w:color w:val="auto"/>
          <w:sz w:val="30"/>
          <w:szCs w:val="30"/>
          <w:highlight w:val="none"/>
        </w:rPr>
        <w:t xml:space="preserve">（项目编号：      </w:t>
      </w:r>
      <w:r>
        <w:rPr>
          <w:rFonts w:hint="eastAsia" w:hAnsi="宋体" w:cs="宋体"/>
          <w:color w:val="auto"/>
          <w:sz w:val="28"/>
          <w:szCs w:val="28"/>
          <w:highlight w:val="none"/>
        </w:rPr>
        <w:t>）</w:t>
      </w:r>
    </w:p>
    <w:p w14:paraId="6B88E84B">
      <w:pPr>
        <w:jc w:val="center"/>
        <w:rPr>
          <w:rFonts w:hAnsi="宋体" w:cs="宋体"/>
          <w:color w:val="auto"/>
          <w:sz w:val="30"/>
          <w:szCs w:val="30"/>
          <w:highlight w:val="none"/>
        </w:rPr>
      </w:pPr>
    </w:p>
    <w:p w14:paraId="2F5BE5FB">
      <w:pPr>
        <w:jc w:val="center"/>
        <w:rPr>
          <w:rFonts w:hAnsi="宋体" w:cs="宋体"/>
          <w:color w:val="auto"/>
          <w:sz w:val="30"/>
          <w:szCs w:val="30"/>
          <w:highlight w:val="none"/>
        </w:rPr>
      </w:pPr>
    </w:p>
    <w:p w14:paraId="2055036E">
      <w:pPr>
        <w:jc w:val="center"/>
        <w:rPr>
          <w:rFonts w:hAnsi="宋体" w:cs="宋体"/>
          <w:color w:val="auto"/>
          <w:sz w:val="30"/>
          <w:szCs w:val="30"/>
          <w:highlight w:val="none"/>
        </w:rPr>
      </w:pPr>
    </w:p>
    <w:p w14:paraId="7431A35B">
      <w:pPr>
        <w:jc w:val="center"/>
        <w:rPr>
          <w:rFonts w:hAnsi="宋体" w:cs="宋体"/>
          <w:color w:val="auto"/>
          <w:sz w:val="30"/>
          <w:szCs w:val="30"/>
          <w:highlight w:val="none"/>
        </w:rPr>
      </w:pPr>
    </w:p>
    <w:p w14:paraId="22A267AE">
      <w:pPr>
        <w:jc w:val="center"/>
        <w:rPr>
          <w:rFonts w:hAnsi="宋体" w:cs="宋体"/>
          <w:color w:val="auto"/>
          <w:sz w:val="30"/>
          <w:szCs w:val="30"/>
          <w:highlight w:val="none"/>
        </w:rPr>
      </w:pPr>
    </w:p>
    <w:p w14:paraId="37AE7BB3">
      <w:pPr>
        <w:ind w:firstLine="2080" w:firstLineChars="650"/>
        <w:rPr>
          <w:rFonts w:hAnsi="宋体" w:cs="宋体"/>
          <w:color w:val="auto"/>
          <w:sz w:val="32"/>
          <w:szCs w:val="32"/>
          <w:highlight w:val="none"/>
        </w:rPr>
      </w:pPr>
      <w:r>
        <w:rPr>
          <w:rFonts w:hint="eastAsia" w:hAnsi="宋体" w:cs="宋体"/>
          <w:color w:val="auto"/>
          <w:sz w:val="32"/>
          <w:szCs w:val="32"/>
          <w:highlight w:val="none"/>
        </w:rPr>
        <w:t xml:space="preserve">甲  方： </w:t>
      </w:r>
    </w:p>
    <w:p w14:paraId="310A0954">
      <w:pPr>
        <w:tabs>
          <w:tab w:val="left" w:pos="480"/>
        </w:tabs>
        <w:ind w:firstLine="640" w:firstLineChars="200"/>
        <w:rPr>
          <w:rFonts w:hAnsi="宋体" w:cs="宋体"/>
          <w:color w:val="auto"/>
          <w:sz w:val="32"/>
          <w:szCs w:val="32"/>
          <w:highlight w:val="none"/>
        </w:rPr>
      </w:pPr>
      <w:r>
        <w:rPr>
          <w:rFonts w:hint="eastAsia" w:hAnsi="宋体" w:cs="宋体"/>
          <w:color w:val="auto"/>
          <w:sz w:val="32"/>
          <w:szCs w:val="32"/>
          <w:highlight w:val="none"/>
        </w:rPr>
        <w:t xml:space="preserve">         乙  方：</w:t>
      </w:r>
    </w:p>
    <w:p w14:paraId="07D80F41">
      <w:pPr>
        <w:jc w:val="center"/>
        <w:rPr>
          <w:rFonts w:hAnsi="宋体" w:cs="宋体"/>
          <w:color w:val="auto"/>
          <w:sz w:val="30"/>
          <w:szCs w:val="30"/>
          <w:highlight w:val="none"/>
        </w:rPr>
      </w:pPr>
    </w:p>
    <w:p w14:paraId="1D0411B5">
      <w:pPr>
        <w:jc w:val="center"/>
        <w:rPr>
          <w:rFonts w:hAnsi="宋体" w:cs="宋体"/>
          <w:color w:val="auto"/>
          <w:sz w:val="32"/>
          <w:szCs w:val="32"/>
          <w:highlight w:val="none"/>
        </w:rPr>
      </w:pPr>
      <w:r>
        <w:rPr>
          <w:rFonts w:hint="eastAsia" w:hAnsi="宋体" w:cs="宋体"/>
          <w:color w:val="auto"/>
          <w:sz w:val="32"/>
          <w:szCs w:val="32"/>
          <w:highlight w:val="none"/>
        </w:rPr>
        <w:t xml:space="preserve">  年  月</w:t>
      </w:r>
    </w:p>
    <w:p w14:paraId="7015152E">
      <w:pPr>
        <w:jc w:val="center"/>
        <w:rPr>
          <w:rFonts w:hAnsi="宋体" w:cs="宋体"/>
          <w:color w:val="auto"/>
          <w:sz w:val="32"/>
          <w:szCs w:val="32"/>
          <w:highlight w:val="none"/>
        </w:rPr>
      </w:pPr>
    </w:p>
    <w:p w14:paraId="604CAE62">
      <w:pPr>
        <w:spacing w:line="590" w:lineRule="exact"/>
        <w:rPr>
          <w:rFonts w:hAnsi="宋体" w:cs="宋体"/>
          <w:b/>
          <w:color w:val="auto"/>
          <w:sz w:val="36"/>
          <w:szCs w:val="36"/>
          <w:highlight w:val="none"/>
        </w:rPr>
      </w:pPr>
    </w:p>
    <w:p w14:paraId="4DBB2205">
      <w:pPr>
        <w:jc w:val="center"/>
        <w:outlineLvl w:val="2"/>
        <w:rPr>
          <w:rFonts w:ascii="黑体"/>
          <w:b/>
          <w:color w:val="auto"/>
          <w:sz w:val="36"/>
          <w:szCs w:val="36"/>
          <w:highlight w:val="none"/>
        </w:rPr>
      </w:pPr>
      <w:r>
        <w:rPr>
          <w:rFonts w:hint="eastAsia" w:hAnsi="宋体" w:cs="宋体"/>
          <w:b/>
          <w:color w:val="auto"/>
          <w:szCs w:val="21"/>
          <w:highlight w:val="none"/>
        </w:rPr>
        <w:br w:type="page"/>
      </w:r>
      <w:bookmarkStart w:id="127" w:name="_Toc7965"/>
      <w:bookmarkStart w:id="128" w:name="_Toc20561"/>
      <w:bookmarkStart w:id="129" w:name="_Toc28398"/>
      <w:bookmarkStart w:id="130" w:name="_Toc24621"/>
      <w:r>
        <w:rPr>
          <w:rFonts w:hint="eastAsia" w:ascii="黑体" w:eastAsia="黑体"/>
          <w:b/>
          <w:color w:val="auto"/>
          <w:sz w:val="36"/>
          <w:szCs w:val="36"/>
          <w:highlight w:val="none"/>
        </w:rPr>
        <w:t>协 议 书</w:t>
      </w:r>
      <w:bookmarkEnd w:id="127"/>
      <w:bookmarkEnd w:id="128"/>
      <w:bookmarkEnd w:id="129"/>
      <w:bookmarkEnd w:id="130"/>
    </w:p>
    <w:p w14:paraId="33919AF2">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059ED6B7">
      <w:pPr>
        <w:spacing w:line="360" w:lineRule="auto"/>
        <w:rPr>
          <w:rFonts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p>
    <w:p w14:paraId="0DB7ACF7">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根据《中华人民共和国民法典》、《中华人民共和国政府采购法》与项目行业有关的法律法规，以及本项目（</w:t>
      </w:r>
      <w:r>
        <w:rPr>
          <w:rFonts w:hint="eastAsia" w:hAnsi="宋体" w:cs="宋体"/>
          <w:color w:val="auto"/>
          <w:szCs w:val="21"/>
          <w:highlight w:val="none"/>
          <w:lang w:eastAsia="zh-CN"/>
        </w:rPr>
        <w:t>西安市网络内容规范普法活动</w:t>
      </w:r>
      <w:r>
        <w:rPr>
          <w:rFonts w:hint="eastAsia" w:hAnsi="宋体" w:cs="宋体"/>
          <w:color w:val="auto"/>
          <w:szCs w:val="21"/>
          <w:highlight w:val="none"/>
        </w:rPr>
        <w:t>）相关采购要求的规定，合同双方就乙方向采购方提供</w:t>
      </w:r>
      <w:r>
        <w:rPr>
          <w:rFonts w:hint="eastAsia" w:hAnsi="宋体" w:cs="宋体"/>
          <w:color w:val="auto"/>
          <w:szCs w:val="21"/>
          <w:highlight w:val="none"/>
          <w:lang w:eastAsia="zh-CN"/>
        </w:rPr>
        <w:t>西安市网络内容规范普法活动</w:t>
      </w:r>
      <w:r>
        <w:rPr>
          <w:rFonts w:hint="eastAsia" w:hAnsi="宋体" w:cs="宋体"/>
          <w:color w:val="auto"/>
          <w:szCs w:val="21"/>
          <w:highlight w:val="none"/>
        </w:rPr>
        <w:t>协商达成一致，确立本合同。</w:t>
      </w:r>
    </w:p>
    <w:p w14:paraId="4EFF5F06">
      <w:pPr>
        <w:tabs>
          <w:tab w:val="left" w:pos="480"/>
        </w:tabs>
        <w:spacing w:line="360" w:lineRule="auto"/>
        <w:outlineLvl w:val="1"/>
        <w:rPr>
          <w:rFonts w:hAnsi="宋体" w:cs="宋体"/>
          <w:b/>
          <w:color w:val="auto"/>
          <w:szCs w:val="21"/>
          <w:highlight w:val="none"/>
        </w:rPr>
      </w:pPr>
      <w:bookmarkStart w:id="131" w:name="_Toc8841"/>
      <w:bookmarkStart w:id="132" w:name="_Toc15362"/>
      <w:bookmarkStart w:id="133" w:name="_Toc12769"/>
      <w:bookmarkStart w:id="134" w:name="_Toc7407"/>
      <w:bookmarkStart w:id="135" w:name="_Toc30883"/>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31"/>
      <w:bookmarkEnd w:id="132"/>
      <w:bookmarkEnd w:id="133"/>
      <w:bookmarkEnd w:id="134"/>
      <w:bookmarkEnd w:id="13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4A91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A05D44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2CD39A13">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56CAD306">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31E659AD">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7C80532">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备注</w:t>
            </w:r>
          </w:p>
        </w:tc>
      </w:tr>
      <w:tr w14:paraId="4D34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6CB0C6A">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0BE4DA39">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F45C237">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4A42D445">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5CCF526A">
            <w:pPr>
              <w:tabs>
                <w:tab w:val="left" w:pos="480"/>
              </w:tabs>
              <w:spacing w:line="396" w:lineRule="exact"/>
              <w:jc w:val="center"/>
              <w:rPr>
                <w:rFonts w:hAnsi="宋体" w:cs="宋体"/>
                <w:color w:val="auto"/>
                <w:szCs w:val="21"/>
                <w:highlight w:val="none"/>
              </w:rPr>
            </w:pPr>
          </w:p>
        </w:tc>
      </w:tr>
      <w:tr w14:paraId="1AFD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1E6E2B6E">
            <w:pPr>
              <w:tabs>
                <w:tab w:val="left" w:pos="480"/>
              </w:tabs>
              <w:spacing w:line="396" w:lineRule="exact"/>
              <w:jc w:val="center"/>
              <w:rPr>
                <w:rFonts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14BCD66D">
            <w:pPr>
              <w:tabs>
                <w:tab w:val="left" w:pos="480"/>
              </w:tabs>
              <w:spacing w:line="396" w:lineRule="exact"/>
              <w:jc w:val="center"/>
              <w:rPr>
                <w:rFonts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B4BD6EB">
            <w:pPr>
              <w:tabs>
                <w:tab w:val="left" w:pos="480"/>
              </w:tabs>
              <w:spacing w:line="396" w:lineRule="exact"/>
              <w:jc w:val="center"/>
              <w:rPr>
                <w:rFonts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507AB150">
            <w:pPr>
              <w:tabs>
                <w:tab w:val="left" w:pos="480"/>
              </w:tabs>
              <w:spacing w:line="396" w:lineRule="exact"/>
              <w:jc w:val="center"/>
              <w:rPr>
                <w:rFonts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098E2F4A">
            <w:pPr>
              <w:tabs>
                <w:tab w:val="left" w:pos="480"/>
              </w:tabs>
              <w:spacing w:line="396" w:lineRule="exact"/>
              <w:jc w:val="center"/>
              <w:rPr>
                <w:rFonts w:hAnsi="宋体" w:cs="宋体"/>
                <w:color w:val="auto"/>
                <w:szCs w:val="21"/>
                <w:highlight w:val="none"/>
              </w:rPr>
            </w:pPr>
          </w:p>
        </w:tc>
      </w:tr>
    </w:tbl>
    <w:p w14:paraId="1C66BB72">
      <w:pPr>
        <w:tabs>
          <w:tab w:val="left" w:pos="480"/>
        </w:tabs>
        <w:spacing w:line="360" w:lineRule="auto"/>
        <w:outlineLvl w:val="1"/>
        <w:rPr>
          <w:rFonts w:hAnsi="宋体" w:cs="宋体"/>
          <w:b/>
          <w:color w:val="auto"/>
          <w:szCs w:val="21"/>
          <w:highlight w:val="none"/>
        </w:rPr>
      </w:pPr>
      <w:bookmarkStart w:id="136" w:name="_Toc18749"/>
      <w:bookmarkStart w:id="137" w:name="_Toc3926"/>
      <w:bookmarkStart w:id="138" w:name="_Toc8887"/>
      <w:bookmarkStart w:id="139" w:name="_Toc29331"/>
      <w:bookmarkStart w:id="140" w:name="_Toc4137"/>
      <w:r>
        <w:rPr>
          <w:rFonts w:hint="eastAsia" w:hAnsi="宋体" w:cs="宋体"/>
          <w:b/>
          <w:color w:val="auto"/>
          <w:szCs w:val="21"/>
          <w:highlight w:val="none"/>
        </w:rPr>
        <w:t>二、合同价款</w:t>
      </w:r>
      <w:bookmarkEnd w:id="136"/>
      <w:bookmarkEnd w:id="137"/>
      <w:bookmarkEnd w:id="138"/>
      <w:bookmarkEnd w:id="139"/>
      <w:bookmarkEnd w:id="140"/>
    </w:p>
    <w:p w14:paraId="5783FE84">
      <w:pPr>
        <w:tabs>
          <w:tab w:val="left" w:pos="480"/>
        </w:tabs>
        <w:spacing w:line="360" w:lineRule="auto"/>
        <w:ind w:firstLine="480" w:firstLineChars="200"/>
        <w:rPr>
          <w:rFonts w:hAnsi="宋体" w:cs="宋体"/>
          <w:color w:val="auto"/>
          <w:szCs w:val="21"/>
          <w:highlight w:val="none"/>
          <w:u w:val="single"/>
        </w:rPr>
      </w:pPr>
      <w:r>
        <w:rPr>
          <w:rFonts w:hint="eastAsia" w:hAnsi="宋体" w:cs="宋体"/>
          <w:color w:val="auto"/>
          <w:szCs w:val="21"/>
          <w:highlight w:val="none"/>
        </w:rPr>
        <w:t>（一）本合同为总价合同，各项服务的合同总价为其磋商最终报价。</w:t>
      </w:r>
    </w:p>
    <w:p w14:paraId="74FF3E78">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（二）合同价包括：</w:t>
      </w:r>
    </w:p>
    <w:p w14:paraId="720BD287">
      <w:pPr>
        <w:tabs>
          <w:tab w:val="left" w:pos="480"/>
        </w:tabs>
        <w:spacing w:line="360" w:lineRule="auto"/>
        <w:outlineLvl w:val="1"/>
        <w:rPr>
          <w:rFonts w:hAnsi="宋体" w:cs="宋体"/>
          <w:b/>
          <w:color w:val="auto"/>
          <w:szCs w:val="21"/>
          <w:highlight w:val="none"/>
        </w:rPr>
      </w:pPr>
      <w:bookmarkStart w:id="141" w:name="_Toc22511"/>
      <w:bookmarkStart w:id="142" w:name="_Toc28664"/>
      <w:bookmarkStart w:id="143" w:name="_Toc23247"/>
      <w:bookmarkStart w:id="144" w:name="_Toc9765"/>
      <w:bookmarkStart w:id="145" w:name="_Toc6296"/>
      <w:r>
        <w:rPr>
          <w:rFonts w:hint="eastAsia" w:hAnsi="宋体" w:cs="宋体"/>
          <w:b/>
          <w:color w:val="auto"/>
          <w:szCs w:val="21"/>
          <w:highlight w:val="none"/>
        </w:rPr>
        <w:t>三、款项结算</w:t>
      </w:r>
      <w:bookmarkEnd w:id="141"/>
      <w:bookmarkEnd w:id="142"/>
      <w:bookmarkEnd w:id="143"/>
      <w:bookmarkEnd w:id="144"/>
      <w:bookmarkEnd w:id="145"/>
    </w:p>
    <w:p w14:paraId="1E7CF767">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详见合同前附表。</w:t>
      </w:r>
    </w:p>
    <w:p w14:paraId="3C677911">
      <w:pPr>
        <w:tabs>
          <w:tab w:val="left" w:pos="480"/>
        </w:tabs>
        <w:spacing w:line="360" w:lineRule="auto"/>
        <w:outlineLvl w:val="1"/>
        <w:rPr>
          <w:rFonts w:hAnsi="宋体" w:cs="宋体"/>
          <w:color w:val="auto"/>
          <w:szCs w:val="21"/>
          <w:highlight w:val="none"/>
        </w:rPr>
      </w:pPr>
      <w:bookmarkStart w:id="146" w:name="_Toc21171"/>
      <w:bookmarkStart w:id="147" w:name="_Toc9555"/>
      <w:bookmarkStart w:id="148" w:name="_Toc24406"/>
      <w:bookmarkStart w:id="149" w:name="_Toc21714"/>
      <w:bookmarkStart w:id="150" w:name="_Toc21110"/>
      <w:r>
        <w:rPr>
          <w:rFonts w:hint="eastAsia" w:hAnsi="宋体" w:cs="宋体"/>
          <w:b/>
          <w:color w:val="auto"/>
          <w:szCs w:val="21"/>
          <w:highlight w:val="none"/>
        </w:rPr>
        <w:t>四、服务条件：</w:t>
      </w:r>
      <w:bookmarkEnd w:id="146"/>
      <w:bookmarkEnd w:id="147"/>
      <w:bookmarkEnd w:id="148"/>
      <w:bookmarkEnd w:id="149"/>
      <w:bookmarkEnd w:id="150"/>
    </w:p>
    <w:p w14:paraId="33AF94F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（一）服务地点：甲方指定地点。</w:t>
      </w:r>
    </w:p>
    <w:p w14:paraId="773128B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（二）服务期限：</w:t>
      </w:r>
    </w:p>
    <w:p w14:paraId="30EB7157">
      <w:pPr>
        <w:tabs>
          <w:tab w:val="left" w:pos="480"/>
        </w:tabs>
        <w:spacing w:line="360" w:lineRule="auto"/>
        <w:outlineLvl w:val="1"/>
        <w:rPr>
          <w:rFonts w:hAnsi="宋体" w:cs="宋体"/>
          <w:b/>
          <w:color w:val="auto"/>
          <w:szCs w:val="21"/>
          <w:highlight w:val="none"/>
        </w:rPr>
      </w:pPr>
      <w:bookmarkStart w:id="151" w:name="_Toc7966"/>
      <w:bookmarkStart w:id="152" w:name="_Toc15947"/>
      <w:bookmarkStart w:id="153" w:name="_Toc15118"/>
      <w:bookmarkStart w:id="154" w:name="_Toc32459"/>
      <w:bookmarkStart w:id="155" w:name="_Toc27382"/>
      <w:r>
        <w:rPr>
          <w:rFonts w:hint="eastAsia" w:hAnsi="宋体" w:cs="宋体"/>
          <w:b/>
          <w:color w:val="auto"/>
          <w:szCs w:val="21"/>
          <w:highlight w:val="none"/>
        </w:rPr>
        <w:t>五、质量保证</w:t>
      </w:r>
      <w:bookmarkEnd w:id="151"/>
      <w:bookmarkEnd w:id="152"/>
      <w:bookmarkEnd w:id="153"/>
      <w:bookmarkEnd w:id="154"/>
      <w:bookmarkEnd w:id="155"/>
    </w:p>
    <w:p w14:paraId="46B9253D">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1.乙方所提供货物和服务保证技术指标符合要求、质量性能可靠、必须符合国家相关法律法规的要求。</w:t>
      </w:r>
    </w:p>
    <w:p w14:paraId="09580232">
      <w:pPr>
        <w:tabs>
          <w:tab w:val="left" w:pos="480"/>
        </w:tabs>
        <w:spacing w:line="360" w:lineRule="auto"/>
        <w:ind w:firstLine="470" w:firstLineChars="196"/>
        <w:rPr>
          <w:rFonts w:hAnsi="宋体" w:cs="宋体"/>
          <w:color w:val="auto"/>
          <w:szCs w:val="21"/>
          <w:highlight w:val="none"/>
        </w:rPr>
      </w:pPr>
      <w:r>
        <w:rPr>
          <w:rFonts w:hint="eastAsia" w:hAnsi="宋体" w:cs="宋体"/>
          <w:color w:val="auto"/>
          <w:szCs w:val="21"/>
          <w:highlight w:val="none"/>
        </w:rPr>
        <w:t>2、成交单位应当保证其具有完成本项目所要求的货物和服务所必须具备的专业设备和服务能力。</w:t>
      </w:r>
    </w:p>
    <w:p w14:paraId="5F40F305">
      <w:pPr>
        <w:tabs>
          <w:tab w:val="left" w:pos="480"/>
        </w:tabs>
        <w:spacing w:line="360" w:lineRule="auto"/>
        <w:outlineLvl w:val="1"/>
        <w:rPr>
          <w:rFonts w:hAnsi="宋体" w:cs="宋体"/>
          <w:b/>
          <w:color w:val="auto"/>
          <w:szCs w:val="21"/>
          <w:highlight w:val="none"/>
        </w:rPr>
      </w:pPr>
      <w:bookmarkStart w:id="156" w:name="_Toc12558"/>
      <w:bookmarkStart w:id="157" w:name="_Toc23868"/>
      <w:bookmarkStart w:id="158" w:name="_Toc21314"/>
      <w:bookmarkStart w:id="159" w:name="_Toc9903"/>
      <w:bookmarkStart w:id="160" w:name="_Toc13959"/>
      <w:r>
        <w:rPr>
          <w:rFonts w:hint="eastAsia" w:hAnsi="宋体" w:cs="宋体"/>
          <w:b/>
          <w:color w:val="auto"/>
          <w:szCs w:val="21"/>
          <w:highlight w:val="none"/>
        </w:rPr>
        <w:t>六、技术与服务</w:t>
      </w:r>
      <w:bookmarkEnd w:id="156"/>
      <w:bookmarkEnd w:id="157"/>
      <w:bookmarkEnd w:id="158"/>
      <w:bookmarkEnd w:id="159"/>
      <w:bookmarkEnd w:id="160"/>
    </w:p>
    <w:p w14:paraId="4920F04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（一）技术资料：</w:t>
      </w:r>
    </w:p>
    <w:p w14:paraId="4CB2FB3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技术资料：</w:t>
      </w:r>
    </w:p>
    <w:p w14:paraId="69222B0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成交供应商应随同服务提供相应的中文技术文件。</w:t>
      </w:r>
    </w:p>
    <w:p w14:paraId="43D206C5">
      <w:pPr>
        <w:tabs>
          <w:tab w:val="left" w:pos="480"/>
        </w:tabs>
        <w:spacing w:line="360" w:lineRule="auto"/>
        <w:ind w:firstLine="480" w:firstLineChars="200"/>
        <w:rPr>
          <w:color w:val="auto"/>
          <w:highlight w:val="none"/>
        </w:rPr>
      </w:pPr>
      <w:r>
        <w:rPr>
          <w:rFonts w:hint="eastAsia" w:hAnsi="宋体" w:cs="宋体"/>
          <w:color w:val="auto"/>
          <w:szCs w:val="21"/>
          <w:highlight w:val="none"/>
        </w:rPr>
        <w:t>（二）服务承诺：以竞争性磋商响应文件、澄清表（函）、合同和随货物的相关文件为准。</w:t>
      </w:r>
    </w:p>
    <w:p w14:paraId="5C66AE7C">
      <w:pPr>
        <w:tabs>
          <w:tab w:val="left" w:pos="480"/>
        </w:tabs>
        <w:spacing w:line="360" w:lineRule="auto"/>
        <w:outlineLvl w:val="1"/>
        <w:rPr>
          <w:rFonts w:hAnsi="宋体" w:cs="宋体"/>
          <w:b/>
          <w:color w:val="auto"/>
          <w:szCs w:val="21"/>
          <w:highlight w:val="none"/>
        </w:rPr>
      </w:pPr>
      <w:bookmarkStart w:id="161" w:name="_Toc14409"/>
      <w:bookmarkStart w:id="162" w:name="_Toc13572"/>
      <w:bookmarkStart w:id="163" w:name="_Toc28855"/>
      <w:bookmarkStart w:id="164" w:name="_Toc12975"/>
      <w:bookmarkStart w:id="165" w:name="_Toc22161"/>
      <w:r>
        <w:rPr>
          <w:rFonts w:hint="eastAsia" w:hAnsi="宋体" w:cs="宋体"/>
          <w:b/>
          <w:color w:val="auto"/>
          <w:szCs w:val="21"/>
          <w:highlight w:val="none"/>
        </w:rPr>
        <w:t>七、验收</w:t>
      </w:r>
      <w:bookmarkEnd w:id="161"/>
      <w:bookmarkEnd w:id="162"/>
      <w:bookmarkEnd w:id="163"/>
      <w:bookmarkEnd w:id="164"/>
      <w:bookmarkEnd w:id="165"/>
    </w:p>
    <w:p w14:paraId="63F654A5">
      <w:pPr>
        <w:spacing w:line="360" w:lineRule="auto"/>
        <w:ind w:firstLine="480" w:firstLineChars="200"/>
        <w:rPr>
          <w:color w:val="auto"/>
          <w:highlight w:val="none"/>
        </w:rPr>
      </w:pPr>
      <w:r>
        <w:rPr>
          <w:rFonts w:hint="eastAsia"/>
          <w:color w:val="auto"/>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40CB8F31">
      <w:pPr>
        <w:spacing w:line="360" w:lineRule="auto"/>
        <w:ind w:firstLine="480" w:firstLineChars="200"/>
        <w:rPr>
          <w:color w:val="auto"/>
          <w:highlight w:val="none"/>
        </w:rPr>
      </w:pPr>
      <w:r>
        <w:rPr>
          <w:rFonts w:hint="eastAsia"/>
          <w:color w:val="auto"/>
          <w:highlight w:val="none"/>
        </w:rPr>
        <w:t>2、若发现乙方有弄虚作假的，及在项目实施阶段故意或随意夸大服务，本合同解除，乙方赔偿甲方相应的损失。</w:t>
      </w:r>
    </w:p>
    <w:p w14:paraId="54F34E74">
      <w:pPr>
        <w:spacing w:line="360" w:lineRule="auto"/>
        <w:ind w:firstLine="480" w:firstLineChars="200"/>
        <w:rPr>
          <w:color w:val="auto"/>
          <w:highlight w:val="none"/>
        </w:rPr>
      </w:pPr>
      <w:r>
        <w:rPr>
          <w:rFonts w:hint="eastAsia"/>
          <w:color w:val="auto"/>
          <w:highlight w:val="none"/>
        </w:rPr>
        <w:t>3、验收标准：按磋商文件、磋商响应文件及磋商记录表等技术指标进行逐项验收。各项指标均应符合验收标准及要求。</w:t>
      </w:r>
    </w:p>
    <w:p w14:paraId="5C248121">
      <w:pPr>
        <w:tabs>
          <w:tab w:val="left" w:pos="480"/>
        </w:tabs>
        <w:spacing w:line="360" w:lineRule="auto"/>
        <w:outlineLvl w:val="1"/>
        <w:rPr>
          <w:rFonts w:hAnsi="宋体" w:cs="宋体"/>
          <w:b/>
          <w:color w:val="auto"/>
          <w:szCs w:val="21"/>
          <w:highlight w:val="none"/>
        </w:rPr>
      </w:pPr>
      <w:bookmarkStart w:id="166" w:name="_Toc9858"/>
      <w:bookmarkStart w:id="167" w:name="_Toc31076"/>
      <w:bookmarkStart w:id="168" w:name="_Toc30681"/>
      <w:bookmarkStart w:id="169" w:name="_Toc20026"/>
      <w:bookmarkStart w:id="170" w:name="_Toc7598"/>
      <w:r>
        <w:rPr>
          <w:rFonts w:hint="eastAsia" w:hAnsi="宋体" w:cs="宋体"/>
          <w:b/>
          <w:color w:val="auto"/>
          <w:szCs w:val="21"/>
          <w:highlight w:val="none"/>
        </w:rPr>
        <w:t>八、违约责任</w:t>
      </w:r>
      <w:bookmarkEnd w:id="166"/>
      <w:bookmarkEnd w:id="167"/>
      <w:bookmarkEnd w:id="168"/>
      <w:bookmarkEnd w:id="169"/>
      <w:bookmarkEnd w:id="170"/>
    </w:p>
    <w:p w14:paraId="39E61C29">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1、按《中华人民共和国民法典》中的相关条款执行。</w:t>
      </w:r>
    </w:p>
    <w:p w14:paraId="3E9B6E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p w14:paraId="64CADEAF">
      <w:pPr>
        <w:tabs>
          <w:tab w:val="left" w:pos="480"/>
        </w:tabs>
        <w:spacing w:line="360" w:lineRule="auto"/>
        <w:outlineLvl w:val="1"/>
        <w:rPr>
          <w:rFonts w:hAnsi="宋体" w:cs="宋体"/>
          <w:b/>
          <w:color w:val="auto"/>
          <w:szCs w:val="21"/>
          <w:highlight w:val="none"/>
        </w:rPr>
      </w:pPr>
      <w:bookmarkStart w:id="171" w:name="_Toc27523"/>
      <w:bookmarkStart w:id="172" w:name="_Toc15856"/>
      <w:bookmarkStart w:id="173" w:name="_Toc29958"/>
      <w:bookmarkStart w:id="174" w:name="_Toc30630"/>
      <w:bookmarkStart w:id="175" w:name="_Toc13662"/>
      <w:r>
        <w:rPr>
          <w:rFonts w:hint="eastAsia" w:hAnsi="宋体" w:cs="宋体"/>
          <w:b/>
          <w:color w:val="auto"/>
          <w:szCs w:val="21"/>
          <w:highlight w:val="none"/>
        </w:rPr>
        <w:t>九、合同争议解决的方式</w:t>
      </w:r>
      <w:bookmarkEnd w:id="171"/>
      <w:bookmarkEnd w:id="172"/>
      <w:bookmarkEnd w:id="173"/>
      <w:bookmarkEnd w:id="174"/>
      <w:bookmarkEnd w:id="175"/>
    </w:p>
    <w:p w14:paraId="52DA499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617FA4D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23C22BA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5FAC98DF">
      <w:pPr>
        <w:tabs>
          <w:tab w:val="left" w:pos="480"/>
        </w:tabs>
        <w:spacing w:line="360" w:lineRule="auto"/>
        <w:outlineLvl w:val="1"/>
        <w:rPr>
          <w:rFonts w:hAnsi="宋体" w:cs="宋体"/>
          <w:b/>
          <w:color w:val="auto"/>
          <w:szCs w:val="21"/>
          <w:highlight w:val="none"/>
        </w:rPr>
      </w:pPr>
      <w:bookmarkStart w:id="176" w:name="_Toc11478"/>
      <w:bookmarkStart w:id="177" w:name="_Toc25612"/>
      <w:bookmarkStart w:id="178" w:name="_Toc7342"/>
      <w:bookmarkStart w:id="179" w:name="_Toc2858"/>
      <w:bookmarkStart w:id="180" w:name="_Toc18389"/>
      <w:r>
        <w:rPr>
          <w:rFonts w:hint="eastAsia" w:hAnsi="宋体" w:cs="宋体"/>
          <w:b/>
          <w:color w:val="auto"/>
          <w:szCs w:val="21"/>
          <w:highlight w:val="none"/>
        </w:rPr>
        <w:t>十、合同生效</w:t>
      </w:r>
      <w:bookmarkEnd w:id="176"/>
      <w:bookmarkEnd w:id="177"/>
      <w:bookmarkEnd w:id="178"/>
      <w:bookmarkEnd w:id="179"/>
      <w:bookmarkEnd w:id="180"/>
    </w:p>
    <w:p w14:paraId="33EE046C">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19FE5284">
      <w:pPr>
        <w:tabs>
          <w:tab w:val="left" w:pos="480"/>
        </w:tabs>
        <w:spacing w:line="360" w:lineRule="auto"/>
        <w:outlineLvl w:val="1"/>
        <w:rPr>
          <w:rFonts w:hAnsi="宋体" w:cs="宋体"/>
          <w:b/>
          <w:color w:val="auto"/>
          <w:szCs w:val="21"/>
          <w:highlight w:val="none"/>
        </w:rPr>
      </w:pPr>
      <w:bookmarkStart w:id="181" w:name="_Toc18381"/>
      <w:bookmarkStart w:id="182" w:name="_Toc21232"/>
      <w:bookmarkStart w:id="183" w:name="_Toc823"/>
      <w:bookmarkStart w:id="184" w:name="_Toc18225"/>
      <w:bookmarkStart w:id="185" w:name="_Toc31909"/>
      <w:r>
        <w:rPr>
          <w:rFonts w:hint="eastAsia" w:hAnsi="宋体" w:cs="宋体"/>
          <w:b/>
          <w:color w:val="auto"/>
          <w:szCs w:val="21"/>
          <w:highlight w:val="none"/>
        </w:rPr>
        <w:t>十一、其他事项</w:t>
      </w:r>
      <w:bookmarkEnd w:id="181"/>
      <w:bookmarkEnd w:id="182"/>
      <w:bookmarkEnd w:id="183"/>
      <w:bookmarkEnd w:id="184"/>
      <w:bookmarkEnd w:id="185"/>
    </w:p>
    <w:p w14:paraId="54B242A6">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42F78C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20688963">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4A66F14D">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38A1A53B">
      <w:pPr>
        <w:spacing w:line="360" w:lineRule="auto"/>
        <w:ind w:firstLine="420"/>
        <w:rPr>
          <w:color w:val="auto"/>
          <w:szCs w:val="24"/>
          <w:highlight w:val="none"/>
        </w:rPr>
      </w:pPr>
      <w:r>
        <w:rPr>
          <w:rFonts w:hint="eastAsia" w:hAnsi="宋体"/>
          <w:color w:val="auto"/>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25555D2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24C25A72">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甲  方：（盖章）                          乙  方：（盖章）</w:t>
      </w:r>
    </w:p>
    <w:p w14:paraId="0A27078B">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单位名称：                                单位名称：</w:t>
      </w:r>
    </w:p>
    <w:p w14:paraId="149593C0">
      <w:pPr>
        <w:tabs>
          <w:tab w:val="left" w:pos="480"/>
        </w:tabs>
        <w:spacing w:line="360" w:lineRule="auto"/>
        <w:ind w:left="6720" w:leftChars="200" w:hanging="6240" w:hangingChars="2600"/>
        <w:rPr>
          <w:rFonts w:hAnsi="宋体" w:cs="宋体"/>
          <w:color w:val="auto"/>
          <w:szCs w:val="21"/>
          <w:highlight w:val="none"/>
        </w:rPr>
      </w:pPr>
      <w:r>
        <w:rPr>
          <w:rFonts w:hint="eastAsia" w:hAnsi="宋体" w:cs="宋体"/>
          <w:color w:val="auto"/>
          <w:szCs w:val="21"/>
          <w:highlight w:val="none"/>
        </w:rPr>
        <w:t>地  址：                                  地  址：</w:t>
      </w:r>
    </w:p>
    <w:p w14:paraId="6A3BD43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法定代表人                                法定代表人</w:t>
      </w:r>
    </w:p>
    <w:p w14:paraId="1665A730">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或委托代理人：                            或委托代理人：</w:t>
      </w:r>
    </w:p>
    <w:p w14:paraId="3D20BD34">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                                          开户银行：</w:t>
      </w:r>
    </w:p>
    <w:p w14:paraId="79CBC73A">
      <w:pPr>
        <w:tabs>
          <w:tab w:val="left" w:pos="480"/>
        </w:tabs>
        <w:spacing w:line="360" w:lineRule="auto"/>
        <w:ind w:firstLine="5520" w:firstLineChars="2300"/>
        <w:rPr>
          <w:rFonts w:hAnsi="宋体" w:cs="宋体"/>
          <w:color w:val="auto"/>
          <w:szCs w:val="21"/>
          <w:highlight w:val="none"/>
        </w:rPr>
      </w:pPr>
      <w:r>
        <w:rPr>
          <w:rFonts w:hint="eastAsia" w:hAnsi="宋体" w:cs="宋体"/>
          <w:color w:val="auto"/>
          <w:szCs w:val="21"/>
          <w:highlight w:val="none"/>
        </w:rPr>
        <w:t xml:space="preserve">账  号：       </w:t>
      </w:r>
    </w:p>
    <w:p w14:paraId="0916EADE">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联系电话：                                联系电话：</w:t>
      </w:r>
    </w:p>
    <w:p w14:paraId="43B69315">
      <w:pPr>
        <w:tabs>
          <w:tab w:val="left" w:pos="480"/>
        </w:tabs>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签订日期：     年    月      日           签订日期：     年    月   日</w:t>
      </w:r>
    </w:p>
    <w:p w14:paraId="469C287B">
      <w:pPr>
        <w:rPr>
          <w:color w:val="auto"/>
          <w:highlight w:val="none"/>
        </w:rPr>
      </w:pPr>
    </w:p>
    <w:p w14:paraId="2FA9752C">
      <w:pPr>
        <w:pStyle w:val="2"/>
        <w:jc w:val="center"/>
        <w:rPr>
          <w:rFonts w:ascii="宋体" w:eastAsia="宋体" w:cs="宋体"/>
          <w:bCs/>
          <w:color w:val="auto"/>
          <w:sz w:val="36"/>
          <w:szCs w:val="36"/>
          <w:highlight w:val="none"/>
        </w:rPr>
      </w:pPr>
      <w:r>
        <w:rPr>
          <w:rFonts w:hint="eastAsia" w:ascii="宋体" w:eastAsia="宋体" w:cs="宋体"/>
          <w:b w:val="0"/>
          <w:color w:val="auto"/>
          <w:szCs w:val="21"/>
          <w:highlight w:val="none"/>
        </w:rPr>
        <w:br w:type="page"/>
      </w:r>
      <w:bookmarkStart w:id="186" w:name="_Toc8072"/>
      <w:bookmarkStart w:id="187" w:name="_Toc4254"/>
      <w:bookmarkStart w:id="188" w:name="_Toc1119"/>
      <w:r>
        <w:rPr>
          <w:rFonts w:hint="eastAsia" w:ascii="宋体" w:eastAsia="宋体" w:cs="宋体"/>
          <w:bCs/>
          <w:color w:val="auto"/>
          <w:sz w:val="36"/>
          <w:szCs w:val="36"/>
          <w:highlight w:val="none"/>
        </w:rPr>
        <w:t xml:space="preserve">第五章 </w:t>
      </w:r>
      <w:bookmarkEnd w:id="112"/>
      <w:bookmarkEnd w:id="113"/>
      <w:bookmarkEnd w:id="114"/>
      <w:bookmarkEnd w:id="115"/>
      <w:bookmarkEnd w:id="116"/>
      <w:bookmarkEnd w:id="117"/>
      <w:bookmarkEnd w:id="118"/>
      <w:bookmarkEnd w:id="119"/>
      <w:bookmarkEnd w:id="120"/>
      <w:r>
        <w:rPr>
          <w:rFonts w:hint="eastAsia" w:ascii="宋体" w:eastAsia="宋体" w:cs="宋体"/>
          <w:bCs/>
          <w:color w:val="auto"/>
          <w:sz w:val="36"/>
          <w:szCs w:val="36"/>
          <w:highlight w:val="none"/>
        </w:rPr>
        <w:t xml:space="preserve"> 磋商内容及技术要求</w:t>
      </w:r>
      <w:bookmarkEnd w:id="186"/>
      <w:bookmarkEnd w:id="187"/>
      <w:bookmarkEnd w:id="188"/>
    </w:p>
    <w:bookmarkEnd w:id="72"/>
    <w:p w14:paraId="7A975617">
      <w:pPr>
        <w:keepNext w:val="0"/>
        <w:keepLines w:val="0"/>
        <w:pageBreakBefore w:val="0"/>
        <w:kinsoku/>
        <w:wordWrap/>
        <w:overflowPunct/>
        <w:topLinePunct w:val="0"/>
        <w:autoSpaceDE/>
        <w:autoSpaceDN/>
        <w:bidi w:val="0"/>
        <w:adjustRightInd/>
        <w:snapToGrid w:val="0"/>
        <w:spacing w:beforeAutospacing="0" w:afterAutospacing="0" w:line="560" w:lineRule="exact"/>
        <w:ind w:firstLine="482" w:firstLineChars="200"/>
        <w:textAlignment w:val="auto"/>
        <w:rPr>
          <w:rFonts w:hint="eastAsia" w:asciiTheme="minorEastAsia" w:hAnsiTheme="minorEastAsia" w:eastAsiaTheme="minorEastAsia" w:cstheme="minorEastAsia"/>
          <w:b/>
          <w:bCs/>
          <w:color w:val="000000"/>
          <w:sz w:val="24"/>
          <w:szCs w:val="24"/>
        </w:rPr>
      </w:pPr>
      <w:bookmarkStart w:id="189" w:name="_Toc6373"/>
      <w:bookmarkStart w:id="190" w:name="_Toc423973079"/>
      <w:bookmarkStart w:id="191" w:name="_Toc5084"/>
      <w:bookmarkStart w:id="192" w:name="_Toc363474025"/>
      <w:bookmarkStart w:id="193" w:name="_Toc403077646"/>
      <w:bookmarkStart w:id="194" w:name="_Toc16389"/>
      <w:r>
        <w:rPr>
          <w:rFonts w:hint="eastAsia" w:asciiTheme="minorEastAsia" w:hAnsiTheme="minorEastAsia" w:eastAsiaTheme="minorEastAsia" w:cstheme="minorEastAsia"/>
          <w:b/>
          <w:bCs/>
          <w:color w:val="000000"/>
          <w:sz w:val="24"/>
          <w:szCs w:val="24"/>
        </w:rPr>
        <w:t>一、活动主题</w:t>
      </w:r>
    </w:p>
    <w:p w14:paraId="7F7017D8">
      <w:pPr>
        <w:keepNext w:val="0"/>
        <w:keepLines w:val="0"/>
        <w:pageBreakBefore w:val="0"/>
        <w:kinsoku/>
        <w:wordWrap/>
        <w:overflowPunct/>
        <w:topLinePunct w:val="0"/>
        <w:autoSpaceDE/>
        <w:autoSpaceDN/>
        <w:bidi w:val="0"/>
        <w:adjustRightInd/>
        <w:snapToGrid w:val="0"/>
        <w:spacing w:beforeAutospacing="0" w:afterAutospacing="0" w:line="560" w:lineRule="exact"/>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“发声有界 秦创有责”</w:t>
      </w:r>
      <w:r>
        <w:rPr>
          <w:rFonts w:hint="eastAsia" w:asciiTheme="minorEastAsia" w:hAnsiTheme="minorEastAsia" w:eastAsiaTheme="minorEastAsia" w:cstheme="minorEastAsia"/>
          <w:color w:val="000000"/>
          <w:sz w:val="24"/>
          <w:szCs w:val="24"/>
        </w:rPr>
        <w:t>，主题包括内容边界管理和西安本土创作者责任双重内涵，引导我市自媒体从业相关人员规范自身创作内容，主动做到禁止传播违法</w:t>
      </w:r>
      <w:r>
        <w:rPr>
          <w:rFonts w:hint="eastAsia" w:asciiTheme="minorEastAsia" w:hAnsiTheme="minorEastAsia" w:eastAsiaTheme="minorEastAsia" w:cstheme="minorEastAsia"/>
          <w:color w:val="000000"/>
          <w:sz w:val="24"/>
          <w:szCs w:val="24"/>
          <w:lang w:eastAsia="zh-CN"/>
        </w:rPr>
        <w:t>违规</w:t>
      </w:r>
      <w:r>
        <w:rPr>
          <w:rFonts w:hint="eastAsia" w:asciiTheme="minorEastAsia" w:hAnsiTheme="minorEastAsia" w:eastAsiaTheme="minorEastAsia" w:cstheme="minorEastAsia"/>
          <w:color w:val="000000"/>
          <w:sz w:val="24"/>
          <w:szCs w:val="24"/>
        </w:rPr>
        <w:t>信息，抵制传播不良信息。</w:t>
      </w:r>
    </w:p>
    <w:p w14:paraId="15CE9381">
      <w:pPr>
        <w:keepNext w:val="0"/>
        <w:keepLines w:val="0"/>
        <w:pageBreakBefore w:val="0"/>
        <w:kinsoku/>
        <w:wordWrap/>
        <w:overflowPunct/>
        <w:topLinePunct w:val="0"/>
        <w:autoSpaceDE/>
        <w:autoSpaceDN/>
        <w:bidi w:val="0"/>
        <w:adjustRightInd/>
        <w:snapToGrid w:val="0"/>
        <w:spacing w:beforeAutospacing="0" w:afterAutospacing="0" w:line="560" w:lineRule="exact"/>
        <w:ind w:firstLine="482" w:firstLineChars="200"/>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二、活动内容</w:t>
      </w:r>
    </w:p>
    <w:p w14:paraId="05FB0266">
      <w:pPr>
        <w:keepNext w:val="0"/>
        <w:keepLines w:val="0"/>
        <w:pageBreakBefore w:val="0"/>
        <w:widowControl/>
        <w:kinsoku/>
        <w:wordWrap/>
        <w:overflowPunct/>
        <w:topLinePunct w:val="0"/>
        <w:autoSpaceDE/>
        <w:autoSpaceDN/>
        <w:bidi w:val="0"/>
        <w:adjustRightInd/>
        <w:spacing w:beforeAutospacing="0" w:afterAutospacing="0" w:line="56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活动以“加强自媒体从业者内容规范”为核心，紧扣“反虚假信息”“涉企内容治理”“情绪操控识别”</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eastAsia="zh-CN"/>
        </w:rPr>
        <w:t>反对历史虚无主义</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rPr>
        <w:t>四</w:t>
      </w:r>
      <w:r>
        <w:rPr>
          <w:rFonts w:hint="eastAsia" w:asciiTheme="minorEastAsia" w:hAnsiTheme="minorEastAsia" w:eastAsiaTheme="minorEastAsia" w:cstheme="minorEastAsia"/>
          <w:color w:val="000000"/>
          <w:sz w:val="24"/>
          <w:szCs w:val="24"/>
          <w:lang w:eastAsia="zh-CN"/>
        </w:rPr>
        <w:t>个落点</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线上线下同步发力，</w:t>
      </w:r>
      <w:r>
        <w:rPr>
          <w:rFonts w:hint="eastAsia" w:asciiTheme="minorEastAsia" w:hAnsiTheme="minorEastAsia" w:eastAsiaTheme="minorEastAsia" w:cstheme="minorEastAsia"/>
          <w:color w:val="000000"/>
          <w:sz w:val="24"/>
          <w:szCs w:val="24"/>
        </w:rPr>
        <w:t>围绕</w:t>
      </w:r>
      <w:r>
        <w:rPr>
          <w:rFonts w:hint="eastAsia" w:asciiTheme="minorEastAsia" w:hAnsiTheme="minorEastAsia" w:eastAsiaTheme="minorEastAsia" w:cstheme="minorEastAsia"/>
          <w:color w:val="000000"/>
          <w:sz w:val="24"/>
          <w:szCs w:val="24"/>
          <w:lang w:eastAsia="zh-CN"/>
        </w:rPr>
        <w:t>法规</w:t>
      </w:r>
      <w:r>
        <w:rPr>
          <w:rFonts w:hint="eastAsia" w:asciiTheme="minorEastAsia" w:hAnsiTheme="minorEastAsia" w:eastAsiaTheme="minorEastAsia" w:cstheme="minorEastAsia"/>
          <w:color w:val="000000"/>
          <w:sz w:val="24"/>
          <w:szCs w:val="24"/>
        </w:rPr>
        <w:t>政策宣传、内容创作、行为引导和公众参与四个层面推进，推动网络创作群体提升法治意识、规范表达边界，共建风清气正的网络舆论环境。</w:t>
      </w:r>
    </w:p>
    <w:p w14:paraId="65149FA5">
      <w:pPr>
        <w:keepNext w:val="0"/>
        <w:keepLines w:val="0"/>
        <w:pageBreakBefore w:val="0"/>
        <w:kinsoku/>
        <w:wordWrap/>
        <w:overflowPunct/>
        <w:topLinePunct w:val="0"/>
        <w:autoSpaceDE/>
        <w:autoSpaceDN/>
        <w:bidi w:val="0"/>
        <w:adjustRightInd/>
        <w:spacing w:beforeAutospacing="0" w:afterAutospacing="0" w:line="560" w:lineRule="exact"/>
        <w:ind w:firstLine="482" w:firstLineChars="200"/>
        <w:textAlignment w:val="auto"/>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b/>
          <w:bCs/>
          <w:color w:val="000000"/>
          <w:sz w:val="24"/>
          <w:szCs w:val="24"/>
          <w:lang w:eastAsia="zh-CN"/>
        </w:rPr>
        <w:t>活动实施</w:t>
      </w:r>
    </w:p>
    <w:p w14:paraId="7144E383">
      <w:pPr>
        <w:keepNext w:val="0"/>
        <w:keepLines w:val="0"/>
        <w:pageBreakBefore w:val="0"/>
        <w:kinsoku/>
        <w:wordWrap/>
        <w:overflowPunct/>
        <w:topLinePunct w:val="0"/>
        <w:autoSpaceDE/>
        <w:autoSpaceDN/>
        <w:bidi w:val="0"/>
        <w:adjustRightInd/>
        <w:snapToGrid w:val="0"/>
        <w:spacing w:beforeAutospacing="0" w:afterAutospacing="0"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（一）</w:t>
      </w:r>
      <w:r>
        <w:rPr>
          <w:rFonts w:hint="eastAsia" w:asciiTheme="minorEastAsia" w:hAnsiTheme="minorEastAsia" w:eastAsiaTheme="minorEastAsia" w:cstheme="minorEastAsia"/>
          <w:b w:val="0"/>
          <w:bCs w:val="0"/>
          <w:color w:val="000000"/>
          <w:sz w:val="24"/>
          <w:szCs w:val="24"/>
        </w:rPr>
        <w:t>线上</w:t>
      </w:r>
      <w:r>
        <w:rPr>
          <w:rFonts w:hint="eastAsia" w:asciiTheme="minorEastAsia" w:hAnsiTheme="minorEastAsia" w:eastAsiaTheme="minorEastAsia" w:cstheme="minorEastAsia"/>
          <w:b w:val="0"/>
          <w:bCs w:val="0"/>
          <w:color w:val="000000"/>
          <w:sz w:val="24"/>
          <w:szCs w:val="24"/>
          <w:lang w:eastAsia="zh-CN"/>
        </w:rPr>
        <w:t>部分</w:t>
      </w:r>
    </w:p>
    <w:p w14:paraId="1C6EDDF4">
      <w:pPr>
        <w:keepNext w:val="0"/>
        <w:keepLines w:val="0"/>
        <w:pageBreakBefore w:val="0"/>
        <w:widowControl/>
        <w:kinsoku/>
        <w:wordWrap/>
        <w:overflowPunct/>
        <w:topLinePunct w:val="0"/>
        <w:autoSpaceDE/>
        <w:autoSpaceDN/>
        <w:bidi w:val="0"/>
        <w:adjustRightInd/>
        <w:spacing w:beforeAutospacing="0" w:afterAutospacing="0" w:line="560" w:lineRule="exact"/>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lang w:val="en-US" w:eastAsia="zh-CN"/>
        </w:rPr>
        <w:t>一、</w:t>
      </w:r>
      <w:r>
        <w:rPr>
          <w:rFonts w:hint="eastAsia" w:asciiTheme="minorEastAsia" w:hAnsiTheme="minorEastAsia" w:eastAsiaTheme="minorEastAsia" w:cstheme="minorEastAsia"/>
          <w:b/>
          <w:bCs/>
          <w:color w:val="000000"/>
          <w:sz w:val="24"/>
          <w:szCs w:val="24"/>
        </w:rPr>
        <w:t>搭建统一栏目专区，构建内容规范常态传播机制</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color w:val="000000"/>
          <w:sz w:val="24"/>
          <w:szCs w:val="24"/>
        </w:rPr>
        <w:t>设立“发声有界·秦创有责”栏目板块，整合违规示范警示、法律条文解读、热点话题辨析、合规创作倡议等内容，形成清晰权威的网络内容规范信息聚合平台，推动宣传体系长期运行、持续输出。</w:t>
      </w:r>
    </w:p>
    <w:p w14:paraId="0E2CF1A3">
      <w:pPr>
        <w:keepNext w:val="0"/>
        <w:keepLines w:val="0"/>
        <w:pageBreakBefore w:val="0"/>
        <w:widowControl/>
        <w:kinsoku/>
        <w:wordWrap/>
        <w:overflowPunct/>
        <w:topLinePunct w:val="0"/>
        <w:autoSpaceDE/>
        <w:autoSpaceDN/>
        <w:bidi w:val="0"/>
        <w:adjustRightInd/>
        <w:spacing w:beforeAutospacing="0" w:afterAutospacing="0" w:line="560" w:lineRule="exact"/>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lang w:eastAsia="zh-CN"/>
        </w:rPr>
        <w:t>二、</w:t>
      </w:r>
      <w:r>
        <w:rPr>
          <w:rFonts w:hint="eastAsia" w:asciiTheme="minorEastAsia" w:hAnsiTheme="minorEastAsia" w:eastAsiaTheme="minorEastAsia" w:cstheme="minorEastAsia"/>
          <w:b/>
          <w:bCs/>
          <w:color w:val="000000"/>
          <w:sz w:val="24"/>
          <w:szCs w:val="24"/>
        </w:rPr>
        <w:t>发布主题宣传片，引导全社会关注网络表达责任</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color w:val="000000"/>
          <w:sz w:val="24"/>
          <w:szCs w:val="24"/>
        </w:rPr>
        <w:t>推出宣传片，结合网络造谣、恶评、历史娱乐化等典型场景，强化“表达即责任”的普法导向。</w:t>
      </w:r>
    </w:p>
    <w:p w14:paraId="08EE8AC6">
      <w:pPr>
        <w:keepNext w:val="0"/>
        <w:keepLines w:val="0"/>
        <w:pageBreakBefore w:val="0"/>
        <w:widowControl/>
        <w:kinsoku/>
        <w:wordWrap/>
        <w:overflowPunct/>
        <w:topLinePunct w:val="0"/>
        <w:autoSpaceDE/>
        <w:autoSpaceDN/>
        <w:bidi w:val="0"/>
        <w:adjustRightInd/>
        <w:spacing w:beforeAutospacing="0" w:afterAutospacing="0" w:line="560" w:lineRule="exact"/>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lang w:eastAsia="zh-CN"/>
        </w:rPr>
        <w:t>三、</w:t>
      </w:r>
      <w:r>
        <w:rPr>
          <w:rFonts w:hint="eastAsia" w:asciiTheme="minorEastAsia" w:hAnsiTheme="minorEastAsia" w:eastAsiaTheme="minorEastAsia" w:cstheme="minorEastAsia"/>
          <w:b/>
          <w:bCs/>
          <w:color w:val="000000"/>
          <w:sz w:val="24"/>
          <w:szCs w:val="24"/>
        </w:rPr>
        <w:t>组织创作者共创内容，聚焦“反虚假信息”主题传播</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color w:val="000000"/>
          <w:sz w:val="24"/>
          <w:szCs w:val="24"/>
        </w:rPr>
        <w:t>动员</w:t>
      </w:r>
      <w:r>
        <w:rPr>
          <w:rFonts w:hint="eastAsia" w:asciiTheme="minorEastAsia" w:hAnsiTheme="minorEastAsia" w:eastAsiaTheme="minorEastAsia" w:cstheme="minorEastAsia"/>
          <w:color w:val="000000"/>
          <w:sz w:val="24"/>
          <w:szCs w:val="24"/>
          <w:lang w:eastAsia="zh-CN"/>
        </w:rPr>
        <w:t>自媒体</w:t>
      </w:r>
      <w:r>
        <w:rPr>
          <w:rFonts w:hint="eastAsia" w:asciiTheme="minorEastAsia" w:hAnsiTheme="minorEastAsia" w:eastAsiaTheme="minorEastAsia" w:cstheme="minorEastAsia"/>
          <w:color w:val="000000"/>
          <w:sz w:val="24"/>
          <w:szCs w:val="24"/>
        </w:rPr>
        <w:t>创作者围绕截图伪造、拼接误导、旧闻翻炒等典型谣言手段，制作系列“短问题+快解答”结构视频，以通俗易懂的方式提升公众识别谣言能力，强化内容真实性意识。</w:t>
      </w:r>
    </w:p>
    <w:p w14:paraId="734E3AF2">
      <w:pPr>
        <w:keepNext w:val="0"/>
        <w:keepLines w:val="0"/>
        <w:pageBreakBefore w:val="0"/>
        <w:widowControl/>
        <w:kinsoku/>
        <w:wordWrap/>
        <w:overflowPunct/>
        <w:topLinePunct w:val="0"/>
        <w:autoSpaceDE/>
        <w:autoSpaceDN/>
        <w:bidi w:val="0"/>
        <w:adjustRightInd/>
        <w:spacing w:beforeAutospacing="0" w:afterAutospacing="0" w:line="560" w:lineRule="exact"/>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lang w:eastAsia="zh-CN"/>
        </w:rPr>
        <w:t>四、</w:t>
      </w:r>
      <w:r>
        <w:rPr>
          <w:rFonts w:hint="eastAsia" w:asciiTheme="minorEastAsia" w:hAnsiTheme="minorEastAsia" w:eastAsiaTheme="minorEastAsia" w:cstheme="minorEastAsia"/>
          <w:b/>
          <w:bCs/>
          <w:color w:val="000000"/>
          <w:sz w:val="24"/>
          <w:szCs w:val="24"/>
        </w:rPr>
        <w:t>邀请专家权威解读，明确“情绪操控”表达风险边界</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color w:val="000000"/>
          <w:sz w:val="24"/>
          <w:szCs w:val="24"/>
        </w:rPr>
        <w:t>邀请法律、舆情、心理等领域专家围绕情绪型标题、评论区引战、</w:t>
      </w:r>
      <w:r>
        <w:rPr>
          <w:rFonts w:hint="eastAsia" w:asciiTheme="minorEastAsia" w:hAnsiTheme="minorEastAsia" w:eastAsiaTheme="minorEastAsia" w:cstheme="minorEastAsia"/>
          <w:color w:val="000000"/>
          <w:sz w:val="24"/>
          <w:szCs w:val="24"/>
          <w:lang w:eastAsia="zh-CN"/>
        </w:rPr>
        <w:t>煽动激化社会矛盾、</w:t>
      </w:r>
      <w:r>
        <w:rPr>
          <w:rFonts w:hint="eastAsia" w:asciiTheme="minorEastAsia" w:hAnsiTheme="minorEastAsia" w:eastAsiaTheme="minorEastAsia" w:cstheme="minorEastAsia"/>
          <w:color w:val="000000"/>
          <w:sz w:val="24"/>
          <w:szCs w:val="24"/>
        </w:rPr>
        <w:t>极端措辞等问题开展系列视频讲解，帮助公众提升判断力，引导创作者规范情绪表达边界。</w:t>
      </w:r>
    </w:p>
    <w:p w14:paraId="5DD7FAE2">
      <w:pPr>
        <w:keepNext w:val="0"/>
        <w:keepLines w:val="0"/>
        <w:pageBreakBefore w:val="0"/>
        <w:widowControl/>
        <w:kinsoku/>
        <w:wordWrap/>
        <w:overflowPunct/>
        <w:topLinePunct w:val="0"/>
        <w:autoSpaceDE/>
        <w:autoSpaceDN/>
        <w:bidi w:val="0"/>
        <w:adjustRightInd/>
        <w:spacing w:beforeAutospacing="0" w:afterAutospacing="0" w:line="560" w:lineRule="exact"/>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lang w:eastAsia="zh-CN"/>
        </w:rPr>
        <w:t>五、</w:t>
      </w:r>
      <w:r>
        <w:rPr>
          <w:rFonts w:hint="eastAsia" w:asciiTheme="minorEastAsia" w:hAnsiTheme="minorEastAsia" w:eastAsiaTheme="minorEastAsia" w:cstheme="minorEastAsia"/>
          <w:b/>
          <w:bCs/>
          <w:color w:val="000000"/>
          <w:sz w:val="24"/>
          <w:szCs w:val="24"/>
        </w:rPr>
        <w:t>拍摄主题短剧内容，展现“涉企黑评”行为法律风险</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color w:val="000000"/>
          <w:sz w:val="24"/>
          <w:szCs w:val="24"/>
        </w:rPr>
        <w:t>围绕“恶意测评”</w:t>
      </w:r>
      <w:r>
        <w:rPr>
          <w:rFonts w:hint="eastAsia" w:asciiTheme="minorEastAsia" w:hAnsiTheme="minorEastAsia" w:eastAsiaTheme="minorEastAsia" w:cstheme="minorEastAsia"/>
          <w:color w:val="000000"/>
          <w:sz w:val="24"/>
          <w:szCs w:val="24"/>
          <w:lang w:eastAsia="zh-CN"/>
        </w:rPr>
        <w:t>“黑料勒索”</w:t>
      </w:r>
      <w:r>
        <w:rPr>
          <w:rFonts w:hint="eastAsia" w:asciiTheme="minorEastAsia" w:hAnsiTheme="minorEastAsia" w:eastAsiaTheme="minorEastAsia" w:cstheme="minorEastAsia"/>
          <w:color w:val="000000"/>
          <w:sz w:val="24"/>
          <w:szCs w:val="24"/>
        </w:rPr>
        <w:t>“断章点评”“伪专业攻击”</w:t>
      </w:r>
      <w:r>
        <w:rPr>
          <w:rFonts w:hint="eastAsia" w:asciiTheme="minorEastAsia" w:hAnsiTheme="minorEastAsia" w:eastAsiaTheme="minorEastAsia" w:cstheme="minorEastAsia"/>
          <w:color w:val="000000"/>
          <w:sz w:val="24"/>
          <w:szCs w:val="24"/>
          <w:lang w:eastAsia="zh-CN"/>
        </w:rPr>
        <w:t>“唱衰经济”</w:t>
      </w:r>
      <w:r>
        <w:rPr>
          <w:rFonts w:hint="eastAsia" w:asciiTheme="minorEastAsia" w:hAnsiTheme="minorEastAsia" w:eastAsiaTheme="minorEastAsia" w:cstheme="minorEastAsia"/>
          <w:color w:val="000000"/>
          <w:sz w:val="24"/>
          <w:szCs w:val="24"/>
        </w:rPr>
        <w:t>等行为，拍摄反转类剧情短剧，通过生活化情境揭示其对企业声誉的危害与法律责任，引导内容创作者合法表达、公允评论</w:t>
      </w:r>
      <w:r>
        <w:rPr>
          <w:rFonts w:hint="eastAsia" w:asciiTheme="minorEastAsia" w:hAnsiTheme="minorEastAsia" w:eastAsiaTheme="minorEastAsia" w:cstheme="minorEastAsia"/>
          <w:color w:val="000000"/>
          <w:sz w:val="24"/>
          <w:szCs w:val="24"/>
          <w:lang w:eastAsia="zh-CN"/>
        </w:rPr>
        <w:t>，推动优化西安营商环境</w:t>
      </w:r>
      <w:r>
        <w:rPr>
          <w:rFonts w:hint="eastAsia" w:asciiTheme="minorEastAsia" w:hAnsiTheme="minorEastAsia" w:eastAsiaTheme="minorEastAsia" w:cstheme="minorEastAsia"/>
          <w:color w:val="000000"/>
          <w:sz w:val="24"/>
          <w:szCs w:val="24"/>
        </w:rPr>
        <w:t>。</w:t>
      </w:r>
    </w:p>
    <w:p w14:paraId="40344A33">
      <w:pPr>
        <w:keepNext w:val="0"/>
        <w:keepLines w:val="0"/>
        <w:pageBreakBefore w:val="0"/>
        <w:widowControl/>
        <w:kinsoku/>
        <w:wordWrap/>
        <w:overflowPunct/>
        <w:topLinePunct w:val="0"/>
        <w:autoSpaceDE/>
        <w:autoSpaceDN/>
        <w:bidi w:val="0"/>
        <w:adjustRightInd/>
        <w:spacing w:beforeAutospacing="0" w:afterAutospacing="0" w:line="560" w:lineRule="exact"/>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lang w:eastAsia="zh-CN"/>
        </w:rPr>
        <w:t>六、</w:t>
      </w:r>
      <w:r>
        <w:rPr>
          <w:rFonts w:hint="eastAsia" w:asciiTheme="minorEastAsia" w:hAnsiTheme="minorEastAsia" w:eastAsiaTheme="minorEastAsia" w:cstheme="minorEastAsia"/>
          <w:b/>
          <w:bCs/>
          <w:color w:val="000000"/>
          <w:sz w:val="24"/>
          <w:szCs w:val="24"/>
        </w:rPr>
        <w:t>推出系列视频内容，回应历史表达中的失范现象</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color w:val="000000"/>
          <w:sz w:val="24"/>
          <w:szCs w:val="24"/>
        </w:rPr>
        <w:t>围绕调侃英烈、篡改史实、娱乐化表达等不当内容，制作</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eastAsia="zh-CN"/>
        </w:rPr>
        <w:t>反对历史虚无主义</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rPr>
        <w:t>系列视频，结合典型场景讲解史实表达边界，倡导弘扬红色文化、尊重民族记忆。</w:t>
      </w:r>
    </w:p>
    <w:p w14:paraId="7302E8C5">
      <w:pPr>
        <w:keepNext w:val="0"/>
        <w:keepLines w:val="0"/>
        <w:pageBreakBefore w:val="0"/>
        <w:widowControl/>
        <w:kinsoku/>
        <w:wordWrap/>
        <w:overflowPunct/>
        <w:topLinePunct w:val="0"/>
        <w:autoSpaceDE/>
        <w:autoSpaceDN/>
        <w:bidi w:val="0"/>
        <w:adjustRightInd/>
        <w:spacing w:beforeAutospacing="0" w:afterAutospacing="0" w:line="560" w:lineRule="exact"/>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lang w:eastAsia="zh-CN"/>
        </w:rPr>
        <w:t>七、</w:t>
      </w:r>
      <w:r>
        <w:rPr>
          <w:rFonts w:hint="eastAsia" w:asciiTheme="minorEastAsia" w:hAnsiTheme="minorEastAsia" w:eastAsiaTheme="minorEastAsia" w:cstheme="minorEastAsia"/>
          <w:b/>
          <w:bCs/>
          <w:color w:val="000000"/>
          <w:sz w:val="24"/>
          <w:szCs w:val="24"/>
        </w:rPr>
        <w:t>发布图文规范样态，提供合规创作操作指引范式</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color w:val="000000"/>
          <w:sz w:val="24"/>
          <w:szCs w:val="24"/>
        </w:rPr>
        <w:t>联合权威媒体平台发布图文形式的违规案例解析，通过“行为问题+法规依据+替代表达”三段结构，明确典型表达风险与改写方式，推动内容创作者依法依规生产内容。</w:t>
      </w:r>
    </w:p>
    <w:p w14:paraId="79ECDF43">
      <w:pPr>
        <w:keepNext w:val="0"/>
        <w:keepLines w:val="0"/>
        <w:pageBreakBefore w:val="0"/>
        <w:widowControl/>
        <w:kinsoku/>
        <w:wordWrap/>
        <w:overflowPunct/>
        <w:topLinePunct w:val="0"/>
        <w:autoSpaceDE/>
        <w:autoSpaceDN/>
        <w:bidi w:val="0"/>
        <w:adjustRightInd/>
        <w:spacing w:beforeAutospacing="0" w:afterAutospacing="0" w:line="560" w:lineRule="exact"/>
        <w:ind w:firstLine="482"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color w:val="000000"/>
          <w:sz w:val="24"/>
          <w:szCs w:val="24"/>
          <w:lang w:eastAsia="zh-CN"/>
        </w:rPr>
        <w:t>八、</w:t>
      </w:r>
      <w:r>
        <w:rPr>
          <w:rFonts w:hint="eastAsia" w:asciiTheme="minorEastAsia" w:hAnsiTheme="minorEastAsia" w:eastAsiaTheme="minorEastAsia" w:cstheme="minorEastAsia"/>
          <w:b/>
          <w:bCs/>
          <w:color w:val="000000"/>
          <w:sz w:val="24"/>
          <w:szCs w:val="24"/>
        </w:rPr>
        <w:t>实施信息流定向投放，扩大重点内容触达率与引导力</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color w:val="000000"/>
          <w:sz w:val="24"/>
          <w:szCs w:val="24"/>
        </w:rPr>
        <w:t>围绕重点视频内容，定向投放信息流广告，精准覆盖</w:t>
      </w:r>
      <w:r>
        <w:rPr>
          <w:rFonts w:hint="eastAsia" w:asciiTheme="minorEastAsia" w:hAnsiTheme="minorEastAsia" w:eastAsiaTheme="minorEastAsia" w:cstheme="minorEastAsia"/>
          <w:color w:val="000000"/>
          <w:sz w:val="24"/>
          <w:szCs w:val="24"/>
          <w:lang w:eastAsia="zh-CN"/>
        </w:rPr>
        <w:t>市域企业、</w:t>
      </w:r>
      <w:r>
        <w:rPr>
          <w:rFonts w:hint="eastAsia" w:asciiTheme="minorEastAsia" w:hAnsiTheme="minorEastAsia" w:eastAsiaTheme="minorEastAsia" w:cstheme="minorEastAsia"/>
          <w:color w:val="000000"/>
          <w:sz w:val="24"/>
          <w:szCs w:val="24"/>
        </w:rPr>
        <w:t>高校学生、自媒体创作者、中青年活跃用户等目标群体，提升宣传内容曝光度、观看率与转化效率，推动活动热度持续外溢。</w:t>
      </w:r>
    </w:p>
    <w:p w14:paraId="2461CE1B">
      <w:pPr>
        <w:keepNext w:val="0"/>
        <w:keepLines w:val="0"/>
        <w:pageBreakBefore w:val="0"/>
        <w:widowControl/>
        <w:kinsoku/>
        <w:wordWrap/>
        <w:overflowPunct/>
        <w:topLinePunct w:val="0"/>
        <w:autoSpaceDE/>
        <w:autoSpaceDN/>
        <w:bidi w:val="0"/>
        <w:adjustRightInd/>
        <w:spacing w:beforeAutospacing="0" w:afterAutospacing="0" w:line="56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（二）线下活动</w:t>
      </w:r>
    </w:p>
    <w:p w14:paraId="1FC8795C">
      <w:pPr>
        <w:keepNext w:val="0"/>
        <w:keepLines w:val="0"/>
        <w:pageBreakBefore w:val="0"/>
        <w:widowControl/>
        <w:kinsoku/>
        <w:wordWrap/>
        <w:overflowPunct/>
        <w:topLinePunct w:val="0"/>
        <w:autoSpaceDE/>
        <w:autoSpaceDN/>
        <w:bidi w:val="0"/>
        <w:adjustRightInd/>
        <w:spacing w:beforeAutospacing="0" w:afterAutospacing="0" w:line="56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计划</w:t>
      </w:r>
      <w:r>
        <w:rPr>
          <w:rFonts w:hint="eastAsia" w:asciiTheme="minorEastAsia" w:hAnsiTheme="minorEastAsia" w:eastAsiaTheme="minorEastAsia" w:cstheme="minorEastAsia"/>
          <w:color w:val="000000"/>
          <w:sz w:val="24"/>
          <w:szCs w:val="24"/>
        </w:rPr>
        <w:t>依托我市核心文化地标</w:t>
      </w:r>
      <w:r>
        <w:rPr>
          <w:rFonts w:hint="eastAsia" w:asciiTheme="minorEastAsia" w:hAnsiTheme="minorEastAsia" w:eastAsiaTheme="minorEastAsia" w:cstheme="minorEastAsia"/>
          <w:color w:val="000000"/>
          <w:sz w:val="24"/>
          <w:szCs w:val="24"/>
          <w:lang w:eastAsia="zh-CN"/>
        </w:rPr>
        <w:t>（如</w:t>
      </w:r>
      <w:r>
        <w:rPr>
          <w:rFonts w:hint="eastAsia" w:asciiTheme="minorEastAsia" w:hAnsiTheme="minorEastAsia" w:eastAsiaTheme="minorEastAsia" w:cstheme="minorEastAsia"/>
          <w:color w:val="000000"/>
          <w:sz w:val="24"/>
          <w:szCs w:val="24"/>
        </w:rPr>
        <w:t>大唐不夜城、小雁塔广场等</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，组织开展“内容规范互动打卡装置”活动，设置“虚假信息识别”“涉企言论合规”“情绪表达规制”“历史内容守正”等四类分区装置，通过互动式体验，引导群众辨识网络内容风险，提升法治意识。</w:t>
      </w:r>
    </w:p>
    <w:p w14:paraId="435B1EB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活动期间</w:t>
      </w:r>
      <w:r>
        <w:rPr>
          <w:rFonts w:hint="eastAsia" w:asciiTheme="minorEastAsia" w:hAnsiTheme="minorEastAsia" w:eastAsiaTheme="minorEastAsia" w:cstheme="minorEastAsia"/>
          <w:color w:val="000000"/>
          <w:sz w:val="24"/>
          <w:szCs w:val="24"/>
          <w:lang w:eastAsia="zh-CN"/>
        </w:rPr>
        <w:t>计划拟邀请</w:t>
      </w:r>
      <w:r>
        <w:rPr>
          <w:rFonts w:hint="eastAsia" w:asciiTheme="minorEastAsia" w:hAnsiTheme="minorEastAsia" w:eastAsiaTheme="minorEastAsia" w:cstheme="minorEastAsia"/>
          <w:color w:val="000000"/>
          <w:sz w:val="24"/>
          <w:szCs w:val="24"/>
        </w:rPr>
        <w:t>网信</w:t>
      </w:r>
      <w:r>
        <w:rPr>
          <w:rFonts w:hint="eastAsia" w:asciiTheme="minorEastAsia" w:hAnsiTheme="minorEastAsia" w:eastAsiaTheme="minorEastAsia" w:cstheme="minorEastAsia"/>
          <w:color w:val="000000"/>
          <w:sz w:val="24"/>
          <w:szCs w:val="24"/>
          <w:lang w:eastAsia="zh-CN"/>
        </w:rPr>
        <w:t>、公安、司法等部门</w:t>
      </w:r>
      <w:r>
        <w:rPr>
          <w:rFonts w:hint="eastAsia" w:asciiTheme="minorEastAsia" w:hAnsiTheme="minorEastAsia" w:eastAsiaTheme="minorEastAsia" w:cstheme="minorEastAsia"/>
          <w:color w:val="000000"/>
          <w:sz w:val="24"/>
          <w:szCs w:val="24"/>
        </w:rPr>
        <w:t>相关领导现场调研指导，媒体同步开展联动报道，拍摄制作线下活动纪实视频，作为后续线上宣传、项目总结与经验推广的重要素材，推动宣传成效实现多轮传播、持续外溢。</w:t>
      </w:r>
    </w:p>
    <w:p w14:paraId="4C29DDF9">
      <w:pPr>
        <w:keepNext w:val="0"/>
        <w:keepLines w:val="0"/>
        <w:pageBreakBefore w:val="0"/>
        <w:widowControl w:val="0"/>
        <w:kinsoku/>
        <w:wordWrap/>
        <w:overflowPunct/>
        <w:topLinePunct w:val="0"/>
        <w:autoSpaceDE/>
        <w:autoSpaceDN/>
        <w:bidi w:val="0"/>
        <w:adjustRightInd/>
        <w:snapToGrid w:val="0"/>
        <w:spacing w:line="540" w:lineRule="exact"/>
        <w:ind w:firstLine="442" w:firstLineChars="200"/>
        <w:jc w:val="both"/>
        <w:textAlignment w:val="auto"/>
        <w:rPr>
          <w:rFonts w:hint="eastAsia" w:ascii="宋体" w:hAnsi="宋体" w:eastAsia="宋体" w:cs="宋体"/>
          <w:color w:val="000000"/>
          <w:sz w:val="24"/>
          <w:szCs w:val="24"/>
        </w:rPr>
      </w:pPr>
      <w:r>
        <w:rPr>
          <w:rFonts w:hint="eastAsia" w:ascii="宋体" w:hAnsi="宋体" w:eastAsia="宋体" w:cs="宋体"/>
          <w:b/>
          <w:bCs/>
          <w:spacing w:val="-10"/>
          <w:sz w:val="24"/>
          <w:szCs w:val="24"/>
          <w:lang w:val="en-US" w:eastAsia="zh-CN"/>
        </w:rPr>
        <w:t>四、</w:t>
      </w:r>
      <w:r>
        <w:rPr>
          <w:rFonts w:hint="eastAsia" w:ascii="宋体" w:hAnsi="宋体" w:eastAsia="宋体" w:cs="宋体"/>
          <w:b/>
          <w:bCs/>
          <w:spacing w:val="-10"/>
          <w:sz w:val="24"/>
          <w:szCs w:val="24"/>
        </w:rPr>
        <w:t>项目目标：</w:t>
      </w:r>
      <w:r>
        <w:rPr>
          <w:rFonts w:hint="eastAsia" w:ascii="宋体" w:hAnsi="宋体" w:eastAsia="宋体" w:cs="宋体"/>
          <w:color w:val="000000"/>
          <w:sz w:val="24"/>
          <w:szCs w:val="24"/>
        </w:rPr>
        <w:t>以“加强自媒体从业者内容规范”为核心，紧扣“反虚假信息”“涉企内容治理”“情绪操控识别”</w:t>
      </w:r>
      <w:r>
        <w:rPr>
          <w:rFonts w:hint="eastAsia" w:ascii="宋体" w:hAnsi="宋体" w:eastAsia="宋体" w:cs="宋体"/>
          <w:color w:val="000000"/>
          <w:sz w:val="24"/>
          <w:szCs w:val="24"/>
          <w:highlight w:val="none"/>
        </w:rPr>
        <w:t>“</w:t>
      </w:r>
      <w:r>
        <w:rPr>
          <w:rFonts w:hint="eastAsia" w:asciiTheme="minorEastAsia" w:hAnsiTheme="minorEastAsia" w:eastAsiaTheme="minorEastAsia" w:cstheme="minorEastAsia"/>
          <w:color w:val="000000"/>
          <w:sz w:val="24"/>
          <w:szCs w:val="24"/>
          <w:highlight w:val="none"/>
          <w:lang w:eastAsia="zh-CN"/>
        </w:rPr>
        <w:t>反对历史虚无主义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rPr>
        <w:t>四</w:t>
      </w:r>
      <w:r>
        <w:rPr>
          <w:rFonts w:hint="eastAsia" w:ascii="宋体" w:hAnsi="宋体" w:eastAsia="宋体" w:cs="宋体"/>
          <w:color w:val="000000"/>
          <w:sz w:val="24"/>
          <w:szCs w:val="24"/>
          <w:lang w:eastAsia="zh-CN"/>
        </w:rPr>
        <w:t>个落点</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线上线下同步发力，</w:t>
      </w:r>
      <w:r>
        <w:rPr>
          <w:rFonts w:hint="eastAsia" w:ascii="宋体" w:hAnsi="宋体" w:eastAsia="宋体" w:cs="宋体"/>
          <w:color w:val="000000"/>
          <w:sz w:val="24"/>
          <w:szCs w:val="24"/>
        </w:rPr>
        <w:t>围绕政策宣传、内容创作、行为引导和公众参与四个层面推进，推动网络创作群体提升法治意识、规范表达边界，共建风清气正的网络舆论环境。</w:t>
      </w:r>
    </w:p>
    <w:p w14:paraId="68405C6F">
      <w:pPr>
        <w:spacing w:line="360" w:lineRule="auto"/>
        <w:ind w:firstLine="442" w:firstLineChars="200"/>
        <w:rPr>
          <w:rFonts w:hint="eastAsia" w:ascii="宋体" w:hAnsi="宋体" w:eastAsia="宋体" w:cs="宋体"/>
          <w:spacing w:val="-10"/>
          <w:sz w:val="24"/>
          <w:szCs w:val="24"/>
        </w:rPr>
      </w:pPr>
      <w:r>
        <w:rPr>
          <w:rFonts w:hint="eastAsia" w:ascii="宋体" w:hAnsi="宋体" w:eastAsia="宋体" w:cs="宋体"/>
          <w:b/>
          <w:bCs/>
          <w:spacing w:val="-10"/>
          <w:sz w:val="24"/>
          <w:szCs w:val="24"/>
          <w:lang w:val="en-US" w:eastAsia="zh-CN"/>
        </w:rPr>
        <w:t>五、</w:t>
      </w:r>
      <w:r>
        <w:rPr>
          <w:rFonts w:hint="eastAsia" w:ascii="宋体" w:hAnsi="宋体" w:eastAsia="宋体" w:cs="宋体"/>
          <w:b/>
          <w:bCs/>
          <w:spacing w:val="-10"/>
          <w:sz w:val="24"/>
          <w:szCs w:val="24"/>
        </w:rPr>
        <w:t>项目要求：</w:t>
      </w:r>
      <w:r>
        <w:rPr>
          <w:rFonts w:hint="eastAsia" w:ascii="宋体" w:hAnsi="宋体" w:eastAsia="宋体" w:cs="宋体"/>
          <w:spacing w:val="-10"/>
          <w:sz w:val="24"/>
          <w:szCs w:val="24"/>
        </w:rPr>
        <w:t>策划方案具体可行；提供的宣传执行形式多样</w:t>
      </w:r>
      <w:r>
        <w:rPr>
          <w:rFonts w:hint="eastAsia" w:ascii="宋体" w:hAnsi="宋体" w:eastAsia="宋体" w:cs="宋体"/>
          <w:spacing w:val="-10"/>
          <w:sz w:val="24"/>
          <w:szCs w:val="24"/>
          <w:lang w:eastAsia="zh-CN"/>
        </w:rPr>
        <w:t>；对制作的内容</w:t>
      </w:r>
      <w:r>
        <w:rPr>
          <w:rFonts w:hint="eastAsia" w:ascii="宋体" w:hAnsi="宋体" w:eastAsia="宋体" w:cs="宋体"/>
          <w:spacing w:val="-10"/>
          <w:sz w:val="24"/>
          <w:szCs w:val="24"/>
          <w:lang w:val="en-US" w:eastAsia="zh-CN"/>
        </w:rPr>
        <w:t>进行广泛宣传推广，</w:t>
      </w:r>
      <w:r>
        <w:rPr>
          <w:rFonts w:hint="eastAsia" w:ascii="宋体" w:hAnsi="宋体" w:eastAsia="宋体" w:cs="宋体"/>
          <w:spacing w:val="-10"/>
          <w:sz w:val="24"/>
          <w:szCs w:val="24"/>
        </w:rPr>
        <w:t>有较好的传播效果。</w:t>
      </w:r>
    </w:p>
    <w:tbl>
      <w:tblPr>
        <w:tblStyle w:val="23"/>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42"/>
        <w:gridCol w:w="2149"/>
        <w:gridCol w:w="721"/>
        <w:gridCol w:w="686"/>
        <w:gridCol w:w="3616"/>
      </w:tblGrid>
      <w:tr w14:paraId="24DE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04" w:type="dxa"/>
            <w:shd w:val="clear" w:color="auto" w:fill="FFFFFF" w:themeFill="background1"/>
            <w:noWrap/>
            <w:vAlign w:val="center"/>
          </w:tcPr>
          <w:p w14:paraId="646FBD3E">
            <w:pPr>
              <w:jc w:val="center"/>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序号</w:t>
            </w:r>
          </w:p>
        </w:tc>
        <w:tc>
          <w:tcPr>
            <w:tcW w:w="1242" w:type="dxa"/>
            <w:shd w:val="clear" w:color="auto" w:fill="FFFFFF" w:themeFill="background1"/>
            <w:noWrap/>
            <w:vAlign w:val="center"/>
          </w:tcPr>
          <w:p w14:paraId="178C6B75">
            <w:pPr>
              <w:jc w:val="center"/>
              <w:rPr>
                <w:rFonts w:hint="eastAsia" w:ascii="宋体" w:hAnsi="宋体" w:eastAsia="宋体" w:cs="宋体"/>
                <w:b/>
                <w:bCs/>
                <w:color w:val="auto"/>
                <w:sz w:val="24"/>
                <w:szCs w:val="24"/>
                <w:shd w:val="clear" w:color="auto" w:fill="auto"/>
                <w:lang w:eastAsia="zh-CN"/>
              </w:rPr>
            </w:pPr>
            <w:r>
              <w:rPr>
                <w:rFonts w:hint="eastAsia" w:ascii="宋体" w:hAnsi="宋体" w:eastAsia="宋体" w:cs="宋体"/>
                <w:b/>
                <w:bCs/>
                <w:color w:val="auto"/>
                <w:sz w:val="24"/>
                <w:szCs w:val="24"/>
                <w:shd w:val="clear" w:color="auto" w:fill="auto"/>
                <w:lang w:eastAsia="zh-CN"/>
              </w:rPr>
              <w:t>项目</w:t>
            </w:r>
          </w:p>
        </w:tc>
        <w:tc>
          <w:tcPr>
            <w:tcW w:w="2149" w:type="dxa"/>
            <w:shd w:val="clear" w:color="auto" w:fill="FFFFFF" w:themeFill="background1"/>
            <w:noWrap/>
            <w:vAlign w:val="center"/>
          </w:tcPr>
          <w:p w14:paraId="60BEBF6C">
            <w:pPr>
              <w:jc w:val="center"/>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lang w:eastAsia="zh-CN"/>
              </w:rPr>
              <w:t>具体</w:t>
            </w:r>
            <w:r>
              <w:rPr>
                <w:rFonts w:hint="eastAsia" w:ascii="宋体" w:hAnsi="宋体" w:eastAsia="宋体" w:cs="宋体"/>
                <w:b/>
                <w:bCs/>
                <w:color w:val="auto"/>
                <w:sz w:val="24"/>
                <w:szCs w:val="24"/>
                <w:shd w:val="clear" w:color="auto" w:fill="auto"/>
              </w:rPr>
              <w:t>内容</w:t>
            </w:r>
          </w:p>
        </w:tc>
        <w:tc>
          <w:tcPr>
            <w:tcW w:w="721" w:type="dxa"/>
            <w:shd w:val="clear" w:color="auto" w:fill="FFFFFF" w:themeFill="background1"/>
            <w:noWrap/>
            <w:vAlign w:val="center"/>
          </w:tcPr>
          <w:p w14:paraId="0F7A33F4">
            <w:pPr>
              <w:jc w:val="center"/>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数量</w:t>
            </w:r>
          </w:p>
        </w:tc>
        <w:tc>
          <w:tcPr>
            <w:tcW w:w="686" w:type="dxa"/>
            <w:shd w:val="clear" w:color="auto" w:fill="FFFFFF" w:themeFill="background1"/>
            <w:noWrap/>
            <w:vAlign w:val="center"/>
          </w:tcPr>
          <w:p w14:paraId="3C5E4FCB">
            <w:pPr>
              <w:jc w:val="center"/>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单位</w:t>
            </w:r>
          </w:p>
        </w:tc>
        <w:tc>
          <w:tcPr>
            <w:tcW w:w="3616" w:type="dxa"/>
            <w:shd w:val="clear" w:color="auto" w:fill="FFFFFF" w:themeFill="background1"/>
            <w:noWrap/>
            <w:vAlign w:val="center"/>
          </w:tcPr>
          <w:p w14:paraId="0FCD7A1E">
            <w:pPr>
              <w:jc w:val="center"/>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备注</w:t>
            </w:r>
          </w:p>
        </w:tc>
      </w:tr>
      <w:tr w14:paraId="097C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04" w:type="dxa"/>
            <w:noWrap/>
            <w:vAlign w:val="center"/>
          </w:tcPr>
          <w:p w14:paraId="1C49DDB1">
            <w:pPr>
              <w:ind w:firstLine="120" w:firstLineChar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42" w:type="dxa"/>
            <w:noWrap/>
            <w:vAlign w:val="center"/>
          </w:tcPr>
          <w:p w14:paraId="3636A86C">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话题</w:t>
            </w:r>
            <w:r>
              <w:rPr>
                <w:rFonts w:hint="eastAsia" w:ascii="宋体" w:hAnsi="宋体" w:eastAsia="宋体" w:cs="宋体"/>
                <w:color w:val="000000"/>
                <w:sz w:val="24"/>
                <w:szCs w:val="24"/>
                <w:lang w:eastAsia="zh-CN"/>
              </w:rPr>
              <w:t>设置</w:t>
            </w:r>
          </w:p>
        </w:tc>
        <w:tc>
          <w:tcPr>
            <w:tcW w:w="2149" w:type="dxa"/>
            <w:noWrap/>
            <w:vAlign w:val="center"/>
          </w:tcPr>
          <w:p w14:paraId="67B0756D">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购买设置自媒体</w:t>
            </w:r>
            <w:r>
              <w:rPr>
                <w:rFonts w:hint="eastAsia" w:ascii="宋体" w:hAnsi="宋体" w:eastAsia="宋体" w:cs="宋体"/>
                <w:color w:val="000000"/>
                <w:sz w:val="24"/>
                <w:szCs w:val="24"/>
              </w:rPr>
              <w:t>平台话题</w:t>
            </w:r>
          </w:p>
        </w:tc>
        <w:tc>
          <w:tcPr>
            <w:tcW w:w="721" w:type="dxa"/>
            <w:noWrap/>
            <w:vAlign w:val="center"/>
          </w:tcPr>
          <w:p w14:paraId="1F33AFB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86" w:type="dxa"/>
            <w:noWrap/>
            <w:vAlign w:val="center"/>
          </w:tcPr>
          <w:p w14:paraId="594E032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616" w:type="dxa"/>
            <w:noWrap/>
            <w:vAlign w:val="center"/>
          </w:tcPr>
          <w:p w14:paraId="04AC1F6C">
            <w:pPr>
              <w:jc w:val="center"/>
              <w:rPr>
                <w:rFonts w:hint="eastAsia" w:ascii="宋体" w:hAnsi="宋体" w:eastAsia="宋体" w:cs="宋体"/>
                <w:color w:val="000000"/>
                <w:sz w:val="24"/>
                <w:szCs w:val="24"/>
              </w:rPr>
            </w:pPr>
          </w:p>
        </w:tc>
      </w:tr>
      <w:tr w14:paraId="771C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04" w:type="dxa"/>
            <w:noWrap/>
            <w:vAlign w:val="center"/>
          </w:tcPr>
          <w:p w14:paraId="66C7DB0B">
            <w:pPr>
              <w:ind w:firstLine="120" w:firstLineChar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42" w:type="dxa"/>
            <w:noWrap/>
            <w:vAlign w:val="center"/>
          </w:tcPr>
          <w:p w14:paraId="55D8391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宣传片</w:t>
            </w:r>
          </w:p>
        </w:tc>
        <w:tc>
          <w:tcPr>
            <w:tcW w:w="2149" w:type="dxa"/>
            <w:noWrap/>
            <w:vAlign w:val="center"/>
          </w:tcPr>
          <w:p w14:paraId="6711E98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宣传片</w:t>
            </w:r>
            <w:r>
              <w:rPr>
                <w:rFonts w:hint="eastAsia" w:ascii="宋体" w:hAnsi="宋体" w:eastAsia="宋体" w:cs="宋体"/>
                <w:color w:val="000000"/>
                <w:sz w:val="24"/>
                <w:szCs w:val="24"/>
                <w:lang w:eastAsia="zh-CN"/>
              </w:rPr>
              <w:t>拍摄</w:t>
            </w:r>
            <w:r>
              <w:rPr>
                <w:rFonts w:hint="eastAsia" w:ascii="宋体" w:hAnsi="宋体" w:eastAsia="宋体" w:cs="宋体"/>
                <w:color w:val="000000"/>
                <w:sz w:val="24"/>
                <w:szCs w:val="24"/>
              </w:rPr>
              <w:t>制作</w:t>
            </w:r>
          </w:p>
        </w:tc>
        <w:tc>
          <w:tcPr>
            <w:tcW w:w="721" w:type="dxa"/>
            <w:noWrap/>
            <w:vAlign w:val="center"/>
          </w:tcPr>
          <w:p w14:paraId="0E9A003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86" w:type="dxa"/>
            <w:noWrap/>
            <w:vAlign w:val="center"/>
          </w:tcPr>
          <w:p w14:paraId="35A99FC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w:t>
            </w:r>
          </w:p>
        </w:tc>
        <w:tc>
          <w:tcPr>
            <w:tcW w:w="3616" w:type="dxa"/>
            <w:noWrap/>
            <w:vAlign w:val="center"/>
          </w:tcPr>
          <w:p w14:paraId="745C929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主题微宣传片，含视频策划、脚本撰写、镜头拆分、实景拍摄剪辑</w:t>
            </w:r>
          </w:p>
        </w:tc>
      </w:tr>
      <w:tr w14:paraId="42DD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04" w:type="dxa"/>
            <w:noWrap/>
            <w:vAlign w:val="center"/>
          </w:tcPr>
          <w:p w14:paraId="6BFD15EE">
            <w:pPr>
              <w:ind w:firstLine="120" w:firstLineChar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242" w:type="dxa"/>
            <w:noWrap/>
            <w:vAlign w:val="center"/>
          </w:tcPr>
          <w:p w14:paraId="38FA7077">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主题内容创作</w:t>
            </w:r>
          </w:p>
        </w:tc>
        <w:tc>
          <w:tcPr>
            <w:tcW w:w="2149" w:type="dxa"/>
            <w:noWrap/>
            <w:vAlign w:val="center"/>
          </w:tcPr>
          <w:p w14:paraId="7F512EF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线下实拍+剪辑发布</w:t>
            </w:r>
          </w:p>
        </w:tc>
        <w:tc>
          <w:tcPr>
            <w:tcW w:w="721" w:type="dxa"/>
            <w:noWrap/>
            <w:vAlign w:val="center"/>
          </w:tcPr>
          <w:p w14:paraId="2FD4600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86" w:type="dxa"/>
            <w:noWrap/>
            <w:vAlign w:val="center"/>
          </w:tcPr>
          <w:p w14:paraId="17055A2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w:t>
            </w:r>
          </w:p>
        </w:tc>
        <w:tc>
          <w:tcPr>
            <w:tcW w:w="3616" w:type="dxa"/>
            <w:noWrap/>
            <w:vAlign w:val="center"/>
          </w:tcPr>
          <w:p w14:paraId="69361CAD">
            <w:pPr>
              <w:jc w:val="center"/>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邀请</w:t>
            </w:r>
            <w:r>
              <w:rPr>
                <w:rFonts w:hint="eastAsia" w:hAnsi="宋体" w:cs="宋体"/>
                <w:color w:val="000000"/>
                <w:sz w:val="24"/>
                <w:szCs w:val="24"/>
                <w:highlight w:val="none"/>
                <w:lang w:eastAsia="zh-CN"/>
              </w:rPr>
              <w:t>自媒体</w:t>
            </w:r>
            <w:r>
              <w:rPr>
                <w:rFonts w:hint="eastAsia" w:ascii="宋体" w:hAnsi="宋体" w:eastAsia="宋体" w:cs="宋体"/>
                <w:color w:val="000000"/>
                <w:sz w:val="24"/>
                <w:szCs w:val="24"/>
                <w:highlight w:val="none"/>
              </w:rPr>
              <w:t>达人进行“反虚假内容”方向创作视频创作</w:t>
            </w:r>
          </w:p>
        </w:tc>
      </w:tr>
      <w:tr w14:paraId="4162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04" w:type="dxa"/>
            <w:noWrap/>
            <w:vAlign w:val="center"/>
          </w:tcPr>
          <w:p w14:paraId="21D0983A">
            <w:pPr>
              <w:ind w:firstLine="120" w:firstLineChar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242" w:type="dxa"/>
            <w:noWrap/>
            <w:vAlign w:val="center"/>
          </w:tcPr>
          <w:p w14:paraId="5374B1D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品牌信息流广告</w:t>
            </w:r>
          </w:p>
        </w:tc>
        <w:tc>
          <w:tcPr>
            <w:tcW w:w="2149" w:type="dxa"/>
            <w:noWrap/>
            <w:vAlign w:val="center"/>
          </w:tcPr>
          <w:p w14:paraId="32083E3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陕西省本地信息流</w:t>
            </w:r>
          </w:p>
        </w:tc>
        <w:tc>
          <w:tcPr>
            <w:tcW w:w="721" w:type="dxa"/>
            <w:noWrap/>
            <w:vAlign w:val="center"/>
          </w:tcPr>
          <w:p w14:paraId="4458637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w:t>
            </w:r>
          </w:p>
        </w:tc>
        <w:tc>
          <w:tcPr>
            <w:tcW w:w="686" w:type="dxa"/>
            <w:noWrap/>
            <w:vAlign w:val="center"/>
          </w:tcPr>
          <w:p w14:paraId="4810C7A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CPM</w:t>
            </w:r>
          </w:p>
        </w:tc>
        <w:tc>
          <w:tcPr>
            <w:tcW w:w="3616" w:type="dxa"/>
            <w:noWrap/>
            <w:vAlign w:val="center"/>
          </w:tcPr>
          <w:p w14:paraId="21E53681">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平台视频内容热推</w:t>
            </w:r>
            <w:r>
              <w:rPr>
                <w:rFonts w:hint="eastAsia" w:ascii="宋体" w:hAnsi="宋体" w:eastAsia="宋体" w:cs="宋体"/>
                <w:color w:val="000000"/>
                <w:sz w:val="24"/>
                <w:szCs w:val="24"/>
                <w:lang w:val="en-US" w:eastAsia="zh-CN"/>
              </w:rPr>
              <w:t>（120万曝光）</w:t>
            </w:r>
          </w:p>
        </w:tc>
      </w:tr>
      <w:tr w14:paraId="678C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04" w:type="dxa"/>
            <w:vMerge w:val="restart"/>
            <w:noWrap/>
            <w:vAlign w:val="center"/>
          </w:tcPr>
          <w:p w14:paraId="2593CC8B">
            <w:pPr>
              <w:ind w:firstLine="120" w:firstLineChar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242" w:type="dxa"/>
            <w:vMerge w:val="restart"/>
            <w:noWrap/>
            <w:vAlign w:val="center"/>
          </w:tcPr>
          <w:p w14:paraId="75C3F9E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视频拍摄</w:t>
            </w:r>
          </w:p>
        </w:tc>
        <w:tc>
          <w:tcPr>
            <w:tcW w:w="2149" w:type="dxa"/>
            <w:noWrap/>
            <w:vAlign w:val="center"/>
          </w:tcPr>
          <w:p w14:paraId="67F5E09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专家解读“情绪操控识别”</w:t>
            </w:r>
          </w:p>
        </w:tc>
        <w:tc>
          <w:tcPr>
            <w:tcW w:w="721" w:type="dxa"/>
            <w:noWrap/>
            <w:vAlign w:val="center"/>
          </w:tcPr>
          <w:p w14:paraId="0EE9BC0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86" w:type="dxa"/>
            <w:vMerge w:val="restart"/>
            <w:noWrap/>
            <w:vAlign w:val="center"/>
          </w:tcPr>
          <w:p w14:paraId="3B7B135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w:t>
            </w:r>
          </w:p>
        </w:tc>
        <w:tc>
          <w:tcPr>
            <w:tcW w:w="3616" w:type="dxa"/>
            <w:vMerge w:val="restart"/>
            <w:noWrap/>
            <w:vAlign w:val="center"/>
          </w:tcPr>
          <w:p w14:paraId="25698AF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围绕特定主题，如活动宣传、景区/产品推广等，进行内容实拍创作与拍摄</w:t>
            </w:r>
          </w:p>
        </w:tc>
      </w:tr>
      <w:tr w14:paraId="560F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04" w:type="dxa"/>
            <w:vMerge w:val="continue"/>
            <w:noWrap/>
            <w:vAlign w:val="center"/>
          </w:tcPr>
          <w:p w14:paraId="1BB90DD4">
            <w:pPr>
              <w:ind w:firstLine="120" w:firstLineChars="50"/>
              <w:jc w:val="center"/>
              <w:rPr>
                <w:rFonts w:hint="eastAsia" w:ascii="宋体" w:hAnsi="宋体" w:eastAsia="宋体" w:cs="宋体"/>
                <w:color w:val="000000"/>
                <w:sz w:val="24"/>
                <w:szCs w:val="24"/>
              </w:rPr>
            </w:pPr>
          </w:p>
        </w:tc>
        <w:tc>
          <w:tcPr>
            <w:tcW w:w="1242" w:type="dxa"/>
            <w:vMerge w:val="continue"/>
            <w:noWrap/>
            <w:vAlign w:val="center"/>
          </w:tcPr>
          <w:p w14:paraId="08C7F50F">
            <w:pPr>
              <w:jc w:val="center"/>
              <w:rPr>
                <w:rFonts w:hint="eastAsia" w:ascii="宋体" w:hAnsi="宋体" w:eastAsia="宋体" w:cs="宋体"/>
                <w:color w:val="000000"/>
                <w:sz w:val="24"/>
                <w:szCs w:val="24"/>
              </w:rPr>
            </w:pPr>
          </w:p>
        </w:tc>
        <w:tc>
          <w:tcPr>
            <w:tcW w:w="2149" w:type="dxa"/>
            <w:noWrap/>
            <w:vAlign w:val="center"/>
          </w:tcPr>
          <w:p w14:paraId="17E93E9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涉企内容治理主题视频</w:t>
            </w:r>
          </w:p>
        </w:tc>
        <w:tc>
          <w:tcPr>
            <w:tcW w:w="721" w:type="dxa"/>
            <w:noWrap/>
            <w:vAlign w:val="center"/>
          </w:tcPr>
          <w:p w14:paraId="7BA27907">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p>
        </w:tc>
        <w:tc>
          <w:tcPr>
            <w:tcW w:w="686" w:type="dxa"/>
            <w:vMerge w:val="continue"/>
            <w:noWrap/>
            <w:vAlign w:val="center"/>
          </w:tcPr>
          <w:p w14:paraId="1DC75A22">
            <w:pPr>
              <w:jc w:val="center"/>
              <w:rPr>
                <w:rFonts w:hint="eastAsia" w:ascii="宋体" w:hAnsi="宋体" w:eastAsia="宋体" w:cs="宋体"/>
                <w:color w:val="000000"/>
                <w:sz w:val="24"/>
                <w:szCs w:val="24"/>
              </w:rPr>
            </w:pPr>
          </w:p>
        </w:tc>
        <w:tc>
          <w:tcPr>
            <w:tcW w:w="3616" w:type="dxa"/>
            <w:vMerge w:val="continue"/>
            <w:noWrap/>
            <w:vAlign w:val="center"/>
          </w:tcPr>
          <w:p w14:paraId="2E88842E">
            <w:pPr>
              <w:jc w:val="center"/>
              <w:rPr>
                <w:rFonts w:hint="eastAsia" w:ascii="宋体" w:hAnsi="宋体" w:eastAsia="宋体" w:cs="宋体"/>
                <w:color w:val="000000"/>
                <w:sz w:val="24"/>
                <w:szCs w:val="24"/>
              </w:rPr>
            </w:pPr>
          </w:p>
        </w:tc>
      </w:tr>
      <w:tr w14:paraId="747A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04" w:type="dxa"/>
            <w:vMerge w:val="continue"/>
            <w:noWrap/>
            <w:vAlign w:val="center"/>
          </w:tcPr>
          <w:p w14:paraId="52C1C910">
            <w:pPr>
              <w:ind w:firstLine="120" w:firstLineChars="50"/>
              <w:jc w:val="center"/>
              <w:rPr>
                <w:rFonts w:hint="eastAsia" w:ascii="宋体" w:hAnsi="宋体" w:eastAsia="宋体" w:cs="宋体"/>
                <w:color w:val="000000"/>
                <w:sz w:val="24"/>
                <w:szCs w:val="24"/>
              </w:rPr>
            </w:pPr>
          </w:p>
        </w:tc>
        <w:tc>
          <w:tcPr>
            <w:tcW w:w="1242" w:type="dxa"/>
            <w:vMerge w:val="continue"/>
            <w:noWrap/>
            <w:vAlign w:val="center"/>
          </w:tcPr>
          <w:p w14:paraId="27345C0A">
            <w:pPr>
              <w:jc w:val="center"/>
              <w:rPr>
                <w:rFonts w:hint="eastAsia" w:ascii="宋体" w:hAnsi="宋体" w:eastAsia="宋体" w:cs="宋体"/>
                <w:color w:val="000000"/>
                <w:sz w:val="24"/>
                <w:szCs w:val="24"/>
              </w:rPr>
            </w:pPr>
          </w:p>
        </w:tc>
        <w:tc>
          <w:tcPr>
            <w:tcW w:w="2149" w:type="dxa"/>
            <w:noWrap/>
            <w:vAlign w:val="center"/>
          </w:tcPr>
          <w:p w14:paraId="7B7A29B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“历史表达规范”系列视频</w:t>
            </w:r>
          </w:p>
        </w:tc>
        <w:tc>
          <w:tcPr>
            <w:tcW w:w="721" w:type="dxa"/>
            <w:noWrap/>
            <w:vAlign w:val="center"/>
          </w:tcPr>
          <w:p w14:paraId="316EE1C8">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p>
        </w:tc>
        <w:tc>
          <w:tcPr>
            <w:tcW w:w="686" w:type="dxa"/>
            <w:vMerge w:val="continue"/>
            <w:noWrap/>
            <w:vAlign w:val="center"/>
          </w:tcPr>
          <w:p w14:paraId="3DF1E140">
            <w:pPr>
              <w:jc w:val="center"/>
              <w:rPr>
                <w:rFonts w:hint="eastAsia" w:ascii="宋体" w:hAnsi="宋体" w:eastAsia="宋体" w:cs="宋体"/>
                <w:color w:val="000000"/>
                <w:sz w:val="24"/>
                <w:szCs w:val="24"/>
              </w:rPr>
            </w:pPr>
          </w:p>
        </w:tc>
        <w:tc>
          <w:tcPr>
            <w:tcW w:w="3616" w:type="dxa"/>
            <w:vMerge w:val="continue"/>
            <w:noWrap/>
            <w:vAlign w:val="center"/>
          </w:tcPr>
          <w:p w14:paraId="37F7B1D0">
            <w:pPr>
              <w:jc w:val="center"/>
              <w:rPr>
                <w:rFonts w:hint="eastAsia" w:ascii="宋体" w:hAnsi="宋体" w:eastAsia="宋体" w:cs="宋体"/>
                <w:color w:val="000000"/>
                <w:sz w:val="24"/>
                <w:szCs w:val="24"/>
              </w:rPr>
            </w:pPr>
          </w:p>
        </w:tc>
      </w:tr>
      <w:tr w14:paraId="7B35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04" w:type="dxa"/>
            <w:noWrap/>
            <w:vAlign w:val="center"/>
          </w:tcPr>
          <w:p w14:paraId="7F1B5E7C">
            <w:pPr>
              <w:ind w:firstLine="120" w:firstLineChar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242" w:type="dxa"/>
            <w:noWrap/>
            <w:vAlign w:val="center"/>
          </w:tcPr>
          <w:p w14:paraId="6182CD6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线下活动</w:t>
            </w:r>
          </w:p>
        </w:tc>
        <w:tc>
          <w:tcPr>
            <w:tcW w:w="2149" w:type="dxa"/>
            <w:noWrap/>
            <w:vAlign w:val="center"/>
          </w:tcPr>
          <w:p w14:paraId="123BE2C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景点普法活动</w:t>
            </w:r>
          </w:p>
        </w:tc>
        <w:tc>
          <w:tcPr>
            <w:tcW w:w="721" w:type="dxa"/>
            <w:noWrap/>
            <w:vAlign w:val="center"/>
          </w:tcPr>
          <w:p w14:paraId="4ED1C84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86" w:type="dxa"/>
            <w:noWrap/>
            <w:vAlign w:val="center"/>
          </w:tcPr>
          <w:p w14:paraId="6C6C7EB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场</w:t>
            </w:r>
          </w:p>
        </w:tc>
        <w:tc>
          <w:tcPr>
            <w:tcW w:w="3616" w:type="dxa"/>
            <w:noWrap/>
            <w:vAlign w:val="center"/>
          </w:tcPr>
          <w:p w14:paraId="17A63D4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场地布置、搭建</w:t>
            </w:r>
            <w:r>
              <w:rPr>
                <w:rFonts w:hint="eastAsia" w:ascii="宋体" w:hAnsi="宋体" w:eastAsia="宋体" w:cs="宋体"/>
                <w:color w:val="000000"/>
                <w:sz w:val="24"/>
                <w:szCs w:val="24"/>
                <w:lang w:eastAsia="zh-CN"/>
              </w:rPr>
              <w:t>并制作一条活动</w:t>
            </w:r>
            <w:r>
              <w:rPr>
                <w:rFonts w:hint="eastAsia" w:ascii="宋体" w:hAnsi="宋体" w:eastAsia="宋体" w:cs="宋体"/>
                <w:color w:val="000000"/>
                <w:sz w:val="24"/>
                <w:szCs w:val="24"/>
              </w:rPr>
              <w:t>视频</w:t>
            </w:r>
            <w:r>
              <w:rPr>
                <w:rFonts w:hint="eastAsia" w:ascii="宋体" w:hAnsi="宋体" w:eastAsia="宋体" w:cs="宋体"/>
                <w:color w:val="000000"/>
                <w:sz w:val="24"/>
                <w:szCs w:val="24"/>
                <w:lang w:eastAsia="zh-CN"/>
              </w:rPr>
              <w:t>用于后续宣传</w:t>
            </w:r>
          </w:p>
        </w:tc>
      </w:tr>
      <w:tr w14:paraId="24E6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04" w:type="dxa"/>
            <w:noWrap/>
            <w:vAlign w:val="center"/>
          </w:tcPr>
          <w:p w14:paraId="4A8AD2D2">
            <w:pPr>
              <w:ind w:firstLine="120" w:firstLineChar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242" w:type="dxa"/>
            <w:noWrap/>
            <w:vAlign w:val="center"/>
          </w:tcPr>
          <w:p w14:paraId="6BE1540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媒体资源宣发</w:t>
            </w:r>
          </w:p>
        </w:tc>
        <w:tc>
          <w:tcPr>
            <w:tcW w:w="2149" w:type="dxa"/>
            <w:noWrap/>
            <w:vAlign w:val="center"/>
          </w:tcPr>
          <w:p w14:paraId="361ABB8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全媒体投放，打造正向传播舆论场</w:t>
            </w:r>
          </w:p>
        </w:tc>
        <w:tc>
          <w:tcPr>
            <w:tcW w:w="721" w:type="dxa"/>
            <w:noWrap/>
            <w:vAlign w:val="center"/>
          </w:tcPr>
          <w:p w14:paraId="3E62FA8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686" w:type="dxa"/>
            <w:noWrap/>
            <w:vAlign w:val="center"/>
          </w:tcPr>
          <w:p w14:paraId="64634EC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次</w:t>
            </w:r>
          </w:p>
        </w:tc>
        <w:tc>
          <w:tcPr>
            <w:tcW w:w="3616" w:type="dxa"/>
            <w:noWrap/>
            <w:vAlign w:val="center"/>
          </w:tcPr>
          <w:p w14:paraId="59879C35">
            <w:pPr>
              <w:jc w:val="center"/>
              <w:rPr>
                <w:rFonts w:hint="eastAsia" w:ascii="宋体" w:hAnsi="宋体" w:eastAsia="宋体" w:cs="宋体"/>
                <w:color w:val="000000"/>
                <w:sz w:val="24"/>
                <w:szCs w:val="24"/>
              </w:rPr>
            </w:pPr>
          </w:p>
        </w:tc>
      </w:tr>
    </w:tbl>
    <w:p w14:paraId="070AFCE8">
      <w:pPr>
        <w:spacing w:line="360" w:lineRule="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br w:type="page"/>
      </w:r>
    </w:p>
    <w:p w14:paraId="2ABB4366">
      <w:pPr>
        <w:tabs>
          <w:tab w:val="left" w:pos="480"/>
        </w:tabs>
        <w:spacing w:line="360" w:lineRule="auto"/>
        <w:jc w:val="center"/>
        <w:outlineLvl w:val="0"/>
        <w:rPr>
          <w:rFonts w:hAnsi="宋体" w:cs="宋体"/>
          <w:bCs/>
          <w:color w:val="auto"/>
          <w:kern w:val="2"/>
          <w:sz w:val="36"/>
          <w:szCs w:val="36"/>
          <w:highlight w:val="none"/>
        </w:rPr>
      </w:pPr>
      <w:r>
        <w:rPr>
          <w:rStyle w:val="29"/>
          <w:rFonts w:hint="eastAsia" w:ascii="宋体" w:eastAsia="宋体" w:cs="宋体"/>
          <w:color w:val="auto"/>
          <w:sz w:val="36"/>
          <w:szCs w:val="21"/>
          <w:highlight w:val="none"/>
        </w:rPr>
        <w:t>第六章  竞争性磋商响应文件格式</w:t>
      </w:r>
      <w:bookmarkEnd w:id="189"/>
      <w:bookmarkEnd w:id="190"/>
      <w:bookmarkEnd w:id="191"/>
      <w:bookmarkEnd w:id="192"/>
      <w:bookmarkEnd w:id="193"/>
      <w:bookmarkEnd w:id="194"/>
    </w:p>
    <w:p w14:paraId="27600943">
      <w:pPr>
        <w:rPr>
          <w:rFonts w:hAnsi="宋体" w:cs="宋体"/>
          <w:color w:val="auto"/>
          <w:highlight w:val="none"/>
        </w:rPr>
      </w:pPr>
    </w:p>
    <w:p w14:paraId="7E87AE6D">
      <w:pPr>
        <w:rPr>
          <w:rFonts w:hAnsi="宋体" w:cs="宋体"/>
          <w:color w:val="auto"/>
          <w:highlight w:val="none"/>
        </w:rPr>
      </w:pPr>
    </w:p>
    <w:p w14:paraId="2DE440E8">
      <w:pPr>
        <w:framePr w:hSpace="180" w:wrap="around" w:vAnchor="text" w:hAnchor="page" w:x="1472" w:y="18"/>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val="en-US" w:eastAsia="zh-CN"/>
        </w:rPr>
        <w:t>SXZCZB2025-ZCCS-0811</w:t>
      </w:r>
    </w:p>
    <w:p w14:paraId="3AEE0798">
      <w:pPr>
        <w:ind w:firstLine="4343" w:firstLineChars="1352"/>
        <w:rPr>
          <w:rFonts w:hAnsi="宋体" w:cs="宋体"/>
          <w:b/>
          <w:color w:val="auto"/>
          <w:sz w:val="32"/>
          <w:szCs w:val="32"/>
          <w:highlight w:val="none"/>
        </w:rPr>
      </w:pPr>
      <w:r>
        <w:rPr>
          <w:rFonts w:hint="eastAsia" w:hAnsi="宋体" w:cs="宋体"/>
          <w:b/>
          <w:bCs/>
          <w:color w:val="auto"/>
          <w:sz w:val="32"/>
          <w:szCs w:val="32"/>
          <w:highlight w:val="none"/>
        </w:rPr>
        <w:t xml:space="preserve">          </w:t>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bCs/>
          <w:color w:val="auto"/>
          <w:sz w:val="32"/>
          <w:szCs w:val="32"/>
          <w:highlight w:val="none"/>
        </w:rPr>
        <w:tab/>
      </w:r>
      <w:r>
        <w:rPr>
          <w:rFonts w:hint="eastAsia" w:hAnsi="宋体" w:cs="宋体"/>
          <w:b/>
          <w:color w:val="auto"/>
          <w:sz w:val="32"/>
          <w:szCs w:val="32"/>
          <w:highlight w:val="none"/>
        </w:rPr>
        <w:t>（正本或副本）</w:t>
      </w:r>
    </w:p>
    <w:p w14:paraId="4C98D5D6">
      <w:pPr>
        <w:jc w:val="right"/>
        <w:rPr>
          <w:rFonts w:hAnsi="宋体" w:cs="宋体"/>
          <w:b/>
          <w:color w:val="auto"/>
          <w:sz w:val="32"/>
          <w:szCs w:val="32"/>
          <w:highlight w:val="none"/>
        </w:rPr>
      </w:pPr>
    </w:p>
    <w:p w14:paraId="15C224EE">
      <w:pPr>
        <w:jc w:val="right"/>
        <w:rPr>
          <w:rFonts w:hAnsi="宋体" w:cs="宋体"/>
          <w:b/>
          <w:color w:val="auto"/>
          <w:sz w:val="32"/>
          <w:szCs w:val="32"/>
          <w:highlight w:val="none"/>
        </w:rPr>
      </w:pPr>
    </w:p>
    <w:p w14:paraId="7AA1BD7D">
      <w:pPr>
        <w:pStyle w:val="9"/>
        <w:rPr>
          <w:color w:val="auto"/>
          <w:highlight w:val="none"/>
        </w:rPr>
      </w:pPr>
    </w:p>
    <w:p w14:paraId="0C44DB0E">
      <w:pPr>
        <w:pStyle w:val="9"/>
        <w:ind w:left="0" w:leftChars="0" w:firstLine="0" w:firstLineChars="0"/>
        <w:jc w:val="center"/>
        <w:rPr>
          <w:color w:val="auto"/>
          <w:highlight w:val="none"/>
        </w:rPr>
      </w:pPr>
      <w:r>
        <w:rPr>
          <w:rFonts w:hint="eastAsia"/>
          <w:b/>
          <w:bCs/>
          <w:color w:val="auto"/>
          <w:sz w:val="44"/>
          <w:szCs w:val="44"/>
          <w:highlight w:val="none"/>
          <w:lang w:val="en-US" w:eastAsia="zh-CN"/>
        </w:rPr>
        <w:t>西安市网络内容规范普法活动</w:t>
      </w:r>
    </w:p>
    <w:p w14:paraId="1B454BC0">
      <w:pPr>
        <w:rPr>
          <w:rFonts w:hAnsi="宋体" w:cs="宋体"/>
          <w:color w:val="auto"/>
          <w:highlight w:val="none"/>
        </w:rPr>
      </w:pPr>
    </w:p>
    <w:p w14:paraId="2DF1B197">
      <w:pPr>
        <w:rPr>
          <w:rFonts w:hAnsi="宋体" w:cs="宋体"/>
          <w:color w:val="auto"/>
          <w:highlight w:val="none"/>
        </w:rPr>
      </w:pPr>
    </w:p>
    <w:p w14:paraId="653AD4EA">
      <w:pPr>
        <w:jc w:val="center"/>
        <w:rPr>
          <w:rFonts w:hint="eastAsia" w:hAnsi="宋体" w:cs="宋体"/>
          <w:b/>
          <w:color w:val="auto"/>
          <w:sz w:val="56"/>
          <w:szCs w:val="56"/>
          <w:highlight w:val="none"/>
        </w:rPr>
      </w:pPr>
    </w:p>
    <w:p w14:paraId="26E2D2AC">
      <w:pPr>
        <w:jc w:val="center"/>
        <w:rPr>
          <w:rFonts w:hint="eastAsia" w:hAnsi="宋体" w:cs="宋体"/>
          <w:b/>
          <w:color w:val="auto"/>
          <w:sz w:val="56"/>
          <w:szCs w:val="56"/>
          <w:highlight w:val="none"/>
        </w:rPr>
      </w:pPr>
    </w:p>
    <w:p w14:paraId="6BE67C48">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0BA74D6">
      <w:pPr>
        <w:jc w:val="center"/>
        <w:rPr>
          <w:rFonts w:hAnsi="宋体" w:cs="宋体"/>
          <w:b/>
          <w:color w:val="auto"/>
          <w:sz w:val="36"/>
          <w:szCs w:val="36"/>
          <w:highlight w:val="none"/>
        </w:rPr>
      </w:pPr>
    </w:p>
    <w:p w14:paraId="7DD1E4B1">
      <w:pPr>
        <w:rPr>
          <w:rFonts w:hAnsi="宋体" w:cs="宋体"/>
          <w:b/>
          <w:color w:val="auto"/>
          <w:sz w:val="36"/>
          <w:szCs w:val="36"/>
          <w:highlight w:val="none"/>
        </w:rPr>
      </w:pPr>
    </w:p>
    <w:p w14:paraId="2A31E9D6">
      <w:pPr>
        <w:pStyle w:val="9"/>
        <w:rPr>
          <w:color w:val="auto"/>
          <w:highlight w:val="none"/>
        </w:rPr>
      </w:pPr>
    </w:p>
    <w:p w14:paraId="451C77CF">
      <w:pPr>
        <w:rPr>
          <w:rFonts w:hAnsi="宋体" w:cs="宋体"/>
          <w:b/>
          <w:color w:val="auto"/>
          <w:sz w:val="36"/>
          <w:szCs w:val="36"/>
          <w:highlight w:val="none"/>
        </w:rPr>
      </w:pPr>
    </w:p>
    <w:p w14:paraId="4E14E2EE">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5C454820">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195" w:name="_Toc344572156"/>
    </w:p>
    <w:p w14:paraId="1F15D2FC">
      <w:pPr>
        <w:jc w:val="center"/>
        <w:rPr>
          <w:rFonts w:hAnsi="宋体" w:cs="宋体"/>
          <w:b/>
          <w:color w:val="auto"/>
          <w:sz w:val="44"/>
          <w:highlight w:val="none"/>
        </w:rPr>
      </w:pPr>
      <w:r>
        <w:rPr>
          <w:rFonts w:hint="eastAsia" w:hAnsi="宋体" w:cs="宋体"/>
          <w:b/>
          <w:color w:val="auto"/>
          <w:sz w:val="44"/>
          <w:highlight w:val="none"/>
        </w:rPr>
        <w:t>目  录</w:t>
      </w:r>
    </w:p>
    <w:p w14:paraId="40A0C0CE">
      <w:pPr>
        <w:pStyle w:val="9"/>
        <w:rPr>
          <w:color w:val="auto"/>
          <w:highlight w:val="none"/>
        </w:rPr>
      </w:pPr>
    </w:p>
    <w:p w14:paraId="5D846A2B">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一、磋商响应函</w:t>
      </w:r>
    </w:p>
    <w:p w14:paraId="68801BDC">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二、磋商报价表</w:t>
      </w:r>
    </w:p>
    <w:p w14:paraId="4037647A">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三、磋商方案说明书</w:t>
      </w:r>
    </w:p>
    <w:p w14:paraId="3396175F">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四、商务条款偏离表</w:t>
      </w:r>
    </w:p>
    <w:p w14:paraId="6245E076">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五、陕西省政府采购供应商拒绝政府采购领域商业贿赂承诺书</w:t>
      </w:r>
    </w:p>
    <w:p w14:paraId="3A2B9EB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六、特定资格证明文件</w:t>
      </w:r>
    </w:p>
    <w:p w14:paraId="02A0583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七、其他</w:t>
      </w:r>
    </w:p>
    <w:p w14:paraId="333EEFD0">
      <w:pPr>
        <w:pStyle w:val="7"/>
        <w:spacing w:line="360" w:lineRule="auto"/>
        <w:rPr>
          <w:rFonts w:ascii="宋体" w:hAnsi="宋体" w:cs="宋体"/>
          <w:color w:val="auto"/>
          <w:highlight w:val="none"/>
        </w:rPr>
      </w:pPr>
    </w:p>
    <w:p w14:paraId="598F2FF4">
      <w:pPr>
        <w:pStyle w:val="7"/>
        <w:spacing w:line="360" w:lineRule="auto"/>
        <w:rPr>
          <w:rFonts w:ascii="宋体" w:hAnsi="宋体" w:cs="宋体"/>
          <w:color w:val="auto"/>
          <w:highlight w:val="none"/>
        </w:rPr>
      </w:pPr>
    </w:p>
    <w:p w14:paraId="633FAF57">
      <w:pPr>
        <w:pStyle w:val="7"/>
        <w:ind w:firstLine="880"/>
        <w:rPr>
          <w:rFonts w:ascii="宋体" w:hAnsi="宋体" w:cs="宋体"/>
          <w:bCs/>
          <w:color w:val="auto"/>
          <w:sz w:val="44"/>
          <w:highlight w:val="none"/>
        </w:rPr>
      </w:pPr>
    </w:p>
    <w:p w14:paraId="527405D6">
      <w:pPr>
        <w:pStyle w:val="7"/>
        <w:ind w:firstLine="880"/>
        <w:rPr>
          <w:rFonts w:ascii="宋体" w:hAnsi="宋体" w:cs="宋体"/>
          <w:bCs/>
          <w:color w:val="auto"/>
          <w:sz w:val="44"/>
          <w:highlight w:val="none"/>
        </w:rPr>
      </w:pPr>
    </w:p>
    <w:bookmarkEnd w:id="195"/>
    <w:p w14:paraId="57D57A6A">
      <w:pPr>
        <w:pStyle w:val="9"/>
        <w:rPr>
          <w:color w:val="auto"/>
          <w:highlight w:val="none"/>
        </w:rPr>
      </w:pPr>
      <w:bookmarkStart w:id="196" w:name="_Toc363474027"/>
      <w:bookmarkStart w:id="197" w:name="_Toc403077648"/>
      <w:bookmarkStart w:id="198" w:name="_Toc204524343"/>
    </w:p>
    <w:p w14:paraId="2F8C6C7F">
      <w:pPr>
        <w:pStyle w:val="9"/>
        <w:rPr>
          <w:color w:val="auto"/>
          <w:highlight w:val="none"/>
        </w:rPr>
      </w:pPr>
    </w:p>
    <w:p w14:paraId="72048236">
      <w:pPr>
        <w:pStyle w:val="9"/>
        <w:rPr>
          <w:color w:val="auto"/>
          <w:highlight w:val="none"/>
        </w:rPr>
      </w:pPr>
    </w:p>
    <w:p w14:paraId="6D3BB7F1">
      <w:pPr>
        <w:spacing w:line="520" w:lineRule="exac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bookmarkStart w:id="199" w:name="_Toc32002"/>
      <w:bookmarkStart w:id="200" w:name="_Toc16320"/>
      <w:bookmarkStart w:id="201" w:name="_Toc4367"/>
      <w:bookmarkStart w:id="202" w:name="_Toc28508"/>
      <w:bookmarkStart w:id="203" w:name="_Toc6128"/>
      <w:bookmarkStart w:id="204" w:name="_Toc15762"/>
      <w:r>
        <w:rPr>
          <w:rFonts w:hint="eastAsia" w:hAnsi="宋体" w:cs="宋体"/>
          <w:b/>
          <w:color w:val="auto"/>
          <w:sz w:val="32"/>
          <w:szCs w:val="32"/>
          <w:highlight w:val="none"/>
        </w:rPr>
        <w:t>一、磋商</w:t>
      </w:r>
      <w:bookmarkEnd w:id="196"/>
      <w:bookmarkEnd w:id="197"/>
      <w:r>
        <w:rPr>
          <w:rFonts w:hint="eastAsia" w:hAnsi="宋体" w:cs="宋体"/>
          <w:b/>
          <w:color w:val="auto"/>
          <w:sz w:val="32"/>
          <w:szCs w:val="32"/>
          <w:highlight w:val="none"/>
        </w:rPr>
        <w:t>响应函</w:t>
      </w:r>
      <w:bookmarkEnd w:id="199"/>
      <w:bookmarkEnd w:id="200"/>
      <w:bookmarkEnd w:id="201"/>
      <w:bookmarkEnd w:id="202"/>
      <w:bookmarkEnd w:id="203"/>
      <w:bookmarkEnd w:id="204"/>
    </w:p>
    <w:p w14:paraId="4A4ED10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4DA502E5">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36BE293B">
      <w:pPr>
        <w:spacing w:line="360" w:lineRule="auto"/>
        <w:ind w:left="624"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74D415E5">
      <w:pPr>
        <w:numPr>
          <w:ilvl w:val="0"/>
          <w:numId w:val="8"/>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20904C4">
      <w:pPr>
        <w:numPr>
          <w:ilvl w:val="0"/>
          <w:numId w:val="8"/>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1B3D3FC1">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707D9FA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5D967CBF">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7DA240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557C71D9">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47E34D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050A0F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2E3ACE8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3EF3581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4B2A890A">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2AA7A8F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0AA810C1">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055B004">
      <w:pPr>
        <w:pStyle w:val="3"/>
        <w:spacing w:beforeLines="100" w:line="360" w:lineRule="auto"/>
        <w:jc w:val="center"/>
        <w:rPr>
          <w:rFonts w:ascii="宋体" w:hAnsi="宋体" w:cs="宋体"/>
          <w:bCs w:val="0"/>
          <w:color w:val="auto"/>
          <w:sz w:val="32"/>
          <w:highlight w:val="none"/>
        </w:rPr>
      </w:pPr>
      <w:r>
        <w:rPr>
          <w:rFonts w:hint="eastAsia" w:ascii="宋体" w:hAnsi="宋体" w:cs="宋体"/>
          <w:color w:val="auto"/>
          <w:highlight w:val="none"/>
        </w:rPr>
        <w:br w:type="page"/>
      </w:r>
      <w:bookmarkStart w:id="205" w:name="_Toc28910"/>
      <w:bookmarkStart w:id="206" w:name="_Toc403077651"/>
      <w:bookmarkStart w:id="207" w:name="_Toc732"/>
      <w:bookmarkStart w:id="208" w:name="_Toc17800"/>
      <w:bookmarkStart w:id="209" w:name="_Toc9730"/>
      <w:bookmarkStart w:id="210" w:name="_Toc363474030"/>
      <w:bookmarkStart w:id="211" w:name="_Toc27989"/>
      <w:bookmarkStart w:id="212" w:name="_Toc13482"/>
      <w:r>
        <w:rPr>
          <w:rFonts w:hint="eastAsia" w:ascii="宋体" w:hAnsi="宋体" w:cs="宋体"/>
          <w:bCs w:val="0"/>
          <w:color w:val="auto"/>
          <w:sz w:val="32"/>
          <w:highlight w:val="none"/>
        </w:rPr>
        <w:t>二、磋商报价表</w:t>
      </w:r>
      <w:bookmarkEnd w:id="205"/>
      <w:bookmarkEnd w:id="206"/>
      <w:bookmarkEnd w:id="207"/>
      <w:bookmarkEnd w:id="208"/>
      <w:bookmarkEnd w:id="209"/>
      <w:bookmarkEnd w:id="210"/>
      <w:bookmarkEnd w:id="211"/>
      <w:bookmarkEnd w:id="212"/>
    </w:p>
    <w:p w14:paraId="22052E7E">
      <w:pPr>
        <w:spacing w:line="360" w:lineRule="auto"/>
        <w:jc w:val="center"/>
        <w:outlineLvl w:val="1"/>
        <w:rPr>
          <w:rFonts w:hAnsi="宋体" w:cs="宋体"/>
          <w:color w:val="auto"/>
          <w:szCs w:val="24"/>
          <w:highlight w:val="none"/>
        </w:rPr>
      </w:pPr>
      <w:bookmarkStart w:id="213" w:name="_Toc32277"/>
      <w:bookmarkStart w:id="214" w:name="_Toc12732"/>
      <w:bookmarkStart w:id="215" w:name="_Toc11518"/>
      <w:bookmarkStart w:id="216" w:name="_Toc7982"/>
      <w:bookmarkStart w:id="217" w:name="_Toc1405"/>
      <w:bookmarkStart w:id="218" w:name="_Toc29008"/>
      <w:r>
        <w:rPr>
          <w:rFonts w:hint="eastAsia" w:hAnsi="宋体" w:cs="宋体"/>
          <w:color w:val="auto"/>
          <w:szCs w:val="24"/>
          <w:highlight w:val="none"/>
        </w:rPr>
        <w:t>2.1报价一览表</w:t>
      </w:r>
      <w:bookmarkEnd w:id="213"/>
      <w:bookmarkEnd w:id="214"/>
      <w:bookmarkEnd w:id="215"/>
      <w:bookmarkEnd w:id="216"/>
      <w:bookmarkEnd w:id="217"/>
      <w:bookmarkEnd w:id="218"/>
    </w:p>
    <w:p w14:paraId="48BA4C8C">
      <w:pPr>
        <w:spacing w:line="360" w:lineRule="auto"/>
        <w:jc w:val="center"/>
        <w:rPr>
          <w:rFonts w:hAnsi="宋体" w:cs="宋体"/>
          <w:color w:val="auto"/>
          <w:szCs w:val="24"/>
          <w:highlight w:val="none"/>
        </w:rPr>
      </w:pPr>
    </w:p>
    <w:p w14:paraId="41A9D600">
      <w:pPr>
        <w:jc w:val="left"/>
        <w:rPr>
          <w:rFonts w:hAnsi="宋体" w:cs="宋体"/>
          <w:color w:val="auto"/>
          <w:highlight w:val="none"/>
        </w:rPr>
      </w:pPr>
      <w:r>
        <w:rPr>
          <w:rFonts w:hint="eastAsia" w:hAnsi="宋体" w:cs="宋体"/>
          <w:color w:val="auto"/>
          <w:highlight w:val="none"/>
        </w:rPr>
        <w:t xml:space="preserve">项目名称：                                                 </w:t>
      </w:r>
    </w:p>
    <w:p w14:paraId="47CEA6B9">
      <w:pPr>
        <w:jc w:val="left"/>
        <w:rPr>
          <w:rFonts w:hAnsi="宋体" w:cs="宋体"/>
          <w:color w:val="auto"/>
          <w:highlight w:val="none"/>
        </w:rPr>
      </w:pPr>
      <w:r>
        <w:rPr>
          <w:rFonts w:hint="eastAsia" w:hAnsi="宋体" w:cs="宋体"/>
          <w:color w:val="auto"/>
          <w:highlight w:val="none"/>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667"/>
        <w:gridCol w:w="2883"/>
        <w:gridCol w:w="1492"/>
      </w:tblGrid>
      <w:tr w14:paraId="29C0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95" w:type="pct"/>
            <w:vAlign w:val="center"/>
          </w:tcPr>
          <w:p w14:paraId="2104935E">
            <w:pPr>
              <w:jc w:val="center"/>
              <w:rPr>
                <w:rFonts w:hAnsi="宋体" w:cs="宋体"/>
                <w:color w:val="auto"/>
                <w:szCs w:val="24"/>
                <w:highlight w:val="none"/>
              </w:rPr>
            </w:pPr>
            <w:r>
              <w:rPr>
                <w:rFonts w:hint="eastAsia" w:hAnsi="宋体" w:cs="宋体"/>
                <w:color w:val="auto"/>
                <w:szCs w:val="24"/>
                <w:highlight w:val="none"/>
              </w:rPr>
              <w:t>磋商总报价（元）</w:t>
            </w:r>
          </w:p>
        </w:tc>
        <w:tc>
          <w:tcPr>
            <w:tcW w:w="1403" w:type="pct"/>
            <w:vAlign w:val="center"/>
          </w:tcPr>
          <w:p w14:paraId="41A0A004">
            <w:pPr>
              <w:jc w:val="center"/>
              <w:rPr>
                <w:rFonts w:hAnsi="宋体" w:cs="宋体"/>
                <w:color w:val="auto"/>
                <w:szCs w:val="24"/>
                <w:highlight w:val="none"/>
              </w:rPr>
            </w:pPr>
            <w:r>
              <w:rPr>
                <w:rFonts w:hint="eastAsia" w:hAnsi="宋体" w:cs="宋体"/>
                <w:color w:val="auto"/>
                <w:szCs w:val="24"/>
                <w:highlight w:val="none"/>
              </w:rPr>
              <w:t>服务期限</w:t>
            </w:r>
          </w:p>
        </w:tc>
        <w:tc>
          <w:tcPr>
            <w:tcW w:w="1517" w:type="pct"/>
            <w:vAlign w:val="center"/>
          </w:tcPr>
          <w:p w14:paraId="27A30377">
            <w:pPr>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项目负责人</w:t>
            </w:r>
          </w:p>
        </w:tc>
        <w:tc>
          <w:tcPr>
            <w:tcW w:w="782" w:type="pct"/>
            <w:vAlign w:val="center"/>
          </w:tcPr>
          <w:p w14:paraId="40941689">
            <w:pPr>
              <w:jc w:val="center"/>
              <w:rPr>
                <w:rFonts w:hAnsi="宋体" w:cs="宋体"/>
                <w:color w:val="auto"/>
                <w:szCs w:val="24"/>
                <w:highlight w:val="none"/>
              </w:rPr>
            </w:pPr>
            <w:r>
              <w:rPr>
                <w:rFonts w:hint="eastAsia" w:hAnsi="宋体" w:cs="宋体"/>
                <w:color w:val="auto"/>
                <w:szCs w:val="24"/>
                <w:highlight w:val="none"/>
              </w:rPr>
              <w:t>备注</w:t>
            </w:r>
          </w:p>
        </w:tc>
      </w:tr>
      <w:tr w14:paraId="6AC8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5" w:type="pct"/>
            <w:vAlign w:val="center"/>
          </w:tcPr>
          <w:p w14:paraId="46BC479A">
            <w:pPr>
              <w:jc w:val="center"/>
              <w:rPr>
                <w:rFonts w:hAnsi="宋体" w:cs="宋体"/>
                <w:color w:val="auto"/>
                <w:szCs w:val="24"/>
                <w:highlight w:val="none"/>
              </w:rPr>
            </w:pPr>
          </w:p>
        </w:tc>
        <w:tc>
          <w:tcPr>
            <w:tcW w:w="1403" w:type="pct"/>
            <w:vAlign w:val="center"/>
          </w:tcPr>
          <w:p w14:paraId="6AB5F815">
            <w:pPr>
              <w:jc w:val="center"/>
              <w:rPr>
                <w:rFonts w:hAnsi="宋体" w:cs="宋体"/>
                <w:color w:val="auto"/>
                <w:szCs w:val="24"/>
                <w:highlight w:val="none"/>
              </w:rPr>
            </w:pPr>
          </w:p>
        </w:tc>
        <w:tc>
          <w:tcPr>
            <w:tcW w:w="1517" w:type="pct"/>
            <w:vAlign w:val="center"/>
          </w:tcPr>
          <w:p w14:paraId="2618C123">
            <w:pPr>
              <w:jc w:val="center"/>
              <w:rPr>
                <w:rFonts w:hAnsi="宋体" w:cs="宋体"/>
                <w:color w:val="auto"/>
                <w:szCs w:val="24"/>
                <w:highlight w:val="none"/>
              </w:rPr>
            </w:pPr>
          </w:p>
        </w:tc>
        <w:tc>
          <w:tcPr>
            <w:tcW w:w="782" w:type="pct"/>
            <w:vAlign w:val="center"/>
          </w:tcPr>
          <w:p w14:paraId="519A2B1E">
            <w:pPr>
              <w:jc w:val="center"/>
              <w:rPr>
                <w:rFonts w:hAnsi="宋体" w:cs="宋体"/>
                <w:color w:val="auto"/>
                <w:szCs w:val="24"/>
                <w:highlight w:val="none"/>
              </w:rPr>
            </w:pPr>
          </w:p>
        </w:tc>
      </w:tr>
      <w:tr w14:paraId="14E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1F9ADA3F">
            <w:pPr>
              <w:jc w:val="center"/>
              <w:rPr>
                <w:rFonts w:hAnsi="宋体" w:cs="宋体"/>
                <w:color w:val="auto"/>
                <w:szCs w:val="24"/>
                <w:highlight w:val="none"/>
              </w:rPr>
            </w:pPr>
            <w:r>
              <w:rPr>
                <w:rFonts w:hint="eastAsia" w:hAnsi="宋体" w:cs="宋体"/>
                <w:color w:val="auto"/>
                <w:szCs w:val="24"/>
                <w:highlight w:val="none"/>
              </w:rPr>
              <w:t>磋商报价（大写）：                             （小写：￥       ）</w:t>
            </w:r>
          </w:p>
        </w:tc>
      </w:tr>
      <w:tr w14:paraId="668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5927F395">
            <w:pPr>
              <w:rPr>
                <w:rFonts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39E5AAA3">
      <w:pPr>
        <w:rPr>
          <w:rFonts w:hAnsi="宋体" w:cs="宋体"/>
          <w:color w:val="auto"/>
          <w:szCs w:val="24"/>
          <w:highlight w:val="none"/>
        </w:rPr>
      </w:pPr>
    </w:p>
    <w:p w14:paraId="2F7749F7">
      <w:pPr>
        <w:rPr>
          <w:rFonts w:hAnsi="宋体" w:cs="宋体"/>
          <w:color w:val="auto"/>
          <w:szCs w:val="24"/>
          <w:highlight w:val="none"/>
        </w:rPr>
      </w:pPr>
    </w:p>
    <w:p w14:paraId="1C89D53B">
      <w:pPr>
        <w:rPr>
          <w:rFonts w:hAnsi="宋体" w:cs="宋体"/>
          <w:color w:val="auto"/>
          <w:szCs w:val="24"/>
          <w:highlight w:val="none"/>
        </w:rPr>
      </w:pPr>
    </w:p>
    <w:p w14:paraId="56B99D8B">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45CC3094">
      <w:pPr>
        <w:spacing w:line="280" w:lineRule="exact"/>
        <w:ind w:right="617" w:rightChars="257"/>
        <w:jc w:val="left"/>
        <w:rPr>
          <w:rFonts w:hAnsi="宋体" w:cs="宋体"/>
          <w:color w:val="auto"/>
          <w:szCs w:val="24"/>
          <w:highlight w:val="none"/>
        </w:rPr>
      </w:pPr>
    </w:p>
    <w:p w14:paraId="66697A65">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FC90BA5">
      <w:pPr>
        <w:spacing w:line="280" w:lineRule="exact"/>
        <w:ind w:right="617" w:rightChars="257"/>
        <w:jc w:val="left"/>
        <w:rPr>
          <w:rFonts w:hAnsi="宋体" w:cs="宋体"/>
          <w:color w:val="auto"/>
          <w:szCs w:val="24"/>
          <w:highlight w:val="none"/>
        </w:rPr>
      </w:pPr>
    </w:p>
    <w:p w14:paraId="2B746868">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34D2F902">
      <w:pPr>
        <w:jc w:val="center"/>
        <w:rPr>
          <w:rFonts w:hAnsi="宋体" w:cs="宋体"/>
          <w:color w:val="auto"/>
          <w:szCs w:val="24"/>
          <w:highlight w:val="none"/>
        </w:rPr>
      </w:pPr>
    </w:p>
    <w:p w14:paraId="38B43EA8">
      <w:pPr>
        <w:spacing w:beforeLines="50"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420DEBA">
      <w:pPr>
        <w:jc w:val="center"/>
        <w:rPr>
          <w:rFonts w:hAnsi="宋体" w:cs="宋体"/>
          <w:b/>
          <w:color w:val="auto"/>
          <w:sz w:val="30"/>
          <w:szCs w:val="30"/>
          <w:highlight w:val="none"/>
        </w:rPr>
      </w:pPr>
    </w:p>
    <w:p w14:paraId="6666C101">
      <w:pPr>
        <w:jc w:val="center"/>
        <w:outlineLvl w:val="1"/>
        <w:rPr>
          <w:rFonts w:hAnsi="宋体" w:cs="宋体"/>
          <w:b/>
          <w:color w:val="auto"/>
          <w:sz w:val="30"/>
          <w:szCs w:val="30"/>
          <w:highlight w:val="none"/>
        </w:rPr>
      </w:pPr>
      <w:r>
        <w:rPr>
          <w:rFonts w:hint="eastAsia" w:hAnsi="宋体" w:cs="宋体"/>
          <w:b/>
          <w:color w:val="auto"/>
          <w:sz w:val="30"/>
          <w:szCs w:val="30"/>
          <w:highlight w:val="none"/>
        </w:rPr>
        <w:br w:type="page"/>
      </w:r>
      <w:bookmarkStart w:id="219" w:name="_Toc11197"/>
      <w:bookmarkStart w:id="220" w:name="_Toc19127"/>
      <w:bookmarkStart w:id="221" w:name="_Toc8370"/>
      <w:bookmarkStart w:id="222" w:name="_Toc9220"/>
      <w:bookmarkStart w:id="223" w:name="_Toc8017"/>
      <w:bookmarkStart w:id="224" w:name="_Toc9760"/>
      <w:r>
        <w:rPr>
          <w:rFonts w:hint="eastAsia" w:hAnsi="宋体" w:cs="宋体"/>
          <w:b/>
          <w:color w:val="auto"/>
          <w:sz w:val="30"/>
          <w:szCs w:val="30"/>
          <w:highlight w:val="none"/>
        </w:rPr>
        <w:t>2.2分项报价表</w:t>
      </w:r>
      <w:bookmarkEnd w:id="219"/>
      <w:bookmarkEnd w:id="220"/>
      <w:bookmarkEnd w:id="221"/>
      <w:bookmarkEnd w:id="222"/>
      <w:bookmarkEnd w:id="223"/>
      <w:bookmarkEnd w:id="224"/>
    </w:p>
    <w:p w14:paraId="207108B6">
      <w:pPr>
        <w:pStyle w:val="9"/>
        <w:rPr>
          <w:color w:val="auto"/>
          <w:highlight w:val="none"/>
        </w:rPr>
      </w:pPr>
    </w:p>
    <w:p w14:paraId="6128E1DF">
      <w:pPr>
        <w:pStyle w:val="9"/>
        <w:ind w:left="0" w:leftChars="0" w:firstLine="0" w:firstLineChars="0"/>
        <w:jc w:val="center"/>
        <w:rPr>
          <w:color w:val="auto"/>
          <w:highlight w:val="none"/>
        </w:rPr>
      </w:pPr>
      <w:r>
        <w:rPr>
          <w:rFonts w:hint="eastAsia"/>
          <w:color w:val="auto"/>
          <w:highlight w:val="none"/>
        </w:rPr>
        <w:t>供应商自行拟定格式，用于说明磋商报价各报价的组成。</w:t>
      </w:r>
    </w:p>
    <w:p w14:paraId="0D27EC6B">
      <w:pPr>
        <w:pStyle w:val="9"/>
        <w:rPr>
          <w:color w:val="auto"/>
          <w:highlight w:val="none"/>
        </w:rPr>
      </w:pPr>
    </w:p>
    <w:p w14:paraId="351137BB">
      <w:pPr>
        <w:ind w:firstLine="420"/>
        <w:rPr>
          <w:rFonts w:hAnsi="宋体" w:cs="宋体"/>
          <w:color w:val="auto"/>
          <w:highlight w:val="none"/>
        </w:rPr>
      </w:pPr>
    </w:p>
    <w:p w14:paraId="6B04D280">
      <w:pPr>
        <w:pStyle w:val="9"/>
        <w:rPr>
          <w:color w:val="auto"/>
          <w:highlight w:val="none"/>
        </w:rPr>
      </w:pPr>
    </w:p>
    <w:p w14:paraId="5C9EF0D4">
      <w:pPr>
        <w:rPr>
          <w:rFonts w:hAnsi="宋体" w:cs="宋体"/>
          <w:color w:val="auto"/>
          <w:highlight w:val="none"/>
        </w:rPr>
      </w:pPr>
    </w:p>
    <w:bookmarkEnd w:id="198"/>
    <w:p w14:paraId="2000A8C6">
      <w:pPr>
        <w:jc w:val="center"/>
        <w:outlineLvl w:val="1"/>
        <w:rPr>
          <w:rFonts w:hAnsi="宋体" w:cs="宋体"/>
          <w:color w:val="auto"/>
          <w:sz w:val="32"/>
          <w:szCs w:val="32"/>
          <w:highlight w:val="none"/>
        </w:rPr>
      </w:pPr>
      <w:bookmarkStart w:id="225" w:name="_Toc344572163"/>
      <w:r>
        <w:rPr>
          <w:rFonts w:hint="eastAsia" w:hAnsi="宋体" w:cs="宋体"/>
          <w:color w:val="auto"/>
          <w:sz w:val="32"/>
          <w:szCs w:val="32"/>
          <w:highlight w:val="none"/>
        </w:rPr>
        <w:br w:type="page"/>
      </w:r>
      <w:bookmarkStart w:id="226" w:name="_Toc5944"/>
      <w:bookmarkStart w:id="227" w:name="_Toc24059"/>
      <w:bookmarkStart w:id="228" w:name="_Toc32541"/>
      <w:bookmarkStart w:id="229" w:name="_Toc24936"/>
      <w:bookmarkStart w:id="230" w:name="_Toc32126"/>
      <w:bookmarkStart w:id="231" w:name="_Toc3628"/>
      <w:r>
        <w:rPr>
          <w:rFonts w:hint="eastAsia" w:hAnsi="宋体" w:cs="宋体"/>
          <w:b/>
          <w:bCs/>
          <w:color w:val="auto"/>
          <w:sz w:val="32"/>
          <w:szCs w:val="32"/>
          <w:highlight w:val="none"/>
        </w:rPr>
        <w:t>三、磋商方案说明书</w:t>
      </w:r>
      <w:bookmarkEnd w:id="226"/>
      <w:bookmarkEnd w:id="227"/>
      <w:bookmarkEnd w:id="228"/>
      <w:bookmarkEnd w:id="229"/>
      <w:bookmarkEnd w:id="230"/>
      <w:bookmarkEnd w:id="231"/>
    </w:p>
    <w:p w14:paraId="51430E57">
      <w:pPr>
        <w:spacing w:after="120" w:line="440" w:lineRule="exact"/>
        <w:rPr>
          <w:rFonts w:hAnsi="宋体" w:cs="宋体"/>
          <w:color w:val="auto"/>
          <w:szCs w:val="24"/>
          <w:highlight w:val="none"/>
        </w:rPr>
      </w:pPr>
      <w:r>
        <w:rPr>
          <w:rFonts w:hint="eastAsia" w:hAnsi="宋体" w:cs="宋体"/>
          <w:color w:val="auto"/>
          <w:szCs w:val="24"/>
          <w:highlight w:val="none"/>
        </w:rPr>
        <w:t>项目名称：</w:t>
      </w:r>
    </w:p>
    <w:p w14:paraId="737B5831">
      <w:pPr>
        <w:tabs>
          <w:tab w:val="left" w:pos="1800"/>
        </w:tabs>
        <w:spacing w:after="120" w:line="440" w:lineRule="exact"/>
        <w:rPr>
          <w:rFonts w:hAnsi="宋体" w:cs="宋体"/>
          <w:color w:val="auto"/>
          <w:szCs w:val="24"/>
          <w:highlight w:val="none"/>
        </w:rPr>
      </w:pPr>
      <w:r>
        <w:rPr>
          <w:rFonts w:hint="eastAsia" w:hAnsi="宋体" w:cs="宋体"/>
          <w:color w:val="auto"/>
          <w:szCs w:val="24"/>
          <w:highlight w:val="none"/>
        </w:rPr>
        <w:t>项目编号：</w:t>
      </w:r>
    </w:p>
    <w:p w14:paraId="5EB4FC56">
      <w:pPr>
        <w:spacing w:line="480" w:lineRule="auto"/>
        <w:ind w:firstLine="480" w:firstLineChars="200"/>
        <w:rPr>
          <w:rFonts w:hAnsi="宋体" w:cs="宋体"/>
          <w:b/>
          <w:bCs/>
          <w:color w:val="auto"/>
          <w:szCs w:val="24"/>
          <w:highlight w:val="none"/>
        </w:rPr>
      </w:pPr>
      <w:r>
        <w:rPr>
          <w:rFonts w:hint="eastAsia" w:hAnsi="宋体" w:cs="宋体"/>
          <w:color w:val="auto"/>
          <w:szCs w:val="24"/>
          <w:highlight w:val="none"/>
        </w:rPr>
        <w:t>按照磋商文件的要求编制的磋商方案说明书</w:t>
      </w:r>
      <w:r>
        <w:rPr>
          <w:rFonts w:hint="eastAsia" w:hAnsi="宋体" w:cs="宋体"/>
          <w:b/>
          <w:bCs/>
          <w:color w:val="auto"/>
          <w:szCs w:val="24"/>
          <w:highlight w:val="none"/>
        </w:rPr>
        <w:t>（可参照第三章评审办法进行响应）。</w:t>
      </w:r>
    </w:p>
    <w:p w14:paraId="5E60BAA9">
      <w:pPr>
        <w:pStyle w:val="9"/>
        <w:rPr>
          <w:color w:val="auto"/>
          <w:highlight w:val="none"/>
        </w:rPr>
      </w:pPr>
    </w:p>
    <w:p w14:paraId="30601DCC">
      <w:pPr>
        <w:pStyle w:val="9"/>
        <w:rPr>
          <w:color w:val="auto"/>
          <w:highlight w:val="none"/>
        </w:rPr>
      </w:pPr>
    </w:p>
    <w:p w14:paraId="45C2FAC7">
      <w:pPr>
        <w:rPr>
          <w:rFonts w:hAnsi="宋体" w:cs="宋体"/>
          <w:color w:val="auto"/>
          <w:highlight w:val="none"/>
        </w:rPr>
      </w:pPr>
    </w:p>
    <w:p w14:paraId="545438FB">
      <w:pPr>
        <w:pStyle w:val="9"/>
        <w:rPr>
          <w:color w:val="auto"/>
          <w:highlight w:val="none"/>
        </w:rPr>
      </w:pPr>
    </w:p>
    <w:p w14:paraId="47A97442">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法定代表人/被授权人签字或盖章：</w:t>
      </w:r>
    </w:p>
    <w:p w14:paraId="5FB502F9">
      <w:pPr>
        <w:spacing w:line="480" w:lineRule="auto"/>
        <w:ind w:left="3725" w:leftChars="1552"/>
        <w:rPr>
          <w:rFonts w:hAnsi="宋体" w:cs="宋体"/>
          <w:color w:val="auto"/>
          <w:szCs w:val="24"/>
          <w:highlight w:val="none"/>
        </w:rPr>
      </w:pPr>
    </w:p>
    <w:p w14:paraId="22D0F3D4">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051DA24D">
      <w:pPr>
        <w:spacing w:line="480" w:lineRule="auto"/>
        <w:ind w:left="3725" w:leftChars="1552" w:firstLine="5668" w:firstLineChars="2362"/>
        <w:rPr>
          <w:rFonts w:hAnsi="宋体" w:cs="宋体"/>
          <w:color w:val="auto"/>
          <w:szCs w:val="24"/>
          <w:highlight w:val="none"/>
        </w:rPr>
      </w:pPr>
    </w:p>
    <w:p w14:paraId="5050BA67">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2B718856">
      <w:pPr>
        <w:spacing w:after="120" w:line="480" w:lineRule="auto"/>
        <w:rPr>
          <w:rFonts w:hAnsi="宋体" w:cs="宋体"/>
          <w:b/>
          <w:color w:val="auto"/>
          <w:szCs w:val="24"/>
          <w:highlight w:val="none"/>
        </w:rPr>
      </w:pPr>
    </w:p>
    <w:p w14:paraId="2DEE8BF7">
      <w:pPr>
        <w:spacing w:after="120"/>
        <w:rPr>
          <w:rFonts w:hAnsi="宋体" w:cs="宋体"/>
          <w:b/>
          <w:color w:val="auto"/>
          <w:szCs w:val="24"/>
          <w:highlight w:val="none"/>
        </w:rPr>
      </w:pPr>
    </w:p>
    <w:p w14:paraId="18991D2F">
      <w:pPr>
        <w:spacing w:after="120"/>
        <w:rPr>
          <w:rFonts w:hAnsi="宋体" w:cs="宋体"/>
          <w:b/>
          <w:color w:val="auto"/>
          <w:szCs w:val="24"/>
          <w:highlight w:val="none"/>
        </w:rPr>
      </w:pPr>
    </w:p>
    <w:p w14:paraId="56AE92DD">
      <w:pPr>
        <w:spacing w:after="120"/>
        <w:rPr>
          <w:rFonts w:hAnsi="宋体" w:cs="宋体"/>
          <w:b/>
          <w:color w:val="auto"/>
          <w:szCs w:val="24"/>
          <w:highlight w:val="none"/>
        </w:rPr>
      </w:pPr>
    </w:p>
    <w:p w14:paraId="2E2F23CF">
      <w:pPr>
        <w:rPr>
          <w:rFonts w:hAnsi="宋体" w:cs="宋体"/>
          <w:b/>
          <w:color w:val="auto"/>
          <w:szCs w:val="24"/>
          <w:highlight w:val="none"/>
        </w:rPr>
      </w:pPr>
      <w:r>
        <w:rPr>
          <w:rFonts w:hint="eastAsia" w:hAnsi="宋体" w:cs="宋体"/>
          <w:b/>
          <w:color w:val="auto"/>
          <w:szCs w:val="24"/>
          <w:highlight w:val="none"/>
        </w:rPr>
        <w:br w:type="page"/>
      </w:r>
      <w:bookmarkStart w:id="232" w:name="_Toc1379"/>
      <w:bookmarkStart w:id="233" w:name="_Toc23455"/>
      <w:bookmarkStart w:id="234" w:name="_Toc2621"/>
      <w:bookmarkStart w:id="235" w:name="_Toc9218"/>
      <w:bookmarkStart w:id="236" w:name="_Toc21284"/>
      <w:bookmarkStart w:id="237" w:name="_Toc15265"/>
      <w:bookmarkStart w:id="238" w:name="_Toc8845"/>
      <w:bookmarkStart w:id="239" w:name="_Toc5662"/>
    </w:p>
    <w:p w14:paraId="70D1C1A2">
      <w:pPr>
        <w:spacing w:line="360" w:lineRule="auto"/>
        <w:rPr>
          <w:rFonts w:hAnsi="宋体" w:cs="宋体"/>
          <w:b/>
          <w:bCs/>
          <w:color w:val="auto"/>
          <w:sz w:val="30"/>
          <w:szCs w:val="30"/>
          <w:highlight w:val="none"/>
        </w:rPr>
      </w:pPr>
      <w:bookmarkStart w:id="240" w:name="_Toc31151"/>
      <w:bookmarkStart w:id="241" w:name="_Toc4503"/>
      <w:bookmarkStart w:id="242" w:name="_Toc3626"/>
      <w:r>
        <w:rPr>
          <w:rFonts w:hint="eastAsia" w:hAnsi="宋体" w:cs="宋体"/>
          <w:b/>
          <w:bCs/>
          <w:color w:val="auto"/>
          <w:sz w:val="30"/>
          <w:szCs w:val="30"/>
          <w:highlight w:val="none"/>
        </w:rPr>
        <w:t>附件1：</w:t>
      </w:r>
    </w:p>
    <w:p w14:paraId="4CED4DB6">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2"/>
        <w:tblW w:w="0" w:type="auto"/>
        <w:jc w:val="center"/>
        <w:tblLayout w:type="fixed"/>
        <w:tblCellMar>
          <w:top w:w="0" w:type="dxa"/>
          <w:left w:w="0" w:type="dxa"/>
          <w:bottom w:w="0" w:type="dxa"/>
          <w:right w:w="0" w:type="dxa"/>
        </w:tblCellMar>
      </w:tblPr>
      <w:tblGrid>
        <w:gridCol w:w="578"/>
        <w:gridCol w:w="1290"/>
        <w:gridCol w:w="592"/>
        <w:gridCol w:w="592"/>
        <w:gridCol w:w="592"/>
        <w:gridCol w:w="870"/>
        <w:gridCol w:w="1204"/>
        <w:gridCol w:w="778"/>
        <w:gridCol w:w="1953"/>
        <w:gridCol w:w="705"/>
      </w:tblGrid>
      <w:tr w14:paraId="73719E70">
        <w:tblPrEx>
          <w:tblCellMar>
            <w:top w:w="0" w:type="dxa"/>
            <w:left w:w="0" w:type="dxa"/>
            <w:bottom w:w="0" w:type="dxa"/>
            <w:right w:w="0" w:type="dxa"/>
          </w:tblCellMar>
        </w:tblPrEx>
        <w:trPr>
          <w:trHeight w:val="854" w:hRule="exact"/>
          <w:jc w:val="center"/>
        </w:trPr>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DD273">
            <w:pPr>
              <w:pStyle w:val="34"/>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8E8E80">
            <w:pPr>
              <w:pStyle w:val="34"/>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656851">
            <w:pPr>
              <w:pStyle w:val="34"/>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C64331">
            <w:pPr>
              <w:pStyle w:val="34"/>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7B0862">
            <w:pPr>
              <w:pStyle w:val="34"/>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7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C425F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609EBE2A">
            <w:pPr>
              <w:pStyle w:val="34"/>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2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A131F2">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49C0B6F6">
            <w:pPr>
              <w:pStyle w:val="34"/>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DFA4EE">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6C95FA89">
            <w:pPr>
              <w:pStyle w:val="34"/>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95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CA753F">
            <w:pPr>
              <w:pStyle w:val="34"/>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7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50513A">
            <w:pPr>
              <w:pStyle w:val="34"/>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73A66C1D">
            <w:pPr>
              <w:pStyle w:val="34"/>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282C7A02">
        <w:tblPrEx>
          <w:tblCellMar>
            <w:top w:w="0" w:type="dxa"/>
            <w:left w:w="0" w:type="dxa"/>
            <w:bottom w:w="0" w:type="dxa"/>
            <w:right w:w="0" w:type="dxa"/>
          </w:tblCellMar>
        </w:tblPrEx>
        <w:trPr>
          <w:trHeight w:val="854" w:hRule="exact"/>
          <w:jc w:val="center"/>
        </w:trPr>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EE8A7C">
            <w:pPr>
              <w:pStyle w:val="34"/>
              <w:spacing w:line="360" w:lineRule="auto"/>
              <w:ind w:left="0" w:leftChars="0" w:firstLine="480" w:firstLineChars="200"/>
              <w:jc w:val="both"/>
              <w:rPr>
                <w:rFonts w:hAnsi="宋体" w:cs="宋体"/>
                <w:color w:val="auto"/>
                <w:highlight w:val="none"/>
              </w:rPr>
            </w:pPr>
          </w:p>
        </w:tc>
        <w:tc>
          <w:tcPr>
            <w:tcW w:w="12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CDF43F">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B88C2C">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8D689E">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8B46517">
            <w:pPr>
              <w:pStyle w:val="34"/>
              <w:spacing w:line="360" w:lineRule="auto"/>
              <w:ind w:left="0" w:leftChars="0" w:firstLine="480" w:firstLineChars="200"/>
              <w:jc w:val="both"/>
              <w:rPr>
                <w:rFonts w:hAnsi="宋体" w:cs="宋体"/>
                <w:color w:val="auto"/>
                <w:highlight w:val="none"/>
              </w:rPr>
            </w:pPr>
          </w:p>
        </w:tc>
        <w:tc>
          <w:tcPr>
            <w:tcW w:w="87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23460B8">
            <w:pPr>
              <w:pStyle w:val="34"/>
              <w:spacing w:line="360" w:lineRule="auto"/>
              <w:ind w:left="0" w:leftChars="0" w:firstLine="480" w:firstLineChars="200"/>
              <w:jc w:val="both"/>
              <w:rPr>
                <w:rFonts w:hAnsi="宋体" w:cs="宋体"/>
                <w:color w:val="auto"/>
                <w:highlight w:val="none"/>
              </w:rPr>
            </w:pPr>
          </w:p>
        </w:tc>
        <w:tc>
          <w:tcPr>
            <w:tcW w:w="12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49B73C99">
            <w:pPr>
              <w:pStyle w:val="34"/>
              <w:spacing w:line="360" w:lineRule="auto"/>
              <w:ind w:left="0" w:leftChars="0" w:firstLine="480" w:firstLineChars="200"/>
              <w:jc w:val="both"/>
              <w:rPr>
                <w:rFonts w:hAnsi="宋体" w:cs="宋体"/>
                <w:color w:val="auto"/>
                <w:highlight w:val="none"/>
              </w:rPr>
            </w:pP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2B2071">
            <w:pPr>
              <w:pStyle w:val="34"/>
              <w:spacing w:line="360" w:lineRule="auto"/>
              <w:ind w:left="0" w:leftChars="0" w:firstLine="480" w:firstLineChars="200"/>
              <w:jc w:val="both"/>
              <w:rPr>
                <w:rFonts w:hAnsi="宋体" w:cs="宋体"/>
                <w:color w:val="auto"/>
                <w:highlight w:val="none"/>
              </w:rPr>
            </w:pPr>
          </w:p>
        </w:tc>
        <w:tc>
          <w:tcPr>
            <w:tcW w:w="195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6C5CC7">
            <w:pPr>
              <w:pStyle w:val="34"/>
              <w:spacing w:line="360" w:lineRule="auto"/>
              <w:ind w:left="0" w:leftChars="0" w:firstLine="480" w:firstLineChars="200"/>
              <w:jc w:val="both"/>
              <w:rPr>
                <w:rFonts w:hAnsi="宋体" w:cs="宋体"/>
                <w:color w:val="auto"/>
                <w:highlight w:val="none"/>
              </w:rPr>
            </w:pPr>
          </w:p>
        </w:tc>
        <w:tc>
          <w:tcPr>
            <w:tcW w:w="7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38D1E9">
            <w:pPr>
              <w:pStyle w:val="34"/>
              <w:spacing w:line="360" w:lineRule="auto"/>
              <w:ind w:left="0" w:leftChars="0" w:firstLine="480" w:firstLineChars="200"/>
              <w:jc w:val="both"/>
              <w:rPr>
                <w:rFonts w:hAnsi="宋体" w:cs="宋体"/>
                <w:color w:val="auto"/>
                <w:highlight w:val="none"/>
              </w:rPr>
            </w:pPr>
          </w:p>
        </w:tc>
      </w:tr>
      <w:tr w14:paraId="64A4172D">
        <w:tblPrEx>
          <w:tblCellMar>
            <w:top w:w="0" w:type="dxa"/>
            <w:left w:w="0" w:type="dxa"/>
            <w:bottom w:w="0" w:type="dxa"/>
            <w:right w:w="0" w:type="dxa"/>
          </w:tblCellMar>
        </w:tblPrEx>
        <w:trPr>
          <w:trHeight w:val="854" w:hRule="exact"/>
          <w:jc w:val="center"/>
        </w:trPr>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A7B0F3">
            <w:pPr>
              <w:pStyle w:val="34"/>
              <w:spacing w:line="360" w:lineRule="auto"/>
              <w:ind w:left="0" w:leftChars="0" w:firstLine="480" w:firstLineChars="200"/>
              <w:jc w:val="both"/>
              <w:rPr>
                <w:rFonts w:hAnsi="宋体" w:cs="宋体"/>
                <w:color w:val="auto"/>
                <w:highlight w:val="none"/>
              </w:rPr>
            </w:pPr>
          </w:p>
        </w:tc>
        <w:tc>
          <w:tcPr>
            <w:tcW w:w="12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C735CB3">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E6F0B8">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08DF62C">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854E8D">
            <w:pPr>
              <w:pStyle w:val="34"/>
              <w:spacing w:line="360" w:lineRule="auto"/>
              <w:ind w:left="0" w:leftChars="0" w:firstLine="480" w:firstLineChars="200"/>
              <w:jc w:val="both"/>
              <w:rPr>
                <w:rFonts w:hAnsi="宋体" w:cs="宋体"/>
                <w:color w:val="auto"/>
                <w:highlight w:val="none"/>
              </w:rPr>
            </w:pPr>
          </w:p>
        </w:tc>
        <w:tc>
          <w:tcPr>
            <w:tcW w:w="87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8644A4C">
            <w:pPr>
              <w:pStyle w:val="34"/>
              <w:spacing w:line="360" w:lineRule="auto"/>
              <w:ind w:left="0" w:leftChars="0" w:firstLine="480" w:firstLineChars="200"/>
              <w:jc w:val="both"/>
              <w:rPr>
                <w:rFonts w:hAnsi="宋体" w:cs="宋体"/>
                <w:color w:val="auto"/>
                <w:highlight w:val="none"/>
              </w:rPr>
            </w:pPr>
          </w:p>
        </w:tc>
        <w:tc>
          <w:tcPr>
            <w:tcW w:w="12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E2DF2E5">
            <w:pPr>
              <w:pStyle w:val="34"/>
              <w:spacing w:line="360" w:lineRule="auto"/>
              <w:ind w:left="0" w:leftChars="0" w:firstLine="480" w:firstLineChars="200"/>
              <w:jc w:val="both"/>
              <w:rPr>
                <w:rFonts w:hAnsi="宋体" w:cs="宋体"/>
                <w:color w:val="auto"/>
                <w:highlight w:val="none"/>
              </w:rPr>
            </w:pP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770DDFE">
            <w:pPr>
              <w:pStyle w:val="34"/>
              <w:spacing w:line="360" w:lineRule="auto"/>
              <w:ind w:left="0" w:leftChars="0" w:firstLine="480" w:firstLineChars="200"/>
              <w:jc w:val="both"/>
              <w:rPr>
                <w:rFonts w:hAnsi="宋体" w:cs="宋体"/>
                <w:color w:val="auto"/>
                <w:highlight w:val="none"/>
              </w:rPr>
            </w:pPr>
          </w:p>
        </w:tc>
        <w:tc>
          <w:tcPr>
            <w:tcW w:w="195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7CDB28C">
            <w:pPr>
              <w:pStyle w:val="34"/>
              <w:spacing w:line="360" w:lineRule="auto"/>
              <w:ind w:left="0" w:leftChars="0" w:firstLine="480" w:firstLineChars="200"/>
              <w:jc w:val="both"/>
              <w:rPr>
                <w:rFonts w:hAnsi="宋体" w:cs="宋体"/>
                <w:color w:val="auto"/>
                <w:highlight w:val="none"/>
              </w:rPr>
            </w:pPr>
          </w:p>
        </w:tc>
        <w:tc>
          <w:tcPr>
            <w:tcW w:w="7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422C05">
            <w:pPr>
              <w:pStyle w:val="34"/>
              <w:spacing w:line="360" w:lineRule="auto"/>
              <w:ind w:left="0" w:leftChars="0" w:firstLine="480" w:firstLineChars="200"/>
              <w:jc w:val="both"/>
              <w:rPr>
                <w:rFonts w:hAnsi="宋体" w:cs="宋体"/>
                <w:color w:val="auto"/>
                <w:highlight w:val="none"/>
              </w:rPr>
            </w:pPr>
          </w:p>
        </w:tc>
      </w:tr>
      <w:tr w14:paraId="19CCB3B5">
        <w:tblPrEx>
          <w:tblCellMar>
            <w:top w:w="0" w:type="dxa"/>
            <w:left w:w="0" w:type="dxa"/>
            <w:bottom w:w="0" w:type="dxa"/>
            <w:right w:w="0" w:type="dxa"/>
          </w:tblCellMar>
        </w:tblPrEx>
        <w:trPr>
          <w:trHeight w:val="854" w:hRule="exact"/>
          <w:jc w:val="center"/>
        </w:trPr>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F770A81">
            <w:pPr>
              <w:pStyle w:val="34"/>
              <w:spacing w:line="360" w:lineRule="auto"/>
              <w:ind w:left="0" w:leftChars="0" w:firstLine="480" w:firstLineChars="200"/>
              <w:jc w:val="both"/>
              <w:rPr>
                <w:rFonts w:hAnsi="宋体" w:cs="宋体"/>
                <w:color w:val="auto"/>
                <w:highlight w:val="none"/>
              </w:rPr>
            </w:pPr>
          </w:p>
        </w:tc>
        <w:tc>
          <w:tcPr>
            <w:tcW w:w="12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527DAA">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C0B3C61">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D19E9D">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5188ED9">
            <w:pPr>
              <w:pStyle w:val="34"/>
              <w:spacing w:line="360" w:lineRule="auto"/>
              <w:ind w:left="0" w:leftChars="0" w:firstLine="480" w:firstLineChars="200"/>
              <w:jc w:val="both"/>
              <w:rPr>
                <w:rFonts w:hAnsi="宋体" w:cs="宋体"/>
                <w:color w:val="auto"/>
                <w:highlight w:val="none"/>
              </w:rPr>
            </w:pPr>
          </w:p>
        </w:tc>
        <w:tc>
          <w:tcPr>
            <w:tcW w:w="87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45870D">
            <w:pPr>
              <w:pStyle w:val="34"/>
              <w:spacing w:line="360" w:lineRule="auto"/>
              <w:ind w:left="0" w:leftChars="0" w:firstLine="480" w:firstLineChars="200"/>
              <w:jc w:val="both"/>
              <w:rPr>
                <w:rFonts w:hAnsi="宋体" w:cs="宋体"/>
                <w:color w:val="auto"/>
                <w:highlight w:val="none"/>
              </w:rPr>
            </w:pPr>
          </w:p>
        </w:tc>
        <w:tc>
          <w:tcPr>
            <w:tcW w:w="12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54D599C">
            <w:pPr>
              <w:pStyle w:val="34"/>
              <w:spacing w:line="360" w:lineRule="auto"/>
              <w:ind w:left="0" w:leftChars="0" w:firstLine="480" w:firstLineChars="200"/>
              <w:jc w:val="both"/>
              <w:rPr>
                <w:rFonts w:hAnsi="宋体" w:cs="宋体"/>
                <w:color w:val="auto"/>
                <w:highlight w:val="none"/>
              </w:rPr>
            </w:pP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704E50">
            <w:pPr>
              <w:pStyle w:val="34"/>
              <w:spacing w:line="360" w:lineRule="auto"/>
              <w:ind w:left="0" w:leftChars="0" w:firstLine="480" w:firstLineChars="200"/>
              <w:jc w:val="both"/>
              <w:rPr>
                <w:rFonts w:hAnsi="宋体" w:cs="宋体"/>
                <w:color w:val="auto"/>
                <w:highlight w:val="none"/>
              </w:rPr>
            </w:pPr>
          </w:p>
        </w:tc>
        <w:tc>
          <w:tcPr>
            <w:tcW w:w="195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97B3085">
            <w:pPr>
              <w:pStyle w:val="34"/>
              <w:spacing w:line="360" w:lineRule="auto"/>
              <w:ind w:left="0" w:leftChars="0" w:firstLine="480" w:firstLineChars="200"/>
              <w:jc w:val="both"/>
              <w:rPr>
                <w:rFonts w:hAnsi="宋体" w:cs="宋体"/>
                <w:color w:val="auto"/>
                <w:highlight w:val="none"/>
              </w:rPr>
            </w:pPr>
          </w:p>
        </w:tc>
        <w:tc>
          <w:tcPr>
            <w:tcW w:w="7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1CF65D">
            <w:pPr>
              <w:pStyle w:val="34"/>
              <w:spacing w:line="360" w:lineRule="auto"/>
              <w:ind w:left="0" w:leftChars="0" w:firstLine="480" w:firstLineChars="200"/>
              <w:jc w:val="both"/>
              <w:rPr>
                <w:rFonts w:hAnsi="宋体" w:cs="宋体"/>
                <w:color w:val="auto"/>
                <w:highlight w:val="none"/>
              </w:rPr>
            </w:pPr>
          </w:p>
        </w:tc>
      </w:tr>
      <w:tr w14:paraId="25DE93F6">
        <w:tblPrEx>
          <w:tblCellMar>
            <w:top w:w="0" w:type="dxa"/>
            <w:left w:w="0" w:type="dxa"/>
            <w:bottom w:w="0" w:type="dxa"/>
            <w:right w:w="0" w:type="dxa"/>
          </w:tblCellMar>
        </w:tblPrEx>
        <w:trPr>
          <w:trHeight w:val="854" w:hRule="exact"/>
          <w:jc w:val="center"/>
        </w:trPr>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350868A">
            <w:pPr>
              <w:pStyle w:val="34"/>
              <w:spacing w:line="360" w:lineRule="auto"/>
              <w:ind w:left="0" w:leftChars="0" w:firstLine="480" w:firstLineChars="200"/>
              <w:jc w:val="both"/>
              <w:rPr>
                <w:rFonts w:hAnsi="宋体" w:cs="宋体"/>
                <w:color w:val="auto"/>
                <w:highlight w:val="none"/>
              </w:rPr>
            </w:pPr>
          </w:p>
        </w:tc>
        <w:tc>
          <w:tcPr>
            <w:tcW w:w="12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C512550">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327F0A">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402E6D6">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E6556C9">
            <w:pPr>
              <w:pStyle w:val="34"/>
              <w:spacing w:line="360" w:lineRule="auto"/>
              <w:ind w:left="0" w:leftChars="0" w:firstLine="480" w:firstLineChars="200"/>
              <w:jc w:val="both"/>
              <w:rPr>
                <w:rFonts w:hAnsi="宋体" w:cs="宋体"/>
                <w:color w:val="auto"/>
                <w:highlight w:val="none"/>
              </w:rPr>
            </w:pPr>
          </w:p>
        </w:tc>
        <w:tc>
          <w:tcPr>
            <w:tcW w:w="87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0BB65D3">
            <w:pPr>
              <w:pStyle w:val="34"/>
              <w:spacing w:line="360" w:lineRule="auto"/>
              <w:ind w:left="0" w:leftChars="0" w:firstLine="480" w:firstLineChars="200"/>
              <w:jc w:val="both"/>
              <w:rPr>
                <w:rFonts w:hAnsi="宋体" w:cs="宋体"/>
                <w:color w:val="auto"/>
                <w:highlight w:val="none"/>
              </w:rPr>
            </w:pPr>
          </w:p>
        </w:tc>
        <w:tc>
          <w:tcPr>
            <w:tcW w:w="12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F46486E">
            <w:pPr>
              <w:pStyle w:val="34"/>
              <w:spacing w:line="360" w:lineRule="auto"/>
              <w:ind w:left="0" w:leftChars="0" w:firstLine="480" w:firstLineChars="200"/>
              <w:jc w:val="both"/>
              <w:rPr>
                <w:rFonts w:hAnsi="宋体" w:cs="宋体"/>
                <w:color w:val="auto"/>
                <w:highlight w:val="none"/>
              </w:rPr>
            </w:pP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41EA59D">
            <w:pPr>
              <w:pStyle w:val="34"/>
              <w:spacing w:line="360" w:lineRule="auto"/>
              <w:ind w:left="0" w:leftChars="0" w:firstLine="480" w:firstLineChars="200"/>
              <w:jc w:val="both"/>
              <w:rPr>
                <w:rFonts w:hAnsi="宋体" w:cs="宋体"/>
                <w:color w:val="auto"/>
                <w:highlight w:val="none"/>
              </w:rPr>
            </w:pPr>
          </w:p>
        </w:tc>
        <w:tc>
          <w:tcPr>
            <w:tcW w:w="195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C7D368">
            <w:pPr>
              <w:pStyle w:val="34"/>
              <w:spacing w:line="360" w:lineRule="auto"/>
              <w:ind w:left="0" w:leftChars="0" w:firstLine="480" w:firstLineChars="200"/>
              <w:jc w:val="both"/>
              <w:rPr>
                <w:rFonts w:hAnsi="宋体" w:cs="宋体"/>
                <w:color w:val="auto"/>
                <w:highlight w:val="none"/>
              </w:rPr>
            </w:pPr>
          </w:p>
        </w:tc>
        <w:tc>
          <w:tcPr>
            <w:tcW w:w="7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6A57B42">
            <w:pPr>
              <w:pStyle w:val="34"/>
              <w:spacing w:line="360" w:lineRule="auto"/>
              <w:ind w:left="0" w:leftChars="0" w:firstLine="480" w:firstLineChars="200"/>
              <w:jc w:val="both"/>
              <w:rPr>
                <w:rFonts w:hAnsi="宋体" w:cs="宋体"/>
                <w:color w:val="auto"/>
                <w:highlight w:val="none"/>
              </w:rPr>
            </w:pPr>
          </w:p>
        </w:tc>
      </w:tr>
      <w:tr w14:paraId="2092A971">
        <w:tblPrEx>
          <w:tblCellMar>
            <w:top w:w="0" w:type="dxa"/>
            <w:left w:w="0" w:type="dxa"/>
            <w:bottom w:w="0" w:type="dxa"/>
            <w:right w:w="0" w:type="dxa"/>
          </w:tblCellMar>
        </w:tblPrEx>
        <w:trPr>
          <w:trHeight w:val="854" w:hRule="exact"/>
          <w:jc w:val="center"/>
        </w:trPr>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31BE5D8">
            <w:pPr>
              <w:pStyle w:val="34"/>
              <w:spacing w:line="360" w:lineRule="auto"/>
              <w:ind w:left="0" w:leftChars="0" w:firstLine="480" w:firstLineChars="200"/>
              <w:jc w:val="both"/>
              <w:rPr>
                <w:rFonts w:hAnsi="宋体" w:cs="宋体"/>
                <w:color w:val="auto"/>
                <w:highlight w:val="none"/>
              </w:rPr>
            </w:pPr>
          </w:p>
        </w:tc>
        <w:tc>
          <w:tcPr>
            <w:tcW w:w="12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D03DE4">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94B7A0">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E3A08E5">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2391AA">
            <w:pPr>
              <w:pStyle w:val="34"/>
              <w:spacing w:line="360" w:lineRule="auto"/>
              <w:ind w:left="0" w:leftChars="0" w:firstLine="480" w:firstLineChars="200"/>
              <w:jc w:val="both"/>
              <w:rPr>
                <w:rFonts w:hAnsi="宋体" w:cs="宋体"/>
                <w:color w:val="auto"/>
                <w:highlight w:val="none"/>
              </w:rPr>
            </w:pPr>
          </w:p>
        </w:tc>
        <w:tc>
          <w:tcPr>
            <w:tcW w:w="87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95191FF">
            <w:pPr>
              <w:pStyle w:val="34"/>
              <w:spacing w:line="360" w:lineRule="auto"/>
              <w:ind w:left="0" w:leftChars="0" w:firstLine="480" w:firstLineChars="200"/>
              <w:jc w:val="both"/>
              <w:rPr>
                <w:rFonts w:hAnsi="宋体" w:cs="宋体"/>
                <w:color w:val="auto"/>
                <w:highlight w:val="none"/>
              </w:rPr>
            </w:pPr>
          </w:p>
        </w:tc>
        <w:tc>
          <w:tcPr>
            <w:tcW w:w="12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CB5B98B">
            <w:pPr>
              <w:pStyle w:val="34"/>
              <w:spacing w:line="360" w:lineRule="auto"/>
              <w:ind w:left="0" w:leftChars="0" w:firstLine="480" w:firstLineChars="200"/>
              <w:jc w:val="both"/>
              <w:rPr>
                <w:rFonts w:hAnsi="宋体" w:cs="宋体"/>
                <w:color w:val="auto"/>
                <w:highlight w:val="none"/>
              </w:rPr>
            </w:pP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3C24C0E">
            <w:pPr>
              <w:pStyle w:val="34"/>
              <w:spacing w:line="360" w:lineRule="auto"/>
              <w:ind w:left="0" w:leftChars="0" w:firstLine="480" w:firstLineChars="200"/>
              <w:jc w:val="both"/>
              <w:rPr>
                <w:rFonts w:hAnsi="宋体" w:cs="宋体"/>
                <w:color w:val="auto"/>
                <w:highlight w:val="none"/>
              </w:rPr>
            </w:pPr>
          </w:p>
        </w:tc>
        <w:tc>
          <w:tcPr>
            <w:tcW w:w="195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0185B1E">
            <w:pPr>
              <w:pStyle w:val="34"/>
              <w:spacing w:line="360" w:lineRule="auto"/>
              <w:ind w:left="0" w:leftChars="0" w:firstLine="480" w:firstLineChars="200"/>
              <w:jc w:val="both"/>
              <w:rPr>
                <w:rFonts w:hAnsi="宋体" w:cs="宋体"/>
                <w:color w:val="auto"/>
                <w:highlight w:val="none"/>
              </w:rPr>
            </w:pPr>
          </w:p>
        </w:tc>
        <w:tc>
          <w:tcPr>
            <w:tcW w:w="7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12B6E">
            <w:pPr>
              <w:pStyle w:val="34"/>
              <w:spacing w:line="360" w:lineRule="auto"/>
              <w:ind w:left="0" w:leftChars="0" w:firstLine="480" w:firstLineChars="200"/>
              <w:jc w:val="both"/>
              <w:rPr>
                <w:rFonts w:hAnsi="宋体" w:cs="宋体"/>
                <w:color w:val="auto"/>
                <w:highlight w:val="none"/>
              </w:rPr>
            </w:pPr>
          </w:p>
        </w:tc>
      </w:tr>
      <w:tr w14:paraId="6A8F67A9">
        <w:tblPrEx>
          <w:tblCellMar>
            <w:top w:w="0" w:type="dxa"/>
            <w:left w:w="0" w:type="dxa"/>
            <w:bottom w:w="0" w:type="dxa"/>
            <w:right w:w="0" w:type="dxa"/>
          </w:tblCellMar>
        </w:tblPrEx>
        <w:trPr>
          <w:trHeight w:val="864" w:hRule="exact"/>
          <w:jc w:val="center"/>
        </w:trPr>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2501DB9">
            <w:pPr>
              <w:pStyle w:val="34"/>
              <w:spacing w:line="360" w:lineRule="auto"/>
              <w:ind w:left="0" w:leftChars="0" w:firstLine="480" w:firstLineChars="200"/>
              <w:jc w:val="both"/>
              <w:rPr>
                <w:rFonts w:hAnsi="宋体" w:cs="宋体"/>
                <w:color w:val="auto"/>
                <w:highlight w:val="none"/>
              </w:rPr>
            </w:pPr>
          </w:p>
        </w:tc>
        <w:tc>
          <w:tcPr>
            <w:tcW w:w="12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E609F2">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13D282">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CEDC9">
            <w:pPr>
              <w:pStyle w:val="34"/>
              <w:spacing w:line="360" w:lineRule="auto"/>
              <w:ind w:left="0" w:leftChars="0" w:firstLine="480" w:firstLineChars="200"/>
              <w:jc w:val="both"/>
              <w:rPr>
                <w:rFonts w:hAnsi="宋体" w:cs="宋体"/>
                <w:color w:val="auto"/>
                <w:highlight w:val="none"/>
              </w:rPr>
            </w:pPr>
          </w:p>
        </w:tc>
        <w:tc>
          <w:tcPr>
            <w:tcW w:w="5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C2BE324">
            <w:pPr>
              <w:pStyle w:val="34"/>
              <w:spacing w:line="360" w:lineRule="auto"/>
              <w:ind w:left="0" w:leftChars="0" w:firstLine="480" w:firstLineChars="200"/>
              <w:jc w:val="both"/>
              <w:rPr>
                <w:rFonts w:hAnsi="宋体" w:cs="宋体"/>
                <w:color w:val="auto"/>
                <w:highlight w:val="none"/>
              </w:rPr>
            </w:pPr>
          </w:p>
        </w:tc>
        <w:tc>
          <w:tcPr>
            <w:tcW w:w="87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EEC020A">
            <w:pPr>
              <w:pStyle w:val="34"/>
              <w:spacing w:line="360" w:lineRule="auto"/>
              <w:ind w:left="0" w:leftChars="0" w:firstLine="480" w:firstLineChars="200"/>
              <w:jc w:val="both"/>
              <w:rPr>
                <w:rFonts w:hAnsi="宋体" w:cs="宋体"/>
                <w:color w:val="auto"/>
                <w:highlight w:val="none"/>
              </w:rPr>
            </w:pPr>
          </w:p>
        </w:tc>
        <w:tc>
          <w:tcPr>
            <w:tcW w:w="12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8701F34">
            <w:pPr>
              <w:pStyle w:val="34"/>
              <w:spacing w:line="360" w:lineRule="auto"/>
              <w:ind w:left="0" w:leftChars="0" w:firstLine="480" w:firstLineChars="200"/>
              <w:jc w:val="both"/>
              <w:rPr>
                <w:rFonts w:hAnsi="宋体" w:cs="宋体"/>
                <w:color w:val="auto"/>
                <w:highlight w:val="none"/>
              </w:rPr>
            </w:pPr>
          </w:p>
        </w:tc>
        <w:tc>
          <w:tcPr>
            <w:tcW w:w="77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8466708">
            <w:pPr>
              <w:pStyle w:val="34"/>
              <w:spacing w:line="360" w:lineRule="auto"/>
              <w:ind w:left="0" w:leftChars="0" w:firstLine="480" w:firstLineChars="200"/>
              <w:jc w:val="both"/>
              <w:rPr>
                <w:rFonts w:hAnsi="宋体" w:cs="宋体"/>
                <w:color w:val="auto"/>
                <w:highlight w:val="none"/>
              </w:rPr>
            </w:pPr>
          </w:p>
        </w:tc>
        <w:tc>
          <w:tcPr>
            <w:tcW w:w="195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FF285C6">
            <w:pPr>
              <w:pStyle w:val="34"/>
              <w:spacing w:line="360" w:lineRule="auto"/>
              <w:ind w:left="0" w:leftChars="0" w:firstLine="480" w:firstLineChars="200"/>
              <w:jc w:val="both"/>
              <w:rPr>
                <w:rFonts w:hAnsi="宋体" w:cs="宋体"/>
                <w:color w:val="auto"/>
                <w:highlight w:val="none"/>
              </w:rPr>
            </w:pPr>
          </w:p>
        </w:tc>
        <w:tc>
          <w:tcPr>
            <w:tcW w:w="7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05B743">
            <w:pPr>
              <w:pStyle w:val="34"/>
              <w:spacing w:line="360" w:lineRule="auto"/>
              <w:ind w:left="0" w:leftChars="0" w:firstLine="480" w:firstLineChars="200"/>
              <w:jc w:val="both"/>
              <w:rPr>
                <w:rFonts w:hAnsi="宋体" w:cs="宋体"/>
                <w:color w:val="auto"/>
                <w:highlight w:val="none"/>
              </w:rPr>
            </w:pPr>
          </w:p>
        </w:tc>
      </w:tr>
    </w:tbl>
    <w:p w14:paraId="1EE90BB2">
      <w:pPr>
        <w:rPr>
          <w:rFonts w:hint="eastAsia" w:hAnsi="宋体" w:cs="宋体"/>
          <w:b/>
          <w:bCs/>
          <w:color w:val="auto"/>
          <w:sz w:val="32"/>
          <w:szCs w:val="32"/>
          <w:highlight w:val="none"/>
        </w:rPr>
      </w:pPr>
    </w:p>
    <w:p w14:paraId="78C6125C">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3EED5C15">
      <w:pPr>
        <w:ind w:firstLine="161" w:firstLineChars="50"/>
        <w:jc w:val="center"/>
        <w:outlineLvl w:val="1"/>
        <w:rPr>
          <w:rFonts w:hAnsi="宋体" w:cs="宋体"/>
          <w:color w:val="auto"/>
          <w:sz w:val="32"/>
          <w:szCs w:val="32"/>
          <w:highlight w:val="none"/>
        </w:rPr>
      </w:pPr>
      <w:r>
        <w:rPr>
          <w:rFonts w:hint="eastAsia" w:hAnsi="宋体" w:cs="宋体"/>
          <w:b/>
          <w:bCs/>
          <w:color w:val="auto"/>
          <w:sz w:val="32"/>
          <w:szCs w:val="32"/>
          <w:highlight w:val="none"/>
        </w:rPr>
        <w:t>四、</w:t>
      </w:r>
      <w:bookmarkEnd w:id="232"/>
      <w:bookmarkEnd w:id="233"/>
      <w:bookmarkEnd w:id="234"/>
      <w:bookmarkEnd w:id="235"/>
      <w:bookmarkEnd w:id="236"/>
      <w:r>
        <w:rPr>
          <w:rFonts w:hint="eastAsia" w:hAnsi="宋体" w:cs="宋体"/>
          <w:b/>
          <w:bCs/>
          <w:color w:val="auto"/>
          <w:sz w:val="32"/>
          <w:szCs w:val="32"/>
          <w:highlight w:val="none"/>
        </w:rPr>
        <w:t>商务条款偏离表</w:t>
      </w:r>
      <w:bookmarkEnd w:id="237"/>
      <w:bookmarkEnd w:id="238"/>
      <w:bookmarkEnd w:id="239"/>
      <w:bookmarkEnd w:id="240"/>
      <w:bookmarkEnd w:id="241"/>
      <w:bookmarkEnd w:id="242"/>
    </w:p>
    <w:p w14:paraId="20385B01">
      <w:pPr>
        <w:pStyle w:val="19"/>
        <w:widowControl w:val="0"/>
        <w:spacing w:before="0" w:beforeAutospacing="0" w:after="0" w:afterAutospacing="0"/>
        <w:jc w:val="both"/>
        <w:rPr>
          <w:rFonts w:cs="宋体"/>
          <w:color w:val="auto"/>
          <w:highlight w:val="none"/>
        </w:rPr>
      </w:pPr>
    </w:p>
    <w:p w14:paraId="51C350C8">
      <w:pPr>
        <w:pStyle w:val="19"/>
        <w:widowControl w:val="0"/>
        <w:spacing w:beforeLines="50" w:beforeAutospacing="0" w:afterLines="50" w:afterAutospacing="0"/>
        <w:rPr>
          <w:rFonts w:cs="宋体"/>
          <w:color w:val="auto"/>
          <w:highlight w:val="none"/>
        </w:rPr>
      </w:pPr>
      <w:r>
        <w:rPr>
          <w:rFonts w:hint="eastAsia" w:cs="宋体"/>
          <w:color w:val="auto"/>
          <w:highlight w:val="none"/>
        </w:rPr>
        <w:t>项目编号：</w:t>
      </w:r>
    </w:p>
    <w:p w14:paraId="390A83D6">
      <w:pPr>
        <w:pStyle w:val="19"/>
        <w:widowControl w:val="0"/>
        <w:spacing w:beforeLines="50" w:beforeAutospacing="0" w:afterLines="50" w:afterAutospacing="0"/>
        <w:rPr>
          <w:rFonts w:cs="宋体"/>
          <w:color w:val="auto"/>
          <w:highlight w:val="none"/>
          <w:u w:val="single"/>
        </w:rPr>
      </w:pPr>
      <w:r>
        <w:rPr>
          <w:rFonts w:hint="eastAsia" w:cs="宋体"/>
          <w:color w:val="auto"/>
          <w:highlight w:val="none"/>
        </w:rPr>
        <w:t>项目名称：</w:t>
      </w:r>
    </w:p>
    <w:p w14:paraId="40FDBF82">
      <w:pPr>
        <w:pStyle w:val="19"/>
        <w:widowControl w:val="0"/>
        <w:spacing w:before="0" w:beforeAutospacing="0" w:after="0" w:afterAutospacing="0"/>
        <w:ind w:firstLine="480" w:firstLineChars="200"/>
        <w:jc w:val="center"/>
        <w:rPr>
          <w:rFonts w:cs="宋体"/>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09A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AC0DE5D">
            <w:pPr>
              <w:pStyle w:val="19"/>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59951533">
            <w:pPr>
              <w:pStyle w:val="19"/>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872A75D">
            <w:pPr>
              <w:pStyle w:val="19"/>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68AD2072">
            <w:pPr>
              <w:pStyle w:val="19"/>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1F2BBA4E">
            <w:pPr>
              <w:pStyle w:val="19"/>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1CA4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4BF68B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F1EDE9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C9A58A2">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8542A6">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F5E6D6F">
            <w:pPr>
              <w:pStyle w:val="19"/>
              <w:widowControl w:val="0"/>
              <w:spacing w:before="0" w:beforeAutospacing="0" w:after="0" w:afterAutospacing="0"/>
              <w:ind w:firstLine="480" w:firstLineChars="200"/>
              <w:jc w:val="center"/>
              <w:rPr>
                <w:rFonts w:cs="宋体"/>
                <w:color w:val="auto"/>
                <w:highlight w:val="none"/>
              </w:rPr>
            </w:pPr>
          </w:p>
        </w:tc>
      </w:tr>
      <w:tr w14:paraId="133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C1604B3">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54390D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8106C8">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7A52AF">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E9F6AA">
            <w:pPr>
              <w:pStyle w:val="19"/>
              <w:widowControl w:val="0"/>
              <w:spacing w:before="0" w:beforeAutospacing="0" w:after="0" w:afterAutospacing="0"/>
              <w:ind w:firstLine="480" w:firstLineChars="200"/>
              <w:jc w:val="center"/>
              <w:rPr>
                <w:rFonts w:cs="宋体"/>
                <w:color w:val="auto"/>
                <w:highlight w:val="none"/>
              </w:rPr>
            </w:pPr>
          </w:p>
        </w:tc>
      </w:tr>
      <w:tr w14:paraId="282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A6DBF0">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427623">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10A7B3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2C341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5F0A0B">
            <w:pPr>
              <w:pStyle w:val="19"/>
              <w:widowControl w:val="0"/>
              <w:spacing w:before="0" w:beforeAutospacing="0" w:after="0" w:afterAutospacing="0"/>
              <w:ind w:firstLine="480" w:firstLineChars="200"/>
              <w:jc w:val="center"/>
              <w:rPr>
                <w:rFonts w:cs="宋体"/>
                <w:color w:val="auto"/>
                <w:highlight w:val="none"/>
              </w:rPr>
            </w:pPr>
          </w:p>
        </w:tc>
      </w:tr>
      <w:tr w14:paraId="4F7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BDA084">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17075A0">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264917">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5F00C">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136F0DF">
            <w:pPr>
              <w:pStyle w:val="19"/>
              <w:widowControl w:val="0"/>
              <w:spacing w:before="0" w:beforeAutospacing="0" w:after="0" w:afterAutospacing="0"/>
              <w:ind w:firstLine="480" w:firstLineChars="200"/>
              <w:jc w:val="center"/>
              <w:rPr>
                <w:rFonts w:cs="宋体"/>
                <w:color w:val="auto"/>
                <w:highlight w:val="none"/>
              </w:rPr>
            </w:pPr>
          </w:p>
        </w:tc>
      </w:tr>
      <w:tr w14:paraId="3CF0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DBBDB0C">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2F34D91">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E32AE31">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2D2BDB">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CE1F97">
            <w:pPr>
              <w:pStyle w:val="19"/>
              <w:widowControl w:val="0"/>
              <w:spacing w:before="0" w:beforeAutospacing="0" w:after="0" w:afterAutospacing="0"/>
              <w:ind w:firstLine="480" w:firstLineChars="200"/>
              <w:jc w:val="center"/>
              <w:rPr>
                <w:rFonts w:cs="宋体"/>
                <w:color w:val="auto"/>
                <w:highlight w:val="none"/>
              </w:rPr>
            </w:pPr>
          </w:p>
        </w:tc>
      </w:tr>
      <w:tr w14:paraId="65D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E37F9E">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B8A730F">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F0EC61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6D9D65">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5A448B">
            <w:pPr>
              <w:pStyle w:val="19"/>
              <w:widowControl w:val="0"/>
              <w:spacing w:before="0" w:beforeAutospacing="0" w:after="0" w:afterAutospacing="0"/>
              <w:ind w:firstLine="480" w:firstLineChars="200"/>
              <w:jc w:val="center"/>
              <w:rPr>
                <w:rFonts w:cs="宋体"/>
                <w:color w:val="auto"/>
                <w:highlight w:val="none"/>
              </w:rPr>
            </w:pPr>
          </w:p>
        </w:tc>
      </w:tr>
      <w:tr w14:paraId="24B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38C4F2">
            <w:pPr>
              <w:pStyle w:val="19"/>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DBF0584">
            <w:pPr>
              <w:pStyle w:val="19"/>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63609A4">
            <w:pPr>
              <w:pStyle w:val="19"/>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6C7B01">
            <w:pPr>
              <w:pStyle w:val="19"/>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A6A5DD7">
            <w:pPr>
              <w:pStyle w:val="19"/>
              <w:widowControl w:val="0"/>
              <w:spacing w:before="0" w:beforeAutospacing="0" w:after="0" w:afterAutospacing="0"/>
              <w:ind w:firstLine="480" w:firstLineChars="200"/>
              <w:jc w:val="center"/>
              <w:rPr>
                <w:rFonts w:cs="宋体"/>
                <w:color w:val="auto"/>
                <w:highlight w:val="none"/>
              </w:rPr>
            </w:pPr>
          </w:p>
        </w:tc>
      </w:tr>
    </w:tbl>
    <w:p w14:paraId="0719B666">
      <w:pPr>
        <w:pStyle w:val="19"/>
        <w:widowControl w:val="0"/>
        <w:spacing w:before="0" w:beforeAutospacing="0" w:after="0" w:afterAutospacing="0"/>
        <w:rPr>
          <w:rFonts w:cs="宋体"/>
          <w:color w:val="auto"/>
          <w:highlight w:val="none"/>
        </w:rPr>
      </w:pPr>
      <w:r>
        <w:rPr>
          <w:rFonts w:hint="eastAsia" w:cs="宋体"/>
          <w:color w:val="auto"/>
          <w:highlight w:val="none"/>
        </w:rPr>
        <w:t>说明：</w:t>
      </w:r>
    </w:p>
    <w:p w14:paraId="37C98074">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52E629A3">
      <w:pPr>
        <w:pStyle w:val="19"/>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2B76AC1">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lang w:val="en-US" w:eastAsia="zh-CN"/>
        </w:rPr>
        <w:t>3</w:t>
      </w:r>
      <w:r>
        <w:rPr>
          <w:rFonts w:hint="eastAsia" w:cs="宋体"/>
          <w:color w:val="auto"/>
          <w:highlight w:val="none"/>
        </w:rPr>
        <w:t>.供应商必须据实填写，不得虚假响应，否则将取消其磋商或成交资格，并按有关规定进行处罚。</w:t>
      </w:r>
    </w:p>
    <w:p w14:paraId="68E23BE7">
      <w:pPr>
        <w:pStyle w:val="19"/>
        <w:widowControl w:val="0"/>
        <w:spacing w:before="0" w:beforeAutospacing="0" w:after="0" w:afterAutospacing="0"/>
        <w:ind w:firstLine="480" w:firstLineChars="200"/>
        <w:jc w:val="center"/>
        <w:rPr>
          <w:rFonts w:cs="宋体"/>
          <w:color w:val="auto"/>
          <w:highlight w:val="none"/>
        </w:rPr>
      </w:pPr>
    </w:p>
    <w:p w14:paraId="2E9A1915">
      <w:pPr>
        <w:pStyle w:val="19"/>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01A4475E">
      <w:pPr>
        <w:pStyle w:val="19"/>
        <w:widowControl w:val="0"/>
        <w:spacing w:before="0" w:beforeAutospacing="0" w:after="0" w:afterAutospacing="0"/>
        <w:ind w:firstLine="480" w:firstLineChars="200"/>
        <w:jc w:val="center"/>
        <w:rPr>
          <w:rFonts w:cs="宋体"/>
          <w:color w:val="auto"/>
          <w:highlight w:val="none"/>
        </w:rPr>
      </w:pPr>
    </w:p>
    <w:p w14:paraId="33770F2C">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360ECF27">
      <w:pPr>
        <w:spacing w:line="360" w:lineRule="auto"/>
        <w:ind w:left="600" w:leftChars="250"/>
        <w:rPr>
          <w:rFonts w:hAnsi="宋体" w:cs="宋体"/>
          <w:b/>
          <w:bCs/>
          <w:color w:val="auto"/>
          <w:sz w:val="28"/>
          <w:szCs w:val="28"/>
          <w:highlight w:val="none"/>
        </w:rPr>
      </w:pPr>
    </w:p>
    <w:p w14:paraId="7444CDF5">
      <w:pPr>
        <w:spacing w:line="440" w:lineRule="exact"/>
        <w:ind w:left="3725" w:leftChars="1552"/>
        <w:rPr>
          <w:rFonts w:hAnsi="宋体" w:cs="宋体"/>
          <w:color w:val="auto"/>
          <w:szCs w:val="24"/>
          <w:highlight w:val="none"/>
        </w:rPr>
      </w:pPr>
    </w:p>
    <w:p w14:paraId="0D435002">
      <w:pPr>
        <w:spacing w:line="440" w:lineRule="exact"/>
        <w:ind w:left="3725" w:leftChars="1552"/>
        <w:rPr>
          <w:rFonts w:hAnsi="宋体" w:cs="宋体"/>
          <w:color w:val="auto"/>
          <w:szCs w:val="24"/>
          <w:highlight w:val="none"/>
        </w:rPr>
      </w:pPr>
    </w:p>
    <w:p w14:paraId="07609532">
      <w:pPr>
        <w:spacing w:line="440" w:lineRule="exact"/>
        <w:ind w:left="3725" w:leftChars="1552"/>
        <w:rPr>
          <w:rFonts w:hAnsi="宋体" w:cs="宋体"/>
          <w:color w:val="auto"/>
          <w:szCs w:val="24"/>
          <w:highlight w:val="none"/>
        </w:rPr>
      </w:pPr>
    </w:p>
    <w:bookmarkEnd w:id="225"/>
    <w:p w14:paraId="1A318D22">
      <w:pPr>
        <w:spacing w:line="360" w:lineRule="auto"/>
        <w:jc w:val="center"/>
        <w:outlineLvl w:val="1"/>
        <w:rPr>
          <w:rFonts w:hAnsi="宋体" w:cs="宋体"/>
          <w:b/>
          <w:bCs/>
          <w:color w:val="auto"/>
          <w:sz w:val="30"/>
          <w:szCs w:val="30"/>
          <w:highlight w:val="none"/>
        </w:rPr>
      </w:pPr>
      <w:bookmarkStart w:id="243" w:name="_Toc363474033"/>
      <w:bookmarkStart w:id="244" w:name="_Toc403077656"/>
      <w:r>
        <w:rPr>
          <w:rFonts w:hint="eastAsia" w:hAnsi="宋体" w:cs="宋体"/>
          <w:b/>
          <w:bCs/>
          <w:color w:val="auto"/>
          <w:sz w:val="30"/>
          <w:szCs w:val="30"/>
          <w:highlight w:val="none"/>
        </w:rPr>
        <w:br w:type="page"/>
      </w:r>
      <w:bookmarkStart w:id="245" w:name="_Toc27470"/>
      <w:bookmarkStart w:id="246" w:name="_Toc7544"/>
      <w:bookmarkStart w:id="247" w:name="_Toc3253"/>
      <w:bookmarkStart w:id="248" w:name="_Toc1542"/>
      <w:bookmarkStart w:id="249" w:name="_Toc3386"/>
      <w:bookmarkStart w:id="250" w:name="_Toc11212"/>
      <w:r>
        <w:rPr>
          <w:rFonts w:hint="eastAsia" w:hAnsi="宋体" w:cs="宋体"/>
          <w:b/>
          <w:bCs/>
          <w:color w:val="auto"/>
          <w:sz w:val="30"/>
          <w:szCs w:val="30"/>
          <w:highlight w:val="none"/>
        </w:rPr>
        <w:t>五、陕西省政府采购供应商拒绝政府采购领域商业贿赂承诺书</w:t>
      </w:r>
      <w:bookmarkEnd w:id="243"/>
      <w:bookmarkEnd w:id="244"/>
      <w:bookmarkEnd w:id="245"/>
      <w:bookmarkEnd w:id="246"/>
      <w:bookmarkEnd w:id="247"/>
      <w:bookmarkEnd w:id="248"/>
      <w:bookmarkEnd w:id="249"/>
      <w:bookmarkEnd w:id="250"/>
    </w:p>
    <w:p w14:paraId="423DFD3E">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2D2804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3B57AFC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26A4AE1C">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3C0DE2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4、不采取“围标、陪标”等商业欺诈手段获得政府采购订单。</w:t>
      </w:r>
    </w:p>
    <w:p w14:paraId="05E6639B">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37CA2BA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6F7CC560">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7、不与采购人、采购代理机构政府采购评审专家或其他供应商恶意串通，进行质疑和投诉，维护政府采购市场秩序。</w:t>
      </w:r>
    </w:p>
    <w:p w14:paraId="1DB11D9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796F5E9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1B84A249">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208C179E">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08B46B6E">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3A40C48A">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49DF1C15">
      <w:pPr>
        <w:spacing w:line="600" w:lineRule="exact"/>
        <w:ind w:left="24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41F4E7C5">
      <w:pPr>
        <w:spacing w:line="600" w:lineRule="exact"/>
        <w:ind w:left="754"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27393930">
      <w:pPr>
        <w:jc w:val="center"/>
        <w:outlineLvl w:val="1"/>
        <w:rPr>
          <w:rFonts w:hAnsi="宋体" w:cs="宋体"/>
          <w:color w:val="auto"/>
          <w:highlight w:val="none"/>
          <w:shd w:val="clear" w:color="auto" w:fill="FFFFFF"/>
        </w:rPr>
      </w:pPr>
      <w:bookmarkStart w:id="251" w:name="_Toc363474034"/>
      <w:bookmarkStart w:id="252" w:name="_Toc403077657"/>
      <w:r>
        <w:rPr>
          <w:rFonts w:hint="eastAsia" w:hAnsi="宋体" w:cs="宋体"/>
          <w:b/>
          <w:bCs/>
          <w:color w:val="auto"/>
          <w:sz w:val="30"/>
          <w:szCs w:val="30"/>
          <w:highlight w:val="none"/>
        </w:rPr>
        <w:br w:type="page"/>
      </w:r>
      <w:bookmarkStart w:id="253" w:name="_Toc13983"/>
      <w:bookmarkStart w:id="254" w:name="_Toc7842"/>
      <w:bookmarkStart w:id="255" w:name="_Toc29285"/>
      <w:bookmarkStart w:id="256" w:name="_Toc6273"/>
      <w:bookmarkStart w:id="257" w:name="_Toc32016"/>
      <w:bookmarkStart w:id="258" w:name="_Toc6077"/>
      <w:r>
        <w:rPr>
          <w:rFonts w:hint="eastAsia" w:hAnsi="宋体" w:cs="宋体"/>
          <w:b/>
          <w:bCs/>
          <w:color w:val="auto"/>
          <w:sz w:val="30"/>
          <w:szCs w:val="30"/>
          <w:highlight w:val="none"/>
        </w:rPr>
        <w:t>六、特定资格证明文件</w:t>
      </w:r>
      <w:bookmarkEnd w:id="251"/>
      <w:bookmarkEnd w:id="252"/>
      <w:bookmarkEnd w:id="253"/>
      <w:bookmarkEnd w:id="254"/>
      <w:bookmarkEnd w:id="255"/>
      <w:bookmarkEnd w:id="256"/>
      <w:bookmarkEnd w:id="257"/>
      <w:bookmarkEnd w:id="258"/>
    </w:p>
    <w:p w14:paraId="5938CED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（1）提供合格有效的法人或者其他组织的营业执照等证明文件，自然人的身份证明； </w:t>
      </w:r>
    </w:p>
    <w:p w14:paraId="2A63D9B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（2）提供法定代表人授权书（附法定代表人、被授权人身份证复印件）及被授权人身份证原件（法定代表人直接参加投标，须提供法定代表人身份证明及身份证原件）； </w:t>
      </w:r>
    </w:p>
    <w:p w14:paraId="2CFE368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（3）财务状况报告：提供 2024 年度的财务审计报告（成立时间至提交磋商响应文件截止时间不足一年的可提供成立后任意时段的资产负债表），或开标时间前六个月内银行出具的资信证明； </w:t>
      </w:r>
    </w:p>
    <w:p w14:paraId="0F61A79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（4）税收缴纳证明：提供磋商响应文件截止日前任意一个月的纳税证明或完税证明（任意税种），依法免税的单位应提供相关证明材料; </w:t>
      </w:r>
    </w:p>
    <w:p w14:paraId="02A35C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（5）社会保障资金缴纳证明：提供磋商响应文件截止日前任意一个月的社会保障资金缴存单据或社保机构开具的社会保险参保缴费情况证明，依法不需要缴纳社会保障资金的单位应提供相关证明材料； </w:t>
      </w:r>
    </w:p>
    <w:p w14:paraId="06A7DAE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信用中国”网站下载的《信用信息报告》； </w:t>
      </w:r>
    </w:p>
    <w:p w14:paraId="4B78055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（7）参加政府采购活动前 3 年内，在经营活动中没有重大违法记录的书面声明； </w:t>
      </w:r>
    </w:p>
    <w:p w14:paraId="45D24FE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（8）提供具有履行合同所必需的设备和专业技术能力的承诺函；</w:t>
      </w:r>
    </w:p>
    <w:p w14:paraId="577A14B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（9）供应商提供中小企业声明函；</w:t>
      </w:r>
    </w:p>
    <w:p w14:paraId="424944D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Style w:val="25"/>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sz w:val="24"/>
          <w:szCs w:val="24"/>
        </w:rPr>
        <w:t>（10）本项目不接受联合体磋商（需提供承诺书）。</w:t>
      </w:r>
    </w:p>
    <w:p w14:paraId="290E4E90">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5FA13F2A">
      <w:pPr>
        <w:jc w:val="center"/>
        <w:outlineLvl w:val="1"/>
        <w:rPr>
          <w:rFonts w:hAnsi="宋体" w:cs="宋体"/>
          <w:b/>
          <w:bCs/>
          <w:color w:val="auto"/>
          <w:sz w:val="30"/>
          <w:szCs w:val="30"/>
          <w:highlight w:val="none"/>
        </w:rPr>
      </w:pPr>
      <w:r>
        <w:rPr>
          <w:rFonts w:hint="eastAsia" w:hAnsi="宋体" w:cs="宋体"/>
          <w:color w:val="auto"/>
          <w:szCs w:val="24"/>
          <w:highlight w:val="none"/>
        </w:rPr>
        <w:br w:type="page"/>
      </w:r>
      <w:bookmarkStart w:id="259" w:name="_Toc22315"/>
      <w:bookmarkStart w:id="260" w:name="_Toc24739"/>
      <w:bookmarkStart w:id="261" w:name="_Toc12717"/>
      <w:bookmarkStart w:id="262" w:name="_Toc19114"/>
      <w:bookmarkStart w:id="263" w:name="_Toc6853"/>
      <w:bookmarkStart w:id="264" w:name="_Toc23859"/>
      <w:r>
        <w:rPr>
          <w:rFonts w:hint="eastAsia" w:hAnsi="宋体" w:cs="宋体"/>
          <w:b/>
          <w:bCs/>
          <w:color w:val="auto"/>
          <w:sz w:val="30"/>
          <w:szCs w:val="30"/>
          <w:highlight w:val="none"/>
        </w:rPr>
        <w:t>七、其它</w:t>
      </w:r>
      <w:bookmarkEnd w:id="259"/>
      <w:bookmarkEnd w:id="260"/>
      <w:bookmarkEnd w:id="261"/>
      <w:bookmarkEnd w:id="262"/>
      <w:bookmarkEnd w:id="263"/>
      <w:bookmarkEnd w:id="264"/>
    </w:p>
    <w:p w14:paraId="6C2BBA37">
      <w:pPr>
        <w:pStyle w:val="9"/>
        <w:ind w:left="0" w:leftChars="0" w:firstLine="0" w:firstLineChars="0"/>
        <w:rPr>
          <w:color w:val="auto"/>
          <w:highlight w:val="none"/>
        </w:rPr>
      </w:pPr>
      <w:r>
        <w:rPr>
          <w:rFonts w:hint="eastAsia"/>
          <w:color w:val="auto"/>
          <w:highlight w:val="none"/>
        </w:rPr>
        <w:t>1、依据竞争性磋商文件要求，供应商认为有必要说明的其他内容</w:t>
      </w:r>
    </w:p>
    <w:p w14:paraId="06B0A62D">
      <w:pPr>
        <w:pStyle w:val="9"/>
        <w:ind w:left="0" w:leftChars="0" w:firstLine="0" w:firstLineChars="0"/>
        <w:rPr>
          <w:color w:val="auto"/>
          <w:highlight w:val="none"/>
        </w:rPr>
      </w:pPr>
      <w:r>
        <w:rPr>
          <w:rFonts w:hint="eastAsia"/>
          <w:color w:val="auto"/>
          <w:highlight w:val="none"/>
        </w:rPr>
        <w:t>2、其他可以证明供应商实力的文件。</w:t>
      </w:r>
    </w:p>
    <w:p w14:paraId="1D70B79E">
      <w:pPr>
        <w:spacing w:beforeLines="50" w:afterLines="50" w:line="500" w:lineRule="exact"/>
        <w:outlineLvl w:val="2"/>
        <w:rPr>
          <w:rFonts w:hAnsi="宋体" w:cs="宋体"/>
          <w:b/>
          <w:color w:val="auto"/>
          <w:sz w:val="28"/>
          <w:szCs w:val="28"/>
          <w:highlight w:val="none"/>
        </w:rPr>
      </w:pPr>
      <w:r>
        <w:rPr>
          <w:rFonts w:hint="eastAsia" w:hAnsi="宋体" w:cs="宋体"/>
          <w:color w:val="auto"/>
          <w:szCs w:val="24"/>
          <w:highlight w:val="none"/>
        </w:rPr>
        <w:br w:type="page"/>
      </w:r>
      <w:bookmarkStart w:id="265" w:name="_Toc17513"/>
      <w:bookmarkStart w:id="266" w:name="_Toc13906"/>
      <w:bookmarkStart w:id="267" w:name="_Toc6055"/>
      <w:bookmarkStart w:id="268" w:name="_Toc29387"/>
      <w:bookmarkStart w:id="269" w:name="_Toc25119"/>
      <w:r>
        <w:rPr>
          <w:rFonts w:hint="eastAsia" w:hAnsi="宋体" w:cs="宋体"/>
          <w:b/>
          <w:color w:val="auto"/>
          <w:sz w:val="28"/>
          <w:szCs w:val="28"/>
          <w:highlight w:val="none"/>
        </w:rPr>
        <w:t>附件1：法定代表人身份证明/法定代表人授权书</w:t>
      </w:r>
      <w:bookmarkEnd w:id="265"/>
      <w:bookmarkEnd w:id="266"/>
      <w:bookmarkEnd w:id="267"/>
      <w:bookmarkEnd w:id="268"/>
      <w:bookmarkEnd w:id="269"/>
    </w:p>
    <w:p w14:paraId="33ED2828">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79A0B0CF">
      <w:pPr>
        <w:keepNext/>
        <w:spacing w:beforeLines="100"/>
        <w:jc w:val="center"/>
        <w:rPr>
          <w:rFonts w:hint="eastAsia" w:hAnsi="宋体" w:cs="宋体"/>
          <w:b/>
          <w:bCs/>
          <w:color w:val="auto"/>
          <w:sz w:val="32"/>
          <w:szCs w:val="32"/>
          <w:highlight w:val="none"/>
        </w:rPr>
      </w:pPr>
      <w:r>
        <w:rPr>
          <w:rFonts w:hint="eastAsia" w:hAnsi="宋体" w:cs="宋体"/>
          <w:b/>
          <w:bCs/>
          <w:color w:val="auto"/>
          <w:sz w:val="32"/>
          <w:szCs w:val="32"/>
          <w:highlight w:val="none"/>
        </w:rPr>
        <w:t>法定代表人身份证明</w:t>
      </w:r>
    </w:p>
    <w:p w14:paraId="666E39CA">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3D00A65B">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05B8009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65888D1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518C841">
      <w:pPr>
        <w:autoSpaceDE w:val="0"/>
        <w:autoSpaceDN w:val="0"/>
        <w:adjustRightInd w:val="0"/>
        <w:snapToGrid w:val="0"/>
        <w:spacing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43B321F5">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63601F02">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特此证明。</w:t>
      </w:r>
    </w:p>
    <w:p w14:paraId="47FE223B">
      <w:pPr>
        <w:autoSpaceDE w:val="0"/>
        <w:autoSpaceDN w:val="0"/>
        <w:adjustRightInd w:val="0"/>
        <w:snapToGrid w:val="0"/>
        <w:spacing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F4A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74F57BE1">
            <w:pPr>
              <w:snapToGrid w:val="0"/>
              <w:spacing w:line="480" w:lineRule="auto"/>
              <w:jc w:val="center"/>
              <w:rPr>
                <w:rFonts w:hAnsi="宋体" w:cs="宋体"/>
                <w:color w:val="auto"/>
                <w:szCs w:val="21"/>
                <w:highlight w:val="none"/>
              </w:rPr>
            </w:pPr>
          </w:p>
          <w:p w14:paraId="32139CFD">
            <w:pPr>
              <w:snapToGrid w:val="0"/>
              <w:spacing w:line="480" w:lineRule="auto"/>
              <w:jc w:val="center"/>
              <w:rPr>
                <w:rFonts w:hAnsi="宋体" w:cs="宋体"/>
                <w:color w:val="auto"/>
                <w:szCs w:val="21"/>
                <w:highlight w:val="none"/>
              </w:rPr>
            </w:pPr>
          </w:p>
          <w:p w14:paraId="4C91EF3D">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15FB28E8">
            <w:pPr>
              <w:pStyle w:val="9"/>
              <w:ind w:left="0" w:leftChars="0" w:firstLine="0" w:firstLineChars="0"/>
              <w:jc w:val="center"/>
              <w:rPr>
                <w:color w:val="auto"/>
                <w:highlight w:val="none"/>
              </w:rPr>
            </w:pPr>
            <w:r>
              <w:rPr>
                <w:rFonts w:hint="eastAsia"/>
                <w:color w:val="auto"/>
                <w:highlight w:val="none"/>
              </w:rPr>
              <w:t>（正反面）</w:t>
            </w:r>
          </w:p>
          <w:p w14:paraId="25E119CF">
            <w:pPr>
              <w:snapToGrid w:val="0"/>
              <w:spacing w:line="480" w:lineRule="auto"/>
              <w:jc w:val="center"/>
              <w:rPr>
                <w:rFonts w:hAnsi="宋体" w:cs="宋体"/>
                <w:color w:val="auto"/>
                <w:szCs w:val="21"/>
                <w:highlight w:val="none"/>
              </w:rPr>
            </w:pPr>
          </w:p>
          <w:p w14:paraId="00C7963C">
            <w:pPr>
              <w:snapToGrid w:val="0"/>
              <w:spacing w:line="480" w:lineRule="auto"/>
              <w:jc w:val="center"/>
              <w:rPr>
                <w:rFonts w:hAnsi="宋体" w:cs="宋体"/>
                <w:color w:val="auto"/>
                <w:szCs w:val="21"/>
                <w:highlight w:val="none"/>
              </w:rPr>
            </w:pPr>
          </w:p>
        </w:tc>
      </w:tr>
    </w:tbl>
    <w:p w14:paraId="120E5E8D">
      <w:pPr>
        <w:snapToGrid w:val="0"/>
        <w:spacing w:line="480" w:lineRule="auto"/>
        <w:rPr>
          <w:rFonts w:hAnsi="宋体" w:cs="宋体"/>
          <w:color w:val="auto"/>
          <w:szCs w:val="21"/>
          <w:highlight w:val="none"/>
        </w:rPr>
      </w:pPr>
    </w:p>
    <w:p w14:paraId="297F4A16">
      <w:pPr>
        <w:snapToGrid w:val="0"/>
        <w:rPr>
          <w:rFonts w:hAnsi="宋体" w:cs="宋体"/>
          <w:color w:val="auto"/>
          <w:szCs w:val="21"/>
          <w:highlight w:val="none"/>
        </w:rPr>
      </w:pPr>
    </w:p>
    <w:p w14:paraId="6EF316FC">
      <w:pPr>
        <w:snapToGrid w:val="0"/>
        <w:rPr>
          <w:rFonts w:hAnsi="宋体" w:cs="宋体"/>
          <w:color w:val="auto"/>
          <w:szCs w:val="21"/>
          <w:highlight w:val="none"/>
        </w:rPr>
      </w:pPr>
    </w:p>
    <w:p w14:paraId="4614BC98">
      <w:pPr>
        <w:snapToGrid w:val="0"/>
        <w:rPr>
          <w:rFonts w:hAnsi="宋体" w:cs="宋体"/>
          <w:color w:val="auto"/>
          <w:szCs w:val="21"/>
          <w:highlight w:val="none"/>
        </w:rPr>
      </w:pPr>
    </w:p>
    <w:p w14:paraId="5895B8A0">
      <w:pPr>
        <w:snapToGrid w:val="0"/>
        <w:rPr>
          <w:rFonts w:hAnsi="宋体" w:cs="宋体"/>
          <w:color w:val="auto"/>
          <w:szCs w:val="21"/>
          <w:highlight w:val="none"/>
        </w:rPr>
      </w:pPr>
    </w:p>
    <w:p w14:paraId="3A62B711">
      <w:pPr>
        <w:adjustRightInd w:val="0"/>
        <w:snapToGrid w:val="0"/>
        <w:spacing w:line="360" w:lineRule="auto"/>
        <w:rPr>
          <w:rFonts w:hAnsi="宋体" w:cs="宋体"/>
          <w:color w:val="auto"/>
          <w:highlight w:val="none"/>
        </w:rPr>
      </w:pPr>
    </w:p>
    <w:p w14:paraId="31DE828B">
      <w:pPr>
        <w:adjustRightInd w:val="0"/>
        <w:snapToGrid w:val="0"/>
        <w:spacing w:line="360" w:lineRule="auto"/>
        <w:ind w:right="420"/>
        <w:rPr>
          <w:rFonts w:hAnsi="宋体" w:cs="宋体"/>
          <w:color w:val="auto"/>
          <w:highlight w:val="none"/>
        </w:rPr>
      </w:pPr>
    </w:p>
    <w:p w14:paraId="06DD6017">
      <w:pPr>
        <w:adjustRightInd w:val="0"/>
        <w:snapToGrid w:val="0"/>
        <w:spacing w:line="360" w:lineRule="auto"/>
        <w:ind w:right="420"/>
        <w:rPr>
          <w:rFonts w:hAnsi="宋体" w:cs="宋体"/>
          <w:color w:val="auto"/>
          <w:highlight w:val="none"/>
        </w:rPr>
      </w:pPr>
    </w:p>
    <w:p w14:paraId="307C7AE1">
      <w:pPr>
        <w:adjustRightInd w:val="0"/>
        <w:snapToGrid w:val="0"/>
        <w:spacing w:line="360" w:lineRule="auto"/>
        <w:ind w:right="420"/>
        <w:rPr>
          <w:rFonts w:hAnsi="宋体" w:cs="宋体"/>
          <w:color w:val="auto"/>
          <w:highlight w:val="none"/>
        </w:rPr>
      </w:pPr>
    </w:p>
    <w:p w14:paraId="206AA583">
      <w:pPr>
        <w:adjustRightInd w:val="0"/>
        <w:snapToGrid w:val="0"/>
        <w:spacing w:line="360" w:lineRule="auto"/>
        <w:ind w:right="420"/>
        <w:rPr>
          <w:rFonts w:hAnsi="宋体" w:cs="宋体"/>
          <w:color w:val="auto"/>
          <w:highlight w:val="none"/>
        </w:rPr>
      </w:pPr>
    </w:p>
    <w:p w14:paraId="2A7273B8">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7C5D2C9E">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625DC599">
      <w:pPr>
        <w:pStyle w:val="9"/>
        <w:rPr>
          <w:color w:val="auto"/>
          <w:highlight w:val="none"/>
        </w:rPr>
      </w:pPr>
    </w:p>
    <w:p w14:paraId="5BEE1E92">
      <w:pPr>
        <w:spacing w:line="360" w:lineRule="auto"/>
        <w:jc w:val="left"/>
        <w:rPr>
          <w:rFonts w:hAnsi="宋体" w:cs="宋体"/>
          <w:color w:val="auto"/>
          <w:spacing w:val="4"/>
          <w:szCs w:val="24"/>
          <w:highlight w:val="none"/>
        </w:rPr>
      </w:pPr>
    </w:p>
    <w:p w14:paraId="3E1968B2">
      <w:pPr>
        <w:keepNext/>
        <w:spacing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5854ADB2">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3A390AC0">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3A49EAD5">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2D8FF8A5">
      <w:pPr>
        <w:spacing w:line="500" w:lineRule="exact"/>
        <w:ind w:right="617"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7C1C207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7F9B1B1B">
      <w:pPr>
        <w:spacing w:line="360" w:lineRule="auto"/>
        <w:ind w:firstLine="496" w:firstLineChars="200"/>
        <w:jc w:val="left"/>
        <w:rPr>
          <w:rFonts w:hAnsi="宋体" w:cs="宋体"/>
          <w:color w:val="auto"/>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5D4B233D">
        <w:tblPrEx>
          <w:tblCellMar>
            <w:top w:w="0" w:type="dxa"/>
            <w:left w:w="108" w:type="dxa"/>
            <w:bottom w:w="0" w:type="dxa"/>
            <w:right w:w="108" w:type="dxa"/>
          </w:tblCellMar>
        </w:tblPrEx>
        <w:trPr>
          <w:trHeight w:val="600" w:hRule="atLeast"/>
        </w:trPr>
        <w:tc>
          <w:tcPr>
            <w:tcW w:w="4200" w:type="dxa"/>
          </w:tcPr>
          <w:p w14:paraId="54349973">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16B3BD2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234661F9">
        <w:tblPrEx>
          <w:tblCellMar>
            <w:top w:w="0" w:type="dxa"/>
            <w:left w:w="108" w:type="dxa"/>
            <w:bottom w:w="0" w:type="dxa"/>
            <w:right w:w="108" w:type="dxa"/>
          </w:tblCellMar>
        </w:tblPrEx>
        <w:trPr>
          <w:trHeight w:val="600" w:hRule="atLeast"/>
        </w:trPr>
        <w:tc>
          <w:tcPr>
            <w:tcW w:w="4200" w:type="dxa"/>
          </w:tcPr>
          <w:p w14:paraId="04C5C88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24088D2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4DEA5424">
        <w:tblPrEx>
          <w:tblCellMar>
            <w:top w:w="0" w:type="dxa"/>
            <w:left w:w="108" w:type="dxa"/>
            <w:bottom w:w="0" w:type="dxa"/>
            <w:right w:w="108" w:type="dxa"/>
          </w:tblCellMar>
        </w:tblPrEx>
        <w:trPr>
          <w:trHeight w:val="600" w:hRule="atLeast"/>
        </w:trPr>
        <w:tc>
          <w:tcPr>
            <w:tcW w:w="4200" w:type="dxa"/>
          </w:tcPr>
          <w:p w14:paraId="7B5D7DBC">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7828BE62">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0C46C3D1">
        <w:tblPrEx>
          <w:tblCellMar>
            <w:top w:w="0" w:type="dxa"/>
            <w:left w:w="108" w:type="dxa"/>
            <w:bottom w:w="0" w:type="dxa"/>
            <w:right w:w="108" w:type="dxa"/>
          </w:tblCellMar>
        </w:tblPrEx>
        <w:trPr>
          <w:trHeight w:val="600" w:hRule="atLeast"/>
        </w:trPr>
        <w:tc>
          <w:tcPr>
            <w:tcW w:w="4200" w:type="dxa"/>
          </w:tcPr>
          <w:p w14:paraId="30D0A08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2CB9076D">
            <w:pPr>
              <w:spacing w:line="360" w:lineRule="auto"/>
              <w:jc w:val="left"/>
              <w:rPr>
                <w:rFonts w:hAnsi="宋体" w:cs="宋体"/>
                <w:color w:val="auto"/>
                <w:spacing w:val="4"/>
                <w:szCs w:val="24"/>
                <w:highlight w:val="none"/>
              </w:rPr>
            </w:pPr>
          </w:p>
        </w:tc>
      </w:tr>
    </w:tbl>
    <w:p w14:paraId="57DFEC18">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7B82FCA5">
      <w:pPr>
        <w:spacing w:line="360" w:lineRule="auto"/>
        <w:rPr>
          <w:rFonts w:hAnsi="宋体" w:cs="宋体"/>
          <w:color w:val="auto"/>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535EB041">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FB8702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474F048F">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75463A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1D5FC5F4">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7A1AC87C">
      <w:pPr>
        <w:spacing w:line="360" w:lineRule="auto"/>
        <w:ind w:firstLine="510"/>
        <w:rPr>
          <w:rFonts w:hAnsi="宋体" w:cs="宋体"/>
          <w:color w:val="auto"/>
          <w:spacing w:val="4"/>
          <w:szCs w:val="24"/>
          <w:highlight w:val="none"/>
        </w:rPr>
      </w:pPr>
    </w:p>
    <w:p w14:paraId="13C5C289">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552C673">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日期：</w:t>
      </w:r>
    </w:p>
    <w:p w14:paraId="61C91B94">
      <w:pPr>
        <w:rPr>
          <w:rFonts w:hAnsi="宋体" w:cs="宋体"/>
          <w:color w:val="auto"/>
          <w:spacing w:val="4"/>
          <w:szCs w:val="30"/>
          <w:highlight w:val="none"/>
        </w:rPr>
      </w:pPr>
      <w:r>
        <w:rPr>
          <w:rFonts w:hint="eastAsia" w:hAnsi="宋体" w:cs="宋体"/>
          <w:b/>
          <w:color w:val="auto"/>
          <w:sz w:val="28"/>
          <w:szCs w:val="28"/>
          <w:highlight w:val="none"/>
        </w:rPr>
        <w:br w:type="page"/>
      </w:r>
      <w:bookmarkStart w:id="270" w:name="_Toc11767"/>
      <w:bookmarkStart w:id="271" w:name="_Toc17295"/>
    </w:p>
    <w:p w14:paraId="0D3C5164">
      <w:pPr>
        <w:widowControl/>
        <w:spacing w:line="360" w:lineRule="auto"/>
        <w:ind w:left="1" w:firstLine="281" w:firstLineChars="100"/>
        <w:rPr>
          <w:rFonts w:hAnsi="宋体" w:cs="宋体"/>
          <w:b/>
          <w:color w:val="auto"/>
          <w:sz w:val="28"/>
          <w:szCs w:val="28"/>
          <w:highlight w:val="none"/>
        </w:rPr>
      </w:pPr>
    </w:p>
    <w:p w14:paraId="1CD09044">
      <w:pPr>
        <w:widowControl/>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参加政府采购活动前3年内在经营活动中没有重大违法记录的书面声明</w:t>
      </w:r>
    </w:p>
    <w:p w14:paraId="2F3DD6CA">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716FA56">
      <w:pPr>
        <w:pStyle w:val="19"/>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03C54214">
      <w:pPr>
        <w:pStyle w:val="19"/>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6A667C88">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F48F882">
      <w:pPr>
        <w:pStyle w:val="19"/>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如有不实，我方将无条件地退出本项目的采购活动，并遵照《</w:t>
      </w:r>
      <w:r>
        <w:rPr>
          <w:rFonts w:hint="eastAsia" w:hAnsi="宋体" w:cs="宋体"/>
          <w:color w:val="auto"/>
          <w:szCs w:val="21"/>
          <w:highlight w:val="none"/>
        </w:rPr>
        <w:t>中华人民共和国</w:t>
      </w:r>
      <w:r>
        <w:rPr>
          <w:rFonts w:hint="eastAsia" w:cs="宋体"/>
          <w:color w:val="auto"/>
          <w:highlight w:val="none"/>
          <w:shd w:val="clear" w:color="auto" w:fill="FFFFFF"/>
        </w:rPr>
        <w:t xml:space="preserve">政府采购法》有关“提供虚假材料的规定”接受处罚。 </w:t>
      </w:r>
    </w:p>
    <w:p w14:paraId="4F9A3619">
      <w:pPr>
        <w:pStyle w:val="19"/>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84696A3">
      <w:pPr>
        <w:pStyle w:val="19"/>
        <w:wordWrap w:val="0"/>
        <w:spacing w:beforeAutospacing="0" w:afterAutospacing="0" w:line="560" w:lineRule="exact"/>
        <w:ind w:firstLine="420"/>
        <w:rPr>
          <w:rFonts w:cs="宋体"/>
          <w:color w:val="auto"/>
          <w:highlight w:val="none"/>
          <w:shd w:val="clear" w:color="auto" w:fill="FFFFFF"/>
        </w:rPr>
      </w:pPr>
    </w:p>
    <w:p w14:paraId="04151F84">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6C5D02">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139567F9">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295EDF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3A85E788">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具有履行本合同所必需的设备和专业技术能力的书面声明</w:t>
      </w:r>
    </w:p>
    <w:p w14:paraId="45A36451">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228C3CD7">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013911B9">
      <w:pPr>
        <w:pStyle w:val="12"/>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C2843A3">
      <w:pPr>
        <w:pStyle w:val="12"/>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56660DB5">
      <w:pPr>
        <w:pStyle w:val="12"/>
        <w:adjustRightInd w:val="0"/>
        <w:snapToGrid w:val="0"/>
        <w:spacing w:line="720" w:lineRule="exact"/>
        <w:rPr>
          <w:rFonts w:hAnsi="宋体" w:cs="宋体"/>
          <w:color w:val="auto"/>
          <w:spacing w:val="4"/>
          <w:sz w:val="24"/>
          <w:szCs w:val="24"/>
          <w:highlight w:val="none"/>
        </w:rPr>
      </w:pPr>
    </w:p>
    <w:p w14:paraId="02500415">
      <w:pPr>
        <w:pStyle w:val="12"/>
        <w:adjustRightInd w:val="0"/>
        <w:snapToGrid w:val="0"/>
        <w:spacing w:line="720" w:lineRule="exact"/>
        <w:rPr>
          <w:rFonts w:hAnsi="宋体" w:cs="宋体"/>
          <w:color w:val="auto"/>
          <w:spacing w:val="4"/>
          <w:sz w:val="24"/>
          <w:szCs w:val="24"/>
          <w:highlight w:val="none"/>
        </w:rPr>
      </w:pPr>
    </w:p>
    <w:p w14:paraId="3E47B083">
      <w:pPr>
        <w:pStyle w:val="12"/>
        <w:adjustRightInd w:val="0"/>
        <w:snapToGrid w:val="0"/>
        <w:spacing w:line="720" w:lineRule="exact"/>
        <w:rPr>
          <w:rFonts w:hAnsi="宋体" w:cs="宋体"/>
          <w:color w:val="auto"/>
          <w:spacing w:val="4"/>
          <w:sz w:val="24"/>
          <w:szCs w:val="24"/>
          <w:highlight w:val="none"/>
        </w:rPr>
      </w:pPr>
    </w:p>
    <w:p w14:paraId="0391F612">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4E72CA8A">
      <w:pPr>
        <w:pStyle w:val="36"/>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A9EDDB7">
      <w:pPr>
        <w:rPr>
          <w:rFonts w:hAnsi="宋体" w:cs="宋体"/>
          <w:color w:val="auto"/>
          <w:spacing w:val="4"/>
          <w:szCs w:val="30"/>
          <w:highlight w:val="none"/>
        </w:rPr>
      </w:pPr>
      <w:r>
        <w:rPr>
          <w:rFonts w:hint="eastAsia" w:hAnsi="宋体" w:cs="宋体"/>
          <w:color w:val="auto"/>
          <w:spacing w:val="4"/>
          <w:szCs w:val="30"/>
          <w:highlight w:val="none"/>
        </w:rPr>
        <w:br w:type="page"/>
      </w:r>
    </w:p>
    <w:p w14:paraId="70E8A17E">
      <w:pPr>
        <w:spacing w:before="100" w:beforeAutospacing="1" w:afterLines="50" w:line="360" w:lineRule="auto"/>
        <w:jc w:val="left"/>
        <w:outlineLvl w:val="2"/>
        <w:rPr>
          <w:rFonts w:hAnsi="宋体" w:cs="宋体"/>
          <w:b/>
          <w:color w:val="auto"/>
          <w:sz w:val="28"/>
          <w:szCs w:val="28"/>
          <w:highlight w:val="none"/>
        </w:rPr>
      </w:pPr>
      <w:bookmarkStart w:id="272" w:name="_Toc29482"/>
      <w:bookmarkStart w:id="273" w:name="_Toc2812"/>
      <w:bookmarkStart w:id="274" w:name="_Toc32573"/>
      <w:r>
        <w:rPr>
          <w:rFonts w:hint="eastAsia" w:hAnsi="宋体" w:cs="宋体"/>
          <w:b/>
          <w:color w:val="auto"/>
          <w:sz w:val="28"/>
          <w:szCs w:val="28"/>
          <w:highlight w:val="none"/>
        </w:rPr>
        <w:t>附件2：中小企业声明函</w:t>
      </w:r>
      <w:bookmarkEnd w:id="270"/>
      <w:bookmarkEnd w:id="271"/>
      <w:bookmarkEnd w:id="272"/>
      <w:bookmarkEnd w:id="273"/>
      <w:bookmarkEnd w:id="274"/>
      <w:bookmarkStart w:id="275" w:name="_Toc13836"/>
    </w:p>
    <w:p w14:paraId="5A99892C">
      <w:pPr>
        <w:spacing w:beforeLines="50"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0610417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7CC4D4C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3541B9">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54A352">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37E3B327">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0F217DD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0A17F724">
      <w:pPr>
        <w:tabs>
          <w:tab w:val="left" w:pos="1620"/>
          <w:tab w:val="left" w:pos="1800"/>
        </w:tabs>
        <w:spacing w:line="500" w:lineRule="exact"/>
        <w:rPr>
          <w:rFonts w:hAnsi="宋体" w:cs="宋体"/>
          <w:color w:val="auto"/>
          <w:szCs w:val="24"/>
          <w:highlight w:val="none"/>
        </w:rPr>
      </w:pPr>
    </w:p>
    <w:p w14:paraId="250DB9F0">
      <w:pPr>
        <w:tabs>
          <w:tab w:val="left" w:pos="1620"/>
          <w:tab w:val="left" w:pos="1800"/>
        </w:tabs>
        <w:spacing w:line="500" w:lineRule="exact"/>
        <w:rPr>
          <w:rFonts w:hAnsi="宋体" w:cs="宋体"/>
          <w:color w:val="auto"/>
          <w:szCs w:val="24"/>
          <w:highlight w:val="none"/>
        </w:rPr>
      </w:pPr>
    </w:p>
    <w:p w14:paraId="39C60A7E">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1C4AA705">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p w14:paraId="50E5838F">
      <w:pPr>
        <w:rPr>
          <w:rFonts w:hAnsi="宋体" w:cs="宋体"/>
          <w:b/>
          <w:color w:val="auto"/>
          <w:sz w:val="28"/>
          <w:szCs w:val="28"/>
          <w:highlight w:val="none"/>
        </w:rPr>
      </w:pPr>
      <w:r>
        <w:rPr>
          <w:rFonts w:hint="eastAsia" w:hAnsi="宋体" w:cs="宋体"/>
          <w:b/>
          <w:color w:val="auto"/>
          <w:sz w:val="28"/>
          <w:szCs w:val="28"/>
          <w:highlight w:val="none"/>
        </w:rPr>
        <w:br w:type="page"/>
      </w:r>
    </w:p>
    <w:p w14:paraId="033C5B99">
      <w:pPr>
        <w:pStyle w:val="35"/>
        <w:spacing w:line="400" w:lineRule="exact"/>
        <w:rPr>
          <w:rFonts w:hAnsi="宋体" w:cs="宋体"/>
          <w:b/>
          <w:bCs/>
          <w:color w:val="auto"/>
          <w:spacing w:val="6"/>
          <w:sz w:val="30"/>
          <w:szCs w:val="30"/>
          <w:highlight w:val="none"/>
        </w:rPr>
      </w:pPr>
      <w:bookmarkStart w:id="276" w:name="_Toc13530"/>
      <w:bookmarkStart w:id="277" w:name="_Toc12704"/>
      <w:bookmarkStart w:id="278" w:name="_Toc10758"/>
      <w:bookmarkStart w:id="279" w:name="_Toc8863"/>
      <w:bookmarkStart w:id="280" w:name="_Toc5964"/>
      <w:r>
        <w:rPr>
          <w:rFonts w:hint="eastAsia" w:hAnsi="宋体" w:cs="宋体"/>
          <w:b/>
          <w:color w:val="auto"/>
          <w:sz w:val="28"/>
          <w:szCs w:val="28"/>
          <w:highlight w:val="none"/>
        </w:rPr>
        <w:t>附件3：</w:t>
      </w:r>
      <w:bookmarkEnd w:id="275"/>
      <w:bookmarkEnd w:id="276"/>
      <w:bookmarkEnd w:id="277"/>
      <w:bookmarkEnd w:id="278"/>
      <w:bookmarkEnd w:id="279"/>
      <w:bookmarkEnd w:id="280"/>
      <w:bookmarkStart w:id="281" w:name="_Toc11066"/>
      <w:bookmarkStart w:id="282" w:name="_Toc29025"/>
      <w:bookmarkStart w:id="283" w:name="_Toc11235"/>
      <w:bookmarkStart w:id="284" w:name="_Toc27124"/>
      <w:bookmarkStart w:id="285" w:name="_Toc22425"/>
      <w:r>
        <w:rPr>
          <w:rFonts w:hint="eastAsia" w:hAnsi="宋体" w:cs="宋体"/>
          <w:b/>
          <w:bCs/>
          <w:color w:val="auto"/>
          <w:spacing w:val="6"/>
          <w:sz w:val="30"/>
          <w:szCs w:val="30"/>
          <w:highlight w:val="none"/>
        </w:rPr>
        <w:t>残疾人福利性单位声明函（如有）</w:t>
      </w:r>
      <w:bookmarkEnd w:id="281"/>
      <w:bookmarkEnd w:id="282"/>
      <w:bookmarkEnd w:id="283"/>
      <w:bookmarkEnd w:id="284"/>
      <w:bookmarkEnd w:id="285"/>
    </w:p>
    <w:p w14:paraId="77BAA2C5">
      <w:pPr>
        <w:spacing w:line="588" w:lineRule="exact"/>
        <w:jc w:val="center"/>
        <w:rPr>
          <w:rFonts w:hint="eastAsia" w:hAnsi="宋体" w:cs="宋体"/>
          <w:b/>
          <w:color w:val="auto"/>
          <w:spacing w:val="6"/>
          <w:sz w:val="32"/>
          <w:szCs w:val="32"/>
          <w:highlight w:val="none"/>
        </w:rPr>
      </w:pPr>
      <w:bookmarkStart w:id="286" w:name="OLE_LINK13"/>
      <w:bookmarkStart w:id="287" w:name="OLE_LINK14"/>
    </w:p>
    <w:p w14:paraId="334000A8">
      <w:pPr>
        <w:spacing w:line="588" w:lineRule="exact"/>
        <w:jc w:val="center"/>
        <w:rPr>
          <w:rFonts w:hAnsi="宋体" w:cs="宋体"/>
          <w:b/>
          <w:color w:val="auto"/>
          <w:spacing w:val="6"/>
          <w:sz w:val="32"/>
          <w:szCs w:val="32"/>
          <w:highlight w:val="none"/>
        </w:rPr>
      </w:pPr>
      <w:r>
        <w:rPr>
          <w:rFonts w:hint="eastAsia" w:hAnsi="宋体" w:cs="宋体"/>
          <w:b/>
          <w:color w:val="auto"/>
          <w:spacing w:val="6"/>
          <w:sz w:val="32"/>
          <w:szCs w:val="32"/>
          <w:highlight w:val="none"/>
        </w:rPr>
        <w:t>残疾人福利性单位声明函</w:t>
      </w:r>
    </w:p>
    <w:bookmarkEnd w:id="286"/>
    <w:bookmarkEnd w:id="287"/>
    <w:p w14:paraId="3A8F79ED">
      <w:pPr>
        <w:spacing w:line="588" w:lineRule="exact"/>
        <w:rPr>
          <w:rFonts w:hAnsi="宋体" w:cs="宋体"/>
          <w:b/>
          <w:color w:val="auto"/>
          <w:spacing w:val="6"/>
          <w:sz w:val="30"/>
          <w:szCs w:val="30"/>
          <w:highlight w:val="none"/>
        </w:rPr>
      </w:pPr>
    </w:p>
    <w:p w14:paraId="2818521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CEC3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320C033D">
      <w:pPr>
        <w:spacing w:line="588" w:lineRule="exact"/>
        <w:ind w:firstLine="504" w:firstLineChars="200"/>
        <w:rPr>
          <w:rFonts w:hAnsi="宋体" w:cs="宋体"/>
          <w:color w:val="auto"/>
          <w:spacing w:val="6"/>
          <w:szCs w:val="24"/>
          <w:highlight w:val="none"/>
        </w:rPr>
      </w:pPr>
    </w:p>
    <w:p w14:paraId="009CA9B8">
      <w:pPr>
        <w:spacing w:line="588" w:lineRule="exact"/>
        <w:ind w:firstLine="504" w:firstLineChars="200"/>
        <w:rPr>
          <w:rFonts w:hAnsi="宋体" w:cs="宋体"/>
          <w:color w:val="auto"/>
          <w:spacing w:val="6"/>
          <w:szCs w:val="24"/>
          <w:highlight w:val="none"/>
        </w:rPr>
      </w:pPr>
    </w:p>
    <w:p w14:paraId="1D775660">
      <w:pPr>
        <w:spacing w:line="588" w:lineRule="exact"/>
        <w:ind w:firstLine="504" w:firstLineChars="200"/>
        <w:rPr>
          <w:rFonts w:hAnsi="宋体" w:cs="宋体"/>
          <w:color w:val="auto"/>
          <w:spacing w:val="6"/>
          <w:szCs w:val="24"/>
          <w:highlight w:val="none"/>
        </w:rPr>
      </w:pPr>
    </w:p>
    <w:p w14:paraId="7B915722">
      <w:pPr>
        <w:spacing w:line="588" w:lineRule="exact"/>
        <w:ind w:firstLine="504" w:firstLineChars="200"/>
        <w:rPr>
          <w:rFonts w:hAnsi="宋体" w:cs="宋体"/>
          <w:color w:val="auto"/>
          <w:spacing w:val="6"/>
          <w:szCs w:val="24"/>
          <w:highlight w:val="none"/>
        </w:rPr>
      </w:pPr>
    </w:p>
    <w:p w14:paraId="0861542D">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4820D21F">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4F024C5E">
      <w:pPr>
        <w:spacing w:line="360" w:lineRule="auto"/>
        <w:outlineLvl w:val="2"/>
        <w:rPr>
          <w:rFonts w:hAnsi="宋体" w:cs="宋体"/>
          <w:b/>
          <w:color w:val="auto"/>
          <w:sz w:val="28"/>
          <w:szCs w:val="28"/>
          <w:highlight w:val="none"/>
        </w:rPr>
      </w:pPr>
      <w:r>
        <w:rPr>
          <w:rFonts w:hint="eastAsia" w:hAnsi="宋体" w:cs="宋体"/>
          <w:color w:val="auto"/>
          <w:highlight w:val="none"/>
        </w:rPr>
        <w:br w:type="page"/>
      </w:r>
      <w:bookmarkStart w:id="288" w:name="_Toc23160"/>
      <w:bookmarkStart w:id="289" w:name="_Toc2139"/>
      <w:bookmarkStart w:id="290" w:name="_Toc2119"/>
      <w:bookmarkStart w:id="291" w:name="_Toc29109"/>
      <w:bookmarkStart w:id="292" w:name="_Toc19526"/>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4</w:t>
      </w:r>
      <w:r>
        <w:rPr>
          <w:rFonts w:hint="eastAsia" w:hAnsi="宋体" w:cs="宋体"/>
          <w:b/>
          <w:color w:val="auto"/>
          <w:sz w:val="28"/>
          <w:szCs w:val="28"/>
          <w:highlight w:val="none"/>
        </w:rPr>
        <w:t>：质疑函范本</w:t>
      </w:r>
      <w:bookmarkEnd w:id="288"/>
      <w:bookmarkEnd w:id="289"/>
      <w:bookmarkEnd w:id="290"/>
      <w:bookmarkEnd w:id="291"/>
      <w:bookmarkEnd w:id="292"/>
    </w:p>
    <w:p w14:paraId="036ADE0C">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66B59A93">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67660C5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7B4CD148">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03CB8E7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8A40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23372BAA">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F2C10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F025AF">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60361C6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1786751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35A789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70A5BF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56217B3A">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A9AEA9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0E328DD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1FDACDEF">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1F1BE34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4AD1028">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258EBB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23386BFF">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2EF3247">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74B9FBE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211A43F0">
      <w:pPr>
        <w:rPr>
          <w:rFonts w:hAnsi="宋体" w:cs="宋体"/>
          <w:color w:val="auto"/>
          <w:szCs w:val="24"/>
          <w:highlight w:val="none"/>
        </w:rPr>
      </w:pPr>
      <w:r>
        <w:rPr>
          <w:rFonts w:hint="eastAsia" w:hAnsi="宋体" w:cs="宋体"/>
          <w:color w:val="auto"/>
          <w:szCs w:val="24"/>
          <w:highlight w:val="none"/>
        </w:rPr>
        <w:t xml:space="preserve">签字(签章)：                   公章：                      </w:t>
      </w:r>
    </w:p>
    <w:p w14:paraId="09B3CE3A">
      <w:pPr>
        <w:rPr>
          <w:rFonts w:hAnsi="宋体" w:cs="宋体"/>
          <w:color w:val="auto"/>
          <w:szCs w:val="24"/>
          <w:highlight w:val="none"/>
        </w:rPr>
      </w:pPr>
      <w:r>
        <w:rPr>
          <w:rFonts w:hint="eastAsia" w:hAnsi="宋体" w:cs="宋体"/>
          <w:color w:val="auto"/>
          <w:szCs w:val="24"/>
          <w:highlight w:val="none"/>
        </w:rPr>
        <w:t xml:space="preserve">日期：    </w:t>
      </w:r>
    </w:p>
    <w:p w14:paraId="1E39E5F4">
      <w:pPr>
        <w:jc w:val="center"/>
        <w:rPr>
          <w:rFonts w:hAnsi="宋体" w:cs="宋体"/>
          <w:b/>
          <w:color w:val="auto"/>
          <w:sz w:val="44"/>
          <w:szCs w:val="44"/>
          <w:highlight w:val="none"/>
        </w:rPr>
      </w:pPr>
    </w:p>
    <w:p w14:paraId="7A655550">
      <w:pPr>
        <w:jc w:val="center"/>
        <w:rPr>
          <w:rFonts w:hAnsi="宋体" w:cs="宋体"/>
          <w:b/>
          <w:color w:val="auto"/>
          <w:sz w:val="44"/>
          <w:szCs w:val="44"/>
          <w:highlight w:val="none"/>
        </w:rPr>
      </w:pPr>
    </w:p>
    <w:p w14:paraId="5D211B28">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5D7376A2">
      <w:pPr>
        <w:rPr>
          <w:rFonts w:hAnsi="宋体" w:cs="宋体"/>
          <w:color w:val="auto"/>
          <w:szCs w:val="24"/>
          <w:highlight w:val="none"/>
        </w:rPr>
      </w:pPr>
      <w:r>
        <w:rPr>
          <w:rFonts w:hint="eastAsia" w:hAnsi="宋体" w:cs="宋体"/>
          <w:color w:val="auto"/>
          <w:szCs w:val="24"/>
          <w:highlight w:val="none"/>
        </w:rPr>
        <w:t>一、投诉相关主体基本情况</w:t>
      </w:r>
    </w:p>
    <w:p w14:paraId="2FBD82E1">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21225A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408141C">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68FB6D8">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5A5776F">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E585B2A">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6B7CC229">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2C97D5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00C02E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36232A5">
      <w:pPr>
        <w:rPr>
          <w:rFonts w:hAnsi="宋体" w:cs="宋体"/>
          <w:color w:val="auto"/>
          <w:szCs w:val="24"/>
          <w:highlight w:val="none"/>
        </w:rPr>
      </w:pPr>
      <w:r>
        <w:rPr>
          <w:rFonts w:hint="eastAsia" w:hAnsi="宋体" w:cs="宋体"/>
          <w:color w:val="auto"/>
          <w:szCs w:val="24"/>
          <w:highlight w:val="none"/>
        </w:rPr>
        <w:t>被投诉人2</w:t>
      </w:r>
    </w:p>
    <w:p w14:paraId="1DC3D7A3">
      <w:pPr>
        <w:rPr>
          <w:rFonts w:hAnsi="宋体" w:cs="宋体"/>
          <w:color w:val="auto"/>
          <w:szCs w:val="24"/>
          <w:highlight w:val="none"/>
          <w:u w:val="dotted"/>
        </w:rPr>
      </w:pPr>
      <w:r>
        <w:rPr>
          <w:rFonts w:hint="eastAsia" w:hAnsi="宋体" w:cs="宋体"/>
          <w:color w:val="auto"/>
          <w:szCs w:val="24"/>
          <w:highlight w:val="none"/>
        </w:rPr>
        <w:t>……</w:t>
      </w:r>
    </w:p>
    <w:p w14:paraId="3AEB0520">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1C288D1">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413B3E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731F2A4">
      <w:pPr>
        <w:rPr>
          <w:rFonts w:hAnsi="宋体" w:cs="宋体"/>
          <w:color w:val="auto"/>
          <w:szCs w:val="24"/>
          <w:highlight w:val="none"/>
        </w:rPr>
      </w:pPr>
      <w:r>
        <w:rPr>
          <w:rFonts w:hint="eastAsia" w:hAnsi="宋体" w:cs="宋体"/>
          <w:color w:val="auto"/>
          <w:szCs w:val="24"/>
          <w:highlight w:val="none"/>
        </w:rPr>
        <w:t>二、投诉项目基本情况</w:t>
      </w:r>
    </w:p>
    <w:p w14:paraId="08BF38E9">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35B78358">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225047B">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7F87D">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1354552A">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177B8B41">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55B5EF6">
      <w:pPr>
        <w:rPr>
          <w:rFonts w:hAnsi="宋体" w:cs="宋体"/>
          <w:color w:val="auto"/>
          <w:szCs w:val="24"/>
          <w:highlight w:val="none"/>
        </w:rPr>
      </w:pPr>
      <w:r>
        <w:rPr>
          <w:rFonts w:hint="eastAsia" w:hAnsi="宋体" w:cs="宋体"/>
          <w:color w:val="auto"/>
          <w:szCs w:val="24"/>
          <w:highlight w:val="none"/>
        </w:rPr>
        <w:t>三、质疑基本情况</w:t>
      </w:r>
    </w:p>
    <w:p w14:paraId="30D89DDD">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5C56D0E9">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6F7BA89">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46876EA5">
      <w:pPr>
        <w:rPr>
          <w:rFonts w:hAnsi="宋体" w:cs="宋体"/>
          <w:color w:val="auto"/>
          <w:szCs w:val="24"/>
          <w:highlight w:val="none"/>
        </w:rPr>
      </w:pPr>
      <w:r>
        <w:rPr>
          <w:rFonts w:hint="eastAsia" w:hAnsi="宋体" w:cs="宋体"/>
          <w:color w:val="auto"/>
          <w:szCs w:val="24"/>
          <w:highlight w:val="none"/>
        </w:rPr>
        <w:t>四、投诉事项具体内容</w:t>
      </w:r>
    </w:p>
    <w:p w14:paraId="026CA37D">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86F6DDB">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166399D">
      <w:pPr>
        <w:rPr>
          <w:rFonts w:hAnsi="宋体" w:cs="宋体"/>
          <w:color w:val="auto"/>
          <w:szCs w:val="24"/>
          <w:highlight w:val="none"/>
          <w:u w:val="dotted"/>
        </w:rPr>
      </w:pPr>
      <w:r>
        <w:rPr>
          <w:rFonts w:hint="eastAsia" w:hAnsi="宋体" w:cs="宋体"/>
          <w:color w:val="auto"/>
          <w:szCs w:val="24"/>
          <w:highlight w:val="none"/>
          <w:u w:val="dotted"/>
        </w:rPr>
        <w:t xml:space="preserve">                                                      </w:t>
      </w:r>
    </w:p>
    <w:p w14:paraId="4E531983">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54A621FA">
      <w:pPr>
        <w:rPr>
          <w:rFonts w:hAnsi="宋体" w:cs="宋体"/>
          <w:color w:val="auto"/>
          <w:szCs w:val="24"/>
          <w:highlight w:val="none"/>
          <w:u w:val="dotted"/>
        </w:rPr>
      </w:pPr>
      <w:r>
        <w:rPr>
          <w:rFonts w:hint="eastAsia" w:hAnsi="宋体" w:cs="宋体"/>
          <w:color w:val="auto"/>
          <w:szCs w:val="24"/>
          <w:highlight w:val="none"/>
          <w:u w:val="dotted"/>
        </w:rPr>
        <w:t xml:space="preserve">                                                      </w:t>
      </w:r>
    </w:p>
    <w:p w14:paraId="12D4AD3B">
      <w:pPr>
        <w:rPr>
          <w:rFonts w:hAnsi="宋体" w:cs="宋体"/>
          <w:color w:val="auto"/>
          <w:szCs w:val="24"/>
          <w:highlight w:val="none"/>
        </w:rPr>
      </w:pPr>
      <w:r>
        <w:rPr>
          <w:rFonts w:hint="eastAsia" w:hAnsi="宋体" w:cs="宋体"/>
          <w:color w:val="auto"/>
          <w:szCs w:val="24"/>
          <w:highlight w:val="none"/>
        </w:rPr>
        <w:t>投诉事项2</w:t>
      </w:r>
    </w:p>
    <w:p w14:paraId="009C98EF">
      <w:pPr>
        <w:rPr>
          <w:rFonts w:hAnsi="宋体" w:cs="宋体"/>
          <w:color w:val="auto"/>
          <w:szCs w:val="24"/>
          <w:highlight w:val="none"/>
          <w:u w:val="dotted"/>
        </w:rPr>
      </w:pPr>
      <w:r>
        <w:rPr>
          <w:rFonts w:hint="eastAsia" w:hAnsi="宋体" w:cs="宋体"/>
          <w:color w:val="auto"/>
          <w:szCs w:val="24"/>
          <w:highlight w:val="none"/>
        </w:rPr>
        <w:t>……</w:t>
      </w:r>
    </w:p>
    <w:p w14:paraId="7A5D58EA">
      <w:pPr>
        <w:rPr>
          <w:rFonts w:hAnsi="宋体" w:cs="宋体"/>
          <w:color w:val="auto"/>
          <w:szCs w:val="24"/>
          <w:highlight w:val="none"/>
        </w:rPr>
      </w:pPr>
      <w:r>
        <w:rPr>
          <w:rFonts w:hint="eastAsia" w:hAnsi="宋体" w:cs="宋体"/>
          <w:color w:val="auto"/>
          <w:szCs w:val="24"/>
          <w:highlight w:val="none"/>
        </w:rPr>
        <w:t>五、与投诉事项相关的投诉请求</w:t>
      </w:r>
    </w:p>
    <w:p w14:paraId="181594CD">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0A1EEE7">
      <w:pPr>
        <w:rPr>
          <w:rFonts w:hAnsi="宋体" w:cs="宋体"/>
          <w:color w:val="auto"/>
          <w:szCs w:val="24"/>
          <w:highlight w:val="none"/>
          <w:u w:val="single"/>
        </w:rPr>
      </w:pPr>
      <w:r>
        <w:rPr>
          <w:rFonts w:hint="eastAsia" w:hAnsi="宋体" w:cs="宋体"/>
          <w:color w:val="auto"/>
          <w:szCs w:val="24"/>
          <w:highlight w:val="none"/>
        </w:rPr>
        <w:t xml:space="preserve">                                                                                                    </w:t>
      </w:r>
    </w:p>
    <w:p w14:paraId="655D29A3">
      <w:pPr>
        <w:rPr>
          <w:rFonts w:hAnsi="宋体" w:cs="宋体"/>
          <w:color w:val="auto"/>
          <w:szCs w:val="24"/>
          <w:highlight w:val="none"/>
        </w:rPr>
      </w:pPr>
      <w:r>
        <w:rPr>
          <w:rFonts w:hint="eastAsia" w:hAnsi="宋体" w:cs="宋体"/>
          <w:color w:val="auto"/>
          <w:szCs w:val="24"/>
          <w:highlight w:val="none"/>
        </w:rPr>
        <w:t xml:space="preserve">签字(签章)：                   公章：                      </w:t>
      </w:r>
    </w:p>
    <w:p w14:paraId="07F66E6B">
      <w:pPr>
        <w:rPr>
          <w:rFonts w:hAnsi="宋体" w:cs="宋体"/>
          <w:color w:val="auto"/>
          <w:sz w:val="21"/>
          <w:szCs w:val="21"/>
          <w:highlight w:val="none"/>
        </w:rPr>
      </w:pPr>
      <w:r>
        <w:rPr>
          <w:rFonts w:hint="eastAsia" w:hAnsi="宋体" w:cs="宋体"/>
          <w:color w:val="auto"/>
          <w:szCs w:val="24"/>
          <w:highlight w:val="none"/>
        </w:rPr>
        <w:t xml:space="preserve">日期：    </w:t>
      </w:r>
      <w:r>
        <w:rPr>
          <w:rFonts w:hint="eastAsia" w:hAnsi="宋体" w:cs="宋体"/>
          <w:color w:val="auto"/>
          <w:sz w:val="21"/>
          <w:szCs w:val="21"/>
          <w:highlight w:val="none"/>
        </w:rPr>
        <w:t xml:space="preserve">                  </w:t>
      </w:r>
    </w:p>
    <w:p w14:paraId="68170344">
      <w:pPr>
        <w:spacing w:line="360" w:lineRule="auto"/>
        <w:rPr>
          <w:rFonts w:hAnsi="宋体" w:cs="宋体"/>
          <w:color w:val="auto"/>
          <w:szCs w:val="24"/>
          <w:highlight w:val="none"/>
        </w:rPr>
      </w:pPr>
      <w:r>
        <w:rPr>
          <w:rFonts w:hint="eastAsia" w:hAnsi="宋体" w:cs="宋体"/>
          <w:color w:val="auto"/>
          <w:szCs w:val="24"/>
          <w:highlight w:val="none"/>
        </w:rPr>
        <w:t xml:space="preserve">                                </w:t>
      </w:r>
    </w:p>
    <w:p w14:paraId="2C5F44F8">
      <w:pPr>
        <w:tabs>
          <w:tab w:val="left" w:pos="7839"/>
        </w:tabs>
        <w:rPr>
          <w:color w:val="auto"/>
          <w:highlight w:val="none"/>
        </w:rPr>
      </w:pPr>
      <w:r>
        <w:rPr>
          <w:rFonts w:hint="eastAsia" w:hAnsi="宋体" w:cs="宋体"/>
          <w:color w:val="auto"/>
          <w:szCs w:val="24"/>
          <w:highlight w:val="none"/>
        </w:rPr>
        <w:tab/>
      </w:r>
    </w:p>
    <w:sectPr>
      <w:footerReference r:id="rId11" w:type="first"/>
      <w:footerReference r:id="rId10" w:type="default"/>
      <w:pgSz w:w="11906" w:h="16838"/>
      <w:pgMar w:top="1361" w:right="1304" w:bottom="1361"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B11B">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BAA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B292">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EF82">
    <w:pPr>
      <w:pStyle w:val="1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5AC6">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24F214">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1E87750">
    <w:pPr>
      <w:pStyle w:val="14"/>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BC38">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A4F1">
    <w:pPr>
      <w:spacing w:line="500" w:lineRule="exact"/>
      <w:ind w:left="1530" w:hanging="1530" w:hangingChars="850"/>
      <w:jc w:val="left"/>
      <w:rPr>
        <w:rFonts w:hint="default" w:hAnsi="宋体" w:cs="宋体"/>
        <w:sz w:val="24"/>
        <w:szCs w:val="24"/>
        <w:lang w:val="en-US"/>
      </w:rPr>
    </w:pPr>
    <w:r>
      <w:rPr>
        <w:rFonts w:hint="eastAsia" w:hAnsi="宋体"/>
        <w:bCs/>
        <w:sz w:val="18"/>
        <w:szCs w:val="18"/>
        <w:u w:val="single"/>
        <w:lang w:val="en-US" w:eastAsia="zh-CN"/>
      </w:rPr>
      <w:t>西安市网络内容规范普法活动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265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4EC6">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6EEE3"/>
    <w:multiLevelType w:val="singleLevel"/>
    <w:tmpl w:val="8636EEE3"/>
    <w:lvl w:ilvl="0" w:tentative="0">
      <w:start w:val="1"/>
      <w:numFmt w:val="decimal"/>
      <w:suff w:val="nothing"/>
      <w:lvlText w:val="%1、"/>
      <w:lvlJc w:val="left"/>
    </w:lvl>
  </w:abstractNum>
  <w:abstractNum w:abstractNumId="1">
    <w:nsid w:val="CCC7A2A6"/>
    <w:multiLevelType w:val="singleLevel"/>
    <w:tmpl w:val="CCC7A2A6"/>
    <w:lvl w:ilvl="0" w:tentative="0">
      <w:start w:val="1"/>
      <w:numFmt w:val="decimal"/>
      <w:suff w:val="nothing"/>
      <w:lvlText w:val="%1、"/>
      <w:lvlJc w:val="left"/>
    </w:lvl>
  </w:abstractNum>
  <w:abstractNum w:abstractNumId="2">
    <w:nsid w:val="0694CB46"/>
    <w:multiLevelType w:val="singleLevel"/>
    <w:tmpl w:val="0694CB46"/>
    <w:lvl w:ilvl="0" w:tentative="0">
      <w:start w:val="1"/>
      <w:numFmt w:val="decimal"/>
      <w:suff w:val="nothing"/>
      <w:lvlText w:val="%1、"/>
      <w:lvlJc w:val="left"/>
    </w:lvl>
  </w:abstractNum>
  <w:abstractNum w:abstractNumId="3">
    <w:nsid w:val="0E23E8CD"/>
    <w:multiLevelType w:val="singleLevel"/>
    <w:tmpl w:val="0E23E8CD"/>
    <w:lvl w:ilvl="0" w:tentative="0">
      <w:start w:val="1"/>
      <w:numFmt w:val="decimal"/>
      <w:suff w:val="nothing"/>
      <w:lvlText w:val="%1、"/>
      <w:lvlJc w:val="left"/>
    </w:lvl>
  </w:abstractNum>
  <w:abstractNum w:abstractNumId="4">
    <w:nsid w:val="3345DCC0"/>
    <w:multiLevelType w:val="singleLevel"/>
    <w:tmpl w:val="3345DCC0"/>
    <w:lvl w:ilvl="0" w:tentative="0">
      <w:start w:val="1"/>
      <w:numFmt w:val="decimal"/>
      <w:suff w:val="nothing"/>
      <w:lvlText w:val="%1）"/>
      <w:lvlJc w:val="left"/>
    </w:lvl>
  </w:abstractNum>
  <w:abstractNum w:abstractNumId="5">
    <w:nsid w:val="590049E8"/>
    <w:multiLevelType w:val="singleLevel"/>
    <w:tmpl w:val="590049E8"/>
    <w:lvl w:ilvl="0" w:tentative="0">
      <w:start w:val="30"/>
      <w:numFmt w:val="decimal"/>
      <w:suff w:val="nothing"/>
      <w:lvlText w:val="%1."/>
      <w:lvlJc w:val="left"/>
    </w:lvl>
  </w:abstractNum>
  <w:abstractNum w:abstractNumId="6">
    <w:nsid w:val="59B2460E"/>
    <w:multiLevelType w:val="singleLevel"/>
    <w:tmpl w:val="59B2460E"/>
    <w:lvl w:ilvl="0" w:tentative="0">
      <w:start w:val="2"/>
      <w:numFmt w:val="decimal"/>
      <w:suff w:val="nothing"/>
      <w:lvlText w:val="%1."/>
      <w:lvlJc w:val="left"/>
    </w:lvl>
  </w:abstractNum>
  <w:abstractNum w:abstractNumId="7">
    <w:nsid w:val="59CF0981"/>
    <w:multiLevelType w:val="singleLevel"/>
    <w:tmpl w:val="59CF0981"/>
    <w:lvl w:ilvl="0" w:tentative="0">
      <w:start w:val="1"/>
      <w:numFmt w:val="decimal"/>
      <w:suff w:val="nothing"/>
      <w:lvlText w:val="%1、"/>
      <w:lvlJc w:val="left"/>
    </w:lvl>
  </w:abstractNum>
  <w:num w:numId="1">
    <w:abstractNumId w:val="6"/>
  </w:num>
  <w:num w:numId="2">
    <w:abstractNumId w:val="5"/>
  </w:num>
  <w:num w:numId="3">
    <w:abstractNumId w:val="7"/>
  </w:num>
  <w:num w:numId="4">
    <w:abstractNumId w:val="2"/>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22DA9"/>
    <w:rsid w:val="00137253"/>
    <w:rsid w:val="001C7382"/>
    <w:rsid w:val="00284B06"/>
    <w:rsid w:val="0032060D"/>
    <w:rsid w:val="00422DA9"/>
    <w:rsid w:val="004A55FA"/>
    <w:rsid w:val="005A3987"/>
    <w:rsid w:val="006016AC"/>
    <w:rsid w:val="006256E1"/>
    <w:rsid w:val="0067163E"/>
    <w:rsid w:val="006C638F"/>
    <w:rsid w:val="00860B56"/>
    <w:rsid w:val="009444C8"/>
    <w:rsid w:val="009E22A4"/>
    <w:rsid w:val="00A646B2"/>
    <w:rsid w:val="00AB4B87"/>
    <w:rsid w:val="00C07800"/>
    <w:rsid w:val="00CA3F42"/>
    <w:rsid w:val="00E60A9C"/>
    <w:rsid w:val="00F42018"/>
    <w:rsid w:val="01491172"/>
    <w:rsid w:val="026512DC"/>
    <w:rsid w:val="02B84C3A"/>
    <w:rsid w:val="02EA0A37"/>
    <w:rsid w:val="03542EE5"/>
    <w:rsid w:val="038A4972"/>
    <w:rsid w:val="04711A99"/>
    <w:rsid w:val="051E0804"/>
    <w:rsid w:val="054F4610"/>
    <w:rsid w:val="056F2E0E"/>
    <w:rsid w:val="05B80C59"/>
    <w:rsid w:val="05DA68EB"/>
    <w:rsid w:val="064767BD"/>
    <w:rsid w:val="06C26280"/>
    <w:rsid w:val="06D762C8"/>
    <w:rsid w:val="06E72E78"/>
    <w:rsid w:val="0714287C"/>
    <w:rsid w:val="07EC2E3C"/>
    <w:rsid w:val="099E253A"/>
    <w:rsid w:val="09D21BBD"/>
    <w:rsid w:val="0A52691C"/>
    <w:rsid w:val="0A7B73F3"/>
    <w:rsid w:val="0AE0655C"/>
    <w:rsid w:val="0B2608DC"/>
    <w:rsid w:val="0B75056B"/>
    <w:rsid w:val="0BE31B98"/>
    <w:rsid w:val="0C4F1BEB"/>
    <w:rsid w:val="0C580AA0"/>
    <w:rsid w:val="0DCD7E5B"/>
    <w:rsid w:val="0DEE77BA"/>
    <w:rsid w:val="0EC42C1D"/>
    <w:rsid w:val="0EEC43BD"/>
    <w:rsid w:val="0FB71F81"/>
    <w:rsid w:val="0FCB77DB"/>
    <w:rsid w:val="0FD83CA6"/>
    <w:rsid w:val="108274B3"/>
    <w:rsid w:val="10BD35C7"/>
    <w:rsid w:val="10C03B1A"/>
    <w:rsid w:val="110A4333"/>
    <w:rsid w:val="110E5D15"/>
    <w:rsid w:val="11933EF1"/>
    <w:rsid w:val="124E6541"/>
    <w:rsid w:val="12521A10"/>
    <w:rsid w:val="13055EFC"/>
    <w:rsid w:val="131964EC"/>
    <w:rsid w:val="13723236"/>
    <w:rsid w:val="14011A1D"/>
    <w:rsid w:val="1408016B"/>
    <w:rsid w:val="14FF19C2"/>
    <w:rsid w:val="16D004E2"/>
    <w:rsid w:val="16D34E48"/>
    <w:rsid w:val="17381DE3"/>
    <w:rsid w:val="175400B6"/>
    <w:rsid w:val="17E77172"/>
    <w:rsid w:val="18243F2C"/>
    <w:rsid w:val="18624A54"/>
    <w:rsid w:val="19762552"/>
    <w:rsid w:val="19F1107F"/>
    <w:rsid w:val="1A6A586E"/>
    <w:rsid w:val="1A7840BB"/>
    <w:rsid w:val="1A7F74B5"/>
    <w:rsid w:val="1AB77E2C"/>
    <w:rsid w:val="1AE56119"/>
    <w:rsid w:val="1B917B2A"/>
    <w:rsid w:val="1BAE4D2B"/>
    <w:rsid w:val="1BF20D44"/>
    <w:rsid w:val="1BF70EFF"/>
    <w:rsid w:val="1C135CE2"/>
    <w:rsid w:val="1D6C4D32"/>
    <w:rsid w:val="1D8C396C"/>
    <w:rsid w:val="1E47352A"/>
    <w:rsid w:val="1E474499"/>
    <w:rsid w:val="1E616F4E"/>
    <w:rsid w:val="1E7D10B6"/>
    <w:rsid w:val="1E9329DA"/>
    <w:rsid w:val="1F126C7C"/>
    <w:rsid w:val="1FB1325C"/>
    <w:rsid w:val="1FB72D74"/>
    <w:rsid w:val="1FEB742A"/>
    <w:rsid w:val="20530343"/>
    <w:rsid w:val="20531852"/>
    <w:rsid w:val="209348EA"/>
    <w:rsid w:val="21210A4D"/>
    <w:rsid w:val="23605E63"/>
    <w:rsid w:val="237F1D35"/>
    <w:rsid w:val="23AC19CC"/>
    <w:rsid w:val="23B4085A"/>
    <w:rsid w:val="245416F5"/>
    <w:rsid w:val="24D93136"/>
    <w:rsid w:val="255B2E26"/>
    <w:rsid w:val="258C4C14"/>
    <w:rsid w:val="25E76599"/>
    <w:rsid w:val="25F413E1"/>
    <w:rsid w:val="26450D58"/>
    <w:rsid w:val="2683064A"/>
    <w:rsid w:val="272C1927"/>
    <w:rsid w:val="281E2746"/>
    <w:rsid w:val="289A5B44"/>
    <w:rsid w:val="28C0686E"/>
    <w:rsid w:val="29086411"/>
    <w:rsid w:val="29E01C20"/>
    <w:rsid w:val="29E55A22"/>
    <w:rsid w:val="2AF552B4"/>
    <w:rsid w:val="2B372839"/>
    <w:rsid w:val="2BB60EE7"/>
    <w:rsid w:val="2BCA6741"/>
    <w:rsid w:val="2BE608F9"/>
    <w:rsid w:val="2BF043F9"/>
    <w:rsid w:val="2C0E0D23"/>
    <w:rsid w:val="2CE837DD"/>
    <w:rsid w:val="2CFC5020"/>
    <w:rsid w:val="2DA83DCF"/>
    <w:rsid w:val="2EBB4D79"/>
    <w:rsid w:val="2F02634B"/>
    <w:rsid w:val="2F0B779C"/>
    <w:rsid w:val="2FA84FEB"/>
    <w:rsid w:val="2FFD0E93"/>
    <w:rsid w:val="301001E1"/>
    <w:rsid w:val="3045283A"/>
    <w:rsid w:val="305F38FB"/>
    <w:rsid w:val="30B3406E"/>
    <w:rsid w:val="30BD4AC6"/>
    <w:rsid w:val="30E43FCF"/>
    <w:rsid w:val="311D12DC"/>
    <w:rsid w:val="31C81974"/>
    <w:rsid w:val="31CF685F"/>
    <w:rsid w:val="3231334B"/>
    <w:rsid w:val="32C20171"/>
    <w:rsid w:val="331040BE"/>
    <w:rsid w:val="333E1EEE"/>
    <w:rsid w:val="33C1355E"/>
    <w:rsid w:val="34C06933"/>
    <w:rsid w:val="355C5974"/>
    <w:rsid w:val="358723B5"/>
    <w:rsid w:val="359C6A8A"/>
    <w:rsid w:val="361433DA"/>
    <w:rsid w:val="36745C27"/>
    <w:rsid w:val="374B4BD2"/>
    <w:rsid w:val="37662F7D"/>
    <w:rsid w:val="38325D99"/>
    <w:rsid w:val="38757915"/>
    <w:rsid w:val="388F3421"/>
    <w:rsid w:val="39BE36E3"/>
    <w:rsid w:val="39D553AA"/>
    <w:rsid w:val="3A064C79"/>
    <w:rsid w:val="3A8C2B51"/>
    <w:rsid w:val="3AD061AD"/>
    <w:rsid w:val="3AF06488"/>
    <w:rsid w:val="3B4F0A10"/>
    <w:rsid w:val="3B50782C"/>
    <w:rsid w:val="3B663A4F"/>
    <w:rsid w:val="3BB014AF"/>
    <w:rsid w:val="3BE21884"/>
    <w:rsid w:val="3C7B1945"/>
    <w:rsid w:val="3C7D53DE"/>
    <w:rsid w:val="3D4E699A"/>
    <w:rsid w:val="3DBB5CCD"/>
    <w:rsid w:val="3DBC7D3F"/>
    <w:rsid w:val="3E4F1453"/>
    <w:rsid w:val="3E7C700F"/>
    <w:rsid w:val="3F790A1F"/>
    <w:rsid w:val="406B590C"/>
    <w:rsid w:val="418F1570"/>
    <w:rsid w:val="41984EBF"/>
    <w:rsid w:val="42377DAE"/>
    <w:rsid w:val="42755200"/>
    <w:rsid w:val="429D651C"/>
    <w:rsid w:val="42B37C55"/>
    <w:rsid w:val="42F00D2B"/>
    <w:rsid w:val="430B7CC0"/>
    <w:rsid w:val="43305EF3"/>
    <w:rsid w:val="43454AA3"/>
    <w:rsid w:val="45A81449"/>
    <w:rsid w:val="45B147A1"/>
    <w:rsid w:val="45D148E1"/>
    <w:rsid w:val="47532DA2"/>
    <w:rsid w:val="477E6905"/>
    <w:rsid w:val="47BA5602"/>
    <w:rsid w:val="47CB7BCD"/>
    <w:rsid w:val="48723E9C"/>
    <w:rsid w:val="48A948A9"/>
    <w:rsid w:val="48F344FE"/>
    <w:rsid w:val="496B79EC"/>
    <w:rsid w:val="49BD79B3"/>
    <w:rsid w:val="49C64593"/>
    <w:rsid w:val="49C82C57"/>
    <w:rsid w:val="4A02381D"/>
    <w:rsid w:val="4A1C0EB1"/>
    <w:rsid w:val="4A5E47CC"/>
    <w:rsid w:val="4AAC2C6F"/>
    <w:rsid w:val="4B9C1A50"/>
    <w:rsid w:val="4BAD77B9"/>
    <w:rsid w:val="4C966BC0"/>
    <w:rsid w:val="4D135FB2"/>
    <w:rsid w:val="4D1E03A6"/>
    <w:rsid w:val="4D3038E5"/>
    <w:rsid w:val="4D307788"/>
    <w:rsid w:val="4D477799"/>
    <w:rsid w:val="4D596375"/>
    <w:rsid w:val="4DEB6377"/>
    <w:rsid w:val="4DED6593"/>
    <w:rsid w:val="4E7E7EDA"/>
    <w:rsid w:val="4EA053B3"/>
    <w:rsid w:val="4ED62B87"/>
    <w:rsid w:val="4F0B353D"/>
    <w:rsid w:val="4F0D5377"/>
    <w:rsid w:val="50121437"/>
    <w:rsid w:val="50132763"/>
    <w:rsid w:val="509203B3"/>
    <w:rsid w:val="50DF5A3C"/>
    <w:rsid w:val="511E6A63"/>
    <w:rsid w:val="521F0CE5"/>
    <w:rsid w:val="522D23CF"/>
    <w:rsid w:val="52326C6A"/>
    <w:rsid w:val="526037D7"/>
    <w:rsid w:val="528D20F2"/>
    <w:rsid w:val="52927B75"/>
    <w:rsid w:val="52A6120D"/>
    <w:rsid w:val="52C11C7B"/>
    <w:rsid w:val="535661BA"/>
    <w:rsid w:val="5391176E"/>
    <w:rsid w:val="54201323"/>
    <w:rsid w:val="54414F42"/>
    <w:rsid w:val="5498635F"/>
    <w:rsid w:val="5527328A"/>
    <w:rsid w:val="5562118F"/>
    <w:rsid w:val="55801A9A"/>
    <w:rsid w:val="55DE5D02"/>
    <w:rsid w:val="56E23696"/>
    <w:rsid w:val="572052E3"/>
    <w:rsid w:val="582F6BEF"/>
    <w:rsid w:val="58415BC6"/>
    <w:rsid w:val="585F62DF"/>
    <w:rsid w:val="58BD1B3B"/>
    <w:rsid w:val="590A2C81"/>
    <w:rsid w:val="59361347"/>
    <w:rsid w:val="593908DE"/>
    <w:rsid w:val="594068A2"/>
    <w:rsid w:val="59875AED"/>
    <w:rsid w:val="598A113A"/>
    <w:rsid w:val="59A66EED"/>
    <w:rsid w:val="59BF535F"/>
    <w:rsid w:val="5A4E220C"/>
    <w:rsid w:val="5AF150AF"/>
    <w:rsid w:val="5B1727FC"/>
    <w:rsid w:val="5C06474A"/>
    <w:rsid w:val="5D500F29"/>
    <w:rsid w:val="5D5905FD"/>
    <w:rsid w:val="5D822C5A"/>
    <w:rsid w:val="5D93740B"/>
    <w:rsid w:val="5DD46E27"/>
    <w:rsid w:val="5E421FD0"/>
    <w:rsid w:val="5E6A32E8"/>
    <w:rsid w:val="5E7A79CF"/>
    <w:rsid w:val="5EAA2796"/>
    <w:rsid w:val="5ED0632D"/>
    <w:rsid w:val="5ED51AA0"/>
    <w:rsid w:val="5F1C7961"/>
    <w:rsid w:val="5F864151"/>
    <w:rsid w:val="60032A91"/>
    <w:rsid w:val="60637039"/>
    <w:rsid w:val="60C74A21"/>
    <w:rsid w:val="60D71759"/>
    <w:rsid w:val="61195669"/>
    <w:rsid w:val="61397DAE"/>
    <w:rsid w:val="615472F6"/>
    <w:rsid w:val="61941CD4"/>
    <w:rsid w:val="61B50D1E"/>
    <w:rsid w:val="62595B4D"/>
    <w:rsid w:val="62AE5E99"/>
    <w:rsid w:val="633F11E7"/>
    <w:rsid w:val="638A1AF5"/>
    <w:rsid w:val="64A936CA"/>
    <w:rsid w:val="64CA4AE0"/>
    <w:rsid w:val="64DE46F5"/>
    <w:rsid w:val="665B3698"/>
    <w:rsid w:val="665D1ED0"/>
    <w:rsid w:val="66DC6D4D"/>
    <w:rsid w:val="679B47E6"/>
    <w:rsid w:val="67B04461"/>
    <w:rsid w:val="67C54E8F"/>
    <w:rsid w:val="682C6065"/>
    <w:rsid w:val="68776D2D"/>
    <w:rsid w:val="68A6624A"/>
    <w:rsid w:val="68E646F7"/>
    <w:rsid w:val="690D798C"/>
    <w:rsid w:val="69D4240D"/>
    <w:rsid w:val="69DE533E"/>
    <w:rsid w:val="69E9326E"/>
    <w:rsid w:val="6AC02E25"/>
    <w:rsid w:val="6AEA6BBE"/>
    <w:rsid w:val="6B005D17"/>
    <w:rsid w:val="6B7F174D"/>
    <w:rsid w:val="6C9F6852"/>
    <w:rsid w:val="6CCF5389"/>
    <w:rsid w:val="6CD52274"/>
    <w:rsid w:val="6D9914F3"/>
    <w:rsid w:val="6E237E7E"/>
    <w:rsid w:val="6E960558"/>
    <w:rsid w:val="6F386134"/>
    <w:rsid w:val="6F944668"/>
    <w:rsid w:val="6F995F63"/>
    <w:rsid w:val="70186481"/>
    <w:rsid w:val="70406237"/>
    <w:rsid w:val="70C5413D"/>
    <w:rsid w:val="70FE3161"/>
    <w:rsid w:val="71044C1B"/>
    <w:rsid w:val="71B051CD"/>
    <w:rsid w:val="71BC1928"/>
    <w:rsid w:val="723E1DBC"/>
    <w:rsid w:val="73C72DDD"/>
    <w:rsid w:val="73D96AEE"/>
    <w:rsid w:val="7436299A"/>
    <w:rsid w:val="74393A30"/>
    <w:rsid w:val="74C552BF"/>
    <w:rsid w:val="74F97939"/>
    <w:rsid w:val="75102D70"/>
    <w:rsid w:val="76047015"/>
    <w:rsid w:val="76214E9E"/>
    <w:rsid w:val="76E06023"/>
    <w:rsid w:val="770171FE"/>
    <w:rsid w:val="773B2F52"/>
    <w:rsid w:val="77D649A3"/>
    <w:rsid w:val="784B5870"/>
    <w:rsid w:val="790068CB"/>
    <w:rsid w:val="790A0471"/>
    <w:rsid w:val="79B7342D"/>
    <w:rsid w:val="79E26DE7"/>
    <w:rsid w:val="7A005CD4"/>
    <w:rsid w:val="7A5B0EAD"/>
    <w:rsid w:val="7B5D576D"/>
    <w:rsid w:val="7C08295D"/>
    <w:rsid w:val="7C853459"/>
    <w:rsid w:val="7CDC740A"/>
    <w:rsid w:val="7D7F7E70"/>
    <w:rsid w:val="7DE537E2"/>
    <w:rsid w:val="7E0724A9"/>
    <w:rsid w:val="7E2D16FC"/>
    <w:rsid w:val="7EF02F3D"/>
    <w:rsid w:val="7F0B6033"/>
    <w:rsid w:val="7F425B38"/>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9"/>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spacing w:line="300" w:lineRule="auto"/>
      <w:ind w:firstLine="420" w:firstLineChars="200"/>
    </w:pPr>
    <w:rPr>
      <w:rFonts w:ascii="Calibri"/>
      <w:kern w:val="2"/>
      <w:sz w:val="21"/>
      <w:szCs w:val="24"/>
    </w:rPr>
  </w:style>
  <w:style w:type="paragraph" w:styleId="8">
    <w:name w:val="Body Text 3"/>
    <w:basedOn w:val="1"/>
    <w:autoRedefine/>
    <w:qFormat/>
    <w:uiPriority w:val="0"/>
    <w:pPr>
      <w:jc w:val="center"/>
    </w:pPr>
    <w:rPr>
      <w:rFonts w:ascii="Times New Roman"/>
      <w:b/>
      <w:spacing w:val="-20"/>
      <w:w w:val="110"/>
      <w:kern w:val="2"/>
      <w:sz w:val="52"/>
    </w:rPr>
  </w:style>
  <w:style w:type="paragraph" w:styleId="9">
    <w:name w:val="Body Text"/>
    <w:basedOn w:val="1"/>
    <w:next w:val="1"/>
    <w:autoRedefine/>
    <w:qFormat/>
    <w:uiPriority w:val="0"/>
    <w:pPr>
      <w:spacing w:line="520" w:lineRule="exact"/>
      <w:ind w:firstLine="480" w:firstLineChars="200"/>
    </w:pPr>
    <w:rPr>
      <w:rFonts w:hAnsi="宋体" w:cs="宋体"/>
      <w:kern w:val="2"/>
      <w:szCs w:val="24"/>
    </w:rPr>
  </w:style>
  <w:style w:type="paragraph" w:styleId="10">
    <w:name w:val="Body Text Indent"/>
    <w:basedOn w:val="1"/>
    <w:next w:val="9"/>
    <w:autoRedefine/>
    <w:qFormat/>
    <w:uiPriority w:val="99"/>
    <w:pPr>
      <w:spacing w:afterLines="50" w:line="360" w:lineRule="exact"/>
      <w:ind w:firstLine="480" w:firstLineChars="200"/>
    </w:pPr>
    <w:rPr>
      <w:rFonts w:hAnsi="宋体"/>
      <w:szCs w:val="24"/>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hAnsi="Courier New"/>
      <w:kern w:val="2"/>
      <w:sz w:val="21"/>
    </w:rPr>
  </w:style>
  <w:style w:type="paragraph" w:styleId="13">
    <w:name w:val="Balloon Text"/>
    <w:basedOn w:val="1"/>
    <w:link w:val="39"/>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9"/>
    <w:unhideWhenUsed/>
    <w:qFormat/>
    <w:uiPriority w:val="99"/>
    <w:pPr>
      <w:ind w:firstLine="420" w:firstLineChars="100"/>
    </w:p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1"/>
    <w:autoRedefine/>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character" w:customStyle="1" w:styleId="29">
    <w:name w:val="标题 1 Char"/>
    <w:link w:val="2"/>
    <w:autoRedefine/>
    <w:qFormat/>
    <w:uiPriority w:val="0"/>
    <w:rPr>
      <w:rFonts w:ascii="仿宋_GB2312" w:hAnsi="宋体" w:eastAsia="仿宋_GB2312"/>
      <w:b/>
      <w:kern w:val="2"/>
      <w:sz w:val="32"/>
    </w:rPr>
  </w:style>
  <w:style w:type="paragraph" w:customStyle="1" w:styleId="30">
    <w:name w:val="MessageHeader"/>
    <w:basedOn w:val="1"/>
    <w:next w:val="31"/>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1">
    <w:name w:val="BodyText"/>
    <w:basedOn w:val="1"/>
    <w:next w:val="1"/>
    <w:autoRedefine/>
    <w:qFormat/>
    <w:uiPriority w:val="0"/>
    <w:pPr>
      <w:jc w:val="center"/>
      <w:textAlignment w:val="baseline"/>
    </w:pPr>
  </w:style>
  <w:style w:type="paragraph" w:customStyle="1" w:styleId="32">
    <w:name w:val="列出段落1"/>
    <w:basedOn w:val="1"/>
    <w:autoRedefine/>
    <w:qFormat/>
    <w:uiPriority w:val="34"/>
    <w:pPr>
      <w:ind w:firstLine="420" w:firstLineChars="200"/>
    </w:pPr>
  </w:style>
  <w:style w:type="paragraph" w:customStyle="1" w:styleId="33">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4">
    <w:name w:val="表格文字中"/>
    <w:basedOn w:val="1"/>
    <w:autoRedefine/>
    <w:qFormat/>
    <w:uiPriority w:val="0"/>
    <w:pPr>
      <w:adjustRightInd w:val="0"/>
      <w:snapToGrid w:val="0"/>
      <w:ind w:left="22" w:leftChars="8"/>
      <w:jc w:val="center"/>
    </w:pPr>
    <w:rPr>
      <w:szCs w:val="24"/>
    </w:rPr>
  </w:style>
  <w:style w:type="paragraph" w:customStyle="1" w:styleId="35">
    <w:name w:val="Char1"/>
    <w:basedOn w:val="1"/>
    <w:autoRedefine/>
    <w:qFormat/>
    <w:uiPriority w:val="0"/>
    <w:pPr>
      <w:tabs>
        <w:tab w:val="left" w:pos="360"/>
      </w:tabs>
      <w:ind w:left="360" w:hanging="360" w:hangingChars="200"/>
    </w:pPr>
    <w:rPr>
      <w:szCs w:val="24"/>
    </w:rPr>
  </w:style>
  <w:style w:type="paragraph" w:customStyle="1" w:styleId="36">
    <w:name w:val="列出段落11"/>
    <w:basedOn w:val="1"/>
    <w:autoRedefine/>
    <w:qFormat/>
    <w:uiPriority w:val="34"/>
    <w:pPr>
      <w:ind w:firstLine="420" w:firstLineChars="200"/>
    </w:pPr>
    <w:rPr>
      <w:rFonts w:ascii="Calibri" w:hAnsi="Calibri"/>
      <w:szCs w:val="22"/>
    </w:rPr>
  </w:style>
  <w:style w:type="paragraph" w:customStyle="1" w:styleId="37">
    <w:name w:val="列表段落1"/>
    <w:basedOn w:val="1"/>
    <w:autoRedefine/>
    <w:qFormat/>
    <w:uiPriority w:val="99"/>
    <w:pPr>
      <w:ind w:firstLine="420" w:firstLineChars="200"/>
    </w:pPr>
  </w:style>
  <w:style w:type="paragraph" w:customStyle="1" w:styleId="38">
    <w:name w:val="Table Paragraph"/>
    <w:basedOn w:val="1"/>
    <w:autoRedefine/>
    <w:qFormat/>
    <w:uiPriority w:val="1"/>
    <w:pPr>
      <w:autoSpaceDE w:val="0"/>
      <w:autoSpaceDN w:val="0"/>
      <w:jc w:val="left"/>
    </w:pPr>
    <w:rPr>
      <w:rFonts w:hAnsi="宋体" w:cs="宋体"/>
      <w:sz w:val="22"/>
      <w:szCs w:val="22"/>
      <w:lang w:val="zh-CN"/>
    </w:rPr>
  </w:style>
  <w:style w:type="character" w:customStyle="1" w:styleId="39">
    <w:name w:val="批注框文本 Char"/>
    <w:basedOn w:val="24"/>
    <w:link w:val="13"/>
    <w:qFormat/>
    <w:uiPriority w:val="0"/>
    <w:rPr>
      <w:rFonts w:ascii="宋体"/>
      <w:sz w:val="18"/>
      <w:szCs w:val="18"/>
    </w:rPr>
  </w:style>
  <w:style w:type="paragraph" w:customStyle="1" w:styleId="40">
    <w:name w:val="样式1"/>
    <w:basedOn w:val="1"/>
    <w:qFormat/>
    <w:uiPriority w:val="0"/>
    <w:pPr>
      <w:spacing w:line="560" w:lineRule="exact"/>
      <w:ind w:firstLine="560" w:firstLineChars="200"/>
    </w:pPr>
    <w:rPr>
      <w:rFonts w:ascii="仿宋_GB2312" w:hAnsi="宋体" w:eastAsia="仿宋_GB2312"/>
      <w:color w:val="000000"/>
      <w:sz w:val="28"/>
      <w:szCs w:val="28"/>
    </w:rPr>
  </w:style>
  <w:style w:type="paragraph" w:customStyle="1" w:styleId="41">
    <w:name w:val="表"/>
    <w:basedOn w:val="1"/>
    <w:next w:val="1"/>
    <w:qFormat/>
    <w:uiPriority w:val="0"/>
    <w:pPr>
      <w:spacing w:line="240" w:lineRule="auto"/>
      <w:ind w:firstLine="0" w:firstLineChars="0"/>
      <w:jc w:val="center"/>
    </w:pPr>
    <w:rPr>
      <w:rFonts w:ascii="Times New Roman" w:hAnsi="Times New Roman"/>
      <w:b/>
      <w:sz w:val="24"/>
    </w:rPr>
  </w:style>
  <w:style w:type="paragraph" w:customStyle="1" w:styleId="4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27937</Words>
  <Characters>29588</Characters>
  <Lines>245</Lines>
  <Paragraphs>69</Paragraphs>
  <TotalTime>6</TotalTime>
  <ScaleCrop>false</ScaleCrop>
  <LinksUpToDate>false</LinksUpToDate>
  <CharactersWithSpaces>33285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Mr.sy</cp:lastModifiedBy>
  <dcterms:modified xsi:type="dcterms:W3CDTF">2025-08-29T05:50:33Z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12D31501B1064D93852A700EDCD94387_13</vt:lpwstr>
  </property>
  <property fmtid="{D5CDD505-2E9C-101B-9397-08002B2CF9AE}" pid="4" name="KSOTemplateDocerSaveRecord">
    <vt:lpwstr>eyJoZGlkIjoiNjE3MzAxNTgxYjAxOTI0ZjUxMzZjMDU1NTMzNDBmOTIiLCJ1c2VySWQiOiIyMzA4NTAzMTYifQ==</vt:lpwstr>
  </property>
</Properties>
</file>