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34948">
      <w:pPr>
        <w:adjustRightInd w:val="0"/>
        <w:snapToGrid w:val="0"/>
        <w:spacing w:line="360" w:lineRule="auto"/>
        <w:jc w:val="right"/>
        <w:rPr>
          <w:rFonts w:ascii="宋体" w:cs="Times New Roman"/>
          <w:b/>
          <w:bCs/>
          <w:color w:val="auto"/>
          <w:sz w:val="30"/>
          <w:szCs w:val="30"/>
        </w:rPr>
      </w:pPr>
      <w:bookmarkStart w:id="0" w:name="OLE_LINK9"/>
      <w:bookmarkStart w:id="204" w:name="_GoBack"/>
      <w:bookmarkEnd w:id="204"/>
      <w:r>
        <w:rPr>
          <w:rFonts w:hint="eastAsia" w:ascii="宋体" w:hAnsi="宋体" w:cs="宋体"/>
          <w:b/>
          <w:bCs/>
          <w:color w:val="auto"/>
          <w:sz w:val="30"/>
          <w:szCs w:val="30"/>
        </w:rPr>
        <w:t>政府采购项目</w:t>
      </w:r>
    </w:p>
    <w:p w14:paraId="38D95E52">
      <w:pPr>
        <w:tabs>
          <w:tab w:val="left" w:pos="7400"/>
        </w:tabs>
        <w:adjustRightInd w:val="0"/>
        <w:snapToGrid w:val="0"/>
        <w:spacing w:line="360" w:lineRule="auto"/>
        <w:rPr>
          <w:rFonts w:ascii="宋体" w:cs="Times New Roman"/>
          <w:b/>
          <w:bCs/>
          <w:color w:val="auto"/>
          <w:sz w:val="44"/>
          <w:szCs w:val="44"/>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AKSH2025-ZCS-092-3</w:t>
      </w:r>
      <w:r>
        <w:rPr>
          <w:rFonts w:hint="eastAsia" w:ascii="宋体" w:cs="Times New Roman"/>
          <w:b/>
          <w:bCs/>
          <w:color w:val="auto"/>
          <w:sz w:val="44"/>
          <w:szCs w:val="44"/>
        </w:rPr>
        <w:tab/>
      </w:r>
    </w:p>
    <w:p w14:paraId="7EDF1703">
      <w:pPr>
        <w:tabs>
          <w:tab w:val="left" w:pos="7400"/>
        </w:tabs>
        <w:adjustRightInd w:val="0"/>
        <w:snapToGrid w:val="0"/>
        <w:spacing w:line="360" w:lineRule="auto"/>
        <w:rPr>
          <w:rFonts w:ascii="宋体" w:cs="Times New Roman"/>
          <w:b/>
          <w:bCs/>
          <w:color w:val="auto"/>
          <w:sz w:val="36"/>
          <w:szCs w:val="36"/>
        </w:rPr>
      </w:pPr>
    </w:p>
    <w:p w14:paraId="79738ED2">
      <w:pPr>
        <w:pStyle w:val="12"/>
        <w:rPr>
          <w:color w:val="auto"/>
        </w:rPr>
      </w:pPr>
    </w:p>
    <w:p w14:paraId="175346BE">
      <w:pPr>
        <w:jc w:val="center"/>
        <w:rPr>
          <w:rFonts w:hint="eastAsia" w:ascii="宋体" w:hAnsi="宋体"/>
          <w:b/>
          <w:color w:val="auto"/>
          <w:sz w:val="56"/>
          <w:szCs w:val="56"/>
          <w:lang w:eastAsia="zh-CN"/>
        </w:rPr>
      </w:pPr>
      <w:r>
        <w:rPr>
          <w:rFonts w:hint="eastAsia" w:ascii="宋体" w:hAnsi="宋体"/>
          <w:b/>
          <w:color w:val="auto"/>
          <w:sz w:val="56"/>
          <w:szCs w:val="56"/>
          <w:lang w:eastAsia="zh-CN"/>
        </w:rPr>
        <w:t>安康市中医医院物流系统维保服务</w:t>
      </w:r>
    </w:p>
    <w:p w14:paraId="4BBE0F36">
      <w:pPr>
        <w:jc w:val="center"/>
        <w:rPr>
          <w:rFonts w:hint="eastAsia" w:ascii="宋体" w:hAnsi="宋体" w:eastAsia="宋体"/>
          <w:b/>
          <w:color w:val="auto"/>
          <w:sz w:val="48"/>
          <w:szCs w:val="48"/>
          <w:lang w:eastAsia="zh-CN"/>
        </w:rPr>
      </w:pPr>
      <w:r>
        <w:rPr>
          <w:rFonts w:hint="eastAsia" w:ascii="宋体" w:hAnsi="宋体"/>
          <w:b/>
          <w:color w:val="auto"/>
          <w:sz w:val="56"/>
          <w:szCs w:val="56"/>
          <w:lang w:eastAsia="zh-CN"/>
        </w:rPr>
        <w:t>采购项目（</w:t>
      </w:r>
      <w:r>
        <w:rPr>
          <w:rFonts w:hint="eastAsia" w:ascii="宋体" w:hAnsi="宋体"/>
          <w:b/>
          <w:color w:val="auto"/>
          <w:sz w:val="56"/>
          <w:szCs w:val="56"/>
          <w:lang w:val="en-US" w:eastAsia="zh-CN"/>
        </w:rPr>
        <w:t>三次</w:t>
      </w:r>
      <w:r>
        <w:rPr>
          <w:rFonts w:hint="eastAsia" w:ascii="宋体" w:hAnsi="宋体"/>
          <w:b/>
          <w:color w:val="auto"/>
          <w:sz w:val="56"/>
          <w:szCs w:val="56"/>
          <w:lang w:eastAsia="zh-CN"/>
        </w:rPr>
        <w:t>）</w:t>
      </w:r>
    </w:p>
    <w:p w14:paraId="65D8599D">
      <w:pPr>
        <w:pStyle w:val="22"/>
        <w:rPr>
          <w:color w:val="auto"/>
        </w:rPr>
      </w:pPr>
    </w:p>
    <w:p w14:paraId="7C3C5B29">
      <w:pPr>
        <w:pStyle w:val="22"/>
        <w:rPr>
          <w:color w:val="auto"/>
        </w:rPr>
      </w:pPr>
    </w:p>
    <w:p w14:paraId="70F6A762">
      <w:pPr>
        <w:pStyle w:val="22"/>
        <w:rPr>
          <w:color w:val="auto"/>
        </w:rPr>
      </w:pPr>
    </w:p>
    <w:p w14:paraId="7319B557">
      <w:pPr>
        <w:pStyle w:val="22"/>
        <w:rPr>
          <w:color w:val="auto"/>
        </w:rPr>
      </w:pPr>
    </w:p>
    <w:p w14:paraId="53C53C4A">
      <w:pPr>
        <w:pStyle w:val="22"/>
        <w:rPr>
          <w:color w:val="auto"/>
        </w:rPr>
      </w:pPr>
    </w:p>
    <w:p w14:paraId="3D1D8710">
      <w:pPr>
        <w:pStyle w:val="22"/>
        <w:rPr>
          <w:color w:val="auto"/>
        </w:rPr>
      </w:pPr>
    </w:p>
    <w:p w14:paraId="19541153">
      <w:pPr>
        <w:pStyle w:val="22"/>
        <w:rPr>
          <w:color w:val="auto"/>
        </w:rPr>
      </w:pPr>
    </w:p>
    <w:p w14:paraId="2DAF8C77">
      <w:pPr>
        <w:pStyle w:val="22"/>
        <w:rPr>
          <w:color w:val="auto"/>
        </w:rPr>
      </w:pPr>
    </w:p>
    <w:p w14:paraId="3D9171EA">
      <w:pPr>
        <w:adjustRightInd w:val="0"/>
        <w:snapToGrid w:val="0"/>
        <w:spacing w:line="360" w:lineRule="auto"/>
        <w:jc w:val="left"/>
        <w:rPr>
          <w:rFonts w:ascii="宋体" w:cs="Times New Roman"/>
          <w:b/>
          <w:bCs/>
          <w:color w:val="auto"/>
          <w:sz w:val="52"/>
          <w:szCs w:val="52"/>
        </w:rPr>
      </w:pPr>
      <w:r>
        <w:rPr>
          <w:rFonts w:hint="eastAsia"/>
          <w:color w:val="auto"/>
        </w:rPr>
        <w:drawing>
          <wp:anchor distT="0" distB="0" distL="114300" distR="114300" simplePos="0" relativeHeight="251660288" behindDoc="0" locked="0" layoutInCell="1" allowOverlap="1">
            <wp:simplePos x="0" y="0"/>
            <wp:positionH relativeFrom="column">
              <wp:posOffset>2195830</wp:posOffset>
            </wp:positionH>
            <wp:positionV relativeFrom="paragraph">
              <wp:posOffset>171450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6"/>
                    <a:stretch>
                      <a:fillRect/>
                    </a:stretch>
                  </pic:blipFill>
                  <pic:spPr>
                    <a:xfrm>
                      <a:off x="0" y="0"/>
                      <a:ext cx="1599474" cy="1157901"/>
                    </a:xfrm>
                    <a:prstGeom prst="rect">
                      <a:avLst/>
                    </a:prstGeom>
                  </pic:spPr>
                </pic:pic>
              </a:graphicData>
            </a:graphic>
          </wp:anchor>
        </w:drawing>
      </w:r>
      <w:r>
        <w:rPr>
          <w:rFonts w:hint="eastAsia" w:ascii="宋体" w:cs="Times New Roman"/>
          <w:b/>
          <w:bCs/>
          <w:color w:val="auto"/>
          <w:sz w:val="52"/>
          <w:szCs w:val="52"/>
        </w:rPr>
        <w:t xml:space="preserve"> </w:t>
      </w:r>
    </w:p>
    <w:p w14:paraId="2557C5ED">
      <w:pPr>
        <w:adjustRightInd w:val="0"/>
        <w:snapToGrid w:val="0"/>
        <w:spacing w:line="360" w:lineRule="auto"/>
        <w:jc w:val="left"/>
        <w:rPr>
          <w:rFonts w:ascii="宋体" w:cs="Times New Roman"/>
          <w:b/>
          <w:bCs/>
          <w:color w:val="auto"/>
          <w:sz w:val="52"/>
          <w:szCs w:val="52"/>
        </w:rPr>
      </w:pPr>
      <w:r>
        <w:rPr>
          <w:rFonts w:hint="eastAsia" w:ascii="宋体" w:cs="Times New Roman"/>
          <w:b/>
          <w:bCs/>
          <w:color w:val="auto"/>
          <w:sz w:val="52"/>
          <w:szCs w:val="52"/>
        </w:rPr>
        <w:t xml:space="preserve">          </w:t>
      </w:r>
    </w:p>
    <w:p w14:paraId="05F46B71">
      <w:pPr>
        <w:pStyle w:val="12"/>
        <w:rPr>
          <w:color w:val="auto"/>
        </w:rPr>
      </w:pPr>
    </w:p>
    <w:p w14:paraId="365A2F98">
      <w:pPr>
        <w:tabs>
          <w:tab w:val="left" w:pos="0"/>
        </w:tabs>
        <w:adjustRightInd w:val="0"/>
        <w:snapToGrid w:val="0"/>
        <w:spacing w:line="360" w:lineRule="auto"/>
        <w:ind w:firstLine="2811" w:firstLineChars="500"/>
        <w:rPr>
          <w:rFonts w:ascii="宋体" w:hAnsi="宋体" w:cs="宋体"/>
          <w:b/>
          <w:bCs/>
          <w:color w:val="auto"/>
          <w:sz w:val="56"/>
          <w:szCs w:val="56"/>
        </w:rPr>
      </w:pPr>
      <w:r>
        <w:rPr>
          <w:rFonts w:hint="eastAsia" w:ascii="宋体" w:hAnsi="宋体" w:cs="宋体"/>
          <w:b/>
          <w:bCs/>
          <w:color w:val="auto"/>
          <w:sz w:val="56"/>
          <w:szCs w:val="56"/>
        </w:rPr>
        <w:t>竞争性磋商文件</w:t>
      </w:r>
    </w:p>
    <w:p w14:paraId="64AE20DA">
      <w:pPr>
        <w:rPr>
          <w:color w:val="auto"/>
        </w:rPr>
      </w:pPr>
    </w:p>
    <w:p w14:paraId="0DC2664A">
      <w:pPr>
        <w:pStyle w:val="22"/>
        <w:rPr>
          <w:color w:val="auto"/>
        </w:rPr>
      </w:pPr>
    </w:p>
    <w:p w14:paraId="5AACF131">
      <w:pPr>
        <w:pStyle w:val="22"/>
        <w:rPr>
          <w:color w:val="auto"/>
        </w:rPr>
      </w:pPr>
    </w:p>
    <w:p w14:paraId="28729689">
      <w:pPr>
        <w:pStyle w:val="22"/>
        <w:rPr>
          <w:color w:val="auto"/>
        </w:rPr>
      </w:pPr>
    </w:p>
    <w:p w14:paraId="4AD3068D">
      <w:pPr>
        <w:pStyle w:val="22"/>
        <w:rPr>
          <w:color w:val="auto"/>
        </w:rPr>
      </w:pPr>
    </w:p>
    <w:p w14:paraId="1F9B6AE0">
      <w:pPr>
        <w:adjustRightInd w:val="0"/>
        <w:snapToGrid w:val="0"/>
        <w:spacing w:line="840" w:lineRule="auto"/>
        <w:ind w:firstLine="2108" w:firstLineChars="700"/>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rPr>
        <w:t>采 购 人：</w:t>
      </w:r>
      <w:r>
        <w:rPr>
          <w:rFonts w:hint="eastAsia" w:ascii="宋体" w:hAnsi="宋体" w:cs="宋体"/>
          <w:b/>
          <w:bCs/>
          <w:color w:val="auto"/>
          <w:sz w:val="30"/>
          <w:szCs w:val="30"/>
          <w:lang w:eastAsia="zh-CN"/>
        </w:rPr>
        <w:t>安康市中医医院</w:t>
      </w:r>
    </w:p>
    <w:p w14:paraId="1AAE9B99">
      <w:pPr>
        <w:adjustRightInd w:val="0"/>
        <w:snapToGrid w:val="0"/>
        <w:spacing w:line="840" w:lineRule="auto"/>
        <w:jc w:val="center"/>
        <w:rPr>
          <w:rFonts w:ascii="宋体" w:hAnsi="宋体" w:cs="宋体"/>
          <w:b/>
          <w:bCs/>
          <w:color w:val="auto"/>
          <w:sz w:val="30"/>
          <w:szCs w:val="30"/>
        </w:rPr>
      </w:pPr>
      <w:r>
        <w:rPr>
          <w:rFonts w:hint="eastAsia" w:ascii="宋体" w:hAnsi="宋体" w:cs="宋体"/>
          <w:b/>
          <w:bCs/>
          <w:color w:val="auto"/>
          <w:sz w:val="30"/>
          <w:szCs w:val="30"/>
        </w:rPr>
        <w:t xml:space="preserve"> 代理机构：安康尚昊招标代理有限公司</w:t>
      </w:r>
    </w:p>
    <w:p w14:paraId="38BC934B">
      <w:pPr>
        <w:adjustRightInd w:val="0"/>
        <w:snapToGrid w:val="0"/>
        <w:spacing w:line="840" w:lineRule="auto"/>
        <w:ind w:firstLine="2108" w:firstLineChars="700"/>
        <w:rPr>
          <w:rFonts w:ascii="宋体" w:cs="Times New Roman"/>
          <w:b/>
          <w:bCs/>
          <w:color w:val="auto"/>
          <w:sz w:val="30"/>
          <w:szCs w:val="30"/>
        </w:rPr>
        <w:sectPr>
          <w:headerReference r:id="rId4" w:type="first"/>
          <w:headerReference r:id="rId3" w:type="default"/>
          <w:footerReference r:id="rId5" w:type="default"/>
          <w:pgSz w:w="11906" w:h="16838"/>
          <w:pgMar w:top="1361" w:right="1417" w:bottom="1361" w:left="1417" w:header="1134" w:footer="992" w:gutter="0"/>
          <w:cols w:space="0" w:num="1"/>
          <w:titlePg/>
          <w:rtlGutter w:val="0"/>
          <w:docGrid w:type="lines" w:linePitch="328" w:charSpace="0"/>
        </w:sectPr>
      </w:pPr>
      <w:r>
        <w:rPr>
          <w:rFonts w:hint="eastAsia" w:ascii="宋体" w:hAnsi="宋体" w:cs="宋体"/>
          <w:b/>
          <w:bCs/>
          <w:color w:val="auto"/>
          <w:sz w:val="30"/>
          <w:szCs w:val="30"/>
        </w:rPr>
        <w:t>时    间：二</w:t>
      </w:r>
      <w:r>
        <w:rPr>
          <w:rFonts w:hint="eastAsia" w:ascii="宋体" w:hAnsi="宋体" w:cs="宋体"/>
          <w:b/>
          <w:bCs/>
          <w:color w:val="auto"/>
          <w:sz w:val="30"/>
          <w:szCs w:val="30"/>
          <w:lang w:val="en-US" w:eastAsia="zh-CN"/>
        </w:rPr>
        <w:t>〇</w:t>
      </w:r>
      <w:r>
        <w:rPr>
          <w:rFonts w:ascii="宋体" w:hAnsi="宋体" w:cs="宋体"/>
          <w:b/>
          <w:bCs/>
          <w:color w:val="auto"/>
          <w:sz w:val="30"/>
          <w:szCs w:val="30"/>
        </w:rPr>
        <w:t>二</w:t>
      </w:r>
      <w:r>
        <w:rPr>
          <w:rFonts w:hint="eastAsia" w:ascii="宋体" w:hAnsi="宋体" w:cs="宋体"/>
          <w:b/>
          <w:bCs/>
          <w:color w:val="auto"/>
          <w:sz w:val="30"/>
          <w:szCs w:val="30"/>
          <w:lang w:val="en-US" w:eastAsia="zh-CN"/>
        </w:rPr>
        <w:t>五</w:t>
      </w:r>
      <w:r>
        <w:rPr>
          <w:rFonts w:hint="eastAsia" w:ascii="宋体" w:hAnsi="宋体" w:cs="宋体"/>
          <w:b/>
          <w:bCs/>
          <w:color w:val="auto"/>
          <w:sz w:val="30"/>
          <w:szCs w:val="30"/>
        </w:rPr>
        <w:t>年</w:t>
      </w:r>
      <w:r>
        <w:rPr>
          <w:rFonts w:hint="eastAsia" w:ascii="宋体" w:hAnsi="宋体" w:cs="宋体"/>
          <w:b/>
          <w:bCs/>
          <w:color w:val="auto"/>
          <w:sz w:val="30"/>
          <w:szCs w:val="30"/>
          <w:lang w:val="en-US" w:eastAsia="zh-CN"/>
        </w:rPr>
        <w:t>八</w:t>
      </w:r>
      <w:r>
        <w:rPr>
          <w:rFonts w:hint="eastAsia" w:ascii="宋体" w:hAnsi="宋体" w:cs="宋体"/>
          <w:b/>
          <w:bCs/>
          <w:color w:val="auto"/>
          <w:sz w:val="30"/>
          <w:szCs w:val="30"/>
        </w:rPr>
        <w:t>月</w:t>
      </w:r>
    </w:p>
    <w:p w14:paraId="467B2201">
      <w:pPr>
        <w:pStyle w:val="24"/>
        <w:tabs>
          <w:tab w:val="center" w:pos="4819"/>
          <w:tab w:val="left" w:pos="6069"/>
          <w:tab w:val="right" w:leader="dot" w:pos="8306"/>
        </w:tabs>
        <w:spacing w:before="0" w:after="0" w:line="480" w:lineRule="exact"/>
        <w:rPr>
          <w:rFonts w:ascii="宋体" w:hAnsi="宋体" w:cs="宋体"/>
          <w:b w:val="0"/>
          <w:bCs w:val="0"/>
          <w:color w:val="auto"/>
          <w:sz w:val="48"/>
          <w:szCs w:val="52"/>
        </w:rPr>
      </w:pPr>
      <w:r>
        <w:rPr>
          <w:rFonts w:ascii="宋体" w:hAnsi="宋体" w:cs="宋体"/>
          <w:b w:val="0"/>
          <w:bCs w:val="0"/>
          <w:color w:val="auto"/>
          <w:sz w:val="48"/>
          <w:szCs w:val="52"/>
        </w:rPr>
        <w:tab/>
      </w:r>
    </w:p>
    <w:p w14:paraId="5B002BCE">
      <w:pPr>
        <w:rPr>
          <w:color w:val="auto"/>
        </w:rPr>
      </w:pPr>
    </w:p>
    <w:p w14:paraId="3505B514">
      <w:pPr>
        <w:pStyle w:val="24"/>
        <w:tabs>
          <w:tab w:val="center" w:pos="4819"/>
          <w:tab w:val="left" w:pos="6069"/>
          <w:tab w:val="right" w:leader="dot" w:pos="8306"/>
        </w:tabs>
        <w:spacing w:before="0" w:after="0" w:line="480" w:lineRule="exact"/>
        <w:jc w:val="center"/>
        <w:rPr>
          <w:rFonts w:ascii="宋体" w:hAnsi="宋体" w:cs="宋体"/>
          <w:b w:val="0"/>
          <w:bCs w:val="0"/>
          <w:color w:val="auto"/>
          <w:sz w:val="48"/>
          <w:szCs w:val="52"/>
        </w:rPr>
      </w:pPr>
      <w:r>
        <w:rPr>
          <w:rFonts w:hint="eastAsia" w:ascii="宋体" w:hAnsi="宋体" w:cs="宋体"/>
          <w:b w:val="0"/>
          <w:bCs w:val="0"/>
          <w:color w:val="auto"/>
          <w:sz w:val="48"/>
          <w:szCs w:val="52"/>
        </w:rPr>
        <w:t xml:space="preserve">目 </w:t>
      </w:r>
      <w:r>
        <w:rPr>
          <w:rFonts w:ascii="宋体" w:hAnsi="宋体" w:cs="宋体"/>
          <w:b w:val="0"/>
          <w:bCs w:val="0"/>
          <w:color w:val="auto"/>
          <w:sz w:val="48"/>
          <w:szCs w:val="52"/>
        </w:rPr>
        <w:t xml:space="preserve"> </w:t>
      </w:r>
      <w:r>
        <w:rPr>
          <w:rFonts w:hint="eastAsia" w:ascii="宋体" w:hAnsi="宋体" w:cs="宋体"/>
          <w:b w:val="0"/>
          <w:bCs w:val="0"/>
          <w:color w:val="auto"/>
          <w:sz w:val="48"/>
          <w:szCs w:val="52"/>
        </w:rPr>
        <w:t>录</w:t>
      </w:r>
    </w:p>
    <w:p w14:paraId="2A2A77A6">
      <w:pPr>
        <w:rPr>
          <w:color w:val="auto"/>
          <w:sz w:val="20"/>
          <w:szCs w:val="20"/>
        </w:rPr>
      </w:pPr>
    </w:p>
    <w:p w14:paraId="2F377768">
      <w:pPr>
        <w:pStyle w:val="24"/>
        <w:tabs>
          <w:tab w:val="right" w:leader="dot" w:pos="9072"/>
        </w:tabs>
        <w:rPr>
          <w:b w:val="0"/>
          <w:bCs w:val="0"/>
          <w:sz w:val="28"/>
          <w:szCs w:val="28"/>
        </w:rPr>
      </w:pPr>
      <w:bookmarkStart w:id="1" w:name="_Toc536202376"/>
      <w:bookmarkStart w:id="2" w:name="_Toc19543333"/>
      <w:bookmarkStart w:id="3" w:name="_Toc536429369"/>
      <w:bookmarkStart w:id="4" w:name="_Toc536202282"/>
      <w:bookmarkStart w:id="5" w:name="OLE_LINK3"/>
      <w:bookmarkStart w:id="6" w:name="_Toc30089"/>
      <w:bookmarkStart w:id="7" w:name="_Toc438048787"/>
      <w:r>
        <w:rPr>
          <w:rFonts w:hint="eastAsia" w:ascii="宋体" w:hAnsi="宋体" w:cs="宋体"/>
          <w:caps w:val="0"/>
          <w:color w:val="auto"/>
          <w:sz w:val="28"/>
          <w:szCs w:val="28"/>
        </w:rPr>
        <w:fldChar w:fldCharType="begin"/>
      </w:r>
      <w:r>
        <w:rPr>
          <w:rFonts w:hint="eastAsia" w:ascii="宋体" w:hAnsi="宋体" w:cs="宋体"/>
          <w:caps w:val="0"/>
          <w:color w:val="auto"/>
          <w:sz w:val="28"/>
          <w:szCs w:val="28"/>
        </w:rPr>
        <w:instrText xml:space="preserve"> TOC \o "1-1" \h \z \u </w:instrText>
      </w:r>
      <w:r>
        <w:rPr>
          <w:rFonts w:hint="eastAsia" w:ascii="宋体" w:hAnsi="宋体" w:cs="宋体"/>
          <w:caps w:val="0"/>
          <w:color w:val="auto"/>
          <w:sz w:val="28"/>
          <w:szCs w:val="28"/>
        </w:rPr>
        <w:fldChar w:fldCharType="separate"/>
      </w:r>
      <w:r>
        <w:rPr>
          <w:rFonts w:hint="eastAsia" w:ascii="宋体" w:hAnsi="宋体" w:cs="宋体"/>
          <w:b w:val="0"/>
          <w:bCs w:val="0"/>
          <w:caps w:val="0"/>
          <w:color w:val="auto"/>
          <w:sz w:val="28"/>
          <w:szCs w:val="44"/>
        </w:rPr>
        <w:fldChar w:fldCharType="begin"/>
      </w:r>
      <w:r>
        <w:rPr>
          <w:rFonts w:hint="eastAsia" w:ascii="宋体" w:hAnsi="宋体" w:cs="宋体"/>
          <w:b w:val="0"/>
          <w:bCs w:val="0"/>
          <w:caps w:val="0"/>
          <w:sz w:val="28"/>
          <w:szCs w:val="44"/>
        </w:rPr>
        <w:instrText xml:space="preserve"> HYPERLINK \l _Toc8117 </w:instrText>
      </w:r>
      <w:r>
        <w:rPr>
          <w:rFonts w:hint="eastAsia" w:ascii="宋体" w:hAnsi="宋体" w:cs="宋体"/>
          <w:b w:val="0"/>
          <w:bCs w:val="0"/>
          <w:caps w:val="0"/>
          <w:sz w:val="28"/>
          <w:szCs w:val="44"/>
        </w:rPr>
        <w:fldChar w:fldCharType="separate"/>
      </w:r>
      <w:r>
        <w:rPr>
          <w:rFonts w:hint="eastAsia"/>
          <w:b w:val="0"/>
          <w:bCs w:val="0"/>
          <w:sz w:val="28"/>
          <w:szCs w:val="28"/>
        </w:rPr>
        <w:t>第一部分  竞争性</w:t>
      </w:r>
      <w:r>
        <w:rPr>
          <w:b w:val="0"/>
          <w:bCs w:val="0"/>
          <w:sz w:val="28"/>
          <w:szCs w:val="28"/>
        </w:rPr>
        <w:t>磋商公告</w:t>
      </w:r>
      <w:r>
        <w:rPr>
          <w:b w:val="0"/>
          <w:bCs w:val="0"/>
          <w:sz w:val="28"/>
          <w:szCs w:val="28"/>
        </w:rPr>
        <w:tab/>
      </w:r>
      <w:r>
        <w:rPr>
          <w:b w:val="0"/>
          <w:bCs w:val="0"/>
          <w:sz w:val="28"/>
          <w:szCs w:val="28"/>
        </w:rPr>
        <w:fldChar w:fldCharType="begin"/>
      </w:r>
      <w:r>
        <w:rPr>
          <w:b w:val="0"/>
          <w:bCs w:val="0"/>
          <w:sz w:val="28"/>
          <w:szCs w:val="28"/>
        </w:rPr>
        <w:instrText xml:space="preserve"> PAGEREF _Toc8117 \h </w:instrText>
      </w:r>
      <w:r>
        <w:rPr>
          <w:b w:val="0"/>
          <w:bCs w:val="0"/>
          <w:sz w:val="28"/>
          <w:szCs w:val="28"/>
        </w:rPr>
        <w:fldChar w:fldCharType="separate"/>
      </w:r>
      <w:r>
        <w:rPr>
          <w:b w:val="0"/>
          <w:bCs w:val="0"/>
          <w:sz w:val="28"/>
          <w:szCs w:val="28"/>
        </w:rPr>
        <w:t>1</w:t>
      </w:r>
      <w:r>
        <w:rPr>
          <w:b w:val="0"/>
          <w:bCs w:val="0"/>
          <w:sz w:val="28"/>
          <w:szCs w:val="28"/>
        </w:rPr>
        <w:fldChar w:fldCharType="end"/>
      </w:r>
      <w:r>
        <w:rPr>
          <w:rFonts w:hint="eastAsia" w:ascii="宋体" w:hAnsi="宋体" w:cs="宋体"/>
          <w:b w:val="0"/>
          <w:bCs w:val="0"/>
          <w:caps w:val="0"/>
          <w:color w:val="auto"/>
          <w:sz w:val="28"/>
          <w:szCs w:val="44"/>
        </w:rPr>
        <w:fldChar w:fldCharType="end"/>
      </w:r>
    </w:p>
    <w:p w14:paraId="0FD63691">
      <w:pPr>
        <w:pStyle w:val="24"/>
        <w:tabs>
          <w:tab w:val="right" w:leader="dot" w:pos="9072"/>
        </w:tabs>
        <w:rPr>
          <w:b w:val="0"/>
          <w:bCs w:val="0"/>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kern w:val="2"/>
          <w:sz w:val="28"/>
          <w:szCs w:val="44"/>
        </w:rPr>
        <w:instrText xml:space="preserve"> HYPERLINK \l _Toc28381 </w:instrText>
      </w:r>
      <w:r>
        <w:rPr>
          <w:rFonts w:hint="eastAsia" w:ascii="宋体" w:hAnsi="宋体" w:cs="宋体"/>
          <w:b w:val="0"/>
          <w:bCs w:val="0"/>
          <w:caps/>
          <w:kern w:val="2"/>
          <w:sz w:val="28"/>
          <w:szCs w:val="44"/>
        </w:rPr>
        <w:fldChar w:fldCharType="separate"/>
      </w:r>
      <w:r>
        <w:rPr>
          <w:rFonts w:hint="eastAsia"/>
          <w:b w:val="0"/>
          <w:bCs w:val="0"/>
          <w:sz w:val="28"/>
          <w:szCs w:val="28"/>
        </w:rPr>
        <w:t>第二部分</w:t>
      </w:r>
      <w:r>
        <w:rPr>
          <w:b w:val="0"/>
          <w:bCs w:val="0"/>
          <w:sz w:val="28"/>
          <w:szCs w:val="28"/>
        </w:rPr>
        <w:t xml:space="preserve">  </w:t>
      </w:r>
      <w:r>
        <w:rPr>
          <w:rFonts w:hint="eastAsia"/>
          <w:b w:val="0"/>
          <w:bCs w:val="0"/>
          <w:sz w:val="28"/>
          <w:szCs w:val="28"/>
        </w:rPr>
        <w:t>供应商须知前附表</w:t>
      </w:r>
      <w:r>
        <w:rPr>
          <w:b w:val="0"/>
          <w:bCs w:val="0"/>
          <w:sz w:val="28"/>
          <w:szCs w:val="28"/>
        </w:rPr>
        <w:tab/>
      </w:r>
      <w:r>
        <w:rPr>
          <w:b w:val="0"/>
          <w:bCs w:val="0"/>
          <w:sz w:val="28"/>
          <w:szCs w:val="28"/>
        </w:rPr>
        <w:fldChar w:fldCharType="begin"/>
      </w:r>
      <w:r>
        <w:rPr>
          <w:b w:val="0"/>
          <w:bCs w:val="0"/>
          <w:sz w:val="28"/>
          <w:szCs w:val="28"/>
        </w:rPr>
        <w:instrText xml:space="preserve"> PAGEREF _Toc28381 \h </w:instrText>
      </w:r>
      <w:r>
        <w:rPr>
          <w:b w:val="0"/>
          <w:bCs w:val="0"/>
          <w:sz w:val="28"/>
          <w:szCs w:val="28"/>
        </w:rPr>
        <w:fldChar w:fldCharType="separate"/>
      </w:r>
      <w:r>
        <w:rPr>
          <w:b w:val="0"/>
          <w:bCs w:val="0"/>
          <w:sz w:val="28"/>
          <w:szCs w:val="28"/>
        </w:rPr>
        <w:t>4</w:t>
      </w:r>
      <w:r>
        <w:rPr>
          <w:b w:val="0"/>
          <w:bCs w:val="0"/>
          <w:sz w:val="28"/>
          <w:szCs w:val="28"/>
        </w:rPr>
        <w:fldChar w:fldCharType="end"/>
      </w:r>
      <w:r>
        <w:rPr>
          <w:rFonts w:hint="eastAsia" w:ascii="宋体" w:hAnsi="宋体" w:cs="宋体"/>
          <w:b w:val="0"/>
          <w:bCs w:val="0"/>
          <w:caps/>
          <w:color w:val="auto"/>
          <w:kern w:val="2"/>
          <w:sz w:val="28"/>
          <w:szCs w:val="44"/>
        </w:rPr>
        <w:fldChar w:fldCharType="end"/>
      </w:r>
    </w:p>
    <w:p w14:paraId="541FD87C">
      <w:pPr>
        <w:pStyle w:val="24"/>
        <w:tabs>
          <w:tab w:val="right" w:leader="dot" w:pos="9072"/>
        </w:tabs>
        <w:rPr>
          <w:b w:val="0"/>
          <w:bCs w:val="0"/>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kern w:val="2"/>
          <w:sz w:val="28"/>
          <w:szCs w:val="44"/>
        </w:rPr>
        <w:instrText xml:space="preserve"> HYPERLINK \l _Toc7866 </w:instrText>
      </w:r>
      <w:r>
        <w:rPr>
          <w:rFonts w:hint="eastAsia" w:ascii="宋体" w:hAnsi="宋体" w:cs="宋体"/>
          <w:b w:val="0"/>
          <w:bCs w:val="0"/>
          <w:caps/>
          <w:kern w:val="2"/>
          <w:sz w:val="28"/>
          <w:szCs w:val="44"/>
        </w:rPr>
        <w:fldChar w:fldCharType="separate"/>
      </w:r>
      <w:r>
        <w:rPr>
          <w:rFonts w:hint="eastAsia" w:ascii="宋体" w:hAnsi="宋体" w:cs="宋体"/>
          <w:b w:val="0"/>
          <w:bCs w:val="0"/>
          <w:sz w:val="28"/>
          <w:szCs w:val="28"/>
        </w:rPr>
        <w:t xml:space="preserve">第三部分 </w:t>
      </w:r>
      <w:r>
        <w:rPr>
          <w:rFonts w:ascii="宋体" w:hAnsi="宋体" w:cs="宋体"/>
          <w:b w:val="0"/>
          <w:bCs w:val="0"/>
          <w:sz w:val="28"/>
          <w:szCs w:val="28"/>
        </w:rPr>
        <w:t xml:space="preserve"> </w:t>
      </w:r>
      <w:r>
        <w:rPr>
          <w:rFonts w:hint="eastAsia" w:ascii="宋体" w:hAnsi="宋体" w:cs="宋体"/>
          <w:b w:val="0"/>
          <w:bCs w:val="0"/>
          <w:sz w:val="28"/>
          <w:szCs w:val="28"/>
        </w:rPr>
        <w:t>供应商须知</w:t>
      </w:r>
      <w:r>
        <w:rPr>
          <w:b w:val="0"/>
          <w:bCs w:val="0"/>
          <w:sz w:val="28"/>
          <w:szCs w:val="28"/>
        </w:rPr>
        <w:tab/>
      </w:r>
      <w:r>
        <w:rPr>
          <w:b w:val="0"/>
          <w:bCs w:val="0"/>
          <w:sz w:val="28"/>
          <w:szCs w:val="28"/>
        </w:rPr>
        <w:fldChar w:fldCharType="begin"/>
      </w:r>
      <w:r>
        <w:rPr>
          <w:b w:val="0"/>
          <w:bCs w:val="0"/>
          <w:sz w:val="28"/>
          <w:szCs w:val="28"/>
        </w:rPr>
        <w:instrText xml:space="preserve"> PAGEREF _Toc7866 \h </w:instrText>
      </w:r>
      <w:r>
        <w:rPr>
          <w:b w:val="0"/>
          <w:bCs w:val="0"/>
          <w:sz w:val="28"/>
          <w:szCs w:val="28"/>
        </w:rPr>
        <w:fldChar w:fldCharType="separate"/>
      </w:r>
      <w:r>
        <w:rPr>
          <w:b w:val="0"/>
          <w:bCs w:val="0"/>
          <w:sz w:val="28"/>
          <w:szCs w:val="28"/>
        </w:rPr>
        <w:t>7</w:t>
      </w:r>
      <w:r>
        <w:rPr>
          <w:b w:val="0"/>
          <w:bCs w:val="0"/>
          <w:sz w:val="28"/>
          <w:szCs w:val="28"/>
        </w:rPr>
        <w:fldChar w:fldCharType="end"/>
      </w:r>
      <w:r>
        <w:rPr>
          <w:rFonts w:hint="eastAsia" w:ascii="宋体" w:hAnsi="宋体" w:cs="宋体"/>
          <w:b w:val="0"/>
          <w:bCs w:val="0"/>
          <w:caps/>
          <w:color w:val="auto"/>
          <w:kern w:val="2"/>
          <w:sz w:val="28"/>
          <w:szCs w:val="44"/>
        </w:rPr>
        <w:fldChar w:fldCharType="end"/>
      </w:r>
    </w:p>
    <w:p w14:paraId="42FAFC8B">
      <w:pPr>
        <w:pStyle w:val="24"/>
        <w:tabs>
          <w:tab w:val="right" w:leader="dot" w:pos="9072"/>
        </w:tabs>
        <w:rPr>
          <w:b w:val="0"/>
          <w:bCs w:val="0"/>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kern w:val="2"/>
          <w:sz w:val="28"/>
          <w:szCs w:val="44"/>
        </w:rPr>
        <w:instrText xml:space="preserve"> HYPERLINK \l _Toc18523 </w:instrText>
      </w:r>
      <w:r>
        <w:rPr>
          <w:rFonts w:hint="eastAsia" w:ascii="宋体" w:hAnsi="宋体" w:cs="宋体"/>
          <w:b w:val="0"/>
          <w:bCs w:val="0"/>
          <w:caps/>
          <w:kern w:val="2"/>
          <w:sz w:val="28"/>
          <w:szCs w:val="44"/>
        </w:rPr>
        <w:fldChar w:fldCharType="separate"/>
      </w:r>
      <w:r>
        <w:rPr>
          <w:rFonts w:hint="eastAsia"/>
          <w:b w:val="0"/>
          <w:bCs w:val="0"/>
          <w:sz w:val="28"/>
          <w:szCs w:val="28"/>
        </w:rPr>
        <w:t xml:space="preserve">第四部分 </w:t>
      </w:r>
      <w:r>
        <w:rPr>
          <w:rFonts w:hint="eastAsia"/>
          <w:b w:val="0"/>
          <w:bCs w:val="0"/>
          <w:sz w:val="28"/>
          <w:szCs w:val="28"/>
          <w:lang w:val="en-US" w:eastAsia="zh-CN"/>
        </w:rPr>
        <w:t xml:space="preserve"> </w:t>
      </w:r>
      <w:r>
        <w:rPr>
          <w:rFonts w:hint="eastAsia"/>
          <w:b w:val="0"/>
          <w:bCs w:val="0"/>
          <w:sz w:val="28"/>
          <w:szCs w:val="28"/>
        </w:rPr>
        <w:t>评分</w:t>
      </w:r>
      <w:r>
        <w:rPr>
          <w:b w:val="0"/>
          <w:bCs w:val="0"/>
          <w:sz w:val="28"/>
          <w:szCs w:val="28"/>
        </w:rPr>
        <w:t>标准</w:t>
      </w:r>
      <w:r>
        <w:rPr>
          <w:b w:val="0"/>
          <w:bCs w:val="0"/>
          <w:sz w:val="28"/>
          <w:szCs w:val="28"/>
        </w:rPr>
        <w:tab/>
      </w:r>
      <w:r>
        <w:rPr>
          <w:b w:val="0"/>
          <w:bCs w:val="0"/>
          <w:sz w:val="28"/>
          <w:szCs w:val="28"/>
        </w:rPr>
        <w:fldChar w:fldCharType="begin"/>
      </w:r>
      <w:r>
        <w:rPr>
          <w:b w:val="0"/>
          <w:bCs w:val="0"/>
          <w:sz w:val="28"/>
          <w:szCs w:val="28"/>
        </w:rPr>
        <w:instrText xml:space="preserve"> PAGEREF _Toc18523 \h </w:instrText>
      </w:r>
      <w:r>
        <w:rPr>
          <w:b w:val="0"/>
          <w:bCs w:val="0"/>
          <w:sz w:val="28"/>
          <w:szCs w:val="28"/>
        </w:rPr>
        <w:fldChar w:fldCharType="separate"/>
      </w:r>
      <w:r>
        <w:rPr>
          <w:b w:val="0"/>
          <w:bCs w:val="0"/>
          <w:sz w:val="28"/>
          <w:szCs w:val="28"/>
        </w:rPr>
        <w:t>23</w:t>
      </w:r>
      <w:r>
        <w:rPr>
          <w:b w:val="0"/>
          <w:bCs w:val="0"/>
          <w:sz w:val="28"/>
          <w:szCs w:val="28"/>
        </w:rPr>
        <w:fldChar w:fldCharType="end"/>
      </w:r>
      <w:r>
        <w:rPr>
          <w:rFonts w:hint="eastAsia" w:ascii="宋体" w:hAnsi="宋体" w:cs="宋体"/>
          <w:b w:val="0"/>
          <w:bCs w:val="0"/>
          <w:caps/>
          <w:color w:val="auto"/>
          <w:kern w:val="2"/>
          <w:sz w:val="28"/>
          <w:szCs w:val="44"/>
        </w:rPr>
        <w:fldChar w:fldCharType="end"/>
      </w:r>
    </w:p>
    <w:p w14:paraId="6727F05C">
      <w:pPr>
        <w:pStyle w:val="24"/>
        <w:tabs>
          <w:tab w:val="right" w:leader="dot" w:pos="9072"/>
        </w:tabs>
        <w:rPr>
          <w:b w:val="0"/>
          <w:bCs w:val="0"/>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kern w:val="2"/>
          <w:sz w:val="28"/>
          <w:szCs w:val="44"/>
        </w:rPr>
        <w:instrText xml:space="preserve"> HYPERLINK \l _Toc11325 </w:instrText>
      </w:r>
      <w:r>
        <w:rPr>
          <w:rFonts w:hint="eastAsia" w:ascii="宋体" w:hAnsi="宋体" w:cs="宋体"/>
          <w:b w:val="0"/>
          <w:bCs w:val="0"/>
          <w:caps/>
          <w:kern w:val="2"/>
          <w:sz w:val="28"/>
          <w:szCs w:val="44"/>
        </w:rPr>
        <w:fldChar w:fldCharType="separate"/>
      </w:r>
      <w:r>
        <w:rPr>
          <w:rFonts w:hint="eastAsia" w:ascii="宋体" w:hAnsi="宋体" w:cs="宋体"/>
          <w:b w:val="0"/>
          <w:bCs w:val="0"/>
          <w:sz w:val="28"/>
          <w:szCs w:val="28"/>
        </w:rPr>
        <w:t xml:space="preserve">第五部分 </w:t>
      </w: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rPr>
        <w:t>采购内容及要求</w:t>
      </w:r>
      <w:r>
        <w:rPr>
          <w:b w:val="0"/>
          <w:bCs w:val="0"/>
          <w:sz w:val="28"/>
          <w:szCs w:val="28"/>
        </w:rPr>
        <w:tab/>
      </w:r>
      <w:r>
        <w:rPr>
          <w:b w:val="0"/>
          <w:bCs w:val="0"/>
          <w:sz w:val="28"/>
          <w:szCs w:val="28"/>
        </w:rPr>
        <w:fldChar w:fldCharType="begin"/>
      </w:r>
      <w:r>
        <w:rPr>
          <w:b w:val="0"/>
          <w:bCs w:val="0"/>
          <w:sz w:val="28"/>
          <w:szCs w:val="28"/>
        </w:rPr>
        <w:instrText xml:space="preserve"> PAGEREF _Toc11325 \h </w:instrText>
      </w:r>
      <w:r>
        <w:rPr>
          <w:b w:val="0"/>
          <w:bCs w:val="0"/>
          <w:sz w:val="28"/>
          <w:szCs w:val="28"/>
        </w:rPr>
        <w:fldChar w:fldCharType="separate"/>
      </w:r>
      <w:r>
        <w:rPr>
          <w:b w:val="0"/>
          <w:bCs w:val="0"/>
          <w:sz w:val="28"/>
          <w:szCs w:val="28"/>
        </w:rPr>
        <w:t>27</w:t>
      </w:r>
      <w:r>
        <w:rPr>
          <w:b w:val="0"/>
          <w:bCs w:val="0"/>
          <w:sz w:val="28"/>
          <w:szCs w:val="28"/>
        </w:rPr>
        <w:fldChar w:fldCharType="end"/>
      </w:r>
      <w:r>
        <w:rPr>
          <w:rFonts w:hint="eastAsia" w:ascii="宋体" w:hAnsi="宋体" w:cs="宋体"/>
          <w:b w:val="0"/>
          <w:bCs w:val="0"/>
          <w:caps/>
          <w:color w:val="auto"/>
          <w:kern w:val="2"/>
          <w:sz w:val="28"/>
          <w:szCs w:val="44"/>
        </w:rPr>
        <w:fldChar w:fldCharType="end"/>
      </w:r>
    </w:p>
    <w:p w14:paraId="7C0EC921">
      <w:pPr>
        <w:pStyle w:val="24"/>
        <w:tabs>
          <w:tab w:val="right" w:leader="dot" w:pos="9072"/>
        </w:tabs>
        <w:rPr>
          <w:b w:val="0"/>
          <w:bCs w:val="0"/>
          <w:sz w:val="28"/>
          <w:szCs w:val="28"/>
        </w:rPr>
      </w:pPr>
      <w:r>
        <w:rPr>
          <w:rFonts w:hint="eastAsia" w:ascii="宋体" w:hAnsi="宋体" w:cs="宋体"/>
          <w:b w:val="0"/>
          <w:bCs w:val="0"/>
          <w:caps/>
          <w:color w:val="auto"/>
          <w:kern w:val="2"/>
          <w:sz w:val="28"/>
          <w:szCs w:val="44"/>
        </w:rPr>
        <w:fldChar w:fldCharType="begin"/>
      </w:r>
      <w:r>
        <w:rPr>
          <w:rFonts w:hint="eastAsia" w:ascii="宋体" w:hAnsi="宋体" w:cs="宋体"/>
          <w:b w:val="0"/>
          <w:bCs w:val="0"/>
          <w:caps/>
          <w:kern w:val="2"/>
          <w:sz w:val="28"/>
          <w:szCs w:val="44"/>
        </w:rPr>
        <w:instrText xml:space="preserve"> HYPERLINK \l _Toc30964 </w:instrText>
      </w:r>
      <w:r>
        <w:rPr>
          <w:rFonts w:hint="eastAsia" w:ascii="宋体" w:hAnsi="宋体" w:cs="宋体"/>
          <w:b w:val="0"/>
          <w:bCs w:val="0"/>
          <w:caps/>
          <w:kern w:val="2"/>
          <w:sz w:val="28"/>
          <w:szCs w:val="44"/>
        </w:rPr>
        <w:fldChar w:fldCharType="separate"/>
      </w:r>
      <w:r>
        <w:rPr>
          <w:rFonts w:hint="eastAsia" w:ascii="宋体" w:hAnsi="宋体" w:cs="宋体"/>
          <w:b w:val="0"/>
          <w:bCs w:val="0"/>
          <w:sz w:val="28"/>
          <w:szCs w:val="28"/>
        </w:rPr>
        <w:t xml:space="preserve">第六部分 </w:t>
      </w: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rPr>
        <w:t>商务及合同主要条款</w:t>
      </w:r>
      <w:r>
        <w:rPr>
          <w:b w:val="0"/>
          <w:bCs w:val="0"/>
          <w:sz w:val="28"/>
          <w:szCs w:val="28"/>
        </w:rPr>
        <w:tab/>
      </w:r>
      <w:r>
        <w:rPr>
          <w:b w:val="0"/>
          <w:bCs w:val="0"/>
          <w:sz w:val="28"/>
          <w:szCs w:val="28"/>
        </w:rPr>
        <w:fldChar w:fldCharType="begin"/>
      </w:r>
      <w:r>
        <w:rPr>
          <w:b w:val="0"/>
          <w:bCs w:val="0"/>
          <w:sz w:val="28"/>
          <w:szCs w:val="28"/>
        </w:rPr>
        <w:instrText xml:space="preserve"> PAGEREF _Toc30964 \h </w:instrText>
      </w:r>
      <w:r>
        <w:rPr>
          <w:b w:val="0"/>
          <w:bCs w:val="0"/>
          <w:sz w:val="28"/>
          <w:szCs w:val="28"/>
        </w:rPr>
        <w:fldChar w:fldCharType="separate"/>
      </w:r>
      <w:r>
        <w:rPr>
          <w:b w:val="0"/>
          <w:bCs w:val="0"/>
          <w:sz w:val="28"/>
          <w:szCs w:val="28"/>
        </w:rPr>
        <w:t>30</w:t>
      </w:r>
      <w:r>
        <w:rPr>
          <w:b w:val="0"/>
          <w:bCs w:val="0"/>
          <w:sz w:val="28"/>
          <w:szCs w:val="28"/>
        </w:rPr>
        <w:fldChar w:fldCharType="end"/>
      </w:r>
      <w:r>
        <w:rPr>
          <w:rFonts w:hint="eastAsia" w:ascii="宋体" w:hAnsi="宋体" w:cs="宋体"/>
          <w:b w:val="0"/>
          <w:bCs w:val="0"/>
          <w:caps/>
          <w:color w:val="auto"/>
          <w:kern w:val="2"/>
          <w:sz w:val="28"/>
          <w:szCs w:val="44"/>
        </w:rPr>
        <w:fldChar w:fldCharType="end"/>
      </w:r>
    </w:p>
    <w:p w14:paraId="16E74207">
      <w:pPr>
        <w:pStyle w:val="24"/>
        <w:tabs>
          <w:tab w:val="right" w:leader="dot" w:pos="9072"/>
        </w:tabs>
      </w:pPr>
      <w:r>
        <w:rPr>
          <w:rFonts w:hint="eastAsia" w:ascii="宋体" w:hAnsi="宋体" w:cs="宋体"/>
          <w:b w:val="0"/>
          <w:bCs w:val="0"/>
          <w:caps/>
          <w:color w:val="auto"/>
          <w:kern w:val="2"/>
          <w:sz w:val="28"/>
          <w:szCs w:val="44"/>
        </w:rPr>
        <w:fldChar w:fldCharType="begin"/>
      </w:r>
      <w:r>
        <w:rPr>
          <w:rFonts w:hint="eastAsia" w:ascii="宋体" w:hAnsi="宋体" w:cs="宋体"/>
          <w:b w:val="0"/>
          <w:bCs w:val="0"/>
          <w:caps/>
          <w:kern w:val="2"/>
          <w:sz w:val="28"/>
          <w:szCs w:val="44"/>
        </w:rPr>
        <w:instrText xml:space="preserve"> HYPERLINK \l _Toc6574 </w:instrText>
      </w:r>
      <w:r>
        <w:rPr>
          <w:rFonts w:hint="eastAsia" w:ascii="宋体" w:hAnsi="宋体" w:cs="宋体"/>
          <w:b w:val="0"/>
          <w:bCs w:val="0"/>
          <w:caps/>
          <w:kern w:val="2"/>
          <w:sz w:val="28"/>
          <w:szCs w:val="44"/>
        </w:rPr>
        <w:fldChar w:fldCharType="separate"/>
      </w:r>
      <w:r>
        <w:rPr>
          <w:rFonts w:hint="eastAsia"/>
          <w:b w:val="0"/>
          <w:bCs w:val="0"/>
          <w:sz w:val="28"/>
          <w:szCs w:val="52"/>
          <w:lang w:val="en-US" w:eastAsia="zh-CN"/>
        </w:rPr>
        <w:t>第七部分  响应文件格式</w:t>
      </w:r>
      <w:r>
        <w:rPr>
          <w:b w:val="0"/>
          <w:bCs w:val="0"/>
          <w:sz w:val="28"/>
          <w:szCs w:val="28"/>
        </w:rPr>
        <w:tab/>
      </w:r>
      <w:r>
        <w:rPr>
          <w:b w:val="0"/>
          <w:bCs w:val="0"/>
          <w:sz w:val="28"/>
          <w:szCs w:val="28"/>
        </w:rPr>
        <w:fldChar w:fldCharType="begin"/>
      </w:r>
      <w:r>
        <w:rPr>
          <w:b w:val="0"/>
          <w:bCs w:val="0"/>
          <w:sz w:val="28"/>
          <w:szCs w:val="28"/>
        </w:rPr>
        <w:instrText xml:space="preserve"> PAGEREF _Toc6574 \h </w:instrText>
      </w:r>
      <w:r>
        <w:rPr>
          <w:b w:val="0"/>
          <w:bCs w:val="0"/>
          <w:sz w:val="28"/>
          <w:szCs w:val="28"/>
        </w:rPr>
        <w:fldChar w:fldCharType="separate"/>
      </w:r>
      <w:r>
        <w:rPr>
          <w:b w:val="0"/>
          <w:bCs w:val="0"/>
          <w:sz w:val="28"/>
          <w:szCs w:val="28"/>
        </w:rPr>
        <w:t>37</w:t>
      </w:r>
      <w:r>
        <w:rPr>
          <w:b w:val="0"/>
          <w:bCs w:val="0"/>
          <w:sz w:val="28"/>
          <w:szCs w:val="28"/>
        </w:rPr>
        <w:fldChar w:fldCharType="end"/>
      </w:r>
      <w:r>
        <w:rPr>
          <w:rFonts w:hint="eastAsia" w:ascii="宋体" w:hAnsi="宋体" w:cs="宋体"/>
          <w:b w:val="0"/>
          <w:bCs w:val="0"/>
          <w:caps/>
          <w:color w:val="auto"/>
          <w:kern w:val="2"/>
          <w:sz w:val="28"/>
          <w:szCs w:val="44"/>
        </w:rPr>
        <w:fldChar w:fldCharType="end"/>
      </w:r>
    </w:p>
    <w:p w14:paraId="3DA09F7E">
      <w:pPr>
        <w:pStyle w:val="2"/>
        <w:tabs>
          <w:tab w:val="left" w:pos="206"/>
        </w:tabs>
        <w:spacing w:line="360" w:lineRule="auto"/>
        <w:jc w:val="left"/>
        <w:rPr>
          <w:color w:val="auto"/>
        </w:rPr>
        <w:sectPr>
          <w:headerReference r:id="rId7" w:type="first"/>
          <w:footerReference r:id="rId9" w:type="first"/>
          <w:headerReference r:id="rId6" w:type="default"/>
          <w:footerReference r:id="rId8" w:type="default"/>
          <w:pgSz w:w="11906" w:h="16838"/>
          <w:pgMar w:top="1361" w:right="1417" w:bottom="1361" w:left="1417" w:header="1134" w:footer="992" w:gutter="0"/>
          <w:pgNumType w:start="1"/>
          <w:cols w:space="0" w:num="1"/>
          <w:titlePg/>
          <w:rtlGutter w:val="0"/>
          <w:docGrid w:type="lines" w:linePitch="328" w:charSpace="0"/>
        </w:sectPr>
      </w:pPr>
      <w:r>
        <w:rPr>
          <w:rFonts w:hint="eastAsia" w:ascii="宋体" w:hAnsi="宋体" w:cs="宋体"/>
          <w:caps/>
          <w:color w:val="auto"/>
          <w:kern w:val="2"/>
          <w:szCs w:val="28"/>
        </w:rPr>
        <w:fldChar w:fldCharType="end"/>
      </w:r>
    </w:p>
    <w:p w14:paraId="77860960">
      <w:pPr>
        <w:pStyle w:val="2"/>
        <w:keepNext/>
        <w:keepLines/>
        <w:pageBreakBefore w:val="0"/>
        <w:widowControl w:val="0"/>
        <w:tabs>
          <w:tab w:val="left" w:pos="206"/>
        </w:tabs>
        <w:kinsoku/>
        <w:wordWrap/>
        <w:overflowPunct/>
        <w:topLinePunct w:val="0"/>
        <w:autoSpaceDE/>
        <w:autoSpaceDN/>
        <w:bidi w:val="0"/>
        <w:adjustRightInd/>
        <w:snapToGrid/>
        <w:spacing w:after="262" w:afterLines="80" w:line="360" w:lineRule="auto"/>
        <w:jc w:val="center"/>
        <w:textAlignment w:val="auto"/>
        <w:rPr>
          <w:color w:val="auto"/>
        </w:rPr>
      </w:pPr>
      <w:bookmarkStart w:id="8" w:name="_Toc8117"/>
      <w:bookmarkStart w:id="9" w:name="OLE_LINK27"/>
      <w:r>
        <w:rPr>
          <w:rFonts w:hint="eastAsia"/>
          <w:color w:val="auto"/>
        </w:rPr>
        <w:t xml:space="preserve">第一部分  </w:t>
      </w:r>
      <w:bookmarkStart w:id="10" w:name="OLE_LINK4"/>
      <w:bookmarkStart w:id="11" w:name="OLE_LINK1"/>
      <w:r>
        <w:rPr>
          <w:rFonts w:hint="eastAsia"/>
          <w:color w:val="auto"/>
        </w:rPr>
        <w:t>竞争性</w:t>
      </w:r>
      <w:r>
        <w:rPr>
          <w:color w:val="auto"/>
        </w:rPr>
        <w:t>磋商公告</w:t>
      </w:r>
      <w:bookmarkEnd w:id="1"/>
      <w:bookmarkEnd w:id="2"/>
      <w:bookmarkEnd w:id="3"/>
      <w:bookmarkEnd w:id="4"/>
      <w:bookmarkEnd w:id="8"/>
      <w:bookmarkEnd w:id="9"/>
    </w:p>
    <w:bookmarkEnd w:id="5"/>
    <w:bookmarkEnd w:id="10"/>
    <w:bookmarkEnd w:id="11"/>
    <w:p w14:paraId="48753755">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kern w:val="0"/>
          <w:sz w:val="24"/>
          <w:szCs w:val="24"/>
        </w:rPr>
      </w:pPr>
      <w:bookmarkStart w:id="12" w:name="_Toc536202283"/>
      <w:bookmarkStart w:id="13" w:name="_Toc5018"/>
      <w:bookmarkStart w:id="14" w:name="_Toc536429370"/>
      <w:bookmarkStart w:id="15" w:name="_Toc536202377"/>
      <w:bookmarkStart w:id="16" w:name="_Toc536429317"/>
      <w:r>
        <w:rPr>
          <w:rFonts w:hint="eastAsia" w:ascii="宋体" w:hAnsi="宋体" w:cs="宋体"/>
          <w:color w:val="auto"/>
          <w:kern w:val="0"/>
          <w:sz w:val="24"/>
          <w:szCs w:val="24"/>
          <w:lang w:eastAsia="zh-CN"/>
        </w:rPr>
        <w:t>安康市中医医院物流系统维保服务采购项目（三次）</w:t>
      </w:r>
      <w:r>
        <w:rPr>
          <w:rFonts w:hint="eastAsia" w:ascii="宋体" w:hAnsi="宋体" w:cs="宋体"/>
          <w:color w:val="auto"/>
          <w:kern w:val="0"/>
          <w:sz w:val="24"/>
          <w:szCs w:val="24"/>
        </w:rPr>
        <w:t>的潜在供应商应在安康市高新区</w:t>
      </w:r>
      <w:r>
        <w:rPr>
          <w:rFonts w:hint="eastAsia" w:ascii="宋体" w:hAnsi="宋体" w:cs="宋体"/>
          <w:color w:val="auto"/>
          <w:kern w:val="0"/>
          <w:sz w:val="24"/>
          <w:szCs w:val="24"/>
          <w:lang w:eastAsia="zh-CN"/>
        </w:rPr>
        <w:t>高新观澜8栋</w:t>
      </w:r>
      <w:r>
        <w:rPr>
          <w:rFonts w:hint="eastAsia" w:ascii="宋体" w:hAnsi="宋体" w:cs="宋体"/>
          <w:color w:val="auto"/>
          <w:kern w:val="0"/>
          <w:sz w:val="24"/>
          <w:szCs w:val="24"/>
        </w:rPr>
        <w:t>2单元801室获取采购文件。并于</w:t>
      </w:r>
      <w:r>
        <w:rPr>
          <w:rFonts w:hint="eastAsia" w:ascii="宋体" w:hAnsi="宋体" w:cs="宋体"/>
          <w:color w:val="auto"/>
          <w:kern w:val="0"/>
          <w:sz w:val="24"/>
          <w:szCs w:val="24"/>
          <w:lang w:eastAsia="zh-CN"/>
        </w:rPr>
        <w:t>2025年09月01日09：00</w:t>
      </w:r>
      <w:r>
        <w:rPr>
          <w:rFonts w:hint="eastAsia" w:ascii="宋体" w:hAnsi="宋体" w:cs="宋体"/>
          <w:color w:val="auto"/>
          <w:kern w:val="0"/>
          <w:sz w:val="24"/>
          <w:szCs w:val="24"/>
          <w:lang w:val="en-US" w:eastAsia="zh-CN"/>
        </w:rPr>
        <w:t>时</w:t>
      </w:r>
      <w:r>
        <w:rPr>
          <w:rFonts w:hint="eastAsia" w:ascii="宋体" w:hAnsi="宋体" w:cs="宋体"/>
          <w:color w:val="auto"/>
          <w:kern w:val="0"/>
          <w:sz w:val="24"/>
          <w:szCs w:val="24"/>
        </w:rPr>
        <w:t>（北京时间）前提交响应文件。</w:t>
      </w:r>
    </w:p>
    <w:p w14:paraId="04DA9C4F">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一、</w:t>
      </w:r>
      <w:r>
        <w:rPr>
          <w:rFonts w:hint="eastAsia" w:ascii="宋体" w:hAnsi="宋体" w:cs="宋体"/>
          <w:b/>
          <w:bCs/>
          <w:color w:val="auto"/>
          <w:kern w:val="0"/>
          <w:sz w:val="24"/>
          <w:szCs w:val="24"/>
        </w:rPr>
        <w:t>项目基本情况</w:t>
      </w:r>
    </w:p>
    <w:p w14:paraId="38D7F93D">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项目编号：</w:t>
      </w:r>
      <w:r>
        <w:rPr>
          <w:rFonts w:hint="eastAsia" w:ascii="宋体" w:hAnsi="宋体" w:cs="宋体"/>
          <w:color w:val="auto"/>
          <w:kern w:val="0"/>
          <w:sz w:val="24"/>
          <w:szCs w:val="24"/>
          <w:lang w:eastAsia="zh-CN"/>
        </w:rPr>
        <w:t>AKSH2025-ZCS-092-3</w:t>
      </w:r>
    </w:p>
    <w:p w14:paraId="0FE1EF2F">
      <w:pPr>
        <w:pStyle w:val="46"/>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2.</w:t>
      </w:r>
      <w:r>
        <w:rPr>
          <w:rFonts w:hint="eastAsia" w:ascii="宋体" w:hAnsi="宋体" w:cs="宋体"/>
          <w:color w:val="auto"/>
          <w:kern w:val="0"/>
          <w:sz w:val="24"/>
          <w:szCs w:val="24"/>
        </w:rPr>
        <w:t>项目名称：</w:t>
      </w:r>
      <w:r>
        <w:rPr>
          <w:rFonts w:hint="eastAsia" w:ascii="宋体" w:hAnsi="宋体" w:cs="宋体"/>
          <w:color w:val="auto"/>
          <w:kern w:val="0"/>
          <w:sz w:val="24"/>
          <w:szCs w:val="24"/>
          <w:lang w:eastAsia="zh-CN"/>
        </w:rPr>
        <w:t>安康市中医医院物流系统维保服务采购项目（三次）</w:t>
      </w:r>
    </w:p>
    <w:p w14:paraId="447DF52C">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采购方式：竞争性磋商</w:t>
      </w:r>
    </w:p>
    <w:p w14:paraId="1AD5127F">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4.</w:t>
      </w:r>
      <w:r>
        <w:rPr>
          <w:rFonts w:hint="eastAsia" w:ascii="宋体" w:hAnsi="宋体" w:cs="宋体"/>
          <w:color w:val="auto"/>
          <w:kern w:val="0"/>
          <w:sz w:val="24"/>
          <w:szCs w:val="24"/>
        </w:rPr>
        <w:t>预算金额：</w:t>
      </w:r>
      <w:r>
        <w:rPr>
          <w:rFonts w:hint="eastAsia" w:ascii="宋体" w:hAnsi="宋体" w:cs="宋体"/>
          <w:color w:val="auto"/>
          <w:kern w:val="0"/>
          <w:sz w:val="24"/>
          <w:szCs w:val="24"/>
          <w:lang w:eastAsia="zh-CN"/>
        </w:rPr>
        <w:t>145000.00元</w:t>
      </w:r>
    </w:p>
    <w:p w14:paraId="2EDE2801">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5.</w:t>
      </w:r>
      <w:r>
        <w:rPr>
          <w:rFonts w:hint="eastAsia" w:ascii="宋体" w:hAnsi="宋体" w:cs="宋体"/>
          <w:color w:val="auto"/>
          <w:kern w:val="0"/>
          <w:sz w:val="24"/>
          <w:szCs w:val="24"/>
        </w:rPr>
        <w:t>采购需求：</w:t>
      </w:r>
      <w:bookmarkStart w:id="17" w:name="OLE_LINK8"/>
      <w:bookmarkStart w:id="18" w:name="OLE_LINK16"/>
      <w:r>
        <w:rPr>
          <w:rFonts w:hint="eastAsia" w:ascii="宋体" w:hAnsi="宋体" w:cs="宋体"/>
          <w:color w:val="auto"/>
          <w:kern w:val="0"/>
          <w:sz w:val="24"/>
          <w:szCs w:val="24"/>
          <w:lang w:eastAsia="zh-CN"/>
        </w:rPr>
        <w:t>安康市中医医院物流系统维保服务采购项目（三次）</w:t>
      </w:r>
      <w:r>
        <w:rPr>
          <w:rFonts w:hint="eastAsia" w:ascii="宋体" w:hAnsi="宋体" w:cs="宋体"/>
          <w:color w:val="auto"/>
          <w:kern w:val="0"/>
          <w:sz w:val="24"/>
          <w:szCs w:val="24"/>
        </w:rPr>
        <w:t>，预算</w:t>
      </w:r>
      <w:r>
        <w:rPr>
          <w:rFonts w:hint="eastAsia" w:ascii="宋体" w:hAnsi="宋体" w:cs="宋体"/>
          <w:color w:val="auto"/>
          <w:kern w:val="0"/>
          <w:sz w:val="24"/>
          <w:szCs w:val="24"/>
          <w:lang w:val="en-US" w:eastAsia="zh-CN"/>
        </w:rPr>
        <w:t>145000.00</w:t>
      </w:r>
      <w:r>
        <w:rPr>
          <w:rFonts w:hint="eastAsia" w:ascii="宋体" w:hAnsi="宋体" w:cs="宋体"/>
          <w:color w:val="auto"/>
          <w:kern w:val="0"/>
          <w:sz w:val="24"/>
          <w:szCs w:val="24"/>
          <w:lang w:eastAsia="zh-CN"/>
        </w:rPr>
        <w:t>元</w:t>
      </w:r>
      <w:bookmarkStart w:id="19" w:name="OLE_LINK11"/>
      <w:r>
        <w:rPr>
          <w:rFonts w:hint="eastAsia" w:ascii="宋体" w:hAnsi="宋体" w:cs="宋体"/>
          <w:color w:val="auto"/>
          <w:kern w:val="0"/>
          <w:sz w:val="24"/>
          <w:szCs w:val="24"/>
          <w:lang w:val="en-US" w:eastAsia="zh-CN"/>
        </w:rPr>
        <w:t>。</w:t>
      </w:r>
      <w:r>
        <w:rPr>
          <w:rFonts w:hint="eastAsia" w:ascii="宋体" w:hAnsi="宋体" w:eastAsia="宋体" w:cs="宋体"/>
          <w:color w:val="auto"/>
          <w:kern w:val="2"/>
          <w:sz w:val="24"/>
          <w:szCs w:val="22"/>
          <w:lang w:val="en-US" w:eastAsia="zh-CN" w:bidi="ar-SA"/>
        </w:rPr>
        <w:t>项目概况：</w:t>
      </w:r>
      <w:bookmarkEnd w:id="19"/>
      <w:r>
        <w:rPr>
          <w:rFonts w:hint="eastAsia" w:ascii="宋体" w:hAnsi="宋体" w:cs="宋体"/>
          <w:color w:val="auto"/>
          <w:kern w:val="0"/>
          <w:sz w:val="24"/>
          <w:szCs w:val="24"/>
          <w:lang w:val="en-US" w:eastAsia="zh-CN" w:bidi="ar"/>
        </w:rPr>
        <w:t>对安康市中医医院现运行的箱式物流系统相关的所有设备设施提供维修、维护、保养、技术支持等服务</w:t>
      </w:r>
      <w:r>
        <w:rPr>
          <w:rFonts w:hint="eastAsia" w:ascii="宋体" w:hAnsi="宋体" w:cs="宋体"/>
          <w:color w:val="auto"/>
          <w:kern w:val="0"/>
          <w:sz w:val="24"/>
          <w:szCs w:val="24"/>
        </w:rPr>
        <w:t>（采购内容详见第五部分采购内容及要求）</w:t>
      </w:r>
      <w:bookmarkEnd w:id="17"/>
      <w:r>
        <w:rPr>
          <w:rFonts w:hint="eastAsia" w:ascii="宋体" w:hAnsi="宋体" w:cs="宋体"/>
          <w:color w:val="auto"/>
          <w:kern w:val="0"/>
          <w:sz w:val="24"/>
          <w:szCs w:val="24"/>
          <w:lang w:eastAsia="zh-CN"/>
        </w:rPr>
        <w:t>。</w:t>
      </w:r>
    </w:p>
    <w:p w14:paraId="43CADBA6">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default" w:ascii="宋体" w:hAnsi="宋体" w:eastAsia="宋体" w:cs="宋体"/>
          <w:color w:val="auto"/>
          <w:kern w:val="0"/>
          <w:sz w:val="24"/>
          <w:szCs w:val="24"/>
          <w:u w:val="none"/>
          <w:lang w:val="en-US" w:eastAsia="zh-CN"/>
        </w:rPr>
      </w:pPr>
      <w:r>
        <w:rPr>
          <w:rFonts w:hint="eastAsia" w:ascii="宋体" w:hAnsi="宋体" w:cs="宋体"/>
          <w:color w:val="auto"/>
          <w:kern w:val="0"/>
          <w:sz w:val="24"/>
          <w:szCs w:val="24"/>
        </w:rPr>
        <w:t xml:space="preserve">  </w:t>
      </w:r>
      <w:bookmarkEnd w:id="18"/>
      <w:r>
        <w:rPr>
          <w:rFonts w:hint="eastAsia" w:ascii="宋体" w:hAnsi="宋体" w:cs="宋体"/>
          <w:color w:val="auto"/>
          <w:kern w:val="0"/>
          <w:sz w:val="24"/>
          <w:szCs w:val="24"/>
          <w:lang w:eastAsia="zh-CN"/>
        </w:rPr>
        <w:t>6.</w:t>
      </w:r>
      <w:r>
        <w:rPr>
          <w:rFonts w:hint="eastAsia" w:ascii="宋体" w:hAnsi="宋体" w:cs="宋体"/>
          <w:color w:val="auto"/>
          <w:kern w:val="0"/>
          <w:sz w:val="24"/>
          <w:szCs w:val="24"/>
        </w:rPr>
        <w:t>合同履行期限：</w:t>
      </w:r>
      <w:r>
        <w:rPr>
          <w:rFonts w:hint="eastAsia" w:ascii="宋体" w:hAnsi="宋体" w:cs="宋体"/>
          <w:color w:val="auto"/>
          <w:kern w:val="0"/>
          <w:sz w:val="24"/>
          <w:szCs w:val="24"/>
          <w:lang w:val="en-US" w:eastAsia="zh-CN" w:bidi="ar-SA"/>
        </w:rPr>
        <w:t>自合同签订生效之日起一年</w:t>
      </w:r>
    </w:p>
    <w:p w14:paraId="3A8A5FE0">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lang w:val="en-US" w:eastAsia="zh-CN"/>
        </w:rPr>
        <w:t>二、</w:t>
      </w:r>
      <w:r>
        <w:rPr>
          <w:rFonts w:hint="eastAsia" w:ascii="宋体" w:hAnsi="宋体" w:cs="宋体"/>
          <w:b/>
          <w:bCs/>
          <w:color w:val="auto"/>
          <w:kern w:val="0"/>
          <w:sz w:val="24"/>
          <w:szCs w:val="24"/>
        </w:rPr>
        <w:t>投标人的资格要求：</w:t>
      </w:r>
    </w:p>
    <w:p w14:paraId="5454211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（一）</w:t>
      </w:r>
      <w:r>
        <w:rPr>
          <w:rFonts w:hint="eastAsia" w:ascii="宋体" w:hAnsi="宋体" w:cs="宋体"/>
          <w:color w:val="auto"/>
          <w:sz w:val="24"/>
          <w:szCs w:val="24"/>
        </w:rPr>
        <w:t>满足《中华人民共和国政府采购法》第二十二条的规定；</w:t>
      </w:r>
    </w:p>
    <w:p w14:paraId="0C6C2D2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（二）</w:t>
      </w:r>
      <w:r>
        <w:rPr>
          <w:rFonts w:hint="eastAsia" w:ascii="宋体" w:hAnsi="宋体" w:cs="宋体"/>
          <w:color w:val="auto"/>
          <w:sz w:val="24"/>
          <w:szCs w:val="24"/>
        </w:rPr>
        <w:t xml:space="preserve">特定资格条件： </w:t>
      </w:r>
    </w:p>
    <w:p w14:paraId="16281786">
      <w:pPr>
        <w:keepNext w:val="0"/>
        <w:keepLines w:val="0"/>
        <w:pageBreakBefore w:val="0"/>
        <w:tabs>
          <w:tab w:val="left" w:pos="567"/>
        </w:tabs>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60EBACA9">
      <w:pPr>
        <w:keepNext w:val="0"/>
        <w:keepLines w:val="0"/>
        <w:pageBreakBefore w:val="0"/>
        <w:kinsoku/>
        <w:wordWrap/>
        <w:overflowPunct/>
        <w:topLinePunct w:val="0"/>
        <w:autoSpaceDE/>
        <w:autoSpaceDN/>
        <w:bidi w:val="0"/>
        <w:adjustRightInd/>
        <w:spacing w:line="440" w:lineRule="exact"/>
        <w:ind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lang w:eastAsia="zh-CN"/>
        </w:rPr>
        <w:t>法定代表人授权书及被授权人身份证复印件（法定代表人直接投标只需提交其身份明材料）。</w:t>
      </w:r>
    </w:p>
    <w:p w14:paraId="3087BD99">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2DAE608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733E6C6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提供2024年7月至今任意一个月缴纳的纳税证明或完税证明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16F6CC2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w:t>
      </w:r>
      <w:r>
        <w:rPr>
          <w:rFonts w:hint="eastAsia" w:ascii="宋体" w:hAnsi="宋体" w:cs="宋体"/>
          <w:color w:val="auto"/>
          <w:sz w:val="24"/>
          <w:szCs w:val="24"/>
          <w:lang w:val="en-US" w:eastAsia="zh-CN"/>
        </w:rPr>
        <w:t>或</w:t>
      </w:r>
      <w:r>
        <w:rPr>
          <w:rFonts w:hint="eastAsia" w:ascii="宋体" w:hAnsi="宋体" w:cs="宋体"/>
          <w:color w:val="auto"/>
          <w:sz w:val="24"/>
          <w:szCs w:val="24"/>
          <w:lang w:eastAsia="zh-CN"/>
        </w:rPr>
        <w:t>投标截止时间</w:t>
      </w:r>
      <w:r>
        <w:rPr>
          <w:rFonts w:hint="eastAsia" w:ascii="宋体" w:hAnsi="宋体" w:cs="宋体"/>
          <w:color w:val="auto"/>
          <w:sz w:val="24"/>
          <w:szCs w:val="24"/>
          <w:lang w:val="en-US" w:eastAsia="zh-CN"/>
        </w:rPr>
        <w:t>前</w:t>
      </w:r>
      <w:r>
        <w:rPr>
          <w:rFonts w:hint="eastAsia" w:ascii="宋体" w:hAnsi="宋体" w:cs="宋体"/>
          <w:color w:val="auto"/>
          <w:sz w:val="24"/>
          <w:szCs w:val="24"/>
          <w:lang w:eastAsia="zh-CN"/>
        </w:rPr>
        <w:t>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2F62F86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提供2024年7月至今任意一个月社会保障资金缴存单</w:t>
      </w:r>
      <w:r>
        <w:rPr>
          <w:rFonts w:hint="eastAsia" w:ascii="宋体" w:hAnsi="宋体" w:cs="宋体"/>
          <w:color w:val="auto"/>
          <w:sz w:val="24"/>
          <w:szCs w:val="24"/>
        </w:rPr>
        <w:t>据或社保机构开具的社会保险参保缴费情况证明，依法不需要缴纳社会保障资金的单位应提供相关证明材料，单据或证明上应有社保机构或代收机构的印章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3F1AAD8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6CAC51A1">
      <w:pPr>
        <w:keepNext w:val="0"/>
        <w:keepLines w:val="0"/>
        <w:pageBreakBefore w:val="0"/>
        <w:kinsoku/>
        <w:wordWrap/>
        <w:overflowPunct/>
        <w:topLinePunct w:val="0"/>
        <w:autoSpaceDE/>
        <w:autoSpaceDN/>
        <w:bidi w:val="0"/>
        <w:adjustRightInd/>
        <w:spacing w:line="440" w:lineRule="exact"/>
        <w:ind w:firstLine="481"/>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7666F2F0">
      <w:pPr>
        <w:keepNext w:val="0"/>
        <w:keepLines w:val="0"/>
        <w:pageBreakBefore w:val="0"/>
        <w:kinsoku/>
        <w:wordWrap/>
        <w:overflowPunct/>
        <w:topLinePunct w:val="0"/>
        <w:autoSpaceDE/>
        <w:autoSpaceDN/>
        <w:bidi w:val="0"/>
        <w:adjustRightInd/>
        <w:spacing w:line="440" w:lineRule="exact"/>
        <w:ind w:firstLine="481"/>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10.本项目不接受联合体投标。</w:t>
      </w:r>
    </w:p>
    <w:p w14:paraId="70F2232C">
      <w:pPr>
        <w:keepNext w:val="0"/>
        <w:keepLines w:val="0"/>
        <w:pageBreakBefore w:val="0"/>
        <w:kinsoku/>
        <w:wordWrap/>
        <w:overflowPunct/>
        <w:topLinePunct w:val="0"/>
        <w:autoSpaceDE/>
        <w:autoSpaceDN/>
        <w:bidi w:val="0"/>
        <w:adjustRightInd/>
        <w:spacing w:line="440" w:lineRule="exact"/>
        <w:ind w:firstLine="481"/>
        <w:textAlignment w:val="auto"/>
        <w:rPr>
          <w:rFonts w:ascii="宋体" w:hAnsi="宋体" w:cs="宋体"/>
          <w:color w:val="auto"/>
          <w:sz w:val="24"/>
          <w:szCs w:val="24"/>
        </w:rPr>
      </w:pPr>
      <w:r>
        <w:rPr>
          <w:rFonts w:hint="eastAsia" w:ascii="宋体" w:hAnsi="宋体" w:cs="宋体"/>
          <w:color w:val="auto"/>
          <w:sz w:val="24"/>
          <w:szCs w:val="24"/>
          <w:lang w:eastAsia="zh-CN"/>
        </w:rPr>
        <w:t>（三）</w:t>
      </w:r>
      <w:r>
        <w:rPr>
          <w:rFonts w:hint="eastAsia" w:ascii="宋体" w:hAnsi="宋体" w:cs="宋体"/>
          <w:color w:val="auto"/>
          <w:sz w:val="24"/>
          <w:szCs w:val="24"/>
        </w:rPr>
        <w:t>采购项目需要落实的政府采购政策</w:t>
      </w:r>
    </w:p>
    <w:p w14:paraId="0FD410A4">
      <w:pPr>
        <w:pStyle w:val="31"/>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0C4C9080">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1.《政府采购促进中小企业发展管理办法》（财库〔2020〕46号）；</w:t>
      </w:r>
    </w:p>
    <w:p w14:paraId="208C27C0">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2.《财政部司法部关于政府采购支持监狱企业发展有关问题的通知》（财库〔2014〕68号）；</w:t>
      </w:r>
    </w:p>
    <w:p w14:paraId="6EB21647">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3.《财政部发展改革委生态环境部市场监管总局关于调整优化节能产品、环境标志产品政府采购执行机制的通知》（财库〔2019〕9号）；</w:t>
      </w:r>
    </w:p>
    <w:p w14:paraId="72F1C7AC">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4.《财政部民政部中国残疾人联合会关于促进残疾人就业政府采购政策的通知》（财库〔2017〕141号）；</w:t>
      </w:r>
    </w:p>
    <w:p w14:paraId="1B281DB3">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5.《财政部农业农村部国家乡村振兴局关于运用政府采购政策支持乡村产业振兴的通知》财库〔2021〕19号；</w:t>
      </w:r>
    </w:p>
    <w:p w14:paraId="5E0BBBB1">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6.《陕西省财政厅关于加快推进我省中小企业政府采购信用融资工作的通知》（陕 财办采〔2020〕15 号）、陕西省财政厅关于印发《陕西省中小企业政府采购信用融资办法》（陕财办采〔2018〕23 号）；</w:t>
      </w:r>
    </w:p>
    <w:p w14:paraId="58580B81">
      <w:pPr>
        <w:keepNext w:val="0"/>
        <w:keepLines w:val="0"/>
        <w:pageBreakBefore w:val="0"/>
        <w:kinsoku/>
        <w:wordWrap/>
        <w:overflowPunct/>
        <w:topLinePunct w:val="0"/>
        <w:autoSpaceDE/>
        <w:autoSpaceDN/>
        <w:bidi w:val="0"/>
        <w:adjustRightInd/>
        <w:spacing w:line="440" w:lineRule="exact"/>
        <w:ind w:firstLine="480" w:firstLineChars="200"/>
        <w:textAlignment w:val="auto"/>
        <w:rPr>
          <w:color w:val="auto"/>
          <w:szCs w:val="24"/>
        </w:rPr>
      </w:pPr>
      <w:r>
        <w:rPr>
          <w:rFonts w:hint="eastAsia" w:ascii="宋体" w:hAnsi="宋体" w:cs="宋体"/>
          <w:color w:val="auto"/>
          <w:sz w:val="24"/>
          <w:szCs w:val="24"/>
          <w:lang w:val="en-US" w:eastAsia="zh-CN"/>
        </w:rPr>
        <w:t>7.其他需要落实的政府采购政策。</w:t>
      </w:r>
    </w:p>
    <w:p w14:paraId="7BBFFDBB">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auto"/>
          <w:sz w:val="24"/>
          <w:szCs w:val="24"/>
        </w:rPr>
      </w:pPr>
      <w:r>
        <w:rPr>
          <w:rFonts w:hint="eastAsia" w:ascii="宋体" w:hAnsi="宋体" w:cs="宋体"/>
          <w:b/>
          <w:bCs/>
          <w:color w:val="auto"/>
          <w:sz w:val="24"/>
          <w:szCs w:val="24"/>
        </w:rPr>
        <w:t xml:space="preserve">三、磋商文件获取 </w:t>
      </w:r>
    </w:p>
    <w:p w14:paraId="3327267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kern w:val="0"/>
          <w:sz w:val="24"/>
          <w:szCs w:val="24"/>
          <w:lang w:eastAsia="zh-CN"/>
        </w:rPr>
      </w:pPr>
      <w:bookmarkStart w:id="20" w:name="_Toc35529352"/>
      <w:r>
        <w:rPr>
          <w:rFonts w:hint="eastAsia" w:ascii="宋体" w:hAnsi="宋体" w:cs="宋体"/>
          <w:color w:val="auto"/>
          <w:kern w:val="0"/>
          <w:sz w:val="24"/>
          <w:szCs w:val="24"/>
          <w:lang w:eastAsia="zh-CN"/>
        </w:rPr>
        <w:t>1.</w:t>
      </w:r>
      <w:r>
        <w:rPr>
          <w:rFonts w:hint="eastAsia" w:ascii="宋体" w:hAnsi="宋体" w:cs="宋体"/>
          <w:color w:val="auto"/>
          <w:kern w:val="0"/>
          <w:sz w:val="24"/>
          <w:szCs w:val="24"/>
        </w:rPr>
        <w:t>获取时间：202</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0</w:t>
      </w: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21</w:t>
      </w:r>
      <w:r>
        <w:rPr>
          <w:rFonts w:hint="eastAsia" w:ascii="宋体" w:hAnsi="宋体" w:cs="宋体"/>
          <w:color w:val="000000" w:themeColor="text1"/>
          <w:kern w:val="0"/>
          <w:sz w:val="24"/>
          <w:szCs w:val="24"/>
          <w14:textFill>
            <w14:solidFill>
              <w14:schemeClr w14:val="tx1"/>
            </w14:solidFill>
          </w14:textFill>
        </w:rPr>
        <w:t>日至202</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08</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27</w:t>
      </w:r>
      <w:r>
        <w:rPr>
          <w:rFonts w:hint="eastAsia" w:ascii="宋体" w:hAnsi="宋体" w:cs="宋体"/>
          <w:color w:val="000000" w:themeColor="text1"/>
          <w:kern w:val="0"/>
          <w:sz w:val="24"/>
          <w:szCs w:val="24"/>
          <w14:textFill>
            <w14:solidFill>
              <w14:schemeClr w14:val="tx1"/>
            </w14:solidFill>
          </w14:textFill>
        </w:rPr>
        <w:t>日上</w:t>
      </w:r>
      <w:r>
        <w:rPr>
          <w:rFonts w:hint="eastAsia" w:ascii="宋体" w:hAnsi="宋体" w:cs="宋体"/>
          <w:color w:val="auto"/>
          <w:kern w:val="0"/>
          <w:sz w:val="24"/>
          <w:szCs w:val="24"/>
        </w:rPr>
        <w:t>午9</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00，下午14</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00-17</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00（节假日除外）</w:t>
      </w:r>
      <w:bookmarkEnd w:id="20"/>
      <w:r>
        <w:rPr>
          <w:rFonts w:hint="eastAsia" w:ascii="宋体" w:hAnsi="宋体" w:cs="宋体"/>
          <w:color w:val="auto"/>
          <w:kern w:val="0"/>
          <w:sz w:val="24"/>
          <w:szCs w:val="24"/>
          <w:lang w:eastAsia="zh-CN"/>
        </w:rPr>
        <w:t>。</w:t>
      </w:r>
    </w:p>
    <w:p w14:paraId="1C9E6CF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rPr>
      </w:pPr>
      <w:bookmarkStart w:id="21" w:name="_Toc35529353"/>
      <w:r>
        <w:rPr>
          <w:rFonts w:hint="eastAsia" w:ascii="宋体" w:hAnsi="宋体" w:cs="宋体"/>
          <w:color w:val="auto"/>
          <w:kern w:val="0"/>
          <w:sz w:val="24"/>
          <w:szCs w:val="24"/>
          <w:lang w:eastAsia="zh-CN"/>
        </w:rPr>
        <w:t>2.</w:t>
      </w:r>
      <w:r>
        <w:rPr>
          <w:rFonts w:hint="eastAsia" w:ascii="宋体" w:hAnsi="宋体" w:cs="宋体"/>
          <w:color w:val="auto"/>
          <w:kern w:val="0"/>
          <w:sz w:val="24"/>
          <w:szCs w:val="24"/>
        </w:rPr>
        <w:t>获取地点：</w:t>
      </w:r>
      <w:bookmarkEnd w:id="21"/>
      <w:r>
        <w:rPr>
          <w:rFonts w:hint="eastAsia" w:ascii="宋体" w:hAnsi="宋体" w:cs="宋体"/>
          <w:color w:val="auto"/>
          <w:kern w:val="0"/>
          <w:sz w:val="24"/>
          <w:szCs w:val="24"/>
        </w:rPr>
        <w:t>安康市高新区</w:t>
      </w:r>
      <w:r>
        <w:rPr>
          <w:rFonts w:hint="eastAsia" w:ascii="宋体" w:hAnsi="宋体" w:cs="宋体"/>
          <w:color w:val="auto"/>
          <w:kern w:val="0"/>
          <w:sz w:val="24"/>
          <w:szCs w:val="24"/>
          <w:lang w:eastAsia="zh-CN"/>
        </w:rPr>
        <w:t>高新观澜8栋</w:t>
      </w:r>
      <w:r>
        <w:rPr>
          <w:rFonts w:hint="eastAsia" w:ascii="宋体" w:hAnsi="宋体" w:cs="宋体"/>
          <w:color w:val="auto"/>
          <w:kern w:val="0"/>
          <w:sz w:val="24"/>
          <w:szCs w:val="24"/>
        </w:rPr>
        <w:t xml:space="preserve">2单元801室 </w:t>
      </w:r>
    </w:p>
    <w:p w14:paraId="39F85EF2">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 xml:space="preserve">获取方式：现场获取 </w:t>
      </w:r>
    </w:p>
    <w:p w14:paraId="661BE3B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rPr>
      </w:pPr>
      <w:bookmarkStart w:id="22" w:name="_Toc35529355"/>
      <w:bookmarkStart w:id="23" w:name="_Toc35529356"/>
      <w:r>
        <w:rPr>
          <w:rFonts w:hint="eastAsia" w:ascii="宋体" w:hAnsi="宋体" w:cs="宋体"/>
          <w:color w:val="auto"/>
          <w:kern w:val="0"/>
          <w:sz w:val="24"/>
          <w:szCs w:val="24"/>
          <w:lang w:eastAsia="zh-CN"/>
        </w:rPr>
        <w:t>4.</w:t>
      </w:r>
      <w:r>
        <w:rPr>
          <w:rFonts w:hint="eastAsia" w:ascii="宋体" w:hAnsi="宋体" w:cs="宋体"/>
          <w:color w:val="auto"/>
          <w:kern w:val="0"/>
          <w:sz w:val="24"/>
          <w:szCs w:val="24"/>
        </w:rPr>
        <w:t>磋商文件的获取期限：自本公告发布之日起不得少于5个工作日</w:t>
      </w:r>
      <w:bookmarkEnd w:id="22"/>
      <w:r>
        <w:rPr>
          <w:rFonts w:hint="eastAsia" w:ascii="宋体" w:hAnsi="宋体" w:cs="宋体"/>
          <w:color w:val="auto"/>
          <w:kern w:val="0"/>
          <w:sz w:val="24"/>
          <w:szCs w:val="24"/>
        </w:rPr>
        <w:t xml:space="preserve"> </w:t>
      </w:r>
    </w:p>
    <w:bookmarkEnd w:id="23"/>
    <w:p w14:paraId="3A4B182E">
      <w:pPr>
        <w:keepNext w:val="0"/>
        <w:keepLines w:val="0"/>
        <w:pageBreakBefore w:val="0"/>
        <w:kinsoku/>
        <w:wordWrap/>
        <w:overflowPunct/>
        <w:topLinePunct w:val="0"/>
        <w:autoSpaceDE/>
        <w:autoSpaceDN/>
        <w:bidi w:val="0"/>
        <w:adjustRightInd/>
        <w:spacing w:line="440" w:lineRule="exact"/>
        <w:ind w:firstLine="482" w:firstLineChars="200"/>
        <w:textAlignment w:val="auto"/>
        <w:rPr>
          <w:rFonts w:ascii="宋体" w:hAnsi="宋体" w:cs="宋体"/>
          <w:b/>
          <w:bCs/>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获取须知：</w:t>
      </w:r>
      <w:r>
        <w:rPr>
          <w:rFonts w:hint="eastAsia" w:ascii="宋体" w:hAnsi="宋体" w:eastAsia="宋体" w:cs="宋体"/>
          <w:b/>
          <w:bCs/>
          <w:color w:val="000000" w:themeColor="text1"/>
          <w:sz w:val="24"/>
          <w:szCs w:val="24"/>
          <w:lang w:val="en-US" w:eastAsia="zh-CN"/>
          <w14:textFill>
            <w14:solidFill>
              <w14:schemeClr w14:val="tx1"/>
            </w14:solidFill>
          </w14:textFill>
        </w:rPr>
        <w:t>投标供应商请在文件获取时间以内将单位介绍信(备注经办人联系电话及电子邮箱)及身份证复印件加盖公章递交至安康</w:t>
      </w:r>
      <w:r>
        <w:rPr>
          <w:rFonts w:hint="eastAsia" w:ascii="宋体" w:hAnsi="宋体" w:cs="宋体"/>
          <w:b/>
          <w:bCs/>
          <w:color w:val="000000" w:themeColor="text1"/>
          <w:sz w:val="24"/>
          <w:szCs w:val="24"/>
          <w:lang w:val="en-US" w:eastAsia="zh-CN"/>
          <w14:textFill>
            <w14:solidFill>
              <w14:schemeClr w14:val="tx1"/>
            </w14:solidFill>
          </w14:textFill>
        </w:rPr>
        <w:t>尚昊</w:t>
      </w:r>
      <w:r>
        <w:rPr>
          <w:rFonts w:hint="eastAsia" w:ascii="宋体" w:hAnsi="宋体" w:eastAsia="宋体" w:cs="宋体"/>
          <w:b/>
          <w:bCs/>
          <w:color w:val="000000" w:themeColor="text1"/>
          <w:sz w:val="24"/>
          <w:szCs w:val="24"/>
          <w:lang w:val="en-US" w:eastAsia="zh-CN"/>
          <w14:textFill>
            <w14:solidFill>
              <w14:schemeClr w14:val="tx1"/>
            </w14:solidFill>
          </w14:textFill>
        </w:rPr>
        <w:t>招标代理有限公司(安康市高新区高新观澜8栋二单元 801室，邮箱：</w:t>
      </w:r>
      <w:r>
        <w:rPr>
          <w:rFonts w:hint="eastAsia" w:ascii="宋体" w:hAnsi="宋体" w:cs="宋体"/>
          <w:b/>
          <w:bCs/>
          <w:color w:val="000000" w:themeColor="text1"/>
          <w:sz w:val="24"/>
          <w:szCs w:val="24"/>
          <w:lang w:val="en-US" w:eastAsia="zh-CN"/>
          <w14:textFill>
            <w14:solidFill>
              <w14:schemeClr w14:val="tx1"/>
            </w14:solidFill>
          </w14:textFill>
        </w:rPr>
        <w:t>365060958</w:t>
      </w:r>
      <w:r>
        <w:rPr>
          <w:rFonts w:hint="eastAsia" w:ascii="宋体" w:hAnsi="宋体" w:eastAsia="宋体" w:cs="宋体"/>
          <w:b/>
          <w:bCs/>
          <w:color w:val="000000" w:themeColor="text1"/>
          <w:sz w:val="24"/>
          <w:szCs w:val="24"/>
          <w:lang w:val="en-US" w:eastAsia="zh-CN"/>
          <w14:textFill>
            <w14:solidFill>
              <w14:schemeClr w14:val="tx1"/>
            </w14:solidFill>
          </w14:textFill>
        </w:rPr>
        <w:t>@qq.com)，确认完毕后采购代理机构将通过邮箱传送磋商文件，请注意查收。</w:t>
      </w:r>
    </w:p>
    <w:p w14:paraId="254FBE70">
      <w:pPr>
        <w:keepNext w:val="0"/>
        <w:keepLines w:val="0"/>
        <w:pageBreakBefore w:val="0"/>
        <w:kinsoku/>
        <w:wordWrap/>
        <w:overflowPunct/>
        <w:topLinePunct w:val="0"/>
        <w:autoSpaceDE/>
        <w:autoSpaceDN/>
        <w:bidi w:val="0"/>
        <w:adjustRightInd/>
        <w:spacing w:line="440" w:lineRule="exact"/>
        <w:ind w:firstLine="482" w:firstLineChars="200"/>
        <w:textAlignment w:val="auto"/>
        <w:rPr>
          <w:rFonts w:ascii="宋体" w:hAnsi="宋体" w:cs="宋体"/>
          <w:color w:val="auto"/>
          <w:kern w:val="0"/>
          <w:sz w:val="24"/>
          <w:szCs w:val="24"/>
        </w:rPr>
      </w:pPr>
      <w:r>
        <w:rPr>
          <w:rFonts w:hint="eastAsia" w:ascii="宋体" w:hAnsi="宋体" w:cs="宋体"/>
          <w:b/>
          <w:bCs/>
          <w:color w:val="auto"/>
          <w:sz w:val="24"/>
          <w:szCs w:val="24"/>
        </w:rPr>
        <w:t>四、</w:t>
      </w:r>
      <w:r>
        <w:rPr>
          <w:rFonts w:hint="eastAsia" w:ascii="宋体" w:hAnsi="宋体" w:cs="宋体"/>
          <w:b/>
          <w:bCs/>
          <w:color w:val="auto"/>
          <w:kern w:val="0"/>
          <w:sz w:val="24"/>
          <w:szCs w:val="24"/>
        </w:rPr>
        <w:t>响应文件递交：</w:t>
      </w:r>
    </w:p>
    <w:p w14:paraId="1244D1EB">
      <w:pPr>
        <w:keepNext w:val="0"/>
        <w:keepLines w:val="0"/>
        <w:pageBreakBefore w:val="0"/>
        <w:widowControl/>
        <w:tabs>
          <w:tab w:val="left" w:pos="0"/>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响应文件递交截止时间：</w:t>
      </w:r>
      <w:r>
        <w:rPr>
          <w:rFonts w:hint="eastAsia" w:ascii="宋体" w:hAnsi="宋体" w:cs="宋体"/>
          <w:color w:val="auto"/>
          <w:kern w:val="0"/>
          <w:sz w:val="24"/>
          <w:szCs w:val="24"/>
          <w:lang w:eastAsia="zh-CN"/>
        </w:rPr>
        <w:t>2025年09月01日09：00</w:t>
      </w:r>
      <w:r>
        <w:rPr>
          <w:rFonts w:hint="eastAsia" w:ascii="宋体" w:hAnsi="宋体" w:cs="宋体"/>
          <w:color w:val="auto"/>
          <w:kern w:val="0"/>
          <w:sz w:val="24"/>
          <w:szCs w:val="24"/>
          <w:lang w:val="en-US" w:eastAsia="zh-CN"/>
        </w:rPr>
        <w:t>时</w:t>
      </w:r>
      <w:r>
        <w:rPr>
          <w:rFonts w:hint="eastAsia" w:ascii="宋体" w:hAnsi="宋体" w:cs="宋体"/>
          <w:color w:val="auto"/>
          <w:kern w:val="0"/>
          <w:sz w:val="24"/>
          <w:szCs w:val="24"/>
        </w:rPr>
        <w:t xml:space="preserve"> </w:t>
      </w:r>
    </w:p>
    <w:p w14:paraId="600B3A9A">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2.</w:t>
      </w:r>
      <w:r>
        <w:rPr>
          <w:rFonts w:hint="eastAsia" w:ascii="宋体" w:hAnsi="宋体" w:cs="宋体"/>
          <w:color w:val="auto"/>
          <w:sz w:val="24"/>
          <w:szCs w:val="24"/>
        </w:rPr>
        <w:t>响应文件递交地点：安康市高新区</w:t>
      </w:r>
      <w:r>
        <w:rPr>
          <w:rFonts w:hint="eastAsia" w:ascii="宋体" w:hAnsi="宋体" w:cs="宋体"/>
          <w:color w:val="auto"/>
          <w:sz w:val="24"/>
          <w:szCs w:val="24"/>
          <w:lang w:eastAsia="zh-CN"/>
        </w:rPr>
        <w:t>高新观澜8栋</w:t>
      </w:r>
      <w:r>
        <w:rPr>
          <w:rFonts w:hint="eastAsia" w:ascii="宋体" w:hAnsi="宋体" w:cs="宋体"/>
          <w:color w:val="auto"/>
          <w:sz w:val="24"/>
          <w:szCs w:val="24"/>
        </w:rPr>
        <w:t xml:space="preserve">2单元801室 </w:t>
      </w:r>
    </w:p>
    <w:p w14:paraId="0F812EA0">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color w:val="auto"/>
          <w:kern w:val="0"/>
          <w:sz w:val="24"/>
          <w:szCs w:val="24"/>
        </w:rPr>
      </w:pPr>
      <w:r>
        <w:rPr>
          <w:rFonts w:hint="eastAsia" w:ascii="宋体" w:hAnsi="宋体" w:cs="宋体"/>
          <w:b/>
          <w:bCs/>
          <w:color w:val="auto"/>
          <w:kern w:val="0"/>
          <w:sz w:val="24"/>
          <w:szCs w:val="24"/>
        </w:rPr>
        <w:t>五、公告期限：</w:t>
      </w:r>
      <w:r>
        <w:rPr>
          <w:rFonts w:hint="eastAsia" w:ascii="宋体" w:hAnsi="宋体" w:cs="宋体"/>
          <w:color w:val="auto"/>
          <w:kern w:val="0"/>
          <w:sz w:val="24"/>
          <w:szCs w:val="24"/>
        </w:rPr>
        <w:t>自本公告发布之日起3个工作日。</w:t>
      </w:r>
    </w:p>
    <w:p w14:paraId="4FA019C8">
      <w:pPr>
        <w:keepNext w:val="0"/>
        <w:keepLines w:val="0"/>
        <w:pageBreakBefore w:val="0"/>
        <w:widowControl/>
        <w:tabs>
          <w:tab w:val="left" w:pos="1620"/>
        </w:tabs>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val="0"/>
          <w:bCs w:val="0"/>
          <w:color w:val="auto"/>
          <w:kern w:val="0"/>
          <w:sz w:val="24"/>
          <w:szCs w:val="24"/>
          <w:lang w:val="en-US" w:eastAsia="zh-CN"/>
        </w:rPr>
      </w:pPr>
      <w:bookmarkStart w:id="24" w:name="OLE_LINK29"/>
      <w:r>
        <w:rPr>
          <w:rFonts w:hint="eastAsia" w:ascii="宋体" w:hAnsi="宋体" w:cs="宋体"/>
          <w:b/>
          <w:bCs/>
          <w:color w:val="auto"/>
          <w:kern w:val="0"/>
          <w:sz w:val="24"/>
          <w:szCs w:val="24"/>
        </w:rPr>
        <w:t>六、其他补充事宜：</w:t>
      </w:r>
      <w:bookmarkEnd w:id="24"/>
      <w:r>
        <w:rPr>
          <w:rFonts w:hint="eastAsia" w:ascii="宋体" w:hAnsi="宋体" w:cs="宋体"/>
          <w:b w:val="0"/>
          <w:bCs w:val="0"/>
          <w:color w:val="auto"/>
          <w:kern w:val="0"/>
          <w:sz w:val="24"/>
          <w:szCs w:val="24"/>
          <w:lang w:val="en-US" w:eastAsia="zh-CN"/>
        </w:rPr>
        <w:t>无。</w:t>
      </w:r>
    </w:p>
    <w:p w14:paraId="1FB1956B">
      <w:pPr>
        <w:pStyle w:val="46"/>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color w:val="auto"/>
          <w:kern w:val="0"/>
          <w:sz w:val="24"/>
          <w:szCs w:val="24"/>
        </w:rPr>
      </w:pPr>
      <w:r>
        <w:rPr>
          <w:rFonts w:hint="eastAsia" w:ascii="宋体" w:hAnsi="宋体" w:cs="宋体"/>
          <w:b/>
          <w:bCs/>
          <w:color w:val="auto"/>
          <w:kern w:val="0"/>
          <w:sz w:val="24"/>
          <w:szCs w:val="24"/>
        </w:rPr>
        <w:t>七、对本次采购提出询问，请按以下方式联系</w:t>
      </w:r>
    </w:p>
    <w:p w14:paraId="4A17B225">
      <w:pPr>
        <w:pStyle w:val="46"/>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采购人信息</w:t>
      </w:r>
    </w:p>
    <w:p w14:paraId="24DA7B18">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    称：</w:t>
      </w:r>
      <w:r>
        <w:rPr>
          <w:rFonts w:hint="eastAsia" w:ascii="宋体" w:hAnsi="宋体" w:cs="宋体"/>
          <w:color w:val="auto"/>
          <w:kern w:val="0"/>
          <w:sz w:val="24"/>
          <w:szCs w:val="24"/>
          <w:lang w:eastAsia="zh-CN"/>
        </w:rPr>
        <w:t>安康市中医医院</w:t>
      </w:r>
    </w:p>
    <w:p w14:paraId="557AEA29">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    址：安康市汉滨区巴山东路47号</w:t>
      </w:r>
    </w:p>
    <w:p w14:paraId="509875DA">
      <w:pPr>
        <w:pStyle w:val="46"/>
        <w:keepNext w:val="0"/>
        <w:keepLines w:val="0"/>
        <w:pageBreakBefore w:val="0"/>
        <w:kinsoku/>
        <w:wordWrap/>
        <w:overflowPunct/>
        <w:topLinePunct w:val="0"/>
        <w:autoSpaceDE/>
        <w:autoSpaceDN/>
        <w:bidi w:val="0"/>
        <w:adjustRightInd/>
        <w:spacing w:line="440" w:lineRule="exact"/>
        <w:ind w:firstLine="48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 系 人：</w:t>
      </w:r>
      <w:r>
        <w:rPr>
          <w:rFonts w:hint="eastAsia" w:ascii="宋体" w:hAnsi="宋体" w:cs="宋体"/>
          <w:color w:val="auto"/>
          <w:kern w:val="0"/>
          <w:sz w:val="24"/>
          <w:szCs w:val="24"/>
          <w:lang w:val="en-US" w:eastAsia="zh-CN"/>
        </w:rPr>
        <w:t>鲁先生</w:t>
      </w:r>
    </w:p>
    <w:p w14:paraId="4ACFD0E6">
      <w:pPr>
        <w:pStyle w:val="46"/>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0915-8183617</w:t>
      </w:r>
    </w:p>
    <w:p w14:paraId="5AB0D896">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采购代理机构信息</w:t>
      </w:r>
    </w:p>
    <w:p w14:paraId="5673DCC8">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名    称：安康尚昊招标代理有限公司</w:t>
      </w:r>
    </w:p>
    <w:p w14:paraId="69877392">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地    址：安康市高新区</w:t>
      </w:r>
      <w:r>
        <w:rPr>
          <w:rFonts w:hint="eastAsia" w:ascii="宋体" w:hAnsi="宋体" w:cs="宋体"/>
          <w:color w:val="auto"/>
          <w:kern w:val="0"/>
          <w:sz w:val="24"/>
          <w:szCs w:val="24"/>
          <w:lang w:eastAsia="zh-CN"/>
        </w:rPr>
        <w:t>高新观澜8栋</w:t>
      </w:r>
      <w:r>
        <w:rPr>
          <w:rFonts w:hint="eastAsia" w:ascii="宋体" w:hAnsi="宋体" w:cs="宋体"/>
          <w:color w:val="auto"/>
          <w:kern w:val="0"/>
          <w:sz w:val="24"/>
          <w:szCs w:val="24"/>
        </w:rPr>
        <w:t>2单元801室</w:t>
      </w:r>
    </w:p>
    <w:p w14:paraId="136BEFB8">
      <w:pPr>
        <w:pStyle w:val="46"/>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cs="宋体"/>
          <w:color w:val="auto"/>
          <w:kern w:val="0"/>
          <w:sz w:val="24"/>
          <w:szCs w:val="24"/>
        </w:rPr>
      </w:pPr>
      <w:r>
        <w:rPr>
          <w:rFonts w:hint="eastAsia" w:ascii="宋体" w:hAnsi="宋体" w:cs="宋体"/>
          <w:color w:val="auto"/>
          <w:kern w:val="0"/>
          <w:sz w:val="24"/>
          <w:szCs w:val="24"/>
        </w:rPr>
        <w:t>联系方式：13991519725</w:t>
      </w:r>
    </w:p>
    <w:p w14:paraId="75E11C14">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项目联系方式</w:t>
      </w:r>
    </w:p>
    <w:p w14:paraId="7E43F464">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项目联系人：郑工</w:t>
      </w:r>
    </w:p>
    <w:p w14:paraId="7FA87525">
      <w:pPr>
        <w:pStyle w:val="46"/>
        <w:keepNext w:val="0"/>
        <w:keepLines w:val="0"/>
        <w:pageBreakBefore w:val="0"/>
        <w:kinsoku/>
        <w:wordWrap/>
        <w:overflowPunct/>
        <w:topLinePunct w:val="0"/>
        <w:autoSpaceDE/>
        <w:autoSpaceDN/>
        <w:bidi w:val="0"/>
        <w:adjustRightInd/>
        <w:spacing w:line="44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rPr>
        <w:t>电      话</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13991519725</w:t>
      </w:r>
    </w:p>
    <w:p w14:paraId="2A8E8A54">
      <w:pPr>
        <w:pStyle w:val="46"/>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eastAsia="宋体" w:cs="宋体"/>
          <w:color w:val="auto"/>
          <w:kern w:val="0"/>
          <w:sz w:val="24"/>
          <w:szCs w:val="24"/>
          <w:lang w:val="en-US" w:eastAsia="zh-CN"/>
        </w:rPr>
      </w:pPr>
    </w:p>
    <w:p w14:paraId="6997BBE4">
      <w:pPr>
        <w:keepNext w:val="0"/>
        <w:keepLines w:val="0"/>
        <w:pageBreakBefore w:val="0"/>
        <w:kinsoku/>
        <w:wordWrap/>
        <w:overflowPunct/>
        <w:topLinePunct w:val="0"/>
        <w:autoSpaceDE/>
        <w:autoSpaceDN/>
        <w:bidi w:val="0"/>
        <w:adjustRightInd/>
        <w:spacing w:line="440" w:lineRule="exact"/>
        <w:ind w:firstLine="480" w:firstLineChars="200"/>
        <w:jc w:val="right"/>
        <w:textAlignment w:val="auto"/>
        <w:rPr>
          <w:rFonts w:ascii="宋体" w:hAnsi="宋体" w:cs="宋体"/>
          <w:color w:val="auto"/>
          <w:kern w:val="0"/>
          <w:sz w:val="24"/>
          <w:szCs w:val="24"/>
        </w:rPr>
      </w:pPr>
      <w:r>
        <w:rPr>
          <w:rFonts w:hint="eastAsia" w:ascii="宋体" w:hAnsi="宋体" w:cs="宋体"/>
          <w:color w:val="auto"/>
          <w:kern w:val="0"/>
          <w:sz w:val="24"/>
          <w:szCs w:val="24"/>
        </w:rPr>
        <w:t>安康尚昊招标代理有限公司</w:t>
      </w:r>
    </w:p>
    <w:p w14:paraId="0D24D2B3">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auto"/>
          <w:kern w:val="0"/>
          <w:sz w:val="24"/>
          <w:szCs w:val="24"/>
        </w:rPr>
        <w:t xml:space="preserve">                                                202</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08</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20</w:t>
      </w:r>
      <w:r>
        <w:rPr>
          <w:rFonts w:hint="eastAsia" w:ascii="宋体" w:hAnsi="宋体" w:cs="宋体"/>
          <w:color w:val="000000" w:themeColor="text1"/>
          <w:kern w:val="0"/>
          <w:sz w:val="24"/>
          <w:szCs w:val="24"/>
          <w14:textFill>
            <w14:solidFill>
              <w14:schemeClr w14:val="tx1"/>
            </w14:solidFill>
          </w14:textFill>
        </w:rPr>
        <w:t>日</w:t>
      </w:r>
    </w:p>
    <w:p w14:paraId="69D10D53">
      <w:pPr>
        <w:pStyle w:val="30"/>
        <w:rPr>
          <w:rFonts w:ascii="宋体" w:hAnsi="宋体" w:cs="宋体"/>
          <w:color w:val="auto"/>
          <w:kern w:val="0"/>
          <w:sz w:val="24"/>
          <w:szCs w:val="24"/>
        </w:rPr>
      </w:pPr>
    </w:p>
    <w:p w14:paraId="53C75B77">
      <w:pPr>
        <w:pStyle w:val="2"/>
        <w:spacing w:line="360" w:lineRule="auto"/>
        <w:rPr>
          <w:rFonts w:hint="eastAsia"/>
          <w:color w:val="auto"/>
        </w:rPr>
        <w:sectPr>
          <w:headerReference r:id="rId11" w:type="first"/>
          <w:footerReference r:id="rId13" w:type="first"/>
          <w:headerReference r:id="rId10" w:type="default"/>
          <w:footerReference r:id="rId12" w:type="default"/>
          <w:pgSz w:w="11906" w:h="16838"/>
          <w:pgMar w:top="1361" w:right="1417" w:bottom="1361" w:left="1417" w:header="1134" w:footer="992" w:gutter="0"/>
          <w:pgNumType w:fmt="decimal" w:start="1"/>
          <w:cols w:space="0" w:num="1"/>
          <w:titlePg/>
          <w:rtlGutter w:val="0"/>
          <w:docGrid w:type="lines" w:linePitch="328" w:charSpace="0"/>
        </w:sectPr>
      </w:pPr>
      <w:bookmarkStart w:id="25" w:name="_Toc19543334"/>
    </w:p>
    <w:p w14:paraId="650134D7">
      <w:pPr>
        <w:pStyle w:val="2"/>
        <w:spacing w:line="360" w:lineRule="auto"/>
        <w:rPr>
          <w:rFonts w:ascii="宋体" w:hAnsi="宋体" w:cs="宋体"/>
          <w:color w:val="auto"/>
        </w:rPr>
      </w:pPr>
      <w:bookmarkStart w:id="26" w:name="_Toc28381"/>
      <w:r>
        <w:rPr>
          <w:rFonts w:hint="eastAsia"/>
          <w:color w:val="auto"/>
        </w:rPr>
        <w:t>第二部分</w:t>
      </w:r>
      <w:r>
        <w:rPr>
          <w:color w:val="auto"/>
        </w:rPr>
        <w:t xml:space="preserve">  </w:t>
      </w:r>
      <w:r>
        <w:rPr>
          <w:rFonts w:hint="eastAsia"/>
          <w:color w:val="auto"/>
        </w:rPr>
        <w:t>供应商须知前附表</w:t>
      </w:r>
      <w:bookmarkEnd w:id="6"/>
      <w:bookmarkEnd w:id="7"/>
      <w:bookmarkEnd w:id="12"/>
      <w:bookmarkEnd w:id="13"/>
      <w:bookmarkEnd w:id="14"/>
      <w:bookmarkEnd w:id="15"/>
      <w:bookmarkEnd w:id="16"/>
      <w:bookmarkEnd w:id="25"/>
      <w:bookmarkEnd w:id="26"/>
    </w:p>
    <w:tbl>
      <w:tblPr>
        <w:tblStyle w:val="78"/>
        <w:tblW w:w="9643" w:type="dxa"/>
        <w:jc w:val="center"/>
        <w:tblLayout w:type="fixed"/>
        <w:tblCellMar>
          <w:top w:w="147" w:type="dxa"/>
          <w:left w:w="108" w:type="dxa"/>
          <w:bottom w:w="56" w:type="dxa"/>
          <w:right w:w="0" w:type="dxa"/>
        </w:tblCellMar>
      </w:tblPr>
      <w:tblGrid>
        <w:gridCol w:w="704"/>
        <w:gridCol w:w="1990"/>
        <w:gridCol w:w="6949"/>
      </w:tblGrid>
      <w:tr w14:paraId="17B0B565">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65E87AC">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序号</w:t>
            </w:r>
          </w:p>
        </w:tc>
        <w:tc>
          <w:tcPr>
            <w:tcW w:w="1990" w:type="dxa"/>
            <w:tcBorders>
              <w:top w:val="single" w:color="000000" w:sz="4" w:space="0"/>
              <w:left w:val="single" w:color="000000" w:sz="4" w:space="0"/>
              <w:bottom w:val="single" w:color="000000" w:sz="4" w:space="0"/>
              <w:right w:val="single" w:color="000000" w:sz="4" w:space="0"/>
            </w:tcBorders>
            <w:vAlign w:val="center"/>
          </w:tcPr>
          <w:p w14:paraId="672193B2">
            <w:pPr>
              <w:spacing w:line="259" w:lineRule="auto"/>
              <w:ind w:right="31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内 容</w:t>
            </w:r>
          </w:p>
        </w:tc>
        <w:tc>
          <w:tcPr>
            <w:tcW w:w="6949" w:type="dxa"/>
            <w:tcBorders>
              <w:top w:val="single" w:color="000000" w:sz="4" w:space="0"/>
              <w:left w:val="single" w:color="000000" w:sz="4" w:space="0"/>
              <w:bottom w:val="single" w:color="000000" w:sz="4" w:space="0"/>
              <w:right w:val="single" w:color="000000" w:sz="4" w:space="0"/>
            </w:tcBorders>
            <w:vAlign w:val="center"/>
          </w:tcPr>
          <w:p w14:paraId="2BE513BA">
            <w:pPr>
              <w:spacing w:line="259" w:lineRule="auto"/>
              <w:ind w:left="840" w:right="111" w:firstLine="1680" w:firstLineChars="700"/>
              <w:jc w:val="both"/>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说明与要求</w:t>
            </w:r>
          </w:p>
        </w:tc>
      </w:tr>
      <w:tr w14:paraId="0018CEAA">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239A72">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12E9450">
            <w:pPr>
              <w:spacing w:line="259" w:lineRule="auto"/>
              <w:ind w:right="10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采购人</w:t>
            </w:r>
          </w:p>
        </w:tc>
        <w:tc>
          <w:tcPr>
            <w:tcW w:w="6949" w:type="dxa"/>
            <w:tcBorders>
              <w:top w:val="single" w:color="000000" w:sz="4" w:space="0"/>
              <w:left w:val="single" w:color="000000" w:sz="4" w:space="0"/>
              <w:bottom w:val="single" w:color="000000" w:sz="4" w:space="0"/>
              <w:right w:val="single" w:color="000000" w:sz="4" w:space="0"/>
            </w:tcBorders>
            <w:vAlign w:val="center"/>
          </w:tcPr>
          <w:p w14:paraId="37714B5D">
            <w:pPr>
              <w:spacing w:line="259" w:lineRule="auto"/>
              <w:rPr>
                <w:rFonts w:hint="default" w:asciiTheme="minorEastAsia" w:hAnsiTheme="minorEastAsia" w:eastAsiaTheme="minorEastAsia"/>
                <w:color w:val="auto"/>
                <w:sz w:val="24"/>
                <w:szCs w:val="24"/>
                <w:lang w:val="en-US" w:eastAsia="zh-CN"/>
              </w:rPr>
            </w:pPr>
            <w:r>
              <w:rPr>
                <w:rFonts w:hint="eastAsia" w:ascii="宋体" w:hAnsi="宋体" w:cs="宋体"/>
                <w:color w:val="auto"/>
                <w:kern w:val="0"/>
                <w:sz w:val="24"/>
                <w:szCs w:val="24"/>
                <w:lang w:eastAsia="zh-CN"/>
              </w:rPr>
              <w:t>安康市中医医院</w:t>
            </w:r>
          </w:p>
        </w:tc>
      </w:tr>
      <w:tr w14:paraId="7231993B">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F55F1A2">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C72F245">
            <w:pPr>
              <w:spacing w:line="259" w:lineRule="auto"/>
              <w:ind w:right="109"/>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代理机构</w:t>
            </w:r>
          </w:p>
        </w:tc>
        <w:tc>
          <w:tcPr>
            <w:tcW w:w="6949" w:type="dxa"/>
            <w:tcBorders>
              <w:top w:val="single" w:color="000000" w:sz="4" w:space="0"/>
              <w:left w:val="single" w:color="000000" w:sz="4" w:space="0"/>
              <w:bottom w:val="single" w:color="000000" w:sz="4" w:space="0"/>
              <w:right w:val="single" w:color="000000" w:sz="4" w:space="0"/>
            </w:tcBorders>
            <w:vAlign w:val="center"/>
          </w:tcPr>
          <w:p w14:paraId="7F5E9678">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安康</w:t>
            </w:r>
            <w:r>
              <w:rPr>
                <w:rFonts w:asciiTheme="minorEastAsia" w:hAnsiTheme="minorEastAsia" w:eastAsiaTheme="minorEastAsia"/>
                <w:color w:val="auto"/>
                <w:sz w:val="24"/>
                <w:szCs w:val="24"/>
              </w:rPr>
              <w:t>尚昊招标代理有限公司</w:t>
            </w:r>
          </w:p>
        </w:tc>
      </w:tr>
      <w:tr w14:paraId="05AE1F9D">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A78E4A8">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B8D3314">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项目名称</w:t>
            </w:r>
          </w:p>
        </w:tc>
        <w:tc>
          <w:tcPr>
            <w:tcW w:w="6949" w:type="dxa"/>
            <w:tcBorders>
              <w:top w:val="single" w:color="000000" w:sz="4" w:space="0"/>
              <w:left w:val="single" w:color="000000" w:sz="4" w:space="0"/>
              <w:bottom w:val="single" w:color="000000" w:sz="4" w:space="0"/>
              <w:right w:val="single" w:color="000000" w:sz="4" w:space="0"/>
            </w:tcBorders>
            <w:vAlign w:val="center"/>
          </w:tcPr>
          <w:p w14:paraId="43F6FC3A">
            <w:pPr>
              <w:pStyle w:val="77"/>
              <w:widowControl/>
              <w:snapToGrid w:val="0"/>
              <w:spacing w:line="400" w:lineRule="exact"/>
              <w:ind w:firstLine="0" w:firstLineChars="0"/>
              <w:jc w:val="left"/>
              <w:rPr>
                <w:rFonts w:asciiTheme="minorEastAsia" w:hAnsiTheme="minorEastAsia" w:eastAsiaTheme="minorEastAsia"/>
                <w:color w:val="auto"/>
                <w:sz w:val="24"/>
                <w:szCs w:val="24"/>
              </w:rPr>
            </w:pPr>
            <w:r>
              <w:rPr>
                <w:rFonts w:ascii="宋体" w:hAnsi="宋体" w:cs="Times New Roman"/>
                <w:color w:val="auto"/>
                <w:sz w:val="24"/>
                <w:szCs w:val="24"/>
              </w:rPr>
              <mc:AlternateContent>
                <mc:Choice Requires="wps">
                  <w:drawing>
                    <wp:anchor distT="0" distB="0" distL="114300" distR="114300" simplePos="0" relativeHeight="251661312"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017AE5FE">
                                  <w:pPr>
                                    <w:pStyle w:val="22"/>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1312;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017AE5FE">
                            <w:pPr>
                              <w:pStyle w:val="22"/>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Times New Roman"/>
                <w:color w:val="auto"/>
                <w:sz w:val="24"/>
                <w:szCs w:val="24"/>
                <w:lang w:eastAsia="zh-CN"/>
              </w:rPr>
              <w:t>安康市中医医院物流系统维保服务采购项目（三次）</w:t>
            </w:r>
            <w:r>
              <w:rPr>
                <w:rFonts w:hint="eastAsia" w:ascii="宋体" w:hAnsi="宋体" w:cs="Times New Roman"/>
                <w:color w:val="auto"/>
                <w:sz w:val="24"/>
                <w:szCs w:val="24"/>
              </w:rPr>
              <w:t xml:space="preserve"> </w:t>
            </w:r>
          </w:p>
        </w:tc>
      </w:tr>
      <w:tr w14:paraId="723BBCBE">
        <w:tblPrEx>
          <w:tblCellMar>
            <w:top w:w="147" w:type="dxa"/>
            <w:left w:w="108" w:type="dxa"/>
            <w:bottom w:w="56" w:type="dxa"/>
            <w:right w:w="0"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A42848D">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144B4F4">
            <w:pPr>
              <w:spacing w:line="259" w:lineRule="auto"/>
              <w:ind w:right="111"/>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采购</w:t>
            </w:r>
            <w:r>
              <w:rPr>
                <w:rFonts w:asciiTheme="minorEastAsia" w:hAnsiTheme="minorEastAsia" w:eastAsiaTheme="minorEastAsia"/>
                <w:color w:val="auto"/>
                <w:sz w:val="24"/>
                <w:szCs w:val="24"/>
              </w:rPr>
              <w:t>内容</w:t>
            </w:r>
          </w:p>
        </w:tc>
        <w:tc>
          <w:tcPr>
            <w:tcW w:w="6949" w:type="dxa"/>
            <w:tcBorders>
              <w:top w:val="single" w:color="000000" w:sz="4" w:space="0"/>
              <w:left w:val="single" w:color="000000" w:sz="4" w:space="0"/>
              <w:bottom w:val="single" w:color="000000" w:sz="4" w:space="0"/>
              <w:right w:val="single" w:color="000000" w:sz="4" w:space="0"/>
            </w:tcBorders>
          </w:tcPr>
          <w:p w14:paraId="7E4FB3DE">
            <w:pPr>
              <w:widowControl/>
              <w:tabs>
                <w:tab w:val="left" w:pos="1620"/>
              </w:tabs>
              <w:snapToGrid w:val="0"/>
              <w:spacing w:line="400" w:lineRule="exact"/>
              <w:rPr>
                <w:rFonts w:cs="宋体" w:asciiTheme="minorEastAsia" w:hAnsiTheme="minorEastAsia" w:eastAsiaTheme="minorEastAsia"/>
                <w:color w:val="auto"/>
                <w:kern w:val="0"/>
                <w:sz w:val="24"/>
                <w:szCs w:val="24"/>
              </w:rPr>
            </w:pPr>
            <w:r>
              <w:rPr>
                <w:rFonts w:hint="eastAsia" w:ascii="宋体" w:hAnsi="宋体" w:cs="宋体"/>
                <w:color w:val="auto"/>
                <w:kern w:val="0"/>
                <w:sz w:val="24"/>
                <w:szCs w:val="24"/>
                <w:lang w:eastAsia="zh-CN"/>
              </w:rPr>
              <w:t>安康市中医医院物流系统维保服务采购项目（三次）</w:t>
            </w:r>
            <w:r>
              <w:rPr>
                <w:rFonts w:hint="eastAsia" w:ascii="宋体" w:hAnsi="宋体" w:cs="宋体"/>
                <w:color w:val="auto"/>
                <w:kern w:val="0"/>
                <w:sz w:val="24"/>
                <w:szCs w:val="24"/>
              </w:rPr>
              <w:t>，预算</w:t>
            </w:r>
            <w:r>
              <w:rPr>
                <w:rFonts w:hint="eastAsia" w:ascii="宋体" w:hAnsi="宋体" w:cs="宋体"/>
                <w:color w:val="auto"/>
                <w:kern w:val="0"/>
                <w:sz w:val="24"/>
                <w:szCs w:val="24"/>
                <w:lang w:val="en-US" w:eastAsia="zh-CN"/>
              </w:rPr>
              <w:t>145000.00</w:t>
            </w:r>
            <w:r>
              <w:rPr>
                <w:rFonts w:hint="eastAsia" w:ascii="宋体" w:hAnsi="宋体" w:cs="宋体"/>
                <w:color w:val="auto"/>
                <w:kern w:val="0"/>
                <w:sz w:val="24"/>
                <w:szCs w:val="24"/>
                <w:lang w:eastAsia="zh-CN"/>
              </w:rPr>
              <w:t>元</w:t>
            </w:r>
            <w:r>
              <w:rPr>
                <w:rFonts w:hint="eastAsia" w:ascii="宋体" w:hAnsi="宋体" w:cs="宋体"/>
                <w:color w:val="auto"/>
                <w:kern w:val="0"/>
                <w:sz w:val="24"/>
                <w:szCs w:val="24"/>
                <w:lang w:val="en-US" w:eastAsia="zh-CN"/>
              </w:rPr>
              <w:t>。</w:t>
            </w:r>
            <w:r>
              <w:rPr>
                <w:rFonts w:hint="eastAsia" w:ascii="宋体" w:hAnsi="宋体" w:eastAsia="宋体" w:cs="宋体"/>
                <w:color w:val="auto"/>
                <w:kern w:val="2"/>
                <w:sz w:val="24"/>
                <w:szCs w:val="22"/>
                <w:lang w:val="en-US" w:eastAsia="zh-CN" w:bidi="ar-SA"/>
              </w:rPr>
              <w:t>项目概况：</w:t>
            </w:r>
            <w:r>
              <w:rPr>
                <w:rFonts w:hint="eastAsia" w:ascii="宋体" w:hAnsi="宋体" w:cs="宋体"/>
                <w:color w:val="auto"/>
                <w:kern w:val="0"/>
                <w:sz w:val="24"/>
                <w:szCs w:val="24"/>
                <w:lang w:val="en-US" w:eastAsia="zh-CN" w:bidi="ar"/>
              </w:rPr>
              <w:t>对安康市中医医院现运行的箱式物流系统相关的所有设备设施提供维修、维护、保养、技术支持等服务</w:t>
            </w:r>
            <w:r>
              <w:rPr>
                <w:rFonts w:hint="eastAsia" w:ascii="宋体" w:hAnsi="宋体" w:cs="宋体"/>
                <w:color w:val="auto"/>
                <w:kern w:val="0"/>
                <w:sz w:val="24"/>
                <w:szCs w:val="24"/>
              </w:rPr>
              <w:t>（采购内容详见第五部分采购内容及要求）</w:t>
            </w:r>
            <w:r>
              <w:rPr>
                <w:rFonts w:hint="eastAsia" w:ascii="宋体" w:hAnsi="宋体" w:cs="宋体"/>
                <w:color w:val="auto"/>
                <w:kern w:val="0"/>
                <w:sz w:val="24"/>
                <w:szCs w:val="24"/>
                <w:lang w:eastAsia="zh-CN"/>
              </w:rPr>
              <w:t>。</w:t>
            </w:r>
          </w:p>
        </w:tc>
      </w:tr>
      <w:tr w14:paraId="79ABE1C1">
        <w:tblPrEx>
          <w:tblCellMar>
            <w:top w:w="147" w:type="dxa"/>
            <w:left w:w="108" w:type="dxa"/>
            <w:bottom w:w="56" w:type="dxa"/>
            <w:right w:w="0" w:type="dxa"/>
          </w:tblCellMar>
        </w:tblPrEx>
        <w:trPr>
          <w:trHeight w:val="555"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93384B">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5EAEEE8A">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预算金额</w:t>
            </w:r>
          </w:p>
        </w:tc>
        <w:tc>
          <w:tcPr>
            <w:tcW w:w="6949" w:type="dxa"/>
            <w:tcBorders>
              <w:top w:val="single" w:color="000000" w:sz="4" w:space="0"/>
              <w:left w:val="single" w:color="000000" w:sz="4" w:space="0"/>
              <w:bottom w:val="single" w:color="000000" w:sz="4" w:space="0"/>
              <w:right w:val="single" w:color="000000" w:sz="4" w:space="0"/>
            </w:tcBorders>
          </w:tcPr>
          <w:p w14:paraId="30B01CF0">
            <w:pPr>
              <w:spacing w:line="259" w:lineRule="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145000.00元</w:t>
            </w:r>
          </w:p>
        </w:tc>
      </w:tr>
      <w:tr w14:paraId="05CD3605">
        <w:tblPrEx>
          <w:tblCellMar>
            <w:top w:w="147" w:type="dxa"/>
            <w:left w:w="108" w:type="dxa"/>
            <w:bottom w:w="56" w:type="dxa"/>
            <w:right w:w="0" w:type="dxa"/>
          </w:tblCellMar>
        </w:tblPrEx>
        <w:trPr>
          <w:trHeight w:val="54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D2863CD">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5B5B9DB">
            <w:pPr>
              <w:widowControl/>
              <w:tabs>
                <w:tab w:val="left" w:pos="1620"/>
              </w:tabs>
              <w:snapToGrid w:val="0"/>
              <w:spacing w:line="400" w:lineRule="exact"/>
              <w:jc w:val="center"/>
              <w:rPr>
                <w:rFonts w:cs="宋体" w:asciiTheme="minorEastAsia" w:hAnsiTheme="minorEastAsia" w:eastAsiaTheme="minorEastAsia"/>
                <w:color w:val="auto"/>
                <w:kern w:val="0"/>
                <w:sz w:val="24"/>
                <w:szCs w:val="24"/>
              </w:rPr>
            </w:pPr>
            <w:r>
              <w:rPr>
                <w:rFonts w:hint="eastAsia" w:ascii="宋体" w:hAnsi="宋体" w:cs="宋体"/>
                <w:color w:val="auto"/>
                <w:kern w:val="0"/>
                <w:sz w:val="24"/>
                <w:szCs w:val="24"/>
              </w:rPr>
              <w:t>合同履行期限</w:t>
            </w:r>
          </w:p>
        </w:tc>
        <w:tc>
          <w:tcPr>
            <w:tcW w:w="6949" w:type="dxa"/>
            <w:tcBorders>
              <w:top w:val="single" w:color="000000" w:sz="4" w:space="0"/>
              <w:left w:val="single" w:color="000000" w:sz="4" w:space="0"/>
              <w:bottom w:val="single" w:color="000000" w:sz="4" w:space="0"/>
              <w:right w:val="single" w:color="000000" w:sz="4" w:space="0"/>
            </w:tcBorders>
            <w:vAlign w:val="bottom"/>
          </w:tcPr>
          <w:p w14:paraId="15BCF2E2">
            <w:pPr>
              <w:widowControl/>
              <w:tabs>
                <w:tab w:val="left" w:pos="1620"/>
              </w:tabs>
              <w:snapToGrid w:val="0"/>
              <w:spacing w:line="400" w:lineRule="exact"/>
              <w:rPr>
                <w:rFonts w:hint="default" w:cs="宋体" w:asciiTheme="minorEastAsia" w:hAnsiTheme="minorEastAsia" w:eastAsiaTheme="minorEastAsia"/>
                <w:color w:val="auto"/>
                <w:kern w:val="0"/>
                <w:sz w:val="24"/>
                <w:szCs w:val="24"/>
                <w:lang w:val="en-US" w:eastAsia="zh-CN"/>
              </w:rPr>
            </w:pPr>
            <w:r>
              <w:rPr>
                <w:rFonts w:hint="eastAsia" w:ascii="宋体" w:hAnsi="宋体" w:cs="宋体"/>
                <w:color w:val="auto"/>
                <w:kern w:val="0"/>
                <w:sz w:val="24"/>
                <w:szCs w:val="24"/>
                <w:lang w:val="en-US" w:eastAsia="zh-CN" w:bidi="ar-SA"/>
              </w:rPr>
              <w:t>自合同签订生效之日起一年</w:t>
            </w:r>
          </w:p>
        </w:tc>
      </w:tr>
      <w:tr w14:paraId="796C46E3">
        <w:tblPrEx>
          <w:tblCellMar>
            <w:top w:w="147" w:type="dxa"/>
            <w:left w:w="108" w:type="dxa"/>
            <w:bottom w:w="56" w:type="dxa"/>
            <w:right w:w="0" w:type="dxa"/>
          </w:tblCellMar>
        </w:tblPrEx>
        <w:trPr>
          <w:trHeight w:val="555"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E00981C">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714513B">
            <w:pPr>
              <w:spacing w:line="360" w:lineRule="auto"/>
              <w:ind w:right="111"/>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服务</w:t>
            </w:r>
            <w:r>
              <w:rPr>
                <w:rFonts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47BDE43D">
            <w:pPr>
              <w:spacing w:line="360" w:lineRule="auto"/>
              <w:jc w:val="left"/>
              <w:rPr>
                <w:rFonts w:ascii="宋体" w:hAnsi="宋体" w:cs="宋体"/>
                <w:color w:val="auto"/>
                <w:sz w:val="24"/>
                <w:szCs w:val="24"/>
              </w:rPr>
            </w:pPr>
            <w:r>
              <w:rPr>
                <w:rFonts w:hint="eastAsia" w:asciiTheme="minorEastAsia" w:hAnsiTheme="minorEastAsia" w:eastAsiaTheme="minorEastAsia"/>
                <w:color w:val="auto"/>
                <w:sz w:val="24"/>
                <w:szCs w:val="24"/>
              </w:rPr>
              <w:t>采购人指定地点</w:t>
            </w:r>
          </w:p>
        </w:tc>
      </w:tr>
      <w:tr w14:paraId="24EA05C0">
        <w:tblPrEx>
          <w:tblCellMar>
            <w:top w:w="147" w:type="dxa"/>
            <w:left w:w="108" w:type="dxa"/>
            <w:bottom w:w="56" w:type="dxa"/>
            <w:right w:w="0" w:type="dxa"/>
          </w:tblCellMar>
        </w:tblPrEx>
        <w:trPr>
          <w:trHeight w:val="54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7028208">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7E8AE70B">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资格审查方式</w:t>
            </w:r>
          </w:p>
        </w:tc>
        <w:tc>
          <w:tcPr>
            <w:tcW w:w="6949" w:type="dxa"/>
            <w:tcBorders>
              <w:top w:val="single" w:color="000000" w:sz="4" w:space="0"/>
              <w:left w:val="single" w:color="000000" w:sz="4" w:space="0"/>
              <w:bottom w:val="single" w:color="000000" w:sz="4" w:space="0"/>
              <w:right w:val="single" w:color="000000" w:sz="4" w:space="0"/>
            </w:tcBorders>
          </w:tcPr>
          <w:p w14:paraId="5CEC7AA2">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资格后审</w:t>
            </w:r>
          </w:p>
        </w:tc>
      </w:tr>
      <w:tr w14:paraId="660E0C39">
        <w:tblPrEx>
          <w:tblCellMar>
            <w:top w:w="147" w:type="dxa"/>
            <w:left w:w="108" w:type="dxa"/>
            <w:bottom w:w="56" w:type="dxa"/>
            <w:right w:w="0" w:type="dxa"/>
          </w:tblCellMar>
        </w:tblPrEx>
        <w:trPr>
          <w:trHeight w:val="89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8D11FE9">
            <w:pPr>
              <w:pStyle w:val="77"/>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3C367A34">
            <w:pPr>
              <w:spacing w:line="259" w:lineRule="auto"/>
              <w:ind w:right="29"/>
              <w:jc w:val="center"/>
              <w:rPr>
                <w:rFonts w:hint="default" w:asciiTheme="minorEastAsia" w:hAnsiTheme="minorEastAsia" w:eastAsiaTheme="minorEastAsia"/>
                <w:color w:val="auto"/>
                <w:sz w:val="24"/>
                <w:szCs w:val="24"/>
                <w:lang w:val="en-US"/>
              </w:rPr>
            </w:pPr>
            <w:r>
              <w:rPr>
                <w:rFonts w:asciiTheme="minorEastAsia" w:hAnsiTheme="minorEastAsia" w:eastAsiaTheme="minorEastAsia"/>
                <w:color w:val="auto"/>
                <w:sz w:val="24"/>
                <w:szCs w:val="24"/>
              </w:rPr>
              <w:t>投标人</w:t>
            </w:r>
            <w:r>
              <w:rPr>
                <w:rFonts w:hint="eastAsia" w:asciiTheme="minorEastAsia" w:hAnsiTheme="minorEastAsia" w:eastAsiaTheme="minorEastAsia"/>
                <w:color w:val="auto"/>
                <w:sz w:val="24"/>
                <w:szCs w:val="24"/>
                <w:lang w:val="en-US" w:eastAsia="zh-CN"/>
              </w:rPr>
              <w:t>资格要求</w:t>
            </w:r>
          </w:p>
        </w:tc>
        <w:tc>
          <w:tcPr>
            <w:tcW w:w="6949" w:type="dxa"/>
            <w:tcBorders>
              <w:top w:val="single" w:color="000000" w:sz="4" w:space="0"/>
              <w:left w:val="single" w:color="000000" w:sz="4" w:space="0"/>
              <w:bottom w:val="single" w:color="000000" w:sz="4" w:space="0"/>
              <w:right w:val="single" w:color="000000" w:sz="4" w:space="0"/>
            </w:tcBorders>
          </w:tcPr>
          <w:p w14:paraId="4848FA2D">
            <w:pPr>
              <w:keepNext w:val="0"/>
              <w:keepLines w:val="0"/>
              <w:pageBreakBefore w:val="0"/>
              <w:tabs>
                <w:tab w:val="left" w:pos="567"/>
              </w:tabs>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07AD29D1">
            <w:pPr>
              <w:keepNext w:val="0"/>
              <w:keepLines w:val="0"/>
              <w:pageBreakBefore w:val="0"/>
              <w:kinsoku/>
              <w:wordWrap/>
              <w:overflowPunct/>
              <w:topLinePunct w:val="0"/>
              <w:autoSpaceDE/>
              <w:autoSpaceDN/>
              <w:bidi w:val="0"/>
              <w:adjustRightInd/>
              <w:spacing w:line="440" w:lineRule="exact"/>
              <w:ind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lang w:eastAsia="zh-CN"/>
              </w:rPr>
              <w:t>法定代表人授权书及被授权人身份证复印件（法定代表人直接投标只需提交其身份明材料）。</w:t>
            </w:r>
          </w:p>
          <w:p w14:paraId="0244B018">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3CEB1B1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0EB50B9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提供2024年7月至今任意一个月缴纳的纳税证明或完税证明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6EB9B81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w:t>
            </w:r>
            <w:r>
              <w:rPr>
                <w:rFonts w:hint="eastAsia" w:ascii="宋体" w:hAnsi="宋体" w:cs="宋体"/>
                <w:color w:val="auto"/>
                <w:sz w:val="24"/>
                <w:szCs w:val="24"/>
                <w:lang w:val="en-US" w:eastAsia="zh-CN"/>
              </w:rPr>
              <w:t>或</w:t>
            </w:r>
            <w:r>
              <w:rPr>
                <w:rFonts w:hint="eastAsia" w:ascii="宋体" w:hAnsi="宋体" w:cs="宋体"/>
                <w:color w:val="auto"/>
                <w:sz w:val="24"/>
                <w:szCs w:val="24"/>
                <w:lang w:eastAsia="zh-CN"/>
              </w:rPr>
              <w:t>投标截止时间</w:t>
            </w:r>
            <w:r>
              <w:rPr>
                <w:rFonts w:hint="eastAsia" w:ascii="宋体" w:hAnsi="宋体" w:cs="宋体"/>
                <w:color w:val="auto"/>
                <w:sz w:val="24"/>
                <w:szCs w:val="24"/>
                <w:lang w:val="en-US" w:eastAsia="zh-CN"/>
              </w:rPr>
              <w:t>前</w:t>
            </w:r>
            <w:r>
              <w:rPr>
                <w:rFonts w:hint="eastAsia" w:ascii="宋体" w:hAnsi="宋体" w:cs="宋体"/>
                <w:color w:val="auto"/>
                <w:sz w:val="24"/>
                <w:szCs w:val="24"/>
                <w:lang w:eastAsia="zh-CN"/>
              </w:rPr>
              <w:t>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2F48DF4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提供2024年7月至今任意一个月社会保障资金缴存单</w:t>
            </w:r>
            <w:r>
              <w:rPr>
                <w:rFonts w:hint="eastAsia" w:ascii="宋体" w:hAnsi="宋体" w:cs="宋体"/>
                <w:color w:val="auto"/>
                <w:sz w:val="24"/>
                <w:szCs w:val="24"/>
              </w:rPr>
              <w:t>据或社保机构开具的社会保险参保缴费情况证明，依法不需要缴纳社会保障资金的单位应提供相关证明材料，单据或证明上应有社保机构或代收机构的印章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2DDDC57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053DEC81">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45198802">
            <w:pPr>
              <w:spacing w:after="50" w:line="292" w:lineRule="auto"/>
              <w:ind w:firstLine="240" w:firstLineChars="100"/>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 xml:space="preserve">  </w:t>
            </w:r>
            <w:r>
              <w:rPr>
                <w:rFonts w:hint="eastAsia" w:ascii="宋体" w:hAnsi="宋体" w:cs="宋体"/>
                <w:color w:val="auto"/>
                <w:sz w:val="24"/>
                <w:szCs w:val="24"/>
                <w:lang w:val="en-US" w:eastAsia="zh-CN"/>
              </w:rPr>
              <w:t>10.本项目不接受联合体投标。</w:t>
            </w:r>
          </w:p>
          <w:p w14:paraId="0ED94D11">
            <w:pPr>
              <w:spacing w:after="50" w:line="292" w:lineRule="auto"/>
              <w:ind w:firstLine="241" w:firstLineChars="1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b/>
                <w:bCs/>
                <w:color w:val="auto"/>
                <w:kern w:val="0"/>
                <w:sz w:val="24"/>
                <w:szCs w:val="24"/>
              </w:rPr>
              <w:t>注：上述资</w:t>
            </w:r>
            <w:r>
              <w:rPr>
                <w:rFonts w:hint="eastAsia" w:cs="宋体" w:asciiTheme="minorEastAsia" w:hAnsiTheme="minorEastAsia" w:eastAsiaTheme="minorEastAsia"/>
                <w:b/>
                <w:bCs/>
                <w:color w:val="auto"/>
                <w:kern w:val="0"/>
                <w:sz w:val="24"/>
                <w:szCs w:val="24"/>
                <w:lang w:val="en-US" w:eastAsia="zh-CN"/>
              </w:rPr>
              <w:t>格</w:t>
            </w:r>
            <w:r>
              <w:rPr>
                <w:rFonts w:hint="eastAsia" w:cs="宋体" w:asciiTheme="minorEastAsia" w:hAnsiTheme="minorEastAsia" w:eastAsiaTheme="minorEastAsia"/>
                <w:b/>
                <w:bCs/>
                <w:color w:val="auto"/>
                <w:kern w:val="0"/>
                <w:sz w:val="24"/>
                <w:szCs w:val="24"/>
              </w:rPr>
              <w:t>其中任何一项</w:t>
            </w:r>
            <w:r>
              <w:rPr>
                <w:rFonts w:hint="eastAsia" w:cs="宋体" w:asciiTheme="minorEastAsia" w:hAnsiTheme="minorEastAsia" w:eastAsiaTheme="minorEastAsia"/>
                <w:b/>
                <w:bCs/>
                <w:color w:val="auto"/>
                <w:kern w:val="0"/>
                <w:sz w:val="24"/>
                <w:szCs w:val="24"/>
                <w:lang w:val="en-US" w:eastAsia="zh-CN"/>
              </w:rPr>
              <w:t>不符合要求</w:t>
            </w:r>
            <w:r>
              <w:rPr>
                <w:rFonts w:hint="eastAsia" w:cs="宋体" w:asciiTheme="minorEastAsia" w:hAnsiTheme="minorEastAsia" w:eastAsiaTheme="minorEastAsia"/>
                <w:b/>
                <w:bCs/>
                <w:color w:val="auto"/>
                <w:kern w:val="0"/>
                <w:sz w:val="24"/>
                <w:szCs w:val="24"/>
              </w:rPr>
              <w:t>按无效文件处理。参加</w:t>
            </w:r>
            <w:r>
              <w:rPr>
                <w:rFonts w:hint="eastAsia" w:cs="宋体" w:asciiTheme="minorEastAsia" w:hAnsiTheme="minorEastAsia" w:eastAsiaTheme="minorEastAsia"/>
                <w:b/>
                <w:bCs/>
                <w:color w:val="auto"/>
                <w:kern w:val="0"/>
                <w:sz w:val="24"/>
                <w:szCs w:val="24"/>
                <w:lang w:val="en-US" w:eastAsia="zh-CN"/>
              </w:rPr>
              <w:t>开标</w:t>
            </w:r>
            <w:r>
              <w:rPr>
                <w:rFonts w:hint="eastAsia" w:cs="宋体" w:asciiTheme="minorEastAsia" w:hAnsiTheme="minorEastAsia" w:eastAsiaTheme="minorEastAsia"/>
                <w:b/>
                <w:bCs/>
                <w:color w:val="auto"/>
                <w:kern w:val="0"/>
                <w:sz w:val="24"/>
                <w:szCs w:val="24"/>
              </w:rPr>
              <w:t>会议时须提供上述加盖投标人公章（</w:t>
            </w:r>
            <w:r>
              <w:rPr>
                <w:rFonts w:hint="eastAsia" w:cs="宋体" w:asciiTheme="minorEastAsia" w:hAnsiTheme="minorEastAsia" w:eastAsiaTheme="minorEastAsia"/>
                <w:b/>
                <w:bCs/>
                <w:color w:val="auto"/>
                <w:kern w:val="0"/>
                <w:sz w:val="24"/>
                <w:szCs w:val="24"/>
                <w:lang w:val="en-US" w:eastAsia="zh-CN"/>
              </w:rPr>
              <w:t>鲜</w:t>
            </w:r>
            <w:r>
              <w:rPr>
                <w:rFonts w:hint="eastAsia" w:cs="宋体" w:asciiTheme="minorEastAsia" w:hAnsiTheme="minorEastAsia" w:eastAsiaTheme="minorEastAsia"/>
                <w:b/>
                <w:bCs/>
                <w:color w:val="auto"/>
                <w:kern w:val="0"/>
                <w:sz w:val="24"/>
                <w:szCs w:val="24"/>
              </w:rPr>
              <w:t>章）</w:t>
            </w:r>
            <w:r>
              <w:rPr>
                <w:rFonts w:hint="eastAsia" w:cs="宋体" w:asciiTheme="minorEastAsia" w:hAnsiTheme="minorEastAsia" w:eastAsiaTheme="minorEastAsia"/>
                <w:b/>
                <w:bCs/>
                <w:color w:val="auto"/>
                <w:kern w:val="0"/>
                <w:sz w:val="24"/>
                <w:szCs w:val="24"/>
                <w:lang w:val="en-US" w:eastAsia="zh-CN"/>
              </w:rPr>
              <w:t>资格证明</w:t>
            </w:r>
            <w:r>
              <w:rPr>
                <w:rFonts w:hint="default" w:cs="宋体" w:asciiTheme="minorEastAsia" w:hAnsiTheme="minorEastAsia" w:eastAsiaTheme="minorEastAsia"/>
                <w:b/>
                <w:bCs/>
                <w:color w:val="auto"/>
                <w:kern w:val="0"/>
                <w:sz w:val="24"/>
                <w:szCs w:val="24"/>
              </w:rPr>
              <w:t>文件</w:t>
            </w:r>
            <w:r>
              <w:rPr>
                <w:rFonts w:hint="eastAsia" w:cs="宋体" w:asciiTheme="minorEastAsia" w:hAnsiTheme="minorEastAsia" w:eastAsiaTheme="minorEastAsia"/>
                <w:b/>
                <w:bCs/>
                <w:color w:val="auto"/>
                <w:kern w:val="0"/>
                <w:sz w:val="24"/>
                <w:szCs w:val="24"/>
              </w:rPr>
              <w:t>（密封）单独递交进行审查，否则</w:t>
            </w:r>
            <w:r>
              <w:rPr>
                <w:rFonts w:hint="eastAsia" w:cs="宋体" w:asciiTheme="minorEastAsia" w:hAnsiTheme="minorEastAsia" w:eastAsiaTheme="minorEastAsia"/>
                <w:b/>
                <w:bCs/>
                <w:color w:val="auto"/>
                <w:kern w:val="0"/>
                <w:sz w:val="24"/>
                <w:szCs w:val="24"/>
                <w:lang w:eastAsia="zh-CN"/>
              </w:rPr>
              <w:t>按无效文件处理</w:t>
            </w:r>
            <w:r>
              <w:rPr>
                <w:rFonts w:hint="eastAsia" w:cs="宋体" w:asciiTheme="minorEastAsia" w:hAnsiTheme="minorEastAsia" w:eastAsiaTheme="minorEastAsia"/>
                <w:b/>
                <w:bCs/>
                <w:color w:val="auto"/>
                <w:kern w:val="0"/>
                <w:sz w:val="24"/>
                <w:szCs w:val="24"/>
              </w:rPr>
              <w:t>。</w:t>
            </w:r>
          </w:p>
        </w:tc>
      </w:tr>
      <w:tr w14:paraId="3D4B62BD">
        <w:tblPrEx>
          <w:tblCellMar>
            <w:top w:w="147" w:type="dxa"/>
            <w:left w:w="108" w:type="dxa"/>
            <w:bottom w:w="56" w:type="dxa"/>
            <w:right w:w="0" w:type="dxa"/>
          </w:tblCellMar>
        </w:tblPrEx>
        <w:trPr>
          <w:trHeight w:val="6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1B7900">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88DBB1C">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是否接受联合体</w:t>
            </w:r>
          </w:p>
          <w:p w14:paraId="21DCE8D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w:t>
            </w:r>
          </w:p>
        </w:tc>
        <w:tc>
          <w:tcPr>
            <w:tcW w:w="6949" w:type="dxa"/>
            <w:tcBorders>
              <w:top w:val="single" w:color="000000" w:sz="4" w:space="0"/>
              <w:left w:val="single" w:color="000000" w:sz="4" w:space="0"/>
              <w:bottom w:val="single" w:color="000000" w:sz="4" w:space="0"/>
              <w:right w:val="single" w:color="000000" w:sz="4" w:space="0"/>
            </w:tcBorders>
            <w:vAlign w:val="center"/>
          </w:tcPr>
          <w:p w14:paraId="5F5AD5F5">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不接受联合体磋商</w:t>
            </w:r>
          </w:p>
        </w:tc>
      </w:tr>
      <w:tr w14:paraId="0173B195">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F26E0F5">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036BCC2">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现场踏勘</w:t>
            </w:r>
          </w:p>
        </w:tc>
        <w:tc>
          <w:tcPr>
            <w:tcW w:w="6949" w:type="dxa"/>
            <w:tcBorders>
              <w:top w:val="single" w:color="000000" w:sz="4" w:space="0"/>
              <w:left w:val="single" w:color="000000" w:sz="4" w:space="0"/>
              <w:bottom w:val="single" w:color="000000" w:sz="4" w:space="0"/>
              <w:right w:val="single" w:color="000000" w:sz="4" w:space="0"/>
            </w:tcBorders>
          </w:tcPr>
          <w:p w14:paraId="28B4292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自行勘察，未勘察现场造成的一切后果由投标人自行承担（一切费用自理）</w:t>
            </w:r>
          </w:p>
        </w:tc>
      </w:tr>
      <w:tr w14:paraId="73153829">
        <w:tblPrEx>
          <w:tblCellMar>
            <w:top w:w="147" w:type="dxa"/>
            <w:left w:w="108" w:type="dxa"/>
            <w:bottom w:w="56" w:type="dxa"/>
            <w:right w:w="0" w:type="dxa"/>
          </w:tblCellMar>
        </w:tblPrEx>
        <w:trPr>
          <w:trHeight w:val="45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C9B6C60">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0D62071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磋商时间和地点</w:t>
            </w:r>
          </w:p>
        </w:tc>
        <w:tc>
          <w:tcPr>
            <w:tcW w:w="6949" w:type="dxa"/>
            <w:tcBorders>
              <w:top w:val="single" w:color="000000" w:sz="4" w:space="0"/>
              <w:left w:val="single" w:color="000000" w:sz="4" w:space="0"/>
              <w:bottom w:val="single" w:color="000000" w:sz="4" w:space="0"/>
              <w:right w:val="single" w:color="000000" w:sz="4" w:space="0"/>
            </w:tcBorders>
          </w:tcPr>
          <w:p w14:paraId="3CB82ABC">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eastAsiaTheme="minorEastAsia"/>
                <w:color w:val="auto"/>
                <w:kern w:val="0"/>
                <w:sz w:val="24"/>
                <w:szCs w:val="24"/>
                <w:lang w:eastAsia="zh-CN"/>
              </w:rPr>
              <w:t>2025年09月01日09：00</w:t>
            </w:r>
            <w:r>
              <w:rPr>
                <w:rFonts w:hint="eastAsia" w:ascii="宋体" w:hAnsi="宋体" w:cs="宋体"/>
                <w:color w:val="auto"/>
                <w:kern w:val="0"/>
                <w:sz w:val="24"/>
                <w:szCs w:val="24"/>
                <w:lang w:val="en-US" w:eastAsia="zh-CN"/>
              </w:rPr>
              <w:t>时</w:t>
            </w:r>
            <w:r>
              <w:rPr>
                <w:rFonts w:hint="eastAsia" w:asciiTheme="minorEastAsia" w:hAnsiTheme="minorEastAsia" w:eastAsiaTheme="minorEastAsia"/>
                <w:color w:val="FF0000"/>
                <w:sz w:val="24"/>
                <w:szCs w:val="24"/>
              </w:rPr>
              <w:t xml:space="preserve">  </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28E1957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磋商地点：</w:t>
            </w:r>
            <w:r>
              <w:rPr>
                <w:rFonts w:hint="eastAsia" w:ascii="宋体" w:hAnsi="宋体" w:cs="宋体"/>
                <w:color w:val="auto"/>
                <w:sz w:val="24"/>
                <w:szCs w:val="24"/>
              </w:rPr>
              <w:t>安康市高新区</w:t>
            </w:r>
            <w:r>
              <w:rPr>
                <w:rFonts w:hint="eastAsia" w:ascii="宋体" w:hAnsi="宋体" w:cs="宋体"/>
                <w:color w:val="auto"/>
                <w:sz w:val="24"/>
                <w:szCs w:val="24"/>
                <w:lang w:eastAsia="zh-CN"/>
              </w:rPr>
              <w:t>高新观澜8栋</w:t>
            </w:r>
            <w:r>
              <w:rPr>
                <w:rFonts w:hint="eastAsia" w:ascii="宋体" w:hAnsi="宋体" w:cs="宋体"/>
                <w:color w:val="auto"/>
                <w:sz w:val="24"/>
                <w:szCs w:val="24"/>
              </w:rPr>
              <w:t>2单元801室</w:t>
            </w:r>
          </w:p>
          <w:p w14:paraId="068C7569">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（如有变动，另行通知） </w:t>
            </w:r>
          </w:p>
        </w:tc>
      </w:tr>
      <w:tr w14:paraId="74B441F1">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BF4CE10">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0D8FCECD">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磋商响应文件递交截止时间</w:t>
            </w:r>
            <w:r>
              <w:rPr>
                <w:rFonts w:hint="eastAsia"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144FF3EF">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eastAsiaTheme="minorEastAsia"/>
                <w:color w:val="auto"/>
                <w:kern w:val="0"/>
                <w:sz w:val="24"/>
                <w:szCs w:val="24"/>
                <w:lang w:eastAsia="zh-CN"/>
              </w:rPr>
              <w:t>2025年09月01日09：00</w:t>
            </w:r>
            <w:r>
              <w:rPr>
                <w:rFonts w:hint="eastAsia" w:ascii="宋体" w:hAnsi="宋体" w:cs="宋体"/>
                <w:color w:val="auto"/>
                <w:kern w:val="0"/>
                <w:sz w:val="24"/>
                <w:szCs w:val="24"/>
                <w:lang w:val="en-US" w:eastAsia="zh-CN"/>
              </w:rPr>
              <w:t>时</w:t>
            </w:r>
            <w:r>
              <w:rPr>
                <w:rFonts w:hint="eastAsia" w:asciiTheme="minorEastAsia" w:hAnsiTheme="minorEastAsia" w:eastAsiaTheme="minorEastAsia"/>
                <w:color w:val="auto"/>
                <w:sz w:val="24"/>
                <w:szCs w:val="24"/>
              </w:rPr>
              <w:t>止</w:t>
            </w:r>
          </w:p>
          <w:p w14:paraId="48B12847">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递交地点：</w:t>
            </w:r>
            <w:r>
              <w:rPr>
                <w:rFonts w:hint="eastAsia" w:ascii="宋体" w:hAnsi="宋体" w:cs="宋体"/>
                <w:color w:val="auto"/>
                <w:sz w:val="24"/>
                <w:szCs w:val="24"/>
              </w:rPr>
              <w:t>安康市高新区</w:t>
            </w:r>
            <w:r>
              <w:rPr>
                <w:rFonts w:hint="eastAsia" w:ascii="宋体" w:hAnsi="宋体" w:cs="宋体"/>
                <w:color w:val="auto"/>
                <w:sz w:val="24"/>
                <w:szCs w:val="24"/>
                <w:lang w:eastAsia="zh-CN"/>
              </w:rPr>
              <w:t>高新观澜8栋</w:t>
            </w:r>
            <w:r>
              <w:rPr>
                <w:rFonts w:hint="eastAsia" w:ascii="宋体" w:hAnsi="宋体" w:cs="宋体"/>
                <w:color w:val="auto"/>
                <w:sz w:val="24"/>
                <w:szCs w:val="24"/>
              </w:rPr>
              <w:t>2单元801室</w:t>
            </w:r>
            <w:r>
              <w:rPr>
                <w:rFonts w:hint="eastAsia" w:asciiTheme="minorEastAsia" w:hAnsiTheme="minorEastAsia" w:eastAsiaTheme="minorEastAsia"/>
                <w:color w:val="auto"/>
                <w:sz w:val="24"/>
                <w:szCs w:val="24"/>
              </w:rPr>
              <w:t xml:space="preserve">  </w:t>
            </w:r>
          </w:p>
        </w:tc>
      </w:tr>
      <w:tr w14:paraId="31A70B65">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6320CD3">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223623C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响应有效期</w:t>
            </w:r>
          </w:p>
        </w:tc>
        <w:tc>
          <w:tcPr>
            <w:tcW w:w="6949" w:type="dxa"/>
            <w:tcBorders>
              <w:top w:val="single" w:color="000000" w:sz="4" w:space="0"/>
              <w:left w:val="single" w:color="000000" w:sz="4" w:space="0"/>
              <w:bottom w:val="single" w:color="000000" w:sz="4" w:space="0"/>
              <w:right w:val="single" w:color="000000" w:sz="4" w:space="0"/>
            </w:tcBorders>
          </w:tcPr>
          <w:p w14:paraId="5FB627B1">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u w:val="single" w:color="000000"/>
              </w:rPr>
              <w:t>90</w:t>
            </w:r>
            <w:r>
              <w:rPr>
                <w:rFonts w:asciiTheme="minorEastAsia" w:hAnsiTheme="minorEastAsia" w:eastAsiaTheme="minorEastAsia"/>
                <w:color w:val="auto"/>
                <w:sz w:val="24"/>
                <w:szCs w:val="24"/>
              </w:rPr>
              <w:t xml:space="preserve">日历天（从提交响应文件日起计算） </w:t>
            </w:r>
          </w:p>
        </w:tc>
      </w:tr>
      <w:tr w14:paraId="2D54CF9D">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72A7CFF7">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B875B2B">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响应文件份数</w:t>
            </w:r>
          </w:p>
        </w:tc>
        <w:tc>
          <w:tcPr>
            <w:tcW w:w="6949" w:type="dxa"/>
            <w:tcBorders>
              <w:top w:val="single" w:color="000000" w:sz="4" w:space="0"/>
              <w:left w:val="single" w:color="000000" w:sz="4" w:space="0"/>
              <w:bottom w:val="single" w:color="000000" w:sz="4" w:space="0"/>
              <w:right w:val="single" w:color="000000" w:sz="4" w:space="0"/>
            </w:tcBorders>
          </w:tcPr>
          <w:p w14:paraId="497C41B0">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w:t>
            </w:r>
            <w:r>
              <w:rPr>
                <w:rFonts w:hint="eastAsia" w:asciiTheme="minorEastAsia" w:hAnsiTheme="minorEastAsia" w:eastAsiaTheme="minorEastAsia"/>
                <w:color w:val="auto"/>
                <w:sz w:val="24"/>
                <w:szCs w:val="24"/>
                <w:lang w:val="en-US" w:eastAsia="zh-CN"/>
              </w:rPr>
              <w:t>格证明</w:t>
            </w:r>
            <w:r>
              <w:rPr>
                <w:rFonts w:asciiTheme="minorEastAsia" w:hAnsiTheme="minorEastAsia" w:eastAsiaTheme="minorEastAsia"/>
                <w:color w:val="auto"/>
                <w:sz w:val="24"/>
                <w:szCs w:val="24"/>
              </w:rPr>
              <w:t>文件壹份、正本壹份、</w:t>
            </w:r>
            <w:r>
              <w:rPr>
                <w:rFonts w:hint="eastAsia" w:asciiTheme="minorEastAsia" w:hAnsiTheme="minorEastAsia" w:eastAsiaTheme="minorEastAsia"/>
                <w:color w:val="auto"/>
                <w:sz w:val="24"/>
                <w:szCs w:val="24"/>
                <w:lang w:eastAsia="zh-CN"/>
              </w:rPr>
              <w:t>副本贰份</w:t>
            </w:r>
            <w:r>
              <w:rPr>
                <w:rFonts w:asciiTheme="minorEastAsia" w:hAnsiTheme="minorEastAsia" w:eastAsiaTheme="minorEastAsia"/>
                <w:color w:val="auto"/>
                <w:sz w:val="24"/>
                <w:szCs w:val="24"/>
              </w:rPr>
              <w:t>，电子版壹份</w:t>
            </w:r>
          </w:p>
        </w:tc>
      </w:tr>
      <w:tr w14:paraId="0F78EAFA">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6A77CACF">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CBFA2CB">
            <w:pPr>
              <w:spacing w:line="259" w:lineRule="auto"/>
              <w:jc w:val="center"/>
              <w:rPr>
                <w:rFonts w:asciiTheme="minorEastAsia" w:hAnsiTheme="minorEastAsia" w:eastAsiaTheme="minorEastAsia"/>
                <w:color w:val="auto"/>
                <w:sz w:val="24"/>
                <w:szCs w:val="24"/>
              </w:rPr>
            </w:pPr>
            <w:r>
              <w:rPr>
                <w:rFonts w:hint="eastAsia" w:ascii="宋体" w:hAnsi="宋体" w:cs="宋体" w:eastAsiaTheme="minorEastAsia"/>
                <w:color w:val="auto"/>
                <w:kern w:val="0"/>
                <w:sz w:val="24"/>
                <w:szCs w:val="24"/>
              </w:rPr>
              <w:t>装订要求</w:t>
            </w:r>
          </w:p>
        </w:tc>
        <w:tc>
          <w:tcPr>
            <w:tcW w:w="6949" w:type="dxa"/>
            <w:tcBorders>
              <w:top w:val="single" w:color="000000" w:sz="4" w:space="0"/>
              <w:left w:val="single" w:color="000000" w:sz="4" w:space="0"/>
              <w:bottom w:val="single" w:color="000000" w:sz="4" w:space="0"/>
              <w:right w:val="single" w:color="000000" w:sz="4" w:space="0"/>
            </w:tcBorders>
          </w:tcPr>
          <w:p w14:paraId="36708FF5">
            <w:pPr>
              <w:spacing w:line="259" w:lineRule="auto"/>
              <w:rPr>
                <w:rFonts w:asciiTheme="minorEastAsia" w:hAnsiTheme="minorEastAsia" w:eastAsiaTheme="minorEastAsia"/>
                <w:color w:val="auto"/>
                <w:sz w:val="24"/>
                <w:szCs w:val="24"/>
              </w:rPr>
            </w:pPr>
            <w:r>
              <w:rPr>
                <w:rFonts w:hint="eastAsia" w:ascii="宋体" w:hAnsi="宋体" w:cs="宋体"/>
                <w:color w:val="auto"/>
                <w:kern w:val="2"/>
                <w:sz w:val="24"/>
                <w:szCs w:val="24"/>
                <w:lang w:val="en-US" w:eastAsia="zh-CN" w:bidi="ar-SA"/>
              </w:rPr>
              <w:t>资格证明文件</w:t>
            </w:r>
            <w:r>
              <w:rPr>
                <w:rFonts w:hint="eastAsia" w:ascii="宋体" w:hAnsi="宋体" w:eastAsia="宋体" w:cs="宋体"/>
                <w:color w:val="auto"/>
                <w:kern w:val="2"/>
                <w:sz w:val="24"/>
                <w:szCs w:val="24"/>
                <w:lang w:val="en-US" w:eastAsia="zh-CN" w:bidi="ar-SA"/>
              </w:rPr>
              <w:t>壹份</w:t>
            </w:r>
            <w:r>
              <w:rPr>
                <w:rFonts w:hint="eastAsia" w:ascii="宋体" w:hAnsi="宋体"/>
                <w:sz w:val="24"/>
                <w:szCs w:val="24"/>
              </w:rPr>
              <w:t>除在</w:t>
            </w:r>
            <w:r>
              <w:rPr>
                <w:rFonts w:hint="eastAsia" w:ascii="宋体" w:hAnsi="宋体"/>
                <w:kern w:val="0"/>
                <w:sz w:val="24"/>
                <w:szCs w:val="24"/>
                <w:lang w:val="en-US" w:eastAsia="zh-CN"/>
              </w:rPr>
              <w:t>响应</w:t>
            </w:r>
            <w:r>
              <w:rPr>
                <w:rFonts w:hint="eastAsia" w:ascii="宋体" w:hAnsi="宋体"/>
                <w:sz w:val="24"/>
                <w:szCs w:val="24"/>
              </w:rPr>
              <w:t>文件正副本中装订外，</w:t>
            </w:r>
            <w:r>
              <w:rPr>
                <w:rFonts w:hint="eastAsia" w:ascii="宋体" w:hAnsi="宋体"/>
                <w:sz w:val="24"/>
                <w:szCs w:val="24"/>
                <w:lang w:val="en-US" w:eastAsia="zh-CN"/>
              </w:rPr>
              <w:t>另外</w:t>
            </w:r>
            <w:r>
              <w:rPr>
                <w:rFonts w:hint="eastAsia" w:ascii="宋体" w:hAnsi="宋体"/>
                <w:sz w:val="24"/>
                <w:szCs w:val="24"/>
              </w:rPr>
              <w:t>制作一份单独封装在</w:t>
            </w:r>
            <w:r>
              <w:rPr>
                <w:rFonts w:hint="eastAsia" w:ascii="宋体" w:hAnsi="宋体"/>
                <w:sz w:val="24"/>
                <w:szCs w:val="24"/>
                <w:lang w:val="en-US" w:eastAsia="zh-CN"/>
              </w:rPr>
              <w:t>封袋</w:t>
            </w:r>
            <w:r>
              <w:rPr>
                <w:rFonts w:hint="eastAsia" w:ascii="宋体" w:hAnsi="宋体"/>
                <w:sz w:val="24"/>
                <w:szCs w:val="24"/>
              </w:rPr>
              <w:t>中，封袋正面要</w:t>
            </w:r>
            <w:r>
              <w:rPr>
                <w:rFonts w:hint="eastAsia" w:ascii="宋体" w:hAnsi="宋体" w:eastAsia="宋体" w:cs="宋体"/>
                <w:color w:val="auto"/>
                <w:kern w:val="2"/>
                <w:sz w:val="24"/>
                <w:szCs w:val="24"/>
                <w:lang w:val="en-US" w:eastAsia="zh-CN" w:bidi="ar-SA"/>
              </w:rPr>
              <w:t>标明</w:t>
            </w:r>
            <w:r>
              <w:rPr>
                <w:rFonts w:hint="eastAsia" w:ascii="宋体" w:hAnsi="宋体" w:cs="宋体"/>
                <w:color w:val="auto"/>
                <w:kern w:val="2"/>
                <w:sz w:val="24"/>
                <w:szCs w:val="24"/>
                <w:lang w:val="en-US" w:eastAsia="zh-CN" w:bidi="ar-SA"/>
              </w:rPr>
              <w:t>“资格证明文件”</w:t>
            </w:r>
            <w:r>
              <w:rPr>
                <w:rFonts w:hint="eastAsia" w:ascii="宋体" w:hAnsi="宋体"/>
                <w:sz w:val="24"/>
                <w:szCs w:val="24"/>
              </w:rPr>
              <w:t>并加盖投标人公章</w:t>
            </w:r>
            <w:r>
              <w:rPr>
                <w:rFonts w:hint="eastAsia" w:ascii="宋体" w:hAnsi="宋体"/>
                <w:sz w:val="24"/>
                <w:szCs w:val="24"/>
                <w:lang w:eastAsia="zh-CN"/>
              </w:rPr>
              <w:t>（</w:t>
            </w:r>
            <w:r>
              <w:rPr>
                <w:rFonts w:hint="eastAsia" w:ascii="宋体" w:hAnsi="宋体"/>
                <w:sz w:val="24"/>
                <w:szCs w:val="24"/>
                <w:lang w:val="en-US" w:eastAsia="zh-CN"/>
              </w:rPr>
              <w:t>鲜章</w:t>
            </w:r>
            <w:r>
              <w:rPr>
                <w:rFonts w:hint="eastAsia" w:ascii="宋体" w:hAnsi="宋体"/>
                <w:sz w:val="24"/>
                <w:szCs w:val="24"/>
                <w:lang w:eastAsia="zh-CN"/>
              </w:rPr>
              <w:t>）</w:t>
            </w:r>
            <w:r>
              <w:rPr>
                <w:rFonts w:hint="eastAsia" w:ascii="宋体" w:hAnsi="宋体"/>
                <w:sz w:val="24"/>
                <w:szCs w:val="24"/>
              </w:rPr>
              <w:t>。</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文件正本壹份、副本贰份，分别胶装装订成册，且封面须清楚地标明“正本”、“副本”；若正本和副本不符，以正本为准；同时提供与正本内容一致的电子版（电子文件内容须为签字齐全并加盖</w:t>
            </w:r>
            <w:r>
              <w:rPr>
                <w:rFonts w:hint="eastAsia" w:ascii="宋体" w:hAnsi="宋体" w:cs="宋体"/>
                <w:color w:val="auto"/>
                <w:kern w:val="0"/>
                <w:sz w:val="24"/>
                <w:szCs w:val="24"/>
                <w:lang w:val="en-US" w:eastAsia="zh-CN"/>
              </w:rPr>
              <w:t>投标</w:t>
            </w:r>
            <w:r>
              <w:rPr>
                <w:rFonts w:hint="eastAsia" w:ascii="宋体" w:hAnsi="宋体" w:eastAsia="宋体" w:cs="宋体"/>
                <w:color w:val="auto"/>
                <w:kern w:val="2"/>
                <w:sz w:val="24"/>
                <w:szCs w:val="24"/>
                <w:lang w:val="en-US" w:eastAsia="zh-CN" w:bidi="ar-SA"/>
              </w:rPr>
              <w:t>单位公章（鲜章）正本</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文件全部内容的扫描件，格式为PDF），电子版放置正本密封袋内</w:t>
            </w:r>
            <w:r>
              <w:rPr>
                <w:rFonts w:hint="eastAsia" w:ascii="宋体" w:hAnsi="宋体" w:cs="宋体"/>
                <w:color w:val="auto"/>
                <w:kern w:val="2"/>
                <w:sz w:val="24"/>
                <w:szCs w:val="24"/>
                <w:lang w:val="en-US" w:eastAsia="zh-CN" w:bidi="ar-SA"/>
              </w:rPr>
              <w:t>。</w:t>
            </w:r>
          </w:p>
        </w:tc>
      </w:tr>
      <w:tr w14:paraId="470EBA22">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A77C400">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7201EFB">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评分办法</w:t>
            </w:r>
          </w:p>
        </w:tc>
        <w:tc>
          <w:tcPr>
            <w:tcW w:w="6949" w:type="dxa"/>
            <w:tcBorders>
              <w:top w:val="single" w:color="000000" w:sz="4" w:space="0"/>
              <w:left w:val="single" w:color="000000" w:sz="4" w:space="0"/>
              <w:bottom w:val="single" w:color="000000" w:sz="4" w:space="0"/>
              <w:right w:val="single" w:color="000000" w:sz="4" w:space="0"/>
            </w:tcBorders>
          </w:tcPr>
          <w:p w14:paraId="2DC366E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综合评分法 </w:t>
            </w:r>
          </w:p>
        </w:tc>
      </w:tr>
      <w:tr w14:paraId="2ED4AE9A">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055BDD5">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028D2BFF">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磋商小组构成</w:t>
            </w:r>
          </w:p>
        </w:tc>
        <w:tc>
          <w:tcPr>
            <w:tcW w:w="6949" w:type="dxa"/>
            <w:tcBorders>
              <w:top w:val="single" w:color="000000" w:sz="4" w:space="0"/>
              <w:left w:val="single" w:color="000000" w:sz="4" w:space="0"/>
              <w:bottom w:val="single" w:color="000000" w:sz="4" w:space="0"/>
              <w:right w:val="single" w:color="000000" w:sz="4" w:space="0"/>
            </w:tcBorders>
          </w:tcPr>
          <w:p w14:paraId="161DD581">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根据《中华人民共和国政府采购法》</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政府采购竞争性磋商采购方式管理暂行办法</w:t>
            </w:r>
            <w:r>
              <w:rPr>
                <w:rFonts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auto"/>
                <w:sz w:val="24"/>
                <w:szCs w:val="24"/>
              </w:rPr>
              <w:t>等有关法律规定组建磋商小组</w:t>
            </w:r>
          </w:p>
        </w:tc>
      </w:tr>
      <w:tr w14:paraId="165BC109">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5DA023">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D32B1F7">
            <w:pPr>
              <w:spacing w:line="259" w:lineRule="auto"/>
              <w:ind w:right="111"/>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付款方式</w:t>
            </w:r>
          </w:p>
        </w:tc>
        <w:tc>
          <w:tcPr>
            <w:tcW w:w="6949" w:type="dxa"/>
            <w:tcBorders>
              <w:top w:val="single" w:color="000000" w:sz="4" w:space="0"/>
              <w:left w:val="single" w:color="000000" w:sz="4" w:space="0"/>
              <w:bottom w:val="single" w:color="000000" w:sz="4" w:space="0"/>
              <w:right w:val="single" w:color="000000" w:sz="4" w:space="0"/>
            </w:tcBorders>
            <w:vAlign w:val="center"/>
          </w:tcPr>
          <w:p w14:paraId="5C6465FF">
            <w:pPr>
              <w:spacing w:line="259" w:lineRule="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甲方每月初支付上月服务费总额。每月10 日乙方开具上月含税合规发票，甲方转账支付。若乙方未能按时向甲方提供等额合规发票，甲方有权顺延付款期限，且不承担任何责任。</w:t>
            </w:r>
          </w:p>
        </w:tc>
      </w:tr>
      <w:tr w14:paraId="77FF5AB6">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512C89B">
            <w:pPr>
              <w:pStyle w:val="77"/>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46C1A5E1">
            <w:pPr>
              <w:spacing w:line="259" w:lineRule="auto"/>
              <w:ind w:right="10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答疑</w:t>
            </w:r>
          </w:p>
        </w:tc>
        <w:tc>
          <w:tcPr>
            <w:tcW w:w="6949" w:type="dxa"/>
            <w:tcBorders>
              <w:top w:val="single" w:color="000000" w:sz="4" w:space="0"/>
              <w:left w:val="single" w:color="000000" w:sz="4" w:space="0"/>
              <w:bottom w:val="single" w:color="000000" w:sz="4" w:space="0"/>
              <w:right w:val="single" w:color="000000" w:sz="4" w:space="0"/>
            </w:tcBorders>
          </w:tcPr>
          <w:p w14:paraId="19EFB046">
            <w:pPr>
              <w:spacing w:line="259" w:lineRule="auto"/>
              <w:ind w:right="-1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如有疑问，投标人需书面提出，经采购人收集问题后，统一答疑 </w:t>
            </w:r>
          </w:p>
        </w:tc>
      </w:tr>
      <w:tr w14:paraId="48F35699">
        <w:tblPrEx>
          <w:tblCellMar>
            <w:top w:w="147" w:type="dxa"/>
            <w:left w:w="108" w:type="dxa"/>
            <w:bottom w:w="56" w:type="dxa"/>
            <w:right w:w="0" w:type="dxa"/>
          </w:tblCellMar>
        </w:tblPrEx>
        <w:trPr>
          <w:trHeight w:val="156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1A38AB1">
            <w:pPr>
              <w:pStyle w:val="77"/>
              <w:numPr>
                <w:ilvl w:val="0"/>
                <w:numId w:val="1"/>
              </w:numPr>
              <w:spacing w:line="259" w:lineRule="auto"/>
              <w:ind w:firstLineChars="0"/>
              <w:jc w:val="center"/>
              <w:rPr>
                <w:rFonts w:asciiTheme="minorEastAsia" w:hAnsiTheme="minorEastAsia" w:eastAsiaTheme="minorEastAsia"/>
                <w:color w:val="auto"/>
                <w:sz w:val="24"/>
                <w:szCs w:val="24"/>
              </w:rPr>
            </w:pPr>
            <w:bookmarkStart w:id="27" w:name="_Toc19272"/>
            <w:bookmarkStart w:id="28" w:name="_Toc536429318"/>
            <w:bookmarkStart w:id="29" w:name="_Toc21495"/>
            <w:bookmarkStart w:id="30" w:name="_Toc536202284"/>
            <w:bookmarkStart w:id="31" w:name="_Toc536202378"/>
            <w:bookmarkStart w:id="32" w:name="_Toc536429371"/>
          </w:p>
        </w:tc>
        <w:tc>
          <w:tcPr>
            <w:tcW w:w="1990" w:type="dxa"/>
            <w:tcBorders>
              <w:top w:val="single" w:color="000000" w:sz="4" w:space="0"/>
              <w:left w:val="single" w:color="000000" w:sz="4" w:space="0"/>
              <w:bottom w:val="single" w:color="000000" w:sz="4" w:space="0"/>
              <w:right w:val="single" w:color="000000" w:sz="4" w:space="0"/>
            </w:tcBorders>
            <w:vAlign w:val="center"/>
          </w:tcPr>
          <w:p w14:paraId="75B8E0CC">
            <w:pPr>
              <w:spacing w:line="259" w:lineRule="auto"/>
              <w:ind w:right="109"/>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其他说明事项</w:t>
            </w:r>
          </w:p>
        </w:tc>
        <w:tc>
          <w:tcPr>
            <w:tcW w:w="6949" w:type="dxa"/>
            <w:tcBorders>
              <w:top w:val="single" w:color="000000" w:sz="4" w:space="0"/>
              <w:left w:val="single" w:color="000000" w:sz="4" w:space="0"/>
              <w:bottom w:val="single" w:color="000000" w:sz="4" w:space="0"/>
              <w:right w:val="single" w:color="000000" w:sz="4" w:space="0"/>
            </w:tcBorders>
          </w:tcPr>
          <w:p w14:paraId="32101A76">
            <w:pPr>
              <w:keepNext w:val="0"/>
              <w:keepLines w:val="0"/>
              <w:suppressLineNumbers w:val="0"/>
              <w:spacing w:before="0" w:beforeAutospacing="0" w:after="0" w:afterAutospacing="0" w:line="440" w:lineRule="exact"/>
              <w:ind w:left="0" w:right="-11"/>
              <w:rPr>
                <w:rFonts w:hint="eastAsia" w:eastAsia="宋体" w:cs="宋体" w:asciiTheme="minorEastAsia" w:hAnsiTheme="minorEastAsia"/>
                <w:color w:val="auto"/>
                <w:kern w:val="2"/>
                <w:sz w:val="24"/>
                <w:szCs w:val="24"/>
                <w:highlight w:val="none"/>
                <w:lang w:val="en-US" w:eastAsia="zh-CN" w:bidi="ar-SA"/>
              </w:rPr>
            </w:pPr>
            <w:r>
              <w:rPr>
                <w:rFonts w:hint="eastAsia" w:eastAsia="宋体" w:cs="宋体" w:asciiTheme="minorEastAsia" w:hAnsiTheme="minorEastAsia"/>
                <w:color w:val="auto"/>
                <w:kern w:val="2"/>
                <w:sz w:val="24"/>
                <w:szCs w:val="24"/>
                <w:highlight w:val="none"/>
                <w:lang w:val="en-US" w:eastAsia="zh-CN" w:bidi="ar-SA"/>
              </w:rPr>
              <w:t>采购标的对应的中小企业划分标准所属行业为其他未列明行业。</w:t>
            </w:r>
          </w:p>
          <w:p w14:paraId="080B5CC5">
            <w:pPr>
              <w:spacing w:line="259" w:lineRule="auto"/>
              <w:ind w:right="-11"/>
              <w:rPr>
                <w:rFonts w:asciiTheme="minorEastAsia" w:hAnsiTheme="minorEastAsia" w:eastAsiaTheme="minorEastAsia"/>
                <w:color w:val="auto"/>
                <w:sz w:val="24"/>
                <w:szCs w:val="24"/>
              </w:rPr>
            </w:pPr>
            <w:r>
              <w:rPr>
                <w:rFonts w:hint="eastAsia" w:cs="宋体" w:asciiTheme="minorEastAsia" w:hAnsiTheme="minorEastAsia"/>
                <w:color w:val="auto"/>
                <w:kern w:val="2"/>
                <w:sz w:val="24"/>
                <w:szCs w:val="24"/>
                <w:highlight w:val="none"/>
                <w:lang w:val="en-US" w:eastAsia="zh-CN" w:bidi="ar-SA"/>
              </w:rPr>
              <w:t>其他未列明行业的</w:t>
            </w:r>
            <w:r>
              <w:rPr>
                <w:rFonts w:hint="eastAsia" w:eastAsia="宋体" w:cs="宋体" w:asciiTheme="minorEastAsia" w:hAnsiTheme="minorEastAsia"/>
                <w:color w:val="auto"/>
                <w:kern w:val="2"/>
                <w:sz w:val="24"/>
                <w:szCs w:val="24"/>
                <w:highlight w:val="none"/>
                <w:lang w:val="en-US" w:eastAsia="zh-CN" w:bidi="ar-SA"/>
              </w:rPr>
              <w:t>划型标准为：从业人员300人以下的为中小微型企业。其中，从业人员100人及以上的为中型企业；从业人员10人及以上的为小型企业；从业人员10人以下的为微型企业。</w:t>
            </w:r>
          </w:p>
        </w:tc>
      </w:tr>
    </w:tbl>
    <w:p w14:paraId="6CC288DE">
      <w:pPr>
        <w:pStyle w:val="12"/>
        <w:rPr>
          <w:color w:val="auto"/>
          <w:kern w:val="44"/>
          <w:sz w:val="32"/>
          <w:szCs w:val="32"/>
        </w:rPr>
      </w:pPr>
      <w:r>
        <w:rPr>
          <w:color w:val="auto"/>
        </w:rPr>
        <w:br w:type="page"/>
      </w:r>
    </w:p>
    <w:p w14:paraId="10F77888">
      <w:pPr>
        <w:pStyle w:val="2"/>
        <w:keepLines w:val="0"/>
        <w:spacing w:line="400" w:lineRule="exact"/>
        <w:rPr>
          <w:rFonts w:ascii="宋体"/>
          <w:color w:val="auto"/>
        </w:rPr>
      </w:pPr>
      <w:bookmarkStart w:id="33" w:name="_Toc7866"/>
      <w:bookmarkStart w:id="34" w:name="_Toc19543335"/>
      <w:r>
        <w:rPr>
          <w:rFonts w:hint="eastAsia" w:ascii="宋体" w:hAnsi="宋体" w:cs="宋体"/>
          <w:color w:val="auto"/>
        </w:rPr>
        <w:t xml:space="preserve">第三部分 </w:t>
      </w:r>
      <w:r>
        <w:rPr>
          <w:rFonts w:ascii="宋体" w:hAnsi="宋体" w:cs="宋体"/>
          <w:color w:val="auto"/>
        </w:rPr>
        <w:t xml:space="preserve">  </w:t>
      </w:r>
      <w:r>
        <w:rPr>
          <w:rFonts w:hint="eastAsia" w:ascii="宋体" w:hAnsi="宋体" w:cs="宋体"/>
          <w:color w:val="auto"/>
        </w:rPr>
        <w:t>供应商须知</w:t>
      </w:r>
      <w:bookmarkEnd w:id="27"/>
      <w:bookmarkEnd w:id="28"/>
      <w:bookmarkEnd w:id="29"/>
      <w:bookmarkEnd w:id="30"/>
      <w:bookmarkEnd w:id="31"/>
      <w:bookmarkEnd w:id="32"/>
      <w:bookmarkEnd w:id="33"/>
      <w:bookmarkEnd w:id="34"/>
    </w:p>
    <w:p w14:paraId="294B5550">
      <w:pPr>
        <w:widowControl/>
        <w:numPr>
          <w:ilvl w:val="0"/>
          <w:numId w:val="2"/>
        </w:numPr>
        <w:spacing w:line="400" w:lineRule="exact"/>
        <w:ind w:firstLine="643" w:firstLineChars="200"/>
        <w:jc w:val="center"/>
        <w:outlineLvl w:val="1"/>
        <w:rPr>
          <w:rFonts w:ascii="宋体" w:cs="Times New Roman"/>
          <w:b/>
          <w:bCs/>
          <w:color w:val="auto"/>
          <w:kern w:val="0"/>
          <w:sz w:val="32"/>
          <w:szCs w:val="32"/>
        </w:rPr>
      </w:pPr>
      <w:bookmarkStart w:id="35" w:name="_Toc26739"/>
      <w:bookmarkStart w:id="36" w:name="_Toc536429319"/>
      <w:bookmarkStart w:id="37" w:name="_Toc536429372"/>
      <w:bookmarkStart w:id="38" w:name="_Toc17059"/>
      <w:bookmarkStart w:id="39" w:name="_Toc536202379"/>
      <w:bookmarkStart w:id="40" w:name="_Toc19543336"/>
      <w:bookmarkStart w:id="41" w:name="_Toc536202285"/>
      <w:r>
        <w:rPr>
          <w:rFonts w:hint="eastAsia" w:ascii="宋体" w:hAnsi="宋体" w:cs="宋体"/>
          <w:b/>
          <w:bCs/>
          <w:color w:val="auto"/>
          <w:kern w:val="0"/>
          <w:sz w:val="32"/>
          <w:szCs w:val="32"/>
        </w:rPr>
        <w:t>总 则</w:t>
      </w:r>
      <w:bookmarkEnd w:id="35"/>
      <w:bookmarkEnd w:id="36"/>
      <w:bookmarkEnd w:id="37"/>
      <w:bookmarkEnd w:id="38"/>
      <w:bookmarkEnd w:id="39"/>
      <w:bookmarkEnd w:id="40"/>
      <w:bookmarkEnd w:id="41"/>
    </w:p>
    <w:p w14:paraId="2D361977">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1.</w:t>
      </w:r>
      <w:r>
        <w:rPr>
          <w:rFonts w:hint="eastAsia" w:ascii="宋体" w:hAnsi="宋体" w:cs="宋体"/>
          <w:b/>
          <w:bCs/>
          <w:color w:val="auto"/>
          <w:sz w:val="24"/>
          <w:szCs w:val="24"/>
        </w:rPr>
        <w:t>适用范围</w:t>
      </w:r>
    </w:p>
    <w:p w14:paraId="45C210B9">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1.1本磋商文件适用于本次采购活动的全过程。</w:t>
      </w:r>
    </w:p>
    <w:p w14:paraId="548A5FC4">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22A1FB4D">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2.</w:t>
      </w:r>
      <w:r>
        <w:rPr>
          <w:rFonts w:hint="eastAsia" w:ascii="宋体" w:hAnsi="宋体" w:cs="宋体"/>
          <w:b/>
          <w:bCs/>
          <w:color w:val="auto"/>
          <w:sz w:val="24"/>
          <w:szCs w:val="24"/>
        </w:rPr>
        <w:t>定义</w:t>
      </w:r>
    </w:p>
    <w:p w14:paraId="1C537252">
      <w:pPr>
        <w:widowControl/>
        <w:snapToGrid w:val="0"/>
        <w:spacing w:line="360" w:lineRule="auto"/>
        <w:ind w:firstLine="480" w:firstLineChars="200"/>
        <w:jc w:val="left"/>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2.1采购人：</w:t>
      </w:r>
      <w:r>
        <w:rPr>
          <w:rFonts w:hint="eastAsia" w:ascii="宋体" w:hAnsi="宋体" w:cs="宋体"/>
          <w:bCs/>
          <w:color w:val="auto"/>
          <w:sz w:val="24"/>
          <w:szCs w:val="24"/>
          <w:lang w:eastAsia="zh-CN"/>
        </w:rPr>
        <w:t>安康市中医医院</w:t>
      </w:r>
    </w:p>
    <w:p w14:paraId="72B5F9AD">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2.2采购代理机构：安康尚昊招标代理有限公司</w:t>
      </w:r>
    </w:p>
    <w:p w14:paraId="28CC604A">
      <w:pPr>
        <w:widowControl/>
        <w:snapToGrid w:val="0"/>
        <w:spacing w:line="336" w:lineRule="auto"/>
        <w:ind w:right="-90" w:rightChars="-43" w:firstLine="480" w:firstLineChars="200"/>
        <w:jc w:val="left"/>
        <w:rPr>
          <w:rFonts w:ascii="宋体" w:hAnsi="宋体" w:cs="宋体"/>
          <w:bCs/>
          <w:color w:val="auto"/>
          <w:sz w:val="24"/>
          <w:szCs w:val="24"/>
        </w:rPr>
      </w:pPr>
      <w:r>
        <w:rPr>
          <w:rFonts w:hint="eastAsia" w:ascii="宋体" w:hAnsi="宋体" w:cs="宋体"/>
          <w:bCs/>
          <w:color w:val="auto"/>
          <w:sz w:val="24"/>
          <w:szCs w:val="24"/>
        </w:rPr>
        <w:t>2.3监管机构：安康市财政局</w:t>
      </w:r>
    </w:p>
    <w:p w14:paraId="5E05EEC7">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2.4供应商：指无条件接受磋商文件的各项要求，具备相应履约能力、具有《中华人民共和国政府采购法》第22规定的相关条件并向磋商小组提交响应文件的供应商。</w:t>
      </w:r>
    </w:p>
    <w:p w14:paraId="27B934C4">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2.5货物：是指本次投标所需的各种形态和种类的物品。</w:t>
      </w:r>
    </w:p>
    <w:p w14:paraId="758CFF37">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2.6服务：指除了货物和工程外的其他政府采购对象，包含除货物以外规定由供应商承担的与货物有关的辅助服务。</w:t>
      </w:r>
    </w:p>
    <w:p w14:paraId="306DA57E">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3.</w:t>
      </w:r>
      <w:r>
        <w:rPr>
          <w:rFonts w:hint="eastAsia" w:ascii="宋体" w:hAnsi="宋体" w:cs="宋体"/>
          <w:b/>
          <w:bCs/>
          <w:color w:val="auto"/>
          <w:sz w:val="24"/>
          <w:szCs w:val="24"/>
        </w:rPr>
        <w:t>合格的供应商</w:t>
      </w:r>
    </w:p>
    <w:p w14:paraId="163B420D">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3.1具有本项目生产、制造、加工、供应或实施能力，符合、承认并承诺履行本磋商文件各项规定的国内供应商。</w:t>
      </w:r>
    </w:p>
    <w:p w14:paraId="499C51A3">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3.2供应商应遵守有关的国家</w:t>
      </w:r>
      <w:r>
        <w:rPr>
          <w:rFonts w:hint="eastAsia" w:ascii="宋体" w:hAnsi="宋体" w:cs="宋体"/>
          <w:bCs/>
          <w:color w:val="auto"/>
          <w:sz w:val="24"/>
          <w:szCs w:val="24"/>
          <w:lang w:eastAsia="zh-CN"/>
        </w:rPr>
        <w:t>法律法规</w:t>
      </w:r>
      <w:r>
        <w:rPr>
          <w:rFonts w:hint="eastAsia" w:ascii="宋体" w:hAnsi="宋体" w:cs="宋体"/>
          <w:bCs/>
          <w:color w:val="auto"/>
          <w:sz w:val="24"/>
          <w:szCs w:val="24"/>
        </w:rPr>
        <w:t>和条例，具备《中华人民共和国政府采购法》和本文件中规定的条件：</w:t>
      </w:r>
    </w:p>
    <w:p w14:paraId="24B743CA">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（1）具有独立承担民事责任的能力；</w:t>
      </w:r>
    </w:p>
    <w:p w14:paraId="55AAD2C9">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（2）具有良好的商业信誉和健全的财务会计制度；</w:t>
      </w:r>
    </w:p>
    <w:p w14:paraId="5D6BCFE3">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（3）具有履行合同所必需的产品和专业技术能力；</w:t>
      </w:r>
    </w:p>
    <w:p w14:paraId="59E1ADFE">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（4）具有依法缴纳税收和社会保障资金的良好记录；</w:t>
      </w:r>
    </w:p>
    <w:p w14:paraId="7E52A9F7">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（5）参加此项采购活动前三年内，在经营活动中没有重大违法记录；</w:t>
      </w:r>
    </w:p>
    <w:p w14:paraId="6EC3E388">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（6）法律、行政法规规定的其他条件。</w:t>
      </w:r>
    </w:p>
    <w:p w14:paraId="4A1C9372">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3.3供应商</w:t>
      </w:r>
      <w:r>
        <w:rPr>
          <w:rFonts w:hint="eastAsia" w:ascii="宋体" w:hAnsi="宋体" w:cs="宋体"/>
          <w:bCs/>
          <w:color w:val="auto"/>
          <w:sz w:val="24"/>
          <w:szCs w:val="24"/>
          <w:lang w:val="en-US" w:eastAsia="zh-CN"/>
        </w:rPr>
        <w:t>获取</w:t>
      </w:r>
      <w:r>
        <w:rPr>
          <w:rFonts w:hint="eastAsia" w:ascii="宋体" w:hAnsi="宋体" w:cs="宋体"/>
          <w:bCs/>
          <w:color w:val="auto"/>
          <w:sz w:val="24"/>
          <w:szCs w:val="24"/>
        </w:rPr>
        <w:t>磋商文件时应登记备案，并提供有效联系方式。</w:t>
      </w:r>
    </w:p>
    <w:p w14:paraId="439A2158">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 xml:space="preserve">3.4如供应商代表不是法定代表人，须持有《法定代表人授权委托书》 </w:t>
      </w:r>
      <w:r>
        <w:rPr>
          <w:rFonts w:hint="eastAsia" w:ascii="宋体" w:hAnsi="宋体" w:cs="宋体"/>
          <w:bCs/>
          <w:color w:val="auto"/>
          <w:sz w:val="24"/>
          <w:szCs w:val="24"/>
          <w:lang w:eastAsia="zh-CN"/>
        </w:rPr>
        <w:t>（</w:t>
      </w:r>
      <w:r>
        <w:rPr>
          <w:rFonts w:hint="eastAsia" w:ascii="宋体" w:hAnsi="宋体" w:cs="宋体"/>
          <w:bCs/>
          <w:color w:val="auto"/>
          <w:sz w:val="24"/>
          <w:szCs w:val="24"/>
        </w:rPr>
        <w:t>按磋商文件提供的格式填写</w:t>
      </w:r>
      <w:r>
        <w:rPr>
          <w:rFonts w:hint="eastAsia" w:ascii="宋体" w:hAnsi="宋体" w:cs="宋体"/>
          <w:bCs/>
          <w:color w:val="auto"/>
          <w:sz w:val="24"/>
          <w:szCs w:val="24"/>
          <w:lang w:eastAsia="zh-CN"/>
        </w:rPr>
        <w:t>）</w:t>
      </w:r>
      <w:r>
        <w:rPr>
          <w:rFonts w:hint="eastAsia" w:ascii="宋体" w:hAnsi="宋体" w:cs="宋体"/>
          <w:bCs/>
          <w:color w:val="auto"/>
          <w:sz w:val="24"/>
          <w:szCs w:val="24"/>
        </w:rPr>
        <w:t>。</w:t>
      </w:r>
    </w:p>
    <w:p w14:paraId="622D2B3C">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3.5供应商应独立于采购人，不得直接或间接地与采购人为采购本次招标的货物或服务进行设计、编制技术规格</w:t>
      </w:r>
      <w:r>
        <w:rPr>
          <w:rFonts w:hint="eastAsia" w:ascii="宋体" w:hAnsi="宋体" w:cs="宋体"/>
          <w:bCs/>
          <w:color w:val="auto"/>
          <w:sz w:val="24"/>
          <w:szCs w:val="24"/>
          <w:lang w:eastAsia="zh-CN"/>
        </w:rPr>
        <w:t>和其他</w:t>
      </w:r>
      <w:r>
        <w:rPr>
          <w:rFonts w:hint="eastAsia" w:ascii="宋体" w:hAnsi="宋体" w:cs="宋体"/>
          <w:bCs/>
          <w:color w:val="auto"/>
          <w:sz w:val="24"/>
          <w:szCs w:val="24"/>
        </w:rPr>
        <w:t>文件所委托的咨询公司或其附属机构有任何关联。</w:t>
      </w:r>
    </w:p>
    <w:p w14:paraId="0060959E">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3.6供应商不得存在下列情形之一：</w:t>
      </w:r>
    </w:p>
    <w:p w14:paraId="2CE4E4CD">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（1）与采购人或采购代理机构存在隶属关系或者其他利害关系；</w:t>
      </w:r>
    </w:p>
    <w:p w14:paraId="3A29CD9F">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（2）与其他供应商的法定代表人（或者负责人）为同一人，或者与其他供应商存在直接控股、管理关系；</w:t>
      </w:r>
    </w:p>
    <w:p w14:paraId="1C98FBDC">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（3）</w:t>
      </w:r>
      <w:r>
        <w:rPr>
          <w:rFonts w:hint="eastAsia" w:ascii="宋体" w:hAnsi="宋体" w:eastAsia="宋体" w:cs="宋体"/>
          <w:b w:val="0"/>
          <w:bCs w:val="0"/>
          <w:color w:val="auto"/>
          <w:sz w:val="24"/>
          <w:szCs w:val="24"/>
        </w:rPr>
        <w:t>受到刑事处罚，或者受到 200万元以上罚款，责令停产停业、在一年至三年内禁止参加政府采购活动或吊销许可证、营业执照等情形之一的行政处罚，或者存在财政部门认定的其他重大违法记录</w:t>
      </w:r>
      <w:r>
        <w:rPr>
          <w:rFonts w:hint="eastAsia" w:ascii="宋体" w:hAnsi="宋体" w:cs="宋体"/>
          <w:b w:val="0"/>
          <w:bCs w:val="0"/>
          <w:color w:val="auto"/>
          <w:sz w:val="24"/>
          <w:szCs w:val="24"/>
          <w:lang w:eastAsia="zh-CN"/>
        </w:rPr>
        <w:t>；</w:t>
      </w:r>
    </w:p>
    <w:p w14:paraId="7E3C024F">
      <w:pPr>
        <w:widowControl/>
        <w:snapToGrid w:val="0"/>
        <w:spacing w:line="360" w:lineRule="auto"/>
        <w:ind w:firstLine="480" w:firstLineChars="200"/>
        <w:jc w:val="left"/>
        <w:rPr>
          <w:rFonts w:hint="eastAsia" w:ascii="宋体" w:hAnsi="宋体" w:eastAsia="宋体" w:cs="宋体"/>
          <w:bCs/>
          <w:color w:val="auto"/>
          <w:sz w:val="24"/>
          <w:szCs w:val="24"/>
          <w:lang w:eastAsia="zh-CN"/>
        </w:rPr>
      </w:pPr>
      <w:r>
        <w:rPr>
          <w:rFonts w:hint="eastAsia" w:ascii="宋体" w:hAnsi="宋体" w:cs="宋体"/>
          <w:bCs/>
          <w:color w:val="auto"/>
          <w:sz w:val="24"/>
          <w:szCs w:val="24"/>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r>
        <w:rPr>
          <w:rFonts w:hint="eastAsia" w:ascii="宋体" w:hAnsi="宋体" w:cs="宋体"/>
          <w:bCs/>
          <w:color w:val="auto"/>
          <w:sz w:val="24"/>
          <w:szCs w:val="24"/>
          <w:lang w:eastAsia="zh-CN"/>
        </w:rPr>
        <w:t>。</w:t>
      </w:r>
    </w:p>
    <w:p w14:paraId="092DB8E2">
      <w:pPr>
        <w:widowControl/>
        <w:snapToGrid w:val="0"/>
        <w:spacing w:line="360" w:lineRule="auto"/>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4.</w:t>
      </w:r>
      <w:r>
        <w:rPr>
          <w:rFonts w:hint="eastAsia" w:ascii="宋体" w:hAnsi="宋体" w:cs="宋体"/>
          <w:b/>
          <w:bCs/>
          <w:color w:val="000000" w:themeColor="text1"/>
          <w:sz w:val="24"/>
          <w:szCs w:val="24"/>
          <w14:textFill>
            <w14:solidFill>
              <w14:schemeClr w14:val="tx1"/>
            </w14:solidFill>
          </w14:textFill>
        </w:rPr>
        <w:t>政府采购政策支持</w:t>
      </w:r>
    </w:p>
    <w:p w14:paraId="320E60C6">
      <w:pPr>
        <w:spacing w:line="360" w:lineRule="auto"/>
        <w:ind w:firstLine="480" w:firstLineChars="200"/>
        <w:rPr>
          <w:rFonts w:ascii="宋体" w:hAnsi="宋体"/>
          <w:color w:val="auto"/>
          <w:sz w:val="24"/>
          <w:szCs w:val="24"/>
        </w:rPr>
      </w:pPr>
      <w:r>
        <w:rPr>
          <w:rFonts w:hint="eastAsia" w:ascii="宋体" w:hAnsi="宋体"/>
          <w:color w:val="auto"/>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7C0B7FB4">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color w:val="auto"/>
          <w:sz w:val="24"/>
          <w:szCs w:val="24"/>
          <w:lang w:val="en-US" w:eastAsia="zh-CN"/>
        </w:rPr>
        <w:t>10%</w:t>
      </w:r>
      <w:r>
        <w:rPr>
          <w:rFonts w:hint="eastAsia" w:ascii="宋体" w:hAnsi="宋体"/>
          <w:color w:val="auto"/>
          <w:sz w:val="24"/>
          <w:szCs w:val="24"/>
        </w:rPr>
        <w:t xml:space="preserve">的价格扣除，用扣除后的价格参与评标。  </w:t>
      </w:r>
    </w:p>
    <w:p w14:paraId="25F568E8">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color w:val="auto"/>
          <w:sz w:val="24"/>
          <w:szCs w:val="24"/>
          <w:lang w:eastAsia="zh-CN"/>
        </w:rPr>
        <w:t>给予</w:t>
      </w:r>
      <w:r>
        <w:rPr>
          <w:rFonts w:hint="eastAsia" w:ascii="宋体" w:hAnsi="宋体"/>
          <w:color w:val="auto"/>
          <w:sz w:val="24"/>
          <w:szCs w:val="24"/>
          <w:lang w:val="en-US" w:eastAsia="zh-CN"/>
        </w:rPr>
        <w:t>10%</w:t>
      </w:r>
      <w:r>
        <w:rPr>
          <w:rFonts w:hint="eastAsia" w:ascii="宋体" w:hAnsi="宋体"/>
          <w:color w:val="auto"/>
          <w:sz w:val="24"/>
          <w:szCs w:val="24"/>
        </w:rPr>
        <w:t>的价格扣除，用扣除后的价格参与评审；</w:t>
      </w:r>
    </w:p>
    <w:p w14:paraId="142F8ACB">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 根据财政部、民政部、中国残疾人联合会下发的《关于促进残疾人就业政府采购政策的通知》（财库〔201</w:t>
      </w:r>
      <w:r>
        <w:rPr>
          <w:rFonts w:ascii="宋体" w:hAnsi="宋体"/>
          <w:color w:val="auto"/>
          <w:sz w:val="24"/>
          <w:szCs w:val="24"/>
        </w:rPr>
        <w:t>7</w:t>
      </w:r>
      <w:r>
        <w:rPr>
          <w:rFonts w:hint="eastAsia" w:ascii="宋体" w:hAnsi="宋体"/>
          <w:color w:val="auto"/>
          <w:sz w:val="24"/>
          <w:szCs w:val="24"/>
        </w:rPr>
        <w:t>〕</w:t>
      </w:r>
      <w:r>
        <w:rPr>
          <w:rFonts w:ascii="宋体" w:hAnsi="宋体"/>
          <w:color w:val="auto"/>
          <w:sz w:val="24"/>
          <w:szCs w:val="24"/>
        </w:rPr>
        <w:t>141</w:t>
      </w:r>
      <w:r>
        <w:rPr>
          <w:rFonts w:hint="eastAsia" w:ascii="宋体" w:hAnsi="宋体"/>
          <w:color w:val="auto"/>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7AD759DC">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（4）对专门面向中小企业采购项目，不再执行价格扣除政策。</w:t>
      </w:r>
    </w:p>
    <w:p w14:paraId="09F22944">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（5）对非专门面向中小企业采购项目，执行以上价格扣除政策。</w:t>
      </w:r>
    </w:p>
    <w:p w14:paraId="60D97D61">
      <w:pPr>
        <w:spacing w:line="360" w:lineRule="auto"/>
        <w:ind w:firstLine="482"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color w:val="auto"/>
          <w:sz w:val="24"/>
          <w:szCs w:val="24"/>
          <w:lang w:eastAsia="zh-CN"/>
        </w:rPr>
        <w:t>磋商文件</w:t>
      </w:r>
      <w:r>
        <w:rPr>
          <w:rFonts w:hint="eastAsia" w:ascii="宋体" w:hAnsi="宋体"/>
          <w:color w:val="auto"/>
          <w:sz w:val="24"/>
          <w:szCs w:val="24"/>
        </w:rPr>
        <w:t>规定的价格扣除，但不影响</w:t>
      </w:r>
      <w:r>
        <w:rPr>
          <w:rFonts w:hint="eastAsia" w:ascii="宋体" w:hAnsi="宋体"/>
          <w:color w:val="auto"/>
          <w:sz w:val="24"/>
          <w:szCs w:val="24"/>
          <w:lang w:eastAsia="zh-CN"/>
        </w:rPr>
        <w:t>响应文件</w:t>
      </w:r>
      <w:r>
        <w:rPr>
          <w:rFonts w:hint="eastAsia" w:ascii="宋体" w:hAnsi="宋体"/>
          <w:color w:val="auto"/>
          <w:sz w:val="24"/>
          <w:szCs w:val="24"/>
        </w:rPr>
        <w:t>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767DD4C6">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 ①根据财政部、国家发展改革委《关于印发〈节能产品政府采购实施意见〉的通知》（财库〔2004〕185号）所投产品属于节能产品政府采购清单所列产品，在技术、服务同等的条件下，应当优先采用清单中的节能产品；</w:t>
      </w:r>
    </w:p>
    <w:p w14:paraId="424C69C2">
      <w:pPr>
        <w:spacing w:line="360" w:lineRule="auto"/>
        <w:ind w:firstLine="480" w:firstLineChars="200"/>
        <w:rPr>
          <w:rFonts w:ascii="宋体" w:hAnsi="宋体"/>
          <w:color w:val="auto"/>
          <w:sz w:val="24"/>
          <w:szCs w:val="24"/>
        </w:rPr>
      </w:pPr>
      <w:r>
        <w:rPr>
          <w:rFonts w:hint="eastAsia" w:ascii="宋体" w:hAnsi="宋体"/>
          <w:color w:val="auto"/>
          <w:sz w:val="24"/>
          <w:szCs w:val="24"/>
        </w:rPr>
        <w:t>②所投产品为“环境标志产品政府采购清单”所列产品，在性能、技术、服务等指标同等的条件下，应当优先采用；</w:t>
      </w:r>
    </w:p>
    <w:p w14:paraId="6BD2DED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//www.ccgp.gov.cn/）公布的最新一期节能产品政府采购清单为准；</w:t>
      </w:r>
    </w:p>
    <w:p w14:paraId="6A8F725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④环境标志产品根据《环境标志产品政府采购实施的意见》（财库[2006]90号）的规定，以中国政府采购网（http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//www.ccgp.gov.cn/）公布的最新一期环境标志产品政府采购清单为准；</w:t>
      </w:r>
    </w:p>
    <w:p w14:paraId="3E22FEA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⑤若节能、环保、环境标志清单内的产品仅是构成投标产品的部件、组件或零件的，则该投标产品不享受鼓励优惠政策；</w:t>
      </w:r>
    </w:p>
    <w:p w14:paraId="66A0F77F">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ascii="Calibri" w:hAnsi="Calibri"/>
          <w:color w:val="auto"/>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w:t>
      </w:r>
      <w:r>
        <w:rPr>
          <w:rFonts w:ascii="宋体" w:hAnsi="宋体"/>
          <w:color w:val="auto"/>
          <w:sz w:val="24"/>
          <w:szCs w:val="24"/>
        </w:rPr>
        <w:t>关于信用记录的查询和使用</w:t>
      </w:r>
    </w:p>
    <w:p w14:paraId="73FC452B">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ascii="宋体" w:hAnsi="宋体"/>
          <w:color w:val="auto"/>
          <w:sz w:val="24"/>
          <w:szCs w:val="24"/>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1</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hint="eastAsia" w:ascii="宋体" w:hAnsi="宋体"/>
          <w:color w:val="auto"/>
          <w:sz w:val="24"/>
          <w:szCs w:val="24"/>
        </w:rPr>
        <w:t>采购人将在</w:t>
      </w:r>
      <w:r>
        <w:rPr>
          <w:rFonts w:ascii="宋体" w:hAnsi="宋体"/>
          <w:color w:val="auto"/>
          <w:sz w:val="24"/>
          <w:szCs w:val="24"/>
        </w:rPr>
        <w:t>资格审查</w:t>
      </w:r>
      <w:r>
        <w:rPr>
          <w:rFonts w:hint="eastAsia" w:ascii="宋体" w:hAnsi="宋体"/>
          <w:color w:val="auto"/>
          <w:sz w:val="24"/>
          <w:szCs w:val="24"/>
        </w:rPr>
        <w:t>阶段通过【</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color w:val="auto"/>
        </w:rPr>
        <w:fldChar w:fldCharType="begin"/>
      </w:r>
      <w:r>
        <w:rPr>
          <w:color w:val="auto"/>
        </w:rPr>
        <w:instrText xml:space="preserve"> HYPERLINK "http://www.ccgp.gov.cn/cr/list" </w:instrText>
      </w:r>
      <w:r>
        <w:rPr>
          <w:color w:val="auto"/>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w:t>
      </w:r>
      <w:r>
        <w:rPr>
          <w:rFonts w:hint="eastAsia" w:ascii="宋体" w:hAnsi="宋体"/>
          <w:color w:val="auto"/>
          <w:sz w:val="24"/>
          <w:szCs w:val="24"/>
          <w:lang w:eastAsia="zh-CN"/>
        </w:rPr>
        <w:t>响应文件</w:t>
      </w:r>
      <w:r>
        <w:rPr>
          <w:rFonts w:hint="eastAsia" w:ascii="宋体" w:hAnsi="宋体"/>
          <w:color w:val="auto"/>
          <w:sz w:val="24"/>
          <w:szCs w:val="24"/>
        </w:rPr>
        <w:t>中</w:t>
      </w:r>
      <w:r>
        <w:rPr>
          <w:rFonts w:hint="eastAsia" w:ascii="宋体" w:hAnsi="宋体"/>
          <w:color w:val="auto"/>
          <w:sz w:val="24"/>
          <w:szCs w:val="24"/>
          <w:lang w:val="en-US" w:eastAsia="zh-CN"/>
        </w:rPr>
        <w:t>信用记录</w:t>
      </w:r>
      <w:r>
        <w:rPr>
          <w:rFonts w:hint="eastAsia" w:ascii="宋体" w:hAnsi="宋体"/>
          <w:color w:val="auto"/>
          <w:sz w:val="24"/>
          <w:szCs w:val="24"/>
        </w:rPr>
        <w:t>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3A3BD644">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ascii="宋体" w:hAnsi="宋体"/>
          <w:color w:val="auto"/>
          <w:sz w:val="24"/>
          <w:szCs w:val="24"/>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2</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hint="eastAsia" w:ascii="宋体" w:hAnsi="宋体"/>
          <w:color w:val="auto"/>
          <w:sz w:val="24"/>
          <w:szCs w:val="24"/>
        </w:rPr>
        <w:t>投标人在参加政府采购活动前3年内因违法经营被禁止在一定期限内参加政府采购活动，期限届满的，可以参加政府采购活动的，但投标人应提供相关证明材料；</w:t>
      </w:r>
    </w:p>
    <w:p w14:paraId="39ECBF00">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ascii="宋体" w:hAnsi="宋体"/>
          <w:color w:val="auto"/>
          <w:sz w:val="24"/>
          <w:szCs w:val="24"/>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3</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ascii="宋体" w:hAnsi="宋体"/>
          <w:color w:val="auto"/>
          <w:sz w:val="24"/>
          <w:szCs w:val="24"/>
        </w:rPr>
        <w:t>信用记录查询的截止时点为“</w:t>
      </w:r>
      <w:r>
        <w:rPr>
          <w:rFonts w:hint="eastAsia" w:ascii="宋体" w:hAnsi="宋体"/>
          <w:color w:val="auto"/>
          <w:sz w:val="24"/>
          <w:szCs w:val="24"/>
          <w:lang w:eastAsia="zh-CN"/>
        </w:rPr>
        <w:t>磋商文件</w:t>
      </w:r>
      <w:r>
        <w:rPr>
          <w:rFonts w:hint="eastAsia" w:ascii="宋体" w:hAnsi="宋体"/>
          <w:color w:val="auto"/>
          <w:sz w:val="24"/>
          <w:szCs w:val="24"/>
          <w:lang w:val="en-US" w:eastAsia="zh-CN"/>
        </w:rPr>
        <w:t>获取</w:t>
      </w:r>
      <w:r>
        <w:rPr>
          <w:rFonts w:hint="eastAsia" w:ascii="宋体" w:hAnsi="宋体"/>
          <w:color w:val="auto"/>
          <w:sz w:val="24"/>
          <w:szCs w:val="24"/>
        </w:rPr>
        <w:t>之日起至投标截止日前</w:t>
      </w:r>
      <w:r>
        <w:rPr>
          <w:rFonts w:ascii="宋体" w:hAnsi="宋体"/>
          <w:color w:val="auto"/>
          <w:sz w:val="24"/>
          <w:szCs w:val="24"/>
        </w:rPr>
        <w:t>”。</w:t>
      </w:r>
      <w:r>
        <w:rPr>
          <w:rFonts w:hint="eastAsia" w:ascii="宋体" w:hAnsi="宋体"/>
          <w:color w:val="auto"/>
          <w:sz w:val="24"/>
          <w:szCs w:val="24"/>
        </w:rPr>
        <w:t>信用记录查询的结果，将以纸质截图或将截图保存至电子介质的形式留存。投标人未如实</w:t>
      </w:r>
      <w:r>
        <w:rPr>
          <w:rFonts w:hint="eastAsia" w:ascii="宋体" w:hAnsi="宋体"/>
          <w:color w:val="auto"/>
          <w:sz w:val="24"/>
          <w:szCs w:val="24"/>
          <w:lang w:val="en-US" w:eastAsia="zh-CN"/>
        </w:rPr>
        <w:t>提供</w:t>
      </w:r>
      <w:r>
        <w:rPr>
          <w:rFonts w:hint="eastAsia" w:ascii="宋体" w:hAnsi="宋体"/>
          <w:color w:val="auto"/>
          <w:sz w:val="24"/>
          <w:szCs w:val="24"/>
        </w:rPr>
        <w:t>的，视为“投标人提供虚假材料谋取中标、成交的”行为。</w:t>
      </w:r>
    </w:p>
    <w:p w14:paraId="646EB1FD">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8</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zh-CN" w:eastAsia="zh-CN"/>
        </w:rPr>
        <w:t>融资政策</w:t>
      </w:r>
    </w:p>
    <w:p w14:paraId="5B96ACF6">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 w:val="0"/>
          <w:bCs w:val="0"/>
          <w:color w:val="auto"/>
          <w:sz w:val="24"/>
          <w:szCs w:val="24"/>
          <w:lang w:val="zh-CN" w:eastAsia="zh-CN"/>
        </w:rPr>
        <w:t>根据《陕西省财政厅关于加快推进我省中小企业政府采购信用融资工作的通知》（陕财办采</w:t>
      </w:r>
      <w:r>
        <w:rPr>
          <w:rFonts w:hint="eastAsia" w:ascii="宋体" w:hAnsi="宋体" w:cs="宋体"/>
          <w:b w:val="0"/>
          <w:bCs w:val="0"/>
          <w:color w:val="auto"/>
          <w:sz w:val="24"/>
          <w:szCs w:val="24"/>
          <w:lang w:val="en-US" w:eastAsia="zh-CN"/>
        </w:rPr>
        <w:t>〔</w:t>
      </w:r>
      <w:r>
        <w:rPr>
          <w:rFonts w:hint="eastAsia" w:ascii="宋体" w:hAnsi="宋体" w:cs="宋体"/>
          <w:b w:val="0"/>
          <w:bCs w:val="0"/>
          <w:color w:val="auto"/>
          <w:sz w:val="24"/>
          <w:szCs w:val="24"/>
          <w:lang w:val="zh-CN" w:eastAsia="zh-CN"/>
        </w:rPr>
        <w:t>2020</w:t>
      </w:r>
      <w:r>
        <w:rPr>
          <w:rFonts w:hint="eastAsia" w:ascii="宋体" w:hAnsi="宋体" w:cs="宋体"/>
          <w:b w:val="0"/>
          <w:bCs w:val="0"/>
          <w:color w:val="auto"/>
          <w:sz w:val="24"/>
          <w:szCs w:val="24"/>
          <w:lang w:val="en-US" w:eastAsia="zh-CN"/>
        </w:rPr>
        <w:t>〕</w:t>
      </w:r>
      <w:r>
        <w:rPr>
          <w:rFonts w:hint="eastAsia" w:ascii="宋体" w:hAnsi="宋体" w:cs="宋体"/>
          <w:b w:val="0"/>
          <w:bCs w:val="0"/>
          <w:color w:val="auto"/>
          <w:sz w:val="24"/>
          <w:szCs w:val="24"/>
          <w:lang w:val="zh-CN" w:eastAsia="zh-CN"/>
        </w:rPr>
        <w:t>15号）文件精神，有融资需求的</w:t>
      </w:r>
      <w:r>
        <w:rPr>
          <w:rFonts w:hint="eastAsia" w:ascii="宋体" w:hAnsi="宋体" w:cs="宋体"/>
          <w:b w:val="0"/>
          <w:bCs w:val="0"/>
          <w:color w:val="auto"/>
          <w:sz w:val="24"/>
          <w:szCs w:val="24"/>
          <w:lang w:val="en-US" w:eastAsia="zh-CN"/>
        </w:rPr>
        <w:t>中标（成交）人</w:t>
      </w:r>
      <w:r>
        <w:rPr>
          <w:rFonts w:hint="eastAsia" w:ascii="宋体" w:hAnsi="宋体" w:cs="宋体"/>
          <w:b w:val="0"/>
          <w:bCs w:val="0"/>
          <w:color w:val="auto"/>
          <w:sz w:val="24"/>
          <w:szCs w:val="24"/>
          <w:lang w:val="zh-CN" w:eastAsia="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2418E1B1">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5.</w:t>
      </w:r>
      <w:r>
        <w:rPr>
          <w:rFonts w:hint="eastAsia" w:ascii="宋体" w:hAnsi="宋体" w:cs="宋体"/>
          <w:b/>
          <w:bCs/>
          <w:color w:val="auto"/>
          <w:sz w:val="24"/>
          <w:szCs w:val="24"/>
        </w:rPr>
        <w:t>费用承担</w:t>
      </w:r>
    </w:p>
    <w:p w14:paraId="0D501D54">
      <w:pPr>
        <w:widowControl/>
        <w:snapToGrid w:val="0"/>
        <w:spacing w:line="360" w:lineRule="auto"/>
        <w:ind w:firstLine="480" w:firstLineChars="200"/>
        <w:jc w:val="left"/>
        <w:rPr>
          <w:color w:val="auto"/>
          <w:sz w:val="24"/>
          <w:szCs w:val="24"/>
        </w:rPr>
      </w:pPr>
      <w:r>
        <w:rPr>
          <w:rFonts w:hint="eastAsia"/>
          <w:color w:val="auto"/>
          <w:sz w:val="24"/>
          <w:szCs w:val="24"/>
        </w:rPr>
        <w:t>无论磋商结果如何，供应商自行承担所有与参加磋商有关的全部费用。</w:t>
      </w:r>
    </w:p>
    <w:p w14:paraId="649B115F">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6.</w:t>
      </w:r>
      <w:r>
        <w:rPr>
          <w:rFonts w:hint="eastAsia" w:ascii="宋体" w:hAnsi="宋体" w:cs="宋体"/>
          <w:b/>
          <w:bCs/>
          <w:color w:val="auto"/>
          <w:sz w:val="24"/>
          <w:szCs w:val="24"/>
        </w:rPr>
        <w:t>保密</w:t>
      </w:r>
    </w:p>
    <w:p w14:paraId="2996977F">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参与磋商活动的各方应对磋商文件和响应文件的商业和技术等秘密保密，违者应对由此造成的后果承担法律责任。</w:t>
      </w:r>
    </w:p>
    <w:p w14:paraId="53A240EA">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7.</w:t>
      </w:r>
      <w:r>
        <w:rPr>
          <w:rFonts w:hint="eastAsia" w:ascii="宋体" w:hAnsi="宋体" w:cs="宋体"/>
          <w:b/>
          <w:bCs/>
          <w:color w:val="auto"/>
          <w:sz w:val="24"/>
          <w:szCs w:val="24"/>
        </w:rPr>
        <w:t>语言文字</w:t>
      </w:r>
    </w:p>
    <w:p w14:paraId="78462D1B">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除专用术语外，与磋商文件有关的语言均使用中文；必要时专用术语应附有中文注释。</w:t>
      </w:r>
    </w:p>
    <w:p w14:paraId="3FA24C89">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8.</w:t>
      </w:r>
      <w:r>
        <w:rPr>
          <w:rFonts w:hint="eastAsia" w:ascii="宋体" w:hAnsi="宋体" w:cs="宋体"/>
          <w:b/>
          <w:bCs/>
          <w:color w:val="auto"/>
          <w:sz w:val="24"/>
          <w:szCs w:val="24"/>
        </w:rPr>
        <w:t>计量单位</w:t>
      </w:r>
    </w:p>
    <w:p w14:paraId="6CF4DA20">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所有计量均采用中华人民共和国法定计量单位。</w:t>
      </w:r>
    </w:p>
    <w:p w14:paraId="6D0B4DC9">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9.</w:t>
      </w:r>
      <w:r>
        <w:rPr>
          <w:rFonts w:hint="eastAsia" w:ascii="宋体" w:hAnsi="宋体" w:cs="宋体"/>
          <w:b/>
          <w:bCs/>
          <w:color w:val="auto"/>
          <w:sz w:val="24"/>
          <w:szCs w:val="24"/>
        </w:rPr>
        <w:t>踏勘现场</w:t>
      </w:r>
    </w:p>
    <w:p w14:paraId="617A8A4E">
      <w:pPr>
        <w:pStyle w:val="12"/>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自行勘察，未勘察现场造成的一切后果由投标人自行承担（一切费用自理）。</w:t>
      </w:r>
    </w:p>
    <w:p w14:paraId="68E15358">
      <w:pPr>
        <w:widowControl/>
        <w:snapToGrid w:val="0"/>
        <w:spacing w:line="360" w:lineRule="auto"/>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10</w:t>
      </w:r>
      <w:r>
        <w:rPr>
          <w:rFonts w:hint="eastAsia" w:ascii="宋体" w:hAnsi="宋体" w:cs="宋体"/>
          <w:b/>
          <w:bCs/>
          <w:color w:val="auto"/>
          <w:sz w:val="24"/>
          <w:szCs w:val="24"/>
          <w:lang w:val="en-US" w:eastAsia="zh-CN"/>
        </w:rPr>
        <w:t>.</w:t>
      </w:r>
      <w:r>
        <w:rPr>
          <w:rFonts w:hint="eastAsia" w:ascii="宋体" w:hAnsi="宋体" w:cs="宋体"/>
          <w:b/>
          <w:bCs/>
          <w:color w:val="auto"/>
          <w:sz w:val="24"/>
          <w:szCs w:val="24"/>
        </w:rPr>
        <w:t>偏离</w:t>
      </w:r>
    </w:p>
    <w:p w14:paraId="6A95C328">
      <w:pPr>
        <w:widowControl/>
        <w:snapToGrid w:val="0"/>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除供应商须知前附表另有规定外，供应商递交的响应文件不允许严重负偏离。</w:t>
      </w:r>
    </w:p>
    <w:p w14:paraId="62C6CA63">
      <w:pPr>
        <w:widowControl/>
        <w:numPr>
          <w:ilvl w:val="0"/>
          <w:numId w:val="2"/>
        </w:numPr>
        <w:spacing w:line="360" w:lineRule="auto"/>
        <w:ind w:firstLine="643" w:firstLineChars="200"/>
        <w:jc w:val="center"/>
        <w:outlineLvl w:val="1"/>
        <w:rPr>
          <w:rFonts w:ascii="宋体" w:hAnsi="宋体" w:cs="宋体"/>
          <w:b/>
          <w:bCs/>
          <w:color w:val="auto"/>
          <w:kern w:val="0"/>
          <w:sz w:val="32"/>
          <w:szCs w:val="32"/>
        </w:rPr>
      </w:pPr>
      <w:bookmarkStart w:id="42" w:name="_Toc19543337"/>
      <w:bookmarkStart w:id="43" w:name="_Toc536202288"/>
      <w:bookmarkStart w:id="44" w:name="_Toc536429320"/>
      <w:bookmarkStart w:id="45" w:name="_Toc536429373"/>
      <w:bookmarkStart w:id="46" w:name="_Toc3976"/>
      <w:bookmarkStart w:id="47" w:name="_Toc536202380"/>
      <w:r>
        <w:rPr>
          <w:rFonts w:hint="eastAsia" w:ascii="宋体" w:hAnsi="宋体" w:cs="宋体"/>
          <w:b/>
          <w:bCs/>
          <w:color w:val="auto"/>
          <w:kern w:val="0"/>
          <w:sz w:val="32"/>
          <w:szCs w:val="32"/>
        </w:rPr>
        <w:t>竞争性磋商文件</w:t>
      </w:r>
      <w:bookmarkEnd w:id="42"/>
      <w:bookmarkEnd w:id="43"/>
      <w:bookmarkEnd w:id="44"/>
      <w:bookmarkEnd w:id="45"/>
      <w:bookmarkEnd w:id="46"/>
      <w:bookmarkEnd w:id="47"/>
    </w:p>
    <w:p w14:paraId="6D2C7AA2">
      <w:pPr>
        <w:pStyle w:val="4"/>
        <w:numPr>
          <w:ilvl w:val="0"/>
          <w:numId w:val="0"/>
        </w:numPr>
        <w:spacing w:line="360" w:lineRule="auto"/>
        <w:ind w:firstLine="482" w:firstLineChars="200"/>
        <w:rPr>
          <w:rFonts w:ascii="宋体" w:hAnsi="宋体" w:cs="宋体"/>
          <w:color w:val="auto"/>
          <w:sz w:val="24"/>
          <w:szCs w:val="28"/>
        </w:rPr>
      </w:pPr>
      <w:bookmarkStart w:id="48" w:name="_Toc536202289"/>
      <w:bookmarkStart w:id="49" w:name="_Toc5801"/>
      <w:r>
        <w:rPr>
          <w:rFonts w:hint="eastAsia" w:ascii="宋体" w:hAnsi="宋体" w:cs="宋体"/>
          <w:color w:val="auto"/>
          <w:sz w:val="24"/>
          <w:szCs w:val="28"/>
          <w:lang w:val="en-US" w:eastAsia="zh-CN"/>
        </w:rPr>
        <w:t>1.</w:t>
      </w:r>
      <w:r>
        <w:rPr>
          <w:rFonts w:hint="eastAsia" w:ascii="宋体" w:hAnsi="宋体" w:cs="宋体"/>
          <w:color w:val="auto"/>
          <w:sz w:val="24"/>
          <w:szCs w:val="28"/>
        </w:rPr>
        <w:t>竞争性磋商文件的构成</w:t>
      </w:r>
      <w:bookmarkEnd w:id="48"/>
      <w:bookmarkEnd w:id="49"/>
    </w:p>
    <w:p w14:paraId="2AF098D9">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2B597C2C">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竞争性磋商公告；</w:t>
      </w:r>
    </w:p>
    <w:p w14:paraId="05324FB0">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供应商须知前附表；</w:t>
      </w:r>
    </w:p>
    <w:p w14:paraId="17F9A84A">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供应商须知；</w:t>
      </w:r>
    </w:p>
    <w:p w14:paraId="07CC4B32">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评分标准；</w:t>
      </w:r>
    </w:p>
    <w:p w14:paraId="558B940B">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采购内容及要求；</w:t>
      </w:r>
    </w:p>
    <w:p w14:paraId="699484D5">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商务及</w:t>
      </w:r>
      <w:r>
        <w:rPr>
          <w:rFonts w:hint="eastAsia" w:ascii="宋体" w:hAnsi="宋体" w:cs="宋体"/>
          <w:color w:val="auto"/>
          <w:sz w:val="24"/>
          <w:szCs w:val="28"/>
        </w:rPr>
        <w:t>合同条款；</w:t>
      </w:r>
    </w:p>
    <w:p w14:paraId="0CF070B8">
      <w:pPr>
        <w:numPr>
          <w:ilvl w:val="0"/>
          <w:numId w:val="3"/>
        </w:num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响应文件格式。</w:t>
      </w:r>
    </w:p>
    <w:p w14:paraId="3A7AF27A">
      <w:pPr>
        <w:pStyle w:val="4"/>
        <w:numPr>
          <w:ilvl w:val="0"/>
          <w:numId w:val="0"/>
        </w:numPr>
        <w:spacing w:line="360" w:lineRule="auto"/>
        <w:ind w:firstLine="482" w:firstLineChars="200"/>
        <w:rPr>
          <w:rFonts w:ascii="宋体" w:hAnsi="宋体" w:cs="宋体"/>
          <w:color w:val="auto"/>
          <w:sz w:val="24"/>
          <w:szCs w:val="28"/>
        </w:rPr>
      </w:pPr>
      <w:bookmarkStart w:id="50" w:name="_Toc536202290"/>
      <w:r>
        <w:rPr>
          <w:rFonts w:hint="eastAsia" w:ascii="宋体" w:hAnsi="宋体" w:cs="宋体"/>
          <w:color w:val="auto"/>
          <w:sz w:val="24"/>
          <w:szCs w:val="28"/>
          <w:lang w:val="en-US" w:eastAsia="zh-CN"/>
        </w:rPr>
        <w:t>2.</w:t>
      </w:r>
      <w:r>
        <w:rPr>
          <w:rFonts w:hint="eastAsia" w:ascii="宋体" w:hAnsi="宋体" w:cs="宋体"/>
          <w:color w:val="auto"/>
          <w:sz w:val="24"/>
          <w:szCs w:val="28"/>
        </w:rPr>
        <w:t>磋商文件的检查及阅读</w:t>
      </w:r>
      <w:bookmarkEnd w:id="50"/>
    </w:p>
    <w:p w14:paraId="4136761A">
      <w:pPr>
        <w:tabs>
          <w:tab w:val="left" w:pos="0"/>
        </w:tabs>
        <w:adjustRightInd w:val="0"/>
        <w:snapToGrid w:val="0"/>
        <w:spacing w:line="360" w:lineRule="auto"/>
        <w:ind w:firstLine="600" w:firstLineChars="250"/>
        <w:jc w:val="left"/>
        <w:rPr>
          <w:rFonts w:ascii="宋体" w:hAnsi="宋体" w:cs="宋体"/>
          <w:color w:val="auto"/>
          <w:sz w:val="24"/>
          <w:szCs w:val="28"/>
        </w:rPr>
      </w:pPr>
      <w:r>
        <w:rPr>
          <w:rFonts w:hint="eastAsia" w:ascii="宋体" w:hAnsi="宋体" w:cs="宋体"/>
          <w:color w:val="auto"/>
          <w:sz w:val="24"/>
          <w:szCs w:val="28"/>
        </w:rPr>
        <w:t>供应商应认真阅读和充分理解竞争性磋商文件中所有的事项、格式条款和规范要求。供应商没有对竞争性磋商文件全面</w:t>
      </w:r>
      <w:r>
        <w:rPr>
          <w:rFonts w:hint="eastAsia" w:ascii="宋体" w:hAnsi="宋体" w:cs="宋体"/>
          <w:color w:val="auto"/>
          <w:sz w:val="24"/>
          <w:szCs w:val="28"/>
          <w:lang w:eastAsia="zh-CN"/>
        </w:rPr>
        <w:t>作出</w:t>
      </w:r>
      <w:r>
        <w:rPr>
          <w:rFonts w:hint="eastAsia" w:ascii="宋体" w:hAnsi="宋体" w:cs="宋体"/>
          <w:color w:val="auto"/>
          <w:sz w:val="24"/>
          <w:szCs w:val="28"/>
        </w:rPr>
        <w:t>实质性响应是供应商的风险。没有按照竞争性磋商文件要求作出实质性响应的响应文件应作无效文件处理。</w:t>
      </w:r>
    </w:p>
    <w:p w14:paraId="4B1CE1C3">
      <w:pPr>
        <w:pStyle w:val="4"/>
        <w:numPr>
          <w:ilvl w:val="0"/>
          <w:numId w:val="0"/>
        </w:numPr>
        <w:spacing w:line="360" w:lineRule="auto"/>
        <w:ind w:firstLine="482" w:firstLineChars="200"/>
        <w:rPr>
          <w:rFonts w:ascii="宋体" w:hAnsi="宋体" w:cs="宋体"/>
          <w:color w:val="auto"/>
          <w:sz w:val="24"/>
          <w:szCs w:val="28"/>
        </w:rPr>
      </w:pPr>
      <w:bookmarkStart w:id="51" w:name="_Toc536202292"/>
      <w:r>
        <w:rPr>
          <w:rFonts w:hint="eastAsia" w:ascii="宋体" w:hAnsi="宋体" w:cs="宋体"/>
          <w:color w:val="auto"/>
          <w:sz w:val="24"/>
          <w:szCs w:val="28"/>
          <w:lang w:val="en-US" w:eastAsia="zh-CN"/>
        </w:rPr>
        <w:t>3.</w:t>
      </w:r>
      <w:r>
        <w:rPr>
          <w:rFonts w:hint="eastAsia" w:ascii="宋体" w:hAnsi="宋体" w:cs="宋体"/>
          <w:color w:val="auto"/>
          <w:sz w:val="24"/>
          <w:szCs w:val="28"/>
        </w:rPr>
        <w:t>现场踏勘及磋商文件答疑</w:t>
      </w:r>
      <w:bookmarkEnd w:id="51"/>
    </w:p>
    <w:p w14:paraId="64302FDB">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5B44F840">
      <w:pPr>
        <w:pStyle w:val="4"/>
        <w:numPr>
          <w:ilvl w:val="0"/>
          <w:numId w:val="0"/>
        </w:numPr>
        <w:spacing w:line="360" w:lineRule="auto"/>
        <w:ind w:firstLine="482" w:firstLineChars="200"/>
        <w:rPr>
          <w:rFonts w:ascii="宋体" w:hAnsi="宋体" w:cs="宋体"/>
          <w:color w:val="auto"/>
          <w:sz w:val="24"/>
          <w:szCs w:val="28"/>
        </w:rPr>
      </w:pPr>
      <w:bookmarkStart w:id="52" w:name="_Toc19797"/>
      <w:bookmarkStart w:id="53" w:name="_Toc536202293"/>
      <w:r>
        <w:rPr>
          <w:rFonts w:hint="eastAsia" w:ascii="宋体" w:hAnsi="宋体" w:cs="宋体"/>
          <w:color w:val="auto"/>
          <w:sz w:val="24"/>
          <w:szCs w:val="28"/>
          <w:lang w:val="en-US" w:eastAsia="zh-CN"/>
        </w:rPr>
        <w:t>4.</w:t>
      </w:r>
      <w:r>
        <w:rPr>
          <w:rFonts w:hint="eastAsia" w:ascii="宋体" w:hAnsi="宋体" w:cs="宋体"/>
          <w:color w:val="auto"/>
          <w:sz w:val="24"/>
          <w:szCs w:val="28"/>
        </w:rPr>
        <w:t>竞争性磋商文件的澄清</w:t>
      </w:r>
      <w:bookmarkEnd w:id="52"/>
      <w:bookmarkEnd w:id="53"/>
    </w:p>
    <w:p w14:paraId="73D159C7">
      <w:pPr>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color w:val="auto"/>
          <w:sz w:val="24"/>
          <w:szCs w:val="28"/>
          <w:lang w:eastAsia="zh-CN"/>
        </w:rPr>
        <w:t>或</w:t>
      </w:r>
      <w:r>
        <w:rPr>
          <w:rFonts w:hint="eastAsia" w:ascii="宋体" w:hAnsi="宋体" w:cs="宋体"/>
          <w:color w:val="auto"/>
          <w:sz w:val="24"/>
          <w:szCs w:val="28"/>
        </w:rPr>
        <w:t>因市场行情了解不清造成的后果和风险均由供应商自负。</w:t>
      </w:r>
    </w:p>
    <w:p w14:paraId="795398FC">
      <w:pPr>
        <w:tabs>
          <w:tab w:val="left" w:pos="0"/>
        </w:tabs>
        <w:adjustRightInd w:val="0"/>
        <w:snapToGrid w:val="0"/>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4.2响应人若对磋商文件有任何疑问要求澄清，或认为有必要与采购人进行技术交流的，响应人在收到采购文件之日或者采购文件公告期限届满之日</w:t>
      </w:r>
      <w:r>
        <w:rPr>
          <w:rFonts w:hint="eastAsia" w:ascii="宋体" w:hAnsi="宋体" w:cs="宋体"/>
          <w:color w:val="auto"/>
          <w:sz w:val="24"/>
          <w:szCs w:val="24"/>
        </w:rPr>
        <w:t>七个工作日内</w:t>
      </w:r>
      <w:r>
        <w:rPr>
          <w:rFonts w:hint="eastAsia" w:ascii="宋体" w:hAnsi="宋体" w:cs="宋体"/>
          <w:color w:val="auto"/>
          <w:sz w:val="24"/>
          <w:szCs w:val="28"/>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2BCC360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4.3对于在规定时间内收到的投标人依法提出的询问或者质疑，采购代理机构将按程序及时</w:t>
      </w:r>
      <w:r>
        <w:rPr>
          <w:rFonts w:hint="eastAsia" w:ascii="宋体" w:hAnsi="宋体" w:cs="宋体"/>
          <w:color w:val="auto"/>
          <w:sz w:val="24"/>
          <w:szCs w:val="24"/>
          <w:lang w:eastAsia="zh-CN"/>
        </w:rPr>
        <w:t>作出</w:t>
      </w:r>
      <w:r>
        <w:rPr>
          <w:rFonts w:hint="eastAsia" w:ascii="宋体" w:hAnsi="宋体" w:cs="宋体"/>
          <w:color w:val="auto"/>
          <w:sz w:val="24"/>
          <w:szCs w:val="24"/>
        </w:rPr>
        <w:t>答复，若对</w:t>
      </w:r>
      <w:r>
        <w:rPr>
          <w:rFonts w:hint="eastAsia" w:ascii="宋体" w:hAnsi="宋体" w:cs="宋体"/>
          <w:color w:val="auto"/>
          <w:sz w:val="24"/>
          <w:szCs w:val="24"/>
          <w:lang w:eastAsia="zh-CN"/>
        </w:rPr>
        <w:t>磋商文件</w:t>
      </w:r>
      <w:r>
        <w:rPr>
          <w:rFonts w:hint="eastAsia" w:ascii="宋体" w:hAnsi="宋体" w:cs="宋体"/>
          <w:color w:val="auto"/>
          <w:sz w:val="24"/>
          <w:szCs w:val="24"/>
        </w:rPr>
        <w:t>做出实质性变动，则按照相关规定延长投标截止时间。</w:t>
      </w:r>
    </w:p>
    <w:p w14:paraId="00159879">
      <w:pPr>
        <w:pStyle w:val="8"/>
        <w:spacing w:line="360" w:lineRule="auto"/>
        <w:rPr>
          <w:rFonts w:ascii="宋体" w:hAnsi="宋体" w:cs="宋体"/>
          <w:color w:val="auto"/>
        </w:rPr>
      </w:pPr>
      <w:r>
        <w:rPr>
          <w:rFonts w:hint="eastAsia" w:ascii="宋体" w:hAnsi="宋体" w:cs="宋体"/>
          <w:color w:val="auto"/>
          <w:sz w:val="24"/>
          <w:szCs w:val="24"/>
        </w:rPr>
        <w:t>4.4投标人提出质疑应当有明确的请求和必要的证明材料。</w:t>
      </w:r>
    </w:p>
    <w:p w14:paraId="4D578D00">
      <w:pPr>
        <w:pStyle w:val="4"/>
        <w:numPr>
          <w:ilvl w:val="0"/>
          <w:numId w:val="0"/>
        </w:numPr>
        <w:spacing w:line="360" w:lineRule="auto"/>
        <w:ind w:firstLine="482" w:firstLineChars="200"/>
        <w:rPr>
          <w:rFonts w:ascii="宋体" w:hAnsi="宋体" w:cs="宋体"/>
          <w:color w:val="auto"/>
          <w:sz w:val="24"/>
          <w:szCs w:val="28"/>
        </w:rPr>
      </w:pPr>
      <w:bookmarkStart w:id="54" w:name="_Toc536202294"/>
      <w:bookmarkStart w:id="55" w:name="_Toc6390"/>
      <w:r>
        <w:rPr>
          <w:rFonts w:hint="eastAsia" w:ascii="宋体" w:hAnsi="宋体" w:cs="宋体"/>
          <w:color w:val="auto"/>
          <w:sz w:val="24"/>
          <w:szCs w:val="28"/>
          <w:lang w:val="en-US" w:eastAsia="zh-CN"/>
        </w:rPr>
        <w:t>5.</w:t>
      </w:r>
      <w:r>
        <w:rPr>
          <w:rFonts w:hint="eastAsia" w:ascii="宋体" w:hAnsi="宋体" w:cs="宋体"/>
          <w:color w:val="auto"/>
          <w:sz w:val="24"/>
          <w:szCs w:val="28"/>
        </w:rPr>
        <w:t>竞争性磋商文件的修改</w:t>
      </w:r>
      <w:bookmarkEnd w:id="54"/>
      <w:bookmarkEnd w:id="55"/>
    </w:p>
    <w:p w14:paraId="389109A9">
      <w:pPr>
        <w:overflowPunct w:val="0"/>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8"/>
        </w:rPr>
        <w:t>5.1 在磋商截止时间五日前，无论出于何种原因，代理机构可主动或在解答供应商提出的澄清问题时，对竞争性磋商文件进行修改，</w:t>
      </w:r>
      <w:r>
        <w:rPr>
          <w:rFonts w:hint="eastAsia" w:ascii="宋体" w:hAnsi="宋体" w:cs="宋体"/>
          <w:color w:val="auto"/>
          <w:sz w:val="24"/>
          <w:szCs w:val="24"/>
        </w:rPr>
        <w:t>不足5日的，顺延提交响应文件的截止时间</w:t>
      </w:r>
      <w:r>
        <w:rPr>
          <w:rFonts w:hint="eastAsia" w:ascii="宋体" w:hAnsi="宋体" w:cs="宋体"/>
          <w:color w:val="auto"/>
          <w:sz w:val="24"/>
          <w:szCs w:val="28"/>
        </w:rPr>
        <w:t>，并</w:t>
      </w:r>
      <w:r>
        <w:rPr>
          <w:rFonts w:hint="eastAsia" w:ascii="宋体" w:hAnsi="宋体" w:cs="宋体"/>
          <w:color w:val="auto"/>
          <w:sz w:val="24"/>
          <w:szCs w:val="24"/>
        </w:rPr>
        <w:t>在发布磋商公告的媒体上发布变更公告，并以书面形式通知所有</w:t>
      </w:r>
      <w:r>
        <w:rPr>
          <w:rFonts w:hint="eastAsia" w:ascii="宋体" w:hAnsi="宋体" w:cs="宋体"/>
          <w:color w:val="auto"/>
          <w:sz w:val="24"/>
          <w:szCs w:val="24"/>
          <w:lang w:val="en-US" w:eastAsia="zh-CN"/>
        </w:rPr>
        <w:t>获取</w:t>
      </w:r>
      <w:r>
        <w:rPr>
          <w:rFonts w:hint="eastAsia" w:ascii="宋体" w:hAnsi="宋体" w:cs="宋体"/>
          <w:color w:val="auto"/>
          <w:sz w:val="24"/>
          <w:szCs w:val="24"/>
        </w:rPr>
        <w:t>磋商文件的单位。该澄清或者修改的内容为</w:t>
      </w:r>
      <w:r>
        <w:rPr>
          <w:rFonts w:hint="eastAsia" w:ascii="宋体" w:hAnsi="宋体" w:cs="宋体"/>
          <w:color w:val="auto"/>
          <w:sz w:val="24"/>
          <w:szCs w:val="24"/>
          <w:lang w:eastAsia="zh-CN"/>
        </w:rPr>
        <w:t>磋商文件</w:t>
      </w:r>
      <w:r>
        <w:rPr>
          <w:rFonts w:hint="eastAsia" w:ascii="宋体" w:hAnsi="宋体" w:cs="宋体"/>
          <w:color w:val="auto"/>
          <w:sz w:val="24"/>
          <w:szCs w:val="24"/>
        </w:rPr>
        <w:t>的组成部分。</w:t>
      </w:r>
    </w:p>
    <w:p w14:paraId="24B6A2B8">
      <w:pPr>
        <w:overflowPunct w:val="0"/>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5.2</w:t>
      </w:r>
      <w:r>
        <w:rPr>
          <w:rFonts w:hint="eastAsia" w:ascii="宋体" w:hAnsi="宋体" w:cs="宋体"/>
          <w:color w:val="auto"/>
          <w:sz w:val="24"/>
          <w:szCs w:val="24"/>
          <w:lang w:eastAsia="zh-CN"/>
        </w:rPr>
        <w:t>磋商文件</w:t>
      </w:r>
      <w:r>
        <w:rPr>
          <w:rFonts w:hint="eastAsia" w:ascii="宋体" w:hAnsi="宋体" w:cs="宋体"/>
          <w:color w:val="auto"/>
          <w:sz w:val="24"/>
          <w:szCs w:val="24"/>
        </w:rPr>
        <w:t>的修改书将构成</w:t>
      </w:r>
      <w:r>
        <w:rPr>
          <w:rFonts w:hint="eastAsia" w:ascii="宋体" w:hAnsi="宋体" w:cs="宋体"/>
          <w:color w:val="auto"/>
          <w:sz w:val="24"/>
          <w:szCs w:val="24"/>
          <w:lang w:eastAsia="zh-CN"/>
        </w:rPr>
        <w:t>磋商文件</w:t>
      </w:r>
      <w:r>
        <w:rPr>
          <w:rFonts w:hint="eastAsia" w:ascii="宋体" w:hAnsi="宋体" w:cs="宋体"/>
          <w:color w:val="auto"/>
          <w:sz w:val="24"/>
          <w:szCs w:val="24"/>
        </w:rPr>
        <w:t>的一部分，对采购人和投标人都具有约束力。</w:t>
      </w:r>
    </w:p>
    <w:p w14:paraId="57B2E5BC">
      <w:pPr>
        <w:spacing w:line="360" w:lineRule="auto"/>
        <w:ind w:firstLine="480" w:firstLineChars="200"/>
        <w:rPr>
          <w:rFonts w:ascii="宋体" w:hAnsi="宋体" w:cs="宋体"/>
          <w:color w:val="auto"/>
          <w:sz w:val="24"/>
          <w:szCs w:val="28"/>
        </w:rPr>
      </w:pPr>
      <w:r>
        <w:rPr>
          <w:rFonts w:hint="eastAsia" w:ascii="宋体" w:hAnsi="宋体" w:cs="宋体"/>
          <w:color w:val="auto"/>
          <w:sz w:val="24"/>
          <w:szCs w:val="24"/>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auto"/>
          <w:sz w:val="24"/>
          <w:szCs w:val="24"/>
          <w:lang w:val="en-US" w:eastAsia="zh-CN"/>
        </w:rPr>
        <w:t>获取</w:t>
      </w:r>
      <w:r>
        <w:rPr>
          <w:rFonts w:hint="eastAsia" w:ascii="宋体" w:hAnsi="宋体" w:cs="宋体"/>
          <w:color w:val="auto"/>
          <w:sz w:val="24"/>
          <w:szCs w:val="24"/>
        </w:rPr>
        <w:t>磋商文件的单位。</w:t>
      </w:r>
    </w:p>
    <w:p w14:paraId="0E2EE9F3">
      <w:pPr>
        <w:pStyle w:val="4"/>
        <w:numPr>
          <w:ilvl w:val="0"/>
          <w:numId w:val="0"/>
        </w:numPr>
        <w:spacing w:line="360" w:lineRule="auto"/>
        <w:ind w:firstLine="482" w:firstLineChars="200"/>
        <w:rPr>
          <w:rFonts w:ascii="宋体" w:hAnsi="宋体" w:cs="宋体"/>
          <w:color w:val="auto"/>
          <w:sz w:val="24"/>
          <w:szCs w:val="28"/>
        </w:rPr>
      </w:pPr>
      <w:bookmarkStart w:id="56" w:name="_Toc536202295"/>
      <w:bookmarkStart w:id="57" w:name="_Toc31188"/>
      <w:r>
        <w:rPr>
          <w:rFonts w:hint="eastAsia" w:ascii="宋体" w:hAnsi="宋体" w:cs="宋体"/>
          <w:color w:val="auto"/>
          <w:sz w:val="24"/>
          <w:szCs w:val="28"/>
          <w:lang w:val="en-US" w:eastAsia="zh-CN"/>
        </w:rPr>
        <w:t>6.</w:t>
      </w:r>
      <w:r>
        <w:rPr>
          <w:rFonts w:hint="eastAsia" w:ascii="宋体" w:hAnsi="宋体" w:cs="宋体"/>
          <w:color w:val="auto"/>
          <w:sz w:val="24"/>
          <w:szCs w:val="28"/>
        </w:rPr>
        <w:t>质疑</w:t>
      </w:r>
    </w:p>
    <w:p w14:paraId="69C3CBF0">
      <w:pPr>
        <w:pStyle w:val="4"/>
        <w:spacing w:line="360" w:lineRule="auto"/>
        <w:ind w:firstLine="480" w:firstLineChars="200"/>
        <w:rPr>
          <w:rFonts w:ascii="宋体" w:hAnsi="宋体" w:cs="宋体"/>
          <w:b w:val="0"/>
          <w:color w:val="auto"/>
          <w:sz w:val="24"/>
          <w:szCs w:val="28"/>
        </w:rPr>
      </w:pPr>
      <w:r>
        <w:rPr>
          <w:rFonts w:hint="eastAsia" w:ascii="宋体" w:hAnsi="宋体" w:cs="宋体"/>
          <w:b w:val="0"/>
          <w:color w:val="auto"/>
          <w:sz w:val="24"/>
          <w:szCs w:val="28"/>
        </w:rPr>
        <w:t>供应商认为磋商文件、招标过程和中标结果使自己的权益受到损害的，可以按《政府采购法》第</w:t>
      </w:r>
      <w:r>
        <w:rPr>
          <w:rFonts w:hint="eastAsia" w:ascii="宋体" w:hAnsi="宋体" w:cs="宋体"/>
          <w:b w:val="0"/>
          <w:color w:val="auto"/>
          <w:sz w:val="24"/>
          <w:szCs w:val="28"/>
          <w:lang w:val="en-US" w:eastAsia="zh-CN"/>
        </w:rPr>
        <w:t>五十二</w:t>
      </w:r>
      <w:r>
        <w:rPr>
          <w:rFonts w:hint="eastAsia" w:ascii="宋体" w:hAnsi="宋体" w:cs="宋体"/>
          <w:b w:val="0"/>
          <w:color w:val="auto"/>
          <w:sz w:val="24"/>
          <w:szCs w:val="28"/>
        </w:rPr>
        <w:t>条执行。</w:t>
      </w:r>
    </w:p>
    <w:p w14:paraId="43B24E2C">
      <w:pPr>
        <w:pStyle w:val="4"/>
        <w:numPr>
          <w:ilvl w:val="0"/>
          <w:numId w:val="0"/>
        </w:numPr>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val="en-US" w:eastAsia="zh-CN"/>
        </w:rPr>
        <w:t>7.</w:t>
      </w:r>
      <w:r>
        <w:rPr>
          <w:rFonts w:hint="eastAsia" w:ascii="宋体" w:hAnsi="宋体" w:cs="宋体"/>
          <w:color w:val="auto"/>
          <w:sz w:val="24"/>
          <w:szCs w:val="28"/>
        </w:rPr>
        <w:t>竞争性磋商文件的获取</w:t>
      </w:r>
      <w:bookmarkEnd w:id="56"/>
      <w:bookmarkEnd w:id="57"/>
    </w:p>
    <w:p w14:paraId="1997D409">
      <w:pPr>
        <w:widowControl/>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供应商必须从代理机构</w:t>
      </w:r>
      <w:r>
        <w:rPr>
          <w:rFonts w:hint="eastAsia" w:ascii="宋体" w:hAnsi="宋体" w:cs="宋体"/>
          <w:color w:val="auto"/>
          <w:sz w:val="24"/>
          <w:szCs w:val="28"/>
          <w:lang w:val="en-US" w:eastAsia="zh-CN"/>
        </w:rPr>
        <w:t>获取</w:t>
      </w:r>
      <w:r>
        <w:rPr>
          <w:rFonts w:hint="eastAsia" w:ascii="宋体" w:hAnsi="宋体" w:cs="宋体"/>
          <w:color w:val="auto"/>
          <w:sz w:val="24"/>
          <w:szCs w:val="28"/>
        </w:rPr>
        <w:t>竞争性磋商文件，供应商自行转让或复制竞争性磋商文件视为无效。</w:t>
      </w:r>
      <w:r>
        <w:rPr>
          <w:rFonts w:hint="eastAsia" w:ascii="宋体" w:hAnsi="宋体" w:cs="宋体"/>
          <w:color w:val="auto"/>
          <w:sz w:val="24"/>
          <w:szCs w:val="28"/>
          <w:lang w:val="en-US" w:eastAsia="zh-CN"/>
        </w:rPr>
        <w:t>本</w:t>
      </w:r>
      <w:r>
        <w:rPr>
          <w:rFonts w:hint="eastAsia" w:ascii="宋体" w:hAnsi="宋体" w:cs="宋体"/>
          <w:color w:val="auto"/>
          <w:sz w:val="24"/>
          <w:szCs w:val="28"/>
        </w:rPr>
        <w:t>竞争性磋商文件仅作为本次竞争性磋商使用。</w:t>
      </w:r>
    </w:p>
    <w:p w14:paraId="4F80A956">
      <w:pPr>
        <w:pStyle w:val="8"/>
        <w:spacing w:line="360" w:lineRule="auto"/>
        <w:ind w:firstLine="482" w:firstLineChars="200"/>
        <w:jc w:val="left"/>
        <w:rPr>
          <w:rFonts w:ascii="宋体" w:hAnsi="宋体" w:cs="宋体"/>
          <w:color w:val="auto"/>
          <w:sz w:val="24"/>
          <w:szCs w:val="28"/>
        </w:rPr>
      </w:pPr>
      <w:bookmarkStart w:id="58" w:name="_Toc536202296"/>
      <w:bookmarkStart w:id="59" w:name="_Toc5095"/>
      <w:r>
        <w:rPr>
          <w:rFonts w:hint="eastAsia" w:ascii="宋体" w:hAnsi="宋体" w:cs="宋体"/>
          <w:b/>
          <w:bCs/>
          <w:color w:val="auto"/>
          <w:sz w:val="24"/>
          <w:szCs w:val="28"/>
          <w:lang w:eastAsia="zh-CN"/>
        </w:rPr>
        <w:t>8.</w:t>
      </w:r>
      <w:r>
        <w:rPr>
          <w:rFonts w:hint="eastAsia" w:ascii="宋体" w:hAnsi="宋体" w:cs="宋体"/>
          <w:b/>
          <w:bCs/>
          <w:color w:val="auto"/>
          <w:sz w:val="24"/>
          <w:szCs w:val="28"/>
        </w:rPr>
        <w:t>竞争性磋商文件的解释权归代理机构</w:t>
      </w:r>
      <w:bookmarkEnd w:id="58"/>
      <w:bookmarkEnd w:id="59"/>
      <w:r>
        <w:rPr>
          <w:rFonts w:hint="eastAsia" w:ascii="宋体" w:hAnsi="宋体" w:cs="宋体"/>
          <w:color w:val="auto"/>
          <w:sz w:val="24"/>
          <w:szCs w:val="28"/>
        </w:rPr>
        <w:t>（如发现磋商文件内容与现行法律法规不相符的情况，以现行法律法规为准。</w:t>
      </w:r>
      <w:r>
        <w:rPr>
          <w:rFonts w:hint="eastAsia" w:ascii="宋体" w:hAnsi="宋体" w:cs="宋体"/>
          <w:color w:val="auto"/>
          <w:sz w:val="24"/>
          <w:szCs w:val="28"/>
          <w:lang w:eastAsia="zh-CN"/>
        </w:rPr>
        <w:t>）</w:t>
      </w:r>
    </w:p>
    <w:p w14:paraId="3EC7DCF8">
      <w:pPr>
        <w:widowControl/>
        <w:numPr>
          <w:ilvl w:val="0"/>
          <w:numId w:val="2"/>
        </w:numPr>
        <w:spacing w:line="360" w:lineRule="auto"/>
        <w:ind w:firstLine="562" w:firstLineChars="200"/>
        <w:jc w:val="center"/>
        <w:outlineLvl w:val="1"/>
        <w:rPr>
          <w:rFonts w:ascii="宋体" w:hAnsi="宋体"/>
          <w:b w:val="0"/>
          <w:bCs w:val="0"/>
          <w:color w:val="auto"/>
          <w:sz w:val="24"/>
          <w:szCs w:val="21"/>
        </w:rPr>
      </w:pPr>
      <w:bookmarkStart w:id="60" w:name="_Toc536429374"/>
      <w:bookmarkStart w:id="61" w:name="_Toc536202381"/>
      <w:bookmarkStart w:id="62" w:name="_Toc622"/>
      <w:bookmarkStart w:id="63" w:name="_Toc536202297"/>
      <w:bookmarkStart w:id="64" w:name="_Toc19543338"/>
      <w:bookmarkStart w:id="65" w:name="_Toc536429321"/>
      <w:r>
        <w:rPr>
          <w:rFonts w:hint="eastAsia" w:ascii="宋体" w:hAnsi="宋体" w:cs="宋体"/>
          <w:b/>
          <w:bCs/>
          <w:color w:val="auto"/>
          <w:kern w:val="0"/>
          <w:sz w:val="28"/>
          <w:szCs w:val="32"/>
        </w:rPr>
        <w:t>响应文件</w:t>
      </w:r>
      <w:bookmarkEnd w:id="60"/>
      <w:bookmarkEnd w:id="61"/>
      <w:bookmarkEnd w:id="62"/>
      <w:bookmarkEnd w:id="63"/>
      <w:bookmarkEnd w:id="64"/>
      <w:bookmarkEnd w:id="65"/>
    </w:p>
    <w:p w14:paraId="51614F27">
      <w:pPr>
        <w:widowControl/>
        <w:numPr>
          <w:ilvl w:val="0"/>
          <w:numId w:val="0"/>
        </w:numPr>
        <w:spacing w:line="360" w:lineRule="auto"/>
        <w:ind w:firstLine="480" w:firstLineChars="200"/>
        <w:jc w:val="both"/>
        <w:outlineLvl w:val="1"/>
        <w:rPr>
          <w:rFonts w:hint="eastAsia" w:ascii="宋体" w:hAnsi="宋体"/>
          <w:b w:val="0"/>
          <w:bCs w:val="0"/>
          <w:color w:val="auto"/>
          <w:sz w:val="24"/>
          <w:szCs w:val="21"/>
        </w:rPr>
      </w:pPr>
      <w:r>
        <w:rPr>
          <w:rFonts w:hint="eastAsia" w:ascii="宋体" w:hAnsi="宋体"/>
          <w:b w:val="0"/>
          <w:bCs w:val="0"/>
          <w:color w:val="auto"/>
          <w:sz w:val="24"/>
          <w:szCs w:val="21"/>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w:t>
      </w:r>
      <w:r>
        <w:rPr>
          <w:rFonts w:hint="eastAsia" w:ascii="宋体" w:hAnsi="宋体"/>
          <w:b w:val="0"/>
          <w:bCs w:val="0"/>
          <w:color w:val="auto"/>
          <w:sz w:val="24"/>
          <w:szCs w:val="21"/>
          <w:lang w:eastAsia="zh-CN"/>
        </w:rPr>
        <w:t>作出</w:t>
      </w:r>
      <w:r>
        <w:rPr>
          <w:rFonts w:hint="eastAsia" w:ascii="宋体" w:hAnsi="宋体"/>
          <w:b w:val="0"/>
          <w:bCs w:val="0"/>
          <w:color w:val="auto"/>
          <w:sz w:val="24"/>
          <w:szCs w:val="21"/>
        </w:rPr>
        <w:t>实质性响应，其磋商将被拒绝。</w:t>
      </w:r>
    </w:p>
    <w:p w14:paraId="550B545E">
      <w:pPr>
        <w:widowControl/>
        <w:numPr>
          <w:ilvl w:val="0"/>
          <w:numId w:val="0"/>
        </w:numPr>
        <w:spacing w:line="360" w:lineRule="auto"/>
        <w:ind w:firstLine="480" w:firstLineChars="200"/>
        <w:jc w:val="both"/>
        <w:outlineLvl w:val="1"/>
        <w:rPr>
          <w:rFonts w:ascii="宋体" w:hAnsi="宋体"/>
          <w:b w:val="0"/>
          <w:bCs w:val="0"/>
          <w:color w:val="auto"/>
          <w:sz w:val="24"/>
          <w:szCs w:val="21"/>
        </w:rPr>
      </w:pPr>
      <w:r>
        <w:rPr>
          <w:rFonts w:hint="eastAsia" w:ascii="宋体" w:hAnsi="宋体"/>
          <w:b w:val="0"/>
          <w:bCs w:val="0"/>
          <w:color w:val="auto"/>
          <w:sz w:val="24"/>
          <w:szCs w:val="21"/>
        </w:rPr>
        <w:t>投标人提交的磋商响应文件（包括产品的技术资料）以及投标人与采购代理机构就有关磋商的所有来往函电均应以中文书写。</w:t>
      </w:r>
    </w:p>
    <w:p w14:paraId="0CEF9192">
      <w:pPr>
        <w:pStyle w:val="4"/>
        <w:numPr>
          <w:ilvl w:val="0"/>
          <w:numId w:val="0"/>
        </w:numPr>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val="en-US" w:eastAsia="zh-CN"/>
        </w:rPr>
        <w:t>1.</w:t>
      </w:r>
      <w:r>
        <w:rPr>
          <w:rFonts w:hint="eastAsia" w:ascii="宋体" w:hAnsi="宋体" w:cs="宋体"/>
          <w:color w:val="auto"/>
          <w:sz w:val="24"/>
          <w:szCs w:val="28"/>
        </w:rPr>
        <w:t>响应文件构成和格式</w:t>
      </w:r>
    </w:p>
    <w:p w14:paraId="2CACEE17">
      <w:pPr>
        <w:widowControl/>
        <w:spacing w:line="360" w:lineRule="auto"/>
        <w:ind w:firstLine="480" w:firstLineChars="200"/>
        <w:outlineLvl w:val="1"/>
        <w:rPr>
          <w:rFonts w:ascii="宋体" w:hAnsi="宋体" w:cs="宋体"/>
          <w:bCs/>
          <w:color w:val="auto"/>
          <w:kern w:val="0"/>
          <w:sz w:val="24"/>
          <w:szCs w:val="24"/>
        </w:rPr>
      </w:pPr>
      <w:r>
        <w:rPr>
          <w:rFonts w:hint="eastAsia" w:ascii="宋体" w:hAnsi="宋体" w:cs="宋体"/>
          <w:bCs/>
          <w:color w:val="auto"/>
          <w:kern w:val="0"/>
          <w:sz w:val="24"/>
          <w:szCs w:val="24"/>
        </w:rPr>
        <w:t>投标人应按照本须知响应文件构成和格式及第七部分提供的格式编写投标文件，不得缺少</w:t>
      </w:r>
      <w:r>
        <w:rPr>
          <w:rFonts w:hint="eastAsia" w:ascii="宋体" w:hAnsi="宋体" w:cs="宋体"/>
          <w:bCs/>
          <w:color w:val="auto"/>
          <w:kern w:val="0"/>
          <w:sz w:val="24"/>
          <w:szCs w:val="24"/>
          <w:lang w:eastAsia="zh-CN"/>
        </w:rPr>
        <w:t>磋商文件</w:t>
      </w:r>
      <w:r>
        <w:rPr>
          <w:rFonts w:hint="eastAsia" w:ascii="宋体" w:hAnsi="宋体" w:cs="宋体"/>
          <w:bCs/>
          <w:color w:val="auto"/>
          <w:kern w:val="0"/>
          <w:sz w:val="24"/>
          <w:szCs w:val="24"/>
        </w:rPr>
        <w:t>要求填写的表格或提交的资料。</w:t>
      </w:r>
    </w:p>
    <w:p w14:paraId="65270A69">
      <w:pPr>
        <w:pStyle w:val="4"/>
        <w:numPr>
          <w:ilvl w:val="0"/>
          <w:numId w:val="0"/>
        </w:numPr>
        <w:spacing w:line="360" w:lineRule="auto"/>
        <w:ind w:firstLine="482" w:firstLineChars="200"/>
        <w:rPr>
          <w:rFonts w:ascii="宋体" w:hAnsi="宋体" w:cs="宋体"/>
          <w:color w:val="auto"/>
          <w:sz w:val="24"/>
          <w:szCs w:val="28"/>
        </w:rPr>
      </w:pPr>
      <w:bookmarkStart w:id="66" w:name="_Toc536202299"/>
      <w:r>
        <w:rPr>
          <w:rFonts w:hint="eastAsia" w:ascii="宋体" w:hAnsi="宋体" w:cs="宋体"/>
          <w:color w:val="auto"/>
          <w:sz w:val="24"/>
          <w:szCs w:val="28"/>
          <w:lang w:val="en-US" w:eastAsia="zh-CN"/>
        </w:rPr>
        <w:t>2.</w:t>
      </w:r>
      <w:r>
        <w:rPr>
          <w:rFonts w:hint="eastAsia" w:ascii="宋体" w:hAnsi="宋体" w:cs="宋体"/>
          <w:color w:val="auto"/>
          <w:sz w:val="24"/>
          <w:szCs w:val="28"/>
        </w:rPr>
        <w:t>磋商报价</w:t>
      </w:r>
      <w:bookmarkEnd w:id="66"/>
    </w:p>
    <w:p w14:paraId="2531B2A2">
      <w:pPr>
        <w:spacing w:line="360" w:lineRule="auto"/>
        <w:ind w:firstLine="480" w:firstLineChars="200"/>
        <w:rPr>
          <w:rFonts w:ascii="宋体" w:hAnsi="宋体" w:cs="宋体"/>
          <w:color w:val="auto"/>
          <w:sz w:val="28"/>
          <w:szCs w:val="22"/>
        </w:rPr>
      </w:pPr>
      <w:bookmarkStart w:id="67" w:name="_Toc29200"/>
      <w:bookmarkStart w:id="68" w:name="_Toc536202300"/>
      <w:r>
        <w:rPr>
          <w:rFonts w:hint="eastAsia" w:ascii="宋体" w:hAnsi="宋体" w:cs="宋体"/>
          <w:color w:val="auto"/>
          <w:sz w:val="24"/>
        </w:rPr>
        <w:t>（1）磋商报价为供应商充分考虑磋商文件的各项条款和所掌握的市场情况及本项目的实际情况，根据自身情况自主报价。</w:t>
      </w:r>
    </w:p>
    <w:p w14:paraId="1BD3F0A5">
      <w:pPr>
        <w:spacing w:line="360" w:lineRule="auto"/>
        <w:ind w:firstLine="480" w:firstLineChars="200"/>
        <w:rPr>
          <w:rFonts w:ascii="宋体" w:hAnsi="宋体" w:cs="宋体"/>
          <w:color w:val="auto"/>
          <w:sz w:val="24"/>
        </w:rPr>
      </w:pPr>
      <w:r>
        <w:rPr>
          <w:rFonts w:hint="eastAsia" w:ascii="宋体" w:hAnsi="宋体" w:cs="宋体"/>
          <w:color w:val="auto"/>
          <w:sz w:val="24"/>
        </w:rPr>
        <w:t>（2）供应商应在响应报价表中标明本次招标所要求的货物、服务且验收合格的所有费用。</w:t>
      </w:r>
    </w:p>
    <w:p w14:paraId="6EB1BCA9">
      <w:pPr>
        <w:spacing w:line="360" w:lineRule="auto"/>
        <w:ind w:firstLine="480" w:firstLineChars="200"/>
        <w:rPr>
          <w:rFonts w:ascii="宋体" w:hAnsi="宋体" w:cs="宋体"/>
          <w:color w:val="auto"/>
          <w:sz w:val="24"/>
        </w:rPr>
      </w:pPr>
      <w:r>
        <w:rPr>
          <w:rFonts w:hint="eastAsia" w:ascii="宋体" w:hAnsi="宋体" w:cs="宋体"/>
          <w:color w:val="auto"/>
          <w:sz w:val="24"/>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cs="宋体"/>
          <w:color w:val="auto"/>
          <w:spacing w:val="4"/>
          <w:sz w:val="24"/>
        </w:rPr>
        <w:t>供应商应考虑全部材料的风险，供应商一旦成交，采购人将不再对此部分进行调整；供应商的报价应将此差异考虑在综合单价内，</w:t>
      </w:r>
      <w:r>
        <w:rPr>
          <w:rFonts w:hint="eastAsia" w:ascii="宋体" w:hAnsi="宋体" w:cs="宋体"/>
          <w:color w:val="auto"/>
          <w:sz w:val="24"/>
          <w:szCs w:val="24"/>
        </w:rPr>
        <w:t>采购人及学院不再</w:t>
      </w:r>
      <w:r>
        <w:rPr>
          <w:rFonts w:hint="eastAsia" w:ascii="宋体" w:hAnsi="宋体" w:cs="宋体"/>
          <w:color w:val="auto"/>
          <w:sz w:val="24"/>
          <w:szCs w:val="24"/>
          <w:lang w:eastAsia="zh-CN"/>
        </w:rPr>
        <w:t>承担其他任何</w:t>
      </w:r>
      <w:r>
        <w:rPr>
          <w:rFonts w:hint="eastAsia" w:ascii="宋体" w:hAnsi="宋体" w:cs="宋体"/>
          <w:color w:val="auto"/>
          <w:sz w:val="24"/>
          <w:szCs w:val="24"/>
        </w:rPr>
        <w:t>费用</w:t>
      </w:r>
      <w:r>
        <w:rPr>
          <w:rFonts w:hint="eastAsia" w:ascii="宋体" w:hAnsi="宋体" w:cs="宋体"/>
          <w:color w:val="auto"/>
          <w:spacing w:val="4"/>
          <w:sz w:val="24"/>
        </w:rPr>
        <w:t>。</w:t>
      </w:r>
    </w:p>
    <w:p w14:paraId="1542B486">
      <w:pPr>
        <w:spacing w:line="360" w:lineRule="auto"/>
        <w:ind w:firstLine="480" w:firstLineChars="200"/>
        <w:rPr>
          <w:rFonts w:ascii="宋体" w:hAnsi="宋体" w:cs="宋体"/>
          <w:color w:val="auto"/>
          <w:sz w:val="24"/>
        </w:rPr>
      </w:pPr>
      <w:r>
        <w:rPr>
          <w:rFonts w:hint="eastAsia" w:ascii="宋体" w:hAnsi="宋体" w:cs="宋体"/>
          <w:color w:val="auto"/>
          <w:sz w:val="24"/>
        </w:rPr>
        <w:t>（4）响应报价表应有法定代表人或被授权人的签字。</w:t>
      </w:r>
    </w:p>
    <w:p w14:paraId="67A0F19D">
      <w:pPr>
        <w:pStyle w:val="4"/>
        <w:numPr>
          <w:ilvl w:val="0"/>
          <w:numId w:val="0"/>
        </w:numPr>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val="en-US" w:eastAsia="zh-CN"/>
        </w:rPr>
        <w:t>3.</w:t>
      </w:r>
      <w:r>
        <w:rPr>
          <w:rFonts w:hint="eastAsia" w:ascii="宋体" w:hAnsi="宋体" w:cs="宋体"/>
          <w:color w:val="auto"/>
          <w:sz w:val="24"/>
          <w:szCs w:val="28"/>
        </w:rPr>
        <w:t>磋商货币</w:t>
      </w:r>
      <w:bookmarkEnd w:id="67"/>
      <w:bookmarkEnd w:id="68"/>
    </w:p>
    <w:p w14:paraId="4337C9D7">
      <w:pPr>
        <w:widowControl/>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采购人只接受人民币作为唯一磋商货币。以人民币为投标货币。以元为报价单位，保留小数点后两位。</w:t>
      </w:r>
    </w:p>
    <w:p w14:paraId="60243A54">
      <w:pPr>
        <w:pStyle w:val="4"/>
        <w:numPr>
          <w:ilvl w:val="0"/>
          <w:numId w:val="0"/>
        </w:numPr>
        <w:spacing w:line="360" w:lineRule="auto"/>
        <w:ind w:firstLine="482" w:firstLineChars="200"/>
        <w:rPr>
          <w:rFonts w:ascii="宋体" w:hAnsi="宋体" w:cs="宋体"/>
          <w:color w:val="auto"/>
          <w:sz w:val="24"/>
          <w:szCs w:val="28"/>
        </w:rPr>
      </w:pPr>
      <w:bookmarkStart w:id="69" w:name="_Toc536202302"/>
      <w:r>
        <w:rPr>
          <w:rFonts w:hint="eastAsia" w:ascii="宋体" w:hAnsi="宋体" w:cs="宋体"/>
          <w:color w:val="auto"/>
          <w:sz w:val="24"/>
          <w:szCs w:val="28"/>
          <w:lang w:val="en-US" w:eastAsia="zh-CN"/>
        </w:rPr>
        <w:t>4.</w:t>
      </w:r>
      <w:r>
        <w:rPr>
          <w:rFonts w:hint="eastAsia" w:ascii="宋体" w:hAnsi="宋体" w:cs="宋体"/>
          <w:color w:val="auto"/>
          <w:sz w:val="24"/>
          <w:szCs w:val="28"/>
        </w:rPr>
        <w:t>响应有效期</w:t>
      </w:r>
      <w:bookmarkEnd w:id="69"/>
    </w:p>
    <w:p w14:paraId="4125EE8D">
      <w:pPr>
        <w:adjustRightInd w:val="0"/>
        <w:snapToGrid w:val="0"/>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13061BC8">
      <w:pPr>
        <w:pStyle w:val="4"/>
        <w:numPr>
          <w:ilvl w:val="0"/>
          <w:numId w:val="0"/>
        </w:numPr>
        <w:spacing w:line="360" w:lineRule="auto"/>
        <w:ind w:firstLine="482" w:firstLineChars="200"/>
        <w:rPr>
          <w:rFonts w:ascii="宋体" w:hAnsi="宋体" w:cs="宋体"/>
          <w:color w:val="auto"/>
          <w:sz w:val="24"/>
          <w:szCs w:val="28"/>
        </w:rPr>
      </w:pPr>
      <w:bookmarkStart w:id="70" w:name="_Toc24827"/>
      <w:bookmarkStart w:id="71" w:name="_Toc536202303"/>
      <w:r>
        <w:rPr>
          <w:rFonts w:hint="eastAsia" w:ascii="宋体" w:hAnsi="宋体" w:cs="宋体"/>
          <w:color w:val="auto"/>
          <w:sz w:val="24"/>
          <w:szCs w:val="28"/>
          <w:lang w:val="en-US" w:eastAsia="zh-CN"/>
        </w:rPr>
        <w:t>5.</w:t>
      </w:r>
      <w:r>
        <w:rPr>
          <w:rFonts w:hint="eastAsia" w:ascii="宋体" w:hAnsi="宋体" w:cs="宋体"/>
          <w:color w:val="auto"/>
          <w:sz w:val="24"/>
          <w:szCs w:val="28"/>
        </w:rPr>
        <w:t>响应文件的格式、装订、密封和签署</w:t>
      </w:r>
      <w:bookmarkEnd w:id="70"/>
      <w:bookmarkEnd w:id="71"/>
    </w:p>
    <w:p w14:paraId="5493A283">
      <w:pPr>
        <w:spacing w:line="312" w:lineRule="auto"/>
        <w:ind w:firstLine="480" w:firstLineChars="200"/>
        <w:jc w:val="left"/>
        <w:rPr>
          <w:rFonts w:ascii="宋体" w:hAnsi="宋体" w:cs="宋体"/>
          <w:color w:val="auto"/>
          <w:sz w:val="24"/>
          <w:szCs w:val="28"/>
        </w:rPr>
      </w:pPr>
      <w:r>
        <w:rPr>
          <w:rFonts w:hint="eastAsia" w:ascii="宋体" w:hAnsi="宋体" w:cs="宋体"/>
          <w:color w:val="auto"/>
          <w:sz w:val="24"/>
          <w:szCs w:val="28"/>
        </w:rPr>
        <w:t>5.1供应商须依据竞争性磋商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所有的副本可以为正本的复印件。</w:t>
      </w:r>
    </w:p>
    <w:p w14:paraId="37D4063D">
      <w:pPr>
        <w:spacing w:line="312" w:lineRule="auto"/>
        <w:ind w:firstLine="480" w:firstLineChars="200"/>
        <w:jc w:val="left"/>
        <w:rPr>
          <w:rFonts w:ascii="宋体" w:hAnsi="宋体" w:cs="宋体"/>
          <w:color w:val="auto"/>
          <w:sz w:val="24"/>
          <w:szCs w:val="28"/>
        </w:rPr>
      </w:pPr>
      <w:r>
        <w:rPr>
          <w:rFonts w:hint="eastAsia" w:ascii="宋体" w:hAnsi="宋体" w:cs="宋体"/>
          <w:color w:val="auto"/>
          <w:sz w:val="24"/>
          <w:szCs w:val="28"/>
        </w:rPr>
        <w:t>5.2响应文件的装订</w:t>
      </w:r>
    </w:p>
    <w:p w14:paraId="04205758">
      <w:pPr>
        <w:spacing w:line="360" w:lineRule="auto"/>
        <w:ind w:firstLine="480" w:firstLineChars="200"/>
        <w:jc w:val="left"/>
        <w:rPr>
          <w:rFonts w:ascii="宋体" w:hAnsi="宋体" w:cs="宋体"/>
          <w:color w:val="auto"/>
          <w:sz w:val="24"/>
          <w:szCs w:val="28"/>
          <w:highlight w:val="yellow"/>
        </w:rPr>
      </w:pPr>
      <w:r>
        <w:rPr>
          <w:rFonts w:hint="eastAsia" w:ascii="宋体" w:hAnsi="宋体" w:cs="宋体"/>
          <w:color w:val="auto"/>
          <w:kern w:val="2"/>
          <w:sz w:val="24"/>
          <w:szCs w:val="24"/>
          <w:lang w:val="en-US" w:eastAsia="zh-CN" w:bidi="ar-SA"/>
        </w:rPr>
        <w:t>资格证明文件</w:t>
      </w:r>
      <w:r>
        <w:rPr>
          <w:rFonts w:hint="eastAsia" w:ascii="宋体" w:hAnsi="宋体" w:eastAsia="宋体" w:cs="宋体"/>
          <w:color w:val="auto"/>
          <w:kern w:val="2"/>
          <w:sz w:val="24"/>
          <w:szCs w:val="24"/>
          <w:lang w:val="en-US" w:eastAsia="zh-CN" w:bidi="ar-SA"/>
        </w:rPr>
        <w:t>壹份</w:t>
      </w:r>
      <w:r>
        <w:rPr>
          <w:rFonts w:hint="eastAsia" w:ascii="宋体" w:hAnsi="宋体"/>
          <w:sz w:val="24"/>
          <w:szCs w:val="24"/>
        </w:rPr>
        <w:t>除在</w:t>
      </w:r>
      <w:r>
        <w:rPr>
          <w:rFonts w:hint="eastAsia" w:ascii="宋体" w:hAnsi="宋体"/>
          <w:kern w:val="0"/>
          <w:sz w:val="24"/>
          <w:szCs w:val="24"/>
          <w:lang w:val="en-US" w:eastAsia="zh-CN"/>
        </w:rPr>
        <w:t>响应</w:t>
      </w:r>
      <w:r>
        <w:rPr>
          <w:rFonts w:hint="eastAsia" w:ascii="宋体" w:hAnsi="宋体"/>
          <w:sz w:val="24"/>
          <w:szCs w:val="24"/>
        </w:rPr>
        <w:t>文件正副本中装订外，</w:t>
      </w:r>
      <w:r>
        <w:rPr>
          <w:rFonts w:hint="eastAsia" w:ascii="宋体" w:hAnsi="宋体"/>
          <w:sz w:val="24"/>
          <w:szCs w:val="24"/>
          <w:lang w:val="en-US" w:eastAsia="zh-CN"/>
        </w:rPr>
        <w:t>另外</w:t>
      </w:r>
      <w:r>
        <w:rPr>
          <w:rFonts w:hint="eastAsia" w:ascii="宋体" w:hAnsi="宋体"/>
          <w:sz w:val="24"/>
          <w:szCs w:val="24"/>
        </w:rPr>
        <w:t>制作一份单独封装在</w:t>
      </w:r>
      <w:r>
        <w:rPr>
          <w:rFonts w:hint="eastAsia" w:ascii="宋体" w:hAnsi="宋体"/>
          <w:sz w:val="24"/>
          <w:szCs w:val="24"/>
          <w:lang w:val="en-US" w:eastAsia="zh-CN"/>
        </w:rPr>
        <w:t>封袋</w:t>
      </w:r>
      <w:r>
        <w:rPr>
          <w:rFonts w:hint="eastAsia" w:ascii="宋体" w:hAnsi="宋体"/>
          <w:sz w:val="24"/>
          <w:szCs w:val="24"/>
        </w:rPr>
        <w:t>中，封袋正面要</w:t>
      </w:r>
      <w:r>
        <w:rPr>
          <w:rFonts w:hint="eastAsia" w:ascii="宋体" w:hAnsi="宋体" w:eastAsia="宋体" w:cs="宋体"/>
          <w:color w:val="auto"/>
          <w:kern w:val="2"/>
          <w:sz w:val="24"/>
          <w:szCs w:val="24"/>
          <w:lang w:val="en-US" w:eastAsia="zh-CN" w:bidi="ar-SA"/>
        </w:rPr>
        <w:t>标明</w:t>
      </w:r>
      <w:r>
        <w:rPr>
          <w:rFonts w:hint="eastAsia" w:ascii="宋体" w:hAnsi="宋体" w:cs="宋体"/>
          <w:color w:val="auto"/>
          <w:kern w:val="2"/>
          <w:sz w:val="24"/>
          <w:szCs w:val="24"/>
          <w:lang w:val="en-US" w:eastAsia="zh-CN" w:bidi="ar-SA"/>
        </w:rPr>
        <w:t>“资格证明文件”</w:t>
      </w:r>
      <w:r>
        <w:rPr>
          <w:rFonts w:hint="eastAsia" w:ascii="宋体" w:hAnsi="宋体"/>
          <w:sz w:val="24"/>
          <w:szCs w:val="24"/>
        </w:rPr>
        <w:t>并加盖投标人公章</w:t>
      </w:r>
      <w:r>
        <w:rPr>
          <w:rFonts w:hint="eastAsia" w:ascii="宋体" w:hAnsi="宋体"/>
          <w:sz w:val="24"/>
          <w:szCs w:val="24"/>
          <w:lang w:eastAsia="zh-CN"/>
        </w:rPr>
        <w:t>（</w:t>
      </w:r>
      <w:r>
        <w:rPr>
          <w:rFonts w:hint="eastAsia" w:ascii="宋体" w:hAnsi="宋体"/>
          <w:sz w:val="24"/>
          <w:szCs w:val="24"/>
          <w:lang w:val="en-US" w:eastAsia="zh-CN"/>
        </w:rPr>
        <w:t>鲜章</w:t>
      </w:r>
      <w:r>
        <w:rPr>
          <w:rFonts w:hint="eastAsia" w:ascii="宋体" w:hAnsi="宋体"/>
          <w:sz w:val="24"/>
          <w:szCs w:val="24"/>
          <w:lang w:eastAsia="zh-CN"/>
        </w:rPr>
        <w:t>）</w:t>
      </w:r>
      <w:r>
        <w:rPr>
          <w:rFonts w:hint="eastAsia" w:ascii="宋体" w:hAnsi="宋体"/>
          <w:sz w:val="24"/>
          <w:szCs w:val="24"/>
        </w:rPr>
        <w:t>。</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文件正本壹份、副本贰份，分别胶装装订成册，且封面须清楚地标明“正本”、“副本”；若正本和副本不符，以正本为准；同时提供与正本内容一致的电子版（电子文件内容须为签字齐全并加盖</w:t>
      </w:r>
      <w:r>
        <w:rPr>
          <w:rFonts w:hint="eastAsia" w:ascii="宋体" w:hAnsi="宋体" w:cs="宋体"/>
          <w:color w:val="auto"/>
          <w:kern w:val="0"/>
          <w:sz w:val="24"/>
          <w:szCs w:val="24"/>
          <w:lang w:val="en-US" w:eastAsia="zh-CN"/>
        </w:rPr>
        <w:t>投标</w:t>
      </w:r>
      <w:r>
        <w:rPr>
          <w:rFonts w:hint="eastAsia" w:ascii="宋体" w:hAnsi="宋体" w:eastAsia="宋体" w:cs="宋体"/>
          <w:color w:val="auto"/>
          <w:kern w:val="2"/>
          <w:sz w:val="24"/>
          <w:szCs w:val="24"/>
          <w:lang w:val="en-US" w:eastAsia="zh-CN" w:bidi="ar-SA"/>
        </w:rPr>
        <w:t>单位公章（鲜章）正本</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文件全部内容的扫描件，格式为PDF），电子版放置正本密封袋内</w:t>
      </w:r>
      <w:r>
        <w:rPr>
          <w:rFonts w:hint="eastAsia" w:ascii="宋体" w:hAnsi="宋体" w:cs="宋体"/>
          <w:color w:val="auto"/>
          <w:kern w:val="2"/>
          <w:sz w:val="24"/>
          <w:szCs w:val="24"/>
          <w:lang w:val="en-US" w:eastAsia="zh-CN" w:bidi="ar-SA"/>
        </w:rPr>
        <w:t>。</w:t>
      </w:r>
    </w:p>
    <w:p w14:paraId="3C56D603">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5.3响应文件的签署</w:t>
      </w:r>
    </w:p>
    <w:p w14:paraId="5FFEC134">
      <w:pPr>
        <w:numPr>
          <w:ilvl w:val="0"/>
          <w:numId w:val="4"/>
        </w:numPr>
        <w:spacing w:line="360" w:lineRule="auto"/>
        <w:jc w:val="left"/>
        <w:rPr>
          <w:rFonts w:ascii="宋体" w:hAnsi="宋体" w:cs="宋体"/>
          <w:color w:val="auto"/>
          <w:sz w:val="24"/>
          <w:szCs w:val="28"/>
        </w:rPr>
      </w:pPr>
      <w:r>
        <w:rPr>
          <w:rFonts w:hint="eastAsia" w:ascii="宋体" w:hAnsi="宋体" w:cs="宋体"/>
          <w:color w:val="auto"/>
          <w:sz w:val="24"/>
          <w:szCs w:val="28"/>
        </w:rPr>
        <w:t>供应商应在投标文件正副本中指定的页面落款处填写供应商全称，并按要求加盖公章及签字</w:t>
      </w:r>
      <w:r>
        <w:rPr>
          <w:rFonts w:hint="eastAsia" w:ascii="宋体" w:hAnsi="宋体" w:cs="宋体"/>
          <w:color w:val="auto"/>
          <w:sz w:val="24"/>
          <w:szCs w:val="28"/>
          <w:lang w:eastAsia="zh-CN"/>
        </w:rPr>
        <w:t>（</w:t>
      </w:r>
      <w:r>
        <w:rPr>
          <w:rFonts w:hint="eastAsia" w:ascii="宋体" w:hAnsi="宋体" w:cs="宋体"/>
          <w:color w:val="auto"/>
          <w:sz w:val="24"/>
          <w:szCs w:val="28"/>
        </w:rPr>
        <w:t>包括投标文件的封面）侧面还需加盖骑缝章。</w:t>
      </w:r>
    </w:p>
    <w:p w14:paraId="3117739E">
      <w:pPr>
        <w:numPr>
          <w:ilvl w:val="0"/>
          <w:numId w:val="4"/>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响应文件应字迹清楚、内容齐全、不得涂改或增删。如有修改和增删，必须有供应商公章及法定代表人或其授权代表签字。</w:t>
      </w:r>
    </w:p>
    <w:p w14:paraId="090050D9">
      <w:pPr>
        <w:numPr>
          <w:ilvl w:val="0"/>
          <w:numId w:val="4"/>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因响应文件字迹潦草或表达不清所引起的不利后果由供应商承担。</w:t>
      </w:r>
    </w:p>
    <w:p w14:paraId="6347A65A">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5.4响应文件的密封</w:t>
      </w:r>
    </w:p>
    <w:p w14:paraId="0FAF9CC3">
      <w:pPr>
        <w:spacing w:line="360" w:lineRule="auto"/>
        <w:ind w:firstLine="480" w:firstLineChars="200"/>
        <w:jc w:val="left"/>
        <w:rPr>
          <w:rFonts w:ascii="宋体" w:hAnsi="宋体" w:cs="宋体"/>
          <w:color w:val="auto"/>
          <w:kern w:val="0"/>
          <w:sz w:val="24"/>
          <w:szCs w:val="28"/>
        </w:rPr>
      </w:pPr>
      <w:r>
        <w:rPr>
          <w:rFonts w:hint="eastAsia" w:ascii="宋体" w:hAnsi="宋体" w:cs="宋体"/>
          <w:color w:val="auto"/>
          <w:kern w:val="2"/>
          <w:sz w:val="24"/>
          <w:szCs w:val="24"/>
          <w:lang w:val="en-US" w:eastAsia="zh-CN" w:bidi="ar-SA"/>
        </w:rPr>
        <w:t>资格证明文件</w:t>
      </w:r>
      <w:r>
        <w:rPr>
          <w:rFonts w:hint="eastAsia" w:ascii="宋体" w:hAnsi="宋体" w:eastAsia="宋体" w:cs="宋体"/>
          <w:color w:val="000000" w:themeColor="text1"/>
          <w:sz w:val="24"/>
          <w:szCs w:val="28"/>
          <w14:textFill>
            <w14:solidFill>
              <w14:schemeClr w14:val="tx1"/>
            </w14:solidFill>
          </w14:textFill>
        </w:rPr>
        <w:t>、响应文件正本、副本应分开封装在单独的封袋中（封袋不得有破损），且在封袋正面标明“正本”“副本”</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cs="宋体"/>
          <w:color w:val="auto"/>
          <w:kern w:val="2"/>
          <w:sz w:val="24"/>
          <w:szCs w:val="24"/>
          <w:lang w:val="en-US" w:eastAsia="zh-CN" w:bidi="ar-SA"/>
        </w:rPr>
        <w:t>资格证明文件</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，电子版放置“正本”密封袋内。封袋应加贴封条，并在封线处加盖供应商鲜章，封袋正面要粘贴供应商全称、项目名称、编号、标段等标识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7C722B22">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如果供应商未按上述要求密封及加写标记，误投或过早启封的响应文件，将自行承担其响应文件被视为无效响应文件的风险。</w:t>
      </w:r>
    </w:p>
    <w:p w14:paraId="6B49E153">
      <w:pPr>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5.5本次磋商只接受简体中文文字的响应文件；如响应文件中出现外文资料，必须配以中文译文。否则，由此引发的一切责任由供应商自负。</w:t>
      </w:r>
    </w:p>
    <w:p w14:paraId="78769497">
      <w:pPr>
        <w:widowControl/>
        <w:spacing w:line="360" w:lineRule="auto"/>
        <w:ind w:firstLine="480" w:firstLineChars="200"/>
        <w:rPr>
          <w:rFonts w:ascii="宋体" w:hAnsi="宋体" w:cs="宋体"/>
          <w:color w:val="auto"/>
          <w:kern w:val="0"/>
          <w:sz w:val="24"/>
          <w:szCs w:val="28"/>
        </w:rPr>
      </w:pPr>
      <w:r>
        <w:rPr>
          <w:rFonts w:hint="eastAsia" w:ascii="宋体" w:hAnsi="宋体" w:cs="宋体"/>
          <w:color w:val="auto"/>
          <w:kern w:val="0"/>
          <w:sz w:val="24"/>
          <w:szCs w:val="28"/>
        </w:rPr>
        <w:t>5.6拒绝接受以电话、传真、电子邮件形式的磋商。</w:t>
      </w:r>
    </w:p>
    <w:p w14:paraId="3A6895F5">
      <w:pPr>
        <w:widowControl/>
        <w:numPr>
          <w:ilvl w:val="0"/>
          <w:numId w:val="2"/>
        </w:numPr>
        <w:spacing w:line="360" w:lineRule="auto"/>
        <w:ind w:firstLine="562" w:firstLineChars="200"/>
        <w:jc w:val="center"/>
        <w:outlineLvl w:val="1"/>
        <w:rPr>
          <w:rFonts w:ascii="宋体" w:hAnsi="宋体" w:cs="宋体"/>
          <w:b/>
          <w:bCs/>
          <w:color w:val="auto"/>
          <w:kern w:val="0"/>
          <w:sz w:val="28"/>
          <w:szCs w:val="32"/>
        </w:rPr>
      </w:pPr>
      <w:bookmarkStart w:id="72" w:name="_Toc19543339"/>
      <w:bookmarkStart w:id="73" w:name="_Toc536429322"/>
      <w:bookmarkStart w:id="74" w:name="_Toc536429375"/>
      <w:bookmarkStart w:id="75" w:name="_Toc4747"/>
      <w:bookmarkStart w:id="76" w:name="_Toc3565"/>
      <w:bookmarkStart w:id="77" w:name="_Toc536202305"/>
      <w:bookmarkStart w:id="78" w:name="_Toc536202382"/>
      <w:bookmarkStart w:id="79" w:name="_Toc3736"/>
      <w:r>
        <w:rPr>
          <w:rFonts w:hint="eastAsia" w:ascii="宋体" w:hAnsi="宋体" w:cs="宋体"/>
          <w:b/>
          <w:bCs/>
          <w:color w:val="auto"/>
          <w:kern w:val="0"/>
          <w:sz w:val="28"/>
          <w:szCs w:val="32"/>
        </w:rPr>
        <w:t>响应文件的递交</w:t>
      </w:r>
      <w:bookmarkEnd w:id="72"/>
      <w:bookmarkEnd w:id="73"/>
      <w:bookmarkEnd w:id="74"/>
      <w:bookmarkEnd w:id="75"/>
      <w:bookmarkEnd w:id="76"/>
      <w:bookmarkEnd w:id="77"/>
      <w:bookmarkEnd w:id="78"/>
      <w:r>
        <w:rPr>
          <w:rFonts w:hint="eastAsia" w:ascii="宋体" w:hAnsi="宋体" w:cs="宋体"/>
          <w:b/>
          <w:bCs/>
          <w:color w:val="auto"/>
          <w:kern w:val="0"/>
          <w:sz w:val="28"/>
          <w:szCs w:val="32"/>
        </w:rPr>
        <w:t xml:space="preserve"> </w:t>
      </w:r>
    </w:p>
    <w:bookmarkEnd w:id="79"/>
    <w:p w14:paraId="5B26F291">
      <w:pPr>
        <w:pStyle w:val="4"/>
        <w:numPr>
          <w:ilvl w:val="0"/>
          <w:numId w:val="0"/>
        </w:numPr>
        <w:spacing w:line="360" w:lineRule="auto"/>
        <w:ind w:firstLine="482" w:firstLineChars="200"/>
        <w:rPr>
          <w:rFonts w:ascii="宋体" w:hAnsi="宋体" w:cs="宋体"/>
          <w:color w:val="auto"/>
          <w:sz w:val="24"/>
          <w:szCs w:val="28"/>
        </w:rPr>
      </w:pPr>
      <w:bookmarkStart w:id="80" w:name="_Toc536202306"/>
      <w:bookmarkStart w:id="81" w:name="_Toc3685"/>
      <w:r>
        <w:rPr>
          <w:rFonts w:hint="eastAsia" w:ascii="宋体" w:hAnsi="宋体" w:cs="宋体"/>
          <w:color w:val="auto"/>
          <w:sz w:val="24"/>
          <w:szCs w:val="28"/>
          <w:lang w:val="en-US" w:eastAsia="zh-CN"/>
        </w:rPr>
        <w:t>1.</w:t>
      </w:r>
      <w:r>
        <w:rPr>
          <w:rFonts w:hint="eastAsia" w:ascii="宋体" w:hAnsi="宋体" w:cs="宋体"/>
          <w:color w:val="auto"/>
          <w:sz w:val="24"/>
          <w:szCs w:val="28"/>
        </w:rPr>
        <w:t>响应文件递交</w:t>
      </w:r>
      <w:bookmarkEnd w:id="80"/>
      <w:bookmarkEnd w:id="81"/>
    </w:p>
    <w:p w14:paraId="4BA40816">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4E019329">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1.2代理机构在宣布递交响应文件时间截止之后，拒绝接收任何人送达、递交的响应文件及其他资料；</w:t>
      </w:r>
    </w:p>
    <w:p w14:paraId="2CE86C12">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1.3代理机构不接受邮寄的响应文件；</w:t>
      </w:r>
    </w:p>
    <w:p w14:paraId="61FE2E0E">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1.4无论供应商成交与否，其响应文件恕不退还。</w:t>
      </w:r>
    </w:p>
    <w:p w14:paraId="61BDE10B">
      <w:pPr>
        <w:pStyle w:val="4"/>
        <w:numPr>
          <w:ilvl w:val="0"/>
          <w:numId w:val="0"/>
        </w:numPr>
        <w:spacing w:line="360" w:lineRule="auto"/>
        <w:ind w:firstLine="482" w:firstLineChars="200"/>
        <w:rPr>
          <w:rFonts w:ascii="宋体" w:hAnsi="宋体" w:cs="宋体"/>
          <w:color w:val="auto"/>
          <w:sz w:val="24"/>
          <w:szCs w:val="28"/>
        </w:rPr>
      </w:pPr>
      <w:bookmarkStart w:id="82" w:name="_Toc12741"/>
      <w:bookmarkStart w:id="83" w:name="_Toc536202307"/>
      <w:r>
        <w:rPr>
          <w:rFonts w:hint="eastAsia" w:ascii="宋体" w:hAnsi="宋体" w:cs="宋体"/>
          <w:color w:val="auto"/>
          <w:sz w:val="24"/>
          <w:szCs w:val="28"/>
          <w:lang w:val="en-US" w:eastAsia="zh-CN"/>
        </w:rPr>
        <w:t>2.</w:t>
      </w:r>
      <w:r>
        <w:rPr>
          <w:rFonts w:hint="eastAsia" w:ascii="宋体" w:hAnsi="宋体" w:cs="宋体"/>
          <w:color w:val="auto"/>
          <w:sz w:val="24"/>
          <w:szCs w:val="28"/>
        </w:rPr>
        <w:t>响应文件的修改和撤回</w:t>
      </w:r>
      <w:bookmarkEnd w:id="82"/>
      <w:bookmarkEnd w:id="83"/>
    </w:p>
    <w:p w14:paraId="06EE6E3F">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2.1供应商在递交响应文件以后，在规定的投标截止时间之前</w:t>
      </w:r>
      <w:r>
        <w:rPr>
          <w:rFonts w:hint="eastAsia" w:ascii="宋体" w:hAnsi="宋体" w:cs="宋体"/>
          <w:color w:val="auto"/>
          <w:sz w:val="24"/>
          <w:szCs w:val="28"/>
          <w:lang w:eastAsia="zh-CN"/>
        </w:rPr>
        <w:t>，</w:t>
      </w:r>
      <w:r>
        <w:rPr>
          <w:rFonts w:hint="eastAsia" w:ascii="宋体" w:hAnsi="宋体" w:cs="宋体"/>
          <w:color w:val="auto"/>
          <w:sz w:val="24"/>
          <w:szCs w:val="28"/>
        </w:rPr>
        <w:t>可以书面形式补充、修改或撤回已递交的响应文件，并以书面形式通知招标代理机构。补充、修改的内容应当按磋商文件要求密封、签署、盖章，并作为响应文件的组成部分；</w:t>
      </w:r>
    </w:p>
    <w:p w14:paraId="24F49DEE">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2.2供应商提出修改和撤标要求的，须在投标截止时间前密封送到招标代理机构，并在封面上加注“修改”或“撤回”字样。招标代理机构照相留存后，将响应文件（包含纸质及电子版）退还供应商。</w:t>
      </w:r>
    </w:p>
    <w:p w14:paraId="1332FB35">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131EAE95">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2.4投标截止时间之后，供应商不得补充、修改响应文件。</w:t>
      </w:r>
    </w:p>
    <w:p w14:paraId="11E78F2B">
      <w:pPr>
        <w:widowControl/>
        <w:numPr>
          <w:ilvl w:val="0"/>
          <w:numId w:val="2"/>
        </w:numPr>
        <w:spacing w:line="360" w:lineRule="auto"/>
        <w:ind w:firstLine="562" w:firstLineChars="200"/>
        <w:jc w:val="center"/>
        <w:outlineLvl w:val="1"/>
        <w:rPr>
          <w:rFonts w:ascii="宋体" w:hAnsi="宋体" w:cs="宋体"/>
          <w:b/>
          <w:bCs/>
          <w:color w:val="auto"/>
          <w:kern w:val="0"/>
          <w:sz w:val="28"/>
          <w:szCs w:val="28"/>
        </w:rPr>
      </w:pPr>
      <w:bookmarkStart w:id="84" w:name="_Toc175"/>
      <w:bookmarkStart w:id="85" w:name="_Toc27066"/>
      <w:bookmarkStart w:id="86" w:name="_Toc536202308"/>
      <w:bookmarkStart w:id="87" w:name="_Toc536429323"/>
      <w:bookmarkStart w:id="88" w:name="_Toc19543340"/>
      <w:bookmarkStart w:id="89" w:name="_Toc14415"/>
      <w:bookmarkStart w:id="90" w:name="_Toc536429376"/>
      <w:bookmarkStart w:id="91" w:name="_Toc536202383"/>
      <w:r>
        <w:rPr>
          <w:rFonts w:hint="eastAsia" w:ascii="宋体" w:hAnsi="宋体" w:cs="宋体"/>
          <w:b/>
          <w:bCs/>
          <w:color w:val="auto"/>
          <w:kern w:val="0"/>
          <w:sz w:val="28"/>
          <w:szCs w:val="28"/>
        </w:rPr>
        <w:t>磋商、评审、定标</w:t>
      </w:r>
      <w:bookmarkEnd w:id="84"/>
      <w:bookmarkEnd w:id="85"/>
      <w:bookmarkEnd w:id="86"/>
      <w:bookmarkEnd w:id="87"/>
      <w:bookmarkEnd w:id="88"/>
      <w:bookmarkEnd w:id="89"/>
      <w:bookmarkEnd w:id="90"/>
      <w:bookmarkEnd w:id="91"/>
    </w:p>
    <w:p w14:paraId="2B93F24D">
      <w:pPr>
        <w:pStyle w:val="4"/>
        <w:numPr>
          <w:ilvl w:val="0"/>
          <w:numId w:val="0"/>
        </w:numPr>
        <w:spacing w:line="360" w:lineRule="auto"/>
        <w:ind w:firstLine="482" w:firstLineChars="200"/>
        <w:rPr>
          <w:rFonts w:ascii="宋体" w:hAnsi="宋体" w:cs="宋体"/>
          <w:color w:val="auto"/>
          <w:sz w:val="24"/>
          <w:szCs w:val="28"/>
        </w:rPr>
      </w:pPr>
      <w:bookmarkStart w:id="92" w:name="_Toc536202309"/>
      <w:r>
        <w:rPr>
          <w:rFonts w:hint="eastAsia" w:ascii="宋体" w:hAnsi="宋体" w:cs="宋体"/>
          <w:color w:val="auto"/>
          <w:sz w:val="24"/>
          <w:szCs w:val="28"/>
          <w:lang w:val="en-US" w:eastAsia="zh-CN"/>
        </w:rPr>
        <w:t>1.</w:t>
      </w:r>
      <w:r>
        <w:rPr>
          <w:rFonts w:hint="eastAsia" w:ascii="宋体" w:hAnsi="宋体" w:cs="宋体"/>
          <w:color w:val="auto"/>
          <w:sz w:val="24"/>
          <w:szCs w:val="28"/>
        </w:rPr>
        <w:t>磋商</w:t>
      </w:r>
      <w:bookmarkEnd w:id="92"/>
    </w:p>
    <w:p w14:paraId="7F50D631">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1.1采购代理机构按磋商公告中规定的时间和地点接收供应商递交的响应文件，主持磋商会议，邀请供应商代表及采购人代表参加。</w:t>
      </w:r>
      <w:r>
        <w:rPr>
          <w:rFonts w:hint="eastAsia" w:ascii="宋体" w:hAnsi="宋体" w:cs="宋体"/>
          <w:color w:val="auto"/>
          <w:sz w:val="24"/>
          <w:szCs w:val="24"/>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5E988838">
      <w:pPr>
        <w:widowControl/>
        <w:tabs>
          <w:tab w:val="left" w:pos="0"/>
        </w:tabs>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1.2磋商时，当众查验投标文件密封情况，由投标人或者其推选的代表检查投标文件的密封情况，以确认各投标人的投标文件密封情况是否与递交时一致，没有被提前启封等异常情况。</w:t>
      </w:r>
    </w:p>
    <w:p w14:paraId="0A429FF5">
      <w:pPr>
        <w:overflowPunct w:val="0"/>
        <w:adjustRightInd w:val="0"/>
        <w:snapToGrid w:val="0"/>
        <w:spacing w:line="360" w:lineRule="auto"/>
        <w:ind w:firstLine="600" w:firstLineChars="250"/>
        <w:rPr>
          <w:rFonts w:ascii="宋体" w:hAnsi="宋体" w:cs="宋体"/>
          <w:color w:val="auto"/>
          <w:sz w:val="24"/>
          <w:szCs w:val="24"/>
        </w:rPr>
      </w:pPr>
      <w:r>
        <w:rPr>
          <w:rFonts w:hint="eastAsia" w:ascii="宋体" w:hAnsi="宋体" w:cs="宋体"/>
          <w:color w:val="auto"/>
          <w:sz w:val="24"/>
          <w:szCs w:val="28"/>
        </w:rPr>
        <w:t>1.3经确认无误后，</w:t>
      </w:r>
      <w:r>
        <w:rPr>
          <w:rFonts w:hint="eastAsia" w:ascii="宋体" w:hAnsi="宋体" w:cs="宋体"/>
          <w:color w:val="auto"/>
          <w:sz w:val="24"/>
          <w:szCs w:val="24"/>
        </w:rPr>
        <w:t>对密封合格的投标文件由代理机构工作人员现场拆封开启，密封不合格的投标文件以及按照“响应文件的修改和撤回”规定，提交了可接受的“撤回”通知书的投标文件将不予拆封。</w:t>
      </w:r>
    </w:p>
    <w:p w14:paraId="0AC56282">
      <w:pPr>
        <w:spacing w:line="360" w:lineRule="auto"/>
        <w:ind w:firstLine="480" w:firstLineChars="200"/>
        <w:rPr>
          <w:rFonts w:ascii="宋体" w:hAnsi="宋体" w:cs="宋体"/>
          <w:color w:val="auto"/>
          <w:sz w:val="24"/>
          <w:szCs w:val="28"/>
        </w:rPr>
      </w:pPr>
      <w:r>
        <w:rPr>
          <w:rFonts w:hint="eastAsia" w:ascii="宋体" w:hAnsi="宋体" w:cs="宋体"/>
          <w:color w:val="auto"/>
          <w:sz w:val="24"/>
          <w:szCs w:val="24"/>
        </w:rPr>
        <w:t>1.4投标文件拆封后，宣读投标人名称</w:t>
      </w:r>
      <w:r>
        <w:rPr>
          <w:rFonts w:hint="eastAsia" w:ascii="宋体" w:hAnsi="宋体" w:cs="宋体"/>
          <w:bCs/>
          <w:color w:val="auto"/>
          <w:sz w:val="24"/>
          <w:szCs w:val="24"/>
        </w:rPr>
        <w:t>。</w:t>
      </w:r>
    </w:p>
    <w:p w14:paraId="627BE15D">
      <w:pPr>
        <w:pStyle w:val="4"/>
        <w:spacing w:line="360" w:lineRule="auto"/>
        <w:ind w:firstLine="482" w:firstLineChars="200"/>
        <w:rPr>
          <w:rFonts w:ascii="宋体" w:hAnsi="宋体" w:cs="宋体"/>
          <w:color w:val="auto"/>
          <w:sz w:val="24"/>
          <w:szCs w:val="28"/>
        </w:rPr>
      </w:pPr>
      <w:bookmarkStart w:id="93" w:name="_Toc536202310"/>
      <w:r>
        <w:rPr>
          <w:rFonts w:hint="eastAsia" w:ascii="宋体" w:hAnsi="宋体" w:cs="宋体"/>
          <w:color w:val="auto"/>
          <w:sz w:val="24"/>
          <w:szCs w:val="28"/>
          <w:lang w:eastAsia="zh-CN"/>
        </w:rPr>
        <w:t>2.</w:t>
      </w:r>
      <w:r>
        <w:rPr>
          <w:rFonts w:hint="eastAsia" w:ascii="宋体" w:hAnsi="宋体" w:cs="宋体"/>
          <w:color w:val="auto"/>
          <w:sz w:val="24"/>
          <w:szCs w:val="28"/>
        </w:rPr>
        <w:t>磋商小组</w:t>
      </w:r>
      <w:bookmarkEnd w:id="93"/>
    </w:p>
    <w:p w14:paraId="4F50F08C">
      <w:pPr>
        <w:spacing w:line="360" w:lineRule="auto"/>
        <w:ind w:firstLine="480" w:firstLineChars="200"/>
        <w:rPr>
          <w:rFonts w:ascii="宋体" w:hAnsi="宋体" w:cs="宋体"/>
          <w:color w:val="auto"/>
          <w:sz w:val="24"/>
        </w:rPr>
      </w:pPr>
      <w:bookmarkStart w:id="94" w:name="_Toc386129876"/>
      <w:bookmarkStart w:id="95" w:name="_Toc28085"/>
      <w:bookmarkStart w:id="96" w:name="_Toc27940"/>
      <w:bookmarkStart w:id="97" w:name="_Toc385958808"/>
      <w:bookmarkStart w:id="98" w:name="_Toc536202311"/>
      <w:r>
        <w:rPr>
          <w:rFonts w:hint="eastAsia" w:ascii="宋体" w:hAnsi="宋体" w:cs="宋体"/>
          <w:color w:val="auto"/>
          <w:sz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E7DC7DF">
      <w:pPr>
        <w:spacing w:line="360" w:lineRule="auto"/>
        <w:ind w:firstLine="458" w:firstLineChars="191"/>
        <w:rPr>
          <w:rFonts w:ascii="宋体" w:hAnsi="宋体" w:cs="宋体"/>
          <w:color w:val="auto"/>
          <w:sz w:val="24"/>
        </w:rPr>
      </w:pPr>
      <w:r>
        <w:rPr>
          <w:rFonts w:hint="eastAsia" w:ascii="宋体" w:hAnsi="宋体" w:cs="宋体"/>
          <w:color w:val="auto"/>
          <w:sz w:val="24"/>
        </w:rPr>
        <w:t>（1）要严格遵守政府采购相关法律制度，依法履行各自职责，公正、客观、审慎地组织和参与评审工作；</w:t>
      </w:r>
    </w:p>
    <w:p w14:paraId="588F86F7">
      <w:pPr>
        <w:tabs>
          <w:tab w:val="left" w:pos="1200"/>
        </w:tabs>
        <w:spacing w:line="360" w:lineRule="auto"/>
        <w:ind w:firstLine="480" w:firstLineChars="200"/>
        <w:rPr>
          <w:rFonts w:ascii="宋体" w:hAnsi="宋体" w:cs="宋体"/>
          <w:color w:val="auto"/>
          <w:sz w:val="24"/>
        </w:rPr>
      </w:pPr>
      <w:r>
        <w:rPr>
          <w:rFonts w:hint="eastAsia" w:ascii="宋体" w:hAnsi="宋体" w:cs="宋体"/>
          <w:color w:val="auto"/>
          <w:sz w:val="24"/>
        </w:rPr>
        <w:t>（2）对所有响应文件逐一进行资格性、符合性审查，并</w:t>
      </w:r>
      <w:r>
        <w:rPr>
          <w:rFonts w:hint="eastAsia" w:ascii="宋体" w:hAnsi="宋体" w:cs="宋体"/>
          <w:color w:val="auto"/>
          <w:sz w:val="24"/>
          <w:lang w:eastAsia="zh-CN"/>
        </w:rPr>
        <w:t>作出评价</w:t>
      </w:r>
      <w:r>
        <w:rPr>
          <w:rFonts w:hint="eastAsia" w:ascii="宋体" w:hAnsi="宋体" w:cs="宋体"/>
          <w:color w:val="auto"/>
          <w:sz w:val="24"/>
        </w:rPr>
        <w:t>；</w:t>
      </w:r>
    </w:p>
    <w:p w14:paraId="5341979C">
      <w:pPr>
        <w:tabs>
          <w:tab w:val="left" w:pos="1200"/>
        </w:tabs>
        <w:spacing w:line="360" w:lineRule="auto"/>
        <w:ind w:firstLine="458" w:firstLineChars="191"/>
        <w:rPr>
          <w:rFonts w:ascii="宋体" w:hAnsi="宋体" w:cs="宋体"/>
          <w:color w:val="auto"/>
          <w:sz w:val="24"/>
        </w:rPr>
      </w:pPr>
      <w:r>
        <w:rPr>
          <w:rFonts w:hint="eastAsia" w:ascii="宋体" w:hAnsi="宋体" w:cs="宋体"/>
          <w:color w:val="auto"/>
          <w:sz w:val="24"/>
        </w:rPr>
        <w:t>（3）按磋商文件规定的评审方法和标准，进行比较和评价；对供应商的价格分等客观评分项的评分应当一致；</w:t>
      </w:r>
    </w:p>
    <w:p w14:paraId="0C93E100">
      <w:pPr>
        <w:spacing w:line="360" w:lineRule="auto"/>
        <w:ind w:firstLine="480" w:firstLineChars="200"/>
        <w:rPr>
          <w:rFonts w:ascii="宋体" w:hAnsi="宋体" w:cs="宋体"/>
          <w:color w:val="auto"/>
          <w:sz w:val="24"/>
        </w:rPr>
      </w:pPr>
      <w:r>
        <w:rPr>
          <w:rFonts w:hint="eastAsia" w:ascii="宋体" w:hAnsi="宋体" w:cs="宋体"/>
          <w:color w:val="auto"/>
          <w:sz w:val="24"/>
        </w:rPr>
        <w:t>（4）要求供应商对响应文件有关事项作出解释或澄清；</w:t>
      </w:r>
    </w:p>
    <w:p w14:paraId="6568D296">
      <w:pPr>
        <w:spacing w:line="360" w:lineRule="auto"/>
        <w:ind w:firstLine="480" w:firstLineChars="200"/>
        <w:rPr>
          <w:rFonts w:ascii="宋体" w:hAnsi="宋体" w:cs="宋体"/>
          <w:color w:val="auto"/>
          <w:sz w:val="24"/>
        </w:rPr>
      </w:pPr>
      <w:r>
        <w:rPr>
          <w:rFonts w:hint="eastAsia" w:ascii="宋体" w:hAnsi="宋体" w:cs="宋体"/>
          <w:color w:val="auto"/>
          <w:sz w:val="24"/>
        </w:rPr>
        <w:t>（5）要依法独立评审，按照磋商文件的要求和评标标准进行评标，推荐成交候选供应商名单，对评审意见承担个人责任；</w:t>
      </w:r>
    </w:p>
    <w:p w14:paraId="1B35110D">
      <w:pPr>
        <w:spacing w:line="360" w:lineRule="auto"/>
        <w:ind w:firstLine="480" w:firstLineChars="200"/>
        <w:rPr>
          <w:rFonts w:ascii="宋体" w:hAnsi="宋体" w:cs="宋体"/>
          <w:color w:val="auto"/>
          <w:sz w:val="24"/>
        </w:rPr>
      </w:pPr>
      <w:r>
        <w:rPr>
          <w:rFonts w:hint="eastAsia" w:ascii="宋体" w:hAnsi="宋体" w:cs="宋体"/>
          <w:color w:val="auto"/>
          <w:sz w:val="24"/>
        </w:rPr>
        <w:t>（6）对需要共同认定的事项存在争议的，按照少数服从多数的原则</w:t>
      </w:r>
      <w:r>
        <w:rPr>
          <w:rFonts w:hint="eastAsia" w:ascii="宋体" w:hAnsi="宋体" w:cs="宋体"/>
          <w:color w:val="auto"/>
          <w:sz w:val="24"/>
          <w:lang w:eastAsia="zh-CN"/>
        </w:rPr>
        <w:t>作出</w:t>
      </w:r>
      <w:r>
        <w:rPr>
          <w:rFonts w:hint="eastAsia" w:ascii="宋体" w:hAnsi="宋体" w:cs="宋体"/>
          <w:color w:val="auto"/>
          <w:sz w:val="24"/>
        </w:rPr>
        <w:t xml:space="preserve">结论。持不同意见的磋商小组成员应当在评审报告上签署不同意见并说明理由，否则视为同意； </w:t>
      </w:r>
    </w:p>
    <w:p w14:paraId="651040A2">
      <w:pPr>
        <w:spacing w:line="360" w:lineRule="auto"/>
        <w:ind w:firstLine="480" w:firstLineChars="200"/>
        <w:rPr>
          <w:rFonts w:ascii="宋体" w:hAnsi="宋体" w:cs="宋体"/>
          <w:color w:val="auto"/>
          <w:sz w:val="24"/>
        </w:rPr>
      </w:pPr>
      <w:r>
        <w:rPr>
          <w:rFonts w:hint="eastAsia" w:ascii="宋体" w:hAnsi="宋体" w:cs="宋体"/>
          <w:color w:val="auto"/>
          <w:sz w:val="24"/>
        </w:rPr>
        <w:t>（7）对评审情况以及在评审过程中获悉的国家秘密、商业秘密负有保密责任；</w:t>
      </w:r>
    </w:p>
    <w:p w14:paraId="1059A56C">
      <w:pPr>
        <w:spacing w:line="360" w:lineRule="auto"/>
        <w:ind w:firstLine="480" w:firstLineChars="200"/>
        <w:rPr>
          <w:rFonts w:ascii="宋体" w:hAnsi="宋体" w:cs="宋体"/>
          <w:color w:val="auto"/>
          <w:sz w:val="24"/>
        </w:rPr>
      </w:pPr>
      <w:r>
        <w:rPr>
          <w:rFonts w:hint="eastAsia" w:ascii="宋体" w:hAnsi="宋体" w:cs="宋体"/>
          <w:color w:val="auto"/>
          <w:sz w:val="24"/>
        </w:rPr>
        <w:t>（8）配合财政部门的投诉处理工作；</w:t>
      </w:r>
    </w:p>
    <w:p w14:paraId="536DAEA8">
      <w:pPr>
        <w:spacing w:line="360" w:lineRule="auto"/>
        <w:ind w:firstLine="480" w:firstLineChars="200"/>
        <w:rPr>
          <w:rFonts w:ascii="宋体" w:hAnsi="宋体" w:cs="宋体"/>
          <w:color w:val="auto"/>
          <w:sz w:val="24"/>
        </w:rPr>
      </w:pPr>
      <w:r>
        <w:rPr>
          <w:rFonts w:hint="eastAsia" w:ascii="宋体" w:hAnsi="宋体" w:cs="宋体"/>
          <w:color w:val="auto"/>
          <w:sz w:val="24"/>
        </w:rPr>
        <w:t>（9）配合采购人、采购代理机构答复供应商提出的质疑。</w:t>
      </w:r>
    </w:p>
    <w:bookmarkEnd w:id="94"/>
    <w:bookmarkEnd w:id="95"/>
    <w:bookmarkEnd w:id="96"/>
    <w:bookmarkEnd w:id="97"/>
    <w:bookmarkEnd w:id="98"/>
    <w:p w14:paraId="25D0D947">
      <w:pPr>
        <w:spacing w:line="360" w:lineRule="auto"/>
        <w:ind w:firstLine="482" w:firstLineChars="200"/>
        <w:rPr>
          <w:rFonts w:ascii="宋体" w:hAnsi="宋体" w:cs="宋体"/>
          <w:b/>
          <w:color w:val="auto"/>
          <w:sz w:val="24"/>
        </w:rPr>
      </w:pPr>
      <w:bookmarkStart w:id="99" w:name="_Toc536202313"/>
      <w:r>
        <w:rPr>
          <w:rFonts w:hint="eastAsia" w:ascii="宋体" w:hAnsi="宋体" w:cs="宋体"/>
          <w:b/>
          <w:color w:val="auto"/>
          <w:sz w:val="24"/>
          <w:lang w:eastAsia="zh-CN"/>
        </w:rPr>
        <w:t>3.</w:t>
      </w:r>
      <w:r>
        <w:rPr>
          <w:rFonts w:hint="eastAsia" w:ascii="宋体" w:hAnsi="宋体" w:cs="宋体"/>
          <w:b/>
          <w:color w:val="auto"/>
          <w:sz w:val="24"/>
        </w:rPr>
        <w:t>响应文件的初审</w:t>
      </w:r>
    </w:p>
    <w:p w14:paraId="77403871">
      <w:pPr>
        <w:spacing w:line="360" w:lineRule="auto"/>
        <w:ind w:firstLine="360" w:firstLineChars="150"/>
        <w:rPr>
          <w:rFonts w:hint="eastAsia" w:ascii="宋体" w:hAnsi="宋体" w:cs="宋体"/>
          <w:color w:val="auto"/>
          <w:sz w:val="24"/>
        </w:rPr>
      </w:pPr>
      <w:r>
        <w:rPr>
          <w:rFonts w:hint="eastAsia" w:ascii="宋体" w:hAnsi="宋体" w:cs="宋体"/>
          <w:color w:val="auto"/>
          <w:sz w:val="24"/>
        </w:rPr>
        <w:t>（1）初审分为资格性审查和符合性审查。</w:t>
      </w:r>
    </w:p>
    <w:p w14:paraId="29DF2AE2">
      <w:pPr>
        <w:spacing w:line="360" w:lineRule="auto"/>
        <w:ind w:firstLine="360" w:firstLineChars="150"/>
        <w:rPr>
          <w:rFonts w:ascii="宋体" w:hAnsi="宋体" w:cs="宋体"/>
          <w:color w:val="auto"/>
          <w:sz w:val="24"/>
        </w:rPr>
      </w:pPr>
      <w:r>
        <w:rPr>
          <w:rFonts w:hint="eastAsia" w:ascii="宋体" w:hAnsi="宋体" w:cs="宋体"/>
          <w:color w:val="auto"/>
          <w:sz w:val="24"/>
        </w:rPr>
        <w:t>（2）资格性审查：依据磋商文件</w:t>
      </w:r>
      <w:r>
        <w:rPr>
          <w:rFonts w:hint="eastAsia" w:ascii="宋体" w:hAnsi="宋体" w:cs="宋体"/>
          <w:color w:val="000000" w:themeColor="text1"/>
          <w:sz w:val="24"/>
          <w:lang w:val="en-US" w:eastAsia="zh-CN"/>
          <w14:textFill>
            <w14:solidFill>
              <w14:schemeClr w14:val="tx1"/>
            </w14:solidFill>
          </w14:textFill>
        </w:rPr>
        <w:t>须知前附表中第9项</w:t>
      </w:r>
      <w:r>
        <w:rPr>
          <w:rFonts w:asciiTheme="minorEastAsia" w:hAnsiTheme="minorEastAsia" w:eastAsiaTheme="minorEastAsia"/>
          <w:color w:val="auto"/>
          <w:sz w:val="24"/>
          <w:szCs w:val="24"/>
        </w:rPr>
        <w:t>投标人</w:t>
      </w:r>
      <w:r>
        <w:rPr>
          <w:rFonts w:hint="eastAsia" w:asciiTheme="minorEastAsia" w:hAnsiTheme="minorEastAsia" w:eastAsiaTheme="minorEastAsia"/>
          <w:color w:val="auto"/>
          <w:sz w:val="24"/>
          <w:szCs w:val="24"/>
          <w:lang w:val="en-US" w:eastAsia="zh-CN"/>
        </w:rPr>
        <w:t>资格要求</w:t>
      </w:r>
      <w:r>
        <w:rPr>
          <w:rFonts w:hint="eastAsia" w:ascii="宋体" w:hAnsi="宋体" w:cs="宋体"/>
          <w:color w:val="auto"/>
          <w:sz w:val="24"/>
        </w:rPr>
        <w:t>，对供应商的资格证明文件进行审查，以确定供应商是否具备磋商资格。</w:t>
      </w:r>
    </w:p>
    <w:p w14:paraId="15768FE8">
      <w:pPr>
        <w:spacing w:line="360" w:lineRule="auto"/>
        <w:ind w:firstLine="360" w:firstLineChars="150"/>
        <w:rPr>
          <w:rFonts w:hint="default" w:ascii="宋体" w:hAnsi="宋体" w:eastAsia="宋体" w:cs="宋体"/>
          <w:color w:val="auto"/>
          <w:sz w:val="24"/>
          <w:lang w:val="en-US" w:eastAsia="zh-CN"/>
        </w:rPr>
      </w:pPr>
      <w:r>
        <w:rPr>
          <w:rFonts w:hint="eastAsia" w:ascii="宋体" w:hAnsi="宋体" w:cs="宋体"/>
          <w:color w:val="auto"/>
          <w:sz w:val="24"/>
        </w:rPr>
        <w:t>（3）符合性审查：依据磋商文件规定，从响应文件的有效性、完整性和对磋商文件的响应程度进行审查。</w:t>
      </w:r>
    </w:p>
    <w:tbl>
      <w:tblPr>
        <w:tblStyle w:val="3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59"/>
        <w:gridCol w:w="3770"/>
        <w:gridCol w:w="1002"/>
        <w:gridCol w:w="1497"/>
      </w:tblGrid>
      <w:tr w14:paraId="4A77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5154BA97">
            <w:pPr>
              <w:widowControl/>
              <w:spacing w:line="288" w:lineRule="auto"/>
              <w:rPr>
                <w:rFonts w:ascii="宋体" w:hAnsi="宋体" w:cs="宋体"/>
                <w:b/>
                <w:bCs/>
                <w:color w:val="auto"/>
                <w:kern w:val="0"/>
                <w:sz w:val="24"/>
                <w:szCs w:val="24"/>
              </w:rPr>
            </w:pPr>
            <w:r>
              <w:rPr>
                <w:rFonts w:hint="eastAsia" w:ascii="宋体" w:hAnsi="宋体" w:cs="宋体"/>
                <w:b/>
                <w:bCs/>
                <w:color w:val="auto"/>
                <w:kern w:val="0"/>
                <w:sz w:val="24"/>
                <w:szCs w:val="24"/>
              </w:rPr>
              <w:t>序号</w:t>
            </w:r>
          </w:p>
        </w:tc>
        <w:tc>
          <w:tcPr>
            <w:tcW w:w="235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768D456">
            <w:pPr>
              <w:widowControl/>
              <w:spacing w:line="288" w:lineRule="auto"/>
              <w:ind w:firstLine="200"/>
              <w:jc w:val="center"/>
              <w:rPr>
                <w:rFonts w:ascii="宋体" w:hAnsi="宋体" w:cs="宋体"/>
                <w:b/>
                <w:bCs/>
                <w:color w:val="auto"/>
                <w:kern w:val="0"/>
                <w:sz w:val="24"/>
                <w:szCs w:val="24"/>
              </w:rPr>
            </w:pPr>
            <w:r>
              <w:rPr>
                <w:rFonts w:hint="eastAsia" w:ascii="宋体" w:hAnsi="宋体" w:cs="宋体"/>
                <w:b/>
                <w:bCs/>
                <w:color w:val="auto"/>
                <w:kern w:val="0"/>
                <w:sz w:val="24"/>
                <w:szCs w:val="24"/>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E942FEA">
            <w:pPr>
              <w:widowControl/>
              <w:spacing w:line="288" w:lineRule="auto"/>
              <w:ind w:firstLine="200"/>
              <w:jc w:val="center"/>
              <w:rPr>
                <w:rFonts w:ascii="宋体" w:hAnsi="宋体" w:cs="宋体"/>
                <w:b/>
                <w:bCs/>
                <w:color w:val="auto"/>
                <w:kern w:val="0"/>
                <w:sz w:val="24"/>
                <w:szCs w:val="24"/>
              </w:rPr>
            </w:pPr>
            <w:r>
              <w:rPr>
                <w:rFonts w:hint="eastAsia" w:ascii="宋体" w:hAnsi="宋体" w:cs="宋体"/>
                <w:b/>
                <w:bCs/>
                <w:color w:val="auto"/>
                <w:kern w:val="0"/>
                <w:sz w:val="24"/>
                <w:szCs w:val="24"/>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6F3C725">
            <w:pPr>
              <w:widowControl/>
              <w:spacing w:line="288" w:lineRule="auto"/>
              <w:rPr>
                <w:rFonts w:ascii="宋体" w:hAnsi="宋体" w:cs="宋体"/>
                <w:b/>
                <w:bCs/>
                <w:color w:val="auto"/>
                <w:kern w:val="0"/>
                <w:sz w:val="24"/>
                <w:szCs w:val="24"/>
              </w:rPr>
            </w:pPr>
            <w:r>
              <w:rPr>
                <w:rFonts w:hint="eastAsia" w:ascii="宋体" w:hAnsi="宋体" w:cs="宋体"/>
                <w:b/>
                <w:bCs/>
                <w:color w:val="auto"/>
                <w:kern w:val="0"/>
                <w:sz w:val="24"/>
                <w:szCs w:val="24"/>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4B44E36">
            <w:pPr>
              <w:widowControl/>
              <w:spacing w:line="288" w:lineRule="auto"/>
              <w:jc w:val="center"/>
              <w:rPr>
                <w:rFonts w:ascii="宋体" w:hAnsi="宋体" w:cs="宋体"/>
                <w:b/>
                <w:bCs/>
                <w:color w:val="auto"/>
                <w:kern w:val="0"/>
                <w:sz w:val="24"/>
                <w:szCs w:val="24"/>
              </w:rPr>
            </w:pPr>
            <w:r>
              <w:rPr>
                <w:rFonts w:hint="eastAsia" w:ascii="宋体" w:hAnsi="宋体" w:cs="宋体"/>
                <w:b/>
                <w:bCs/>
                <w:color w:val="auto"/>
                <w:kern w:val="0"/>
                <w:sz w:val="24"/>
                <w:szCs w:val="24"/>
              </w:rPr>
              <w:t>未通过原因</w:t>
            </w:r>
          </w:p>
        </w:tc>
      </w:tr>
      <w:tr w14:paraId="04CB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74067A06">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1</w:t>
            </w:r>
          </w:p>
        </w:tc>
        <w:tc>
          <w:tcPr>
            <w:tcW w:w="2359" w:type="dxa"/>
            <w:tcBorders>
              <w:top w:val="single" w:color="auto" w:sz="4" w:space="0"/>
              <w:left w:val="single" w:color="auto" w:sz="4" w:space="0"/>
              <w:bottom w:val="single" w:color="auto" w:sz="4" w:space="0"/>
              <w:right w:val="single" w:color="auto" w:sz="4" w:space="0"/>
            </w:tcBorders>
          </w:tcPr>
          <w:p w14:paraId="1310EF1E">
            <w:pPr>
              <w:widowControl/>
              <w:spacing w:line="288" w:lineRule="auto"/>
              <w:ind w:firstLine="200"/>
              <w:rPr>
                <w:rFonts w:ascii="宋体" w:hAnsi="宋体" w:cs="宋体"/>
                <w:bCs/>
                <w:color w:val="auto"/>
                <w:kern w:val="0"/>
                <w:sz w:val="24"/>
                <w:szCs w:val="24"/>
              </w:rPr>
            </w:pPr>
            <w:r>
              <w:rPr>
                <w:rFonts w:hint="eastAsia" w:ascii="宋体" w:hAnsi="宋体" w:cs="宋体"/>
                <w:bCs/>
                <w:color w:val="auto"/>
                <w:kern w:val="0"/>
                <w:sz w:val="24"/>
                <w:szCs w:val="24"/>
              </w:rPr>
              <w:t>投标文件正、副本数量及装订方式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6B4F7D9D">
            <w:pPr>
              <w:widowControl/>
              <w:spacing w:line="288" w:lineRule="auto"/>
              <w:jc w:val="left"/>
              <w:rPr>
                <w:rFonts w:ascii="宋体" w:hAnsi="宋体" w:cs="宋体"/>
                <w:bCs/>
                <w:color w:val="auto"/>
                <w:kern w:val="0"/>
                <w:sz w:val="24"/>
                <w:szCs w:val="24"/>
              </w:rPr>
            </w:pPr>
            <w:r>
              <w:rPr>
                <w:rFonts w:hint="eastAsia" w:ascii="宋体" w:hAnsi="宋体" w:cs="宋体"/>
                <w:color w:val="auto"/>
                <w:sz w:val="24"/>
                <w:szCs w:val="24"/>
              </w:rPr>
              <w:t>均符合</w:t>
            </w:r>
            <w:r>
              <w:rPr>
                <w:rFonts w:hint="eastAsia" w:ascii="宋体" w:hAnsi="宋体" w:cs="宋体"/>
                <w:color w:val="auto"/>
                <w:sz w:val="24"/>
                <w:szCs w:val="24"/>
                <w:lang w:eastAsia="zh-CN"/>
              </w:rPr>
              <w:t>磋商文件</w:t>
            </w:r>
            <w:r>
              <w:rPr>
                <w:rFonts w:hint="eastAsia" w:ascii="宋体" w:hAnsi="宋体" w:cs="宋体"/>
                <w:color w:val="auto"/>
                <w:sz w:val="24"/>
                <w:szCs w:val="24"/>
              </w:rPr>
              <w:t>要求。</w:t>
            </w:r>
          </w:p>
        </w:tc>
        <w:tc>
          <w:tcPr>
            <w:tcW w:w="1002" w:type="dxa"/>
            <w:tcBorders>
              <w:top w:val="single" w:color="auto" w:sz="4" w:space="0"/>
              <w:left w:val="single" w:color="auto" w:sz="4" w:space="0"/>
              <w:bottom w:val="single" w:color="auto" w:sz="4" w:space="0"/>
              <w:right w:val="single" w:color="auto" w:sz="4" w:space="0"/>
            </w:tcBorders>
          </w:tcPr>
          <w:p w14:paraId="7A3A9AD4">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3D559784">
            <w:pPr>
              <w:widowControl/>
              <w:spacing w:line="288" w:lineRule="auto"/>
              <w:ind w:firstLine="200"/>
              <w:rPr>
                <w:rFonts w:ascii="宋体" w:hAnsi="宋体" w:cs="宋体"/>
                <w:b/>
                <w:bCs/>
                <w:color w:val="auto"/>
                <w:kern w:val="0"/>
                <w:sz w:val="24"/>
                <w:szCs w:val="24"/>
              </w:rPr>
            </w:pPr>
          </w:p>
        </w:tc>
      </w:tr>
      <w:tr w14:paraId="2C56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2DED319B">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2</w:t>
            </w:r>
          </w:p>
        </w:tc>
        <w:tc>
          <w:tcPr>
            <w:tcW w:w="2359" w:type="dxa"/>
            <w:tcBorders>
              <w:top w:val="single" w:color="auto" w:sz="4" w:space="0"/>
              <w:left w:val="single" w:color="auto" w:sz="4" w:space="0"/>
              <w:bottom w:val="single" w:color="auto" w:sz="4" w:space="0"/>
              <w:right w:val="single" w:color="auto" w:sz="4" w:space="0"/>
            </w:tcBorders>
          </w:tcPr>
          <w:p w14:paraId="5C38FE1C">
            <w:pPr>
              <w:widowControl/>
              <w:spacing w:line="288" w:lineRule="auto"/>
              <w:ind w:firstLine="200"/>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rPr>
              <w:t>投标文件封面、投标函、法定代表人委托授权书三处的项目名称、项目编号、标段</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未划分标段的除外</w:t>
            </w:r>
            <w:r>
              <w:rPr>
                <w:rFonts w:hint="eastAsia" w:ascii="宋体" w:hAnsi="宋体" w:cs="宋体"/>
                <w:bCs/>
                <w:color w:val="auto"/>
                <w:kern w:val="0"/>
                <w:sz w:val="24"/>
                <w:szCs w:val="24"/>
                <w:lang w:eastAsia="zh-CN"/>
              </w:rPr>
              <w:t>）</w:t>
            </w:r>
          </w:p>
        </w:tc>
        <w:tc>
          <w:tcPr>
            <w:tcW w:w="3770" w:type="dxa"/>
            <w:tcBorders>
              <w:top w:val="single" w:color="auto" w:sz="4" w:space="0"/>
              <w:left w:val="single" w:color="auto" w:sz="4" w:space="0"/>
              <w:bottom w:val="single" w:color="auto" w:sz="4" w:space="0"/>
              <w:right w:val="single" w:color="auto" w:sz="4" w:space="0"/>
            </w:tcBorders>
            <w:vAlign w:val="center"/>
          </w:tcPr>
          <w:p w14:paraId="6A49D873">
            <w:pPr>
              <w:widowControl/>
              <w:spacing w:line="288" w:lineRule="auto"/>
              <w:jc w:val="left"/>
              <w:rPr>
                <w:rFonts w:ascii="宋体" w:hAnsi="宋体" w:cs="宋体"/>
                <w:bCs/>
                <w:color w:val="auto"/>
                <w:kern w:val="0"/>
                <w:sz w:val="24"/>
                <w:szCs w:val="24"/>
              </w:rPr>
            </w:pPr>
            <w:r>
              <w:rPr>
                <w:rFonts w:hint="eastAsia" w:ascii="宋体" w:hAnsi="宋体" w:cs="宋体"/>
                <w:bCs/>
                <w:color w:val="auto"/>
                <w:kern w:val="0"/>
                <w:sz w:val="24"/>
                <w:szCs w:val="24"/>
              </w:rPr>
              <w:t>三处均无遗漏，且与所投项目名称、项目编号、标段完全一致。</w:t>
            </w:r>
          </w:p>
        </w:tc>
        <w:tc>
          <w:tcPr>
            <w:tcW w:w="1002" w:type="dxa"/>
            <w:tcBorders>
              <w:top w:val="single" w:color="auto" w:sz="4" w:space="0"/>
              <w:left w:val="single" w:color="auto" w:sz="4" w:space="0"/>
              <w:bottom w:val="single" w:color="auto" w:sz="4" w:space="0"/>
              <w:right w:val="single" w:color="auto" w:sz="4" w:space="0"/>
            </w:tcBorders>
          </w:tcPr>
          <w:p w14:paraId="360425B0">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15A3B662">
            <w:pPr>
              <w:widowControl/>
              <w:spacing w:line="288" w:lineRule="auto"/>
              <w:ind w:firstLine="200"/>
              <w:rPr>
                <w:rFonts w:ascii="宋体" w:hAnsi="宋体" w:cs="宋体"/>
                <w:b/>
                <w:bCs/>
                <w:color w:val="auto"/>
                <w:kern w:val="0"/>
                <w:sz w:val="24"/>
                <w:szCs w:val="24"/>
              </w:rPr>
            </w:pPr>
          </w:p>
        </w:tc>
      </w:tr>
      <w:tr w14:paraId="295D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590D3699">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3</w:t>
            </w:r>
          </w:p>
        </w:tc>
        <w:tc>
          <w:tcPr>
            <w:tcW w:w="2359" w:type="dxa"/>
            <w:tcBorders>
              <w:top w:val="single" w:color="auto" w:sz="4" w:space="0"/>
              <w:left w:val="single" w:color="auto" w:sz="4" w:space="0"/>
              <w:bottom w:val="single" w:color="auto" w:sz="4" w:space="0"/>
              <w:right w:val="single" w:color="auto" w:sz="4" w:space="0"/>
            </w:tcBorders>
            <w:vAlign w:val="center"/>
          </w:tcPr>
          <w:p w14:paraId="030FD818">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投标文件签署、盖章</w:t>
            </w:r>
          </w:p>
        </w:tc>
        <w:tc>
          <w:tcPr>
            <w:tcW w:w="3770" w:type="dxa"/>
            <w:tcBorders>
              <w:top w:val="single" w:color="auto" w:sz="4" w:space="0"/>
              <w:left w:val="single" w:color="auto" w:sz="4" w:space="0"/>
              <w:bottom w:val="single" w:color="auto" w:sz="4" w:space="0"/>
              <w:right w:val="single" w:color="auto" w:sz="4" w:space="0"/>
            </w:tcBorders>
          </w:tcPr>
          <w:p w14:paraId="4C515336">
            <w:pPr>
              <w:widowControl/>
              <w:spacing w:line="288" w:lineRule="auto"/>
              <w:jc w:val="left"/>
              <w:rPr>
                <w:rFonts w:ascii="宋体" w:hAnsi="宋体" w:cs="宋体"/>
                <w:bCs/>
                <w:color w:val="auto"/>
                <w:kern w:val="0"/>
                <w:sz w:val="24"/>
                <w:szCs w:val="24"/>
              </w:rPr>
            </w:pPr>
            <w:r>
              <w:rPr>
                <w:rFonts w:hint="eastAsia" w:ascii="宋体" w:hAnsi="宋体" w:cs="宋体"/>
                <w:color w:val="auto"/>
                <w:sz w:val="24"/>
                <w:szCs w:val="24"/>
              </w:rPr>
              <w:t>均按</w:t>
            </w:r>
            <w:r>
              <w:rPr>
                <w:rFonts w:hint="eastAsia" w:ascii="宋体" w:hAnsi="宋体" w:cs="宋体"/>
                <w:color w:val="auto"/>
                <w:sz w:val="24"/>
                <w:szCs w:val="24"/>
                <w:lang w:eastAsia="zh-CN"/>
              </w:rPr>
              <w:t>磋商文件</w:t>
            </w:r>
            <w:r>
              <w:rPr>
                <w:rFonts w:hint="eastAsia" w:ascii="宋体" w:hAnsi="宋体" w:cs="宋体"/>
                <w:color w:val="auto"/>
                <w:sz w:val="24"/>
                <w:szCs w:val="24"/>
              </w:rPr>
              <w:t>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tcPr>
          <w:p w14:paraId="05F9B8A1">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35DACE32">
            <w:pPr>
              <w:widowControl/>
              <w:spacing w:line="288" w:lineRule="auto"/>
              <w:ind w:firstLine="200"/>
              <w:rPr>
                <w:rFonts w:ascii="宋体" w:hAnsi="宋体" w:cs="宋体"/>
                <w:b/>
                <w:bCs/>
                <w:color w:val="auto"/>
                <w:kern w:val="0"/>
                <w:sz w:val="24"/>
                <w:szCs w:val="24"/>
              </w:rPr>
            </w:pPr>
          </w:p>
        </w:tc>
      </w:tr>
      <w:tr w14:paraId="7F98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0610000E">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4</w:t>
            </w:r>
          </w:p>
        </w:tc>
        <w:tc>
          <w:tcPr>
            <w:tcW w:w="2359" w:type="dxa"/>
            <w:tcBorders>
              <w:top w:val="single" w:color="auto" w:sz="4" w:space="0"/>
              <w:left w:val="single" w:color="auto" w:sz="4" w:space="0"/>
              <w:bottom w:val="single" w:color="auto" w:sz="4" w:space="0"/>
              <w:right w:val="single" w:color="auto" w:sz="4" w:space="0"/>
            </w:tcBorders>
            <w:vAlign w:val="center"/>
          </w:tcPr>
          <w:p w14:paraId="60FB34D0">
            <w:pPr>
              <w:widowControl/>
              <w:spacing w:line="288" w:lineRule="auto"/>
              <w:ind w:firstLine="200"/>
              <w:jc w:val="center"/>
              <w:rPr>
                <w:rFonts w:ascii="宋体" w:hAnsi="宋体" w:cs="宋体"/>
                <w:bCs/>
                <w:color w:val="auto"/>
                <w:kern w:val="0"/>
                <w:sz w:val="24"/>
                <w:szCs w:val="24"/>
                <w:highlight w:val="red"/>
              </w:rPr>
            </w:pPr>
            <w:r>
              <w:rPr>
                <w:rFonts w:hint="eastAsia" w:ascii="宋体" w:hAnsi="宋体" w:cs="宋体"/>
                <w:bCs/>
                <w:color w:val="auto"/>
                <w:kern w:val="0"/>
                <w:sz w:val="24"/>
                <w:szCs w:val="24"/>
                <w:lang w:val="en-US" w:eastAsia="zh-CN"/>
              </w:rPr>
              <w:t>响应</w:t>
            </w:r>
            <w:r>
              <w:rPr>
                <w:rFonts w:hint="eastAsia" w:ascii="宋体" w:hAnsi="宋体" w:cs="宋体"/>
                <w:bCs/>
                <w:color w:val="auto"/>
                <w:kern w:val="0"/>
                <w:sz w:val="24"/>
                <w:szCs w:val="24"/>
              </w:rPr>
              <w:t>文件组成</w:t>
            </w:r>
          </w:p>
        </w:tc>
        <w:tc>
          <w:tcPr>
            <w:tcW w:w="3770" w:type="dxa"/>
            <w:tcBorders>
              <w:top w:val="single" w:color="auto" w:sz="4" w:space="0"/>
              <w:left w:val="single" w:color="auto" w:sz="4" w:space="0"/>
              <w:bottom w:val="single" w:color="auto" w:sz="4" w:space="0"/>
              <w:right w:val="single" w:color="auto" w:sz="4" w:space="0"/>
            </w:tcBorders>
          </w:tcPr>
          <w:p w14:paraId="3D1A970D">
            <w:pPr>
              <w:widowControl/>
              <w:spacing w:line="288" w:lineRule="auto"/>
              <w:jc w:val="left"/>
              <w:rPr>
                <w:rFonts w:ascii="宋体" w:hAnsi="宋体" w:cs="宋体"/>
                <w:color w:val="auto"/>
                <w:sz w:val="24"/>
                <w:szCs w:val="24"/>
              </w:rPr>
            </w:pPr>
            <w:r>
              <w:rPr>
                <w:rFonts w:hint="eastAsia" w:ascii="宋体" w:hAnsi="宋体" w:cs="宋体"/>
                <w:color w:val="auto"/>
                <w:sz w:val="24"/>
                <w:szCs w:val="24"/>
              </w:rPr>
              <w:t>投标文件应包含以下内容：</w:t>
            </w:r>
          </w:p>
          <w:p w14:paraId="31FC76AF">
            <w:pPr>
              <w:pStyle w:val="22"/>
              <w:numPr>
                <w:ilvl w:val="0"/>
                <w:numId w:val="5"/>
              </w:numPr>
              <w:spacing w:line="288" w:lineRule="auto"/>
              <w:rPr>
                <w:rFonts w:ascii="宋体" w:hAnsi="宋体" w:cs="宋体"/>
                <w:color w:val="auto"/>
                <w:kern w:val="0"/>
                <w:sz w:val="24"/>
                <w:szCs w:val="24"/>
              </w:rPr>
            </w:pPr>
            <w:r>
              <w:rPr>
                <w:rFonts w:hint="eastAsia" w:ascii="宋体" w:hAnsi="宋体" w:cs="宋体"/>
                <w:color w:val="auto"/>
                <w:kern w:val="0"/>
                <w:sz w:val="24"/>
                <w:szCs w:val="24"/>
              </w:rPr>
              <w:t>响应函</w:t>
            </w:r>
          </w:p>
          <w:p w14:paraId="7E6D51D4">
            <w:pPr>
              <w:pStyle w:val="22"/>
              <w:numPr>
                <w:ilvl w:val="0"/>
                <w:numId w:val="5"/>
              </w:numPr>
              <w:spacing w:line="288" w:lineRule="auto"/>
              <w:rPr>
                <w:rFonts w:ascii="宋体" w:hAnsi="宋体" w:cs="宋体"/>
                <w:color w:val="auto"/>
                <w:kern w:val="0"/>
                <w:sz w:val="24"/>
                <w:szCs w:val="24"/>
              </w:rPr>
            </w:pPr>
            <w:r>
              <w:rPr>
                <w:rFonts w:hint="eastAsia" w:ascii="宋体" w:hAnsi="宋体" w:cs="宋体"/>
                <w:color w:val="auto"/>
                <w:kern w:val="0"/>
                <w:sz w:val="24"/>
                <w:szCs w:val="24"/>
              </w:rPr>
              <w:t>响应报价表</w:t>
            </w:r>
          </w:p>
          <w:p w14:paraId="134F0AE1">
            <w:pPr>
              <w:pStyle w:val="22"/>
              <w:numPr>
                <w:ilvl w:val="0"/>
                <w:numId w:val="5"/>
              </w:numPr>
              <w:spacing w:line="288" w:lineRule="auto"/>
              <w:rPr>
                <w:rFonts w:ascii="宋体" w:hAnsi="宋体" w:cs="宋体"/>
                <w:color w:val="auto"/>
                <w:kern w:val="0"/>
                <w:sz w:val="24"/>
                <w:szCs w:val="24"/>
              </w:rPr>
            </w:pPr>
            <w:r>
              <w:rPr>
                <w:rFonts w:hint="eastAsia" w:ascii="宋体" w:hAnsi="宋体" w:cs="宋体"/>
                <w:color w:val="auto"/>
                <w:kern w:val="0"/>
                <w:sz w:val="24"/>
                <w:szCs w:val="24"/>
                <w:lang w:val="en-US" w:eastAsia="zh-CN"/>
              </w:rPr>
              <w:t>供应商</w:t>
            </w:r>
            <w:r>
              <w:rPr>
                <w:rFonts w:hint="eastAsia" w:ascii="宋体" w:hAnsi="宋体" w:cs="宋体"/>
                <w:color w:val="auto"/>
                <w:kern w:val="0"/>
                <w:sz w:val="24"/>
                <w:szCs w:val="24"/>
              </w:rPr>
              <w:t>资格证明文件</w:t>
            </w:r>
          </w:p>
          <w:p w14:paraId="4F255F1F">
            <w:pPr>
              <w:pStyle w:val="22"/>
              <w:numPr>
                <w:ilvl w:val="0"/>
                <w:numId w:val="5"/>
              </w:numPr>
              <w:spacing w:line="288" w:lineRule="auto"/>
              <w:rPr>
                <w:rFonts w:ascii="宋体" w:hAnsi="宋体" w:cs="宋体"/>
                <w:color w:val="auto"/>
                <w:kern w:val="0"/>
                <w:sz w:val="24"/>
                <w:szCs w:val="24"/>
              </w:rPr>
            </w:pPr>
            <w:r>
              <w:rPr>
                <w:rFonts w:hint="eastAsia" w:ascii="宋体" w:hAnsi="宋体" w:cs="宋体"/>
                <w:color w:val="auto"/>
                <w:kern w:val="0"/>
                <w:sz w:val="24"/>
                <w:szCs w:val="24"/>
                <w:lang w:val="en-US" w:eastAsia="zh-CN"/>
              </w:rPr>
              <w:t>技术及</w:t>
            </w:r>
            <w:r>
              <w:rPr>
                <w:rFonts w:hint="eastAsia" w:ascii="宋体" w:hAnsi="宋体" w:cs="宋体"/>
                <w:color w:val="auto"/>
                <w:kern w:val="0"/>
                <w:sz w:val="24"/>
                <w:szCs w:val="24"/>
                <w:lang w:eastAsia="zh-CN"/>
              </w:rPr>
              <w:t>商务偏离表</w:t>
            </w:r>
          </w:p>
          <w:p w14:paraId="04D2BAF6">
            <w:pPr>
              <w:pStyle w:val="22"/>
              <w:numPr>
                <w:ilvl w:val="0"/>
                <w:numId w:val="5"/>
              </w:numPr>
              <w:spacing w:line="288" w:lineRule="auto"/>
              <w:rPr>
                <w:rFonts w:ascii="宋体" w:hAnsi="宋体" w:cs="宋体"/>
                <w:color w:val="auto"/>
                <w:kern w:val="0"/>
                <w:sz w:val="24"/>
                <w:szCs w:val="24"/>
              </w:rPr>
            </w:pPr>
            <w:r>
              <w:rPr>
                <w:rFonts w:hint="eastAsia" w:ascii="宋体" w:hAnsi="宋体" w:cs="宋体"/>
                <w:color w:val="auto"/>
                <w:kern w:val="0"/>
                <w:sz w:val="24"/>
                <w:szCs w:val="24"/>
                <w:lang w:val="en-US" w:eastAsia="zh-CN"/>
              </w:rPr>
              <w:t>响应</w:t>
            </w:r>
            <w:r>
              <w:rPr>
                <w:rFonts w:hint="eastAsia" w:ascii="宋体" w:hAnsi="宋体" w:cs="宋体"/>
                <w:color w:val="auto"/>
                <w:kern w:val="0"/>
                <w:sz w:val="24"/>
                <w:szCs w:val="24"/>
              </w:rPr>
              <w:t>方案</w:t>
            </w:r>
          </w:p>
          <w:p w14:paraId="58BBF7A5">
            <w:pPr>
              <w:pStyle w:val="22"/>
              <w:numPr>
                <w:ilvl w:val="0"/>
                <w:numId w:val="5"/>
              </w:numPr>
              <w:spacing w:line="288" w:lineRule="auto"/>
              <w:rPr>
                <w:rFonts w:ascii="宋体" w:hAnsi="宋体" w:cs="宋体"/>
                <w:color w:val="auto"/>
                <w:kern w:val="0"/>
                <w:sz w:val="24"/>
                <w:szCs w:val="24"/>
              </w:rPr>
            </w:pPr>
            <w:r>
              <w:rPr>
                <w:rFonts w:hint="eastAsia" w:ascii="宋体" w:hAnsi="宋体" w:cs="宋体"/>
                <w:color w:val="auto"/>
                <w:kern w:val="0"/>
                <w:sz w:val="24"/>
                <w:szCs w:val="24"/>
              </w:rPr>
              <w:t>供应商承诺书</w:t>
            </w:r>
          </w:p>
        </w:tc>
        <w:tc>
          <w:tcPr>
            <w:tcW w:w="1002" w:type="dxa"/>
            <w:tcBorders>
              <w:top w:val="single" w:color="auto" w:sz="4" w:space="0"/>
              <w:left w:val="single" w:color="auto" w:sz="4" w:space="0"/>
              <w:bottom w:val="single" w:color="auto" w:sz="4" w:space="0"/>
              <w:right w:val="single" w:color="auto" w:sz="4" w:space="0"/>
            </w:tcBorders>
          </w:tcPr>
          <w:p w14:paraId="1019E148">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1FEA191F">
            <w:pPr>
              <w:widowControl/>
              <w:spacing w:line="288" w:lineRule="auto"/>
              <w:ind w:firstLine="200"/>
              <w:rPr>
                <w:rFonts w:ascii="宋体" w:hAnsi="宋体" w:cs="宋体"/>
                <w:b/>
                <w:bCs/>
                <w:color w:val="auto"/>
                <w:kern w:val="0"/>
                <w:sz w:val="24"/>
                <w:szCs w:val="24"/>
              </w:rPr>
            </w:pPr>
          </w:p>
        </w:tc>
      </w:tr>
      <w:tr w14:paraId="193F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4566DA44">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5</w:t>
            </w:r>
          </w:p>
        </w:tc>
        <w:tc>
          <w:tcPr>
            <w:tcW w:w="2359" w:type="dxa"/>
            <w:tcBorders>
              <w:top w:val="single" w:color="auto" w:sz="4" w:space="0"/>
              <w:left w:val="single" w:color="auto" w:sz="4" w:space="0"/>
              <w:bottom w:val="single" w:color="auto" w:sz="4" w:space="0"/>
              <w:right w:val="single" w:color="auto" w:sz="4" w:space="0"/>
            </w:tcBorders>
            <w:vAlign w:val="center"/>
          </w:tcPr>
          <w:p w14:paraId="6D6DEB54">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投标文件的计量单位、语言、报价货币、投标有效期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690C6E0A">
            <w:pPr>
              <w:widowControl/>
              <w:spacing w:line="288" w:lineRule="auto"/>
              <w:jc w:val="left"/>
              <w:rPr>
                <w:rFonts w:ascii="宋体" w:hAnsi="宋体" w:cs="宋体"/>
                <w:b/>
                <w:bCs/>
                <w:color w:val="auto"/>
                <w:kern w:val="0"/>
                <w:sz w:val="24"/>
                <w:szCs w:val="24"/>
              </w:rPr>
            </w:pPr>
            <w:r>
              <w:rPr>
                <w:rFonts w:hint="eastAsia" w:ascii="宋体" w:hAnsi="宋体" w:cs="宋体"/>
                <w:color w:val="auto"/>
                <w:sz w:val="24"/>
                <w:szCs w:val="24"/>
              </w:rPr>
              <w:t>计量单位、语言、报价货币、投标有效期均符合</w:t>
            </w:r>
            <w:r>
              <w:rPr>
                <w:rFonts w:hint="eastAsia" w:ascii="宋体" w:hAnsi="宋体" w:cs="宋体"/>
                <w:color w:val="auto"/>
                <w:sz w:val="24"/>
                <w:szCs w:val="24"/>
                <w:lang w:eastAsia="zh-CN"/>
              </w:rPr>
              <w:t>磋商文件</w:t>
            </w:r>
            <w:r>
              <w:rPr>
                <w:rFonts w:hint="eastAsia" w:ascii="宋体" w:hAnsi="宋体" w:cs="宋体"/>
                <w:color w:val="auto"/>
                <w:sz w:val="24"/>
                <w:szCs w:val="24"/>
              </w:rPr>
              <w:t>的要求。</w:t>
            </w:r>
          </w:p>
        </w:tc>
        <w:tc>
          <w:tcPr>
            <w:tcW w:w="1002" w:type="dxa"/>
            <w:tcBorders>
              <w:top w:val="single" w:color="auto" w:sz="4" w:space="0"/>
              <w:left w:val="single" w:color="auto" w:sz="4" w:space="0"/>
              <w:bottom w:val="single" w:color="auto" w:sz="4" w:space="0"/>
              <w:right w:val="single" w:color="auto" w:sz="4" w:space="0"/>
            </w:tcBorders>
            <w:vAlign w:val="center"/>
          </w:tcPr>
          <w:p w14:paraId="7929AB84">
            <w:pPr>
              <w:widowControl/>
              <w:spacing w:line="288" w:lineRule="auto"/>
              <w:ind w:firstLine="200"/>
              <w:jc w:val="center"/>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3ECB15CE">
            <w:pPr>
              <w:widowControl/>
              <w:spacing w:line="288" w:lineRule="auto"/>
              <w:ind w:firstLine="200"/>
              <w:rPr>
                <w:rFonts w:ascii="宋体" w:hAnsi="宋体" w:cs="宋体"/>
                <w:b/>
                <w:bCs/>
                <w:color w:val="auto"/>
                <w:kern w:val="0"/>
                <w:sz w:val="24"/>
                <w:szCs w:val="24"/>
              </w:rPr>
            </w:pPr>
          </w:p>
        </w:tc>
      </w:tr>
      <w:tr w14:paraId="2228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17E66E19">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6</w:t>
            </w:r>
          </w:p>
        </w:tc>
        <w:tc>
          <w:tcPr>
            <w:tcW w:w="2359" w:type="dxa"/>
            <w:tcBorders>
              <w:top w:val="single" w:color="auto" w:sz="4" w:space="0"/>
              <w:left w:val="single" w:color="auto" w:sz="4" w:space="0"/>
              <w:bottom w:val="single" w:color="auto" w:sz="4" w:space="0"/>
              <w:right w:val="single" w:color="auto" w:sz="4" w:space="0"/>
            </w:tcBorders>
            <w:vAlign w:val="center"/>
          </w:tcPr>
          <w:p w14:paraId="4EC8EE16">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投标报价</w:t>
            </w:r>
          </w:p>
        </w:tc>
        <w:tc>
          <w:tcPr>
            <w:tcW w:w="3770" w:type="dxa"/>
            <w:tcBorders>
              <w:top w:val="single" w:color="auto" w:sz="4" w:space="0"/>
              <w:left w:val="single" w:color="auto" w:sz="4" w:space="0"/>
              <w:bottom w:val="single" w:color="auto" w:sz="4" w:space="0"/>
              <w:right w:val="single" w:color="auto" w:sz="4" w:space="0"/>
            </w:tcBorders>
          </w:tcPr>
          <w:p w14:paraId="16F85F9B">
            <w:pPr>
              <w:widowControl/>
              <w:spacing w:line="288" w:lineRule="auto"/>
              <w:jc w:val="left"/>
              <w:rPr>
                <w:rFonts w:ascii="宋体" w:hAnsi="宋体" w:cs="宋体"/>
                <w:bCs/>
                <w:color w:val="auto"/>
                <w:kern w:val="0"/>
                <w:sz w:val="24"/>
                <w:szCs w:val="24"/>
              </w:rPr>
            </w:pPr>
            <w:r>
              <w:rPr>
                <w:rFonts w:hint="eastAsia" w:ascii="宋体" w:hAnsi="宋体" w:cs="宋体"/>
                <w:bCs/>
                <w:color w:val="auto"/>
                <w:kern w:val="0"/>
                <w:sz w:val="24"/>
                <w:szCs w:val="24"/>
              </w:rPr>
              <w:t>（1）投标报价符合唯一性要求：</w:t>
            </w:r>
          </w:p>
          <w:p w14:paraId="6609FD01">
            <w:pPr>
              <w:widowControl/>
              <w:spacing w:line="288" w:lineRule="auto"/>
              <w:jc w:val="left"/>
              <w:rPr>
                <w:rFonts w:ascii="宋体" w:hAnsi="宋体" w:cs="宋体"/>
                <w:bCs/>
                <w:color w:val="auto"/>
                <w:kern w:val="0"/>
                <w:sz w:val="24"/>
                <w:szCs w:val="24"/>
              </w:rPr>
            </w:pPr>
            <w:r>
              <w:rPr>
                <w:rFonts w:hint="eastAsia" w:ascii="宋体" w:hAnsi="宋体" w:cs="宋体"/>
                <w:bCs/>
                <w:color w:val="auto"/>
                <w:kern w:val="0"/>
                <w:sz w:val="24"/>
                <w:szCs w:val="24"/>
              </w:rPr>
              <w:t>（2）开标一览表填写符合要求；</w:t>
            </w:r>
          </w:p>
          <w:p w14:paraId="05BEB26A">
            <w:pPr>
              <w:widowControl/>
              <w:spacing w:line="288" w:lineRule="auto"/>
              <w:jc w:val="left"/>
              <w:rPr>
                <w:rFonts w:ascii="宋体" w:hAnsi="宋体" w:cs="宋体"/>
                <w:color w:val="auto"/>
                <w:sz w:val="24"/>
                <w:szCs w:val="24"/>
              </w:rPr>
            </w:pPr>
            <w:r>
              <w:rPr>
                <w:rFonts w:hint="eastAsia" w:ascii="宋体" w:hAnsi="宋体" w:cs="宋体"/>
                <w:bCs/>
                <w:color w:val="auto"/>
                <w:kern w:val="0"/>
                <w:sz w:val="24"/>
                <w:szCs w:val="24"/>
              </w:rPr>
              <w:t>（3）未超出采购预算或</w:t>
            </w:r>
            <w:r>
              <w:rPr>
                <w:rFonts w:hint="eastAsia" w:ascii="宋体" w:hAnsi="宋体" w:cs="宋体"/>
                <w:bCs/>
                <w:color w:val="auto"/>
                <w:kern w:val="0"/>
                <w:sz w:val="24"/>
                <w:szCs w:val="24"/>
                <w:lang w:eastAsia="zh-CN"/>
              </w:rPr>
              <w:t>磋商文件</w:t>
            </w:r>
            <w:r>
              <w:rPr>
                <w:rFonts w:hint="eastAsia" w:ascii="宋体" w:hAnsi="宋体" w:cs="宋体"/>
                <w:bCs/>
                <w:color w:val="auto"/>
                <w:kern w:val="0"/>
                <w:sz w:val="24"/>
                <w:szCs w:val="24"/>
              </w:rPr>
              <w:t>规定的最高限价；</w:t>
            </w:r>
          </w:p>
        </w:tc>
        <w:tc>
          <w:tcPr>
            <w:tcW w:w="1002" w:type="dxa"/>
            <w:tcBorders>
              <w:top w:val="single" w:color="auto" w:sz="4" w:space="0"/>
              <w:left w:val="single" w:color="auto" w:sz="4" w:space="0"/>
              <w:bottom w:val="single" w:color="auto" w:sz="4" w:space="0"/>
              <w:right w:val="single" w:color="auto" w:sz="4" w:space="0"/>
            </w:tcBorders>
          </w:tcPr>
          <w:p w14:paraId="3FB0D007">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4861EE42">
            <w:pPr>
              <w:widowControl/>
              <w:spacing w:line="288" w:lineRule="auto"/>
              <w:ind w:firstLine="200"/>
              <w:rPr>
                <w:rFonts w:ascii="宋体" w:hAnsi="宋体" w:cs="宋体"/>
                <w:b/>
                <w:bCs/>
                <w:color w:val="auto"/>
                <w:kern w:val="0"/>
                <w:sz w:val="24"/>
                <w:szCs w:val="24"/>
              </w:rPr>
            </w:pPr>
          </w:p>
        </w:tc>
      </w:tr>
      <w:tr w14:paraId="2108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67A3F1FA">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rPr>
              <w:t>7</w:t>
            </w:r>
          </w:p>
        </w:tc>
        <w:tc>
          <w:tcPr>
            <w:tcW w:w="2359" w:type="dxa"/>
            <w:tcBorders>
              <w:top w:val="single" w:color="auto" w:sz="4" w:space="0"/>
              <w:left w:val="single" w:color="auto" w:sz="4" w:space="0"/>
              <w:bottom w:val="single" w:color="auto" w:sz="4" w:space="0"/>
              <w:right w:val="single" w:color="auto" w:sz="4" w:space="0"/>
            </w:tcBorders>
            <w:vAlign w:val="center"/>
          </w:tcPr>
          <w:p w14:paraId="2AFA778C">
            <w:pPr>
              <w:widowControl/>
              <w:spacing w:line="288" w:lineRule="auto"/>
              <w:ind w:firstLine="200"/>
              <w:jc w:val="center"/>
              <w:rPr>
                <w:rFonts w:ascii="宋体" w:hAnsi="宋体" w:cs="宋体"/>
                <w:bCs/>
                <w:color w:val="auto"/>
                <w:kern w:val="0"/>
                <w:sz w:val="24"/>
                <w:szCs w:val="24"/>
              </w:rPr>
            </w:pPr>
            <w:r>
              <w:rPr>
                <w:rFonts w:hint="eastAsia" w:ascii="宋体" w:hAnsi="宋体" w:cs="宋体"/>
                <w:bCs/>
                <w:color w:val="auto"/>
                <w:kern w:val="0"/>
                <w:sz w:val="24"/>
                <w:szCs w:val="24"/>
                <w:lang w:eastAsia="zh-CN"/>
              </w:rPr>
              <w:t>磋商文件</w:t>
            </w:r>
            <w:r>
              <w:rPr>
                <w:rFonts w:hint="eastAsia" w:ascii="宋体" w:hAnsi="宋体" w:cs="宋体"/>
                <w:bCs/>
                <w:color w:val="auto"/>
                <w:kern w:val="0"/>
                <w:sz w:val="24"/>
                <w:szCs w:val="24"/>
              </w:rPr>
              <w:t>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0459F257">
            <w:pPr>
              <w:widowControl/>
              <w:spacing w:line="288" w:lineRule="auto"/>
              <w:jc w:val="left"/>
              <w:rPr>
                <w:rFonts w:ascii="宋体" w:hAnsi="宋体" w:cs="宋体"/>
                <w:color w:val="auto"/>
                <w:sz w:val="24"/>
                <w:szCs w:val="24"/>
              </w:rPr>
            </w:pPr>
            <w:r>
              <w:rPr>
                <w:rFonts w:hint="eastAsia" w:ascii="宋体" w:hAnsi="宋体" w:cs="宋体"/>
                <w:color w:val="auto"/>
                <w:sz w:val="24"/>
                <w:szCs w:val="24"/>
              </w:rPr>
              <w:t>完全响应</w:t>
            </w:r>
            <w:r>
              <w:rPr>
                <w:rFonts w:hint="eastAsia" w:ascii="宋体" w:hAnsi="宋体" w:cs="宋体"/>
                <w:color w:val="auto"/>
                <w:sz w:val="24"/>
                <w:szCs w:val="24"/>
                <w:lang w:eastAsia="zh-CN"/>
              </w:rPr>
              <w:t>磋商文件</w:t>
            </w:r>
            <w:r>
              <w:rPr>
                <w:rFonts w:hint="eastAsia" w:ascii="宋体" w:hAnsi="宋体" w:cs="宋体"/>
                <w:color w:val="auto"/>
                <w:sz w:val="24"/>
                <w:szCs w:val="24"/>
              </w:rPr>
              <w:t>要求的各项实质性条款。</w:t>
            </w:r>
          </w:p>
        </w:tc>
        <w:tc>
          <w:tcPr>
            <w:tcW w:w="1002" w:type="dxa"/>
            <w:tcBorders>
              <w:top w:val="single" w:color="auto" w:sz="4" w:space="0"/>
              <w:left w:val="single" w:color="auto" w:sz="4" w:space="0"/>
              <w:bottom w:val="single" w:color="auto" w:sz="4" w:space="0"/>
              <w:right w:val="single" w:color="auto" w:sz="4" w:space="0"/>
            </w:tcBorders>
          </w:tcPr>
          <w:p w14:paraId="1561D10B">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58CC7216">
            <w:pPr>
              <w:widowControl/>
              <w:spacing w:line="288" w:lineRule="auto"/>
              <w:ind w:firstLine="200"/>
              <w:rPr>
                <w:rFonts w:ascii="宋体" w:hAnsi="宋体" w:cs="宋体"/>
                <w:b/>
                <w:bCs/>
                <w:color w:val="auto"/>
                <w:kern w:val="0"/>
                <w:sz w:val="24"/>
                <w:szCs w:val="24"/>
              </w:rPr>
            </w:pPr>
          </w:p>
        </w:tc>
      </w:tr>
      <w:tr w14:paraId="5E09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center"/>
          </w:tcPr>
          <w:p w14:paraId="39B69F8E">
            <w:pPr>
              <w:widowControl/>
              <w:spacing w:line="288" w:lineRule="auto"/>
              <w:ind w:firstLine="200"/>
              <w:jc w:val="center"/>
              <w:rPr>
                <w:rFonts w:ascii="宋体" w:hAnsi="宋体" w:cs="宋体"/>
                <w:color w:val="auto"/>
                <w:sz w:val="24"/>
                <w:szCs w:val="24"/>
              </w:rPr>
            </w:pPr>
            <w:r>
              <w:rPr>
                <w:rFonts w:hint="eastAsia" w:ascii="宋体" w:hAnsi="宋体" w:cs="宋体"/>
                <w:color w:val="auto"/>
                <w:sz w:val="24"/>
                <w:szCs w:val="24"/>
              </w:rPr>
              <w:t>8</w:t>
            </w:r>
          </w:p>
        </w:tc>
        <w:tc>
          <w:tcPr>
            <w:tcW w:w="2359" w:type="dxa"/>
            <w:tcBorders>
              <w:top w:val="single" w:color="auto" w:sz="4" w:space="0"/>
              <w:left w:val="single" w:color="auto" w:sz="4" w:space="0"/>
              <w:bottom w:val="single" w:color="auto" w:sz="4" w:space="0"/>
              <w:right w:val="single" w:color="auto" w:sz="4" w:space="0"/>
            </w:tcBorders>
            <w:vAlign w:val="center"/>
          </w:tcPr>
          <w:p w14:paraId="5AC71490">
            <w:pPr>
              <w:widowControl/>
              <w:spacing w:line="288" w:lineRule="auto"/>
              <w:jc w:val="center"/>
              <w:rPr>
                <w:rFonts w:ascii="宋体" w:hAnsi="宋体" w:cs="宋体"/>
                <w:bCs/>
                <w:color w:val="auto"/>
                <w:kern w:val="0"/>
                <w:sz w:val="24"/>
                <w:szCs w:val="24"/>
              </w:rPr>
            </w:pPr>
            <w:r>
              <w:rPr>
                <w:rFonts w:hint="eastAsia" w:ascii="宋体" w:hAnsi="宋体" w:cs="宋体"/>
                <w:bCs/>
                <w:color w:val="auto"/>
                <w:sz w:val="24"/>
                <w:szCs w:val="24"/>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6BB6ADFB">
            <w:pPr>
              <w:widowControl/>
              <w:spacing w:line="288" w:lineRule="auto"/>
              <w:jc w:val="left"/>
              <w:rPr>
                <w:rFonts w:ascii="宋体" w:hAnsi="宋体" w:cs="宋体"/>
                <w:color w:val="auto"/>
                <w:sz w:val="24"/>
                <w:szCs w:val="24"/>
              </w:rPr>
            </w:pPr>
            <w:r>
              <w:rPr>
                <w:rFonts w:hint="eastAsia" w:ascii="宋体" w:hAnsi="宋体" w:cs="宋体"/>
                <w:color w:val="auto"/>
                <w:sz w:val="24"/>
                <w:szCs w:val="24"/>
              </w:rPr>
              <w:t>完整响应</w:t>
            </w:r>
            <w:r>
              <w:rPr>
                <w:rFonts w:hint="eastAsia" w:ascii="宋体" w:hAnsi="宋体" w:cs="宋体"/>
                <w:color w:val="auto"/>
                <w:sz w:val="24"/>
                <w:szCs w:val="24"/>
                <w:lang w:eastAsia="zh-CN"/>
              </w:rPr>
              <w:t>磋商文件</w:t>
            </w:r>
            <w:r>
              <w:rPr>
                <w:rFonts w:hint="eastAsia" w:ascii="宋体" w:hAnsi="宋体" w:cs="宋体"/>
                <w:color w:val="auto"/>
                <w:sz w:val="24"/>
                <w:szCs w:val="24"/>
              </w:rPr>
              <w:t>合同主要条款。</w:t>
            </w:r>
          </w:p>
        </w:tc>
        <w:tc>
          <w:tcPr>
            <w:tcW w:w="1002" w:type="dxa"/>
            <w:tcBorders>
              <w:top w:val="single" w:color="auto" w:sz="4" w:space="0"/>
              <w:left w:val="single" w:color="auto" w:sz="4" w:space="0"/>
              <w:bottom w:val="single" w:color="auto" w:sz="4" w:space="0"/>
              <w:right w:val="single" w:color="auto" w:sz="4" w:space="0"/>
            </w:tcBorders>
          </w:tcPr>
          <w:p w14:paraId="440BC63A">
            <w:pPr>
              <w:widowControl/>
              <w:spacing w:line="288" w:lineRule="auto"/>
              <w:ind w:firstLine="200"/>
              <w:rPr>
                <w:rFonts w:ascii="宋体" w:hAnsi="宋体" w:cs="宋体"/>
                <w:b/>
                <w:bCs/>
                <w:color w:val="auto"/>
                <w:kern w:val="0"/>
                <w:sz w:val="24"/>
                <w:szCs w:val="24"/>
              </w:rPr>
            </w:pPr>
          </w:p>
        </w:tc>
        <w:tc>
          <w:tcPr>
            <w:tcW w:w="1497" w:type="dxa"/>
            <w:tcBorders>
              <w:top w:val="single" w:color="auto" w:sz="4" w:space="0"/>
              <w:left w:val="single" w:color="auto" w:sz="4" w:space="0"/>
              <w:bottom w:val="single" w:color="auto" w:sz="4" w:space="0"/>
              <w:right w:val="single" w:color="auto" w:sz="4" w:space="0"/>
            </w:tcBorders>
          </w:tcPr>
          <w:p w14:paraId="481020B5">
            <w:pPr>
              <w:widowControl/>
              <w:spacing w:line="288" w:lineRule="auto"/>
              <w:ind w:firstLine="200"/>
              <w:rPr>
                <w:rFonts w:ascii="宋体" w:hAnsi="宋体" w:cs="宋体"/>
                <w:b/>
                <w:bCs/>
                <w:color w:val="auto"/>
                <w:kern w:val="0"/>
                <w:sz w:val="24"/>
                <w:szCs w:val="24"/>
              </w:rPr>
            </w:pPr>
          </w:p>
        </w:tc>
      </w:tr>
    </w:tbl>
    <w:p w14:paraId="3D6597DB">
      <w:pPr>
        <w:pStyle w:val="12"/>
        <w:rPr>
          <w:color w:val="auto"/>
        </w:rPr>
      </w:pPr>
    </w:p>
    <w:p w14:paraId="045B9E2F">
      <w:pPr>
        <w:spacing w:line="360" w:lineRule="auto"/>
        <w:ind w:firstLine="360" w:firstLineChars="150"/>
        <w:rPr>
          <w:rFonts w:ascii="宋体" w:hAnsi="宋体" w:cs="宋体"/>
          <w:color w:val="auto"/>
          <w:sz w:val="24"/>
        </w:rPr>
      </w:pPr>
      <w:r>
        <w:rPr>
          <w:rFonts w:hint="eastAsia" w:ascii="宋体" w:hAnsi="宋体" w:cs="宋体"/>
          <w:color w:val="auto"/>
          <w:sz w:val="24"/>
        </w:rPr>
        <w:t>（4）磋商时，响应文件中出现下列情况，修正原则为：</w:t>
      </w:r>
    </w:p>
    <w:p w14:paraId="5F156920">
      <w:pPr>
        <w:spacing w:line="360" w:lineRule="auto"/>
        <w:ind w:firstLine="600" w:firstLineChars="250"/>
        <w:rPr>
          <w:rFonts w:ascii="宋体" w:hAnsi="宋体" w:cs="宋体"/>
          <w:color w:val="auto"/>
          <w:sz w:val="24"/>
        </w:rPr>
      </w:pPr>
      <w:r>
        <w:rPr>
          <w:rFonts w:hint="eastAsia" w:ascii="宋体" w:hAnsi="宋体" w:cs="宋体"/>
          <w:color w:val="auto"/>
          <w:sz w:val="24"/>
        </w:rPr>
        <w:t>A</w:t>
      </w:r>
      <w:r>
        <w:rPr>
          <w:rFonts w:hint="eastAsia" w:ascii="宋体" w:hAnsi="宋体" w:cs="宋体"/>
          <w:color w:val="auto"/>
          <w:sz w:val="24"/>
          <w:lang w:eastAsia="zh-CN"/>
        </w:rPr>
        <w:t>.</w:t>
      </w:r>
      <w:r>
        <w:rPr>
          <w:rFonts w:hint="eastAsia" w:ascii="宋体" w:hAnsi="宋体" w:cs="宋体"/>
          <w:color w:val="auto"/>
          <w:sz w:val="24"/>
        </w:rPr>
        <w:t>响应文件中响应报价表内容与响应文件中明细内容不一致的，以响应报价表为准；</w:t>
      </w:r>
    </w:p>
    <w:p w14:paraId="014E0DE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B</w:t>
      </w:r>
      <w:r>
        <w:rPr>
          <w:rFonts w:hint="eastAsia" w:ascii="宋体" w:hAnsi="宋体" w:cs="宋体"/>
          <w:color w:val="auto"/>
          <w:sz w:val="24"/>
          <w:lang w:eastAsia="zh-CN"/>
        </w:rPr>
        <w:t>.</w:t>
      </w:r>
      <w:r>
        <w:rPr>
          <w:rFonts w:hint="eastAsia" w:ascii="宋体" w:hAnsi="宋体" w:cs="宋体"/>
          <w:color w:val="auto"/>
          <w:sz w:val="24"/>
        </w:rPr>
        <w:t>大写金额和小写金额不一致的，以大写金额为准；</w:t>
      </w:r>
    </w:p>
    <w:p w14:paraId="473FEB3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C</w:t>
      </w:r>
      <w:r>
        <w:rPr>
          <w:rFonts w:hint="eastAsia" w:ascii="宋体" w:hAnsi="宋体" w:cs="宋体"/>
          <w:color w:val="auto"/>
          <w:sz w:val="24"/>
          <w:lang w:eastAsia="zh-CN"/>
        </w:rPr>
        <w:t>.</w:t>
      </w:r>
      <w:r>
        <w:rPr>
          <w:rFonts w:hint="eastAsia" w:ascii="宋体" w:hAnsi="宋体" w:cs="宋体"/>
          <w:color w:val="auto"/>
          <w:sz w:val="24"/>
        </w:rPr>
        <w:t>单价金额小数点或者百分比有明显错位的，以响应报价表的总价为准，并修改单价；</w:t>
      </w:r>
    </w:p>
    <w:p w14:paraId="7AF697E3">
      <w:pPr>
        <w:spacing w:line="360" w:lineRule="auto"/>
        <w:ind w:firstLine="600" w:firstLineChars="250"/>
        <w:rPr>
          <w:rFonts w:ascii="宋体" w:hAnsi="宋体" w:cs="宋体"/>
          <w:color w:val="auto"/>
          <w:sz w:val="24"/>
        </w:rPr>
      </w:pPr>
      <w:r>
        <w:rPr>
          <w:rFonts w:hint="eastAsia" w:ascii="宋体" w:hAnsi="宋体" w:cs="宋体"/>
          <w:color w:val="auto"/>
          <w:sz w:val="24"/>
        </w:rPr>
        <w:t>D</w:t>
      </w:r>
      <w:r>
        <w:rPr>
          <w:rFonts w:hint="eastAsia" w:ascii="宋体" w:hAnsi="宋体" w:cs="宋体"/>
          <w:color w:val="auto"/>
          <w:sz w:val="24"/>
          <w:lang w:eastAsia="zh-CN"/>
        </w:rPr>
        <w:t>.</w:t>
      </w:r>
      <w:r>
        <w:rPr>
          <w:rFonts w:hint="eastAsia" w:ascii="宋体" w:hAnsi="宋体" w:cs="宋体"/>
          <w:color w:val="auto"/>
          <w:sz w:val="24"/>
        </w:rPr>
        <w:t xml:space="preserve">总价金额与按单价汇总金额不一致的，以单价金额计算结果为准； </w:t>
      </w:r>
    </w:p>
    <w:p w14:paraId="0D6ACA8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E</w:t>
      </w:r>
      <w:r>
        <w:rPr>
          <w:rFonts w:hint="eastAsia" w:ascii="宋体" w:hAnsi="宋体" w:cs="宋体"/>
          <w:color w:val="auto"/>
          <w:sz w:val="24"/>
          <w:lang w:eastAsia="zh-CN"/>
        </w:rPr>
        <w:t>.</w:t>
      </w:r>
      <w:r>
        <w:rPr>
          <w:rFonts w:hint="eastAsia" w:ascii="宋体" w:hAnsi="宋体" w:cs="宋体"/>
          <w:color w:val="auto"/>
          <w:sz w:val="24"/>
        </w:rPr>
        <w:t>响应文件正本与副本不一致的，以正本为准；</w:t>
      </w:r>
    </w:p>
    <w:p w14:paraId="357619B9">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F</w:t>
      </w:r>
      <w:r>
        <w:rPr>
          <w:rFonts w:hint="eastAsia" w:ascii="宋体" w:hAnsi="宋体" w:cs="宋体"/>
          <w:color w:val="auto"/>
          <w:sz w:val="24"/>
          <w:lang w:eastAsia="zh-CN"/>
        </w:rPr>
        <w:t>.</w:t>
      </w:r>
      <w:r>
        <w:rPr>
          <w:rFonts w:hint="eastAsia" w:ascii="宋体" w:hAnsi="宋体" w:cs="宋体"/>
          <w:color w:val="auto"/>
          <w:sz w:val="24"/>
        </w:rPr>
        <w:t>多处内容交叉不符时，以磋商小组评审结果为准；</w:t>
      </w:r>
    </w:p>
    <w:p w14:paraId="0EC5D60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G</w:t>
      </w:r>
      <w:r>
        <w:rPr>
          <w:rFonts w:hint="eastAsia" w:ascii="宋体" w:hAnsi="宋体" w:cs="宋体"/>
          <w:color w:val="auto"/>
          <w:sz w:val="24"/>
          <w:lang w:eastAsia="zh-CN"/>
        </w:rPr>
        <w:t>.</w:t>
      </w:r>
      <w:r>
        <w:rPr>
          <w:rFonts w:hint="eastAsia" w:ascii="宋体" w:hAnsi="宋体" w:cs="宋体"/>
          <w:color w:val="auto"/>
          <w:sz w:val="24"/>
        </w:rPr>
        <w:t>文字与图表不符的，以文字为准。</w:t>
      </w:r>
    </w:p>
    <w:p w14:paraId="5C7B6B75">
      <w:pPr>
        <w:spacing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574899D3">
      <w:pPr>
        <w:spacing w:line="360" w:lineRule="auto"/>
        <w:ind w:firstLine="480" w:firstLineChars="200"/>
        <w:rPr>
          <w:rFonts w:ascii="宋体" w:hAnsi="宋体" w:cs="宋体"/>
          <w:color w:val="auto"/>
          <w:sz w:val="24"/>
        </w:rPr>
      </w:pPr>
      <w:r>
        <w:rPr>
          <w:rFonts w:hint="eastAsia" w:ascii="宋体" w:hAnsi="宋体" w:cs="宋体"/>
          <w:color w:val="auto"/>
          <w:sz w:val="24"/>
        </w:rPr>
        <w:t>（5）磋商开始后，直到向成交供应商授予合同为止，凡审查、澄清、评价和比较磋商的有关资料，磋商小组成员均不得向供应商及与磋商无关的其他人透露。</w:t>
      </w:r>
    </w:p>
    <w:p w14:paraId="55ACD02C">
      <w:pPr>
        <w:kinsoku w:val="0"/>
        <w:spacing w:line="360" w:lineRule="auto"/>
        <w:ind w:firstLine="482" w:firstLineChars="200"/>
        <w:rPr>
          <w:rFonts w:ascii="宋体" w:hAnsi="宋体" w:cs="宋体"/>
          <w:b/>
          <w:color w:val="auto"/>
          <w:sz w:val="24"/>
        </w:rPr>
      </w:pPr>
      <w:r>
        <w:rPr>
          <w:rFonts w:hint="eastAsia" w:ascii="宋体" w:hAnsi="宋体" w:cs="宋体"/>
          <w:b/>
          <w:color w:val="auto"/>
          <w:sz w:val="24"/>
          <w:lang w:eastAsia="zh-CN"/>
        </w:rPr>
        <w:t>4.</w:t>
      </w:r>
      <w:r>
        <w:rPr>
          <w:rFonts w:hint="eastAsia" w:ascii="宋体" w:hAnsi="宋体" w:cs="宋体"/>
          <w:b/>
          <w:color w:val="auto"/>
          <w:sz w:val="24"/>
        </w:rPr>
        <w:t>有下列情形之一的，视为供应商串通投标，磋商小组应当认定其响应文件无效：</w:t>
      </w:r>
    </w:p>
    <w:p w14:paraId="6A6F1A6C">
      <w:pPr>
        <w:spacing w:line="360" w:lineRule="auto"/>
        <w:ind w:firstLine="600" w:firstLineChars="250"/>
        <w:rPr>
          <w:rFonts w:ascii="宋体" w:hAnsi="宋体" w:cs="宋体"/>
          <w:color w:val="auto"/>
          <w:kern w:val="0"/>
          <w:sz w:val="22"/>
          <w:szCs w:val="22"/>
        </w:rPr>
      </w:pPr>
      <w:r>
        <w:rPr>
          <w:rFonts w:hint="eastAsia" w:ascii="宋体" w:hAnsi="宋体" w:cs="宋体"/>
          <w:color w:val="auto"/>
          <w:sz w:val="24"/>
        </w:rPr>
        <w:t>A</w:t>
      </w:r>
      <w:r>
        <w:rPr>
          <w:rFonts w:hint="eastAsia" w:ascii="宋体" w:hAnsi="宋体" w:cs="宋体"/>
          <w:color w:val="auto"/>
          <w:sz w:val="24"/>
          <w:lang w:eastAsia="zh-CN"/>
        </w:rPr>
        <w:t>.</w:t>
      </w:r>
      <w:r>
        <w:rPr>
          <w:rFonts w:hint="eastAsia" w:ascii="宋体" w:hAnsi="宋体" w:cs="宋体"/>
          <w:color w:val="auto"/>
          <w:sz w:val="24"/>
        </w:rPr>
        <w:t>不同供应商的响应文件由同一单位或者个人编制；</w:t>
      </w:r>
    </w:p>
    <w:p w14:paraId="7F031A62">
      <w:pPr>
        <w:widowControl/>
        <w:spacing w:line="360" w:lineRule="auto"/>
        <w:ind w:firstLine="600" w:firstLineChars="250"/>
        <w:rPr>
          <w:rFonts w:ascii="宋体" w:hAnsi="宋体" w:cs="宋体"/>
          <w:color w:val="auto"/>
          <w:sz w:val="24"/>
        </w:rPr>
      </w:pPr>
      <w:r>
        <w:rPr>
          <w:rFonts w:hint="eastAsia" w:ascii="宋体" w:hAnsi="宋体" w:cs="宋体"/>
          <w:color w:val="auto"/>
          <w:sz w:val="24"/>
        </w:rPr>
        <w:t>B</w:t>
      </w:r>
      <w:r>
        <w:rPr>
          <w:rFonts w:hint="eastAsia" w:ascii="宋体" w:hAnsi="宋体" w:cs="宋体"/>
          <w:color w:val="auto"/>
          <w:sz w:val="24"/>
          <w:lang w:eastAsia="zh-CN"/>
        </w:rPr>
        <w:t>.</w:t>
      </w:r>
      <w:r>
        <w:rPr>
          <w:rFonts w:hint="eastAsia" w:ascii="宋体" w:hAnsi="宋体" w:cs="宋体"/>
          <w:color w:val="auto"/>
          <w:sz w:val="24"/>
        </w:rPr>
        <w:t xml:space="preserve">不同供应商委托同一单位或者个人办理磋商事宜； </w:t>
      </w:r>
    </w:p>
    <w:p w14:paraId="06C657AC">
      <w:pPr>
        <w:widowControl/>
        <w:spacing w:line="360" w:lineRule="auto"/>
        <w:ind w:firstLine="600" w:firstLineChars="250"/>
        <w:rPr>
          <w:rFonts w:ascii="宋体" w:hAnsi="宋体" w:cs="宋体"/>
          <w:color w:val="auto"/>
          <w:sz w:val="24"/>
        </w:rPr>
      </w:pPr>
      <w:r>
        <w:rPr>
          <w:rFonts w:hint="eastAsia" w:ascii="宋体" w:hAnsi="宋体" w:cs="宋体"/>
          <w:color w:val="auto"/>
          <w:sz w:val="24"/>
        </w:rPr>
        <w:t>C</w:t>
      </w:r>
      <w:r>
        <w:rPr>
          <w:rFonts w:hint="eastAsia" w:ascii="宋体" w:hAnsi="宋体" w:cs="宋体"/>
          <w:color w:val="auto"/>
          <w:sz w:val="24"/>
          <w:lang w:eastAsia="zh-CN"/>
        </w:rPr>
        <w:t>.</w:t>
      </w:r>
      <w:r>
        <w:rPr>
          <w:rFonts w:hint="eastAsia" w:ascii="宋体" w:hAnsi="宋体" w:cs="宋体"/>
          <w:color w:val="auto"/>
          <w:sz w:val="24"/>
        </w:rPr>
        <w:t>不同供应商的响应文件载明的项目管理成员或者联系人员为同一人；</w:t>
      </w:r>
    </w:p>
    <w:p w14:paraId="3074CD2B">
      <w:pPr>
        <w:widowControl/>
        <w:spacing w:line="360" w:lineRule="auto"/>
        <w:ind w:firstLine="600" w:firstLineChars="250"/>
        <w:rPr>
          <w:rFonts w:ascii="宋体" w:hAnsi="宋体" w:cs="宋体"/>
          <w:color w:val="auto"/>
          <w:sz w:val="24"/>
        </w:rPr>
      </w:pPr>
      <w:r>
        <w:rPr>
          <w:rFonts w:hint="eastAsia" w:ascii="宋体" w:hAnsi="宋体" w:cs="宋体"/>
          <w:color w:val="auto"/>
          <w:sz w:val="24"/>
        </w:rPr>
        <w:t>D</w:t>
      </w:r>
      <w:r>
        <w:rPr>
          <w:rFonts w:hint="eastAsia" w:ascii="宋体" w:hAnsi="宋体" w:cs="宋体"/>
          <w:color w:val="auto"/>
          <w:sz w:val="24"/>
          <w:lang w:eastAsia="zh-CN"/>
        </w:rPr>
        <w:t>.</w:t>
      </w:r>
      <w:r>
        <w:rPr>
          <w:rFonts w:hint="eastAsia" w:ascii="宋体" w:hAnsi="宋体" w:cs="宋体"/>
          <w:color w:val="auto"/>
          <w:sz w:val="24"/>
        </w:rPr>
        <w:t>不同供应商的响应文件异常一致或者磋商报价呈规律性差异；</w:t>
      </w:r>
    </w:p>
    <w:p w14:paraId="0E7BC71D">
      <w:pPr>
        <w:widowControl/>
        <w:spacing w:line="360" w:lineRule="auto"/>
        <w:ind w:firstLine="480" w:firstLineChars="200"/>
        <w:rPr>
          <w:rFonts w:ascii="宋体" w:hAnsi="宋体" w:cs="宋体"/>
          <w:color w:val="auto"/>
          <w:sz w:val="24"/>
        </w:rPr>
      </w:pPr>
      <w:r>
        <w:rPr>
          <w:rFonts w:hint="eastAsia" w:ascii="宋体" w:hAnsi="宋体" w:cs="宋体"/>
          <w:color w:val="auto"/>
          <w:sz w:val="24"/>
        </w:rPr>
        <w:t xml:space="preserve"> E</w:t>
      </w:r>
      <w:r>
        <w:rPr>
          <w:rFonts w:hint="eastAsia" w:ascii="宋体" w:hAnsi="宋体" w:cs="宋体"/>
          <w:color w:val="auto"/>
          <w:sz w:val="24"/>
          <w:lang w:eastAsia="zh-CN"/>
        </w:rPr>
        <w:t>.</w:t>
      </w:r>
      <w:r>
        <w:rPr>
          <w:rFonts w:hint="eastAsia" w:ascii="宋体" w:hAnsi="宋体" w:cs="宋体"/>
          <w:color w:val="auto"/>
          <w:sz w:val="24"/>
        </w:rPr>
        <w:t>不同供应商的响应文件相互混装；</w:t>
      </w:r>
    </w:p>
    <w:p w14:paraId="35C4231C">
      <w:pPr>
        <w:pStyle w:val="4"/>
        <w:keepNext w:val="0"/>
        <w:keepLines w:val="0"/>
        <w:spacing w:line="360" w:lineRule="auto"/>
        <w:ind w:firstLine="482" w:firstLineChars="200"/>
        <w:rPr>
          <w:rFonts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澄清</w:t>
      </w:r>
    </w:p>
    <w:p w14:paraId="33D9479F">
      <w:pPr>
        <w:widowControl/>
        <w:spacing w:line="360" w:lineRule="auto"/>
        <w:ind w:firstLine="360" w:firstLineChars="150"/>
        <w:rPr>
          <w:rFonts w:ascii="宋体" w:hAnsi="宋体" w:cs="宋体"/>
          <w:color w:val="auto"/>
          <w:sz w:val="24"/>
        </w:rPr>
      </w:pPr>
      <w:r>
        <w:rPr>
          <w:rFonts w:hint="eastAsia" w:ascii="宋体" w:hAnsi="宋体" w:cs="宋体"/>
          <w:color w:val="auto"/>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A277EC">
      <w:pPr>
        <w:widowControl/>
        <w:spacing w:line="360" w:lineRule="auto"/>
        <w:ind w:firstLine="360" w:firstLineChars="150"/>
        <w:rPr>
          <w:rFonts w:ascii="宋体" w:hAnsi="宋体" w:cs="宋体"/>
          <w:color w:val="auto"/>
          <w:sz w:val="24"/>
        </w:rPr>
      </w:pPr>
      <w:r>
        <w:rPr>
          <w:rFonts w:hint="eastAsia" w:ascii="宋体" w:hAnsi="宋体" w:cs="宋体"/>
          <w:color w:val="auto"/>
          <w:sz w:val="24"/>
        </w:rPr>
        <w:t>（2）实质性内容包括但不限于：服务期、付款方式、安全指标、质量指标、主要技术指标等。</w:t>
      </w:r>
    </w:p>
    <w:p w14:paraId="114DBE1A">
      <w:pPr>
        <w:widowControl/>
        <w:spacing w:line="360" w:lineRule="auto"/>
        <w:ind w:firstLine="360" w:firstLineChars="150"/>
        <w:rPr>
          <w:rFonts w:ascii="宋体" w:hAnsi="宋体" w:cs="宋体"/>
          <w:color w:val="auto"/>
          <w:sz w:val="24"/>
        </w:rPr>
      </w:pPr>
      <w:r>
        <w:rPr>
          <w:rFonts w:hint="eastAsia" w:ascii="宋体" w:hAnsi="宋体" w:cs="宋体"/>
          <w:color w:val="auto"/>
          <w:sz w:val="24"/>
        </w:rPr>
        <w:t>（3）磋商小组要求供应商澄清、说明或者更正响应文件应当以书面形式作出，并由其法定代表人或被授权人签字。</w:t>
      </w:r>
    </w:p>
    <w:p w14:paraId="4E291D4B">
      <w:pPr>
        <w:spacing w:line="360" w:lineRule="auto"/>
        <w:ind w:firstLine="360" w:firstLineChars="150"/>
        <w:rPr>
          <w:rFonts w:ascii="宋体" w:hAnsi="宋体" w:cs="宋体"/>
          <w:color w:val="auto"/>
          <w:sz w:val="24"/>
        </w:rPr>
      </w:pPr>
      <w:r>
        <w:rPr>
          <w:rFonts w:hint="eastAsia" w:ascii="宋体" w:hAnsi="宋体" w:cs="宋体"/>
          <w:color w:val="auto"/>
          <w:sz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99"/>
    <w:p w14:paraId="193131EB">
      <w:pPr>
        <w:pStyle w:val="4"/>
        <w:keepNext w:val="0"/>
        <w:keepLines w:val="0"/>
        <w:spacing w:line="360" w:lineRule="auto"/>
        <w:ind w:firstLine="482" w:firstLineChars="200"/>
        <w:rPr>
          <w:rFonts w:ascii="宋体" w:hAnsi="宋体" w:cs="宋体"/>
          <w:color w:val="auto"/>
          <w:sz w:val="24"/>
          <w:szCs w:val="24"/>
        </w:rPr>
      </w:pPr>
      <w:bookmarkStart w:id="100" w:name="_Toc536202314"/>
      <w:bookmarkStart w:id="101" w:name="_Toc12947"/>
      <w:r>
        <w:rPr>
          <w:rFonts w:hint="eastAsia" w:ascii="宋体" w:hAnsi="宋体" w:cs="宋体"/>
          <w:color w:val="auto"/>
          <w:sz w:val="24"/>
          <w:szCs w:val="24"/>
          <w:lang w:eastAsia="zh-CN"/>
        </w:rPr>
        <w:t>6.</w:t>
      </w:r>
      <w:r>
        <w:rPr>
          <w:rFonts w:hint="eastAsia" w:ascii="宋体" w:hAnsi="宋体" w:cs="宋体"/>
          <w:color w:val="auto"/>
          <w:sz w:val="24"/>
          <w:szCs w:val="24"/>
        </w:rPr>
        <w:t>评审方法及内容</w:t>
      </w:r>
      <w:r>
        <w:rPr>
          <w:rFonts w:hint="eastAsia" w:ascii="宋体" w:hAnsi="宋体" w:cs="宋体"/>
          <w:color w:val="auto"/>
          <w:sz w:val="24"/>
          <w:szCs w:val="24"/>
        </w:rPr>
        <w:tab/>
      </w:r>
    </w:p>
    <w:p w14:paraId="48452F36">
      <w:pPr>
        <w:spacing w:line="360" w:lineRule="auto"/>
        <w:ind w:firstLine="360" w:firstLineChars="150"/>
        <w:rPr>
          <w:rFonts w:ascii="宋体" w:hAnsi="宋体" w:cs="宋体"/>
          <w:color w:val="auto"/>
          <w:sz w:val="24"/>
        </w:rPr>
      </w:pPr>
      <w:r>
        <w:rPr>
          <w:rFonts w:hint="eastAsia" w:ascii="宋体" w:hAnsi="宋体" w:cs="宋体"/>
          <w:color w:val="auto"/>
          <w:sz w:val="24"/>
        </w:rPr>
        <w:t>（1）按照磋商文件规定的评审方法和标准，对资格性审查和符合性审查合格的响应文件进行商务和技术评审，综合比较和评价。</w:t>
      </w:r>
    </w:p>
    <w:p w14:paraId="4A7EC1A8">
      <w:pPr>
        <w:spacing w:line="360" w:lineRule="auto"/>
        <w:ind w:firstLine="360" w:firstLineChars="150"/>
        <w:rPr>
          <w:rFonts w:ascii="宋体" w:hAnsi="宋体" w:cs="宋体"/>
          <w:color w:val="auto"/>
          <w:sz w:val="24"/>
        </w:rPr>
      </w:pPr>
      <w:r>
        <w:rPr>
          <w:rFonts w:hint="eastAsia" w:ascii="宋体" w:hAnsi="宋体" w:cs="宋体"/>
          <w:color w:val="auto"/>
          <w:sz w:val="24"/>
        </w:rPr>
        <w:t>（2）采用综合评分法：二次报价为最终报价，在满足磋商文件所有实质性要求前提下，提交最终报价。如采购需求没有实质性变化，各供应商的报价应逐次降低，二次报价高于一次报价的，为无效报价，按无效文件处理。</w:t>
      </w:r>
    </w:p>
    <w:p w14:paraId="1BC0205F">
      <w:pPr>
        <w:spacing w:line="360" w:lineRule="auto"/>
        <w:ind w:firstLine="360" w:firstLineChars="150"/>
        <w:rPr>
          <w:rFonts w:ascii="宋体" w:hAnsi="宋体" w:cs="宋体"/>
          <w:color w:val="auto"/>
          <w:sz w:val="24"/>
          <w:lang w:val="zh-CN"/>
        </w:rPr>
      </w:pPr>
      <w:r>
        <w:rPr>
          <w:rFonts w:hint="eastAsia" w:ascii="宋体" w:hAnsi="宋体" w:cs="宋体"/>
          <w:color w:val="auto"/>
          <w:sz w:val="24"/>
        </w:rPr>
        <w:t xml:space="preserve"> （3）</w:t>
      </w:r>
      <w:r>
        <w:rPr>
          <w:rFonts w:hint="eastAsia" w:ascii="宋体" w:hAnsi="宋体" w:cs="宋体"/>
          <w:color w:val="auto"/>
          <w:sz w:val="24"/>
          <w:lang w:val="zh-CN"/>
        </w:rPr>
        <w:t>磋商小组应当根据综合评分情况，按照评审得分由高到低顺序推荐3名成交候选供应商，并编写评审报告。评审得分相同的，按照最后报价由低到高的顺序推荐。评审得分且最后报价相同的，按照服务方案优劣顺序推荐，磋商小组认为供应商的报价明显低于其他通过符合性审查供应商的报价，有可能影响项目质量或者不能诚信履约的，应当要求其在磋商现场合理的时间内提供书面说明，必要时提交相关证明材料；供应商不能证明其报价合理性的，磋商小组应当将其作为无效文件处理。</w:t>
      </w:r>
    </w:p>
    <w:p w14:paraId="3822FC4A">
      <w:pPr>
        <w:spacing w:line="360" w:lineRule="auto"/>
        <w:ind w:firstLine="360" w:firstLineChars="150"/>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4</w:t>
      </w:r>
      <w:r>
        <w:rPr>
          <w:rFonts w:hint="eastAsia" w:ascii="宋体" w:hAnsi="宋体" w:cs="宋体"/>
          <w:color w:val="auto"/>
          <w:sz w:val="24"/>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3F9B2EC">
      <w:pPr>
        <w:pStyle w:val="4"/>
        <w:spacing w:line="360" w:lineRule="auto"/>
        <w:ind w:firstLine="482" w:firstLineChars="200"/>
        <w:rPr>
          <w:rFonts w:ascii="宋体" w:hAnsi="宋体" w:cs="宋体"/>
          <w:color w:val="auto"/>
          <w:sz w:val="24"/>
          <w:szCs w:val="28"/>
        </w:rPr>
      </w:pPr>
      <w:r>
        <w:rPr>
          <w:rFonts w:hint="eastAsia" w:ascii="宋体" w:hAnsi="宋体" w:cs="宋体"/>
          <w:color w:val="auto"/>
          <w:sz w:val="24"/>
          <w:szCs w:val="28"/>
          <w:lang w:eastAsia="zh-CN"/>
        </w:rPr>
        <w:t>7.</w:t>
      </w:r>
      <w:r>
        <w:rPr>
          <w:rFonts w:hint="eastAsia" w:ascii="宋体" w:hAnsi="宋体" w:cs="宋体"/>
          <w:color w:val="auto"/>
          <w:sz w:val="24"/>
          <w:szCs w:val="28"/>
        </w:rPr>
        <w:t>定标</w:t>
      </w:r>
      <w:bookmarkEnd w:id="100"/>
      <w:bookmarkEnd w:id="101"/>
    </w:p>
    <w:p w14:paraId="75ECD985">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7.1代理机构在评审结束后2个工作日内将评审报告送达采购单位，采购单位在收到评审报告后5个工作日内，按照评审报告中推荐的成交候选人顺序确认第一成交候选人为成交单位，同时书面复函代理机构；</w:t>
      </w:r>
    </w:p>
    <w:p w14:paraId="5BF0EFB9">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7.2代理机构收到采购单位“定标复函”后2日内，在财政部门指定的政府采购信息媒体上发布公告，并向成交供应商发出“成交通知书”。</w:t>
      </w:r>
    </w:p>
    <w:p w14:paraId="37FF54E9">
      <w:pPr>
        <w:widowControl/>
        <w:numPr>
          <w:ilvl w:val="0"/>
          <w:numId w:val="2"/>
        </w:numPr>
        <w:spacing w:line="360" w:lineRule="auto"/>
        <w:ind w:firstLine="562" w:firstLineChars="200"/>
        <w:jc w:val="center"/>
        <w:outlineLvl w:val="1"/>
        <w:rPr>
          <w:rFonts w:ascii="宋体" w:hAnsi="宋体" w:cs="宋体"/>
          <w:b/>
          <w:bCs/>
          <w:color w:val="auto"/>
          <w:kern w:val="0"/>
          <w:sz w:val="28"/>
          <w:szCs w:val="28"/>
        </w:rPr>
      </w:pPr>
      <w:bookmarkStart w:id="102" w:name="_Toc536202384"/>
      <w:bookmarkStart w:id="103" w:name="_Toc19972"/>
      <w:bookmarkStart w:id="104" w:name="_Toc19543341"/>
      <w:bookmarkStart w:id="105" w:name="_Toc536202315"/>
      <w:bookmarkStart w:id="106" w:name="_Toc11870"/>
      <w:bookmarkStart w:id="107" w:name="_Toc536429324"/>
      <w:bookmarkStart w:id="108" w:name="_Toc536429377"/>
      <w:bookmarkStart w:id="109" w:name="_Toc25308"/>
      <w:r>
        <w:rPr>
          <w:rFonts w:hint="eastAsia" w:ascii="宋体" w:hAnsi="宋体" w:cs="宋体"/>
          <w:b/>
          <w:bCs/>
          <w:color w:val="auto"/>
          <w:kern w:val="0"/>
          <w:sz w:val="28"/>
          <w:szCs w:val="28"/>
        </w:rPr>
        <w:t>签订合同</w:t>
      </w:r>
      <w:bookmarkEnd w:id="102"/>
      <w:bookmarkEnd w:id="103"/>
      <w:bookmarkEnd w:id="104"/>
      <w:bookmarkEnd w:id="105"/>
      <w:bookmarkEnd w:id="106"/>
      <w:bookmarkEnd w:id="107"/>
      <w:bookmarkEnd w:id="108"/>
      <w:bookmarkEnd w:id="109"/>
    </w:p>
    <w:p w14:paraId="5198C592">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1.</w:t>
      </w:r>
      <w:r>
        <w:rPr>
          <w:rFonts w:hint="eastAsia" w:ascii="宋体" w:hAnsi="宋体" w:cs="宋体"/>
          <w:color w:val="auto"/>
          <w:sz w:val="24"/>
        </w:rPr>
        <w:t>成交后，成交供应商在收到成交通知书后</w:t>
      </w:r>
      <w:r>
        <w:rPr>
          <w:rFonts w:hint="eastAsia" w:ascii="宋体" w:hAnsi="宋体" w:cs="宋体"/>
          <w:color w:val="auto"/>
          <w:sz w:val="24"/>
          <w:lang w:val="en-US" w:eastAsia="zh-CN"/>
        </w:rPr>
        <w:t>二十五</w:t>
      </w:r>
      <w:r>
        <w:rPr>
          <w:rFonts w:hint="eastAsia" w:ascii="宋体" w:hAnsi="宋体" w:cs="宋体"/>
          <w:color w:val="auto"/>
          <w:sz w:val="24"/>
        </w:rPr>
        <w:t>（</w:t>
      </w:r>
      <w:r>
        <w:rPr>
          <w:rFonts w:hint="eastAsia" w:ascii="宋体" w:hAnsi="宋体" w:cs="宋体"/>
          <w:color w:val="auto"/>
          <w:sz w:val="24"/>
          <w:lang w:val="en-US" w:eastAsia="zh-CN"/>
        </w:rPr>
        <w:t>25</w:t>
      </w:r>
      <w:r>
        <w:rPr>
          <w:rFonts w:hint="eastAsia" w:ascii="宋体" w:hAnsi="宋体" w:cs="宋体"/>
          <w:color w:val="auto"/>
          <w:sz w:val="24"/>
        </w:rPr>
        <w:t>）个日历日内，应按磋商文件的要求与采购人洽谈合同条款，并签订供货合同，同时送监督机构备案，磋商文件及成交供应商的响应文件均作为合同的组成部分；</w:t>
      </w:r>
    </w:p>
    <w:p w14:paraId="02D9D9D7">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2.</w:t>
      </w:r>
      <w:r>
        <w:rPr>
          <w:rFonts w:hint="eastAsia" w:ascii="宋体" w:hAnsi="宋体" w:cs="宋体"/>
          <w:color w:val="auto"/>
          <w:sz w:val="24"/>
          <w:szCs w:val="28"/>
        </w:rPr>
        <w:t>采购人不得向成交供应商提出超出磋商文件以外的任何要求作为签订合同的条件，不得与成交供应商订立背离磋商文件确定的合同文本以及采购服务要求实质性内容的协议。</w:t>
      </w:r>
    </w:p>
    <w:p w14:paraId="4081BEE6">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3.</w:t>
      </w:r>
      <w:r>
        <w:rPr>
          <w:rFonts w:hint="eastAsia" w:ascii="宋体" w:hAnsi="宋体" w:cs="宋体"/>
          <w:color w:val="auto"/>
          <w:sz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23D45998">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4.</w:t>
      </w:r>
      <w:r>
        <w:rPr>
          <w:rFonts w:hint="eastAsia" w:ascii="宋体" w:hAnsi="宋体" w:cs="宋体"/>
          <w:color w:val="auto"/>
          <w:sz w:val="24"/>
        </w:rPr>
        <w:t>政府采购合同在执行过程中，确需修改、变更时，应当按照相应的审核批准程序办理。</w:t>
      </w:r>
    </w:p>
    <w:p w14:paraId="10CA07B3">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5.</w:t>
      </w:r>
      <w:r>
        <w:rPr>
          <w:rFonts w:hint="eastAsia" w:ascii="宋体" w:hAnsi="宋体" w:cs="宋体"/>
          <w:color w:val="auto"/>
          <w:sz w:val="24"/>
        </w:rPr>
        <w:t>磋商文件、响应文件、澄清等为政府采购合同的组成部分，具有同等法律效力。</w:t>
      </w:r>
    </w:p>
    <w:p w14:paraId="7FBE94B9">
      <w:pPr>
        <w:spacing w:line="360" w:lineRule="auto"/>
        <w:ind w:firstLine="480" w:firstLineChars="200"/>
        <w:rPr>
          <w:rFonts w:ascii="宋体" w:hAnsi="宋体" w:cs="宋体"/>
          <w:color w:val="auto"/>
          <w:sz w:val="24"/>
        </w:rPr>
      </w:pPr>
      <w:bookmarkStart w:id="110" w:name="_Toc26132"/>
      <w:bookmarkStart w:id="111" w:name="_Toc536429325"/>
      <w:bookmarkStart w:id="112" w:name="_Toc536202385"/>
      <w:bookmarkStart w:id="113" w:name="_Toc536202316"/>
      <w:bookmarkStart w:id="114" w:name="_Toc28110"/>
      <w:bookmarkStart w:id="115" w:name="_Toc536429378"/>
      <w:bookmarkStart w:id="116" w:name="_Toc32237"/>
      <w:r>
        <w:rPr>
          <w:rFonts w:hint="eastAsia" w:ascii="宋体" w:hAnsi="宋体" w:cs="宋体"/>
          <w:color w:val="auto"/>
          <w:sz w:val="24"/>
          <w:lang w:eastAsia="zh-CN"/>
        </w:rPr>
        <w:t>6.</w:t>
      </w:r>
      <w:r>
        <w:rPr>
          <w:rFonts w:hint="eastAsia" w:ascii="宋体" w:hAnsi="宋体" w:cs="宋体"/>
          <w:color w:val="auto"/>
          <w:sz w:val="24"/>
        </w:rPr>
        <w:t>政府采购管理部门在合同履行期间以及履行期后，可以随时检查项目的执行情况，对采购标准、采购内容进行调查核实，并对发现的问题进行处理。</w:t>
      </w:r>
    </w:p>
    <w:p w14:paraId="5F12FC05">
      <w:pPr>
        <w:widowControl/>
        <w:numPr>
          <w:ilvl w:val="0"/>
          <w:numId w:val="2"/>
        </w:numPr>
        <w:spacing w:line="360" w:lineRule="auto"/>
        <w:ind w:firstLine="562" w:firstLineChars="200"/>
        <w:jc w:val="center"/>
        <w:outlineLvl w:val="1"/>
        <w:rPr>
          <w:rFonts w:ascii="宋体" w:hAnsi="宋体" w:cs="宋体"/>
          <w:b/>
          <w:bCs/>
          <w:color w:val="auto"/>
          <w:kern w:val="0"/>
          <w:sz w:val="28"/>
          <w:szCs w:val="28"/>
        </w:rPr>
      </w:pPr>
      <w:bookmarkStart w:id="117" w:name="_Toc19543342"/>
      <w:r>
        <w:rPr>
          <w:rFonts w:hint="eastAsia" w:ascii="宋体" w:hAnsi="宋体" w:cs="宋体"/>
          <w:b/>
          <w:bCs/>
          <w:color w:val="auto"/>
          <w:kern w:val="0"/>
          <w:sz w:val="28"/>
          <w:szCs w:val="28"/>
        </w:rPr>
        <w:t>代理服务费</w:t>
      </w:r>
      <w:bookmarkEnd w:id="110"/>
      <w:bookmarkEnd w:id="111"/>
      <w:bookmarkEnd w:id="112"/>
      <w:bookmarkEnd w:id="113"/>
      <w:bookmarkEnd w:id="114"/>
      <w:bookmarkEnd w:id="115"/>
      <w:bookmarkEnd w:id="116"/>
      <w:bookmarkEnd w:id="117"/>
    </w:p>
    <w:p w14:paraId="1EAB3257">
      <w:pPr>
        <w:numPr>
          <w:ilvl w:val="0"/>
          <w:numId w:val="0"/>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1.</w:t>
      </w:r>
      <w:r>
        <w:rPr>
          <w:rFonts w:hint="eastAsia" w:ascii="宋体" w:hAnsi="宋体" w:cs="宋体"/>
          <w:color w:val="auto"/>
          <w:sz w:val="24"/>
          <w:szCs w:val="28"/>
        </w:rPr>
        <w:t>参照国家计委颁发的《招标代理服务收费管理暂行办法》（计价格[2002]1980号）和国家发展</w:t>
      </w:r>
      <w:r>
        <w:rPr>
          <w:rFonts w:hint="eastAsia" w:ascii="宋体" w:hAnsi="宋体" w:cs="宋体"/>
          <w:color w:val="auto"/>
          <w:sz w:val="24"/>
          <w:szCs w:val="28"/>
          <w:lang w:val="en-US" w:eastAsia="zh-CN"/>
        </w:rPr>
        <w:t>和</w:t>
      </w:r>
      <w:r>
        <w:rPr>
          <w:rFonts w:hint="eastAsia" w:ascii="宋体" w:hAnsi="宋体" w:cs="宋体"/>
          <w:color w:val="auto"/>
          <w:sz w:val="24"/>
          <w:szCs w:val="28"/>
        </w:rPr>
        <w:t xml:space="preserve">改革委员会办公厅颁发的《关于招标代理服务收费有关问题的通知》（发改办价格[2003]857号）的标准收取。（采购代理机构开户名称：安康尚昊招标代理有限公司  开户行名称：中国建设银行股份有限公司安康分行营业部  </w:t>
      </w:r>
      <w:r>
        <w:rPr>
          <w:rFonts w:hint="eastAsia" w:ascii="宋体" w:hAnsi="宋体" w:cs="宋体"/>
          <w:color w:val="auto"/>
          <w:sz w:val="24"/>
          <w:szCs w:val="28"/>
          <w:lang w:eastAsia="zh-CN"/>
        </w:rPr>
        <w:t>账号</w:t>
      </w:r>
      <w:r>
        <w:rPr>
          <w:rFonts w:hint="eastAsia" w:ascii="宋体" w:hAnsi="宋体" w:cs="宋体"/>
          <w:color w:val="auto"/>
          <w:sz w:val="24"/>
          <w:szCs w:val="28"/>
        </w:rPr>
        <w:t>：61050166371100000492）</w:t>
      </w:r>
    </w:p>
    <w:p w14:paraId="4F050B0D">
      <w:pPr>
        <w:numPr>
          <w:ilvl w:val="0"/>
          <w:numId w:val="0"/>
        </w:num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2.本次项目代理服务费由中标人支付，</w:t>
      </w:r>
      <w:r>
        <w:rPr>
          <w:rFonts w:hint="eastAsia" w:ascii="宋体" w:hAnsi="宋体" w:cs="宋体"/>
          <w:color w:val="auto"/>
          <w:sz w:val="24"/>
          <w:szCs w:val="28"/>
        </w:rPr>
        <w:t>代理服务费以转账、电汇或现金等形式交纳。</w:t>
      </w:r>
    </w:p>
    <w:p w14:paraId="369ED418">
      <w:pPr>
        <w:widowControl/>
        <w:numPr>
          <w:ilvl w:val="0"/>
          <w:numId w:val="2"/>
        </w:numPr>
        <w:spacing w:line="360" w:lineRule="auto"/>
        <w:ind w:firstLine="0"/>
        <w:jc w:val="center"/>
        <w:outlineLvl w:val="1"/>
        <w:rPr>
          <w:rFonts w:ascii="宋体" w:hAnsi="宋体" w:cs="宋体"/>
          <w:b/>
          <w:bCs/>
          <w:color w:val="auto"/>
          <w:kern w:val="0"/>
          <w:sz w:val="28"/>
          <w:szCs w:val="28"/>
        </w:rPr>
      </w:pPr>
      <w:bookmarkStart w:id="118" w:name="_Toc11491"/>
      <w:bookmarkStart w:id="119" w:name="_Toc536202386"/>
      <w:bookmarkStart w:id="120" w:name="_Toc536429326"/>
      <w:bookmarkStart w:id="121" w:name="_Toc536202317"/>
      <w:bookmarkStart w:id="122" w:name="_Toc536429379"/>
      <w:bookmarkStart w:id="123" w:name="_Toc664"/>
      <w:bookmarkStart w:id="124" w:name="_Toc19543343"/>
      <w:r>
        <w:rPr>
          <w:rFonts w:hint="eastAsia" w:ascii="宋体" w:hAnsi="宋体" w:cs="宋体"/>
          <w:b/>
          <w:bCs/>
          <w:color w:val="auto"/>
          <w:kern w:val="0"/>
          <w:sz w:val="28"/>
          <w:szCs w:val="28"/>
        </w:rPr>
        <w:t>质疑和投诉</w:t>
      </w:r>
      <w:bookmarkEnd w:id="118"/>
      <w:bookmarkEnd w:id="119"/>
      <w:bookmarkEnd w:id="120"/>
      <w:bookmarkEnd w:id="121"/>
      <w:bookmarkEnd w:id="122"/>
      <w:bookmarkEnd w:id="123"/>
      <w:bookmarkEnd w:id="124"/>
    </w:p>
    <w:p w14:paraId="17769182">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质疑或投诉的接收和处理应当按照《中华人民共和国政府采购法》及其实施条例、《政府采购质疑和投诉办法</w:t>
      </w:r>
      <w:r>
        <w:rPr>
          <w:rFonts w:hint="eastAsia" w:ascii="宋体" w:hAnsi="宋体" w:cs="宋体"/>
          <w:color w:val="auto"/>
          <w:sz w:val="24"/>
          <w:szCs w:val="28"/>
          <w:lang w:eastAsia="zh-CN"/>
        </w:rPr>
        <w:t>》《</w:t>
      </w:r>
      <w:r>
        <w:rPr>
          <w:rFonts w:hint="eastAsia" w:ascii="宋体" w:hAnsi="宋体" w:cs="宋体"/>
          <w:color w:val="auto"/>
          <w:sz w:val="24"/>
          <w:szCs w:val="28"/>
        </w:rPr>
        <w:t>财政部关于加强政府采购供应商投诉受理审查工作的通知》等的相关规定办理。</w:t>
      </w:r>
    </w:p>
    <w:p w14:paraId="2FFA6328">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1.</w:t>
      </w:r>
      <w:r>
        <w:rPr>
          <w:rFonts w:hint="eastAsia" w:ascii="宋体" w:hAnsi="宋体" w:cs="宋体"/>
          <w:color w:val="auto"/>
          <w:sz w:val="24"/>
          <w:szCs w:val="28"/>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5D2E8E58">
      <w:pPr>
        <w:spacing w:line="360" w:lineRule="auto"/>
        <w:ind w:firstLine="240" w:firstLineChars="100"/>
        <w:jc w:val="left"/>
        <w:rPr>
          <w:rFonts w:ascii="宋体" w:hAnsi="宋体" w:cs="宋体"/>
          <w:color w:val="auto"/>
          <w:sz w:val="24"/>
          <w:szCs w:val="28"/>
        </w:rPr>
      </w:pPr>
      <w:r>
        <w:rPr>
          <w:rFonts w:hint="eastAsia" w:ascii="宋体" w:hAnsi="宋体" w:cs="宋体"/>
          <w:color w:val="auto"/>
          <w:sz w:val="24"/>
          <w:szCs w:val="28"/>
        </w:rPr>
        <w:t>（1）对采购文件提出质疑的，为收到采购文件之日或者采购文件公告期限届满之日；</w:t>
      </w:r>
    </w:p>
    <w:p w14:paraId="485816BA">
      <w:pPr>
        <w:spacing w:line="360" w:lineRule="auto"/>
        <w:ind w:firstLine="240" w:firstLineChars="100"/>
        <w:jc w:val="left"/>
        <w:rPr>
          <w:rFonts w:ascii="宋体" w:hAnsi="宋体" w:cs="宋体"/>
          <w:color w:val="auto"/>
          <w:sz w:val="24"/>
          <w:szCs w:val="28"/>
        </w:rPr>
      </w:pPr>
      <w:r>
        <w:rPr>
          <w:rFonts w:hint="eastAsia" w:ascii="宋体" w:hAnsi="宋体" w:cs="宋体"/>
          <w:color w:val="auto"/>
          <w:sz w:val="24"/>
          <w:szCs w:val="28"/>
        </w:rPr>
        <w:t>（2）对采购过程提出质疑的，为各采购程序环节结束之日；</w:t>
      </w:r>
    </w:p>
    <w:p w14:paraId="056884B7">
      <w:pPr>
        <w:spacing w:line="360" w:lineRule="auto"/>
        <w:ind w:firstLine="240" w:firstLineChars="100"/>
        <w:jc w:val="left"/>
        <w:rPr>
          <w:rFonts w:ascii="宋体" w:hAnsi="宋体" w:cs="宋体"/>
          <w:color w:val="auto"/>
          <w:sz w:val="24"/>
          <w:szCs w:val="28"/>
        </w:rPr>
      </w:pPr>
      <w:r>
        <w:rPr>
          <w:rFonts w:hint="eastAsia" w:ascii="宋体" w:hAnsi="宋体" w:cs="宋体"/>
          <w:color w:val="auto"/>
          <w:sz w:val="24"/>
          <w:szCs w:val="28"/>
        </w:rPr>
        <w:t>（3）对中标或者成交结果提出质疑的，为中标或者成交结果公告期限届满之日。</w:t>
      </w:r>
    </w:p>
    <w:p w14:paraId="011FBD0A">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2.</w:t>
      </w:r>
      <w:r>
        <w:rPr>
          <w:rFonts w:hint="eastAsia" w:ascii="宋体" w:hAnsi="宋体" w:cs="宋体"/>
          <w:color w:val="auto"/>
          <w:sz w:val="24"/>
          <w:szCs w:val="28"/>
        </w:rPr>
        <w:t>供应商应当在法定质疑期内一次性提出针对同一采购程序环节的质疑。</w:t>
      </w:r>
    </w:p>
    <w:p w14:paraId="101E9E30">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3.</w:t>
      </w:r>
      <w:r>
        <w:rPr>
          <w:rFonts w:hint="eastAsia" w:ascii="宋体" w:hAnsi="宋体" w:cs="宋体"/>
          <w:color w:val="auto"/>
          <w:sz w:val="24"/>
          <w:szCs w:val="28"/>
        </w:rPr>
        <w:t>质疑函应当包括下列主要内容：</w:t>
      </w:r>
    </w:p>
    <w:p w14:paraId="608C6C66">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（1）供应商的姓名或者名称、地址、邮编、联系人及联系电话；</w:t>
      </w:r>
    </w:p>
    <w:p w14:paraId="00455932">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（2）质疑项目的名称、编号；</w:t>
      </w:r>
    </w:p>
    <w:p w14:paraId="64F68BF5">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（3）具体、明确的质疑事项和与质疑事项相关的请求；</w:t>
      </w:r>
    </w:p>
    <w:p w14:paraId="34B9742A">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（4）事实依据；</w:t>
      </w:r>
    </w:p>
    <w:p w14:paraId="45A21C54">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（5）必要的法律依据；</w:t>
      </w:r>
    </w:p>
    <w:p w14:paraId="51A5F149">
      <w:pPr>
        <w:spacing w:line="360" w:lineRule="auto"/>
        <w:ind w:firstLine="360" w:firstLineChars="150"/>
        <w:jc w:val="left"/>
        <w:rPr>
          <w:rFonts w:ascii="宋体" w:hAnsi="宋体" w:cs="宋体"/>
          <w:color w:val="auto"/>
          <w:sz w:val="24"/>
          <w:szCs w:val="28"/>
        </w:rPr>
      </w:pPr>
      <w:r>
        <w:rPr>
          <w:rFonts w:hint="eastAsia" w:ascii="宋体" w:hAnsi="宋体" w:cs="宋体"/>
          <w:color w:val="auto"/>
          <w:sz w:val="24"/>
          <w:szCs w:val="28"/>
        </w:rPr>
        <w:t>（6）提出质疑的日期。</w:t>
      </w:r>
    </w:p>
    <w:p w14:paraId="43B6495C">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4.</w:t>
      </w:r>
      <w:r>
        <w:rPr>
          <w:rFonts w:hint="eastAsia" w:ascii="宋体" w:hAnsi="宋体" w:cs="宋体"/>
          <w:color w:val="auto"/>
          <w:sz w:val="24"/>
          <w:szCs w:val="28"/>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783BF9D2">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5.</w:t>
      </w:r>
      <w:r>
        <w:rPr>
          <w:rFonts w:hint="eastAsia" w:ascii="宋体" w:hAnsi="宋体" w:cs="宋体"/>
          <w:color w:val="auto"/>
          <w:sz w:val="24"/>
          <w:szCs w:val="28"/>
        </w:rPr>
        <w:t>质疑函内容不得含有虚假、恶意</w:t>
      </w:r>
      <w:r>
        <w:rPr>
          <w:rFonts w:hint="eastAsia" w:ascii="宋体" w:hAnsi="宋体" w:cs="宋体"/>
          <w:color w:val="auto"/>
          <w:sz w:val="24"/>
          <w:szCs w:val="28"/>
          <w:lang w:eastAsia="zh-CN"/>
        </w:rPr>
        <w:t>成分</w:t>
      </w:r>
      <w:r>
        <w:rPr>
          <w:rFonts w:hint="eastAsia" w:ascii="宋体" w:hAnsi="宋体" w:cs="宋体"/>
          <w:color w:val="auto"/>
          <w:sz w:val="24"/>
          <w:szCs w:val="28"/>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5022721C">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6.</w:t>
      </w:r>
      <w:r>
        <w:rPr>
          <w:rFonts w:hint="eastAsia" w:ascii="宋体" w:hAnsi="宋体" w:cs="宋体"/>
          <w:color w:val="auto"/>
          <w:sz w:val="24"/>
          <w:szCs w:val="28"/>
        </w:rPr>
        <w:t xml:space="preserve">质疑函接收方式：由自然人本人或法定代表人或者其授权代表携带书面原件及身份证明原件到现场递交，否则不予受理 。 </w:t>
      </w:r>
    </w:p>
    <w:p w14:paraId="200C36C3">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7.</w:t>
      </w:r>
      <w:r>
        <w:rPr>
          <w:rFonts w:hint="eastAsia" w:ascii="宋体" w:hAnsi="宋体" w:cs="宋体"/>
          <w:color w:val="auto"/>
          <w:sz w:val="24"/>
          <w:szCs w:val="28"/>
        </w:rPr>
        <w:t>质疑受理部门：安康尚昊招标代理有限公司</w:t>
      </w:r>
    </w:p>
    <w:p w14:paraId="7D256DA6">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 xml:space="preserve">   质疑受理电话：13991519725</w:t>
      </w:r>
    </w:p>
    <w:p w14:paraId="186B6F48">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8.</w:t>
      </w:r>
      <w:r>
        <w:rPr>
          <w:rFonts w:hint="eastAsia" w:ascii="宋体" w:hAnsi="宋体" w:cs="宋体"/>
          <w:color w:val="auto"/>
          <w:sz w:val="24"/>
          <w:szCs w:val="28"/>
        </w:rPr>
        <w:t>提交质疑函地点：安康市高新区</w:t>
      </w:r>
      <w:r>
        <w:rPr>
          <w:rFonts w:hint="eastAsia" w:ascii="宋体" w:hAnsi="宋体" w:cs="宋体"/>
          <w:color w:val="auto"/>
          <w:sz w:val="24"/>
          <w:szCs w:val="28"/>
          <w:lang w:eastAsia="zh-CN"/>
        </w:rPr>
        <w:t>高新观澜8栋</w:t>
      </w:r>
      <w:r>
        <w:rPr>
          <w:rFonts w:hint="eastAsia" w:ascii="宋体" w:hAnsi="宋体" w:cs="宋体"/>
          <w:color w:val="auto"/>
          <w:sz w:val="24"/>
          <w:szCs w:val="28"/>
        </w:rPr>
        <w:t>2单元801室</w:t>
      </w:r>
    </w:p>
    <w:p w14:paraId="4750A62E">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9.</w:t>
      </w:r>
      <w:r>
        <w:rPr>
          <w:rFonts w:hint="eastAsia" w:ascii="宋体" w:hAnsi="宋体" w:cs="宋体"/>
          <w:color w:val="auto"/>
          <w:sz w:val="24"/>
          <w:szCs w:val="28"/>
        </w:rPr>
        <w:t>本次采购活动中，采购代理机构对质疑函回复的书面文件的送达方式为现场取件。</w:t>
      </w:r>
    </w:p>
    <w:p w14:paraId="170C3A7E">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如所质疑的问题比较复杂，采购人或者采购代理机构在规定的答复时间内无法回复，应事先告知提出质疑的供应商，同时向同级政府采购监督管理部门报告。</w:t>
      </w:r>
    </w:p>
    <w:p w14:paraId="336F0A10">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10</w:t>
      </w:r>
      <w:r>
        <w:rPr>
          <w:rFonts w:hint="eastAsia" w:ascii="宋体" w:hAnsi="宋体" w:cs="宋体"/>
          <w:color w:val="auto"/>
          <w:sz w:val="24"/>
          <w:szCs w:val="28"/>
          <w:lang w:val="en-US" w:eastAsia="zh-CN"/>
        </w:rPr>
        <w:t>.</w:t>
      </w:r>
      <w:r>
        <w:rPr>
          <w:rFonts w:hint="eastAsia" w:ascii="宋体" w:hAnsi="宋体" w:cs="宋体"/>
          <w:color w:val="auto"/>
          <w:sz w:val="24"/>
          <w:szCs w:val="28"/>
        </w:rPr>
        <w:t>质疑供应商对采购人、采购代理机构的答复不满意，或者采购人、采购代理机构未在规定的时间内作出答复的，可以在答复期满后15个工作日内向采购人的同级政府采购监督管理部门投诉。</w:t>
      </w:r>
    </w:p>
    <w:p w14:paraId="68921723">
      <w:pPr>
        <w:spacing w:line="360" w:lineRule="auto"/>
        <w:ind w:firstLine="480" w:firstLineChars="200"/>
        <w:rPr>
          <w:rFonts w:ascii="宋体" w:hAnsi="宋体" w:cs="宋体"/>
          <w:color w:val="auto"/>
          <w:sz w:val="24"/>
          <w:szCs w:val="28"/>
        </w:rPr>
      </w:pPr>
      <w:r>
        <w:rPr>
          <w:rFonts w:hint="eastAsia" w:ascii="宋体" w:hAnsi="宋体" w:cs="宋体"/>
          <w:color w:val="auto"/>
          <w:sz w:val="24"/>
          <w:szCs w:val="28"/>
        </w:rPr>
        <w:t>1</w:t>
      </w:r>
      <w:r>
        <w:rPr>
          <w:rFonts w:hint="eastAsia" w:ascii="宋体" w:hAnsi="宋体" w:cs="宋体"/>
          <w:color w:val="auto"/>
          <w:sz w:val="24"/>
          <w:szCs w:val="28"/>
          <w:lang w:eastAsia="zh-CN"/>
        </w:rPr>
        <w:t>1.</w:t>
      </w:r>
      <w:r>
        <w:rPr>
          <w:rFonts w:hint="eastAsia" w:ascii="宋体" w:hAnsi="宋体" w:cs="宋体"/>
          <w:color w:val="auto"/>
          <w:sz w:val="24"/>
          <w:szCs w:val="28"/>
        </w:rPr>
        <w:t>质疑函应当使用中文。</w:t>
      </w:r>
    </w:p>
    <w:p w14:paraId="5C19285E">
      <w:pPr>
        <w:widowControl/>
        <w:numPr>
          <w:ilvl w:val="0"/>
          <w:numId w:val="2"/>
        </w:numPr>
        <w:spacing w:line="360" w:lineRule="auto"/>
        <w:ind w:firstLine="0"/>
        <w:jc w:val="center"/>
        <w:outlineLvl w:val="1"/>
        <w:rPr>
          <w:rFonts w:ascii="宋体" w:hAnsi="宋体" w:cs="宋体"/>
          <w:b/>
          <w:bCs/>
          <w:color w:val="auto"/>
          <w:kern w:val="0"/>
          <w:sz w:val="24"/>
          <w:szCs w:val="28"/>
        </w:rPr>
      </w:pPr>
      <w:bookmarkStart w:id="125" w:name="_Toc536202387"/>
      <w:bookmarkStart w:id="126" w:name="_Toc536429327"/>
      <w:bookmarkStart w:id="127" w:name="_Toc19543344"/>
      <w:bookmarkStart w:id="128" w:name="_Toc536202318"/>
      <w:bookmarkStart w:id="129" w:name="_Toc536429380"/>
      <w:r>
        <w:rPr>
          <w:rFonts w:hint="eastAsia" w:ascii="宋体" w:hAnsi="宋体" w:cs="宋体"/>
          <w:b/>
          <w:bCs/>
          <w:color w:val="auto"/>
          <w:kern w:val="0"/>
          <w:sz w:val="24"/>
          <w:szCs w:val="28"/>
        </w:rPr>
        <w:t>其他</w:t>
      </w:r>
      <w:bookmarkEnd w:id="125"/>
      <w:bookmarkEnd w:id="126"/>
      <w:bookmarkEnd w:id="127"/>
      <w:bookmarkEnd w:id="128"/>
      <w:bookmarkEnd w:id="129"/>
    </w:p>
    <w:p w14:paraId="3412B8F1">
      <w:pPr>
        <w:spacing w:line="360" w:lineRule="auto"/>
        <w:ind w:firstLine="480" w:firstLineChars="200"/>
        <w:jc w:val="left"/>
        <w:rPr>
          <w:rFonts w:ascii="宋体" w:hAnsi="宋体" w:cs="宋体"/>
          <w:color w:val="auto"/>
          <w:sz w:val="24"/>
          <w:szCs w:val="28"/>
        </w:rPr>
      </w:pPr>
      <w:bookmarkStart w:id="130" w:name="_Toc3298"/>
      <w:r>
        <w:rPr>
          <w:rFonts w:hint="eastAsia" w:ascii="宋体" w:hAnsi="宋体" w:cs="宋体"/>
          <w:color w:val="auto"/>
          <w:sz w:val="24"/>
          <w:szCs w:val="28"/>
          <w:lang w:eastAsia="zh-CN"/>
        </w:rPr>
        <w:t>1.</w:t>
      </w:r>
      <w:r>
        <w:rPr>
          <w:rFonts w:hint="eastAsia" w:ascii="宋体" w:hAnsi="宋体" w:cs="宋体"/>
          <w:color w:val="auto"/>
          <w:sz w:val="24"/>
          <w:szCs w:val="28"/>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6A7BE3E0">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（1）因情况变化，不再符合规定的竞争性磋商采购方式适用情形的；</w:t>
      </w:r>
    </w:p>
    <w:p w14:paraId="3564ABEC">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（2）出现影响采购公正的违法、违规行为的；</w:t>
      </w:r>
    </w:p>
    <w:p w14:paraId="4A4CA46D">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0781C1C4">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rPr>
        <w:t>（4）因重大变故，采购任务取消的。</w:t>
      </w:r>
    </w:p>
    <w:p w14:paraId="48245645">
      <w:pPr>
        <w:spacing w:line="360" w:lineRule="auto"/>
        <w:ind w:firstLine="480" w:firstLineChars="200"/>
        <w:jc w:val="left"/>
        <w:rPr>
          <w:rFonts w:ascii="宋体" w:hAnsi="宋体" w:cs="宋体"/>
          <w:color w:val="auto"/>
          <w:sz w:val="24"/>
          <w:szCs w:val="28"/>
        </w:rPr>
      </w:pPr>
      <w:r>
        <w:rPr>
          <w:rFonts w:hint="eastAsia" w:ascii="宋体" w:hAnsi="宋体" w:cs="宋体"/>
          <w:color w:val="auto"/>
          <w:sz w:val="24"/>
          <w:szCs w:val="28"/>
          <w:lang w:eastAsia="zh-CN"/>
        </w:rPr>
        <w:t>2.</w:t>
      </w:r>
      <w:r>
        <w:rPr>
          <w:rFonts w:hint="eastAsia" w:ascii="宋体" w:hAnsi="宋体" w:cs="宋体"/>
          <w:color w:val="auto"/>
          <w:sz w:val="24"/>
          <w:szCs w:val="28"/>
        </w:rPr>
        <w:t>磋商失败后，除采购任务取消外，将重新组织采购</w:t>
      </w:r>
      <w:bookmarkEnd w:id="130"/>
      <w:bookmarkStart w:id="131" w:name="_Toc536202388"/>
      <w:bookmarkStart w:id="132" w:name="_Toc536202319"/>
      <w:bookmarkStart w:id="133" w:name="_Toc25345"/>
      <w:bookmarkStart w:id="134" w:name="_Toc536429328"/>
      <w:bookmarkStart w:id="135" w:name="_Toc536429381"/>
      <w:r>
        <w:rPr>
          <w:rFonts w:hint="eastAsia" w:ascii="宋体" w:hAnsi="宋体" w:cs="宋体"/>
          <w:color w:val="auto"/>
          <w:sz w:val="24"/>
          <w:szCs w:val="28"/>
        </w:rPr>
        <w:t>。</w:t>
      </w:r>
      <w:bookmarkEnd w:id="131"/>
      <w:bookmarkEnd w:id="132"/>
      <w:bookmarkEnd w:id="133"/>
      <w:bookmarkEnd w:id="134"/>
      <w:bookmarkEnd w:id="135"/>
    </w:p>
    <w:p w14:paraId="38629AB4">
      <w:pPr>
        <w:widowControl/>
        <w:spacing w:line="360" w:lineRule="auto"/>
        <w:jc w:val="left"/>
        <w:rPr>
          <w:rFonts w:ascii="宋体" w:hAnsi="宋体" w:cs="宋体"/>
          <w:b/>
          <w:bCs/>
          <w:caps/>
          <w:color w:val="auto"/>
          <w:sz w:val="36"/>
          <w:szCs w:val="20"/>
        </w:rPr>
      </w:pPr>
      <w:bookmarkStart w:id="136" w:name="_Toc19543345"/>
      <w:r>
        <w:rPr>
          <w:rFonts w:hint="eastAsia" w:ascii="宋体" w:hAnsi="宋体" w:cs="宋体"/>
          <w:color w:val="auto"/>
          <w:sz w:val="36"/>
        </w:rPr>
        <w:br w:type="page"/>
      </w:r>
    </w:p>
    <w:p w14:paraId="4B15D25D">
      <w:pPr>
        <w:pStyle w:val="24"/>
        <w:numPr>
          <w:ilvl w:val="0"/>
          <w:numId w:val="6"/>
        </w:numPr>
        <w:spacing w:before="0" w:after="0" w:line="420" w:lineRule="exact"/>
        <w:jc w:val="center"/>
        <w:outlineLvl w:val="0"/>
        <w:rPr>
          <w:color w:val="auto"/>
          <w:sz w:val="36"/>
        </w:rPr>
      </w:pPr>
      <w:r>
        <w:rPr>
          <w:rFonts w:hint="eastAsia"/>
          <w:color w:val="auto"/>
          <w:sz w:val="36"/>
        </w:rPr>
        <w:t xml:space="preserve"> </w:t>
      </w:r>
      <w:bookmarkStart w:id="137" w:name="_Toc18523"/>
      <w:r>
        <w:rPr>
          <w:rFonts w:hint="eastAsia"/>
          <w:color w:val="auto"/>
          <w:sz w:val="36"/>
        </w:rPr>
        <w:t>评分</w:t>
      </w:r>
      <w:r>
        <w:rPr>
          <w:color w:val="auto"/>
          <w:sz w:val="36"/>
        </w:rPr>
        <w:t>标准</w:t>
      </w:r>
      <w:bookmarkEnd w:id="136"/>
      <w:bookmarkEnd w:id="137"/>
      <w:bookmarkStart w:id="138" w:name="_Toc262"/>
    </w:p>
    <w:tbl>
      <w:tblPr>
        <w:tblStyle w:val="35"/>
        <w:tblW w:w="9635" w:type="dxa"/>
        <w:jc w:val="center"/>
        <w:tblLayout w:type="fixed"/>
        <w:tblCellMar>
          <w:top w:w="0" w:type="dxa"/>
          <w:left w:w="108" w:type="dxa"/>
          <w:bottom w:w="0" w:type="dxa"/>
          <w:right w:w="108" w:type="dxa"/>
        </w:tblCellMar>
      </w:tblPr>
      <w:tblGrid>
        <w:gridCol w:w="503"/>
        <w:gridCol w:w="1179"/>
        <w:gridCol w:w="7953"/>
      </w:tblGrid>
      <w:tr w14:paraId="09EC9E55">
        <w:tblPrEx>
          <w:tblCellMar>
            <w:top w:w="0" w:type="dxa"/>
            <w:left w:w="108" w:type="dxa"/>
            <w:bottom w:w="0" w:type="dxa"/>
            <w:right w:w="108" w:type="dxa"/>
          </w:tblCellMar>
        </w:tblPrEx>
        <w:trPr>
          <w:trHeight w:val="764" w:hRule="atLeast"/>
          <w:jc w:val="center"/>
        </w:trPr>
        <w:tc>
          <w:tcPr>
            <w:tcW w:w="503" w:type="dxa"/>
            <w:tcBorders>
              <w:top w:val="single" w:color="auto" w:sz="4" w:space="0"/>
              <w:left w:val="single" w:color="auto" w:sz="4" w:space="0"/>
              <w:bottom w:val="single" w:color="000000" w:sz="6" w:space="0"/>
              <w:right w:val="single" w:color="000000" w:sz="6" w:space="0"/>
            </w:tcBorders>
            <w:vAlign w:val="center"/>
          </w:tcPr>
          <w:p w14:paraId="7B1DF122">
            <w:pPr>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序号</w:t>
            </w:r>
          </w:p>
        </w:tc>
        <w:tc>
          <w:tcPr>
            <w:tcW w:w="1179" w:type="dxa"/>
            <w:tcBorders>
              <w:top w:val="single" w:color="auto" w:sz="4" w:space="0"/>
              <w:left w:val="single" w:color="000000" w:sz="6" w:space="0"/>
              <w:bottom w:val="single" w:color="000000" w:sz="6" w:space="0"/>
              <w:right w:val="single" w:color="auto" w:sz="4" w:space="0"/>
            </w:tcBorders>
            <w:vAlign w:val="center"/>
          </w:tcPr>
          <w:p w14:paraId="6910340C">
            <w:pPr>
              <w:spacing w:line="360" w:lineRule="auto"/>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评审因素</w:t>
            </w:r>
          </w:p>
          <w:p w14:paraId="7623FD4D">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及</w:t>
            </w:r>
            <w:r>
              <w:rPr>
                <w:rFonts w:hint="eastAsia" w:ascii="宋体" w:hAnsi="宋体" w:eastAsia="宋体" w:cs="宋体"/>
                <w:b w:val="0"/>
                <w:bCs/>
                <w:color w:val="auto"/>
                <w:kern w:val="0"/>
                <w:sz w:val="24"/>
                <w:szCs w:val="24"/>
              </w:rPr>
              <w:t>权值</w:t>
            </w:r>
          </w:p>
        </w:tc>
        <w:tc>
          <w:tcPr>
            <w:tcW w:w="7953" w:type="dxa"/>
            <w:tcBorders>
              <w:top w:val="single" w:color="auto" w:sz="4" w:space="0"/>
              <w:left w:val="single" w:color="000000" w:sz="6" w:space="0"/>
              <w:bottom w:val="single" w:color="000000" w:sz="6" w:space="0"/>
              <w:right w:val="single" w:color="auto" w:sz="4" w:space="0"/>
            </w:tcBorders>
            <w:vAlign w:val="center"/>
          </w:tcPr>
          <w:p w14:paraId="1E8CE894">
            <w:pPr>
              <w:spacing w:line="360" w:lineRule="auto"/>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评审标准</w:t>
            </w:r>
          </w:p>
        </w:tc>
      </w:tr>
      <w:tr w14:paraId="2918B610">
        <w:tblPrEx>
          <w:tblCellMar>
            <w:top w:w="0" w:type="dxa"/>
            <w:left w:w="108" w:type="dxa"/>
            <w:bottom w:w="0" w:type="dxa"/>
            <w:right w:w="108" w:type="dxa"/>
          </w:tblCellMar>
        </w:tblPrEx>
        <w:trPr>
          <w:trHeight w:val="1070" w:hRule="atLeast"/>
          <w:jc w:val="center"/>
        </w:trPr>
        <w:tc>
          <w:tcPr>
            <w:tcW w:w="503" w:type="dxa"/>
            <w:tcBorders>
              <w:top w:val="single" w:color="000000" w:sz="6" w:space="0"/>
              <w:left w:val="single" w:color="auto" w:sz="4" w:space="0"/>
              <w:bottom w:val="single" w:color="000000" w:sz="6" w:space="0"/>
              <w:right w:val="single" w:color="000000" w:sz="6" w:space="0"/>
            </w:tcBorders>
            <w:vAlign w:val="center"/>
          </w:tcPr>
          <w:p w14:paraId="6173947B">
            <w:pPr>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1</w:t>
            </w:r>
          </w:p>
        </w:tc>
        <w:tc>
          <w:tcPr>
            <w:tcW w:w="1179" w:type="dxa"/>
            <w:tcBorders>
              <w:top w:val="single" w:color="000000" w:sz="6" w:space="0"/>
              <w:left w:val="single" w:color="000000" w:sz="6" w:space="0"/>
              <w:bottom w:val="single" w:color="000000" w:sz="6" w:space="0"/>
              <w:right w:val="single" w:color="auto" w:sz="4" w:space="0"/>
            </w:tcBorders>
            <w:vAlign w:val="center"/>
          </w:tcPr>
          <w:p w14:paraId="648B5ED7">
            <w:pPr>
              <w:spacing w:line="360" w:lineRule="auto"/>
              <w:jc w:val="center"/>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投标报价</w:t>
            </w:r>
          </w:p>
          <w:p w14:paraId="4E1DACA1">
            <w:pPr>
              <w:spacing w:line="360" w:lineRule="auto"/>
              <w:jc w:val="center"/>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15</w:t>
            </w:r>
            <w:r>
              <w:rPr>
                <w:rFonts w:hint="eastAsia" w:ascii="宋体" w:hAnsi="宋体" w:eastAsia="宋体" w:cs="宋体"/>
                <w:b w:val="0"/>
                <w:bCs/>
                <w:color w:val="auto"/>
                <w:kern w:val="0"/>
                <w:sz w:val="24"/>
                <w:szCs w:val="24"/>
              </w:rPr>
              <w:t>分</w:t>
            </w:r>
            <w:r>
              <w:rPr>
                <w:rFonts w:hint="eastAsia" w:ascii="宋体" w:hAnsi="宋体" w:eastAsia="宋体" w:cs="宋体"/>
                <w:b w:val="0"/>
                <w:bCs/>
                <w:color w:val="auto"/>
                <w:kern w:val="0"/>
                <w:sz w:val="24"/>
                <w:szCs w:val="24"/>
                <w:lang w:eastAsia="zh-CN"/>
              </w:rPr>
              <w:t>）</w:t>
            </w:r>
          </w:p>
        </w:tc>
        <w:tc>
          <w:tcPr>
            <w:tcW w:w="7953" w:type="dxa"/>
            <w:tcBorders>
              <w:top w:val="single" w:color="000000" w:sz="6" w:space="0"/>
              <w:left w:val="single" w:color="000000" w:sz="6" w:space="0"/>
              <w:bottom w:val="single" w:color="000000" w:sz="6" w:space="0"/>
              <w:right w:val="single" w:color="auto" w:sz="4" w:space="0"/>
            </w:tcBorders>
            <w:vAlign w:val="center"/>
          </w:tcPr>
          <w:p w14:paraId="7040B400">
            <w:pPr>
              <w:spacing w:line="360" w:lineRule="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满足磋商文件要求且最后报价最低的供应商的价格为基准价得</w:t>
            </w:r>
            <w:r>
              <w:rPr>
                <w:rFonts w:hint="eastAsia" w:ascii="宋体" w:hAnsi="宋体" w:cs="宋体"/>
                <w:b w:val="0"/>
                <w:bCs/>
                <w:color w:val="auto"/>
                <w:kern w:val="0"/>
                <w:sz w:val="24"/>
                <w:szCs w:val="24"/>
                <w:lang w:val="en-US" w:eastAsia="zh-CN"/>
              </w:rPr>
              <w:t>15</w:t>
            </w:r>
            <w:r>
              <w:rPr>
                <w:rFonts w:hint="eastAsia" w:ascii="宋体" w:hAnsi="宋体" w:eastAsia="宋体" w:cs="宋体"/>
                <w:b w:val="0"/>
                <w:bCs/>
                <w:color w:val="auto"/>
                <w:kern w:val="0"/>
                <w:sz w:val="24"/>
                <w:szCs w:val="24"/>
              </w:rPr>
              <w:t>分，其他各供应商的最后报价得分按下列公式计：（基准价/投标报价）×</w:t>
            </w:r>
            <w:r>
              <w:rPr>
                <w:rFonts w:hint="eastAsia" w:ascii="宋体" w:hAnsi="宋体" w:cs="宋体"/>
                <w:b w:val="0"/>
                <w:bCs/>
                <w:color w:val="auto"/>
                <w:kern w:val="0"/>
                <w:sz w:val="24"/>
                <w:szCs w:val="24"/>
                <w:lang w:val="en-US" w:eastAsia="zh-CN"/>
              </w:rPr>
              <w:t>15</w:t>
            </w:r>
            <w:r>
              <w:rPr>
                <w:rFonts w:hint="eastAsia" w:ascii="宋体" w:hAnsi="宋体" w:eastAsia="宋体" w:cs="宋体"/>
                <w:b w:val="0"/>
                <w:bCs/>
                <w:color w:val="auto"/>
                <w:kern w:val="0"/>
                <w:sz w:val="24"/>
                <w:szCs w:val="24"/>
              </w:rPr>
              <w:t>%×100。</w:t>
            </w:r>
          </w:p>
        </w:tc>
      </w:tr>
      <w:tr w14:paraId="255AC418">
        <w:tblPrEx>
          <w:tblCellMar>
            <w:top w:w="0" w:type="dxa"/>
            <w:left w:w="108" w:type="dxa"/>
            <w:bottom w:w="0" w:type="dxa"/>
            <w:right w:w="108" w:type="dxa"/>
          </w:tblCellMar>
        </w:tblPrEx>
        <w:trPr>
          <w:trHeight w:val="90" w:hRule="atLeast"/>
          <w:jc w:val="center"/>
        </w:trPr>
        <w:tc>
          <w:tcPr>
            <w:tcW w:w="503" w:type="dxa"/>
            <w:tcBorders>
              <w:top w:val="single" w:color="000000" w:sz="6" w:space="0"/>
              <w:left w:val="single" w:color="auto" w:sz="4" w:space="0"/>
              <w:bottom w:val="single" w:color="000000" w:sz="6" w:space="0"/>
              <w:right w:val="single" w:color="000000" w:sz="6" w:space="0"/>
            </w:tcBorders>
            <w:vAlign w:val="center"/>
          </w:tcPr>
          <w:p w14:paraId="44E32483">
            <w:pPr>
              <w:spacing w:line="360" w:lineRule="auto"/>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2</w:t>
            </w:r>
          </w:p>
        </w:tc>
        <w:tc>
          <w:tcPr>
            <w:tcW w:w="1179" w:type="dxa"/>
            <w:tcBorders>
              <w:top w:val="single" w:color="000000" w:sz="6" w:space="0"/>
              <w:left w:val="single" w:color="000000" w:sz="6" w:space="0"/>
              <w:bottom w:val="single" w:color="000000" w:sz="6" w:space="0"/>
              <w:right w:val="single" w:color="auto" w:sz="4" w:space="0"/>
            </w:tcBorders>
            <w:vAlign w:val="center"/>
          </w:tcPr>
          <w:p w14:paraId="1C7778A6">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商务响应</w:t>
            </w:r>
          </w:p>
          <w:p w14:paraId="5D774241">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w:t>
            </w:r>
            <w:r>
              <w:rPr>
                <w:rFonts w:hint="eastAsia" w:ascii="宋体" w:hAnsi="宋体" w:cs="宋体"/>
                <w:b w:val="0"/>
                <w:bCs/>
                <w:color w:val="auto"/>
                <w:kern w:val="0"/>
                <w:sz w:val="24"/>
                <w:szCs w:val="24"/>
                <w:lang w:val="en-US" w:eastAsia="zh-CN"/>
              </w:rPr>
              <w:t>3</w:t>
            </w:r>
            <w:r>
              <w:rPr>
                <w:rFonts w:hint="eastAsia" w:ascii="宋体" w:hAnsi="宋体" w:eastAsia="宋体" w:cs="宋体"/>
                <w:b w:val="0"/>
                <w:bCs/>
                <w:color w:val="auto"/>
                <w:kern w:val="0"/>
                <w:sz w:val="24"/>
                <w:szCs w:val="24"/>
                <w:lang w:val="en-US" w:eastAsia="zh-CN"/>
              </w:rPr>
              <w:t>分）</w:t>
            </w:r>
          </w:p>
        </w:tc>
        <w:tc>
          <w:tcPr>
            <w:tcW w:w="7953" w:type="dxa"/>
            <w:tcBorders>
              <w:top w:val="single" w:color="000000" w:sz="6" w:space="0"/>
              <w:left w:val="single" w:color="000000" w:sz="6" w:space="0"/>
              <w:bottom w:val="single" w:color="000000" w:sz="6" w:space="0"/>
              <w:right w:val="single" w:color="auto" w:sz="4" w:space="0"/>
            </w:tcBorders>
            <w:vAlign w:val="center"/>
          </w:tcPr>
          <w:p w14:paraId="297E405A">
            <w:pPr>
              <w:spacing w:line="360" w:lineRule="auto"/>
              <w:rPr>
                <w:rFonts w:hint="eastAsia" w:ascii="宋体" w:hAnsi="宋体" w:eastAsia="宋体" w:cs="宋体"/>
                <w:b w:val="0"/>
                <w:bCs/>
                <w:color w:val="auto"/>
                <w:kern w:val="0"/>
                <w:sz w:val="24"/>
                <w:szCs w:val="24"/>
              </w:rPr>
            </w:pPr>
            <w:r>
              <w:rPr>
                <w:rFonts w:hint="eastAsia" w:ascii="宋体" w:hAnsi="宋体" w:cs="宋体"/>
                <w:color w:val="auto"/>
                <w:sz w:val="24"/>
                <w:szCs w:val="24"/>
              </w:rPr>
              <w:t>经过有效性和符合性审核合格的</w:t>
            </w:r>
            <w:r>
              <w:rPr>
                <w:rFonts w:hint="eastAsia" w:ascii="宋体" w:hAnsi="宋体" w:cs="宋体"/>
                <w:color w:val="auto"/>
                <w:sz w:val="24"/>
                <w:szCs w:val="24"/>
                <w:lang w:val="en-US" w:eastAsia="zh-CN"/>
              </w:rPr>
              <w:t>投标供应商</w:t>
            </w:r>
            <w:r>
              <w:rPr>
                <w:rFonts w:hint="eastAsia" w:ascii="宋体" w:hAnsi="宋体" w:cs="宋体"/>
                <w:color w:val="auto"/>
                <w:sz w:val="24"/>
                <w:szCs w:val="24"/>
              </w:rPr>
              <w:t>，对付款</w:t>
            </w:r>
            <w:r>
              <w:rPr>
                <w:rFonts w:hint="eastAsia" w:ascii="宋体" w:hAnsi="宋体" w:cs="宋体"/>
                <w:color w:val="auto"/>
                <w:sz w:val="24"/>
                <w:szCs w:val="24"/>
                <w:lang w:val="en-US" w:eastAsia="zh-CN"/>
              </w:rPr>
              <w:t>方式</w:t>
            </w:r>
            <w:r>
              <w:rPr>
                <w:rFonts w:hint="eastAsia" w:ascii="宋体" w:hAnsi="宋体" w:cs="宋体"/>
                <w:color w:val="auto"/>
                <w:sz w:val="24"/>
                <w:szCs w:val="24"/>
              </w:rPr>
              <w:t>、</w:t>
            </w:r>
            <w:r>
              <w:rPr>
                <w:rFonts w:hint="eastAsia" w:ascii="宋体" w:hAnsi="宋体" w:cs="宋体"/>
                <w:color w:val="auto"/>
                <w:sz w:val="24"/>
                <w:szCs w:val="24"/>
                <w:lang w:val="en-US" w:eastAsia="zh-CN"/>
              </w:rPr>
              <w:t>合同履行期</w:t>
            </w:r>
            <w:r>
              <w:rPr>
                <w:rFonts w:hint="eastAsia" w:ascii="宋体" w:hAnsi="宋体" w:cs="宋体"/>
                <w:color w:val="auto"/>
                <w:sz w:val="24"/>
                <w:szCs w:val="24"/>
              </w:rPr>
              <w:t>、服务等</w:t>
            </w:r>
            <w:r>
              <w:rPr>
                <w:rFonts w:hint="eastAsia" w:ascii="宋体" w:hAnsi="宋体" w:cs="宋体"/>
                <w:color w:val="auto"/>
                <w:sz w:val="24"/>
                <w:szCs w:val="24"/>
                <w:lang w:val="en-US" w:eastAsia="zh-CN"/>
              </w:rPr>
              <w:t>商务要求</w:t>
            </w:r>
            <w:r>
              <w:rPr>
                <w:rFonts w:hint="eastAsia" w:ascii="宋体" w:hAnsi="宋体" w:cs="宋体"/>
                <w:color w:val="auto"/>
                <w:sz w:val="24"/>
                <w:szCs w:val="24"/>
              </w:rPr>
              <w:t>进行响应，完全响应且逐项详细说明的计</w:t>
            </w:r>
            <w:r>
              <w:rPr>
                <w:rFonts w:hint="eastAsia" w:ascii="宋体" w:hAnsi="宋体" w:cs="宋体"/>
                <w:color w:val="auto"/>
                <w:sz w:val="24"/>
                <w:szCs w:val="24"/>
                <w:lang w:val="en-US" w:eastAsia="zh-CN"/>
              </w:rPr>
              <w:t>3</w:t>
            </w:r>
            <w:r>
              <w:rPr>
                <w:rFonts w:hint="eastAsia" w:ascii="宋体" w:hAnsi="宋体" w:cs="宋体"/>
                <w:color w:val="auto"/>
                <w:sz w:val="24"/>
                <w:szCs w:val="24"/>
              </w:rPr>
              <w:t>分，未做详细响应的，按响应程度赋1-</w:t>
            </w:r>
            <w:r>
              <w:rPr>
                <w:rFonts w:hint="eastAsia" w:ascii="宋体" w:hAnsi="宋体" w:cs="宋体"/>
                <w:color w:val="auto"/>
                <w:sz w:val="24"/>
                <w:szCs w:val="24"/>
                <w:lang w:val="en-US" w:eastAsia="zh-CN"/>
              </w:rPr>
              <w:t>2</w:t>
            </w:r>
            <w:r>
              <w:rPr>
                <w:rFonts w:hint="eastAsia" w:ascii="宋体" w:hAnsi="宋体" w:cs="宋体"/>
                <w:color w:val="auto"/>
                <w:sz w:val="24"/>
                <w:szCs w:val="24"/>
              </w:rPr>
              <w:t>分。</w:t>
            </w:r>
          </w:p>
        </w:tc>
      </w:tr>
      <w:tr w14:paraId="25A47765">
        <w:tblPrEx>
          <w:tblCellMar>
            <w:top w:w="0" w:type="dxa"/>
            <w:left w:w="108" w:type="dxa"/>
            <w:bottom w:w="0" w:type="dxa"/>
            <w:right w:w="108" w:type="dxa"/>
          </w:tblCellMar>
        </w:tblPrEx>
        <w:trPr>
          <w:trHeight w:val="2710" w:hRule="atLeast"/>
          <w:jc w:val="center"/>
        </w:trPr>
        <w:tc>
          <w:tcPr>
            <w:tcW w:w="503" w:type="dxa"/>
            <w:vMerge w:val="restart"/>
            <w:tcBorders>
              <w:top w:val="single" w:color="000000" w:sz="6" w:space="0"/>
              <w:left w:val="single" w:color="auto" w:sz="4" w:space="0"/>
              <w:right w:val="single" w:color="000000" w:sz="6" w:space="0"/>
            </w:tcBorders>
            <w:vAlign w:val="center"/>
          </w:tcPr>
          <w:p w14:paraId="3AE8CBA2">
            <w:pPr>
              <w:spacing w:line="360" w:lineRule="auto"/>
              <w:rPr>
                <w:rFonts w:hint="eastAsia" w:ascii="宋体" w:hAnsi="宋体" w:eastAsia="宋体" w:cs="宋体"/>
                <w:b w:val="0"/>
                <w:bCs/>
                <w:color w:val="auto"/>
                <w:kern w:val="0"/>
                <w:sz w:val="24"/>
                <w:szCs w:val="24"/>
                <w:lang w:eastAsia="zh-CN"/>
              </w:rPr>
            </w:pPr>
            <w:r>
              <w:rPr>
                <w:rFonts w:hint="eastAsia" w:ascii="宋体" w:hAnsi="宋体" w:cs="宋体"/>
                <w:b w:val="0"/>
                <w:bCs/>
                <w:color w:val="auto"/>
                <w:kern w:val="0"/>
                <w:sz w:val="24"/>
                <w:szCs w:val="24"/>
                <w:lang w:val="en-US" w:eastAsia="zh-CN"/>
              </w:rPr>
              <w:t>3</w:t>
            </w:r>
          </w:p>
        </w:tc>
        <w:tc>
          <w:tcPr>
            <w:tcW w:w="1179" w:type="dxa"/>
            <w:vMerge w:val="restart"/>
            <w:tcBorders>
              <w:top w:val="single" w:color="000000" w:sz="6" w:space="0"/>
              <w:left w:val="single" w:color="000000" w:sz="6" w:space="0"/>
              <w:right w:val="single" w:color="auto" w:sz="4" w:space="0"/>
            </w:tcBorders>
            <w:vAlign w:val="center"/>
          </w:tcPr>
          <w:p w14:paraId="32BFD92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分）</w:t>
            </w:r>
          </w:p>
          <w:p w14:paraId="0DF983F6">
            <w:pPr>
              <w:spacing w:line="360" w:lineRule="auto"/>
              <w:jc w:val="center"/>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vAlign w:val="center"/>
          </w:tcPr>
          <w:p w14:paraId="5A2844A9">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项目实施方案（15分）</w:t>
            </w:r>
          </w:p>
          <w:p w14:paraId="4EA345B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提供针对本项目的实施方案，要求具有针对性、科学性且能够完全满足采购人需求，包括但不限于整体维保服务方案（包含：日常、月度、</w:t>
            </w:r>
            <w:r>
              <w:rPr>
                <w:rFonts w:hint="eastAsia" w:ascii="宋体" w:hAnsi="宋体" w:cs="宋体"/>
                <w:color w:val="auto"/>
                <w:sz w:val="24"/>
                <w:szCs w:val="24"/>
                <w:highlight w:val="none"/>
                <w:lang w:val="en-US" w:eastAsia="zh-CN"/>
              </w:rPr>
              <w:t>季</w:t>
            </w:r>
            <w:r>
              <w:rPr>
                <w:rFonts w:hint="eastAsia" w:ascii="宋体" w:hAnsi="宋体" w:eastAsia="宋体" w:cs="宋体"/>
                <w:color w:val="auto"/>
                <w:sz w:val="24"/>
                <w:szCs w:val="24"/>
                <w:highlight w:val="none"/>
                <w:lang w:val="en-US" w:eastAsia="zh-CN"/>
              </w:rPr>
              <w:t xml:space="preserve">度维保方案）、工作方法、有详细的维保制度、维保计划、操作规程等。 </w:t>
            </w:r>
          </w:p>
          <w:p w14:paraId="5F028B0E">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实施方案操作性强、方案清晰、方法合理、操作性强且满足采购需求的</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11-15 分；</w:t>
            </w:r>
          </w:p>
          <w:p w14:paraId="57C070A8">
            <w:pPr>
              <w:numPr>
                <w:ilvl w:val="0"/>
                <w:numId w:val="0"/>
              </w:numPr>
              <w:spacing w:line="360" w:lineRule="auto"/>
              <w:rPr>
                <w:rFonts w:hint="default"/>
                <w:color w:val="auto"/>
                <w:lang w:val="en-US"/>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方案基本清晰、方法基本合理、能够满足采购人需求，得5-10 分； （3）方案及方法能够满足采购人部分需求的得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-4 分。</w:t>
            </w:r>
            <w:r>
              <w:rPr>
                <w:rFonts w:hint="eastAsia" w:ascii="宋体" w:hAnsi="宋体" w:cs="宋体"/>
                <w:color w:val="auto"/>
                <w:sz w:val="24"/>
                <w:szCs w:val="24"/>
                <w:highlight w:val="none"/>
                <w:lang w:val="en-US" w:eastAsia="zh-CN"/>
              </w:rPr>
              <w:t>未提供不得分。</w:t>
            </w:r>
          </w:p>
        </w:tc>
      </w:tr>
      <w:tr w14:paraId="4462B053">
        <w:tblPrEx>
          <w:tblCellMar>
            <w:top w:w="0" w:type="dxa"/>
            <w:left w:w="108" w:type="dxa"/>
            <w:bottom w:w="0" w:type="dxa"/>
            <w:right w:w="108" w:type="dxa"/>
          </w:tblCellMar>
        </w:tblPrEx>
        <w:trPr>
          <w:trHeight w:val="1521" w:hRule="atLeast"/>
          <w:jc w:val="center"/>
        </w:trPr>
        <w:tc>
          <w:tcPr>
            <w:tcW w:w="503" w:type="dxa"/>
            <w:vMerge w:val="continue"/>
            <w:tcBorders>
              <w:left w:val="single" w:color="auto" w:sz="4" w:space="0"/>
              <w:right w:val="single" w:color="000000" w:sz="6" w:space="0"/>
            </w:tcBorders>
            <w:vAlign w:val="center"/>
          </w:tcPr>
          <w:p w14:paraId="0052A05F">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right w:val="single" w:color="auto" w:sz="4" w:space="0"/>
            </w:tcBorders>
            <w:vAlign w:val="center"/>
          </w:tcPr>
          <w:p w14:paraId="06710FEF">
            <w:pPr>
              <w:spacing w:line="360" w:lineRule="auto"/>
              <w:jc w:val="center"/>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vAlign w:val="center"/>
          </w:tcPr>
          <w:p w14:paraId="602D9B20">
            <w:pPr>
              <w:numPr>
                <w:ilvl w:val="0"/>
                <w:numId w:val="0"/>
              </w:numPr>
              <w:spacing w:line="360" w:lineRule="auto"/>
              <w:jc w:val="left"/>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重难点分析(5分)</w:t>
            </w:r>
          </w:p>
          <w:p w14:paraId="7BE22B2C">
            <w:pPr>
              <w:numPr>
                <w:ilvl w:val="0"/>
                <w:numId w:val="0"/>
              </w:numPr>
              <w:spacing w:line="360" w:lineRule="auto"/>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 xml:space="preserve">对项目服务内容重点、难点分析到位，提出切实可行解决方案的得 </w:t>
            </w:r>
            <w:r>
              <w:rPr>
                <w:rFonts w:hint="eastAsia" w:ascii="宋体" w:hAnsi="宋体" w:cs="宋体"/>
                <w:b w:val="0"/>
                <w:bCs w:val="0"/>
                <w:color w:val="auto"/>
                <w:sz w:val="24"/>
                <w:szCs w:val="24"/>
                <w:lang w:val="en-US" w:eastAsia="zh-CN"/>
              </w:rPr>
              <w:t>4</w:t>
            </w:r>
            <w:r>
              <w:rPr>
                <w:rFonts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5</w:t>
            </w:r>
            <w:r>
              <w:rPr>
                <w:rFonts w:ascii="宋体" w:hAnsi="宋体" w:eastAsia="宋体" w:cs="宋体"/>
                <w:b w:val="0"/>
                <w:bCs w:val="0"/>
                <w:color w:val="auto"/>
                <w:sz w:val="24"/>
                <w:szCs w:val="24"/>
              </w:rPr>
              <w:t xml:space="preserve"> 分；分析较到位，方案合理性一般的得 </w:t>
            </w:r>
            <w:r>
              <w:rPr>
                <w:rFonts w:hint="eastAsia" w:ascii="宋体" w:hAnsi="宋体" w:cs="宋体"/>
                <w:b w:val="0"/>
                <w:bCs w:val="0"/>
                <w:color w:val="auto"/>
                <w:sz w:val="24"/>
                <w:szCs w:val="24"/>
                <w:lang w:val="en-US" w:eastAsia="zh-CN"/>
              </w:rPr>
              <w:t>2</w:t>
            </w:r>
            <w:r>
              <w:rPr>
                <w:rFonts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3</w:t>
            </w:r>
            <w:r>
              <w:rPr>
                <w:rFonts w:ascii="宋体" w:hAnsi="宋体" w:eastAsia="宋体" w:cs="宋体"/>
                <w:b w:val="0"/>
                <w:bCs w:val="0"/>
                <w:color w:val="auto"/>
                <w:sz w:val="24"/>
                <w:szCs w:val="24"/>
              </w:rPr>
              <w:t xml:space="preserve"> 分；</w:t>
            </w:r>
          </w:p>
          <w:p w14:paraId="70363076">
            <w:pPr>
              <w:numPr>
                <w:ilvl w:val="0"/>
                <w:numId w:val="0"/>
              </w:numPr>
              <w:spacing w:line="360" w:lineRule="auto"/>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分析简单，方案可行性差的得 1分。</w:t>
            </w:r>
            <w:r>
              <w:rPr>
                <w:rFonts w:hint="eastAsia" w:ascii="宋体" w:hAnsi="宋体" w:cs="宋体"/>
                <w:color w:val="auto"/>
                <w:sz w:val="24"/>
                <w:szCs w:val="24"/>
                <w:highlight w:val="none"/>
                <w:lang w:val="en-US" w:eastAsia="zh-CN"/>
              </w:rPr>
              <w:t>未提供不得分。</w:t>
            </w:r>
          </w:p>
        </w:tc>
      </w:tr>
      <w:tr w14:paraId="6D8813DB">
        <w:tblPrEx>
          <w:tblCellMar>
            <w:top w:w="0" w:type="dxa"/>
            <w:left w:w="108" w:type="dxa"/>
            <w:bottom w:w="0" w:type="dxa"/>
            <w:right w:w="108" w:type="dxa"/>
          </w:tblCellMar>
        </w:tblPrEx>
        <w:trPr>
          <w:trHeight w:val="400" w:hRule="atLeast"/>
          <w:jc w:val="center"/>
        </w:trPr>
        <w:tc>
          <w:tcPr>
            <w:tcW w:w="503" w:type="dxa"/>
            <w:vMerge w:val="continue"/>
            <w:tcBorders>
              <w:left w:val="single" w:color="auto" w:sz="4" w:space="0"/>
              <w:right w:val="single" w:color="000000" w:sz="6" w:space="0"/>
            </w:tcBorders>
            <w:vAlign w:val="center"/>
          </w:tcPr>
          <w:p w14:paraId="06738C3D">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right w:val="single" w:color="auto" w:sz="4" w:space="0"/>
            </w:tcBorders>
            <w:vAlign w:val="center"/>
          </w:tcPr>
          <w:p w14:paraId="6F380934">
            <w:pPr>
              <w:spacing w:line="360" w:lineRule="auto"/>
              <w:jc w:val="center"/>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vAlign w:val="center"/>
          </w:tcPr>
          <w:p w14:paraId="7E75EF6E">
            <w:pPr>
              <w:numPr>
                <w:ilvl w:val="0"/>
                <w:numId w:val="0"/>
              </w:num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人员配置及组织架构（</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p w14:paraId="4E7F8D02">
            <w:pPr>
              <w:numPr>
                <w:ilvl w:val="0"/>
                <w:numId w:val="0"/>
              </w:numPr>
              <w:spacing w:line="360" w:lineRule="auto"/>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 xml:space="preserve">维保运行人员及专业设置合理、工作计划及轮换制度科学，项目管理组织架构合理、维保运行人员经验丰富，提供职员主要资历、经验（提供相关材料， 如有经验应提供相关业绩证明）。 </w:t>
            </w:r>
          </w:p>
          <w:p w14:paraId="0EF26D31">
            <w:pPr>
              <w:numPr>
                <w:ilvl w:val="0"/>
                <w:numId w:val="0"/>
              </w:numPr>
              <w:spacing w:line="360" w:lineRule="auto"/>
              <w:jc w:val="left"/>
              <w:rPr>
                <w:rFonts w:ascii="宋体" w:hAnsi="宋体" w:eastAsia="宋体" w:cs="宋体"/>
                <w:b w:val="0"/>
                <w:bCs w:val="0"/>
                <w:color w:val="auto"/>
                <w:sz w:val="24"/>
                <w:szCs w:val="24"/>
              </w:rPr>
            </w:pPr>
            <w:r>
              <w:rPr>
                <w:rFonts w:ascii="宋体" w:hAnsi="宋体" w:eastAsia="宋体" w:cs="宋体"/>
                <w:b w:val="0"/>
                <w:bCs w:val="0"/>
                <w:color w:val="auto"/>
                <w:kern w:val="2"/>
                <w:sz w:val="24"/>
                <w:szCs w:val="24"/>
                <w:lang w:val="en-US" w:eastAsia="zh-CN" w:bidi="ar-SA"/>
              </w:rPr>
              <w:t>（1）</w:t>
            </w:r>
            <w:r>
              <w:rPr>
                <w:rFonts w:ascii="宋体" w:hAnsi="宋体" w:eastAsia="宋体" w:cs="宋体"/>
                <w:b w:val="0"/>
                <w:bCs w:val="0"/>
                <w:color w:val="auto"/>
                <w:sz w:val="24"/>
                <w:szCs w:val="24"/>
              </w:rPr>
              <w:t xml:space="preserve">组织架构合理，职员配备充足、专业设置合理，维保运行人员经验丰富的计 11-15 分； </w:t>
            </w:r>
          </w:p>
          <w:p w14:paraId="766719E5">
            <w:pPr>
              <w:numPr>
                <w:ilvl w:val="0"/>
                <w:numId w:val="0"/>
              </w:numPr>
              <w:spacing w:line="360" w:lineRule="auto"/>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（2）项目架构基本合理，职员配备基本完整的计</w:t>
            </w:r>
            <w:r>
              <w:rPr>
                <w:rFonts w:hint="eastAsia" w:ascii="宋体" w:hAnsi="宋体" w:eastAsia="宋体" w:cs="宋体"/>
                <w:b w:val="0"/>
                <w:bCs w:val="0"/>
                <w:color w:val="auto"/>
                <w:sz w:val="24"/>
                <w:szCs w:val="24"/>
                <w:lang w:val="en-US" w:eastAsia="zh-CN"/>
              </w:rPr>
              <w:t>5</w:t>
            </w:r>
            <w:r>
              <w:rPr>
                <w:rFonts w:ascii="宋体" w:hAnsi="宋体" w:eastAsia="宋体" w:cs="宋体"/>
                <w:b w:val="0"/>
                <w:bCs w:val="0"/>
                <w:color w:val="auto"/>
                <w:sz w:val="24"/>
                <w:szCs w:val="24"/>
              </w:rPr>
              <w:t xml:space="preserve">-10 分； </w:t>
            </w:r>
          </w:p>
          <w:p w14:paraId="25E2BF64">
            <w:pPr>
              <w:numPr>
                <w:ilvl w:val="0"/>
                <w:numId w:val="0"/>
              </w:numPr>
              <w:spacing w:line="360" w:lineRule="auto"/>
              <w:jc w:val="left"/>
              <w:rPr>
                <w:rFonts w:hint="eastAsia" w:ascii="宋体" w:hAnsi="宋体" w:eastAsia="宋体" w:cs="宋体"/>
                <w:b w:val="0"/>
                <w:bCs/>
                <w:color w:val="auto"/>
                <w:kern w:val="0"/>
                <w:sz w:val="24"/>
                <w:szCs w:val="24"/>
              </w:rPr>
            </w:pPr>
            <w:r>
              <w:rPr>
                <w:rFonts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ascii="宋体" w:hAnsi="宋体" w:eastAsia="宋体" w:cs="宋体"/>
                <w:b w:val="0"/>
                <w:bCs w:val="0"/>
                <w:color w:val="auto"/>
                <w:sz w:val="24"/>
                <w:szCs w:val="24"/>
              </w:rPr>
              <w:t>）项目架构有缺陷，职员配备只能满足采购人部分需求的计</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-4 分。</w:t>
            </w:r>
            <w:r>
              <w:rPr>
                <w:rFonts w:hint="eastAsia" w:ascii="宋体" w:hAnsi="宋体" w:cs="宋体"/>
                <w:color w:val="auto"/>
                <w:sz w:val="24"/>
                <w:szCs w:val="24"/>
                <w:highlight w:val="none"/>
                <w:lang w:val="en-US" w:eastAsia="zh-CN"/>
              </w:rPr>
              <w:t>未提供不得分。</w:t>
            </w:r>
          </w:p>
        </w:tc>
      </w:tr>
      <w:tr w14:paraId="09760653">
        <w:tblPrEx>
          <w:tblCellMar>
            <w:top w:w="0" w:type="dxa"/>
            <w:left w:w="108" w:type="dxa"/>
            <w:bottom w:w="0" w:type="dxa"/>
            <w:right w:w="108" w:type="dxa"/>
          </w:tblCellMar>
        </w:tblPrEx>
        <w:trPr>
          <w:trHeight w:val="3285" w:hRule="atLeast"/>
          <w:jc w:val="center"/>
        </w:trPr>
        <w:tc>
          <w:tcPr>
            <w:tcW w:w="503" w:type="dxa"/>
            <w:vMerge w:val="continue"/>
            <w:tcBorders>
              <w:left w:val="single" w:color="auto" w:sz="4" w:space="0"/>
              <w:right w:val="single" w:color="000000" w:sz="6" w:space="0"/>
            </w:tcBorders>
            <w:vAlign w:val="center"/>
          </w:tcPr>
          <w:p w14:paraId="05F92373">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bottom w:val="single" w:color="000000" w:sz="6" w:space="0"/>
              <w:right w:val="single" w:color="auto" w:sz="4" w:space="0"/>
            </w:tcBorders>
            <w:vAlign w:val="center"/>
          </w:tcPr>
          <w:p w14:paraId="0C02A275">
            <w:pPr>
              <w:spacing w:line="360" w:lineRule="auto"/>
              <w:jc w:val="center"/>
              <w:rPr>
                <w:rFonts w:hint="default" w:ascii="宋体" w:hAnsi="宋体" w:eastAsia="宋体" w:cs="宋体"/>
                <w:b w:val="0"/>
                <w:bCs/>
                <w:color w:val="auto"/>
                <w:kern w:val="0"/>
                <w:sz w:val="24"/>
                <w:szCs w:val="24"/>
                <w:lang w:val="en-US" w:eastAsia="zh-CN"/>
              </w:rPr>
            </w:pPr>
          </w:p>
        </w:tc>
        <w:tc>
          <w:tcPr>
            <w:tcW w:w="7953" w:type="dxa"/>
            <w:tcBorders>
              <w:top w:val="single" w:color="000000" w:sz="6" w:space="0"/>
              <w:left w:val="single" w:color="000000" w:sz="6" w:space="0"/>
              <w:bottom w:val="single" w:color="000000" w:sz="6" w:space="0"/>
              <w:right w:val="single" w:color="auto" w:sz="4" w:space="0"/>
            </w:tcBorders>
            <w:vAlign w:val="center"/>
          </w:tcPr>
          <w:p w14:paraId="1EB5097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维保服务分析（10分）</w:t>
            </w:r>
          </w:p>
          <w:p w14:paraId="28C7E8D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针对设备运行中可能出现的问题及重大故障，有</w:t>
            </w:r>
            <w:r>
              <w:rPr>
                <w:rFonts w:hint="eastAsia" w:ascii="宋体" w:hAnsi="宋体" w:eastAsia="宋体" w:cs="宋体"/>
                <w:color w:val="auto"/>
                <w:sz w:val="24"/>
                <w:szCs w:val="24"/>
                <w:highlight w:val="none"/>
                <w:lang w:val="zh-CN"/>
              </w:rPr>
              <w:t>行之有效</w:t>
            </w:r>
            <w:r>
              <w:rPr>
                <w:rFonts w:hint="eastAsia" w:ascii="宋体" w:hAnsi="宋体" w:eastAsia="宋体" w:cs="宋体"/>
                <w:color w:val="auto"/>
                <w:sz w:val="24"/>
                <w:szCs w:val="24"/>
                <w:highlight w:val="none"/>
                <w:lang w:val="zh-CN" w:eastAsia="zh-CN"/>
              </w:rPr>
              <w:t>的</w:t>
            </w:r>
            <w:r>
              <w:rPr>
                <w:rFonts w:hint="eastAsia" w:ascii="宋体" w:hAnsi="宋体" w:eastAsia="宋体" w:cs="宋体"/>
                <w:color w:val="auto"/>
                <w:sz w:val="24"/>
                <w:szCs w:val="24"/>
                <w:highlight w:val="none"/>
                <w:lang w:val="en-US" w:eastAsia="zh-CN"/>
              </w:rPr>
              <w:t>措施和</w:t>
            </w:r>
            <w:r>
              <w:rPr>
                <w:rFonts w:hint="eastAsia" w:ascii="宋体" w:hAnsi="宋体" w:eastAsia="宋体" w:cs="宋体"/>
                <w:color w:val="auto"/>
                <w:sz w:val="24"/>
                <w:szCs w:val="24"/>
                <w:highlight w:val="none"/>
                <w:lang w:val="zh-CN"/>
              </w:rPr>
              <w:t>详细具体</w:t>
            </w:r>
            <w:r>
              <w:rPr>
                <w:rFonts w:hint="eastAsia" w:ascii="宋体" w:hAnsi="宋体" w:eastAsia="宋体" w:cs="宋体"/>
                <w:color w:val="auto"/>
                <w:sz w:val="24"/>
                <w:szCs w:val="24"/>
                <w:highlight w:val="none"/>
                <w:lang w:val="zh-CN" w:eastAsia="zh-CN"/>
              </w:rPr>
              <w:t>的</w:t>
            </w:r>
            <w:r>
              <w:rPr>
                <w:rFonts w:hint="eastAsia" w:ascii="宋体" w:hAnsi="宋体" w:eastAsia="宋体" w:cs="宋体"/>
                <w:color w:val="auto"/>
                <w:sz w:val="24"/>
                <w:szCs w:val="24"/>
                <w:highlight w:val="none"/>
                <w:lang w:val="en-US" w:eastAsia="zh-CN"/>
              </w:rPr>
              <w:t>解决方案，对故障响应时间、维修服务时限及特殊情况下不能及时排除故障造成损失的赔偿方案等方面有明确的措施及承诺，</w:t>
            </w:r>
          </w:p>
          <w:p w14:paraId="4BC5B247">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对故障及问题分析理解透彻，措施科学合理、承诺全面的计</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分析</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较为全面、措施及承诺基本满足采购需求的计4</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p w14:paraId="793928E7">
            <w:pPr>
              <w:numPr>
                <w:ilvl w:val="0"/>
                <w:numId w:val="0"/>
              </w:numPr>
              <w:spacing w:line="360" w:lineRule="auto"/>
              <w:jc w:val="left"/>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bidi="ar-SA"/>
              </w:rPr>
              <w:t>（</w:t>
            </w:r>
            <w:r>
              <w:rPr>
                <w:rFonts w:hint="eastAsia" w:ascii="宋体" w:hAnsi="宋体" w:cs="宋体"/>
                <w:b w:val="0"/>
                <w:bCs/>
                <w:color w:val="auto"/>
                <w:kern w:val="0"/>
                <w:sz w:val="24"/>
                <w:szCs w:val="24"/>
                <w:lang w:val="en-US" w:eastAsia="zh-CN" w:bidi="ar-SA"/>
              </w:rPr>
              <w:t>3</w:t>
            </w:r>
            <w:r>
              <w:rPr>
                <w:rFonts w:hint="eastAsia" w:ascii="宋体" w:hAnsi="宋体" w:eastAsia="宋体" w:cs="宋体"/>
                <w:b w:val="0"/>
                <w:bCs/>
                <w:color w:val="auto"/>
                <w:kern w:val="0"/>
                <w:sz w:val="24"/>
                <w:szCs w:val="24"/>
                <w:lang w:val="en-US" w:eastAsia="zh-CN" w:bidi="ar-SA"/>
              </w:rPr>
              <w:t>）</w:t>
            </w:r>
            <w:r>
              <w:rPr>
                <w:rFonts w:hint="eastAsia" w:ascii="宋体" w:hAnsi="宋体" w:eastAsia="宋体" w:cs="宋体"/>
                <w:color w:val="auto"/>
                <w:sz w:val="24"/>
                <w:szCs w:val="24"/>
                <w:highlight w:val="none"/>
                <w:lang w:val="en-US" w:eastAsia="zh-CN"/>
              </w:rPr>
              <w:t>分析及措施存在缺陷或不足、承诺无法满足采购需求的计</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-3分。</w:t>
            </w:r>
            <w:r>
              <w:rPr>
                <w:rFonts w:hint="eastAsia" w:ascii="宋体" w:hAnsi="宋体" w:cs="宋体"/>
                <w:color w:val="auto"/>
                <w:sz w:val="24"/>
                <w:szCs w:val="24"/>
                <w:highlight w:val="none"/>
                <w:lang w:val="en-US" w:eastAsia="zh-CN"/>
              </w:rPr>
              <w:t>未提供不得分。</w:t>
            </w:r>
          </w:p>
        </w:tc>
      </w:tr>
      <w:tr w14:paraId="693F0E97">
        <w:tblPrEx>
          <w:tblCellMar>
            <w:top w:w="0" w:type="dxa"/>
            <w:left w:w="108" w:type="dxa"/>
            <w:bottom w:w="0" w:type="dxa"/>
            <w:right w:w="108" w:type="dxa"/>
          </w:tblCellMar>
        </w:tblPrEx>
        <w:trPr>
          <w:trHeight w:val="1623" w:hRule="atLeast"/>
          <w:jc w:val="center"/>
        </w:trPr>
        <w:tc>
          <w:tcPr>
            <w:tcW w:w="503" w:type="dxa"/>
            <w:vMerge w:val="continue"/>
            <w:tcBorders>
              <w:left w:val="single" w:color="auto" w:sz="4" w:space="0"/>
              <w:right w:val="single" w:color="000000" w:sz="6" w:space="0"/>
            </w:tcBorders>
            <w:vAlign w:val="center"/>
          </w:tcPr>
          <w:p w14:paraId="5DDCFF4F">
            <w:pPr>
              <w:spacing w:line="360" w:lineRule="auto"/>
              <w:rPr>
                <w:rFonts w:hint="eastAsia" w:ascii="宋体" w:hAnsi="宋体" w:eastAsia="宋体" w:cs="宋体"/>
                <w:b w:val="0"/>
                <w:bCs/>
                <w:color w:val="auto"/>
                <w:kern w:val="0"/>
                <w:sz w:val="24"/>
                <w:szCs w:val="24"/>
              </w:rPr>
            </w:pPr>
          </w:p>
        </w:tc>
        <w:tc>
          <w:tcPr>
            <w:tcW w:w="1179" w:type="dxa"/>
            <w:vMerge w:val="restart"/>
            <w:tcBorders>
              <w:top w:val="single" w:color="000000" w:sz="6" w:space="0"/>
              <w:left w:val="single" w:color="000000" w:sz="6" w:space="0"/>
              <w:right w:val="single" w:color="auto" w:sz="4" w:space="0"/>
            </w:tcBorders>
            <w:vAlign w:val="center"/>
          </w:tcPr>
          <w:p w14:paraId="7B82FC71">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服务能力（</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tc>
        <w:tc>
          <w:tcPr>
            <w:tcW w:w="7953" w:type="dxa"/>
            <w:tcBorders>
              <w:top w:val="single" w:color="000000" w:sz="6" w:space="0"/>
              <w:left w:val="single" w:color="000000" w:sz="6" w:space="0"/>
              <w:bottom w:val="single" w:color="000000" w:sz="6" w:space="0"/>
              <w:right w:val="single" w:color="auto" w:sz="4" w:space="0"/>
            </w:tcBorders>
          </w:tcPr>
          <w:p w14:paraId="0FEF8DC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内部质量及安全管理体系</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7E33A863">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投标人有健全的</w:t>
            </w:r>
            <w:r>
              <w:rPr>
                <w:rFonts w:hint="eastAsia" w:ascii="宋体" w:hAnsi="宋体" w:eastAsia="宋体" w:cs="宋体"/>
                <w:color w:val="auto"/>
                <w:kern w:val="2"/>
                <w:sz w:val="24"/>
                <w:szCs w:val="24"/>
                <w:lang w:val="en-US" w:eastAsia="zh-CN" w:bidi="ar-SA"/>
              </w:rPr>
              <w:t>内部质量及安全管理体系</w:t>
            </w:r>
            <w:r>
              <w:rPr>
                <w:rFonts w:hint="eastAsia" w:ascii="宋体" w:hAnsi="宋体" w:eastAsia="宋体" w:cs="宋体"/>
                <w:color w:val="auto"/>
                <w:sz w:val="24"/>
                <w:szCs w:val="24"/>
                <w:highlight w:val="none"/>
                <w:lang w:val="en-US" w:eastAsia="zh-CN"/>
              </w:rPr>
              <w:t>，有针对本项目</w:t>
            </w:r>
            <w:r>
              <w:rPr>
                <w:rFonts w:hint="eastAsia" w:ascii="宋体" w:hAnsi="宋体"/>
                <w:color w:val="auto"/>
                <w:sz w:val="24"/>
              </w:rPr>
              <w:t>实际特点制定</w:t>
            </w:r>
            <w:r>
              <w:rPr>
                <w:rFonts w:hint="eastAsia" w:ascii="宋体" w:hAnsi="宋体"/>
                <w:color w:val="auto"/>
                <w:sz w:val="24"/>
                <w:lang w:eastAsia="zh-CN"/>
              </w:rPr>
              <w:t>的</w:t>
            </w:r>
            <w:r>
              <w:rPr>
                <w:rFonts w:hint="eastAsia" w:ascii="宋体" w:hAnsi="宋体"/>
                <w:color w:val="auto"/>
                <w:sz w:val="24"/>
              </w:rPr>
              <w:t>安全生产保障措施</w:t>
            </w:r>
            <w:r>
              <w:rPr>
                <w:rFonts w:hint="eastAsia" w:ascii="宋体" w:hAnsi="宋体"/>
                <w:color w:val="auto"/>
                <w:sz w:val="24"/>
                <w:lang w:eastAsia="zh-CN"/>
              </w:rPr>
              <w:t>、</w:t>
            </w:r>
            <w:r>
              <w:rPr>
                <w:rFonts w:hint="eastAsia" w:ascii="宋体" w:hAnsi="宋体" w:eastAsia="宋体" w:cs="宋体"/>
                <w:color w:val="auto"/>
                <w:kern w:val="2"/>
                <w:sz w:val="24"/>
                <w:szCs w:val="24"/>
                <w:lang w:val="en-US" w:eastAsia="zh-CN" w:bidi="ar-SA"/>
              </w:rPr>
              <w:t>安全生产管理措施等</w:t>
            </w:r>
            <w:r>
              <w:rPr>
                <w:rFonts w:hint="eastAsia" w:ascii="宋体" w:hAnsi="宋体"/>
                <w:color w:val="auto"/>
                <w:sz w:val="24"/>
              </w:rPr>
              <w:t>，</w:t>
            </w:r>
            <w:r>
              <w:rPr>
                <w:rFonts w:hint="eastAsia" w:ascii="宋体" w:hAnsi="宋体"/>
                <w:color w:val="auto"/>
                <w:sz w:val="24"/>
                <w:lang w:val="en-US" w:eastAsia="zh-CN"/>
              </w:rPr>
              <w:t>措施全面详细、科学合理、有针对性</w:t>
            </w:r>
            <w:r>
              <w:rPr>
                <w:rFonts w:hint="eastAsia" w:ascii="宋体" w:hAnsi="宋体" w:eastAsia="宋体" w:cs="宋体"/>
                <w:color w:val="auto"/>
                <w:sz w:val="24"/>
                <w:szCs w:val="24"/>
                <w:highlight w:val="none"/>
                <w:lang w:val="en-US" w:eastAsia="zh-CN"/>
              </w:rPr>
              <w:t>计</w:t>
            </w:r>
            <w:r>
              <w:rPr>
                <w:rFonts w:hint="eastAsia" w:ascii="宋体" w:hAnsi="宋体" w:cs="宋体"/>
                <w:color w:val="auto"/>
                <w:sz w:val="24"/>
                <w:szCs w:val="24"/>
                <w:highlight w:val="none"/>
                <w:lang w:val="en-US" w:eastAsia="zh-CN"/>
              </w:rPr>
              <w:t>6—8</w:t>
            </w:r>
            <w:r>
              <w:rPr>
                <w:rFonts w:hint="eastAsia" w:ascii="宋体" w:hAnsi="宋体" w:eastAsia="宋体" w:cs="宋体"/>
                <w:color w:val="auto"/>
                <w:sz w:val="24"/>
                <w:szCs w:val="24"/>
                <w:highlight w:val="none"/>
                <w:lang w:val="en-US" w:eastAsia="zh-CN"/>
              </w:rPr>
              <w:t>分；</w:t>
            </w:r>
          </w:p>
          <w:p w14:paraId="224BC77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（2）内部质量及安全管理体系</w:t>
            </w:r>
            <w:r>
              <w:rPr>
                <w:rFonts w:hint="eastAsia" w:ascii="宋体" w:hAnsi="宋体"/>
                <w:color w:val="auto"/>
                <w:sz w:val="24"/>
                <w:lang w:val="en-US" w:eastAsia="zh-CN"/>
              </w:rPr>
              <w:t>措施基本健全，措施基本全面详细、科学合理性一般、有一定针对性</w:t>
            </w:r>
            <w:r>
              <w:rPr>
                <w:rFonts w:hint="eastAsia" w:ascii="宋体" w:hAnsi="宋体" w:eastAsia="宋体" w:cs="宋体"/>
                <w:color w:val="auto"/>
                <w:sz w:val="24"/>
                <w:szCs w:val="24"/>
                <w:highlight w:val="none"/>
                <w:lang w:val="en-US" w:eastAsia="zh-CN"/>
              </w:rPr>
              <w:t>计</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val="en-US" w:eastAsia="zh-CN"/>
              </w:rPr>
              <w:t>分；</w:t>
            </w:r>
          </w:p>
          <w:p w14:paraId="38491A4E">
            <w:pPr>
              <w:spacing w:line="360" w:lineRule="auto"/>
              <w:rPr>
                <w:rFonts w:hint="eastAsia" w:ascii="宋体" w:hAnsi="宋体" w:eastAsia="宋体" w:cs="宋体"/>
                <w:b w:val="0"/>
                <w:bCs/>
                <w:color w:val="auto"/>
                <w:kern w:val="0"/>
                <w:sz w:val="24"/>
                <w:szCs w:val="24"/>
              </w:rPr>
            </w:pPr>
            <w:r>
              <w:rPr>
                <w:rFonts w:hint="eastAsia" w:ascii="宋体" w:hAnsi="宋体" w:eastAsia="宋体" w:cs="宋体"/>
                <w:color w:val="auto"/>
                <w:kern w:val="2"/>
                <w:sz w:val="24"/>
                <w:szCs w:val="24"/>
                <w:lang w:val="en-US" w:eastAsia="zh-CN" w:bidi="ar-SA"/>
              </w:rPr>
              <w:t>（3）内部质量及安全管理体系</w:t>
            </w:r>
            <w:r>
              <w:rPr>
                <w:rFonts w:hint="eastAsia" w:ascii="宋体" w:hAnsi="宋体" w:eastAsia="宋体" w:cs="宋体"/>
                <w:color w:val="auto"/>
                <w:sz w:val="24"/>
                <w:szCs w:val="24"/>
                <w:highlight w:val="none"/>
                <w:lang w:val="en-US" w:eastAsia="zh-CN"/>
              </w:rPr>
              <w:t>不够</w:t>
            </w:r>
            <w:r>
              <w:rPr>
                <w:rFonts w:hint="eastAsia" w:ascii="宋体" w:hAnsi="宋体"/>
                <w:color w:val="auto"/>
                <w:sz w:val="24"/>
                <w:lang w:val="en-US" w:eastAsia="zh-CN"/>
              </w:rPr>
              <w:t>健全</w:t>
            </w:r>
            <w:r>
              <w:rPr>
                <w:rFonts w:hint="eastAsia" w:ascii="宋体" w:hAnsi="宋体" w:eastAsia="宋体" w:cs="宋体"/>
                <w:color w:val="auto"/>
                <w:sz w:val="24"/>
                <w:szCs w:val="24"/>
                <w:highlight w:val="none"/>
                <w:lang w:val="en-US" w:eastAsia="zh-CN"/>
              </w:rPr>
              <w:t>，</w:t>
            </w:r>
            <w:r>
              <w:rPr>
                <w:rFonts w:hint="eastAsia" w:ascii="宋体" w:hAnsi="宋体"/>
                <w:color w:val="auto"/>
                <w:sz w:val="24"/>
                <w:lang w:val="en-US" w:eastAsia="zh-CN"/>
              </w:rPr>
              <w:t>措施不够全面详细、科学合理性欠缺、没有针对性</w:t>
            </w:r>
            <w:r>
              <w:rPr>
                <w:rFonts w:hint="eastAsia" w:ascii="宋体" w:hAnsi="宋体" w:eastAsia="宋体" w:cs="宋体"/>
                <w:color w:val="auto"/>
                <w:sz w:val="24"/>
                <w:szCs w:val="24"/>
                <w:highlight w:val="none"/>
                <w:lang w:val="en-US" w:eastAsia="zh-CN"/>
              </w:rPr>
              <w:t>计</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未提供不得分。</w:t>
            </w:r>
          </w:p>
        </w:tc>
      </w:tr>
      <w:tr w14:paraId="08ACBA12">
        <w:tblPrEx>
          <w:tblCellMar>
            <w:top w:w="0" w:type="dxa"/>
            <w:left w:w="108" w:type="dxa"/>
            <w:bottom w:w="0" w:type="dxa"/>
            <w:right w:w="108" w:type="dxa"/>
          </w:tblCellMar>
        </w:tblPrEx>
        <w:trPr>
          <w:trHeight w:val="1070" w:hRule="atLeast"/>
          <w:jc w:val="center"/>
        </w:trPr>
        <w:tc>
          <w:tcPr>
            <w:tcW w:w="503" w:type="dxa"/>
            <w:vMerge w:val="continue"/>
            <w:tcBorders>
              <w:left w:val="single" w:color="auto" w:sz="4" w:space="0"/>
              <w:bottom w:val="single" w:color="auto" w:sz="4" w:space="0"/>
              <w:right w:val="single" w:color="000000" w:sz="6" w:space="0"/>
            </w:tcBorders>
            <w:vAlign w:val="center"/>
          </w:tcPr>
          <w:p w14:paraId="5FD0FC81">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right w:val="single" w:color="auto" w:sz="4" w:space="0"/>
            </w:tcBorders>
            <w:vAlign w:val="center"/>
          </w:tcPr>
          <w:p w14:paraId="3C70D9C9">
            <w:pPr>
              <w:spacing w:line="360" w:lineRule="auto"/>
              <w:jc w:val="left"/>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tcPr>
          <w:p w14:paraId="53F961D8">
            <w:pPr>
              <w:spacing w:line="360" w:lineRule="auto"/>
              <w:rPr>
                <w:rFonts w:hint="eastAsia" w:ascii="宋体" w:hAnsi="宋体" w:cs="宋体"/>
                <w:color w:val="auto"/>
                <w:sz w:val="24"/>
                <w:szCs w:val="24"/>
              </w:rPr>
            </w:pPr>
            <w:r>
              <w:rPr>
                <w:rFonts w:hint="eastAsia" w:ascii="宋体" w:hAnsi="宋体" w:eastAsia="宋体" w:cs="宋体"/>
                <w:color w:val="auto"/>
                <w:sz w:val="24"/>
                <w:szCs w:val="24"/>
                <w:highlight w:val="none"/>
                <w:lang w:val="en-US" w:eastAsia="zh-CN"/>
              </w:rPr>
              <w:t>应急措施（6分）</w:t>
            </w:r>
          </w:p>
          <w:p w14:paraId="6FAF79EC">
            <w:pPr>
              <w:spacing w:line="360" w:lineRule="auto"/>
              <w:rPr>
                <w:rFonts w:hint="eastAsia" w:ascii="宋体" w:hAnsi="宋体"/>
                <w:color w:val="auto"/>
                <w:sz w:val="24"/>
              </w:rPr>
            </w:pPr>
            <w:r>
              <w:rPr>
                <w:rFonts w:hint="eastAsia" w:ascii="宋体" w:hAnsi="宋体" w:cs="宋体"/>
                <w:color w:val="auto"/>
                <w:sz w:val="24"/>
                <w:szCs w:val="24"/>
              </w:rPr>
              <w:t>针对本项目服务的应急预案措施，针对各类突发事件制定切实可行的应急预案措施</w:t>
            </w:r>
            <w:r>
              <w:rPr>
                <w:rFonts w:hint="eastAsia" w:ascii="宋体" w:hAnsi="宋体" w:cs="宋体"/>
                <w:color w:val="auto"/>
                <w:sz w:val="24"/>
                <w:szCs w:val="24"/>
                <w:lang w:val="en-US" w:eastAsia="zh-CN"/>
              </w:rPr>
              <w:t>和</w:t>
            </w:r>
            <w:r>
              <w:rPr>
                <w:rFonts w:hint="eastAsia" w:ascii="宋体" w:hAnsi="宋体" w:cs="宋体"/>
                <w:color w:val="auto"/>
                <w:sz w:val="24"/>
              </w:rPr>
              <w:t>应急演练方案</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措施方案制定合理、完善</w:t>
            </w:r>
            <w:r>
              <w:rPr>
                <w:rFonts w:hint="eastAsia" w:ascii="宋体" w:hAnsi="宋体" w:cs="宋体"/>
                <w:color w:val="auto"/>
                <w:sz w:val="24"/>
                <w:szCs w:val="24"/>
              </w:rPr>
              <w:t>详细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切实可行</w:t>
            </w:r>
            <w:r>
              <w:rPr>
                <w:rFonts w:hint="eastAsia" w:ascii="宋体" w:hAnsi="宋体" w:cs="宋体"/>
                <w:color w:val="auto"/>
                <w:sz w:val="24"/>
                <w:szCs w:val="24"/>
              </w:rPr>
              <w:t>的计</w:t>
            </w:r>
            <w:r>
              <w:rPr>
                <w:rFonts w:hint="eastAsia" w:ascii="宋体" w:hAnsi="宋体" w:cs="宋体"/>
                <w:color w:val="auto"/>
                <w:sz w:val="24"/>
                <w:szCs w:val="24"/>
                <w:lang w:val="en-US" w:eastAsia="zh-CN"/>
              </w:rPr>
              <w:t>5—6</w:t>
            </w:r>
            <w:r>
              <w:rPr>
                <w:rFonts w:hint="eastAsia" w:ascii="宋体" w:hAnsi="宋体" w:cs="宋体"/>
                <w:color w:val="auto"/>
                <w:sz w:val="24"/>
                <w:szCs w:val="24"/>
              </w:rPr>
              <w:t>分，</w:t>
            </w:r>
            <w:r>
              <w:rPr>
                <w:rFonts w:hint="eastAsia" w:ascii="宋体" w:hAnsi="宋体" w:cs="宋体"/>
                <w:color w:val="auto"/>
                <w:sz w:val="24"/>
                <w:szCs w:val="24"/>
                <w:lang w:val="en-US" w:eastAsia="zh-CN"/>
              </w:rPr>
              <w:t>措施方案制定较为合理，基本可行的3—4</w:t>
            </w:r>
            <w:r>
              <w:rPr>
                <w:rFonts w:hint="eastAsia" w:ascii="宋体" w:hAnsi="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措施方案制定存在部分缺陷和不足的计1-2分</w:t>
            </w:r>
            <w:r>
              <w:rPr>
                <w:rFonts w:hint="eastAsia" w:ascii="宋体" w:hAnsi="宋体" w:cs="宋体"/>
                <w:color w:val="auto"/>
                <w:sz w:val="24"/>
                <w:szCs w:val="24"/>
              </w:rPr>
              <w:t>。</w:t>
            </w:r>
            <w:r>
              <w:rPr>
                <w:rFonts w:hint="eastAsia" w:ascii="宋体" w:hAnsi="宋体" w:cs="宋体"/>
                <w:color w:val="auto"/>
                <w:sz w:val="24"/>
                <w:szCs w:val="24"/>
                <w:highlight w:val="none"/>
                <w:lang w:val="en-US" w:eastAsia="zh-CN"/>
              </w:rPr>
              <w:t>未提供不得分。</w:t>
            </w:r>
          </w:p>
        </w:tc>
      </w:tr>
      <w:tr w14:paraId="04A53847">
        <w:tblPrEx>
          <w:tblCellMar>
            <w:top w:w="0" w:type="dxa"/>
            <w:left w:w="108" w:type="dxa"/>
            <w:bottom w:w="0" w:type="dxa"/>
            <w:right w:w="108" w:type="dxa"/>
          </w:tblCellMar>
        </w:tblPrEx>
        <w:trPr>
          <w:trHeight w:val="1070" w:hRule="atLeast"/>
          <w:jc w:val="center"/>
        </w:trPr>
        <w:tc>
          <w:tcPr>
            <w:tcW w:w="503" w:type="dxa"/>
            <w:vMerge w:val="continue"/>
            <w:tcBorders>
              <w:left w:val="single" w:color="auto" w:sz="4" w:space="0"/>
              <w:bottom w:val="single" w:color="auto" w:sz="4" w:space="0"/>
              <w:right w:val="single" w:color="000000" w:sz="6" w:space="0"/>
            </w:tcBorders>
            <w:vAlign w:val="center"/>
          </w:tcPr>
          <w:p w14:paraId="25798897">
            <w:pPr>
              <w:spacing w:line="360" w:lineRule="auto"/>
              <w:rPr>
                <w:rFonts w:hint="eastAsia" w:ascii="宋体" w:hAnsi="宋体" w:eastAsia="宋体" w:cs="宋体"/>
                <w:b w:val="0"/>
                <w:bCs/>
                <w:color w:val="auto"/>
                <w:kern w:val="0"/>
                <w:sz w:val="24"/>
                <w:szCs w:val="24"/>
              </w:rPr>
            </w:pPr>
          </w:p>
        </w:tc>
        <w:tc>
          <w:tcPr>
            <w:tcW w:w="1179" w:type="dxa"/>
            <w:vMerge w:val="continue"/>
            <w:tcBorders>
              <w:left w:val="single" w:color="000000" w:sz="6" w:space="0"/>
              <w:bottom w:val="single" w:color="auto" w:sz="4" w:space="0"/>
              <w:right w:val="single" w:color="auto" w:sz="4" w:space="0"/>
            </w:tcBorders>
            <w:vAlign w:val="center"/>
          </w:tcPr>
          <w:p w14:paraId="0527E2FF">
            <w:pPr>
              <w:spacing w:line="360" w:lineRule="auto"/>
              <w:jc w:val="left"/>
              <w:rPr>
                <w:rFonts w:hint="default" w:ascii="宋体" w:hAnsi="宋体" w:eastAsia="宋体" w:cs="宋体"/>
                <w:color w:val="auto"/>
                <w:sz w:val="24"/>
                <w:szCs w:val="24"/>
                <w:highlight w:val="none"/>
                <w:lang w:val="en-US" w:eastAsia="zh-CN"/>
              </w:rPr>
            </w:pPr>
          </w:p>
        </w:tc>
        <w:tc>
          <w:tcPr>
            <w:tcW w:w="7953" w:type="dxa"/>
            <w:tcBorders>
              <w:top w:val="single" w:color="000000" w:sz="6" w:space="0"/>
              <w:left w:val="single" w:color="000000" w:sz="6" w:space="0"/>
              <w:bottom w:val="single" w:color="000000" w:sz="6" w:space="0"/>
              <w:right w:val="single" w:color="auto" w:sz="4" w:space="0"/>
            </w:tcBorders>
          </w:tcPr>
          <w:p w14:paraId="732BBBE3">
            <w:pPr>
              <w:spacing w:line="360" w:lineRule="auto"/>
              <w:rPr>
                <w:rFonts w:hint="eastAsia" w:ascii="宋体" w:hAnsi="宋体"/>
                <w:color w:val="auto"/>
                <w:sz w:val="24"/>
              </w:rPr>
            </w:pPr>
            <w:r>
              <w:rPr>
                <w:rFonts w:hint="eastAsia" w:ascii="宋体" w:hAnsi="宋体" w:eastAsia="宋体" w:cs="宋体"/>
                <w:color w:val="auto"/>
                <w:sz w:val="24"/>
                <w:szCs w:val="24"/>
                <w:highlight w:val="none"/>
                <w:lang w:val="en-US" w:eastAsia="zh-CN"/>
              </w:rPr>
              <w:t>工具仪器（6分）</w:t>
            </w:r>
          </w:p>
          <w:p w14:paraId="168C5194">
            <w:pPr>
              <w:spacing w:line="360" w:lineRule="auto"/>
              <w:rPr>
                <w:rFonts w:hint="eastAsia" w:ascii="宋体" w:hAnsi="宋体" w:eastAsia="宋体" w:cs="宋体"/>
                <w:b w:val="0"/>
                <w:bCs/>
                <w:color w:val="auto"/>
                <w:kern w:val="0"/>
                <w:sz w:val="24"/>
                <w:szCs w:val="24"/>
              </w:rPr>
            </w:pPr>
            <w:r>
              <w:rPr>
                <w:rFonts w:hint="eastAsia" w:ascii="宋体" w:hAnsi="宋体"/>
                <w:color w:val="auto"/>
                <w:sz w:val="24"/>
              </w:rPr>
              <w:t>根据所配备的维保工具、仪器仪表、检测设备</w:t>
            </w:r>
            <w:r>
              <w:rPr>
                <w:rFonts w:hint="eastAsia" w:ascii="宋体" w:hAnsi="宋体"/>
                <w:color w:val="auto"/>
                <w:sz w:val="24"/>
                <w:lang w:val="en-US" w:eastAsia="zh-CN"/>
              </w:rPr>
              <w:t>情况进行</w:t>
            </w:r>
            <w:r>
              <w:rPr>
                <w:rFonts w:hint="eastAsia" w:ascii="宋体" w:hAnsi="宋体"/>
                <w:color w:val="auto"/>
                <w:sz w:val="24"/>
              </w:rPr>
              <w:t>综合赋分。设备齐全、功能完全满足本项目维保需要的，得</w:t>
            </w:r>
            <w:r>
              <w:rPr>
                <w:rFonts w:hint="eastAsia" w:ascii="宋体" w:hAnsi="宋体"/>
                <w:color w:val="auto"/>
                <w:sz w:val="24"/>
                <w:lang w:val="en-US" w:eastAsia="zh-CN"/>
              </w:rPr>
              <w:t>5—6</w:t>
            </w:r>
            <w:r>
              <w:rPr>
                <w:rFonts w:hint="eastAsia" w:ascii="宋体" w:hAnsi="宋体"/>
                <w:color w:val="auto"/>
                <w:sz w:val="24"/>
              </w:rPr>
              <w:t>分；设备基本齐全、能基本满足本项目维保需要的得</w:t>
            </w:r>
            <w:r>
              <w:rPr>
                <w:rFonts w:hint="eastAsia" w:ascii="宋体" w:hAnsi="宋体"/>
                <w:color w:val="auto"/>
                <w:sz w:val="24"/>
                <w:lang w:val="en-US" w:eastAsia="zh-CN"/>
              </w:rPr>
              <w:t>3—4</w:t>
            </w:r>
            <w:r>
              <w:rPr>
                <w:rFonts w:hint="eastAsia" w:ascii="宋体" w:hAnsi="宋体"/>
                <w:color w:val="auto"/>
                <w:sz w:val="24"/>
              </w:rPr>
              <w:t>分；设备不全、不能满足本项目维保需要的得</w:t>
            </w:r>
            <w:r>
              <w:rPr>
                <w:rFonts w:hint="eastAsia" w:ascii="宋体" w:hAnsi="宋体"/>
                <w:color w:val="auto"/>
                <w:sz w:val="24"/>
                <w:lang w:val="en-US" w:eastAsia="zh-CN"/>
              </w:rPr>
              <w:t>1</w:t>
            </w: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分。</w:t>
            </w:r>
            <w:r>
              <w:rPr>
                <w:rFonts w:hint="eastAsia" w:ascii="宋体" w:hAnsi="宋体" w:cs="宋体"/>
                <w:color w:val="auto"/>
                <w:sz w:val="24"/>
                <w:szCs w:val="24"/>
                <w:highlight w:val="none"/>
                <w:lang w:val="en-US" w:eastAsia="zh-CN"/>
              </w:rPr>
              <w:t>未提供不得分。</w:t>
            </w:r>
          </w:p>
        </w:tc>
      </w:tr>
      <w:tr w14:paraId="45D4040C">
        <w:tblPrEx>
          <w:tblCellMar>
            <w:top w:w="0" w:type="dxa"/>
            <w:left w:w="108" w:type="dxa"/>
            <w:bottom w:w="0" w:type="dxa"/>
            <w:right w:w="108" w:type="dxa"/>
          </w:tblCellMar>
        </w:tblPrEx>
        <w:trPr>
          <w:trHeight w:val="1070"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14:paraId="07A5845C">
            <w:pPr>
              <w:spacing w:line="360" w:lineRule="auto"/>
              <w:rPr>
                <w:rFonts w:hint="eastAsia" w:ascii="宋体" w:hAnsi="宋体" w:eastAsia="宋体" w:cs="宋体"/>
                <w:b w:val="0"/>
                <w:bCs/>
                <w:color w:val="auto"/>
                <w:kern w:val="0"/>
                <w:sz w:val="24"/>
                <w:szCs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B61C6BE">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业绩</w:t>
            </w:r>
          </w:p>
          <w:p w14:paraId="1C2010F0">
            <w:pPr>
              <w:spacing w:line="360" w:lineRule="auto"/>
              <w:jc w:val="center"/>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分</w:t>
            </w:r>
            <w:r>
              <w:rPr>
                <w:rFonts w:hint="eastAsia" w:ascii="宋体" w:hAnsi="宋体" w:eastAsia="宋体" w:cs="宋体"/>
                <w:b w:val="0"/>
                <w:bCs/>
                <w:color w:val="auto"/>
                <w:kern w:val="0"/>
                <w:sz w:val="24"/>
                <w:szCs w:val="24"/>
                <w:lang w:eastAsia="zh-CN"/>
              </w:rPr>
              <w:t>）</w:t>
            </w:r>
          </w:p>
        </w:tc>
        <w:tc>
          <w:tcPr>
            <w:tcW w:w="7953" w:type="dxa"/>
            <w:tcBorders>
              <w:top w:val="single" w:color="000000" w:sz="6" w:space="0"/>
              <w:left w:val="single" w:color="auto" w:sz="4" w:space="0"/>
              <w:bottom w:val="single" w:color="000000" w:sz="6" w:space="0"/>
              <w:right w:val="single" w:color="auto" w:sz="4" w:space="0"/>
            </w:tcBorders>
          </w:tcPr>
          <w:p w14:paraId="609BD157">
            <w:pPr>
              <w:spacing w:line="360" w:lineRule="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投标人提供</w:t>
            </w:r>
            <w:r>
              <w:rPr>
                <w:rFonts w:hint="eastAsia" w:ascii="宋体" w:hAnsi="宋体" w:cs="宋体"/>
                <w:b w:val="0"/>
                <w:bCs/>
                <w:color w:val="auto"/>
                <w:kern w:val="0"/>
                <w:sz w:val="24"/>
                <w:szCs w:val="24"/>
                <w:lang w:val="en-US" w:eastAsia="zh-CN"/>
              </w:rPr>
              <w:t>2022</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07</w:t>
            </w:r>
            <w:r>
              <w:rPr>
                <w:rFonts w:hint="eastAsia" w:ascii="宋体" w:hAnsi="宋体" w:eastAsia="宋体" w:cs="宋体"/>
                <w:b w:val="0"/>
                <w:bCs/>
                <w:color w:val="auto"/>
                <w:kern w:val="0"/>
                <w:sz w:val="24"/>
                <w:szCs w:val="24"/>
              </w:rPr>
              <w:t>月（以合同签订时间为准）至今的</w:t>
            </w:r>
            <w:r>
              <w:rPr>
                <w:rFonts w:hint="eastAsia" w:ascii="宋体" w:hAnsi="宋体" w:eastAsia="宋体" w:cs="宋体"/>
                <w:b w:val="0"/>
                <w:bCs/>
                <w:color w:val="auto"/>
                <w:kern w:val="0"/>
                <w:sz w:val="24"/>
                <w:szCs w:val="24"/>
                <w:lang w:val="en-US" w:eastAsia="zh-CN"/>
              </w:rPr>
              <w:t>类似项目</w:t>
            </w:r>
            <w:r>
              <w:rPr>
                <w:rFonts w:hint="eastAsia" w:ascii="宋体" w:hAnsi="宋体" w:eastAsia="宋体" w:cs="宋体"/>
                <w:b w:val="0"/>
                <w:bCs/>
                <w:color w:val="auto"/>
                <w:kern w:val="0"/>
                <w:sz w:val="24"/>
                <w:szCs w:val="24"/>
              </w:rPr>
              <w:t>业绩，业绩以有效的合同为准，每提供一份类似项目业绩计</w:t>
            </w:r>
            <w:r>
              <w:rPr>
                <w:rFonts w:hint="eastAsia" w:ascii="宋体" w:hAnsi="宋体" w:cs="宋体"/>
                <w:b w:val="0"/>
                <w:bCs/>
                <w:color w:val="auto"/>
                <w:kern w:val="0"/>
                <w:sz w:val="24"/>
                <w:szCs w:val="24"/>
                <w:lang w:val="en-US" w:eastAsia="zh-CN"/>
              </w:rPr>
              <w:t>2</w:t>
            </w:r>
            <w:r>
              <w:rPr>
                <w:rFonts w:hint="eastAsia" w:ascii="宋体" w:hAnsi="宋体" w:eastAsia="宋体" w:cs="宋体"/>
                <w:b w:val="0"/>
                <w:bCs/>
                <w:color w:val="auto"/>
                <w:kern w:val="0"/>
                <w:sz w:val="24"/>
                <w:szCs w:val="24"/>
              </w:rPr>
              <w:t>分，最多得</w:t>
            </w: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分。</w:t>
            </w:r>
          </w:p>
        </w:tc>
      </w:tr>
      <w:tr w14:paraId="460EF5F0">
        <w:tblPrEx>
          <w:tblCellMar>
            <w:top w:w="0" w:type="dxa"/>
            <w:left w:w="108" w:type="dxa"/>
            <w:bottom w:w="0" w:type="dxa"/>
            <w:right w:w="108" w:type="dxa"/>
          </w:tblCellMar>
        </w:tblPrEx>
        <w:trPr>
          <w:trHeight w:val="499"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0CDFC530">
            <w:pPr>
              <w:spacing w:line="360" w:lineRule="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w:t>
            </w:r>
          </w:p>
        </w:tc>
        <w:tc>
          <w:tcPr>
            <w:tcW w:w="1179" w:type="dxa"/>
            <w:tcBorders>
              <w:top w:val="single" w:color="auto" w:sz="4" w:space="0"/>
              <w:left w:val="single" w:color="auto" w:sz="4" w:space="0"/>
              <w:bottom w:val="single" w:color="auto" w:sz="4" w:space="0"/>
              <w:right w:val="single" w:color="auto" w:sz="4" w:space="0"/>
            </w:tcBorders>
            <w:vAlign w:val="center"/>
          </w:tcPr>
          <w:p w14:paraId="57065BDB">
            <w:pPr>
              <w:spacing w:line="360" w:lineRule="auto"/>
              <w:jc w:val="center"/>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备品配件</w:t>
            </w:r>
            <w:r>
              <w:rPr>
                <w:rFonts w:hint="eastAsia" w:ascii="宋体" w:hAnsi="宋体" w:eastAsia="宋体" w:cs="宋体"/>
                <w:b w:val="0"/>
                <w:bCs/>
                <w:color w:val="auto"/>
                <w:kern w:val="0"/>
                <w:sz w:val="24"/>
                <w:szCs w:val="24"/>
                <w:lang w:eastAsia="zh-CN"/>
              </w:rPr>
              <w:t>（</w:t>
            </w:r>
            <w:r>
              <w:rPr>
                <w:rFonts w:hint="eastAsia" w:ascii="宋体" w:hAnsi="宋体" w:cs="宋体"/>
                <w:b w:val="0"/>
                <w:bCs/>
                <w:color w:val="auto"/>
                <w:kern w:val="0"/>
                <w:sz w:val="24"/>
                <w:szCs w:val="24"/>
                <w:lang w:val="en-US" w:eastAsia="zh-CN"/>
              </w:rPr>
              <w:t>8</w:t>
            </w:r>
            <w:r>
              <w:rPr>
                <w:rFonts w:hint="eastAsia" w:ascii="宋体" w:hAnsi="宋体" w:eastAsia="宋体" w:cs="宋体"/>
                <w:b w:val="0"/>
                <w:bCs/>
                <w:color w:val="auto"/>
                <w:kern w:val="0"/>
                <w:sz w:val="24"/>
                <w:szCs w:val="24"/>
              </w:rPr>
              <w:t>分</w:t>
            </w:r>
            <w:r>
              <w:rPr>
                <w:rFonts w:hint="eastAsia" w:ascii="宋体" w:hAnsi="宋体" w:eastAsia="宋体" w:cs="宋体"/>
                <w:b w:val="0"/>
                <w:bCs/>
                <w:color w:val="auto"/>
                <w:kern w:val="0"/>
                <w:sz w:val="24"/>
                <w:szCs w:val="24"/>
                <w:lang w:eastAsia="zh-CN"/>
              </w:rPr>
              <w:t>）</w:t>
            </w:r>
          </w:p>
        </w:tc>
        <w:tc>
          <w:tcPr>
            <w:tcW w:w="7953" w:type="dxa"/>
            <w:tcBorders>
              <w:top w:val="single" w:color="000000" w:sz="6" w:space="0"/>
              <w:left w:val="single" w:color="auto" w:sz="4" w:space="0"/>
              <w:bottom w:val="single" w:color="000000" w:sz="6" w:space="0"/>
              <w:right w:val="single" w:color="auto" w:sz="4" w:space="0"/>
            </w:tcBorders>
          </w:tcPr>
          <w:p w14:paraId="7FA8403A">
            <w:pPr>
              <w:numPr>
                <w:ilvl w:val="0"/>
                <w:numId w:val="7"/>
              </w:numPr>
              <w:spacing w:line="360" w:lineRule="auto"/>
              <w:rPr>
                <w:rFonts w:hint="eastAsia" w:ascii="宋体" w:hAnsi="宋体"/>
                <w:color w:val="auto"/>
                <w:sz w:val="24"/>
              </w:rPr>
            </w:pPr>
            <w:r>
              <w:rPr>
                <w:rFonts w:hint="eastAsia" w:ascii="宋体" w:hAnsi="宋体"/>
                <w:color w:val="auto"/>
                <w:sz w:val="24"/>
              </w:rPr>
              <w:t>针对</w:t>
            </w:r>
            <w:r>
              <w:rPr>
                <w:rFonts w:hint="eastAsia" w:ascii="宋体" w:hAnsi="宋体"/>
                <w:color w:val="auto"/>
                <w:sz w:val="24"/>
                <w:lang w:val="en-US" w:eastAsia="zh-CN"/>
              </w:rPr>
              <w:t>项目</w:t>
            </w:r>
            <w:r>
              <w:rPr>
                <w:rFonts w:hint="eastAsia" w:ascii="宋体" w:hAnsi="宋体"/>
                <w:color w:val="auto"/>
                <w:sz w:val="24"/>
              </w:rPr>
              <w:t>目前设备现状，</w:t>
            </w:r>
            <w:r>
              <w:rPr>
                <w:rFonts w:hint="eastAsia" w:ascii="宋体" w:hAnsi="宋体"/>
                <w:color w:val="auto"/>
                <w:spacing w:val="6"/>
                <w:sz w:val="24"/>
              </w:rPr>
              <w:t>备品、配件供应有保障，货源渠道正规，</w:t>
            </w:r>
            <w:r>
              <w:rPr>
                <w:rFonts w:hint="eastAsia" w:ascii="宋体" w:hAnsi="宋体"/>
                <w:color w:val="auto"/>
                <w:sz w:val="24"/>
              </w:rPr>
              <w:t>承诺主要设备的配件、耗材选用原厂品牌，并提供承诺书</w:t>
            </w:r>
            <w:r>
              <w:rPr>
                <w:rFonts w:hint="eastAsia" w:ascii="宋体" w:hAnsi="宋体"/>
                <w:color w:val="auto"/>
                <w:sz w:val="24"/>
                <w:lang w:eastAsia="zh-CN"/>
              </w:rPr>
              <w:t>，</w:t>
            </w:r>
            <w:r>
              <w:rPr>
                <w:rFonts w:hint="eastAsia" w:ascii="宋体" w:hAnsi="宋体"/>
                <w:color w:val="auto"/>
                <w:sz w:val="24"/>
                <w:lang w:val="en-US" w:eastAsia="zh-CN"/>
              </w:rPr>
              <w:t>根据响应程度计1-3</w:t>
            </w:r>
            <w:r>
              <w:rPr>
                <w:rFonts w:hint="eastAsia" w:ascii="宋体" w:hAnsi="宋体"/>
                <w:color w:val="auto"/>
                <w:sz w:val="24"/>
              </w:rPr>
              <w:t>分。</w:t>
            </w:r>
            <w:r>
              <w:rPr>
                <w:rFonts w:hint="eastAsia" w:ascii="宋体" w:hAnsi="宋体" w:cs="宋体"/>
                <w:color w:val="auto"/>
                <w:sz w:val="24"/>
                <w:szCs w:val="24"/>
                <w:highlight w:val="none"/>
                <w:lang w:val="en-US" w:eastAsia="zh-CN"/>
              </w:rPr>
              <w:t>未提供不得分。</w:t>
            </w:r>
          </w:p>
          <w:p w14:paraId="28E38E7B">
            <w:pPr>
              <w:numPr>
                <w:ilvl w:val="0"/>
                <w:numId w:val="7"/>
              </w:numPr>
              <w:spacing w:line="360" w:lineRule="auto"/>
              <w:rPr>
                <w:rFonts w:hint="eastAsia" w:ascii="宋体" w:hAnsi="宋体"/>
                <w:color w:val="auto"/>
                <w:sz w:val="24"/>
                <w:lang w:val="en-US" w:eastAsia="zh-CN"/>
              </w:rPr>
            </w:pPr>
            <w:r>
              <w:rPr>
                <w:rFonts w:hint="eastAsia" w:ascii="宋体" w:hAnsi="宋体"/>
                <w:color w:val="auto"/>
                <w:sz w:val="24"/>
                <w:lang w:val="en-US" w:eastAsia="zh-CN"/>
              </w:rPr>
              <w:t>提供详细的备品备件及耗材库存清单，且具备快速供应能力，可确保在规定时间内满足维修需求且优惠力度大的得 4-5 分；库存清单较完整，供应能力一般，优惠力度一般得 2-3 分；库存及供应能力无法有效保障，没有优惠的得 1 分。</w:t>
            </w:r>
            <w:r>
              <w:rPr>
                <w:rFonts w:hint="eastAsia" w:ascii="宋体" w:hAnsi="宋体" w:cs="宋体"/>
                <w:color w:val="auto"/>
                <w:sz w:val="24"/>
                <w:szCs w:val="24"/>
                <w:highlight w:val="none"/>
                <w:lang w:val="en-US" w:eastAsia="zh-CN"/>
              </w:rPr>
              <w:t>未提供不得分。</w:t>
            </w:r>
          </w:p>
        </w:tc>
      </w:tr>
      <w:tr w14:paraId="2FBCF984">
        <w:tblPrEx>
          <w:tblCellMar>
            <w:top w:w="0" w:type="dxa"/>
            <w:left w:w="108" w:type="dxa"/>
            <w:bottom w:w="0" w:type="dxa"/>
            <w:right w:w="108" w:type="dxa"/>
          </w:tblCellMar>
        </w:tblPrEx>
        <w:trPr>
          <w:trHeight w:val="107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77E72029">
            <w:pPr>
              <w:spacing w:line="360" w:lineRule="auto"/>
              <w:rPr>
                <w:rFonts w:hint="default"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4</w:t>
            </w:r>
          </w:p>
        </w:tc>
        <w:tc>
          <w:tcPr>
            <w:tcW w:w="1179" w:type="dxa"/>
            <w:tcBorders>
              <w:top w:val="single" w:color="auto" w:sz="4" w:space="0"/>
              <w:left w:val="single" w:color="auto" w:sz="4" w:space="0"/>
              <w:bottom w:val="single" w:color="auto" w:sz="4" w:space="0"/>
              <w:right w:val="single" w:color="auto" w:sz="4" w:space="0"/>
            </w:tcBorders>
            <w:vAlign w:val="center"/>
          </w:tcPr>
          <w:p w14:paraId="7C7B22EC">
            <w:pPr>
              <w:spacing w:line="360" w:lineRule="auto"/>
              <w:jc w:val="center"/>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合理化建议（3分）</w:t>
            </w:r>
          </w:p>
        </w:tc>
        <w:tc>
          <w:tcPr>
            <w:tcW w:w="7953" w:type="dxa"/>
            <w:tcBorders>
              <w:top w:val="single" w:color="000000" w:sz="6" w:space="0"/>
              <w:left w:val="single" w:color="auto" w:sz="4" w:space="0"/>
              <w:bottom w:val="single" w:color="000000" w:sz="6" w:space="0"/>
              <w:right w:val="single" w:color="auto" w:sz="4" w:space="0"/>
            </w:tcBorders>
          </w:tcPr>
          <w:p w14:paraId="68B92DAE">
            <w:pPr>
              <w:spacing w:line="360" w:lineRule="auto"/>
              <w:rPr>
                <w:rFonts w:hint="default" w:ascii="宋体" w:hAnsi="宋体" w:eastAsia="宋体"/>
                <w:color w:val="auto"/>
                <w:sz w:val="24"/>
                <w:lang w:val="en-US" w:eastAsia="zh-CN"/>
              </w:rPr>
            </w:pPr>
            <w:r>
              <w:rPr>
                <w:rFonts w:hint="eastAsia" w:ascii="宋体" w:hAnsi="宋体"/>
                <w:color w:val="auto"/>
                <w:sz w:val="24"/>
                <w:lang w:val="en-US" w:eastAsia="zh-CN"/>
              </w:rPr>
              <w:t>针对本项目提出合理化建议，</w:t>
            </w:r>
            <w:r>
              <w:rPr>
                <w:rFonts w:hint="eastAsia" w:ascii="宋体" w:hAnsi="宋体" w:cs="楷体"/>
                <w:color w:val="auto"/>
                <w:sz w:val="24"/>
              </w:rPr>
              <w:t>综合考核投标人所提出合理化建议是否全面、提供的实施建议方案是否切实可行等，逐项详细说明的计</w:t>
            </w:r>
            <w:r>
              <w:rPr>
                <w:rFonts w:hint="eastAsia" w:ascii="宋体" w:hAnsi="宋体" w:cs="楷体"/>
                <w:color w:val="auto"/>
                <w:sz w:val="24"/>
                <w:lang w:val="en-US" w:eastAsia="zh-CN"/>
              </w:rPr>
              <w:t>3</w:t>
            </w:r>
            <w:r>
              <w:rPr>
                <w:rFonts w:hint="eastAsia" w:ascii="宋体" w:hAnsi="宋体" w:cs="楷体"/>
                <w:color w:val="auto"/>
                <w:sz w:val="24"/>
              </w:rPr>
              <w:t xml:space="preserve">分，未做详细响应的，按响应程度计 </w:t>
            </w:r>
            <w:r>
              <w:rPr>
                <w:rFonts w:hint="eastAsia" w:ascii="宋体" w:hAnsi="宋体" w:cs="楷体"/>
                <w:color w:val="auto"/>
                <w:sz w:val="24"/>
                <w:lang w:val="en-US" w:eastAsia="zh-CN"/>
              </w:rPr>
              <w:t>1</w:t>
            </w:r>
            <w:r>
              <w:rPr>
                <w:rFonts w:hint="eastAsia" w:ascii="宋体" w:hAnsi="宋体" w:cs="楷体"/>
                <w:color w:val="auto"/>
                <w:sz w:val="24"/>
              </w:rPr>
              <w:t>-</w:t>
            </w:r>
            <w:r>
              <w:rPr>
                <w:rFonts w:hint="eastAsia" w:ascii="宋体" w:hAnsi="宋体" w:cs="楷体"/>
                <w:color w:val="auto"/>
                <w:sz w:val="24"/>
                <w:lang w:val="en-US" w:eastAsia="zh-CN"/>
              </w:rPr>
              <w:t>2</w:t>
            </w:r>
            <w:r>
              <w:rPr>
                <w:rFonts w:hint="eastAsia" w:ascii="宋体" w:hAnsi="宋体" w:cs="楷体"/>
                <w:color w:val="auto"/>
                <w:sz w:val="24"/>
              </w:rPr>
              <w:t>分。</w:t>
            </w:r>
            <w:r>
              <w:rPr>
                <w:rFonts w:hint="eastAsia" w:ascii="宋体" w:hAnsi="宋体" w:cs="宋体"/>
                <w:color w:val="auto"/>
                <w:sz w:val="24"/>
                <w:szCs w:val="24"/>
                <w:highlight w:val="none"/>
                <w:lang w:val="en-US" w:eastAsia="zh-CN"/>
              </w:rPr>
              <w:t>未提供不得分。</w:t>
            </w:r>
          </w:p>
        </w:tc>
      </w:tr>
    </w:tbl>
    <w:p w14:paraId="5A836FF0">
      <w:pPr>
        <w:spacing w:line="360" w:lineRule="auto"/>
        <w:rPr>
          <w:rFonts w:cs="宋体" w:asciiTheme="minorEastAsia" w:hAnsiTheme="minorEastAsia" w:eastAsiaTheme="minorEastAsia"/>
          <w:bCs/>
          <w:color w:val="auto"/>
          <w:sz w:val="24"/>
          <w:szCs w:val="24"/>
        </w:rPr>
      </w:pPr>
      <w:r>
        <w:rPr>
          <w:rFonts w:hint="eastAsia" w:cs="宋体" w:asciiTheme="minorEastAsia" w:hAnsiTheme="minorEastAsia" w:eastAsiaTheme="minorEastAsia"/>
          <w:b/>
          <w:bCs/>
          <w:color w:val="auto"/>
          <w:sz w:val="24"/>
          <w:szCs w:val="24"/>
        </w:rPr>
        <w:t>备注</w:t>
      </w:r>
      <w:r>
        <w:rPr>
          <w:rFonts w:hint="eastAsia" w:cs="宋体" w:asciiTheme="minorEastAsia" w:hAnsiTheme="minorEastAsia" w:eastAsiaTheme="minorEastAsia"/>
          <w:bCs/>
          <w:color w:val="auto"/>
          <w:sz w:val="24"/>
          <w:szCs w:val="24"/>
        </w:rPr>
        <w:t>：</w:t>
      </w:r>
    </w:p>
    <w:p w14:paraId="13A34A95">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1.</w:t>
      </w:r>
      <w:r>
        <w:rPr>
          <w:rFonts w:hint="eastAsia" w:ascii="宋体" w:hAnsi="宋体" w:cs="宋体"/>
          <w:bCs/>
          <w:color w:val="auto"/>
          <w:sz w:val="24"/>
          <w:szCs w:val="24"/>
        </w:rPr>
        <w:t>以上各项打分均由评标委员会独立评分，评分相邻两档之间的得分，归属于较低一档</w:t>
      </w:r>
      <w:r>
        <w:rPr>
          <w:rFonts w:hint="eastAsia" w:ascii="宋体" w:hAnsi="宋体" w:cs="宋体"/>
          <w:bCs/>
          <w:color w:val="auto"/>
          <w:sz w:val="24"/>
          <w:szCs w:val="24"/>
          <w:lang w:eastAsia="zh-CN"/>
        </w:rPr>
        <w:t>，</w:t>
      </w:r>
      <w:r>
        <w:rPr>
          <w:rFonts w:hint="eastAsia" w:ascii="宋体" w:hAnsi="宋体" w:cs="宋体"/>
          <w:bCs/>
          <w:color w:val="auto"/>
          <w:sz w:val="24"/>
          <w:szCs w:val="24"/>
        </w:rPr>
        <w:t>两档之间可取小数点进行打分，按评审后综合得分由高到低推荐一至三名中标候选人。</w:t>
      </w:r>
    </w:p>
    <w:p w14:paraId="43F2A190">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2.</w:t>
      </w:r>
      <w:r>
        <w:rPr>
          <w:rFonts w:hint="eastAsia" w:ascii="宋体" w:hAnsi="宋体" w:eastAsia="宋体" w:cs="宋体"/>
          <w:color w:val="auto"/>
          <w:kern w:val="2"/>
          <w:sz w:val="24"/>
          <w:szCs w:val="24"/>
          <w:lang w:val="en-US" w:eastAsia="zh-CN" w:bidi="ar"/>
        </w:rPr>
        <w:t>对专门面向中小企业采购项目，不</w:t>
      </w:r>
      <w:r>
        <w:rPr>
          <w:rFonts w:hint="eastAsia" w:ascii="宋体" w:hAnsi="宋体" w:cs="宋体"/>
          <w:color w:val="auto"/>
          <w:kern w:val="2"/>
          <w:sz w:val="24"/>
          <w:szCs w:val="24"/>
          <w:lang w:val="en-US" w:eastAsia="zh-CN" w:bidi="ar"/>
        </w:rPr>
        <w:t>再</w:t>
      </w:r>
      <w:r>
        <w:rPr>
          <w:rFonts w:hint="eastAsia" w:ascii="宋体" w:hAnsi="宋体" w:eastAsia="宋体" w:cs="宋体"/>
          <w:color w:val="auto"/>
          <w:kern w:val="2"/>
          <w:sz w:val="24"/>
          <w:szCs w:val="24"/>
          <w:lang w:val="en-US" w:eastAsia="zh-CN" w:bidi="ar"/>
        </w:rPr>
        <w:t>执行价格扣除政策。</w:t>
      </w:r>
      <w:r>
        <w:rPr>
          <w:rFonts w:hint="eastAsia" w:ascii="宋体" w:hAnsi="宋体" w:eastAsia="宋体" w:cs="宋体"/>
          <w:bCs/>
          <w:color w:val="auto"/>
          <w:sz w:val="24"/>
          <w:szCs w:val="24"/>
        </w:rPr>
        <w:t>对于非专门面向中小企业的项目，对小型和微型企业产品的价格给予</w:t>
      </w: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rPr>
        <w:t>的扣除，用扣除后的价格参与评审</w:t>
      </w:r>
      <w:r>
        <w:rPr>
          <w:rFonts w:hint="eastAsia" w:ascii="宋体" w:hAnsi="宋体" w:eastAsia="宋体" w:cs="宋体"/>
          <w:bCs/>
          <w:color w:val="auto"/>
          <w:sz w:val="24"/>
          <w:szCs w:val="24"/>
          <w:lang w:eastAsia="zh-CN"/>
        </w:rPr>
        <w:t>。</w:t>
      </w:r>
    </w:p>
    <w:p w14:paraId="3126D33C">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3.</w:t>
      </w:r>
      <w:r>
        <w:rPr>
          <w:rFonts w:hint="eastAsia" w:ascii="宋体" w:hAnsi="宋体" w:cs="宋体"/>
          <w:bCs/>
          <w:color w:val="auto"/>
          <w:sz w:val="24"/>
          <w:szCs w:val="24"/>
        </w:rPr>
        <w:t>对于非专门面向中小企业的项目、残疾人福利性单位的项目，对小型和微型企业，残疾人福利性单位产品的价格给予10%的扣除，用扣除后的价格参与评审，残疾人福利性单位属于小型、微型企业的，不重复享受政策；</w:t>
      </w:r>
    </w:p>
    <w:p w14:paraId="6CEA47C6">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4.</w:t>
      </w:r>
      <w:r>
        <w:rPr>
          <w:rFonts w:hint="eastAsia" w:ascii="宋体" w:hAnsi="宋体" w:cs="宋体"/>
          <w:bCs/>
          <w:color w:val="auto"/>
          <w:sz w:val="24"/>
          <w:szCs w:val="24"/>
        </w:rPr>
        <w:t>《关于政府采购支持监狱企业发展有关问题的通知》（财库[2014]68号）的规定，对监狱企业给予10%的价格扣除，用扣除后的价格参与评审。（提供由省级以上监狱管理局、戒毒管理局（含新疆生产建设兵团）出具的属于监狱企业的证明文件）</w:t>
      </w:r>
    </w:p>
    <w:p w14:paraId="23B313D5">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5.</w:t>
      </w:r>
      <w:r>
        <w:rPr>
          <w:rFonts w:hint="eastAsia" w:ascii="宋体" w:hAnsi="宋体" w:cs="宋体"/>
          <w:bCs/>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0266FCE">
      <w:pPr>
        <w:spacing w:line="336" w:lineRule="auto"/>
        <w:ind w:firstLine="600" w:firstLineChars="250"/>
        <w:rPr>
          <w:rFonts w:ascii="宋体" w:hAnsi="宋体" w:cs="宋体"/>
          <w:bCs/>
          <w:color w:val="auto"/>
          <w:sz w:val="24"/>
          <w:szCs w:val="24"/>
        </w:rPr>
      </w:pPr>
      <w:r>
        <w:rPr>
          <w:rFonts w:hint="eastAsia" w:ascii="宋体" w:hAnsi="宋体" w:cs="宋体"/>
          <w:bCs/>
          <w:color w:val="auto"/>
          <w:sz w:val="24"/>
          <w:szCs w:val="24"/>
          <w:lang w:eastAsia="zh-CN"/>
        </w:rPr>
        <w:t>6.</w:t>
      </w:r>
      <w:r>
        <w:rPr>
          <w:rFonts w:hint="eastAsia" w:ascii="宋体" w:hAnsi="宋体" w:cs="宋体"/>
          <w:bCs/>
          <w:color w:val="auto"/>
          <w:sz w:val="24"/>
          <w:szCs w:val="24"/>
        </w:rPr>
        <w:t>若出现综合得分并列时，按投标报价由低到高顺序排列。得分且投标报价相同的并列。投标文件满足</w:t>
      </w:r>
      <w:r>
        <w:rPr>
          <w:rFonts w:hint="eastAsia" w:ascii="宋体" w:hAnsi="宋体" w:cs="宋体"/>
          <w:bCs/>
          <w:color w:val="auto"/>
          <w:sz w:val="24"/>
          <w:szCs w:val="24"/>
          <w:lang w:eastAsia="zh-CN"/>
        </w:rPr>
        <w:t>磋商文件</w:t>
      </w:r>
      <w:r>
        <w:rPr>
          <w:rFonts w:hint="eastAsia" w:ascii="宋体" w:hAnsi="宋体" w:cs="宋体"/>
          <w:bCs/>
          <w:color w:val="auto"/>
          <w:sz w:val="24"/>
          <w:szCs w:val="24"/>
        </w:rPr>
        <w:t>全部实质性要求，且按照评审因素的量化指标评审得分最高的投标人为排名第一的中标候选人。</w:t>
      </w:r>
    </w:p>
    <w:bookmarkEnd w:id="138"/>
    <w:p w14:paraId="1CD68C26">
      <w:pPr>
        <w:pStyle w:val="2"/>
        <w:pageBreakBefore/>
        <w:numPr>
          <w:ilvl w:val="0"/>
          <w:numId w:val="6"/>
        </w:numPr>
        <w:rPr>
          <w:rFonts w:ascii="宋体" w:hAnsi="宋体" w:cs="宋体"/>
          <w:color w:val="auto"/>
        </w:rPr>
      </w:pPr>
      <w:bookmarkStart w:id="139" w:name="_Toc11325"/>
      <w:bookmarkStart w:id="140" w:name="_Toc6835"/>
      <w:bookmarkStart w:id="141" w:name="_Toc15647"/>
      <w:r>
        <w:rPr>
          <w:rFonts w:hint="eastAsia" w:ascii="宋体" w:hAnsi="宋体" w:cs="宋体"/>
          <w:color w:val="auto"/>
        </w:rPr>
        <w:t>采购内容及要求</w:t>
      </w:r>
      <w:bookmarkEnd w:id="139"/>
    </w:p>
    <w:p w14:paraId="697264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2" w:firstLineChars="200"/>
        <w:jc w:val="left"/>
        <w:textAlignment w:val="auto"/>
        <w:rPr>
          <w:rFonts w:hint="default" w:ascii="宋体" w:hAnsi="宋体" w:cs="宋体"/>
          <w:color w:val="auto"/>
          <w:kern w:val="0"/>
          <w:sz w:val="24"/>
          <w:szCs w:val="24"/>
          <w:lang w:val="en-US" w:eastAsia="zh-CN" w:bidi="ar"/>
        </w:rPr>
      </w:pPr>
      <w:bookmarkStart w:id="142" w:name="_Toc21652"/>
      <w:bookmarkStart w:id="143" w:name="_Toc536429331"/>
      <w:bookmarkStart w:id="144" w:name="_Toc536429384"/>
      <w:bookmarkStart w:id="145" w:name="_Toc10286"/>
      <w:bookmarkStart w:id="146" w:name="_Toc536202391"/>
      <w:bookmarkStart w:id="147" w:name="_Toc536202322"/>
      <w:bookmarkStart w:id="148" w:name="_Toc19543347"/>
      <w:r>
        <w:rPr>
          <w:rFonts w:hint="eastAsia" w:ascii="宋体" w:hAnsi="宋体"/>
          <w:b/>
          <w:sz w:val="24"/>
        </w:rPr>
        <w:t>一、</w:t>
      </w:r>
      <w:r>
        <w:rPr>
          <w:rFonts w:hint="eastAsia" w:hAnsi="宋体"/>
          <w:b/>
          <w:sz w:val="24"/>
          <w:lang w:val="en-US" w:eastAsia="zh-CN"/>
        </w:rPr>
        <w:t>采购</w:t>
      </w:r>
      <w:r>
        <w:rPr>
          <w:rFonts w:hint="eastAsia" w:ascii="宋体" w:hAnsi="宋体"/>
          <w:b/>
          <w:sz w:val="24"/>
        </w:rPr>
        <w:t>内容：</w:t>
      </w:r>
      <w:r>
        <w:rPr>
          <w:rFonts w:hint="eastAsia" w:ascii="宋体" w:hAnsi="宋体"/>
          <w:b w:val="0"/>
          <w:bCs/>
          <w:sz w:val="24"/>
          <w:lang w:eastAsia="zh-CN"/>
        </w:rPr>
        <w:t>安康市中医医院物流系统维保服务采购项目（三次）</w:t>
      </w:r>
      <w:r>
        <w:rPr>
          <w:rFonts w:hint="default" w:ascii="宋体" w:hAnsi="宋体" w:eastAsia="宋体" w:cs="宋体"/>
          <w:b w:val="0"/>
          <w:bCs/>
          <w:color w:val="auto"/>
          <w:kern w:val="0"/>
          <w:sz w:val="24"/>
          <w:szCs w:val="24"/>
          <w:lang w:val="en-US" w:eastAsia="zh-CN" w:bidi="ar"/>
        </w:rPr>
        <w:t>，</w:t>
      </w:r>
      <w:r>
        <w:rPr>
          <w:rFonts w:hint="default" w:ascii="宋体" w:hAnsi="宋体" w:eastAsia="宋体" w:cs="宋体"/>
          <w:color w:val="auto"/>
          <w:kern w:val="0"/>
          <w:sz w:val="24"/>
          <w:szCs w:val="24"/>
          <w:lang w:val="en-US" w:eastAsia="zh-CN" w:bidi="ar"/>
        </w:rPr>
        <w:t>对采购人现运行的箱式物流系统相关的所有设备设施提供维修、维护、保养服务，内容包含但不限于以下维保项目</w:t>
      </w:r>
      <w:r>
        <w:rPr>
          <w:rFonts w:hint="eastAsia" w:ascii="宋体" w:hAnsi="宋体" w:cs="宋体"/>
          <w:color w:val="auto"/>
          <w:kern w:val="0"/>
          <w:sz w:val="24"/>
          <w:szCs w:val="24"/>
          <w:lang w:val="en-US" w:eastAsia="zh-CN" w:bidi="ar"/>
        </w:rPr>
        <w:t>。</w:t>
      </w:r>
    </w:p>
    <w:tbl>
      <w:tblPr>
        <w:tblStyle w:val="35"/>
        <w:tblW w:w="8955"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6080"/>
        <w:gridCol w:w="1600"/>
      </w:tblGrid>
      <w:tr w14:paraId="504F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275" w:type="dxa"/>
            <w:noWrap w:val="0"/>
            <w:vAlign w:val="center"/>
          </w:tcPr>
          <w:p w14:paraId="5E3FC523">
            <w:pPr>
              <w:keepNext w:val="0"/>
              <w:keepLines w:val="0"/>
              <w:pageBreakBefore w:val="0"/>
              <w:widowControl w:val="0"/>
              <w:kinsoku/>
              <w:overflowPunct/>
              <w:topLinePunct w:val="0"/>
              <w:autoSpaceDE/>
              <w:autoSpaceDN/>
              <w:bidi w:val="0"/>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维保项目</w:t>
            </w:r>
          </w:p>
        </w:tc>
        <w:tc>
          <w:tcPr>
            <w:tcW w:w="6080" w:type="dxa"/>
            <w:noWrap w:val="0"/>
            <w:vAlign w:val="center"/>
          </w:tcPr>
          <w:p w14:paraId="58817FA1">
            <w:pPr>
              <w:keepNext w:val="0"/>
              <w:keepLines w:val="0"/>
              <w:pageBreakBefore w:val="0"/>
              <w:widowControl w:val="0"/>
              <w:kinsoku/>
              <w:overflowPunct/>
              <w:topLinePunct w:val="0"/>
              <w:autoSpaceDE/>
              <w:autoSpaceDN/>
              <w:bidi w:val="0"/>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维保内容</w:t>
            </w:r>
          </w:p>
        </w:tc>
        <w:tc>
          <w:tcPr>
            <w:tcW w:w="1600" w:type="dxa"/>
            <w:noWrap w:val="0"/>
            <w:vAlign w:val="center"/>
          </w:tcPr>
          <w:p w14:paraId="67649D9C">
            <w:pPr>
              <w:keepNext w:val="0"/>
              <w:keepLines w:val="0"/>
              <w:pageBreakBefore w:val="0"/>
              <w:widowControl w:val="0"/>
              <w:kinsoku/>
              <w:overflowPunct/>
              <w:topLinePunct w:val="0"/>
              <w:autoSpaceDE/>
              <w:autoSpaceDN/>
              <w:bidi w:val="0"/>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周期</w:t>
            </w:r>
          </w:p>
        </w:tc>
      </w:tr>
      <w:tr w14:paraId="5D1B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1275" w:type="dxa"/>
            <w:noWrap w:val="0"/>
            <w:vAlign w:val="center"/>
          </w:tcPr>
          <w:p w14:paraId="27F1CDC4">
            <w:pPr>
              <w:keepNext w:val="0"/>
              <w:keepLines w:val="0"/>
              <w:pageBreakBefore w:val="0"/>
              <w:widowControl w:val="0"/>
              <w:kinsoku/>
              <w:overflowPunct/>
              <w:topLinePunct w:val="0"/>
              <w:autoSpaceDE/>
              <w:autoSpaceDN/>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输送线</w:t>
            </w:r>
          </w:p>
        </w:tc>
        <w:tc>
          <w:tcPr>
            <w:tcW w:w="6080" w:type="dxa"/>
            <w:noWrap w:val="0"/>
            <w:vAlign w:val="center"/>
          </w:tcPr>
          <w:p w14:paraId="7B1FA0C7">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1.皮带机传动轴轴承加油；</w:t>
            </w:r>
          </w:p>
          <w:p w14:paraId="48BA26CE">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2.检查输送线体主要部件，包括输送线体上的电动滚筒和驱动电机、传动的多楔带或圆带，以及转向机构的传动机构，并更换受损的零部件；</w:t>
            </w:r>
          </w:p>
          <w:p w14:paraId="0536A6BA">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查</w:t>
            </w:r>
            <w:r>
              <w:rPr>
                <w:rFonts w:hint="eastAsia" w:ascii="宋体" w:hAnsi="宋体" w:eastAsia="宋体" w:cs="宋体"/>
                <w:sz w:val="24"/>
                <w:szCs w:val="24"/>
              </w:rPr>
              <w:t>看输送线运行是否平稳，滚筒跳动、颤抖等不正常现象，若有异常现象调整滚筒和更换多楔带；</w:t>
            </w:r>
          </w:p>
          <w:p w14:paraId="18BE30E0">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4.检查输送线体上运动部件的紧固件是否牢固，检查输送线体上传动的多楔带或O型带的松紧，并及时调整和更换；</w:t>
            </w:r>
          </w:p>
          <w:p w14:paraId="6B449E1D">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5.检查现场各传感器、元器件固定螺丝是否松动，确保正常工作；</w:t>
            </w:r>
          </w:p>
          <w:p w14:paraId="678DD8D3">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6.检查箱体内各元器件固定螺丝是否松动，确保正常工作；</w:t>
            </w:r>
          </w:p>
          <w:p w14:paraId="4CF28DF3">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7.检查运行指示灯，蜂鸣警报器和警示灯是否正常工作，一有故障应及时更换；</w:t>
            </w:r>
          </w:p>
          <w:p w14:paraId="0BBFA7EC">
            <w:pPr>
              <w:keepNext w:val="0"/>
              <w:keepLines w:val="0"/>
              <w:pageBreakBefore w:val="0"/>
              <w:widowControl w:val="0"/>
              <w:kinsoku/>
              <w:overflowPunct/>
              <w:topLinePunct w:val="0"/>
              <w:autoSpaceDE/>
              <w:autoSpaceDN/>
              <w:bidi w:val="0"/>
              <w:adjustRightInd w:val="0"/>
              <w:snapToGrid w:val="0"/>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8.检查输送系统各个紧急停止开关是否动作正常</w:t>
            </w:r>
            <w:r>
              <w:rPr>
                <w:rFonts w:hint="eastAsia" w:ascii="宋体" w:hAnsi="宋体" w:eastAsia="宋体" w:cs="宋体"/>
                <w:sz w:val="24"/>
                <w:szCs w:val="24"/>
                <w:lang w:eastAsia="zh-CN"/>
              </w:rPr>
              <w:t>。</w:t>
            </w:r>
          </w:p>
        </w:tc>
        <w:tc>
          <w:tcPr>
            <w:tcW w:w="1600" w:type="dxa"/>
            <w:noWrap w:val="0"/>
            <w:vAlign w:val="center"/>
          </w:tcPr>
          <w:p w14:paraId="657FBE19">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日常巡查每</w:t>
            </w:r>
            <w:r>
              <w:rPr>
                <w:rFonts w:hint="eastAsia" w:ascii="宋体" w:hAnsi="宋体" w:eastAsia="宋体" w:cs="宋体"/>
                <w:sz w:val="24"/>
                <w:szCs w:val="24"/>
                <w:lang w:val="en-US" w:eastAsia="zh-CN"/>
              </w:rPr>
              <w:t>月</w:t>
            </w:r>
            <w:r>
              <w:rPr>
                <w:rFonts w:hint="eastAsia" w:ascii="宋体" w:hAnsi="宋体" w:eastAsia="宋体" w:cs="宋体"/>
                <w:sz w:val="24"/>
                <w:szCs w:val="24"/>
              </w:rPr>
              <w:t>一次，发现问题及时处理，及时更换受损部件。</w:t>
            </w:r>
          </w:p>
          <w:p w14:paraId="6C306933">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整体保养每</w:t>
            </w:r>
            <w:r>
              <w:rPr>
                <w:rFonts w:hint="eastAsia" w:ascii="宋体" w:hAnsi="宋体" w:eastAsia="宋体" w:cs="宋体"/>
                <w:sz w:val="24"/>
                <w:szCs w:val="24"/>
                <w:lang w:val="en-US" w:eastAsia="zh-CN"/>
              </w:rPr>
              <w:t>季</w:t>
            </w:r>
            <w:r>
              <w:rPr>
                <w:rFonts w:hint="eastAsia" w:ascii="宋体" w:hAnsi="宋体" w:eastAsia="宋体" w:cs="宋体"/>
                <w:sz w:val="24"/>
                <w:szCs w:val="24"/>
              </w:rPr>
              <w:t>度一次</w:t>
            </w:r>
          </w:p>
        </w:tc>
      </w:tr>
      <w:tr w14:paraId="4D07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1275" w:type="dxa"/>
            <w:noWrap w:val="0"/>
            <w:vAlign w:val="center"/>
          </w:tcPr>
          <w:p w14:paraId="7D95D5ED">
            <w:pPr>
              <w:keepNext w:val="0"/>
              <w:keepLines w:val="0"/>
              <w:pageBreakBefore w:val="0"/>
              <w:widowControl w:val="0"/>
              <w:kinsoku/>
              <w:overflowPunct/>
              <w:topLinePunct w:val="0"/>
              <w:autoSpaceDE/>
              <w:autoSpaceDN/>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垂直分拣设备</w:t>
            </w:r>
          </w:p>
        </w:tc>
        <w:tc>
          <w:tcPr>
            <w:tcW w:w="6080" w:type="dxa"/>
            <w:noWrap w:val="0"/>
            <w:vAlign w:val="top"/>
          </w:tcPr>
          <w:p w14:paraId="4D6278EF">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1.检查设备各传感器、元器件固定螺丝是否松动，确保正常工作；</w:t>
            </w:r>
          </w:p>
          <w:p w14:paraId="0860768A">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2.检查分拣设备钢丝绳是否松动、过紧；</w:t>
            </w:r>
          </w:p>
          <w:p w14:paraId="1823461B">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3.检查分拣设备运行速度是否正常；</w:t>
            </w:r>
          </w:p>
          <w:p w14:paraId="2F9A8784">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4.主、副导轨加润滑油；</w:t>
            </w:r>
          </w:p>
          <w:p w14:paraId="7DA0C375">
            <w:pPr>
              <w:keepNext w:val="0"/>
              <w:keepLines w:val="0"/>
              <w:pageBreakBefore w:val="0"/>
              <w:widowControl w:val="0"/>
              <w:kinsoku/>
              <w:overflowPunct/>
              <w:topLinePunct w:val="0"/>
              <w:autoSpaceDE/>
              <w:autoSpaceDN/>
              <w:bidi w:val="0"/>
              <w:spacing w:line="440" w:lineRule="exact"/>
              <w:jc w:val="left"/>
              <w:rPr>
                <w:rFonts w:hint="eastAsia" w:ascii="宋体" w:hAnsi="宋体" w:eastAsia="宋体" w:cs="宋体"/>
                <w:sz w:val="24"/>
                <w:szCs w:val="24"/>
              </w:rPr>
            </w:pPr>
            <w:r>
              <w:rPr>
                <w:rFonts w:hint="eastAsia" w:ascii="宋体" w:hAnsi="宋体" w:eastAsia="宋体" w:cs="宋体"/>
                <w:sz w:val="24"/>
                <w:szCs w:val="24"/>
              </w:rPr>
              <w:t>5.垂直分拣设备与站点是否保持水平位置；</w:t>
            </w:r>
          </w:p>
        </w:tc>
        <w:tc>
          <w:tcPr>
            <w:tcW w:w="1600" w:type="dxa"/>
            <w:noWrap w:val="0"/>
            <w:vAlign w:val="center"/>
          </w:tcPr>
          <w:p w14:paraId="0E2641D0">
            <w:pPr>
              <w:keepNext w:val="0"/>
              <w:keepLines w:val="0"/>
              <w:pageBreakBefore w:val="0"/>
              <w:widowControl w:val="0"/>
              <w:kinsoku/>
              <w:overflowPunct/>
              <w:topLinePunct w:val="0"/>
              <w:autoSpaceDE/>
              <w:autoSpaceDN/>
              <w:bidi w:val="0"/>
              <w:spacing w:line="440" w:lineRule="exact"/>
              <w:jc w:val="left"/>
              <w:rPr>
                <w:rFonts w:hint="eastAsia" w:ascii="宋体" w:hAnsi="宋体" w:eastAsia="宋体" w:cs="宋体"/>
                <w:sz w:val="24"/>
                <w:szCs w:val="24"/>
              </w:rPr>
            </w:pPr>
            <w:r>
              <w:rPr>
                <w:rFonts w:hint="eastAsia" w:ascii="宋体" w:hAnsi="宋体" w:eastAsia="宋体" w:cs="宋体"/>
                <w:sz w:val="24"/>
                <w:szCs w:val="24"/>
              </w:rPr>
              <w:t>日常巡查每</w:t>
            </w:r>
            <w:r>
              <w:rPr>
                <w:rFonts w:hint="eastAsia" w:ascii="宋体" w:hAnsi="宋体" w:eastAsia="宋体" w:cs="宋体"/>
                <w:sz w:val="24"/>
                <w:szCs w:val="24"/>
                <w:lang w:val="en-US" w:eastAsia="zh-CN"/>
              </w:rPr>
              <w:t>月</w:t>
            </w:r>
            <w:r>
              <w:rPr>
                <w:rFonts w:hint="eastAsia" w:ascii="宋体" w:hAnsi="宋体" w:eastAsia="宋体" w:cs="宋体"/>
                <w:sz w:val="24"/>
                <w:szCs w:val="24"/>
              </w:rPr>
              <w:t>一次，发现问题及时处理，及时更换受损部件。</w:t>
            </w:r>
          </w:p>
          <w:p w14:paraId="50BA1EFA">
            <w:pPr>
              <w:keepNext w:val="0"/>
              <w:keepLines w:val="0"/>
              <w:pageBreakBefore w:val="0"/>
              <w:widowControl w:val="0"/>
              <w:kinsoku/>
              <w:overflowPunct/>
              <w:topLinePunct w:val="0"/>
              <w:autoSpaceDE/>
              <w:autoSpaceDN/>
              <w:bidi w:val="0"/>
              <w:spacing w:line="440" w:lineRule="exact"/>
              <w:rPr>
                <w:rFonts w:hint="eastAsia" w:ascii="宋体" w:hAnsi="宋体" w:eastAsia="宋体" w:cs="宋体"/>
                <w:sz w:val="24"/>
                <w:szCs w:val="24"/>
              </w:rPr>
            </w:pPr>
            <w:r>
              <w:rPr>
                <w:rFonts w:hint="eastAsia" w:ascii="宋体" w:hAnsi="宋体" w:eastAsia="宋体" w:cs="宋体"/>
                <w:sz w:val="24"/>
                <w:szCs w:val="24"/>
              </w:rPr>
              <w:t>整体保养每</w:t>
            </w:r>
            <w:r>
              <w:rPr>
                <w:rFonts w:hint="eastAsia" w:ascii="宋体" w:hAnsi="宋体" w:eastAsia="宋体" w:cs="宋体"/>
                <w:sz w:val="24"/>
                <w:szCs w:val="24"/>
                <w:lang w:val="en-US" w:eastAsia="zh-CN"/>
              </w:rPr>
              <w:t>季</w:t>
            </w:r>
            <w:r>
              <w:rPr>
                <w:rFonts w:hint="eastAsia" w:ascii="宋体" w:hAnsi="宋体" w:eastAsia="宋体" w:cs="宋体"/>
                <w:sz w:val="24"/>
                <w:szCs w:val="24"/>
              </w:rPr>
              <w:t>度一次</w:t>
            </w:r>
          </w:p>
        </w:tc>
      </w:tr>
      <w:tr w14:paraId="63E6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275" w:type="dxa"/>
            <w:noWrap w:val="0"/>
            <w:vAlign w:val="center"/>
          </w:tcPr>
          <w:p w14:paraId="446B46F5">
            <w:pPr>
              <w:keepNext w:val="0"/>
              <w:keepLines w:val="0"/>
              <w:pageBreakBefore w:val="0"/>
              <w:widowControl w:val="0"/>
              <w:kinsoku/>
              <w:overflowPunct/>
              <w:topLinePunct w:val="0"/>
              <w:autoSpaceDE/>
              <w:autoSpaceDN/>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终端输送站点层面交换机</w:t>
            </w:r>
          </w:p>
        </w:tc>
        <w:tc>
          <w:tcPr>
            <w:tcW w:w="6080" w:type="dxa"/>
            <w:noWrap w:val="0"/>
            <w:vAlign w:val="center"/>
          </w:tcPr>
          <w:p w14:paraId="2F0C8013">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1.检查终端输送站点主要部件，包括终端输送站点上的电动滚筒和驱动电机、传动的多楔带或圆带，以及转向机构的传动机构，并更换受损的零部件；</w:t>
            </w:r>
          </w:p>
          <w:p w14:paraId="71758D8A">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查</w:t>
            </w:r>
            <w:r>
              <w:rPr>
                <w:rFonts w:hint="eastAsia" w:ascii="宋体" w:hAnsi="宋体" w:eastAsia="宋体" w:cs="宋体"/>
                <w:sz w:val="24"/>
                <w:szCs w:val="24"/>
              </w:rPr>
              <w:t>看终端输送站点运行是否平稳，滚筒跳动、颤抖等不正常现象，若有异常现象调整滚筒和更换多楔带；</w:t>
            </w:r>
          </w:p>
          <w:p w14:paraId="0527671B">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3.检查终端输送站点上运动部件的紧固件是否牢固，检查终端输送站点上传动的多楔带或O型带的松紧，并及时调整和更换；</w:t>
            </w:r>
          </w:p>
          <w:p w14:paraId="5310538F">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4.检查现场各传感器、元器件固定螺丝是否松动，确保正常工作；</w:t>
            </w:r>
          </w:p>
          <w:p w14:paraId="382814F9">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5.检查箱体内各元器件固定螺丝是否松动，确保正常工作；</w:t>
            </w:r>
          </w:p>
          <w:p w14:paraId="2BF9E2C8">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6.检查运行指示灯，蜂鸣警报器和警示灯是否正常工作，一有故障应及时更换；</w:t>
            </w:r>
          </w:p>
          <w:p w14:paraId="14F24AD5">
            <w:pPr>
              <w:keepNext w:val="0"/>
              <w:keepLines w:val="0"/>
              <w:pageBreakBefore w:val="0"/>
              <w:widowControl w:val="0"/>
              <w:kinsoku/>
              <w:overflowPunct/>
              <w:topLinePunct w:val="0"/>
              <w:autoSpaceDE/>
              <w:autoSpaceDN/>
              <w:bidi w:val="0"/>
              <w:adjustRightInd w:val="0"/>
              <w:snapToGrid w:val="0"/>
              <w:spacing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7.检查终端输送站点各个紧急停止开关是否动作正常</w:t>
            </w:r>
            <w:r>
              <w:rPr>
                <w:rFonts w:hint="eastAsia" w:ascii="宋体" w:hAnsi="宋体" w:eastAsia="宋体" w:cs="宋体"/>
                <w:sz w:val="24"/>
                <w:szCs w:val="24"/>
                <w:lang w:eastAsia="zh-CN"/>
              </w:rPr>
              <w:t>。</w:t>
            </w:r>
          </w:p>
        </w:tc>
        <w:tc>
          <w:tcPr>
            <w:tcW w:w="1600" w:type="dxa"/>
            <w:noWrap w:val="0"/>
            <w:vAlign w:val="top"/>
          </w:tcPr>
          <w:p w14:paraId="2C4F3B04">
            <w:pPr>
              <w:keepNext w:val="0"/>
              <w:keepLines w:val="0"/>
              <w:pageBreakBefore w:val="0"/>
              <w:widowControl w:val="0"/>
              <w:kinsoku/>
              <w:overflowPunct/>
              <w:topLinePunct w:val="0"/>
              <w:autoSpaceDE/>
              <w:autoSpaceDN/>
              <w:bidi w:val="0"/>
              <w:spacing w:line="440" w:lineRule="exact"/>
              <w:jc w:val="left"/>
              <w:rPr>
                <w:rFonts w:hint="eastAsia" w:ascii="宋体" w:hAnsi="宋体" w:eastAsia="宋体" w:cs="宋体"/>
                <w:sz w:val="24"/>
                <w:szCs w:val="24"/>
              </w:rPr>
            </w:pPr>
            <w:r>
              <w:rPr>
                <w:rFonts w:hint="eastAsia" w:ascii="宋体" w:hAnsi="宋体" w:eastAsia="宋体" w:cs="宋体"/>
                <w:sz w:val="24"/>
                <w:szCs w:val="24"/>
              </w:rPr>
              <w:t>日常巡查每</w:t>
            </w:r>
            <w:r>
              <w:rPr>
                <w:rFonts w:hint="eastAsia" w:ascii="宋体" w:hAnsi="宋体" w:eastAsia="宋体" w:cs="宋体"/>
                <w:sz w:val="24"/>
                <w:szCs w:val="24"/>
                <w:lang w:val="en-US" w:eastAsia="zh-CN"/>
              </w:rPr>
              <w:t>月</w:t>
            </w:r>
            <w:r>
              <w:rPr>
                <w:rFonts w:hint="eastAsia" w:ascii="宋体" w:hAnsi="宋体" w:eastAsia="宋体" w:cs="宋体"/>
                <w:sz w:val="24"/>
                <w:szCs w:val="24"/>
              </w:rPr>
              <w:t>一次，发现问题及时处理，及时更换受损部件。</w:t>
            </w:r>
          </w:p>
          <w:p w14:paraId="1745F7D3">
            <w:pPr>
              <w:keepNext w:val="0"/>
              <w:keepLines w:val="0"/>
              <w:pageBreakBefore w:val="0"/>
              <w:widowControl w:val="0"/>
              <w:kinsoku/>
              <w:overflowPunct/>
              <w:topLinePunct w:val="0"/>
              <w:autoSpaceDE/>
              <w:autoSpaceDN/>
              <w:bidi w:val="0"/>
              <w:spacing w:line="440" w:lineRule="exact"/>
              <w:jc w:val="left"/>
              <w:rPr>
                <w:rFonts w:hint="eastAsia" w:ascii="宋体" w:hAnsi="宋体" w:eastAsia="宋体" w:cs="宋体"/>
                <w:sz w:val="24"/>
                <w:szCs w:val="24"/>
              </w:rPr>
            </w:pPr>
            <w:r>
              <w:rPr>
                <w:rFonts w:hint="eastAsia" w:ascii="宋体" w:hAnsi="宋体" w:eastAsia="宋体" w:cs="宋体"/>
                <w:sz w:val="24"/>
                <w:szCs w:val="24"/>
              </w:rPr>
              <w:t>整体保养每</w:t>
            </w:r>
            <w:r>
              <w:rPr>
                <w:rFonts w:hint="eastAsia" w:ascii="宋体" w:hAnsi="宋体" w:eastAsia="宋体" w:cs="宋体"/>
                <w:sz w:val="24"/>
                <w:szCs w:val="24"/>
                <w:lang w:val="en-US" w:eastAsia="zh-CN"/>
              </w:rPr>
              <w:t>季</w:t>
            </w:r>
            <w:r>
              <w:rPr>
                <w:rFonts w:hint="eastAsia" w:ascii="宋体" w:hAnsi="宋体" w:eastAsia="宋体" w:cs="宋体"/>
                <w:sz w:val="24"/>
                <w:szCs w:val="24"/>
              </w:rPr>
              <w:t>度一次</w:t>
            </w:r>
          </w:p>
        </w:tc>
      </w:tr>
      <w:tr w14:paraId="1693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75" w:type="dxa"/>
            <w:noWrap w:val="0"/>
            <w:vAlign w:val="center"/>
          </w:tcPr>
          <w:p w14:paraId="1F5232F2">
            <w:pPr>
              <w:keepNext w:val="0"/>
              <w:keepLines w:val="0"/>
              <w:pageBreakBefore w:val="0"/>
              <w:widowControl w:val="0"/>
              <w:kinsoku/>
              <w:overflowPunct/>
              <w:topLinePunct w:val="0"/>
              <w:autoSpaceDE/>
              <w:autoSpaceDN/>
              <w:bidi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信息系统</w:t>
            </w:r>
          </w:p>
        </w:tc>
        <w:tc>
          <w:tcPr>
            <w:tcW w:w="6080" w:type="dxa"/>
            <w:noWrap w:val="0"/>
            <w:vAlign w:val="top"/>
          </w:tcPr>
          <w:p w14:paraId="57B4617F">
            <w:pPr>
              <w:keepNext w:val="0"/>
              <w:keepLines w:val="0"/>
              <w:pageBreakBefore w:val="0"/>
              <w:widowControl w:val="0"/>
              <w:kinsoku/>
              <w:overflowPunct/>
              <w:topLinePunct w:val="0"/>
              <w:autoSpaceDE/>
              <w:autoSpaceDN/>
              <w:bidi w:val="0"/>
              <w:spacing w:line="440" w:lineRule="exact"/>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检查电脑、服务器、交换机等硬件设备，确保软件系统运行正常，包含不限于：操作系统、WCS上位机管理系统、视频监控系统；</w:t>
            </w:r>
          </w:p>
          <w:p w14:paraId="6FB48DF0">
            <w:pPr>
              <w:keepNext w:val="0"/>
              <w:keepLines w:val="0"/>
              <w:pageBreakBefore w:val="0"/>
              <w:widowControl w:val="0"/>
              <w:kinsoku/>
              <w:overflowPunct/>
              <w:topLinePunct w:val="0"/>
              <w:autoSpaceDE/>
              <w:autoSpaceDN/>
              <w:bidi w:val="0"/>
              <w:spacing w:line="440" w:lineRule="exact"/>
              <w:jc w:val="left"/>
              <w:rPr>
                <w:rFonts w:hint="default"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中标人提供上位机、服务器、电脑等备用硬件设备。定时检查上位机、服务器、电脑等备用硬件设备，确保软件系统能正常运行，确保主系统软硬件故障时能及时更换使用</w:t>
            </w:r>
            <w:r>
              <w:rPr>
                <w:rFonts w:hint="eastAsia" w:ascii="宋体" w:hAnsi="宋体" w:cs="宋体"/>
                <w:sz w:val="24"/>
                <w:szCs w:val="24"/>
                <w:lang w:eastAsia="zh-CN"/>
              </w:rPr>
              <w:t>。</w:t>
            </w:r>
          </w:p>
        </w:tc>
        <w:tc>
          <w:tcPr>
            <w:tcW w:w="1600" w:type="dxa"/>
            <w:noWrap w:val="0"/>
            <w:vAlign w:val="center"/>
          </w:tcPr>
          <w:p w14:paraId="50120F03">
            <w:pPr>
              <w:keepNext w:val="0"/>
              <w:keepLines w:val="0"/>
              <w:pageBreakBefore w:val="0"/>
              <w:widowControl w:val="0"/>
              <w:kinsoku/>
              <w:overflowPunct/>
              <w:topLinePunct w:val="0"/>
              <w:autoSpaceDE/>
              <w:autoSpaceDN/>
              <w:bidi w:val="0"/>
              <w:spacing w:line="440" w:lineRule="exact"/>
              <w:jc w:val="left"/>
              <w:rPr>
                <w:rFonts w:hint="eastAsia" w:ascii="宋体" w:hAnsi="宋体" w:eastAsia="宋体" w:cs="宋体"/>
                <w:sz w:val="24"/>
                <w:szCs w:val="24"/>
              </w:rPr>
            </w:pPr>
            <w:r>
              <w:rPr>
                <w:rFonts w:hint="eastAsia" w:ascii="宋体" w:hAnsi="宋体" w:eastAsia="宋体" w:cs="宋体"/>
                <w:sz w:val="24"/>
                <w:szCs w:val="24"/>
              </w:rPr>
              <w:t>日常发现问题及时处理，及时更换受损部件。</w:t>
            </w:r>
          </w:p>
          <w:p w14:paraId="39B8BBEB">
            <w:pPr>
              <w:keepNext w:val="0"/>
              <w:keepLines w:val="0"/>
              <w:pageBreakBefore w:val="0"/>
              <w:widowControl w:val="0"/>
              <w:kinsoku/>
              <w:overflowPunct/>
              <w:topLinePunct w:val="0"/>
              <w:autoSpaceDE/>
              <w:autoSpaceDN/>
              <w:bidi w:val="0"/>
              <w:spacing w:line="440" w:lineRule="exact"/>
              <w:jc w:val="left"/>
              <w:rPr>
                <w:rFonts w:hint="eastAsia" w:ascii="宋体" w:hAnsi="宋体" w:eastAsia="宋体" w:cs="宋体"/>
                <w:sz w:val="24"/>
                <w:szCs w:val="24"/>
              </w:rPr>
            </w:pPr>
            <w:r>
              <w:rPr>
                <w:rFonts w:hint="eastAsia" w:ascii="宋体" w:hAnsi="宋体" w:eastAsia="宋体" w:cs="宋体"/>
                <w:sz w:val="24"/>
                <w:szCs w:val="24"/>
              </w:rPr>
              <w:t>整体保养每</w:t>
            </w:r>
            <w:r>
              <w:rPr>
                <w:rFonts w:hint="eastAsia" w:ascii="宋体" w:hAnsi="宋体" w:eastAsia="宋体" w:cs="宋体"/>
                <w:sz w:val="24"/>
                <w:szCs w:val="24"/>
                <w:lang w:val="en-US" w:eastAsia="zh-CN"/>
              </w:rPr>
              <w:t>季</w:t>
            </w:r>
            <w:r>
              <w:rPr>
                <w:rFonts w:hint="eastAsia" w:ascii="宋体" w:hAnsi="宋体" w:eastAsia="宋体" w:cs="宋体"/>
                <w:sz w:val="24"/>
                <w:szCs w:val="24"/>
              </w:rPr>
              <w:t>度一次</w:t>
            </w:r>
          </w:p>
        </w:tc>
      </w:tr>
      <w:tr w14:paraId="5AC1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75" w:type="dxa"/>
            <w:noWrap w:val="0"/>
            <w:vAlign w:val="center"/>
          </w:tcPr>
          <w:p w14:paraId="0492D884">
            <w:pPr>
              <w:keepNext w:val="0"/>
              <w:keepLines w:val="0"/>
              <w:pageBreakBefore w:val="0"/>
              <w:widowControl w:val="0"/>
              <w:kinsoku/>
              <w:overflowPunct/>
              <w:topLinePunct w:val="0"/>
              <w:autoSpaceDE/>
              <w:autoSpaceDN/>
              <w:bidi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远程服务</w:t>
            </w:r>
          </w:p>
        </w:tc>
        <w:tc>
          <w:tcPr>
            <w:tcW w:w="6080" w:type="dxa"/>
            <w:noWrap w:val="0"/>
            <w:vAlign w:val="top"/>
          </w:tcPr>
          <w:p w14:paraId="12C95ED4">
            <w:pPr>
              <w:keepNext w:val="0"/>
              <w:keepLines w:val="0"/>
              <w:pageBreakBefore w:val="0"/>
              <w:widowControl w:val="0"/>
              <w:kinsoku/>
              <w:overflowPunct/>
              <w:topLinePunct w:val="0"/>
              <w:autoSpaceDE/>
              <w:autoSpaceDN/>
              <w:bidi w:val="0"/>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提供维护工程师24小时远程服务，有问题保证及时解决。</w:t>
            </w:r>
          </w:p>
          <w:p w14:paraId="5184FC6D">
            <w:pPr>
              <w:keepNext w:val="0"/>
              <w:keepLines w:val="0"/>
              <w:pageBreakBefore w:val="0"/>
              <w:widowControl w:val="0"/>
              <w:kinsoku/>
              <w:overflowPunct/>
              <w:topLinePunct w:val="0"/>
              <w:autoSpaceDE/>
              <w:autoSpaceDN/>
              <w:bidi w:val="0"/>
              <w:spacing w:line="44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将维修、维护保养记录台账；对各种仪器、仪表的检测记录台账 </w:t>
            </w:r>
            <w:r>
              <w:rPr>
                <w:rFonts w:hint="eastAsia" w:ascii="宋体" w:hAnsi="宋体" w:eastAsia="宋体" w:cs="宋体"/>
                <w:sz w:val="24"/>
                <w:szCs w:val="24"/>
                <w:highlight w:val="none"/>
                <w:lang w:eastAsia="zh-CN"/>
              </w:rPr>
              <w:t>。</w:t>
            </w:r>
          </w:p>
          <w:p w14:paraId="4486116F">
            <w:pPr>
              <w:keepNext w:val="0"/>
              <w:keepLines w:val="0"/>
              <w:pageBreakBefore w:val="0"/>
              <w:widowControl w:val="0"/>
              <w:kinsoku/>
              <w:overflowPunct/>
              <w:topLinePunct w:val="0"/>
              <w:autoSpaceDE/>
              <w:autoSpaceDN/>
              <w:bidi w:val="0"/>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3.能提供物流系统的技术程序支持，保证物流系统的维修和日常运转顺利进行。</w:t>
            </w:r>
          </w:p>
        </w:tc>
        <w:tc>
          <w:tcPr>
            <w:tcW w:w="1600" w:type="dxa"/>
            <w:noWrap w:val="0"/>
            <w:vAlign w:val="center"/>
          </w:tcPr>
          <w:p w14:paraId="324055EB">
            <w:pPr>
              <w:keepNext w:val="0"/>
              <w:keepLines w:val="0"/>
              <w:pageBreakBefore w:val="0"/>
              <w:widowControl w:val="0"/>
              <w:kinsoku/>
              <w:overflowPunct/>
              <w:topLinePunct w:val="0"/>
              <w:autoSpaceDE/>
              <w:autoSpaceDN/>
              <w:bidi w:val="0"/>
              <w:spacing w:line="440" w:lineRule="exact"/>
              <w:jc w:val="left"/>
              <w:rPr>
                <w:rFonts w:hint="eastAsia" w:ascii="宋体" w:hAnsi="宋体" w:eastAsia="宋体" w:cs="宋体"/>
                <w:sz w:val="24"/>
                <w:szCs w:val="24"/>
              </w:rPr>
            </w:pPr>
          </w:p>
        </w:tc>
      </w:tr>
      <w:tr w14:paraId="02C2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75" w:type="dxa"/>
            <w:noWrap w:val="0"/>
            <w:vAlign w:val="center"/>
          </w:tcPr>
          <w:p w14:paraId="0C638043">
            <w:pPr>
              <w:keepNext w:val="0"/>
              <w:keepLines w:val="0"/>
              <w:pageBreakBefore w:val="0"/>
              <w:widowControl w:val="0"/>
              <w:kinsoku/>
              <w:wordWrap w:val="0"/>
              <w:overflowPunct/>
              <w:topLinePunct w:val="0"/>
              <w:autoSpaceDE/>
              <w:autoSpaceDN/>
              <w:bidi w:val="0"/>
              <w:adjustRightInd/>
              <w:snapToGrid/>
              <w:spacing w:before="0" w:after="0" w:line="440" w:lineRule="exact"/>
              <w:ind w:right="0" w:rightChars="0"/>
              <w:jc w:val="center"/>
              <w:textAlignment w:val="baseline"/>
              <w:rPr>
                <w:rFonts w:hint="eastAsia" w:ascii="宋体" w:hAnsi="宋体" w:eastAsia="宋体" w:cs="宋体"/>
                <w:sz w:val="24"/>
                <w:szCs w:val="24"/>
                <w:lang w:val="en-US" w:eastAsia="zh-CN"/>
              </w:rPr>
            </w:pPr>
            <w:r>
              <w:rPr>
                <w:rFonts w:hint="eastAsia" w:ascii="宋体" w:hAnsi="宋体" w:eastAsia="宋体" w:cs="宋体"/>
                <w:b w:val="0"/>
                <w:i w:val="0"/>
                <w:color w:val="000000"/>
                <w:sz w:val="24"/>
                <w:szCs w:val="24"/>
                <w:lang w:val="en-US" w:eastAsia="zh-CN"/>
              </w:rPr>
              <w:t>日常维修</w:t>
            </w:r>
          </w:p>
        </w:tc>
        <w:tc>
          <w:tcPr>
            <w:tcW w:w="6080" w:type="dxa"/>
            <w:noWrap w:val="0"/>
            <w:vAlign w:val="top"/>
          </w:tcPr>
          <w:p w14:paraId="0AF38D7D">
            <w:pPr>
              <w:keepNext w:val="0"/>
              <w:keepLines w:val="0"/>
              <w:pageBreakBefore w:val="0"/>
              <w:widowControl w:val="0"/>
              <w:kinsoku/>
              <w:overflowPunct/>
              <w:topLinePunct w:val="0"/>
              <w:autoSpaceDE/>
              <w:autoSpaceDN/>
              <w:bidi w:val="0"/>
              <w:spacing w:line="44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提供365天服务，有维修热线支持，接到甲方指定人员通知后20分钟以内至少有两名维保专业技术人员到达现场内到达现场维修并能在远程提供物流系统程序支持。</w:t>
            </w:r>
          </w:p>
        </w:tc>
        <w:tc>
          <w:tcPr>
            <w:tcW w:w="1600" w:type="dxa"/>
            <w:noWrap w:val="0"/>
            <w:vAlign w:val="center"/>
          </w:tcPr>
          <w:p w14:paraId="7DE5BFA6">
            <w:pPr>
              <w:keepNext w:val="0"/>
              <w:keepLines w:val="0"/>
              <w:pageBreakBefore w:val="0"/>
              <w:widowControl w:val="0"/>
              <w:kinsoku/>
              <w:overflowPunct/>
              <w:topLinePunct w:val="0"/>
              <w:autoSpaceDE/>
              <w:autoSpaceDN/>
              <w:bidi w:val="0"/>
              <w:spacing w:line="44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日常维修</w:t>
            </w:r>
          </w:p>
        </w:tc>
      </w:tr>
      <w:tr w14:paraId="0658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75" w:type="dxa"/>
            <w:noWrap w:val="0"/>
            <w:vAlign w:val="center"/>
          </w:tcPr>
          <w:p w14:paraId="09CFE612">
            <w:pPr>
              <w:keepNext w:val="0"/>
              <w:keepLines w:val="0"/>
              <w:pageBreakBefore w:val="0"/>
              <w:widowControl w:val="0"/>
              <w:kinsoku/>
              <w:overflowPunct/>
              <w:topLinePunct w:val="0"/>
              <w:autoSpaceDE/>
              <w:autoSpaceDN/>
              <w:bidi w:val="0"/>
              <w:spacing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技术支持服务</w:t>
            </w:r>
          </w:p>
        </w:tc>
        <w:tc>
          <w:tcPr>
            <w:tcW w:w="6080" w:type="dxa"/>
            <w:noWrap w:val="0"/>
            <w:vAlign w:val="top"/>
          </w:tcPr>
          <w:p w14:paraId="4C177E15">
            <w:pPr>
              <w:keepNext w:val="0"/>
              <w:keepLines w:val="0"/>
              <w:pageBreakBefore w:val="0"/>
              <w:widowControl w:val="0"/>
              <w:kinsoku/>
              <w:overflowPunct/>
              <w:topLinePunct w:val="0"/>
              <w:autoSpaceDE/>
              <w:autoSpaceDN/>
              <w:bidi w:val="0"/>
              <w:spacing w:line="44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1.系统优化支持：根据医院运营需求及系统运行状况，提供系统参数调整、流程优化建议，协助医院提升物流效率。</w:t>
            </w:r>
          </w:p>
          <w:p w14:paraId="7EEE5517">
            <w:pPr>
              <w:keepNext w:val="0"/>
              <w:keepLines w:val="0"/>
              <w:pageBreakBefore w:val="0"/>
              <w:widowControl w:val="0"/>
              <w:kinsoku/>
              <w:overflowPunct/>
              <w:topLinePunct w:val="0"/>
              <w:autoSpaceDE/>
              <w:autoSpaceDN/>
              <w:bidi w:val="0"/>
              <w:spacing w:line="440" w:lineRule="exact"/>
              <w:jc w:val="left"/>
              <w:rPr>
                <w:rFonts w:hint="eastAsia" w:ascii="宋体" w:hAnsi="宋体" w:eastAsia="宋体" w:cs="宋体"/>
                <w:sz w:val="24"/>
                <w:szCs w:val="24"/>
                <w:highlight w:val="none"/>
                <w:lang w:val="en-US" w:eastAsia="zh-CN"/>
              </w:rPr>
            </w:pPr>
            <w:r>
              <w:rPr>
                <w:rFonts w:hint="eastAsia" w:ascii="宋体" w:hAnsi="宋体" w:cs="宋体"/>
                <w:sz w:val="24"/>
                <w:szCs w:val="24"/>
                <w:lang w:val="en-US" w:eastAsia="zh-CN"/>
              </w:rPr>
              <w:t>2.软件支持：负责系统管理软件、控制软件的日常运行维护，包括漏洞修复、补丁更新（需经医院同意）、数据备份与恢复支持等。</w:t>
            </w:r>
          </w:p>
        </w:tc>
        <w:tc>
          <w:tcPr>
            <w:tcW w:w="1600" w:type="dxa"/>
            <w:noWrap w:val="0"/>
            <w:vAlign w:val="center"/>
          </w:tcPr>
          <w:p w14:paraId="280A2E8A">
            <w:pPr>
              <w:keepNext w:val="0"/>
              <w:keepLines w:val="0"/>
              <w:pageBreakBefore w:val="0"/>
              <w:widowControl w:val="0"/>
              <w:kinsoku/>
              <w:overflowPunct/>
              <w:topLinePunct w:val="0"/>
              <w:autoSpaceDE/>
              <w:autoSpaceDN/>
              <w:bidi w:val="0"/>
              <w:spacing w:line="440" w:lineRule="exact"/>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日常发现问题及时处理</w:t>
            </w:r>
          </w:p>
        </w:tc>
      </w:tr>
    </w:tbl>
    <w:p w14:paraId="5CC122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Times New Roman"/>
          <w:b/>
          <w:sz w:val="24"/>
          <w:lang w:val="en-US" w:eastAsia="zh-CN"/>
        </w:rPr>
        <w:t>三、</w:t>
      </w:r>
      <w:r>
        <w:rPr>
          <w:rFonts w:hint="eastAsia" w:ascii="宋体" w:hAnsi="宋体" w:eastAsia="宋体" w:cs="宋体"/>
          <w:b/>
          <w:bCs/>
          <w:i w:val="0"/>
          <w:color w:val="000000"/>
          <w:sz w:val="24"/>
          <w:szCs w:val="24"/>
        </w:rPr>
        <w:t>保养内容</w:t>
      </w:r>
    </w:p>
    <w:p w14:paraId="7B797395">
      <w:pPr>
        <w:keepNext w:val="0"/>
        <w:keepLines w:val="0"/>
        <w:pageBreakBefore w:val="0"/>
        <w:widowControl w:val="0"/>
        <w:kinsoku/>
        <w:wordWrap w:val="0"/>
        <w:overflowPunct/>
        <w:topLinePunct w:val="0"/>
        <w:autoSpaceDE/>
        <w:autoSpaceDN/>
        <w:bidi w:val="0"/>
        <w:adjustRightInd/>
        <w:snapToGrid/>
        <w:spacing w:after="0" w:line="440" w:lineRule="exact"/>
        <w:ind w:left="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1</w:t>
      </w:r>
      <w:r>
        <w:rPr>
          <w:rFonts w:hint="eastAsia" w:ascii="宋体" w:hAnsi="宋体" w:eastAsia="宋体" w:cs="宋体"/>
          <w:b w:val="0"/>
          <w:i w:val="0"/>
          <w:color w:val="000000"/>
          <w:sz w:val="24"/>
          <w:szCs w:val="24"/>
          <w:lang w:val="en-US" w:eastAsia="zh-CN"/>
        </w:rPr>
        <w:t>.</w:t>
      </w:r>
      <w:r>
        <w:rPr>
          <w:rFonts w:hint="eastAsia" w:ascii="宋体" w:hAnsi="宋体" w:eastAsia="宋体" w:cs="宋体"/>
          <w:b w:val="0"/>
          <w:i w:val="0"/>
          <w:color w:val="000000"/>
          <w:sz w:val="24"/>
          <w:szCs w:val="24"/>
        </w:rPr>
        <w:t>日常维护保养内容</w:t>
      </w:r>
      <w:r>
        <w:rPr>
          <w:rFonts w:hint="eastAsia" w:ascii="宋体" w:hAnsi="宋体" w:eastAsia="宋体" w:cs="宋体"/>
          <w:b w:val="0"/>
          <w:i w:val="0"/>
          <w:color w:val="000000"/>
          <w:sz w:val="24"/>
          <w:szCs w:val="24"/>
          <w:lang w:eastAsia="zh-CN"/>
        </w:rPr>
        <w:t>：</w:t>
      </w:r>
      <w:r>
        <w:rPr>
          <w:rFonts w:hint="eastAsia" w:ascii="宋体" w:hAnsi="宋体" w:eastAsia="宋体" w:cs="宋体"/>
          <w:b w:val="0"/>
          <w:i w:val="0"/>
          <w:color w:val="000000"/>
          <w:sz w:val="24"/>
          <w:szCs w:val="24"/>
        </w:rPr>
        <w:t>按照</w:t>
      </w:r>
      <w:r>
        <w:rPr>
          <w:rFonts w:hint="eastAsia" w:ascii="宋体" w:hAnsi="宋体" w:eastAsia="宋体" w:cs="宋体"/>
          <w:b w:val="0"/>
          <w:i w:val="0"/>
          <w:color w:val="000000"/>
          <w:sz w:val="24"/>
          <w:szCs w:val="24"/>
          <w:lang w:val="en-US" w:eastAsia="zh-CN"/>
        </w:rPr>
        <w:t>服务内容</w:t>
      </w:r>
      <w:r>
        <w:rPr>
          <w:rFonts w:hint="eastAsia" w:ascii="宋体" w:hAnsi="宋体" w:eastAsia="宋体" w:cs="宋体"/>
          <w:b w:val="0"/>
          <w:i w:val="0"/>
          <w:color w:val="000000"/>
          <w:sz w:val="24"/>
          <w:szCs w:val="24"/>
        </w:rPr>
        <w:t>完成月、季度、半年、年保养项目，并做好维护保养记录</w:t>
      </w:r>
      <w:r>
        <w:rPr>
          <w:rFonts w:hint="eastAsia" w:ascii="宋体" w:hAnsi="宋体" w:eastAsia="宋体" w:cs="宋体"/>
          <w:b w:val="0"/>
          <w:i w:val="0"/>
          <w:color w:val="000000"/>
          <w:sz w:val="24"/>
          <w:szCs w:val="24"/>
          <w:lang w:eastAsia="zh-CN"/>
        </w:rPr>
        <w:t>。</w:t>
      </w:r>
    </w:p>
    <w:p w14:paraId="5582EFF5">
      <w:pPr>
        <w:keepNext w:val="0"/>
        <w:keepLines w:val="0"/>
        <w:pageBreakBefore w:val="0"/>
        <w:widowControl w:val="0"/>
        <w:kinsoku/>
        <w:wordWrap w:val="0"/>
        <w:overflowPunct/>
        <w:topLinePunct w:val="0"/>
        <w:autoSpaceDE/>
        <w:autoSpaceDN/>
        <w:bidi w:val="0"/>
        <w:adjustRightInd/>
        <w:snapToGrid/>
        <w:spacing w:after="0" w:line="440" w:lineRule="exact"/>
        <w:ind w:left="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val="en-US" w:eastAsia="zh-CN"/>
        </w:rPr>
        <w:t>2.</w:t>
      </w:r>
      <w:r>
        <w:rPr>
          <w:rFonts w:hint="eastAsia" w:ascii="宋体" w:hAnsi="宋体" w:eastAsia="宋体" w:cs="宋体"/>
          <w:b w:val="0"/>
          <w:i w:val="0"/>
          <w:color w:val="000000"/>
          <w:sz w:val="24"/>
          <w:szCs w:val="24"/>
        </w:rPr>
        <w:t>提供365天服务，有维修热线支持，接到甲方指定人员通知后</w:t>
      </w:r>
      <w:r>
        <w:rPr>
          <w:rFonts w:hint="eastAsia" w:ascii="宋体" w:hAnsi="宋体" w:eastAsia="宋体" w:cs="宋体"/>
          <w:b w:val="0"/>
          <w:i w:val="0"/>
          <w:color w:val="000000"/>
          <w:sz w:val="24"/>
          <w:szCs w:val="24"/>
          <w:lang w:val="en-US" w:eastAsia="zh-CN"/>
        </w:rPr>
        <w:t>30</w:t>
      </w:r>
      <w:r>
        <w:rPr>
          <w:rFonts w:hint="eastAsia" w:ascii="宋体" w:hAnsi="宋体" w:eastAsia="宋体" w:cs="宋体"/>
          <w:b w:val="0"/>
          <w:i w:val="0"/>
          <w:color w:val="000000"/>
          <w:sz w:val="24"/>
          <w:szCs w:val="24"/>
        </w:rPr>
        <w:t>分钟以内</w:t>
      </w:r>
      <w:r>
        <w:rPr>
          <w:rFonts w:hint="eastAsia" w:ascii="宋体" w:hAnsi="宋体" w:eastAsia="宋体" w:cs="宋体"/>
          <w:b w:val="0"/>
          <w:i w:val="0"/>
          <w:color w:val="000000"/>
          <w:sz w:val="24"/>
          <w:szCs w:val="24"/>
          <w:lang w:val="en-US" w:eastAsia="zh-CN"/>
        </w:rPr>
        <w:t>至少有两名维保专业技术人员</w:t>
      </w:r>
      <w:r>
        <w:rPr>
          <w:rFonts w:hint="eastAsia" w:ascii="宋体" w:hAnsi="宋体" w:eastAsia="宋体" w:cs="宋体"/>
          <w:b w:val="0"/>
          <w:i w:val="0"/>
          <w:color w:val="000000"/>
          <w:sz w:val="24"/>
          <w:szCs w:val="24"/>
        </w:rPr>
        <w:t>到达现场内到达现场维修</w:t>
      </w:r>
      <w:r>
        <w:rPr>
          <w:rFonts w:hint="eastAsia" w:ascii="宋体" w:hAnsi="宋体" w:eastAsia="宋体" w:cs="宋体"/>
          <w:b w:val="0"/>
          <w:i w:val="0"/>
          <w:color w:val="000000"/>
          <w:sz w:val="24"/>
          <w:szCs w:val="24"/>
          <w:lang w:val="en-US" w:eastAsia="zh-CN"/>
        </w:rPr>
        <w:t>并提供程序支持</w:t>
      </w:r>
      <w:r>
        <w:rPr>
          <w:rFonts w:hint="eastAsia" w:ascii="宋体" w:hAnsi="宋体" w:eastAsia="宋体" w:cs="宋体"/>
          <w:b w:val="0"/>
          <w:i w:val="0"/>
          <w:color w:val="000000"/>
          <w:sz w:val="24"/>
          <w:szCs w:val="24"/>
        </w:rPr>
        <w:t>。</w:t>
      </w:r>
    </w:p>
    <w:p w14:paraId="0ECEBD61">
      <w:pPr>
        <w:keepNext w:val="0"/>
        <w:keepLines w:val="0"/>
        <w:pageBreakBefore w:val="0"/>
        <w:widowControl w:val="0"/>
        <w:kinsoku/>
        <w:wordWrap w:val="0"/>
        <w:overflowPunct/>
        <w:topLinePunct w:val="0"/>
        <w:autoSpaceDE/>
        <w:autoSpaceDN/>
        <w:bidi w:val="0"/>
        <w:adjustRightInd/>
        <w:snapToGrid/>
        <w:spacing w:after="0" w:line="44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lang w:val="en-US" w:eastAsia="zh-CN"/>
        </w:rPr>
        <w:t>3.</w:t>
      </w:r>
      <w:r>
        <w:rPr>
          <w:rFonts w:hint="eastAsia" w:ascii="宋体" w:hAnsi="宋体" w:eastAsia="宋体" w:cs="宋体"/>
          <w:b w:val="0"/>
          <w:i w:val="0"/>
          <w:color w:val="000000"/>
          <w:sz w:val="24"/>
          <w:szCs w:val="24"/>
        </w:rPr>
        <w:t>维保期为一年，所有维修材料 (200元以内) 由维保公司承担。</w:t>
      </w:r>
    </w:p>
    <w:p w14:paraId="5E1FC52A">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hAnsi="宋体"/>
          <w:b/>
          <w:sz w:val="24"/>
          <w:szCs w:val="24"/>
          <w:lang w:val="en-US" w:eastAsia="zh-CN"/>
        </w:rPr>
      </w:pPr>
      <w:r>
        <w:rPr>
          <w:rFonts w:hint="eastAsia" w:ascii="宋体" w:hAnsi="宋体" w:eastAsia="宋体" w:cs="宋体"/>
          <w:b w:val="0"/>
          <w:i w:val="0"/>
          <w:color w:val="000000"/>
          <w:sz w:val="24"/>
          <w:szCs w:val="24"/>
          <w:lang w:val="en-US" w:eastAsia="zh-CN"/>
        </w:rPr>
        <w:t>4.</w:t>
      </w:r>
      <w:r>
        <w:rPr>
          <w:rFonts w:hint="eastAsia" w:ascii="宋体" w:hAnsi="宋体" w:eastAsia="宋体" w:cs="宋体"/>
          <w:b w:val="0"/>
          <w:i w:val="0"/>
          <w:color w:val="000000"/>
          <w:sz w:val="24"/>
          <w:szCs w:val="24"/>
        </w:rPr>
        <w:t>完成</w:t>
      </w:r>
      <w:r>
        <w:rPr>
          <w:rFonts w:hint="eastAsia" w:ascii="宋体" w:hAnsi="宋体" w:eastAsia="宋体" w:cs="宋体"/>
          <w:b w:val="0"/>
          <w:i w:val="0"/>
          <w:color w:val="000000"/>
          <w:sz w:val="24"/>
          <w:szCs w:val="24"/>
          <w:lang w:val="en-US" w:eastAsia="zh-CN"/>
        </w:rPr>
        <w:t>物流系统档案</w:t>
      </w:r>
      <w:r>
        <w:rPr>
          <w:rFonts w:hint="eastAsia" w:ascii="宋体" w:hAnsi="宋体" w:eastAsia="宋体" w:cs="宋体"/>
          <w:b w:val="0"/>
          <w:i w:val="0"/>
          <w:color w:val="000000"/>
          <w:sz w:val="24"/>
          <w:szCs w:val="24"/>
        </w:rPr>
        <w:t>资料建设，</w:t>
      </w:r>
      <w:r>
        <w:rPr>
          <w:rFonts w:hint="eastAsia" w:ascii="宋体" w:hAnsi="宋体" w:eastAsia="宋体" w:cs="宋体"/>
          <w:b w:val="0"/>
          <w:i w:val="0"/>
          <w:color w:val="000000"/>
          <w:sz w:val="24"/>
          <w:szCs w:val="24"/>
          <w:lang w:val="en-US" w:eastAsia="zh-CN"/>
        </w:rPr>
        <w:t>按服务清单内的时间</w:t>
      </w:r>
      <w:r>
        <w:rPr>
          <w:rFonts w:hint="eastAsia" w:ascii="宋体" w:hAnsi="宋体" w:eastAsia="宋体" w:cs="宋体"/>
          <w:b w:val="0"/>
          <w:i w:val="0"/>
          <w:color w:val="000000"/>
          <w:sz w:val="24"/>
          <w:szCs w:val="24"/>
        </w:rPr>
        <w:t>对</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进行安全检查及安全维护，按规定填写维保纪录。</w:t>
      </w:r>
    </w:p>
    <w:p w14:paraId="2BA793EC">
      <w:pPr>
        <w:pStyle w:val="34"/>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82" w:firstLineChars="200"/>
        <w:textAlignment w:val="auto"/>
        <w:rPr>
          <w:rFonts w:hint="default" w:ascii="宋体" w:hAnsi="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四、</w:t>
      </w:r>
      <w:r>
        <w:rPr>
          <w:rFonts w:hint="default" w:ascii="宋体" w:hAnsi="宋体" w:cs="宋体"/>
          <w:b/>
          <w:bCs/>
          <w:color w:val="auto"/>
          <w:kern w:val="0"/>
          <w:sz w:val="24"/>
          <w:szCs w:val="24"/>
          <w:lang w:val="en-US" w:eastAsia="zh-CN" w:bidi="ar"/>
        </w:rPr>
        <w:t>保修</w:t>
      </w:r>
      <w:r>
        <w:rPr>
          <w:rFonts w:hint="eastAsia" w:ascii="宋体" w:hAnsi="宋体" w:cs="宋体"/>
          <w:b/>
          <w:bCs/>
          <w:color w:val="auto"/>
          <w:kern w:val="0"/>
          <w:sz w:val="24"/>
          <w:szCs w:val="24"/>
          <w:lang w:val="en-US" w:eastAsia="zh-CN" w:bidi="ar"/>
        </w:rPr>
        <w:t>、</w:t>
      </w:r>
      <w:r>
        <w:rPr>
          <w:rFonts w:hint="default" w:ascii="宋体" w:hAnsi="宋体" w:cs="宋体"/>
          <w:b/>
          <w:bCs/>
          <w:color w:val="auto"/>
          <w:kern w:val="0"/>
          <w:sz w:val="24"/>
          <w:szCs w:val="24"/>
          <w:lang w:val="en-US" w:eastAsia="zh-CN" w:bidi="ar"/>
        </w:rPr>
        <w:t>保养质量及要求</w:t>
      </w:r>
    </w:p>
    <w:p w14:paraId="187B487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w:t>
      </w:r>
      <w:r>
        <w:rPr>
          <w:rFonts w:hint="default" w:ascii="宋体" w:hAnsi="宋体" w:cs="宋体"/>
          <w:color w:val="auto"/>
          <w:kern w:val="0"/>
          <w:sz w:val="24"/>
          <w:szCs w:val="24"/>
          <w:lang w:val="en-US" w:eastAsia="zh-CN" w:bidi="ar"/>
        </w:rPr>
        <w:t>乙方采购的材料、设备必须是合格产品。</w:t>
      </w:r>
    </w:p>
    <w:p w14:paraId="727BA651">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hAnsi="宋体"/>
          <w:b/>
          <w:sz w:val="24"/>
          <w:szCs w:val="24"/>
          <w:lang w:val="en-US" w:eastAsia="zh-CN"/>
        </w:rPr>
      </w:pPr>
      <w:r>
        <w:rPr>
          <w:rFonts w:hint="eastAsia" w:ascii="宋体" w:hAnsi="宋体" w:cs="宋体"/>
          <w:color w:val="auto"/>
          <w:kern w:val="0"/>
          <w:sz w:val="24"/>
          <w:szCs w:val="24"/>
          <w:lang w:val="en-US" w:eastAsia="zh-CN" w:bidi="ar"/>
        </w:rPr>
        <w:t>2.</w:t>
      </w:r>
      <w:r>
        <w:rPr>
          <w:rFonts w:hint="default" w:ascii="宋体" w:hAnsi="宋体" w:cs="宋体"/>
          <w:color w:val="auto"/>
          <w:kern w:val="0"/>
          <w:sz w:val="24"/>
          <w:szCs w:val="24"/>
          <w:lang w:val="en-US" w:eastAsia="zh-CN" w:bidi="ar"/>
        </w:rPr>
        <w:t>在合同期限内，乙方保证</w:t>
      </w:r>
      <w:r>
        <w:rPr>
          <w:rFonts w:hint="default" w:ascii="宋体" w:hAnsi="宋体" w:eastAsia="宋体" w:cs="宋体"/>
          <w:color w:val="auto"/>
          <w:kern w:val="0"/>
          <w:sz w:val="24"/>
          <w:szCs w:val="24"/>
          <w:lang w:val="en-US" w:eastAsia="zh-CN" w:bidi="ar"/>
        </w:rPr>
        <w:t>采购人现运行的箱式物流系统相关的所有设施设备</w:t>
      </w:r>
      <w:r>
        <w:rPr>
          <w:rFonts w:hint="eastAsia" w:ascii="宋体" w:hAnsi="宋体"/>
          <w:sz w:val="24"/>
        </w:rPr>
        <w:t>在良好状态下运行</w:t>
      </w:r>
      <w:r>
        <w:rPr>
          <w:rFonts w:hint="default" w:ascii="宋体" w:hAnsi="宋体" w:cs="宋体"/>
          <w:color w:val="auto"/>
          <w:kern w:val="0"/>
          <w:sz w:val="24"/>
          <w:szCs w:val="24"/>
          <w:lang w:val="en-US" w:eastAsia="zh-CN" w:bidi="ar"/>
        </w:rPr>
        <w:t>。</w:t>
      </w:r>
    </w:p>
    <w:p w14:paraId="646337AF">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default" w:hAnsi="宋体"/>
          <w:b/>
          <w:sz w:val="24"/>
          <w:szCs w:val="24"/>
          <w:lang w:val="en-US" w:eastAsia="zh-CN"/>
        </w:rPr>
      </w:pPr>
      <w:r>
        <w:rPr>
          <w:rFonts w:hint="eastAsia" w:ascii="宋体" w:hAnsi="宋体" w:cs="宋体"/>
          <w:color w:val="auto"/>
          <w:kern w:val="0"/>
          <w:sz w:val="24"/>
          <w:szCs w:val="24"/>
          <w:lang w:val="en-US" w:eastAsia="zh-CN" w:bidi="ar"/>
        </w:rPr>
        <w:t>3.现场作业</w:t>
      </w:r>
      <w:r>
        <w:rPr>
          <w:rFonts w:hint="eastAsia" w:ascii="宋体" w:hAnsi="宋体" w:eastAsia="宋体" w:cs="宋体"/>
          <w:b w:val="0"/>
          <w:i w:val="0"/>
          <w:color w:val="000000"/>
          <w:sz w:val="24"/>
          <w:szCs w:val="24"/>
        </w:rPr>
        <w:t>人员不得少于两人，且应当取得相应的《特种设备作业人员证》。</w:t>
      </w:r>
    </w:p>
    <w:p w14:paraId="5A3A44A7">
      <w:pPr>
        <w:keepNext w:val="0"/>
        <w:keepLines w:val="0"/>
        <w:pageBreakBefore w:val="0"/>
        <w:widowControl w:val="0"/>
        <w:kinsoku/>
        <w:wordWrap/>
        <w:overflowPunct/>
        <w:topLinePunct w:val="0"/>
        <w:autoSpaceDE/>
        <w:autoSpaceDN/>
        <w:bidi w:val="0"/>
        <w:adjustRightInd/>
        <w:snapToGrid/>
        <w:spacing w:line="440" w:lineRule="exact"/>
        <w:ind w:right="0" w:rightChars="0" w:firstLine="482" w:firstLineChars="200"/>
        <w:textAlignment w:val="auto"/>
        <w:rPr>
          <w:rFonts w:hAnsi="宋体"/>
          <w:b/>
          <w:sz w:val="24"/>
          <w:szCs w:val="24"/>
        </w:rPr>
      </w:pPr>
      <w:r>
        <w:rPr>
          <w:rFonts w:hint="eastAsia" w:hAnsi="宋体"/>
          <w:b/>
          <w:sz w:val="24"/>
          <w:szCs w:val="24"/>
          <w:lang w:val="en-US" w:eastAsia="zh-CN"/>
        </w:rPr>
        <w:t>五</w:t>
      </w:r>
      <w:r>
        <w:rPr>
          <w:rFonts w:hint="eastAsia" w:hAnsi="宋体"/>
          <w:b/>
          <w:sz w:val="24"/>
          <w:szCs w:val="24"/>
        </w:rPr>
        <w:t>、商务要求</w:t>
      </w:r>
    </w:p>
    <w:p w14:paraId="0845C3D5">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Ansi="宋体"/>
          <w:color w:val="auto"/>
          <w:sz w:val="24"/>
          <w:szCs w:val="24"/>
        </w:rPr>
      </w:pPr>
      <w:r>
        <w:rPr>
          <w:rFonts w:hint="eastAsia" w:hAnsi="宋体"/>
          <w:sz w:val="24"/>
          <w:szCs w:val="24"/>
        </w:rPr>
        <w:t>1</w:t>
      </w:r>
      <w:r>
        <w:rPr>
          <w:rFonts w:hint="eastAsia" w:ascii="宋体" w:hAnsi="宋体" w:cs="宋体"/>
          <w:color w:val="auto"/>
          <w:kern w:val="0"/>
          <w:sz w:val="24"/>
          <w:szCs w:val="24"/>
          <w:lang w:val="en-US" w:eastAsia="zh-CN" w:bidi="ar"/>
        </w:rPr>
        <w:t>.</w:t>
      </w:r>
      <w:r>
        <w:rPr>
          <w:rFonts w:hint="eastAsia" w:ascii="宋体" w:hAnsi="宋体" w:cs="宋体"/>
          <w:color w:val="000000"/>
          <w:kern w:val="0"/>
          <w:sz w:val="24"/>
          <w:szCs w:val="24"/>
          <w:lang w:val="en-US" w:eastAsia="zh-CN" w:bidi="ar"/>
        </w:rPr>
        <w:t>合同履行期</w:t>
      </w:r>
      <w:r>
        <w:rPr>
          <w:rFonts w:hint="eastAsia" w:hAnsi="宋体"/>
          <w:sz w:val="24"/>
          <w:szCs w:val="24"/>
        </w:rPr>
        <w:t>：</w:t>
      </w:r>
      <w:r>
        <w:rPr>
          <w:rFonts w:hint="eastAsia" w:ascii="宋体" w:hAnsi="宋体" w:cs="宋体"/>
          <w:color w:val="auto"/>
          <w:kern w:val="0"/>
          <w:sz w:val="24"/>
          <w:szCs w:val="24"/>
          <w:lang w:val="en-US" w:eastAsia="zh-CN" w:bidi="ar-SA"/>
        </w:rPr>
        <w:t>自合同签订生效之日起一年</w:t>
      </w:r>
      <w:r>
        <w:rPr>
          <w:rFonts w:hint="eastAsia" w:hAnsi="宋体"/>
          <w:color w:val="auto"/>
          <w:sz w:val="24"/>
          <w:szCs w:val="24"/>
        </w:rPr>
        <w:t>。</w:t>
      </w:r>
    </w:p>
    <w:p w14:paraId="652BE68B">
      <w:pPr>
        <w:pStyle w:val="8"/>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hAnsi="宋体" w:eastAsia="宋体"/>
          <w:color w:val="auto"/>
          <w:sz w:val="24"/>
          <w:szCs w:val="24"/>
        </w:rPr>
      </w:pPr>
      <w:r>
        <w:rPr>
          <w:rFonts w:hint="eastAsia" w:hAnsi="宋体" w:eastAsia="宋体"/>
          <w:color w:val="auto"/>
          <w:sz w:val="24"/>
          <w:szCs w:val="24"/>
        </w:rPr>
        <w:t>2</w:t>
      </w:r>
      <w:r>
        <w:rPr>
          <w:rFonts w:hint="eastAsia" w:ascii="宋体" w:hAnsi="宋体" w:cs="宋体"/>
          <w:color w:val="auto"/>
          <w:kern w:val="0"/>
          <w:sz w:val="24"/>
          <w:szCs w:val="24"/>
          <w:lang w:val="en-US" w:eastAsia="zh-CN" w:bidi="ar"/>
        </w:rPr>
        <w:t>.</w:t>
      </w:r>
      <w:r>
        <w:rPr>
          <w:rFonts w:hint="eastAsia" w:hAnsi="宋体" w:eastAsia="宋体"/>
          <w:color w:val="auto"/>
          <w:sz w:val="24"/>
          <w:szCs w:val="24"/>
        </w:rPr>
        <w:t>合同价款：</w:t>
      </w:r>
      <w:r>
        <w:rPr>
          <w:rFonts w:hint="eastAsia" w:ascii="宋体" w:hAnsi="宋体" w:eastAsia="宋体" w:cs="Times New Roman"/>
          <w:color w:val="auto"/>
          <w:sz w:val="24"/>
          <w:szCs w:val="24"/>
          <w:lang w:val="en-US" w:eastAsia="zh-CN"/>
        </w:rPr>
        <w:t>合同总价即成交价，为一次性报价，不受市场价变化或实际工作量变化的影响。</w:t>
      </w:r>
      <w:r>
        <w:rPr>
          <w:rFonts w:hint="eastAsia" w:hAnsi="宋体" w:eastAsia="宋体"/>
          <w:color w:val="auto"/>
          <w:sz w:val="24"/>
          <w:szCs w:val="24"/>
        </w:rPr>
        <w:t>合同总价包括：维修保养费、人工费</w:t>
      </w:r>
      <w:r>
        <w:rPr>
          <w:rFonts w:hint="eastAsia" w:hAnsi="宋体" w:eastAsia="宋体"/>
          <w:color w:val="auto"/>
          <w:sz w:val="24"/>
          <w:szCs w:val="24"/>
          <w:lang w:eastAsia="zh-CN"/>
        </w:rPr>
        <w:t>、</w:t>
      </w:r>
      <w:r>
        <w:rPr>
          <w:rFonts w:hint="eastAsia" w:hAnsi="宋体"/>
          <w:color w:val="auto"/>
          <w:sz w:val="24"/>
          <w:szCs w:val="24"/>
          <w:lang w:val="en-US" w:eastAsia="zh-CN"/>
        </w:rPr>
        <w:t>200元以下</w:t>
      </w:r>
      <w:r>
        <w:rPr>
          <w:rFonts w:hint="eastAsia" w:hAnsi="宋体" w:eastAsia="宋体"/>
          <w:color w:val="auto"/>
          <w:sz w:val="24"/>
          <w:szCs w:val="24"/>
        </w:rPr>
        <w:t>维修配件</w:t>
      </w:r>
      <w:r>
        <w:rPr>
          <w:rFonts w:hint="eastAsia" w:hAnsi="宋体" w:eastAsia="宋体"/>
          <w:color w:val="auto"/>
          <w:sz w:val="24"/>
          <w:szCs w:val="24"/>
          <w:lang w:val="en-US" w:eastAsia="zh-CN"/>
        </w:rPr>
        <w:t>费</w:t>
      </w:r>
      <w:r>
        <w:rPr>
          <w:rFonts w:hint="eastAsia" w:hAnsi="宋体" w:eastAsia="宋体"/>
          <w:color w:val="auto"/>
          <w:sz w:val="24"/>
          <w:szCs w:val="24"/>
        </w:rPr>
        <w:t>等相关费用。需更换的配件应与院方负责人确认，否则更换的费用由乙方负责。在维护作业期间，如有需维修更换的零部件材料费由乙方报价（报价不高于市场价），院方确认；乙方应先保证质量合格，完工后再向甲方结算，以确保</w:t>
      </w:r>
      <w:r>
        <w:rPr>
          <w:rFonts w:hint="default" w:ascii="宋体" w:hAnsi="宋体" w:eastAsia="宋体" w:cs="宋体"/>
          <w:color w:val="auto"/>
          <w:kern w:val="0"/>
          <w:sz w:val="24"/>
          <w:szCs w:val="24"/>
          <w:lang w:val="en-US" w:eastAsia="zh-CN" w:bidi="ar"/>
        </w:rPr>
        <w:t>物流系统相关的所有设施设备</w:t>
      </w:r>
      <w:r>
        <w:rPr>
          <w:rFonts w:hint="eastAsia" w:hAnsi="宋体" w:eastAsia="宋体"/>
          <w:color w:val="auto"/>
          <w:sz w:val="24"/>
          <w:szCs w:val="24"/>
        </w:rPr>
        <w:t>正常运行。</w:t>
      </w:r>
    </w:p>
    <w:p w14:paraId="5521A089">
      <w:pPr>
        <w:pStyle w:val="8"/>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3</w:t>
      </w:r>
      <w:r>
        <w:rPr>
          <w:rFonts w:hint="eastAsia" w:ascii="宋体" w:hAnsi="宋体" w:cs="宋体"/>
          <w:color w:val="auto"/>
          <w:kern w:val="0"/>
          <w:sz w:val="24"/>
          <w:szCs w:val="24"/>
          <w:lang w:val="en-US" w:eastAsia="zh-CN" w:bidi="ar"/>
        </w:rPr>
        <w:t>.</w:t>
      </w:r>
      <w:r>
        <w:rPr>
          <w:rFonts w:hint="eastAsia" w:ascii="宋体" w:hAnsi="宋体" w:eastAsia="宋体" w:cs="Times New Roman"/>
          <w:color w:val="auto"/>
          <w:sz w:val="24"/>
          <w:szCs w:val="24"/>
          <w:lang w:val="en-US" w:eastAsia="zh-CN"/>
        </w:rPr>
        <w:t>付款方式：</w:t>
      </w:r>
      <w:r>
        <w:rPr>
          <w:rFonts w:hint="eastAsia" w:ascii="宋体" w:hAnsi="宋体" w:cs="Times New Roman"/>
          <w:color w:val="auto"/>
          <w:sz w:val="24"/>
          <w:szCs w:val="24"/>
          <w:lang w:val="en-US" w:eastAsia="zh-CN"/>
        </w:rPr>
        <w:t>甲方每月初支付上月服务费总额。每月 10 日乙方开具上月含税合规发票，甲方转账支付。若乙方未能按时向甲方提供等额合规发票，甲方有权顺延付款期限，且不承担任何责任。</w:t>
      </w:r>
    </w:p>
    <w:bookmarkEnd w:id="142"/>
    <w:p w14:paraId="72CCBFC4">
      <w:pPr>
        <w:pStyle w:val="2"/>
        <w:pageBreakBefore/>
        <w:numPr>
          <w:ilvl w:val="0"/>
          <w:numId w:val="6"/>
        </w:numPr>
        <w:rPr>
          <w:rFonts w:ascii="宋体" w:hAnsi="宋体" w:cs="宋体"/>
          <w:color w:val="auto"/>
        </w:rPr>
      </w:pPr>
      <w:r>
        <w:rPr>
          <w:rFonts w:hint="eastAsia" w:ascii="宋体" w:hAnsi="宋体" w:cs="宋体"/>
          <w:color w:val="auto"/>
        </w:rPr>
        <w:t xml:space="preserve">   </w:t>
      </w:r>
      <w:bookmarkEnd w:id="140"/>
      <w:bookmarkEnd w:id="141"/>
      <w:bookmarkEnd w:id="143"/>
      <w:bookmarkEnd w:id="144"/>
      <w:bookmarkEnd w:id="145"/>
      <w:bookmarkEnd w:id="146"/>
      <w:bookmarkEnd w:id="147"/>
      <w:bookmarkStart w:id="149" w:name="_Toc3837039"/>
      <w:bookmarkStart w:id="150" w:name="_Toc30964"/>
      <w:r>
        <w:rPr>
          <w:rFonts w:hint="eastAsia" w:ascii="宋体" w:hAnsi="宋体" w:cs="宋体"/>
          <w:color w:val="auto"/>
        </w:rPr>
        <w:t>商务及合同主要条款</w:t>
      </w:r>
      <w:bookmarkEnd w:id="148"/>
      <w:bookmarkEnd w:id="149"/>
      <w:bookmarkEnd w:id="150"/>
    </w:p>
    <w:p w14:paraId="54066CE6">
      <w:pPr>
        <w:spacing w:line="360" w:lineRule="auto"/>
        <w:jc w:val="center"/>
        <w:rPr>
          <w:rFonts w:hint="eastAsia" w:ascii="宋体" w:hAnsi="宋体" w:eastAsia="宋体" w:cs="宋体"/>
          <w:b/>
          <w:bCs/>
          <w:color w:val="auto"/>
          <w:sz w:val="24"/>
          <w:szCs w:val="24"/>
        </w:rPr>
      </w:pPr>
    </w:p>
    <w:p w14:paraId="5ECA7F73">
      <w:pPr>
        <w:spacing w:before="140" w:line="225" w:lineRule="auto"/>
        <w:jc w:val="center"/>
        <w:rPr>
          <w:rFonts w:ascii="黑体" w:hAnsi="黑体" w:eastAsia="黑体" w:cs="黑体"/>
          <w:color w:val="auto"/>
          <w:sz w:val="43"/>
          <w:szCs w:val="43"/>
        </w:rPr>
      </w:pPr>
      <w:r>
        <w:rPr>
          <w:rFonts w:hint="eastAsia" w:ascii="宋体" w:hAnsi="宋体" w:cs="宋体"/>
          <w:color w:val="auto"/>
          <w:sz w:val="43"/>
          <w:szCs w:val="43"/>
          <w:lang w:eastAsia="zh-CN"/>
        </w:rPr>
        <w:t>安康市中医医院物流系统维保服务采购项目（三次）</w:t>
      </w:r>
    </w:p>
    <w:p w14:paraId="0A5E2E14">
      <w:pPr>
        <w:pStyle w:val="12"/>
        <w:spacing w:line="245" w:lineRule="auto"/>
        <w:rPr>
          <w:color w:val="auto"/>
        </w:rPr>
      </w:pPr>
    </w:p>
    <w:p w14:paraId="1520D943">
      <w:pPr>
        <w:pStyle w:val="12"/>
        <w:spacing w:line="245" w:lineRule="auto"/>
        <w:rPr>
          <w:color w:val="auto"/>
        </w:rPr>
      </w:pPr>
    </w:p>
    <w:p w14:paraId="57A42C56">
      <w:pPr>
        <w:pStyle w:val="12"/>
        <w:spacing w:line="245" w:lineRule="auto"/>
        <w:rPr>
          <w:color w:val="auto"/>
        </w:rPr>
      </w:pPr>
    </w:p>
    <w:p w14:paraId="75139607">
      <w:pPr>
        <w:pStyle w:val="12"/>
        <w:spacing w:line="245" w:lineRule="auto"/>
        <w:rPr>
          <w:color w:val="auto"/>
        </w:rPr>
      </w:pPr>
    </w:p>
    <w:p w14:paraId="391AFF3B">
      <w:pPr>
        <w:pStyle w:val="12"/>
        <w:spacing w:line="245" w:lineRule="auto"/>
        <w:rPr>
          <w:color w:val="auto"/>
        </w:rPr>
      </w:pPr>
    </w:p>
    <w:p w14:paraId="0C2F3098">
      <w:pPr>
        <w:pStyle w:val="12"/>
        <w:spacing w:line="246" w:lineRule="auto"/>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2449195</wp:posOffset>
                </wp:positionH>
                <wp:positionV relativeFrom="paragraph">
                  <wp:posOffset>60325</wp:posOffset>
                </wp:positionV>
                <wp:extent cx="347345" cy="333946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47345" cy="3339465"/>
                        </a:xfrm>
                        <a:prstGeom prst="rect">
                          <a:avLst/>
                        </a:prstGeom>
                        <a:noFill/>
                        <a:ln>
                          <a:noFill/>
                        </a:ln>
                      </wps:spPr>
                      <wps:txbx>
                        <w:txbxContent>
                          <w:p w14:paraId="53520DC2">
                            <w:pPr>
                              <w:spacing w:before="20" w:line="211" w:lineRule="auto"/>
                              <w:ind w:left="20"/>
                              <w:outlineLvl w:val="0"/>
                              <w:rPr>
                                <w:rFonts w:ascii="黑体" w:hAnsi="黑体" w:eastAsia="黑体" w:cs="黑体"/>
                                <w:sz w:val="43"/>
                                <w:szCs w:val="43"/>
                              </w:rPr>
                            </w:pPr>
                            <w:r>
                              <w:rPr>
                                <w:rFonts w:hint="eastAsia" w:ascii="宋体" w:hAnsi="宋体" w:eastAsia="宋体" w:cs="宋体"/>
                                <w:b/>
                                <w:bCs/>
                                <w:spacing w:val="11"/>
                                <w:sz w:val="43"/>
                                <w:szCs w:val="43"/>
                              </w:rPr>
                              <w:t>合</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同</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书</w:t>
                            </w:r>
                          </w:p>
                        </w:txbxContent>
                      </wps:txbx>
                      <wps:bodyPr vert="eaVert" lIns="0" tIns="0" rIns="0" bIns="0" upright="1"/>
                    </wps:wsp>
                  </a:graphicData>
                </a:graphic>
              </wp:anchor>
            </w:drawing>
          </mc:Choice>
          <mc:Fallback>
            <w:pict>
              <v:shape id="_x0000_s1026" o:spid="_x0000_s1026" o:spt="202" type="#_x0000_t202" style="position:absolute;left:0pt;margin-left:192.85pt;margin-top:4.75pt;height:262.95pt;width:27.35pt;z-index:251664384;mso-width-relative:page;mso-height-relative:page;" filled="f" stroked="f" coordsize="21600,21600" o:gfxdata="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SFBGNYAAAAJAQAADwAAAAAAAAABACAAAAAiAAAAZHJzL2Rvd25yZXYu&#10;eG1sUEsBAhQAFAAAAAgAh07iQA2YnAnEAQAAggMAAA4AAAAAAAAAAQAgAAAAJQEAAGRycy9lMm9E&#10;b2MueG1sUEsFBgAAAAAGAAYAWQEAAFsFAAAAAA==&#10;">
                <v:fill on="f" focussize="0,0"/>
                <v:stroke on="f"/>
                <v:imagedata o:title=""/>
                <o:lock v:ext="edit" aspectratio="f"/>
                <v:textbox inset="0mm,0mm,0mm,0mm" style="layout-flow:vertical-ideographic;">
                  <w:txbxContent>
                    <w:p w14:paraId="53520DC2">
                      <w:pPr>
                        <w:spacing w:before="20" w:line="211" w:lineRule="auto"/>
                        <w:ind w:left="20"/>
                        <w:outlineLvl w:val="0"/>
                        <w:rPr>
                          <w:rFonts w:ascii="黑体" w:hAnsi="黑体" w:eastAsia="黑体" w:cs="黑体"/>
                          <w:sz w:val="43"/>
                          <w:szCs w:val="43"/>
                        </w:rPr>
                      </w:pPr>
                      <w:r>
                        <w:rPr>
                          <w:rFonts w:hint="eastAsia" w:ascii="宋体" w:hAnsi="宋体" w:eastAsia="宋体" w:cs="宋体"/>
                          <w:b/>
                          <w:bCs/>
                          <w:spacing w:val="11"/>
                          <w:sz w:val="43"/>
                          <w:szCs w:val="43"/>
                        </w:rPr>
                        <w:t>合</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同</w:t>
                      </w:r>
                      <w:r>
                        <w:rPr>
                          <w:rFonts w:hint="eastAsia" w:ascii="宋体" w:hAnsi="宋体" w:eastAsia="宋体" w:cs="宋体"/>
                          <w:spacing w:val="52"/>
                          <w:sz w:val="43"/>
                          <w:szCs w:val="43"/>
                        </w:rPr>
                        <w:t xml:space="preserve">   </w:t>
                      </w:r>
                      <w:r>
                        <w:rPr>
                          <w:rFonts w:hint="eastAsia" w:ascii="宋体" w:hAnsi="宋体" w:eastAsia="宋体" w:cs="宋体"/>
                          <w:b/>
                          <w:bCs/>
                          <w:spacing w:val="11"/>
                          <w:sz w:val="43"/>
                          <w:szCs w:val="43"/>
                        </w:rPr>
                        <w:t>书</w:t>
                      </w:r>
                    </w:p>
                  </w:txbxContent>
                </v:textbox>
              </v:shape>
            </w:pict>
          </mc:Fallback>
        </mc:AlternateContent>
      </w:r>
    </w:p>
    <w:p w14:paraId="2D731EC6">
      <w:pPr>
        <w:pStyle w:val="12"/>
        <w:spacing w:line="246" w:lineRule="auto"/>
        <w:rPr>
          <w:color w:val="auto"/>
        </w:rPr>
      </w:pPr>
    </w:p>
    <w:p w14:paraId="62798B46">
      <w:pPr>
        <w:pStyle w:val="12"/>
        <w:spacing w:line="246" w:lineRule="auto"/>
        <w:rPr>
          <w:color w:val="auto"/>
        </w:rPr>
      </w:pPr>
    </w:p>
    <w:p w14:paraId="1B060454">
      <w:pPr>
        <w:pStyle w:val="12"/>
        <w:spacing w:line="246" w:lineRule="auto"/>
        <w:rPr>
          <w:color w:val="auto"/>
        </w:rPr>
      </w:pPr>
    </w:p>
    <w:p w14:paraId="5E41CF9D">
      <w:pPr>
        <w:pStyle w:val="12"/>
        <w:spacing w:line="246" w:lineRule="auto"/>
        <w:rPr>
          <w:color w:val="auto"/>
        </w:rPr>
      </w:pPr>
    </w:p>
    <w:p w14:paraId="40CF24E5">
      <w:pPr>
        <w:pStyle w:val="12"/>
        <w:spacing w:line="246" w:lineRule="auto"/>
        <w:rPr>
          <w:color w:val="auto"/>
        </w:rPr>
      </w:pPr>
    </w:p>
    <w:p w14:paraId="7D900536">
      <w:pPr>
        <w:pStyle w:val="12"/>
        <w:spacing w:line="246" w:lineRule="auto"/>
        <w:rPr>
          <w:color w:val="auto"/>
        </w:rPr>
      </w:pPr>
    </w:p>
    <w:p w14:paraId="2EF96771">
      <w:pPr>
        <w:pStyle w:val="12"/>
        <w:spacing w:line="246" w:lineRule="auto"/>
        <w:rPr>
          <w:color w:val="auto"/>
        </w:rPr>
      </w:pPr>
    </w:p>
    <w:p w14:paraId="654BBA34">
      <w:pPr>
        <w:pStyle w:val="12"/>
        <w:spacing w:line="246" w:lineRule="auto"/>
        <w:rPr>
          <w:color w:val="auto"/>
        </w:rPr>
      </w:pPr>
    </w:p>
    <w:p w14:paraId="63F3032B">
      <w:pPr>
        <w:pStyle w:val="12"/>
        <w:spacing w:line="246" w:lineRule="auto"/>
        <w:rPr>
          <w:color w:val="auto"/>
        </w:rPr>
      </w:pPr>
    </w:p>
    <w:p w14:paraId="0F4C59E4">
      <w:pPr>
        <w:pStyle w:val="12"/>
        <w:spacing w:line="246" w:lineRule="auto"/>
        <w:rPr>
          <w:color w:val="auto"/>
        </w:rPr>
      </w:pPr>
    </w:p>
    <w:p w14:paraId="24D63251">
      <w:pPr>
        <w:pStyle w:val="12"/>
        <w:spacing w:line="246" w:lineRule="auto"/>
        <w:rPr>
          <w:color w:val="auto"/>
        </w:rPr>
      </w:pPr>
    </w:p>
    <w:p w14:paraId="18ABC1E7">
      <w:pPr>
        <w:pStyle w:val="12"/>
        <w:spacing w:line="246" w:lineRule="auto"/>
        <w:rPr>
          <w:color w:val="auto"/>
        </w:rPr>
      </w:pPr>
    </w:p>
    <w:p w14:paraId="78A3AFBC">
      <w:pPr>
        <w:pStyle w:val="12"/>
        <w:spacing w:line="246" w:lineRule="auto"/>
        <w:rPr>
          <w:color w:val="auto"/>
        </w:rPr>
      </w:pPr>
    </w:p>
    <w:p w14:paraId="0DC033EA">
      <w:pPr>
        <w:pStyle w:val="12"/>
        <w:spacing w:line="246" w:lineRule="auto"/>
        <w:rPr>
          <w:color w:val="auto"/>
        </w:rPr>
      </w:pPr>
    </w:p>
    <w:p w14:paraId="22968879">
      <w:pPr>
        <w:pStyle w:val="12"/>
        <w:spacing w:line="246" w:lineRule="auto"/>
        <w:rPr>
          <w:rFonts w:hint="eastAsia" w:eastAsia="宋体"/>
          <w:color w:val="auto"/>
          <w:lang w:val="en-US" w:eastAsia="zh-CN"/>
        </w:rPr>
      </w:pPr>
    </w:p>
    <w:p w14:paraId="1D021F67">
      <w:pPr>
        <w:pStyle w:val="12"/>
        <w:spacing w:line="246" w:lineRule="auto"/>
        <w:rPr>
          <w:color w:val="auto"/>
        </w:rPr>
      </w:pPr>
    </w:p>
    <w:p w14:paraId="19BE3331">
      <w:pPr>
        <w:pStyle w:val="12"/>
        <w:spacing w:line="246" w:lineRule="auto"/>
        <w:rPr>
          <w:color w:val="auto"/>
        </w:rPr>
      </w:pPr>
    </w:p>
    <w:p w14:paraId="5F6B97AF">
      <w:pPr>
        <w:pStyle w:val="12"/>
        <w:spacing w:line="246" w:lineRule="auto"/>
        <w:rPr>
          <w:color w:val="auto"/>
        </w:rPr>
      </w:pPr>
    </w:p>
    <w:p w14:paraId="4079AB83">
      <w:pPr>
        <w:pStyle w:val="12"/>
        <w:spacing w:line="246" w:lineRule="auto"/>
        <w:rPr>
          <w:color w:val="auto"/>
        </w:rPr>
      </w:pPr>
    </w:p>
    <w:p w14:paraId="4C148923">
      <w:pPr>
        <w:pStyle w:val="12"/>
        <w:spacing w:line="246" w:lineRule="auto"/>
        <w:rPr>
          <w:color w:val="auto"/>
        </w:rPr>
      </w:pPr>
    </w:p>
    <w:p w14:paraId="015966D7">
      <w:pPr>
        <w:keepNext w:val="0"/>
        <w:keepLines w:val="0"/>
        <w:pageBreakBefore w:val="0"/>
        <w:widowControl w:val="0"/>
        <w:kinsoku/>
        <w:wordWrap/>
        <w:overflowPunct/>
        <w:topLinePunct w:val="0"/>
        <w:autoSpaceDE/>
        <w:autoSpaceDN/>
        <w:bidi w:val="0"/>
        <w:adjustRightInd/>
        <w:snapToGrid/>
        <w:spacing w:before="101" w:line="230" w:lineRule="auto"/>
        <w:ind w:left="840" w:leftChars="400"/>
        <w:textAlignment w:val="auto"/>
        <w:rPr>
          <w:rFonts w:hint="default" w:ascii="宋体" w:hAnsi="宋体" w:eastAsia="宋体" w:cs="宋体"/>
          <w:color w:val="auto"/>
          <w:sz w:val="31"/>
          <w:szCs w:val="31"/>
          <w:lang w:val="en-US" w:eastAsia="zh-CN"/>
        </w:rPr>
      </w:pPr>
      <w:r>
        <w:rPr>
          <w:rFonts w:hint="eastAsia" w:ascii="宋体" w:hAnsi="宋体" w:eastAsia="宋体" w:cs="宋体"/>
          <w:color w:val="auto"/>
          <w:spacing w:val="2"/>
          <w:sz w:val="31"/>
          <w:szCs w:val="31"/>
        </w:rPr>
        <w:t>甲</w:t>
      </w:r>
      <w:r>
        <w:rPr>
          <w:rFonts w:hint="eastAsia" w:ascii="宋体" w:hAnsi="宋体" w:eastAsia="宋体" w:cs="宋体"/>
          <w:color w:val="auto"/>
          <w:spacing w:val="13"/>
          <w:sz w:val="31"/>
          <w:szCs w:val="31"/>
        </w:rPr>
        <w:t xml:space="preserve">    </w:t>
      </w:r>
      <w:r>
        <w:rPr>
          <w:rFonts w:hint="eastAsia" w:ascii="宋体" w:hAnsi="宋体" w:eastAsia="宋体" w:cs="宋体"/>
          <w:color w:val="auto"/>
          <w:spacing w:val="2"/>
          <w:sz w:val="31"/>
          <w:szCs w:val="31"/>
        </w:rPr>
        <w:t>方：</w:t>
      </w:r>
      <w:r>
        <w:rPr>
          <w:rFonts w:hint="eastAsia" w:ascii="宋体" w:hAnsi="宋体" w:cs="宋体"/>
          <w:color w:val="auto"/>
          <w:spacing w:val="2"/>
          <w:sz w:val="31"/>
          <w:szCs w:val="31"/>
          <w:u w:val="single"/>
          <w:lang w:val="en-US" w:eastAsia="zh-CN"/>
        </w:rPr>
        <w:t xml:space="preserve">    </w:t>
      </w:r>
      <w:r>
        <w:rPr>
          <w:rFonts w:hint="eastAsia" w:ascii="宋体" w:hAnsi="宋体" w:cs="宋体"/>
          <w:color w:val="auto"/>
          <w:spacing w:val="2"/>
          <w:sz w:val="31"/>
          <w:szCs w:val="31"/>
          <w:u w:val="single" w:color="auto"/>
          <w:lang w:val="en-US" w:eastAsia="zh-CN"/>
        </w:rPr>
        <w:t xml:space="preserve">安康市中医医院    </w:t>
      </w:r>
    </w:p>
    <w:p w14:paraId="176EC9C8">
      <w:pPr>
        <w:keepNext w:val="0"/>
        <w:keepLines w:val="0"/>
        <w:pageBreakBefore w:val="0"/>
        <w:widowControl w:val="0"/>
        <w:kinsoku/>
        <w:wordWrap/>
        <w:overflowPunct/>
        <w:topLinePunct w:val="0"/>
        <w:autoSpaceDE/>
        <w:autoSpaceDN/>
        <w:bidi w:val="0"/>
        <w:adjustRightInd/>
        <w:snapToGrid/>
        <w:spacing w:line="360" w:lineRule="auto"/>
        <w:ind w:left="840" w:leftChars="400"/>
        <w:jc w:val="both"/>
        <w:textAlignment w:val="auto"/>
        <w:rPr>
          <w:rFonts w:hint="eastAsia" w:ascii="宋体" w:hAnsi="宋体" w:eastAsia="宋体" w:cs="宋体"/>
          <w:color w:val="auto"/>
          <w:spacing w:val="16"/>
          <w:sz w:val="31"/>
          <w:szCs w:val="31"/>
        </w:rPr>
      </w:pPr>
      <w:r>
        <w:rPr>
          <w:rFonts w:hint="eastAsia" w:ascii="宋体" w:hAnsi="宋体" w:eastAsia="宋体" w:cs="宋体"/>
          <w:color w:val="auto"/>
          <w:spacing w:val="6"/>
          <w:sz w:val="31"/>
          <w:szCs w:val="31"/>
        </w:rPr>
        <w:t>乙    方：</w:t>
      </w:r>
      <w:r>
        <w:rPr>
          <w:rFonts w:hint="eastAsia" w:ascii="宋体" w:hAnsi="宋体" w:eastAsia="宋体" w:cs="宋体"/>
          <w:color w:val="auto"/>
          <w:spacing w:val="6"/>
          <w:sz w:val="31"/>
          <w:szCs w:val="31"/>
          <w:u w:val="single"/>
          <w:lang w:val="en-US" w:eastAsia="zh-CN"/>
        </w:rPr>
        <w:t xml:space="preserve">                     </w:t>
      </w:r>
    </w:p>
    <w:p w14:paraId="7B493F2D">
      <w:pPr>
        <w:keepNext w:val="0"/>
        <w:keepLines w:val="0"/>
        <w:pageBreakBefore w:val="0"/>
        <w:widowControl w:val="0"/>
        <w:kinsoku/>
        <w:wordWrap/>
        <w:overflowPunct/>
        <w:topLinePunct w:val="0"/>
        <w:autoSpaceDE/>
        <w:autoSpaceDN/>
        <w:bidi w:val="0"/>
        <w:adjustRightInd/>
        <w:snapToGrid/>
        <w:spacing w:line="360" w:lineRule="auto"/>
        <w:ind w:left="840" w:leftChars="400"/>
        <w:jc w:val="both"/>
        <w:textAlignment w:val="auto"/>
        <w:rPr>
          <w:rFonts w:hint="eastAsia" w:ascii="宋体" w:hAnsi="宋体" w:eastAsia="宋体" w:cs="宋体"/>
          <w:b/>
          <w:bCs/>
          <w:color w:val="auto"/>
          <w:sz w:val="24"/>
          <w:szCs w:val="24"/>
        </w:rPr>
        <w:sectPr>
          <w:pgSz w:w="11906" w:h="16838"/>
          <w:pgMar w:top="1361" w:right="1417" w:bottom="1361" w:left="1417" w:header="1134" w:footer="992" w:gutter="0"/>
          <w:pgNumType w:fmt="decimal"/>
          <w:cols w:space="0" w:num="1"/>
          <w:titlePg/>
          <w:rtlGutter w:val="0"/>
          <w:docGrid w:type="lines" w:linePitch="328" w:charSpace="0"/>
        </w:sectPr>
      </w:pPr>
      <w:r>
        <w:rPr>
          <w:rFonts w:hint="eastAsia" w:ascii="宋体" w:hAnsi="宋体" w:eastAsia="宋体" w:cs="宋体"/>
          <w:color w:val="auto"/>
          <w:spacing w:val="8"/>
          <w:sz w:val="31"/>
          <w:szCs w:val="31"/>
        </w:rPr>
        <w:t>签订地点：</w:t>
      </w:r>
      <w:r>
        <w:rPr>
          <w:rFonts w:hint="eastAsia" w:ascii="宋体" w:hAnsi="宋体" w:eastAsia="宋体" w:cs="宋体"/>
          <w:color w:val="auto"/>
          <w:spacing w:val="8"/>
          <w:sz w:val="31"/>
          <w:szCs w:val="31"/>
          <w:u w:val="single"/>
          <w:lang w:val="en-US" w:eastAsia="zh-CN"/>
        </w:rPr>
        <w:t xml:space="preserve">                    </w:t>
      </w:r>
      <w:r>
        <w:rPr>
          <w:rFonts w:hint="eastAsia" w:ascii="宋体" w:hAnsi="宋体" w:eastAsia="宋体" w:cs="宋体"/>
          <w:color w:val="auto"/>
          <w:spacing w:val="2"/>
          <w:sz w:val="31"/>
          <w:szCs w:val="31"/>
          <w:u w:val="single" w:color="auto"/>
        </w:rPr>
        <w:t xml:space="preserve"> </w:t>
      </w:r>
    </w:p>
    <w:p w14:paraId="54FE74B1">
      <w:pPr>
        <w:spacing w:line="360" w:lineRule="auto"/>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32"/>
          <w:szCs w:val="32"/>
        </w:rPr>
        <w:t>合同</w:t>
      </w:r>
      <w:r>
        <w:rPr>
          <w:rFonts w:hint="eastAsia" w:ascii="宋体" w:hAnsi="宋体" w:cs="宋体"/>
          <w:b/>
          <w:bCs/>
          <w:color w:val="auto"/>
          <w:sz w:val="32"/>
          <w:szCs w:val="32"/>
          <w:lang w:val="en-US" w:eastAsia="zh-CN"/>
        </w:rPr>
        <w:t>主要条款</w:t>
      </w:r>
    </w:p>
    <w:p w14:paraId="2DD5DFE6">
      <w:pPr>
        <w:spacing w:line="360" w:lineRule="auto"/>
        <w:ind w:firstLine="482" w:firstLineChars="200"/>
        <w:rPr>
          <w:rFonts w:ascii="宋体" w:hAnsi="宋体"/>
          <w:b/>
          <w:bCs/>
          <w:color w:val="auto"/>
          <w:sz w:val="28"/>
          <w:szCs w:val="32"/>
        </w:rPr>
      </w:pPr>
      <w:r>
        <w:rPr>
          <w:rFonts w:hint="eastAsia" w:ascii="宋体" w:hAnsi="宋体" w:cs="宋体"/>
          <w:b/>
          <w:bCs/>
          <w:color w:val="auto"/>
          <w:sz w:val="24"/>
          <w:szCs w:val="24"/>
        </w:rPr>
        <w:t>（说明：本合同作为合同的基本格式，不作为最终合同，甲方有权在签订合同时对合同的相关条款及内容作进一步的细化和修改。）</w:t>
      </w:r>
    </w:p>
    <w:p w14:paraId="42D6590A">
      <w:pPr>
        <w:keepNext w:val="0"/>
        <w:keepLines w:val="0"/>
        <w:pageBreakBefore w:val="0"/>
        <w:widowControl w:val="0"/>
        <w:kinsoku/>
        <w:wordWrap/>
        <w:overflowPunct/>
        <w:topLinePunct w:val="0"/>
        <w:bidi w:val="0"/>
        <w:adjustRightInd w:val="0"/>
        <w:snapToGrid w:val="0"/>
        <w:spacing w:line="560" w:lineRule="exact"/>
        <w:ind w:firstLine="241" w:firstLineChars="100"/>
        <w:jc w:val="left"/>
        <w:textAlignment w:val="auto"/>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lang w:val="en-US" w:eastAsia="zh-CN"/>
        </w:rPr>
        <w:t>采购单位</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甲方</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eastAsia="zh-CN"/>
        </w:rPr>
        <w:t>安康市中医医院</w:t>
      </w:r>
      <w:r>
        <w:rPr>
          <w:rFonts w:hint="eastAsia" w:ascii="宋体" w:hAnsi="宋体" w:eastAsia="宋体" w:cs="宋体"/>
          <w:color w:val="auto"/>
          <w:kern w:val="0"/>
          <w:sz w:val="24"/>
          <w:szCs w:val="24"/>
          <w:highlight w:val="none"/>
          <w:u w:val="single"/>
          <w:lang w:val="en-US" w:eastAsia="zh-CN"/>
        </w:rPr>
        <w:t xml:space="preserve">      </w:t>
      </w:r>
    </w:p>
    <w:p w14:paraId="11F73310">
      <w:pPr>
        <w:keepNext w:val="0"/>
        <w:keepLines w:val="0"/>
        <w:pageBreakBefore w:val="0"/>
        <w:widowControl w:val="0"/>
        <w:kinsoku/>
        <w:wordWrap/>
        <w:overflowPunct/>
        <w:topLinePunct w:val="0"/>
        <w:autoSpaceDN/>
        <w:bidi w:val="0"/>
        <w:spacing w:line="600" w:lineRule="exact"/>
        <w:ind w:right="0" w:rightChars="0" w:firstLine="241" w:firstLineChars="100"/>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b/>
          <w:color w:val="auto"/>
          <w:kern w:val="0"/>
          <w:sz w:val="24"/>
          <w:szCs w:val="24"/>
          <w:highlight w:val="none"/>
          <w:lang w:val="en-US" w:eastAsia="zh-CN"/>
        </w:rPr>
        <w:t>维保单位</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乙方</w:t>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u w:val="single"/>
          <w:lang w:val="en-US" w:eastAsia="zh-CN"/>
        </w:rPr>
        <w:t xml:space="preserve">                       </w:t>
      </w:r>
    </w:p>
    <w:p w14:paraId="7506F8CC">
      <w:pPr>
        <w:keepNext w:val="0"/>
        <w:keepLines w:val="0"/>
        <w:pageBreakBefore w:val="0"/>
        <w:widowControl w:val="0"/>
        <w:kinsoku/>
        <w:wordWrap w:val="0"/>
        <w:overflowPunct/>
        <w:topLinePunct w:val="0"/>
        <w:autoSpaceDE/>
        <w:autoSpaceDN/>
        <w:bidi w:val="0"/>
        <w:adjustRightInd/>
        <w:snapToGrid/>
        <w:spacing w:after="0" w:line="400" w:lineRule="atLeast"/>
        <w:ind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依据《中华人民共和国民法典》《中华人民共和国政府采购法》与项目行业有关的法律法规，甲、乙双方同意签订本合同。</w:t>
      </w:r>
    </w:p>
    <w:p w14:paraId="6310D010">
      <w:pPr>
        <w:keepNext w:val="0"/>
        <w:keepLines w:val="0"/>
        <w:pageBreakBefore w:val="0"/>
        <w:widowControl w:val="0"/>
        <w:numPr>
          <w:ilvl w:val="0"/>
          <w:numId w:val="8"/>
        </w:numPr>
        <w:kinsoku/>
        <w:wordWrap w:val="0"/>
        <w:overflowPunct/>
        <w:topLinePunct w:val="0"/>
        <w:autoSpaceDE/>
        <w:autoSpaceDN/>
        <w:bidi w:val="0"/>
        <w:adjustRightInd/>
        <w:snapToGrid/>
        <w:spacing w:after="0" w:line="340" w:lineRule="atLeast"/>
        <w:ind w:right="0" w:firstLine="482" w:firstLineChars="200"/>
        <w:jc w:val="both"/>
        <w:textAlignment w:val="baseline"/>
        <w:rPr>
          <w:rFonts w:hint="eastAsia" w:ascii="宋体" w:hAnsi="宋体" w:eastAsia="宋体" w:cs="宋体"/>
          <w:b/>
          <w:bCs/>
          <w:i w:val="0"/>
          <w:color w:val="000000"/>
          <w:sz w:val="24"/>
          <w:szCs w:val="24"/>
          <w:lang w:val="en-US" w:eastAsia="zh-CN"/>
        </w:rPr>
      </w:pPr>
      <w:r>
        <w:rPr>
          <w:rFonts w:hint="eastAsia" w:ascii="宋体" w:hAnsi="宋体" w:eastAsia="宋体" w:cs="宋体"/>
          <w:b/>
          <w:bCs/>
          <w:i w:val="0"/>
          <w:color w:val="000000"/>
          <w:sz w:val="24"/>
          <w:szCs w:val="24"/>
          <w:lang w:val="en-US" w:eastAsia="zh-CN"/>
        </w:rPr>
        <w:t>服务内容</w:t>
      </w:r>
    </w:p>
    <w:p w14:paraId="10DA2F90">
      <w:pPr>
        <w:keepNext w:val="0"/>
        <w:keepLines w:val="0"/>
        <w:pageBreakBefore w:val="0"/>
        <w:widowControl w:val="0"/>
        <w:kinsoku/>
        <w:wordWrap w:val="0"/>
        <w:overflowPunct/>
        <w:topLinePunct w:val="0"/>
        <w:autoSpaceDE/>
        <w:autoSpaceDN/>
        <w:bidi w:val="0"/>
        <w:adjustRightInd/>
        <w:snapToGrid/>
        <w:spacing w:after="0" w:line="40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对采购人现运行的箱式物流系统相关的所有设备设施提供维修、维护、保养服务，内容包含但不限于以下维保项目：</w:t>
      </w:r>
    </w:p>
    <w:tbl>
      <w:tblPr>
        <w:tblStyle w:val="35"/>
        <w:tblW w:w="9427"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6080"/>
        <w:gridCol w:w="1600"/>
      </w:tblGrid>
      <w:tr w14:paraId="72E5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747" w:type="dxa"/>
            <w:noWrap w:val="0"/>
            <w:vAlign w:val="center"/>
          </w:tcPr>
          <w:p w14:paraId="479A3765">
            <w:pPr>
              <w:keepNext w:val="0"/>
              <w:keepLines w:val="0"/>
              <w:pageBreakBefore w:val="0"/>
              <w:widowControl w:val="0"/>
              <w:kinsoku/>
              <w:wordWrap w:val="0"/>
              <w:overflowPunct/>
              <w:topLinePunct w:val="0"/>
              <w:autoSpaceDE/>
              <w:autoSpaceDN/>
              <w:bidi w:val="0"/>
              <w:adjustRightInd/>
              <w:snapToGrid/>
              <w:spacing w:before="0" w:after="0" w:line="360" w:lineRule="atLeast"/>
              <w:ind w:right="0"/>
              <w:jc w:val="center"/>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维保项目</w:t>
            </w:r>
          </w:p>
        </w:tc>
        <w:tc>
          <w:tcPr>
            <w:tcW w:w="6080" w:type="dxa"/>
            <w:noWrap w:val="0"/>
            <w:vAlign w:val="center"/>
          </w:tcPr>
          <w:p w14:paraId="782B3436">
            <w:pPr>
              <w:keepNext w:val="0"/>
              <w:keepLines w:val="0"/>
              <w:pageBreakBefore w:val="0"/>
              <w:widowControl w:val="0"/>
              <w:kinsoku/>
              <w:wordWrap w:val="0"/>
              <w:overflowPunct/>
              <w:topLinePunct w:val="0"/>
              <w:autoSpaceDE/>
              <w:autoSpaceDN/>
              <w:bidi w:val="0"/>
              <w:adjustRightInd/>
              <w:snapToGrid/>
              <w:spacing w:before="0" w:after="0" w:line="360" w:lineRule="atLeast"/>
              <w:ind w:right="0"/>
              <w:jc w:val="center"/>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维保内容</w:t>
            </w:r>
          </w:p>
        </w:tc>
        <w:tc>
          <w:tcPr>
            <w:tcW w:w="1600" w:type="dxa"/>
            <w:noWrap w:val="0"/>
            <w:vAlign w:val="center"/>
          </w:tcPr>
          <w:p w14:paraId="35E3B258">
            <w:pPr>
              <w:keepNext w:val="0"/>
              <w:keepLines w:val="0"/>
              <w:pageBreakBefore w:val="0"/>
              <w:widowControl w:val="0"/>
              <w:kinsoku/>
              <w:wordWrap w:val="0"/>
              <w:overflowPunct/>
              <w:topLinePunct w:val="0"/>
              <w:autoSpaceDE/>
              <w:autoSpaceDN/>
              <w:bidi w:val="0"/>
              <w:adjustRightInd/>
              <w:snapToGrid/>
              <w:spacing w:before="0" w:after="0" w:line="360" w:lineRule="atLeast"/>
              <w:ind w:right="0"/>
              <w:jc w:val="center"/>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周期</w:t>
            </w:r>
          </w:p>
        </w:tc>
      </w:tr>
      <w:tr w14:paraId="456A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1747" w:type="dxa"/>
            <w:noWrap w:val="0"/>
            <w:vAlign w:val="center"/>
          </w:tcPr>
          <w:p w14:paraId="50D79970">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center"/>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输送线</w:t>
            </w:r>
          </w:p>
        </w:tc>
        <w:tc>
          <w:tcPr>
            <w:tcW w:w="6080" w:type="dxa"/>
            <w:noWrap w:val="0"/>
            <w:vAlign w:val="center"/>
          </w:tcPr>
          <w:p w14:paraId="32BF4B04">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1.皮带机传动轴轴承加油；</w:t>
            </w:r>
          </w:p>
          <w:p w14:paraId="17FA58FE">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2.检查输送线体主要部件，包括输送线体上的电动滚筒和驱动电机、传动的多楔带或圆带，以及转向机构的传动机构，并更换受损的零部件；</w:t>
            </w:r>
          </w:p>
          <w:p w14:paraId="1B7913CF">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3.察看输送线运行是否平稳，滚筒跳动、颤抖等不正常现象，若有异常现象调整滚筒和更换多楔带；</w:t>
            </w:r>
          </w:p>
          <w:p w14:paraId="28209917">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4.检查输送线体上运动部件的紧固件是否牢固，检查输送线体上传动的多楔带或O型带的松紧，并及时调整和更换；</w:t>
            </w:r>
          </w:p>
          <w:p w14:paraId="74DCE07B">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5.检查现场各传感器、元器件固定螺丝是否松动，确保正常工作；</w:t>
            </w:r>
          </w:p>
          <w:p w14:paraId="226A2FA4">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6.检查箱体内各元器件固定螺丝是否松动，确保正常工作；</w:t>
            </w:r>
          </w:p>
          <w:p w14:paraId="09EC88FB">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7.检查运行指示灯，蜂鸣警报器和警示灯是否正常工作，一有故障应及时更换；</w:t>
            </w:r>
          </w:p>
          <w:p w14:paraId="67823C66">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8.检查输送系统各个紧急停止开关是否动作正常；</w:t>
            </w:r>
          </w:p>
        </w:tc>
        <w:tc>
          <w:tcPr>
            <w:tcW w:w="1600" w:type="dxa"/>
            <w:noWrap w:val="0"/>
            <w:vAlign w:val="center"/>
          </w:tcPr>
          <w:p w14:paraId="0B99CDE8">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日常巡查每</w:t>
            </w:r>
            <w:r>
              <w:rPr>
                <w:rFonts w:hint="eastAsia" w:ascii="宋体" w:hAnsi="宋体" w:eastAsia="宋体" w:cs="宋体"/>
                <w:b w:val="0"/>
                <w:i w:val="0"/>
                <w:color w:val="000000"/>
                <w:sz w:val="24"/>
                <w:szCs w:val="24"/>
                <w:lang w:val="en-US" w:eastAsia="zh-CN"/>
              </w:rPr>
              <w:t>月</w:t>
            </w:r>
            <w:r>
              <w:rPr>
                <w:rFonts w:hint="eastAsia" w:ascii="宋体" w:hAnsi="宋体" w:eastAsia="宋体" w:cs="宋体"/>
                <w:b w:val="0"/>
                <w:i w:val="0"/>
                <w:color w:val="000000"/>
                <w:sz w:val="24"/>
                <w:szCs w:val="24"/>
              </w:rPr>
              <w:t>一次，发现问题及时处理，及时更换受损部件。</w:t>
            </w:r>
          </w:p>
          <w:p w14:paraId="0697F69B">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整体保养每</w:t>
            </w:r>
            <w:r>
              <w:rPr>
                <w:rFonts w:hint="eastAsia" w:ascii="宋体" w:hAnsi="宋体" w:eastAsia="宋体" w:cs="宋体"/>
                <w:b w:val="0"/>
                <w:i w:val="0"/>
                <w:color w:val="000000"/>
                <w:sz w:val="24"/>
                <w:szCs w:val="24"/>
                <w:lang w:val="en-US" w:eastAsia="zh-CN"/>
              </w:rPr>
              <w:t>季</w:t>
            </w:r>
            <w:r>
              <w:rPr>
                <w:rFonts w:hint="eastAsia" w:ascii="宋体" w:hAnsi="宋体" w:eastAsia="宋体" w:cs="宋体"/>
                <w:b w:val="0"/>
                <w:i w:val="0"/>
                <w:color w:val="000000"/>
                <w:sz w:val="24"/>
                <w:szCs w:val="24"/>
              </w:rPr>
              <w:t>度一次。</w:t>
            </w:r>
          </w:p>
        </w:tc>
      </w:tr>
      <w:tr w14:paraId="2C78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747" w:type="dxa"/>
            <w:noWrap w:val="0"/>
            <w:vAlign w:val="center"/>
          </w:tcPr>
          <w:p w14:paraId="60105C52">
            <w:pPr>
              <w:keepNext w:val="0"/>
              <w:keepLines w:val="0"/>
              <w:pageBreakBefore w:val="0"/>
              <w:widowControl w:val="0"/>
              <w:kinsoku/>
              <w:wordWrap w:val="0"/>
              <w:overflowPunct/>
              <w:topLinePunct w:val="0"/>
              <w:autoSpaceDE/>
              <w:autoSpaceDN/>
              <w:bidi w:val="0"/>
              <w:adjustRightInd/>
              <w:snapToGrid/>
              <w:spacing w:before="0" w:after="0" w:line="360" w:lineRule="atLeast"/>
              <w:ind w:right="0"/>
              <w:jc w:val="center"/>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垂直分拣设备</w:t>
            </w:r>
          </w:p>
        </w:tc>
        <w:tc>
          <w:tcPr>
            <w:tcW w:w="6080" w:type="dxa"/>
            <w:noWrap w:val="0"/>
            <w:vAlign w:val="top"/>
          </w:tcPr>
          <w:p w14:paraId="6753B498">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1.检查设备各传感器、元器件固定螺丝是否松动，确保正常工作；</w:t>
            </w:r>
          </w:p>
          <w:p w14:paraId="4D532C69">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2.检查分拣设备钢丝绳是否松动、过紧；</w:t>
            </w:r>
          </w:p>
          <w:p w14:paraId="32804BEC">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3.检查分拣设备运行速度是否正常；</w:t>
            </w:r>
          </w:p>
          <w:p w14:paraId="25AE1080">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4.主、副导轨加润滑油；</w:t>
            </w:r>
          </w:p>
          <w:p w14:paraId="2D890315">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5.垂直分拣设备与站点是否保持水平位置；</w:t>
            </w:r>
          </w:p>
        </w:tc>
        <w:tc>
          <w:tcPr>
            <w:tcW w:w="1600" w:type="dxa"/>
            <w:noWrap w:val="0"/>
            <w:vAlign w:val="center"/>
          </w:tcPr>
          <w:p w14:paraId="189FDBC6">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日常巡查每</w:t>
            </w:r>
            <w:r>
              <w:rPr>
                <w:rFonts w:hint="eastAsia" w:ascii="宋体" w:hAnsi="宋体" w:eastAsia="宋体" w:cs="宋体"/>
                <w:b w:val="0"/>
                <w:i w:val="0"/>
                <w:color w:val="000000"/>
                <w:sz w:val="24"/>
                <w:szCs w:val="24"/>
                <w:lang w:val="en-US" w:eastAsia="zh-CN"/>
              </w:rPr>
              <w:t>月</w:t>
            </w:r>
            <w:r>
              <w:rPr>
                <w:rFonts w:hint="eastAsia" w:ascii="宋体" w:hAnsi="宋体" w:eastAsia="宋体" w:cs="宋体"/>
                <w:b w:val="0"/>
                <w:i w:val="0"/>
                <w:color w:val="000000"/>
                <w:sz w:val="24"/>
                <w:szCs w:val="24"/>
              </w:rPr>
              <w:t>一次，发现问题及时处理，及时更换受损部件。整体保养每</w:t>
            </w:r>
            <w:r>
              <w:rPr>
                <w:rFonts w:hint="eastAsia" w:ascii="宋体" w:hAnsi="宋体" w:eastAsia="宋体" w:cs="宋体"/>
                <w:b w:val="0"/>
                <w:i w:val="0"/>
                <w:color w:val="000000"/>
                <w:sz w:val="24"/>
                <w:szCs w:val="24"/>
                <w:lang w:val="en-US" w:eastAsia="zh-CN"/>
              </w:rPr>
              <w:t>季</w:t>
            </w:r>
            <w:r>
              <w:rPr>
                <w:rFonts w:hint="eastAsia" w:ascii="宋体" w:hAnsi="宋体" w:eastAsia="宋体" w:cs="宋体"/>
                <w:b w:val="0"/>
                <w:i w:val="0"/>
                <w:color w:val="000000"/>
                <w:sz w:val="24"/>
                <w:szCs w:val="24"/>
              </w:rPr>
              <w:t>度一次。</w:t>
            </w:r>
          </w:p>
        </w:tc>
      </w:tr>
      <w:tr w14:paraId="3362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47" w:type="dxa"/>
            <w:noWrap w:val="0"/>
            <w:vAlign w:val="center"/>
          </w:tcPr>
          <w:p w14:paraId="4668DFA2">
            <w:pPr>
              <w:keepNext w:val="0"/>
              <w:keepLines w:val="0"/>
              <w:pageBreakBefore w:val="0"/>
              <w:widowControl w:val="0"/>
              <w:kinsoku/>
              <w:wordWrap w:val="0"/>
              <w:overflowPunct/>
              <w:topLinePunct w:val="0"/>
              <w:autoSpaceDE/>
              <w:autoSpaceDN/>
              <w:bidi w:val="0"/>
              <w:adjustRightInd/>
              <w:snapToGrid/>
              <w:spacing w:before="0" w:after="0" w:line="360" w:lineRule="atLeast"/>
              <w:ind w:right="0"/>
              <w:jc w:val="center"/>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终端输送站点层面交换机</w:t>
            </w:r>
          </w:p>
        </w:tc>
        <w:tc>
          <w:tcPr>
            <w:tcW w:w="6080" w:type="dxa"/>
            <w:noWrap w:val="0"/>
            <w:vAlign w:val="center"/>
          </w:tcPr>
          <w:p w14:paraId="497DC280">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1.检查终端输送站点主要部件，包括终端输送站点上的电动滚筒和驱动电机、传动的多楔带或圆带，以及转向机构的传动机构，并更换受损的零部件；</w:t>
            </w:r>
          </w:p>
          <w:p w14:paraId="32E70B3D">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2.察看终端输送站点运行是否平稳，滚筒跳动、颤抖等不正常现象，若有异常现象调整滚筒和更换多楔带；</w:t>
            </w:r>
          </w:p>
          <w:p w14:paraId="2C999ED7">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3.检查终端输送站点上运动部件的紧固件是否牢固，检查终端输送站点上传动的多楔带或O型带的松紧，并及时调整和更换；</w:t>
            </w:r>
          </w:p>
          <w:p w14:paraId="62E8AA3F">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4.检查现场各传感器、元器件固定螺丝是否松动，确保正常工作；</w:t>
            </w:r>
          </w:p>
          <w:p w14:paraId="3B7410D1">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5.检查箱体内各元器件固定螺丝是否松动，确保正常工作；</w:t>
            </w:r>
          </w:p>
          <w:p w14:paraId="06968F0D">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6.检查运行指示灯，蜂鸣警报器和警示灯是否正常工作，一有故障应及时更换；</w:t>
            </w:r>
          </w:p>
          <w:p w14:paraId="1A266618">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7.检查终端输送站点各个紧急停止开关是否正常；</w:t>
            </w:r>
          </w:p>
        </w:tc>
        <w:tc>
          <w:tcPr>
            <w:tcW w:w="1600" w:type="dxa"/>
            <w:noWrap w:val="0"/>
            <w:vAlign w:val="center"/>
          </w:tcPr>
          <w:p w14:paraId="24AFF7A8">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日常巡查每</w:t>
            </w:r>
            <w:r>
              <w:rPr>
                <w:rFonts w:hint="eastAsia" w:ascii="宋体" w:hAnsi="宋体" w:eastAsia="宋体" w:cs="宋体"/>
                <w:b w:val="0"/>
                <w:i w:val="0"/>
                <w:color w:val="000000"/>
                <w:sz w:val="24"/>
                <w:szCs w:val="24"/>
                <w:lang w:val="en-US" w:eastAsia="zh-CN"/>
              </w:rPr>
              <w:t>月</w:t>
            </w:r>
            <w:r>
              <w:rPr>
                <w:rFonts w:hint="eastAsia" w:ascii="宋体" w:hAnsi="宋体" w:eastAsia="宋体" w:cs="宋体"/>
                <w:b w:val="0"/>
                <w:i w:val="0"/>
                <w:color w:val="000000"/>
                <w:sz w:val="24"/>
                <w:szCs w:val="24"/>
              </w:rPr>
              <w:t>一次，发现问题及时处理，及时更换受损部件。</w:t>
            </w:r>
          </w:p>
          <w:p w14:paraId="3E87A405">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整体保养每</w:t>
            </w:r>
            <w:r>
              <w:rPr>
                <w:rFonts w:hint="eastAsia" w:ascii="宋体" w:hAnsi="宋体" w:eastAsia="宋体" w:cs="宋体"/>
                <w:b w:val="0"/>
                <w:i w:val="0"/>
                <w:color w:val="000000"/>
                <w:sz w:val="24"/>
                <w:szCs w:val="24"/>
                <w:lang w:val="en-US" w:eastAsia="zh-CN"/>
              </w:rPr>
              <w:t>季</w:t>
            </w:r>
            <w:r>
              <w:rPr>
                <w:rFonts w:hint="eastAsia" w:ascii="宋体" w:hAnsi="宋体" w:eastAsia="宋体" w:cs="宋体"/>
                <w:b w:val="0"/>
                <w:i w:val="0"/>
                <w:color w:val="000000"/>
                <w:sz w:val="24"/>
                <w:szCs w:val="24"/>
              </w:rPr>
              <w:t>度一次。</w:t>
            </w:r>
          </w:p>
        </w:tc>
      </w:tr>
      <w:tr w14:paraId="3519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47" w:type="dxa"/>
            <w:noWrap w:val="0"/>
            <w:vAlign w:val="center"/>
          </w:tcPr>
          <w:p w14:paraId="4298EF41">
            <w:pPr>
              <w:keepNext w:val="0"/>
              <w:keepLines w:val="0"/>
              <w:pageBreakBefore w:val="0"/>
              <w:widowControl w:val="0"/>
              <w:kinsoku/>
              <w:wordWrap w:val="0"/>
              <w:overflowPunct/>
              <w:topLinePunct w:val="0"/>
              <w:autoSpaceDE/>
              <w:autoSpaceDN/>
              <w:bidi w:val="0"/>
              <w:adjustRightInd/>
              <w:snapToGrid/>
              <w:spacing w:before="0" w:after="0" w:line="360" w:lineRule="atLeast"/>
              <w:ind w:right="0"/>
              <w:jc w:val="center"/>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信息系统</w:t>
            </w:r>
          </w:p>
        </w:tc>
        <w:tc>
          <w:tcPr>
            <w:tcW w:w="6080" w:type="dxa"/>
            <w:noWrap w:val="0"/>
            <w:vAlign w:val="top"/>
          </w:tcPr>
          <w:p w14:paraId="4E9D93DC">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检查电脑、服务器、交换机等硬件设备，确保软件系统运行正常，包含不限于：操作系统、WCS上位机管理系统、视频监控系统；</w:t>
            </w:r>
          </w:p>
          <w:p w14:paraId="250BF07B">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中标人提供上位机、服务器、电脑等备用硬件设备。定时检查上位机、服务器、电脑等备用硬件设备，确保软件系统能正常运行，确保主系统软硬件故障时能及时更换使用。</w:t>
            </w:r>
          </w:p>
        </w:tc>
        <w:tc>
          <w:tcPr>
            <w:tcW w:w="1600" w:type="dxa"/>
            <w:noWrap w:val="0"/>
            <w:vAlign w:val="center"/>
          </w:tcPr>
          <w:p w14:paraId="2F92F243">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日常发现问题及时处理，及时更换受损部件。整体保养每</w:t>
            </w:r>
            <w:r>
              <w:rPr>
                <w:rFonts w:hint="eastAsia" w:ascii="宋体" w:hAnsi="宋体" w:eastAsia="宋体" w:cs="宋体"/>
                <w:b w:val="0"/>
                <w:i w:val="0"/>
                <w:color w:val="000000"/>
                <w:sz w:val="24"/>
                <w:szCs w:val="24"/>
                <w:lang w:val="en-US" w:eastAsia="zh-CN"/>
              </w:rPr>
              <w:t>季</w:t>
            </w:r>
            <w:r>
              <w:rPr>
                <w:rFonts w:hint="eastAsia" w:ascii="宋体" w:hAnsi="宋体" w:eastAsia="宋体" w:cs="宋体"/>
                <w:b w:val="0"/>
                <w:i w:val="0"/>
                <w:color w:val="000000"/>
                <w:sz w:val="24"/>
                <w:szCs w:val="24"/>
              </w:rPr>
              <w:t>度一次。</w:t>
            </w:r>
          </w:p>
        </w:tc>
      </w:tr>
      <w:tr w14:paraId="4C09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47" w:type="dxa"/>
            <w:noWrap w:val="0"/>
            <w:vAlign w:val="center"/>
          </w:tcPr>
          <w:p w14:paraId="7658F04B">
            <w:pPr>
              <w:keepNext w:val="0"/>
              <w:keepLines w:val="0"/>
              <w:pageBreakBefore w:val="0"/>
              <w:widowControl w:val="0"/>
              <w:kinsoku/>
              <w:wordWrap w:val="0"/>
              <w:overflowPunct/>
              <w:topLinePunct w:val="0"/>
              <w:autoSpaceDE/>
              <w:autoSpaceDN/>
              <w:bidi w:val="0"/>
              <w:adjustRightInd/>
              <w:snapToGrid/>
              <w:spacing w:before="0" w:after="0" w:line="360" w:lineRule="atLeast"/>
              <w:ind w:right="0"/>
              <w:jc w:val="center"/>
              <w:textAlignment w:val="baseline"/>
              <w:rPr>
                <w:rFonts w:hint="default"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远程服务</w:t>
            </w:r>
          </w:p>
        </w:tc>
        <w:tc>
          <w:tcPr>
            <w:tcW w:w="6080" w:type="dxa"/>
            <w:noWrap w:val="0"/>
            <w:vAlign w:val="top"/>
          </w:tcPr>
          <w:p w14:paraId="4DCFAE2B">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w:t>
            </w:r>
            <w:r>
              <w:rPr>
                <w:rFonts w:hint="eastAsia" w:ascii="宋体" w:hAnsi="宋体" w:eastAsia="宋体" w:cs="宋体"/>
                <w:b w:val="0"/>
                <w:i w:val="0"/>
                <w:color w:val="000000"/>
                <w:sz w:val="24"/>
                <w:szCs w:val="24"/>
                <w:lang w:val="en-US" w:eastAsia="zh-CN"/>
              </w:rPr>
              <w:t>.</w:t>
            </w:r>
            <w:r>
              <w:rPr>
                <w:rFonts w:hint="eastAsia" w:ascii="宋体" w:hAnsi="宋体" w:eastAsia="宋体" w:cs="宋体"/>
                <w:b w:val="0"/>
                <w:i w:val="0"/>
                <w:color w:val="000000"/>
                <w:sz w:val="24"/>
                <w:szCs w:val="24"/>
              </w:rPr>
              <w:t>提供维护工程师24小时远程服务，有问题保证及时解决。</w:t>
            </w:r>
          </w:p>
          <w:p w14:paraId="40931DF9">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lang w:eastAsia="zh-CN"/>
              </w:rPr>
            </w:pPr>
            <w:r>
              <w:rPr>
                <w:rFonts w:hint="eastAsia" w:ascii="宋体" w:hAnsi="宋体" w:eastAsia="宋体" w:cs="宋体"/>
                <w:b w:val="0"/>
                <w:i w:val="0"/>
                <w:color w:val="000000"/>
                <w:sz w:val="24"/>
                <w:szCs w:val="24"/>
                <w:lang w:val="en-US" w:eastAsia="zh-CN"/>
              </w:rPr>
              <w:t>2.</w:t>
            </w:r>
            <w:r>
              <w:rPr>
                <w:rFonts w:hint="eastAsia" w:ascii="宋体" w:hAnsi="宋体" w:eastAsia="宋体" w:cs="宋体"/>
                <w:b w:val="0"/>
                <w:i w:val="0"/>
                <w:color w:val="000000"/>
                <w:sz w:val="24"/>
                <w:szCs w:val="24"/>
              </w:rPr>
              <w:t xml:space="preserve">将维修、维护保养记录台账；对各种仪器、仪表的检测记录台账 </w:t>
            </w:r>
            <w:r>
              <w:rPr>
                <w:rFonts w:hint="eastAsia" w:ascii="宋体" w:hAnsi="宋体" w:eastAsia="宋体" w:cs="宋体"/>
                <w:b w:val="0"/>
                <w:i w:val="0"/>
                <w:color w:val="000000"/>
                <w:sz w:val="24"/>
                <w:szCs w:val="24"/>
                <w:lang w:eastAsia="zh-CN"/>
              </w:rPr>
              <w:t>。</w:t>
            </w:r>
          </w:p>
          <w:p w14:paraId="0C64D137">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default"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3.能提供物流系统的技术程序支持，保证物流系统的维修和日常运转顺利进行。</w:t>
            </w:r>
          </w:p>
        </w:tc>
        <w:tc>
          <w:tcPr>
            <w:tcW w:w="1600" w:type="dxa"/>
            <w:noWrap w:val="0"/>
            <w:vAlign w:val="center"/>
          </w:tcPr>
          <w:p w14:paraId="73E6C3C1">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rPr>
            </w:pPr>
          </w:p>
        </w:tc>
      </w:tr>
      <w:tr w14:paraId="2738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47" w:type="dxa"/>
            <w:noWrap w:val="0"/>
            <w:vAlign w:val="center"/>
          </w:tcPr>
          <w:p w14:paraId="435EB6FA">
            <w:pPr>
              <w:keepNext w:val="0"/>
              <w:keepLines w:val="0"/>
              <w:pageBreakBefore w:val="0"/>
              <w:widowControl w:val="0"/>
              <w:kinsoku/>
              <w:wordWrap w:val="0"/>
              <w:overflowPunct/>
              <w:topLinePunct w:val="0"/>
              <w:autoSpaceDE/>
              <w:autoSpaceDN/>
              <w:bidi w:val="0"/>
              <w:adjustRightInd/>
              <w:snapToGrid/>
              <w:spacing w:before="0" w:after="0" w:line="360" w:lineRule="atLeast"/>
              <w:ind w:right="0"/>
              <w:jc w:val="center"/>
              <w:textAlignment w:val="baseline"/>
              <w:rPr>
                <w:rFonts w:hint="default"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日常维修</w:t>
            </w:r>
          </w:p>
        </w:tc>
        <w:tc>
          <w:tcPr>
            <w:tcW w:w="6080" w:type="dxa"/>
            <w:noWrap w:val="0"/>
            <w:vAlign w:val="top"/>
          </w:tcPr>
          <w:p w14:paraId="5E29D014">
            <w:pPr>
              <w:keepNext w:val="0"/>
              <w:keepLines w:val="0"/>
              <w:pageBreakBefore w:val="0"/>
              <w:widowControl w:val="0"/>
              <w:kinsoku/>
              <w:wordWrap w:val="0"/>
              <w:overflowPunct/>
              <w:topLinePunct w:val="0"/>
              <w:autoSpaceDE/>
              <w:autoSpaceDN/>
              <w:bidi w:val="0"/>
              <w:adjustRightInd/>
              <w:snapToGrid/>
              <w:spacing w:before="0" w:after="0" w:line="360" w:lineRule="atLeast"/>
              <w:ind w:right="0" w:firstLine="480" w:firstLineChars="200"/>
              <w:jc w:val="both"/>
              <w:textAlignment w:val="baseline"/>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rPr>
              <w:t>提供365天服务，有维修热线支持，接到甲方指定人员通知后20分钟以内</w:t>
            </w:r>
            <w:r>
              <w:rPr>
                <w:rFonts w:hint="eastAsia" w:ascii="宋体" w:hAnsi="宋体" w:eastAsia="宋体" w:cs="宋体"/>
                <w:b w:val="0"/>
                <w:i w:val="0"/>
                <w:color w:val="000000"/>
                <w:sz w:val="24"/>
                <w:szCs w:val="24"/>
                <w:lang w:val="en-US" w:eastAsia="zh-CN"/>
              </w:rPr>
              <w:t>至少有两名维保专业技术人员</w:t>
            </w:r>
            <w:r>
              <w:rPr>
                <w:rFonts w:hint="eastAsia" w:ascii="宋体" w:hAnsi="宋体" w:eastAsia="宋体" w:cs="宋体"/>
                <w:b w:val="0"/>
                <w:i w:val="0"/>
                <w:color w:val="000000"/>
                <w:sz w:val="24"/>
                <w:szCs w:val="24"/>
              </w:rPr>
              <w:t>到达现场内到达现场维修</w:t>
            </w:r>
            <w:r>
              <w:rPr>
                <w:rFonts w:hint="eastAsia" w:ascii="宋体" w:hAnsi="宋体" w:eastAsia="宋体" w:cs="宋体"/>
                <w:b w:val="0"/>
                <w:i w:val="0"/>
                <w:color w:val="000000"/>
                <w:sz w:val="24"/>
                <w:szCs w:val="24"/>
                <w:lang w:val="en-US" w:eastAsia="zh-CN"/>
              </w:rPr>
              <w:t>并能在远程提供物流系统程序支持。</w:t>
            </w:r>
          </w:p>
        </w:tc>
        <w:tc>
          <w:tcPr>
            <w:tcW w:w="1600" w:type="dxa"/>
            <w:noWrap w:val="0"/>
            <w:vAlign w:val="center"/>
          </w:tcPr>
          <w:p w14:paraId="004F3005">
            <w:pPr>
              <w:keepNext w:val="0"/>
              <w:keepLines w:val="0"/>
              <w:pageBreakBefore w:val="0"/>
              <w:widowControl w:val="0"/>
              <w:kinsoku/>
              <w:wordWrap w:val="0"/>
              <w:overflowPunct/>
              <w:topLinePunct w:val="0"/>
              <w:autoSpaceDE/>
              <w:autoSpaceDN/>
              <w:bidi w:val="0"/>
              <w:adjustRightInd/>
              <w:snapToGrid/>
              <w:spacing w:before="0" w:after="0" w:line="360" w:lineRule="atLeast"/>
              <w:ind w:right="0"/>
              <w:jc w:val="both"/>
              <w:textAlignment w:val="baseline"/>
              <w:rPr>
                <w:rFonts w:hint="eastAsia" w:ascii="宋体" w:hAnsi="宋体" w:eastAsia="宋体" w:cs="宋体"/>
                <w:b w:val="0"/>
                <w:i w:val="0"/>
                <w:color w:val="000000"/>
                <w:sz w:val="24"/>
                <w:szCs w:val="24"/>
              </w:rPr>
            </w:pPr>
          </w:p>
        </w:tc>
      </w:tr>
      <w:tr w14:paraId="7DE4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47" w:type="dxa"/>
            <w:noWrap w:val="0"/>
            <w:vAlign w:val="center"/>
          </w:tcPr>
          <w:p w14:paraId="57470FD6">
            <w:pPr>
              <w:jc w:val="center"/>
              <w:rPr>
                <w:rFonts w:hint="eastAsia" w:ascii="宋体" w:hAnsi="宋体" w:eastAsia="宋体" w:cs="宋体"/>
                <w:b w:val="0"/>
                <w:i w:val="0"/>
                <w:color w:val="000000"/>
                <w:sz w:val="24"/>
                <w:szCs w:val="24"/>
                <w:lang w:val="en-US" w:eastAsia="zh-CN"/>
              </w:rPr>
            </w:pPr>
            <w:r>
              <w:rPr>
                <w:rFonts w:hint="eastAsia" w:ascii="宋体" w:hAnsi="宋体" w:cs="宋体"/>
                <w:sz w:val="24"/>
                <w:szCs w:val="24"/>
                <w:lang w:val="en-US" w:eastAsia="zh-CN"/>
              </w:rPr>
              <w:t>技术支持服务</w:t>
            </w:r>
          </w:p>
        </w:tc>
        <w:tc>
          <w:tcPr>
            <w:tcW w:w="6080" w:type="dxa"/>
            <w:noWrap w:val="0"/>
            <w:vAlign w:val="top"/>
          </w:tcPr>
          <w:p w14:paraId="4C4C1C24">
            <w:pPr>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1.系统优化支持：根据医院运营需求及系统运行状况，提供系统参数调整、流程优化建议，协助医院提升物流效率。</w:t>
            </w:r>
          </w:p>
          <w:p w14:paraId="3137FFB5">
            <w:pPr>
              <w:spacing w:line="360" w:lineRule="auto"/>
              <w:jc w:val="left"/>
              <w:rPr>
                <w:rFonts w:hint="eastAsia" w:ascii="宋体" w:hAnsi="宋体" w:eastAsia="宋体" w:cs="宋体"/>
                <w:b w:val="0"/>
                <w:i w:val="0"/>
                <w:color w:val="000000"/>
                <w:sz w:val="24"/>
                <w:szCs w:val="24"/>
              </w:rPr>
            </w:pPr>
            <w:r>
              <w:rPr>
                <w:rFonts w:hint="eastAsia" w:ascii="宋体" w:hAnsi="宋体" w:cs="宋体"/>
                <w:sz w:val="24"/>
                <w:szCs w:val="24"/>
                <w:lang w:val="en-US" w:eastAsia="zh-CN"/>
              </w:rPr>
              <w:t>2.软件支持：负责系统管理软件、控制软件的日常运行维护，包括漏洞修复、补丁更新（需经医院同意）、数据备份与恢复支持等。</w:t>
            </w:r>
          </w:p>
        </w:tc>
        <w:tc>
          <w:tcPr>
            <w:tcW w:w="1600" w:type="dxa"/>
            <w:noWrap w:val="0"/>
            <w:vAlign w:val="center"/>
          </w:tcPr>
          <w:p w14:paraId="22241EA1">
            <w:pPr>
              <w:spacing w:line="360" w:lineRule="auto"/>
              <w:jc w:val="left"/>
              <w:rPr>
                <w:rFonts w:hint="eastAsia" w:ascii="宋体" w:hAnsi="宋体" w:eastAsia="宋体" w:cs="宋体"/>
                <w:b w:val="0"/>
                <w:i w:val="0"/>
                <w:color w:val="000000"/>
                <w:sz w:val="24"/>
                <w:szCs w:val="24"/>
              </w:rPr>
            </w:pPr>
            <w:r>
              <w:rPr>
                <w:rFonts w:hint="eastAsia" w:ascii="宋体" w:hAnsi="宋体" w:cs="宋体"/>
                <w:sz w:val="24"/>
                <w:szCs w:val="24"/>
                <w:lang w:val="en-US" w:eastAsia="zh-CN"/>
              </w:rPr>
              <w:t>日常发现问题及时处理</w:t>
            </w:r>
          </w:p>
        </w:tc>
      </w:tr>
    </w:tbl>
    <w:p w14:paraId="540ECC09">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i w:val="0"/>
          <w:color w:val="000000"/>
          <w:sz w:val="24"/>
          <w:szCs w:val="24"/>
        </w:rPr>
        <w:t>第二条 合同期限</w:t>
      </w:r>
    </w:p>
    <w:p w14:paraId="6007911C">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本项目合同约定自</w:t>
      </w:r>
      <w:r>
        <w:rPr>
          <w:rFonts w:hint="eastAsia" w:ascii="宋体" w:hAnsi="宋体" w:eastAsia="宋体" w:cs="宋体"/>
          <w:b w:val="0"/>
          <w:i w:val="0"/>
          <w:color w:val="000000"/>
          <w:sz w:val="24"/>
          <w:szCs w:val="24"/>
          <w:u w:val="single"/>
          <w:lang w:val="en-US" w:eastAsia="zh-CN"/>
        </w:rPr>
        <w:t xml:space="preserve">    </w:t>
      </w:r>
      <w:r>
        <w:rPr>
          <w:rFonts w:hint="eastAsia" w:ascii="宋体" w:hAnsi="宋体" w:eastAsia="宋体" w:cs="宋体"/>
          <w:b w:val="0"/>
          <w:i w:val="0"/>
          <w:color w:val="000000"/>
          <w:sz w:val="24"/>
          <w:szCs w:val="24"/>
        </w:rPr>
        <w:t>年</w:t>
      </w:r>
      <w:r>
        <w:rPr>
          <w:rFonts w:hint="eastAsia" w:ascii="宋体" w:hAnsi="宋体" w:eastAsia="宋体" w:cs="宋体"/>
          <w:b w:val="0"/>
          <w:i w:val="0"/>
          <w:color w:val="000000"/>
          <w:sz w:val="24"/>
          <w:szCs w:val="24"/>
          <w:u w:val="single"/>
          <w:lang w:val="en-US" w:eastAsia="zh-CN"/>
        </w:rPr>
        <w:t xml:space="preserve">  </w:t>
      </w:r>
      <w:r>
        <w:rPr>
          <w:rFonts w:hint="eastAsia" w:ascii="宋体" w:hAnsi="宋体" w:eastAsia="宋体" w:cs="宋体"/>
          <w:b w:val="0"/>
          <w:i w:val="0"/>
          <w:color w:val="000000"/>
          <w:sz w:val="24"/>
          <w:szCs w:val="24"/>
        </w:rPr>
        <w:t>月</w:t>
      </w:r>
      <w:r>
        <w:rPr>
          <w:rFonts w:hint="eastAsia" w:ascii="宋体" w:hAnsi="宋体" w:eastAsia="宋体" w:cs="宋体"/>
          <w:b w:val="0"/>
          <w:i w:val="0"/>
          <w:color w:val="000000"/>
          <w:sz w:val="24"/>
          <w:szCs w:val="24"/>
          <w:u w:val="single"/>
          <w:lang w:val="en-US" w:eastAsia="zh-CN"/>
        </w:rPr>
        <w:t xml:space="preserve">  </w:t>
      </w:r>
      <w:r>
        <w:rPr>
          <w:rFonts w:hint="eastAsia" w:ascii="宋体" w:hAnsi="宋体" w:eastAsia="宋体" w:cs="宋体"/>
          <w:b w:val="0"/>
          <w:i w:val="0"/>
          <w:color w:val="000000"/>
          <w:sz w:val="24"/>
          <w:szCs w:val="24"/>
        </w:rPr>
        <w:t>日起</w:t>
      </w:r>
      <w:r>
        <w:rPr>
          <w:rFonts w:hint="eastAsia" w:ascii="宋体" w:hAnsi="宋体" w:eastAsia="宋体" w:cs="宋体"/>
          <w:b w:val="0"/>
          <w:i w:val="0"/>
          <w:color w:val="000000"/>
          <w:sz w:val="24"/>
          <w:szCs w:val="24"/>
          <w:u w:val="single"/>
          <w:lang w:val="en-US" w:eastAsia="zh-CN"/>
        </w:rPr>
        <w:t xml:space="preserve">    </w:t>
      </w:r>
      <w:r>
        <w:rPr>
          <w:rFonts w:hint="eastAsia" w:ascii="宋体" w:hAnsi="宋体" w:eastAsia="宋体" w:cs="宋体"/>
          <w:b w:val="0"/>
          <w:i w:val="0"/>
          <w:color w:val="000000"/>
          <w:sz w:val="24"/>
          <w:szCs w:val="24"/>
        </w:rPr>
        <w:t>年</w:t>
      </w:r>
      <w:r>
        <w:rPr>
          <w:rFonts w:hint="eastAsia" w:ascii="宋体" w:hAnsi="宋体" w:eastAsia="宋体" w:cs="宋体"/>
          <w:b w:val="0"/>
          <w:i w:val="0"/>
          <w:color w:val="000000"/>
          <w:sz w:val="24"/>
          <w:szCs w:val="24"/>
          <w:u w:val="single"/>
          <w:lang w:val="en-US" w:eastAsia="zh-CN"/>
        </w:rPr>
        <w:t xml:space="preserve">  </w:t>
      </w:r>
      <w:r>
        <w:rPr>
          <w:rFonts w:hint="eastAsia" w:ascii="宋体" w:hAnsi="宋体" w:eastAsia="宋体" w:cs="宋体"/>
          <w:b w:val="0"/>
          <w:i w:val="0"/>
          <w:color w:val="000000"/>
          <w:sz w:val="24"/>
          <w:szCs w:val="24"/>
        </w:rPr>
        <w:t>月</w:t>
      </w:r>
      <w:r>
        <w:rPr>
          <w:rFonts w:hint="eastAsia" w:ascii="宋体" w:hAnsi="宋体" w:eastAsia="宋体" w:cs="宋体"/>
          <w:b w:val="0"/>
          <w:i w:val="0"/>
          <w:color w:val="000000"/>
          <w:sz w:val="24"/>
          <w:szCs w:val="24"/>
          <w:u w:val="single"/>
          <w:lang w:val="en-US" w:eastAsia="zh-CN"/>
        </w:rPr>
        <w:t xml:space="preserve">  </w:t>
      </w:r>
      <w:r>
        <w:rPr>
          <w:rFonts w:hint="eastAsia" w:ascii="宋体" w:hAnsi="宋体" w:eastAsia="宋体" w:cs="宋体"/>
          <w:b w:val="0"/>
          <w:i w:val="0"/>
          <w:color w:val="000000"/>
          <w:sz w:val="24"/>
          <w:szCs w:val="24"/>
        </w:rPr>
        <w:t>日止。注： 办公用品及工具由乙方自理。</w:t>
      </w:r>
    </w:p>
    <w:p w14:paraId="03F02002">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i w:val="0"/>
          <w:color w:val="000000"/>
          <w:sz w:val="24"/>
          <w:szCs w:val="24"/>
        </w:rPr>
        <w:t>第三条 服务内容要求</w:t>
      </w:r>
    </w:p>
    <w:p w14:paraId="7A2C0347">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i w:val="0"/>
          <w:color w:val="000000"/>
          <w:sz w:val="24"/>
          <w:szCs w:val="24"/>
        </w:rPr>
        <w:t>一、保养内容</w:t>
      </w:r>
    </w:p>
    <w:p w14:paraId="7E36D682">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1</w:t>
      </w:r>
      <w:r>
        <w:rPr>
          <w:rFonts w:hint="eastAsia" w:ascii="宋体" w:hAnsi="宋体" w:eastAsia="宋体" w:cs="宋体"/>
          <w:b w:val="0"/>
          <w:i w:val="0"/>
          <w:color w:val="000000"/>
          <w:sz w:val="24"/>
          <w:szCs w:val="24"/>
          <w:lang w:val="en-US" w:eastAsia="zh-CN"/>
        </w:rPr>
        <w:t>.</w:t>
      </w:r>
      <w:r>
        <w:rPr>
          <w:rFonts w:hint="eastAsia" w:ascii="宋体" w:hAnsi="宋体" w:eastAsia="宋体" w:cs="宋体"/>
          <w:b w:val="0"/>
          <w:i w:val="0"/>
          <w:color w:val="000000"/>
          <w:sz w:val="24"/>
          <w:szCs w:val="24"/>
        </w:rPr>
        <w:t xml:space="preserve"> 日常维护保养内容</w:t>
      </w:r>
      <w:r>
        <w:rPr>
          <w:rFonts w:hint="eastAsia" w:ascii="宋体" w:hAnsi="宋体" w:eastAsia="宋体" w:cs="宋体"/>
          <w:b w:val="0"/>
          <w:i w:val="0"/>
          <w:color w:val="000000"/>
          <w:sz w:val="24"/>
          <w:szCs w:val="24"/>
          <w:lang w:eastAsia="zh-CN"/>
        </w:rPr>
        <w:t>：</w:t>
      </w:r>
      <w:r>
        <w:rPr>
          <w:rFonts w:hint="eastAsia" w:ascii="宋体" w:hAnsi="宋体" w:eastAsia="宋体" w:cs="宋体"/>
          <w:b w:val="0"/>
          <w:i w:val="0"/>
          <w:color w:val="000000"/>
          <w:sz w:val="24"/>
          <w:szCs w:val="24"/>
        </w:rPr>
        <w:t>按照</w:t>
      </w:r>
      <w:r>
        <w:rPr>
          <w:rFonts w:hint="eastAsia" w:ascii="宋体" w:hAnsi="宋体" w:eastAsia="宋体" w:cs="宋体"/>
          <w:b w:val="0"/>
          <w:i w:val="0"/>
          <w:color w:val="000000"/>
          <w:sz w:val="24"/>
          <w:szCs w:val="24"/>
          <w:lang w:val="en-US" w:eastAsia="zh-CN"/>
        </w:rPr>
        <w:t>服务内容</w:t>
      </w:r>
      <w:r>
        <w:rPr>
          <w:rFonts w:hint="eastAsia" w:ascii="宋体" w:hAnsi="宋体" w:eastAsia="宋体" w:cs="宋体"/>
          <w:b w:val="0"/>
          <w:i w:val="0"/>
          <w:color w:val="000000"/>
          <w:sz w:val="24"/>
          <w:szCs w:val="24"/>
        </w:rPr>
        <w:t>完成月、季度、半年、年保养项目，并做好维护保养记录</w:t>
      </w:r>
      <w:r>
        <w:rPr>
          <w:rFonts w:hint="eastAsia" w:ascii="宋体" w:hAnsi="宋体" w:eastAsia="宋体" w:cs="宋体"/>
          <w:b w:val="0"/>
          <w:i w:val="0"/>
          <w:color w:val="000000"/>
          <w:sz w:val="24"/>
          <w:szCs w:val="24"/>
          <w:lang w:eastAsia="zh-CN"/>
        </w:rPr>
        <w:t>。</w:t>
      </w:r>
    </w:p>
    <w:p w14:paraId="144DB787">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val="en-US" w:eastAsia="zh-CN"/>
        </w:rPr>
        <w:t>2.</w:t>
      </w:r>
      <w:r>
        <w:rPr>
          <w:rFonts w:hint="eastAsia" w:ascii="宋体" w:hAnsi="宋体" w:eastAsia="宋体" w:cs="宋体"/>
          <w:b w:val="0"/>
          <w:i w:val="0"/>
          <w:color w:val="000000"/>
          <w:sz w:val="24"/>
          <w:szCs w:val="24"/>
        </w:rPr>
        <w:t>提供365天服务，有维修热线支持，接到甲方指定人员通知后</w:t>
      </w:r>
      <w:r>
        <w:rPr>
          <w:rFonts w:hint="eastAsia" w:ascii="宋体" w:hAnsi="宋体" w:eastAsia="宋体" w:cs="宋体"/>
          <w:b w:val="0"/>
          <w:i w:val="0"/>
          <w:color w:val="000000"/>
          <w:sz w:val="24"/>
          <w:szCs w:val="24"/>
          <w:lang w:val="en-US" w:eastAsia="zh-CN"/>
        </w:rPr>
        <w:t>30</w:t>
      </w:r>
      <w:r>
        <w:rPr>
          <w:rFonts w:hint="eastAsia" w:ascii="宋体" w:hAnsi="宋体" w:eastAsia="宋体" w:cs="宋体"/>
          <w:b w:val="0"/>
          <w:i w:val="0"/>
          <w:color w:val="000000"/>
          <w:sz w:val="24"/>
          <w:szCs w:val="24"/>
        </w:rPr>
        <w:t>分钟以内</w:t>
      </w:r>
      <w:r>
        <w:rPr>
          <w:rFonts w:hint="eastAsia" w:ascii="宋体" w:hAnsi="宋体" w:eastAsia="宋体" w:cs="宋体"/>
          <w:b w:val="0"/>
          <w:i w:val="0"/>
          <w:color w:val="000000"/>
          <w:sz w:val="24"/>
          <w:szCs w:val="24"/>
          <w:lang w:val="en-US" w:eastAsia="zh-CN"/>
        </w:rPr>
        <w:t>至少有两名维保专业技术人员</w:t>
      </w:r>
      <w:r>
        <w:rPr>
          <w:rFonts w:hint="eastAsia" w:ascii="宋体" w:hAnsi="宋体" w:eastAsia="宋体" w:cs="宋体"/>
          <w:b w:val="0"/>
          <w:i w:val="0"/>
          <w:color w:val="000000"/>
          <w:sz w:val="24"/>
          <w:szCs w:val="24"/>
        </w:rPr>
        <w:t>到达现场内到达现场维修</w:t>
      </w:r>
      <w:r>
        <w:rPr>
          <w:rFonts w:hint="eastAsia" w:ascii="宋体" w:hAnsi="宋体" w:eastAsia="宋体" w:cs="宋体"/>
          <w:b w:val="0"/>
          <w:i w:val="0"/>
          <w:color w:val="000000"/>
          <w:sz w:val="24"/>
          <w:szCs w:val="24"/>
          <w:lang w:val="en-US" w:eastAsia="zh-CN"/>
        </w:rPr>
        <w:t>并提供程序支持</w:t>
      </w:r>
      <w:r>
        <w:rPr>
          <w:rFonts w:hint="eastAsia" w:ascii="宋体" w:hAnsi="宋体" w:eastAsia="宋体" w:cs="宋体"/>
          <w:b w:val="0"/>
          <w:i w:val="0"/>
          <w:color w:val="000000"/>
          <w:sz w:val="24"/>
          <w:szCs w:val="24"/>
        </w:rPr>
        <w:t>。</w:t>
      </w:r>
    </w:p>
    <w:p w14:paraId="2BDEBC70">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lang w:val="en-US" w:eastAsia="zh-CN"/>
        </w:rPr>
        <w:t>3.</w:t>
      </w:r>
      <w:r>
        <w:rPr>
          <w:rFonts w:hint="eastAsia" w:ascii="宋体" w:hAnsi="宋体" w:eastAsia="宋体" w:cs="宋体"/>
          <w:b w:val="0"/>
          <w:i w:val="0"/>
          <w:color w:val="000000"/>
          <w:sz w:val="24"/>
          <w:szCs w:val="24"/>
        </w:rPr>
        <w:t>维保期为一年，所有维修材料 (200元以内) 由维保公司承担。</w:t>
      </w:r>
    </w:p>
    <w:p w14:paraId="21FCC762">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val="en-US" w:eastAsia="zh-CN"/>
        </w:rPr>
        <w:t>4.</w:t>
      </w:r>
      <w:r>
        <w:rPr>
          <w:rFonts w:hint="eastAsia" w:ascii="宋体" w:hAnsi="宋体" w:eastAsia="宋体" w:cs="宋体"/>
          <w:b w:val="0"/>
          <w:i w:val="0"/>
          <w:color w:val="000000"/>
          <w:sz w:val="24"/>
          <w:szCs w:val="24"/>
        </w:rPr>
        <w:t>完成</w:t>
      </w:r>
      <w:r>
        <w:rPr>
          <w:rFonts w:hint="eastAsia" w:ascii="宋体" w:hAnsi="宋体" w:eastAsia="宋体" w:cs="宋体"/>
          <w:b w:val="0"/>
          <w:i w:val="0"/>
          <w:color w:val="000000"/>
          <w:sz w:val="24"/>
          <w:szCs w:val="24"/>
          <w:lang w:val="en-US" w:eastAsia="zh-CN"/>
        </w:rPr>
        <w:t>物流系统档案</w:t>
      </w:r>
      <w:r>
        <w:rPr>
          <w:rFonts w:hint="eastAsia" w:ascii="宋体" w:hAnsi="宋体" w:eastAsia="宋体" w:cs="宋体"/>
          <w:b w:val="0"/>
          <w:i w:val="0"/>
          <w:color w:val="000000"/>
          <w:sz w:val="24"/>
          <w:szCs w:val="24"/>
        </w:rPr>
        <w:t>资料建设，</w:t>
      </w:r>
      <w:r>
        <w:rPr>
          <w:rFonts w:hint="eastAsia" w:ascii="宋体" w:hAnsi="宋体" w:eastAsia="宋体" w:cs="宋体"/>
          <w:b w:val="0"/>
          <w:i w:val="0"/>
          <w:color w:val="000000"/>
          <w:sz w:val="24"/>
          <w:szCs w:val="24"/>
          <w:lang w:val="en-US" w:eastAsia="zh-CN"/>
        </w:rPr>
        <w:t>按服务清单内的时间</w:t>
      </w:r>
      <w:r>
        <w:rPr>
          <w:rFonts w:hint="eastAsia" w:ascii="宋体" w:hAnsi="宋体" w:eastAsia="宋体" w:cs="宋体"/>
          <w:b w:val="0"/>
          <w:i w:val="0"/>
          <w:color w:val="000000"/>
          <w:sz w:val="24"/>
          <w:szCs w:val="24"/>
        </w:rPr>
        <w:t>对</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进行安全检查及安全维护，按规定填写维保纪录。</w:t>
      </w:r>
    </w:p>
    <w:p w14:paraId="02F2394C">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i w:val="0"/>
          <w:color w:val="000000"/>
          <w:sz w:val="24"/>
          <w:szCs w:val="24"/>
        </w:rPr>
        <w:t>二、维修材料说明</w:t>
      </w:r>
    </w:p>
    <w:p w14:paraId="7979A5BF">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乙方承诺甲方按“货比三家”的原则，提供市场参考报价，并同意甲方自行寻找供货商提供供货服务。</w:t>
      </w:r>
    </w:p>
    <w:p w14:paraId="0C2DBEBC">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i w:val="0"/>
          <w:color w:val="000000"/>
          <w:sz w:val="24"/>
          <w:szCs w:val="24"/>
        </w:rPr>
        <w:t>第四条 服务费用及支付方式</w:t>
      </w:r>
    </w:p>
    <w:p w14:paraId="19855B28">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2" w:firstLineChars="200"/>
        <w:jc w:val="both"/>
        <w:textAlignment w:val="baseline"/>
        <w:rPr>
          <w:rFonts w:hint="eastAsia" w:ascii="宋体" w:hAnsi="宋体" w:eastAsia="宋体" w:cs="宋体"/>
          <w:b/>
          <w:bCs/>
          <w:i w:val="0"/>
          <w:color w:val="000000"/>
          <w:sz w:val="24"/>
          <w:szCs w:val="24"/>
        </w:rPr>
      </w:pPr>
      <w:r>
        <w:rPr>
          <w:rFonts w:hint="eastAsia" w:ascii="宋体" w:hAnsi="宋体" w:eastAsia="宋体" w:cs="宋体"/>
          <w:b/>
          <w:bCs/>
          <w:i w:val="0"/>
          <w:color w:val="000000"/>
          <w:sz w:val="24"/>
          <w:szCs w:val="24"/>
        </w:rPr>
        <w:t>一、服务年限及费用：</w:t>
      </w:r>
    </w:p>
    <w:p w14:paraId="776BA5FA">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该项目服务期限为</w:t>
      </w:r>
      <w:r>
        <w:rPr>
          <w:rFonts w:hint="eastAsia" w:ascii="宋体" w:hAnsi="宋体" w:eastAsia="宋体" w:cs="宋体"/>
          <w:b w:val="0"/>
          <w:i w:val="0"/>
          <w:color w:val="000000"/>
          <w:sz w:val="24"/>
          <w:szCs w:val="24"/>
          <w:u w:val="single"/>
        </w:rPr>
        <w:t xml:space="preserve"> 1 </w:t>
      </w:r>
      <w:r>
        <w:rPr>
          <w:rFonts w:hint="eastAsia" w:ascii="宋体" w:hAnsi="宋体" w:eastAsia="宋体" w:cs="宋体"/>
          <w:b w:val="0"/>
          <w:i w:val="0"/>
          <w:color w:val="000000"/>
          <w:sz w:val="24"/>
          <w:szCs w:val="24"/>
        </w:rPr>
        <w:t>年，服务费用：(￥</w:t>
      </w:r>
      <w:r>
        <w:rPr>
          <w:rFonts w:hint="eastAsia" w:ascii="宋体" w:hAnsi="宋体" w:eastAsia="宋体" w:cs="宋体"/>
          <w:b w:val="0"/>
          <w:i w:val="0"/>
          <w:color w:val="000000"/>
          <w:sz w:val="24"/>
          <w:szCs w:val="24"/>
          <w:u w:val="single"/>
          <w:lang w:val="en-US" w:eastAsia="zh-CN"/>
        </w:rPr>
        <w:t xml:space="preserve">      </w:t>
      </w:r>
      <w:r>
        <w:rPr>
          <w:rFonts w:hint="eastAsia" w:ascii="宋体" w:hAnsi="宋体" w:eastAsia="宋体" w:cs="宋体"/>
          <w:b w:val="0"/>
          <w:i w:val="0"/>
          <w:color w:val="000000"/>
          <w:sz w:val="24"/>
          <w:szCs w:val="24"/>
        </w:rPr>
        <w:t>元整)，每月</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u w:val="single"/>
          <w:lang w:val="en-US" w:eastAsia="zh-CN"/>
        </w:rPr>
        <w:t xml:space="preserve">       </w:t>
      </w:r>
      <w:r>
        <w:rPr>
          <w:rFonts w:hint="eastAsia" w:ascii="宋体" w:hAnsi="宋体" w:eastAsia="宋体" w:cs="宋体"/>
          <w:b w:val="0"/>
          <w:i w:val="0"/>
          <w:color w:val="000000"/>
          <w:sz w:val="24"/>
          <w:szCs w:val="24"/>
        </w:rPr>
        <w:t>)。注：以上均为含税金额，办公用品及工具由乙方自理。</w:t>
      </w:r>
    </w:p>
    <w:p w14:paraId="6E18029B">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2" w:firstLineChars="200"/>
        <w:jc w:val="both"/>
        <w:textAlignment w:val="baseline"/>
        <w:rPr>
          <w:rFonts w:hint="eastAsia" w:ascii="宋体" w:hAnsi="宋体" w:eastAsia="宋体" w:cs="宋体"/>
          <w:sz w:val="24"/>
          <w:szCs w:val="24"/>
        </w:rPr>
      </w:pPr>
      <w:r>
        <w:rPr>
          <w:rFonts w:hint="eastAsia" w:ascii="宋体" w:hAnsi="宋体" w:eastAsia="宋体" w:cs="宋体"/>
          <w:b/>
          <w:i w:val="0"/>
          <w:color w:val="000000"/>
          <w:sz w:val="24"/>
          <w:szCs w:val="24"/>
        </w:rPr>
        <w:t>二、服务费支付方式：</w:t>
      </w:r>
    </w:p>
    <w:p w14:paraId="61657F06">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1.服务费用：该项目年服务费为人民币：</w:t>
      </w:r>
      <w:r>
        <w:rPr>
          <w:rFonts w:hint="eastAsia" w:ascii="宋体" w:hAnsi="宋体" w:eastAsia="宋体" w:cs="宋体"/>
          <w:b w:val="0"/>
          <w:i w:val="0"/>
          <w:color w:val="000000"/>
          <w:sz w:val="24"/>
          <w:szCs w:val="24"/>
          <w:u w:val="single"/>
          <w:lang w:val="en-US" w:eastAsia="zh-CN"/>
        </w:rPr>
        <w:t xml:space="preserve">    </w:t>
      </w:r>
      <w:r>
        <w:rPr>
          <w:rFonts w:hint="eastAsia" w:ascii="宋体" w:hAnsi="宋体" w:eastAsia="宋体" w:cs="宋体"/>
          <w:b w:val="0"/>
          <w:i w:val="0"/>
          <w:color w:val="000000"/>
          <w:sz w:val="24"/>
          <w:szCs w:val="24"/>
        </w:rPr>
        <w:t>元整/年，以上均为含税金额。</w:t>
      </w:r>
    </w:p>
    <w:p w14:paraId="514F8E84">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2.每月根据项目预算月维保服务费用为人民币</w:t>
      </w:r>
      <w:r>
        <w:rPr>
          <w:rFonts w:hint="eastAsia" w:ascii="宋体" w:hAnsi="宋体" w:eastAsia="宋体" w:cs="宋体"/>
          <w:b w:val="0"/>
          <w:i w:val="0"/>
          <w:color w:val="000000"/>
          <w:sz w:val="24"/>
          <w:szCs w:val="24"/>
          <w:u w:val="single"/>
          <w:lang w:val="en-US" w:eastAsia="zh-CN"/>
        </w:rPr>
        <w:t xml:space="preserve">    </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元。</w:t>
      </w:r>
    </w:p>
    <w:p w14:paraId="6159DBE3">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3.结算方式：甲方每月初支付上月服务费总额</w:t>
      </w:r>
      <w:r>
        <w:rPr>
          <w:rFonts w:hint="eastAsia" w:ascii="宋体" w:hAnsi="宋体" w:eastAsia="宋体" w:cs="宋体"/>
          <w:b w:val="0"/>
          <w:i w:val="0"/>
          <w:color w:val="000000"/>
          <w:sz w:val="24"/>
          <w:szCs w:val="24"/>
          <w:lang w:eastAsia="zh-CN"/>
        </w:rPr>
        <w:t>。</w:t>
      </w:r>
      <w:r>
        <w:rPr>
          <w:rFonts w:hint="eastAsia" w:ascii="宋体" w:hAnsi="宋体" w:eastAsia="宋体" w:cs="宋体"/>
          <w:b w:val="0"/>
          <w:i w:val="0"/>
          <w:color w:val="000000"/>
          <w:sz w:val="24"/>
          <w:szCs w:val="24"/>
        </w:rPr>
        <w:t>每月 10 日方开具上月含税合规发票，甲方转账支付。若乙方未能按时向甲方提供等额合规发票，甲方有权顺延付款期限，且不承担任何责任。</w:t>
      </w:r>
    </w:p>
    <w:p w14:paraId="08BA10C1">
      <w:pPr>
        <w:keepNext w:val="0"/>
        <w:keepLines w:val="0"/>
        <w:pageBreakBefore w:val="0"/>
        <w:widowControl w:val="0"/>
        <w:kinsoku/>
        <w:wordWrap w:val="0"/>
        <w:overflowPunct/>
        <w:topLinePunct w:val="0"/>
        <w:autoSpaceDE/>
        <w:autoSpaceDN/>
        <w:bidi w:val="0"/>
        <w:adjustRightInd/>
        <w:snapToGrid/>
        <w:spacing w:after="0" w:line="44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4.以上付款方式必须按照以下考核内容标准进行考核付款：</w:t>
      </w:r>
    </w:p>
    <w:p w14:paraId="7B963EB4">
      <w:pPr>
        <w:keepNext w:val="0"/>
        <w:keepLines w:val="0"/>
        <w:pageBreakBefore w:val="0"/>
        <w:widowControl w:val="0"/>
        <w:kinsoku/>
        <w:wordWrap w:val="0"/>
        <w:overflowPunct/>
        <w:topLinePunct w:val="0"/>
        <w:autoSpaceDE/>
        <w:autoSpaceDN/>
        <w:bidi w:val="0"/>
        <w:adjustRightInd/>
        <w:snapToGrid/>
        <w:spacing w:after="0" w:line="44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4.1社会化外包服务考核：按照《安康市中医医院服务外包单位满意度调查表》进行综合考核，并做好考核记录。《安康市中医医院服务外包单位满意度调查表》占据总考核评分 75%。(见附表一) 。</w:t>
      </w:r>
    </w:p>
    <w:p w14:paraId="663DED7E">
      <w:pPr>
        <w:keepNext w:val="0"/>
        <w:keepLines w:val="0"/>
        <w:pageBreakBefore w:val="0"/>
        <w:widowControl w:val="0"/>
        <w:kinsoku/>
        <w:wordWrap w:val="0"/>
        <w:overflowPunct/>
        <w:topLinePunct w:val="0"/>
        <w:autoSpaceDE/>
        <w:autoSpaceDN/>
        <w:bidi w:val="0"/>
        <w:adjustRightInd/>
        <w:snapToGrid/>
        <w:spacing w:after="0" w:line="44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4.2外包服务考核：按照《安康市中医医院外包服务考核表》进行综合考核，并做好考核记录。《安康市中医医院外包服务考核表》，占据总考核评分 25%(见附表二) 。</w:t>
      </w:r>
    </w:p>
    <w:p w14:paraId="3F034459">
      <w:pPr>
        <w:keepNext w:val="0"/>
        <w:keepLines w:val="0"/>
        <w:pageBreakBefore w:val="0"/>
        <w:widowControl w:val="0"/>
        <w:kinsoku/>
        <w:wordWrap w:val="0"/>
        <w:overflowPunct/>
        <w:topLinePunct w:val="0"/>
        <w:autoSpaceDE/>
        <w:autoSpaceDN/>
        <w:bidi w:val="0"/>
        <w:adjustRightInd/>
        <w:snapToGrid/>
        <w:spacing w:after="0" w:line="44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4.3满意度考核汇总标准：每月根据《服务外包单位满意度调查汇总表》打分，以百分制计算。</w:t>
      </w:r>
    </w:p>
    <w:p w14:paraId="5F18DB00">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i w:val="0"/>
          <w:color w:val="000000"/>
          <w:sz w:val="24"/>
          <w:szCs w:val="24"/>
        </w:rPr>
      </w:pPr>
      <w:r>
        <w:rPr>
          <w:rFonts w:hint="eastAsia" w:ascii="宋体" w:hAnsi="宋体" w:eastAsia="宋体" w:cs="宋体"/>
          <w:b w:val="0"/>
          <w:i w:val="0"/>
          <w:color w:val="000000"/>
          <w:sz w:val="24"/>
          <w:szCs w:val="24"/>
        </w:rPr>
        <w:t>4.4最终考核结果的等次划分为：总分低于85分为不合格，总分[85 分-90分)为合格，总分[90分-95分) 为良好，总分95分及以上为优秀。采购人对供应商服务工作进行检查考核，根据等次划分，考核结果低于85分为不合格。月考核结果低于85分时，每低1分采购人扣除当月服务费1%作为处罚。累计两个月考核不合格，采购人有权终止合同。(见附表三)</w:t>
      </w:r>
    </w:p>
    <w:p w14:paraId="136FE533">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2" w:firstLineChars="200"/>
        <w:jc w:val="both"/>
        <w:textAlignment w:val="baseline"/>
        <w:rPr>
          <w:rFonts w:hint="eastAsia" w:ascii="宋体" w:hAnsi="宋体" w:eastAsia="宋体" w:cs="宋体"/>
          <w:sz w:val="24"/>
          <w:szCs w:val="24"/>
        </w:rPr>
      </w:pPr>
      <w:r>
        <w:rPr>
          <w:rFonts w:hint="eastAsia" w:ascii="宋体" w:hAnsi="宋体" w:eastAsia="宋体" w:cs="宋体"/>
          <w:b/>
          <w:i w:val="0"/>
          <w:color w:val="000000"/>
          <w:sz w:val="24"/>
          <w:szCs w:val="24"/>
        </w:rPr>
        <w:t>第五条 知识产权</w:t>
      </w:r>
    </w:p>
    <w:p w14:paraId="305AB640">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乙方应保证所提供的服务或其任何一部分，均不会侵犯任何第三方的专利权、商标权或著作权，否则由此产生的全部损失由乙方承担。</w:t>
      </w:r>
    </w:p>
    <w:p w14:paraId="246ED439">
      <w:pPr>
        <w:keepNext w:val="0"/>
        <w:keepLines w:val="0"/>
        <w:pageBreakBefore w:val="0"/>
        <w:widowControl w:val="0"/>
        <w:numPr>
          <w:ilvl w:val="0"/>
          <w:numId w:val="0"/>
        </w:numPr>
        <w:kinsoku/>
        <w:wordWrap w:val="0"/>
        <w:overflowPunct/>
        <w:topLinePunct w:val="0"/>
        <w:autoSpaceDE/>
        <w:autoSpaceDN/>
        <w:bidi w:val="0"/>
        <w:adjustRightInd/>
        <w:snapToGrid/>
        <w:spacing w:after="0" w:line="440" w:lineRule="exact"/>
        <w:ind w:left="0" w:leftChars="0" w:right="0" w:rightChars="0" w:firstLine="482" w:firstLineChars="200"/>
        <w:jc w:val="both"/>
        <w:textAlignment w:val="baseline"/>
        <w:rPr>
          <w:rFonts w:hint="eastAsia" w:ascii="宋体" w:hAnsi="宋体" w:eastAsia="宋体" w:cs="宋体"/>
          <w:b/>
          <w:i w:val="0"/>
          <w:color w:val="000000"/>
          <w:sz w:val="24"/>
          <w:szCs w:val="24"/>
        </w:rPr>
      </w:pPr>
      <w:r>
        <w:rPr>
          <w:rFonts w:hint="eastAsia" w:ascii="宋体" w:hAnsi="宋体" w:eastAsia="宋体" w:cs="宋体"/>
          <w:b/>
          <w:i w:val="0"/>
          <w:color w:val="000000"/>
          <w:sz w:val="24"/>
          <w:szCs w:val="24"/>
        </w:rPr>
        <w:t>第六条</w:t>
      </w:r>
      <w:r>
        <w:rPr>
          <w:rFonts w:hint="eastAsia" w:ascii="宋体" w:hAnsi="宋体" w:eastAsia="宋体" w:cs="宋体"/>
          <w:b/>
          <w:i w:val="0"/>
          <w:color w:val="000000"/>
          <w:sz w:val="24"/>
          <w:szCs w:val="24"/>
          <w:lang w:val="en-US" w:eastAsia="zh-CN"/>
        </w:rPr>
        <w:t xml:space="preserve"> </w:t>
      </w:r>
      <w:r>
        <w:rPr>
          <w:rFonts w:hint="eastAsia" w:ascii="宋体" w:hAnsi="宋体" w:eastAsia="宋体" w:cs="宋体"/>
          <w:b/>
          <w:i w:val="0"/>
          <w:color w:val="000000"/>
          <w:sz w:val="24"/>
          <w:szCs w:val="24"/>
        </w:rPr>
        <w:t>无产权瑕疵条款</w:t>
      </w:r>
    </w:p>
    <w:p w14:paraId="295EFDAF">
      <w:pPr>
        <w:keepNext w:val="0"/>
        <w:keepLines w:val="0"/>
        <w:pageBreakBefore w:val="0"/>
        <w:widowControl w:val="0"/>
        <w:numPr>
          <w:ilvl w:val="0"/>
          <w:numId w:val="0"/>
        </w:numPr>
        <w:kinsoku/>
        <w:wordWrap w:val="0"/>
        <w:overflowPunct/>
        <w:topLinePunct w:val="0"/>
        <w:autoSpaceDE/>
        <w:autoSpaceDN/>
        <w:bidi w:val="0"/>
        <w:adjustRightInd/>
        <w:snapToGrid/>
        <w:spacing w:after="0" w:line="440" w:lineRule="exact"/>
        <w:ind w:left="0" w:leftChars="0" w:right="0" w:rightChars="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乙方保证所提供的服务的所有权完全属于乙方且无任何抵押、查封等产权瑕疵。如有产权瑕疵的，视为乙方违约。乙方应负担由此而产生的一切损失。</w:t>
      </w:r>
    </w:p>
    <w:p w14:paraId="22C4F5ED">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i w:val="0"/>
          <w:color w:val="000000"/>
          <w:sz w:val="24"/>
          <w:szCs w:val="24"/>
        </w:rPr>
        <w:t>第七条 甲方的权利和义务</w:t>
      </w:r>
    </w:p>
    <w:p w14:paraId="729C4421">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14:paraId="18FB5796">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2.甲方有权依据双方签订的考评办法对乙方提供的服务进行定期考评。当考评结果未达到标准时，有权依据考评办法约定的数额扣除履约质保金。</w:t>
      </w:r>
    </w:p>
    <w:p w14:paraId="4E7662FE">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3.负责检查监督乙方管理工作的实施及制度的执行情况。</w:t>
      </w:r>
    </w:p>
    <w:p w14:paraId="63E42EAF">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4.根据本合同规定，按时向乙方支付应付服务费用。</w:t>
      </w:r>
    </w:p>
    <w:p w14:paraId="2AF0226F">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5.国家法律、法规所规定由甲方承担的其它责任。</w:t>
      </w:r>
    </w:p>
    <w:p w14:paraId="04680E72">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6.有权监督乙方按照合同约定履行维护保养义务，如发现有违约情况，及时出具书面整改/处罚通知函件，并可对乙方维保提出建议。</w:t>
      </w:r>
    </w:p>
    <w:p w14:paraId="3F91E6AA">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7.有权要求乙方保障</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的正常运行。如乙方的维护保养达不到国家规定和该产品技术要求标准，甲方有权拒绝在维护保养记录上签字认可。</w:t>
      </w:r>
    </w:p>
    <w:p w14:paraId="4CC5F034">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8.甲方负责每月对</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故障进行统计，以月报形式提交乙方。</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发生故障时，及时通知乙方抢修，并详细记录相关工作的具体时间。</w:t>
      </w:r>
    </w:p>
    <w:p w14:paraId="6DEAA8BE">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9.负责配备</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安全管理人员，负责</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的日常安全管理：</w:t>
      </w:r>
    </w:p>
    <w:p w14:paraId="20EC70A5">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 负责</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的使用管理；</w:t>
      </w:r>
    </w:p>
    <w:p w14:paraId="3B4B8003">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 负责对乙方的维护保养记录/修理记录签字确认，资料完好保存等；</w:t>
      </w:r>
    </w:p>
    <w:p w14:paraId="27448749">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 负责对乙方提交的</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安全隐患提示单签字确认。</w:t>
      </w:r>
    </w:p>
    <w:p w14:paraId="0FA50B11">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10.除乙方无法解决的情况外，未经乙方书面许可不得允许非乙方人员从事与</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维护保养有关的工作。</w:t>
      </w:r>
    </w:p>
    <w:p w14:paraId="3D3AE087">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11.负责乙方提供维护保养所需的工作环境。</w:t>
      </w:r>
    </w:p>
    <w:p w14:paraId="0FA9E75F">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i w:val="0"/>
          <w:color w:val="000000"/>
          <w:sz w:val="24"/>
          <w:szCs w:val="24"/>
        </w:rPr>
        <w:t>第八条 乙方的权利和义务</w:t>
      </w:r>
    </w:p>
    <w:p w14:paraId="7B800CFD">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1.对本合同规定的委托服务范围内的项目享有管理权及服务义务。</w:t>
      </w:r>
    </w:p>
    <w:p w14:paraId="0B9339B3">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2.根据本合同的规定向甲方收取相关服务费用，并有权在本项目管理范围内管理及合理使用。</w:t>
      </w:r>
    </w:p>
    <w:p w14:paraId="6F96BD6C">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3.及时向甲方通告本项目服务范围内有关服务的重大事项，及时配合处理投诉。</w:t>
      </w:r>
    </w:p>
    <w:p w14:paraId="2ED1FEDE">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4.接受项目行业管理部门及政府有关部门的指导，接受甲方的监督。</w:t>
      </w:r>
    </w:p>
    <w:p w14:paraId="68071422">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5.国家法律、法规所规定由乙方承担的其它责任。</w:t>
      </w:r>
    </w:p>
    <w:p w14:paraId="62A3AE4B">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6.对所维护保养</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的安全运行负责，保障设备整机及零部件完整无损。严格遵守合同约定，严格按照附件一规定的内容提供服务。乙方不得以任何理由转包给第三者进行(包括个人) 维修保养，一经发现，视为违约，乙方应立即停止违约行为，并按照合同总价的20%支付违约金。</w:t>
      </w:r>
    </w:p>
    <w:p w14:paraId="43E3659D">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7.有权要求甲方提供维护保养所需的工作环境及相关资料。</w:t>
      </w:r>
    </w:p>
    <w:p w14:paraId="42545BD3">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8.提供本合同</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保养的全年维护保养计划和定期保养计划的具体实施时间表，并根据《</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保养年度作业计划表》所列的项目和周期进行检查、调整、润滑和清洁等保养工作。</w:t>
      </w:r>
    </w:p>
    <w:p w14:paraId="6AB8C05F">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9.发现安全隐患时，乙方应及时采取措施并立刻通知甲方。</w:t>
      </w:r>
    </w:p>
    <w:p w14:paraId="4DFA176F">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10.接到故障通知后，应当 30 分钟内</w:t>
      </w:r>
      <w:r>
        <w:rPr>
          <w:rFonts w:hint="eastAsia" w:ascii="宋体" w:hAnsi="宋体" w:eastAsia="宋体" w:cs="宋体"/>
          <w:b w:val="0"/>
          <w:i w:val="0"/>
          <w:color w:val="000000"/>
          <w:sz w:val="24"/>
          <w:szCs w:val="24"/>
          <w:lang w:val="en-US" w:eastAsia="zh-CN"/>
        </w:rPr>
        <w:t>有至少两名维保技术人员</w:t>
      </w:r>
      <w:r>
        <w:rPr>
          <w:rFonts w:hint="eastAsia" w:ascii="宋体" w:hAnsi="宋体" w:eastAsia="宋体" w:cs="宋体"/>
          <w:b w:val="0"/>
          <w:i w:val="0"/>
          <w:color w:val="000000"/>
          <w:sz w:val="24"/>
          <w:szCs w:val="24"/>
        </w:rPr>
        <w:t>赶赴现场进行处理。乙方若未在上诉期限内及时响应或处理，均视为违约，甲方有权委托其他单位或人员维修，因此所产生的费用及损失由乙方承担，甲方有权直接从应支付给乙方的任一款项中扣除。</w:t>
      </w:r>
    </w:p>
    <w:p w14:paraId="00E5F73F">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11.乙方根据甲方每月的故障统计记录提出书面故障分析报告，报告中应包含</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故障的整改措施和预防措施、有关</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使用管理的合理化建议。</w:t>
      </w:r>
    </w:p>
    <w:p w14:paraId="2A31B307">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12.如需要完成合同之外所需的重大维修项目时，乙方应及时将相关工程内容和报价提供给甲方审核批示。</w:t>
      </w:r>
    </w:p>
    <w:p w14:paraId="0952E29A">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13.发现或发生非保养责任故障、故障严重影响设备安全运行时，应及时书面通知甲方整改或停止使用该设备。</w:t>
      </w:r>
    </w:p>
    <w:p w14:paraId="7B7FF82B">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14.应使用原厂提供或经甲方认可的备品配件，以确保</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性能的正常及安全使用。否则，视为乙方使用不合格配件，乙方应立即更换，并按照原厂配件价格的 2 倍支付违约金，若因使用不合格配件造成其他损失的，乙方承担全部赔偿责任。</w:t>
      </w:r>
    </w:p>
    <w:p w14:paraId="0DA5D997">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15.在维修、保养过程中，必须符合国家技术及行业标准规范。保养过程中必须设置现场安全警示标识，提醒使用者。否则造成任何第三人或乙方工作人员自身伤亡事故的，乙方自行负责处理，与甲方无关，由此给甲方造成任何损失的，乙方负责赔偿。</w:t>
      </w:r>
    </w:p>
    <w:p w14:paraId="6EBEDC2F">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16.现场作业人员不得少于两人，且应当取得相应的《特种设备作业人员证》。保证上述资格/资质的真实、有效。如乙方的资格/资质到期，而乙方又未及时取得新的资格/资质，则本合同自动终止。</w:t>
      </w:r>
    </w:p>
    <w:p w14:paraId="71B6C5F9">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17.乙方每月 15 日以前按时提交保养计划给甲方，由集中管控中心负责监督计划落实，并对计划落实的准确性进行考核处罚，如果未上报保养计划则从维保费用中扣除当月</w:t>
      </w:r>
      <w:r>
        <w:rPr>
          <w:rFonts w:hint="eastAsia" w:ascii="宋体" w:hAnsi="宋体" w:eastAsia="宋体" w:cs="宋体"/>
          <w:b w:val="0"/>
          <w:i w:val="0"/>
          <w:color w:val="000000"/>
          <w:sz w:val="24"/>
          <w:szCs w:val="24"/>
          <w:lang w:val="en-US" w:eastAsia="zh-CN"/>
        </w:rPr>
        <w:t>物流系统维护</w:t>
      </w:r>
      <w:r>
        <w:rPr>
          <w:rFonts w:hint="eastAsia" w:ascii="宋体" w:hAnsi="宋体" w:eastAsia="宋体" w:cs="宋体"/>
          <w:b w:val="0"/>
          <w:i w:val="0"/>
          <w:color w:val="000000"/>
          <w:sz w:val="24"/>
          <w:szCs w:val="24"/>
        </w:rPr>
        <w:t>保养费。</w:t>
      </w:r>
    </w:p>
    <w:p w14:paraId="218C8B7D">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w:t>
      </w:r>
      <w:r>
        <w:rPr>
          <w:rFonts w:hint="eastAsia" w:ascii="宋体" w:hAnsi="宋体" w:eastAsia="宋体" w:cs="宋体"/>
          <w:b w:val="0"/>
          <w:i w:val="0"/>
          <w:color w:val="000000"/>
          <w:sz w:val="24"/>
          <w:szCs w:val="24"/>
          <w:lang w:val="en-US" w:eastAsia="zh-CN"/>
        </w:rPr>
        <w:t>8</w:t>
      </w:r>
      <w:r>
        <w:rPr>
          <w:rFonts w:hint="eastAsia" w:ascii="宋体" w:hAnsi="宋体" w:eastAsia="宋体" w:cs="宋体"/>
          <w:b w:val="0"/>
          <w:i w:val="0"/>
          <w:color w:val="000000"/>
          <w:sz w:val="24"/>
          <w:szCs w:val="24"/>
        </w:rPr>
        <w:t>.由乙方提报的损坏配件，甲方有权送检验部门检测，经检验部门测定为可正常使用或人为设置的故障，检验费由乙方承担，且乙方向甲方支付的违约金数额为相关配件的价格 2 倍。</w:t>
      </w:r>
    </w:p>
    <w:p w14:paraId="66AAD17B">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lang w:val="en-US" w:eastAsia="zh-CN"/>
        </w:rPr>
        <w:t>19</w:t>
      </w:r>
      <w:r>
        <w:rPr>
          <w:rFonts w:hint="eastAsia" w:ascii="宋体" w:hAnsi="宋体" w:eastAsia="宋体" w:cs="宋体"/>
          <w:b w:val="0"/>
          <w:i w:val="0"/>
          <w:color w:val="000000"/>
          <w:sz w:val="24"/>
          <w:szCs w:val="24"/>
        </w:rPr>
        <w:t>.在履行合同过程中，如因乙方保养不当导致的责任损失由乙方负责，如因甲方管理使用不当而导致的责任损失由甲方负责。</w:t>
      </w:r>
    </w:p>
    <w:p w14:paraId="6173520E">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lang w:val="en-US" w:eastAsia="zh-CN"/>
        </w:rPr>
        <w:t>20</w:t>
      </w:r>
      <w:r>
        <w:rPr>
          <w:rFonts w:hint="eastAsia" w:ascii="宋体" w:hAnsi="宋体" w:eastAsia="宋体" w:cs="宋体"/>
          <w:b w:val="0"/>
          <w:i w:val="0"/>
          <w:color w:val="000000"/>
          <w:sz w:val="24"/>
          <w:szCs w:val="24"/>
        </w:rPr>
        <w:t>.甲方不接受乙方的维修建议，导致</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不能正常运行或不能安全运行的，乙方可单方面解除合同而无须退还已付费用，且无须支付违约金。</w:t>
      </w:r>
    </w:p>
    <w:p w14:paraId="5390FC82">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i w:val="0"/>
          <w:color w:val="000000"/>
          <w:sz w:val="24"/>
          <w:szCs w:val="24"/>
        </w:rPr>
        <w:t>第九条 违约责任</w:t>
      </w:r>
    </w:p>
    <w:p w14:paraId="534BAEA9">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1.甲乙双方必须遵守本合同并执行合同中的各项规定，保证本合同的正常履行。</w:t>
      </w:r>
    </w:p>
    <w:p w14:paraId="426790EB">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如因乙方工作人员在履行职务过程中的的疏忽、失职、过错等故意或者过失原因给甲方及第三人造成损失或侵害，包括但不限于甲方本身的财产损失、由此而导致的甲方对任何第三方的法律责任等，乙方对此均应承担全部的赔偿责任。</w:t>
      </w:r>
    </w:p>
    <w:p w14:paraId="651A98C8">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i w:val="0"/>
          <w:color w:val="000000"/>
          <w:sz w:val="24"/>
          <w:szCs w:val="24"/>
        </w:rPr>
        <w:t>第十条 不可抗力事件处理</w:t>
      </w:r>
    </w:p>
    <w:p w14:paraId="1595329D">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1.在合同有效期内，任何一方因不可抗力事件导致不能履行合同，则合同履行期可延长，其延长期与不可抗力影响期相同。</w:t>
      </w:r>
    </w:p>
    <w:p w14:paraId="1D9B664A">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2.不可抗力事件发生后，应立即通知对方，并寄送有关权威机构出具的证明。</w:t>
      </w:r>
    </w:p>
    <w:p w14:paraId="45C3EB71">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3.不可抗力事件延续七天以上，双方应通过友好协商，确定是否继续履行合同。</w:t>
      </w:r>
      <w:r>
        <w:rPr>
          <w:rFonts w:hint="eastAsia" w:ascii="宋体" w:hAnsi="宋体" w:eastAsia="宋体" w:cs="宋体"/>
          <w:sz w:val="24"/>
          <w:szCs w:val="24"/>
        </w:rPr>
        <w:drawing>
          <wp:anchor distT="0" distB="0" distL="0" distR="0" simplePos="0" relativeHeight="251666432" behindDoc="1" locked="0" layoutInCell="1" allowOverlap="1">
            <wp:simplePos x="0" y="0"/>
            <wp:positionH relativeFrom="page">
              <wp:posOffset>4445000</wp:posOffset>
            </wp:positionH>
            <wp:positionV relativeFrom="paragraph">
              <wp:posOffset>-736600</wp:posOffset>
            </wp:positionV>
            <wp:extent cx="1244600" cy="1244600"/>
            <wp:effectExtent l="0" t="0" r="0" b="0"/>
            <wp:wrapNone/>
            <wp:docPr id="20" name="Draw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awing 20"/>
                    <pic:cNvPicPr>
                      <a:picLocks noChangeAspect="1"/>
                    </pic:cNvPicPr>
                  </pic:nvPicPr>
                  <pic:blipFill>
                    <a:blip r:embed="rId27"/>
                    <a:stretch>
                      <a:fillRect/>
                    </a:stretch>
                  </pic:blipFill>
                  <pic:spPr>
                    <a:xfrm>
                      <a:off x="0" y="0"/>
                      <a:ext cx="1244600" cy="1244600"/>
                    </a:xfrm>
                    <a:prstGeom prst="rect">
                      <a:avLst/>
                    </a:prstGeom>
                  </pic:spPr>
                </pic:pic>
              </a:graphicData>
            </a:graphic>
          </wp:anchor>
        </w:drawing>
      </w:r>
    </w:p>
    <w:p w14:paraId="154FA8DF">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i w:val="0"/>
          <w:color w:val="000000"/>
          <w:sz w:val="24"/>
          <w:szCs w:val="24"/>
        </w:rPr>
        <w:t>第十一条 解决合同纠纷的方式</w:t>
      </w:r>
    </w:p>
    <w:p w14:paraId="7A18177F">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本合同中发生的或与本合同有关的争端，双方应通过友好协商解决，经协商在七天内 不能达成协议时，应提交甲方所在地人民法院诉讼解决。</w:t>
      </w:r>
    </w:p>
    <w:p w14:paraId="7CBE7674">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i w:val="0"/>
          <w:color w:val="000000"/>
          <w:sz w:val="24"/>
          <w:szCs w:val="24"/>
        </w:rPr>
        <w:t>第十二条 其他约定</w:t>
      </w:r>
    </w:p>
    <w:p w14:paraId="339DAA5E">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1.甲方要求乙方提供本合同约定以外的增值服务的，双方均应当以书面形式另行约定。</w:t>
      </w:r>
    </w:p>
    <w:p w14:paraId="472DF6BB">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2.维护保养记录是记载</w:t>
      </w:r>
      <w:r>
        <w:rPr>
          <w:rFonts w:hint="eastAsia" w:ascii="宋体" w:hAnsi="宋体" w:eastAsia="宋体" w:cs="宋体"/>
          <w:b w:val="0"/>
          <w:i w:val="0"/>
          <w:color w:val="000000"/>
          <w:sz w:val="24"/>
          <w:szCs w:val="24"/>
          <w:lang w:val="en-US" w:eastAsia="zh-CN"/>
        </w:rPr>
        <w:t>物流系统</w:t>
      </w:r>
      <w:r>
        <w:rPr>
          <w:rFonts w:hint="eastAsia" w:ascii="宋体" w:hAnsi="宋体" w:eastAsia="宋体" w:cs="宋体"/>
          <w:b w:val="0"/>
          <w:i w:val="0"/>
          <w:color w:val="000000"/>
          <w:sz w:val="24"/>
          <w:szCs w:val="24"/>
        </w:rPr>
        <w:t>运行、维护、保养的依据。</w:t>
      </w:r>
    </w:p>
    <w:p w14:paraId="2482281B">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3.维护保养记录应当一式两份，甲乙双方各保存一份，保存时间为 4 年。普通维修、重大维修、改造协议与抢修记录均应当与维护保养记录一并保存。</w:t>
      </w:r>
    </w:p>
    <w:p w14:paraId="19DA2A52">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4.合同期内，甲方如因业务调整，可在提前一个月书面知会乙方的情况下，提前终止本协议，双方互不承担相关责任。知会方式包括但不限于以下方式：</w:t>
      </w:r>
    </w:p>
    <w:p w14:paraId="770FBBFF">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 甲方以特快或挂号信形式将通知寄出(地址以乙方在本协议中列明的地址为准。如乙方地址变更，须书面通知甲方，否则不影响甲方向本协议列明地址发送通知的有效性) ；</w:t>
      </w:r>
    </w:p>
    <w:p w14:paraId="482F263E">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 乙方签收该通知；</w:t>
      </w:r>
    </w:p>
    <w:p w14:paraId="4BA65FCC">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 乙方任一现场工作人员签收该通知。</w:t>
      </w:r>
    </w:p>
    <w:p w14:paraId="335FECCA">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2" w:firstLineChars="200"/>
        <w:jc w:val="both"/>
        <w:textAlignment w:val="baseline"/>
        <w:rPr>
          <w:rFonts w:hint="eastAsia" w:ascii="宋体" w:hAnsi="宋体" w:eastAsia="宋体" w:cs="宋体"/>
          <w:sz w:val="24"/>
          <w:szCs w:val="24"/>
        </w:rPr>
      </w:pPr>
      <w:r>
        <w:rPr>
          <w:rFonts w:hint="eastAsia" w:ascii="宋体" w:hAnsi="宋体" w:eastAsia="宋体" w:cs="宋体"/>
          <w:b/>
          <w:i w:val="0"/>
          <w:color w:val="000000"/>
          <w:sz w:val="24"/>
          <w:szCs w:val="24"/>
        </w:rPr>
        <w:t>第十三条 合同生效及其他</w:t>
      </w:r>
    </w:p>
    <w:p w14:paraId="4A015574">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1.合同经双方法定代表人或授权委托代理人签字并加盖单位公章后生效。</w:t>
      </w:r>
    </w:p>
    <w:p w14:paraId="7BFBD2F6">
      <w:pPr>
        <w:keepNext w:val="0"/>
        <w:keepLines w:val="0"/>
        <w:pageBreakBefore w:val="0"/>
        <w:widowControl w:val="0"/>
        <w:kinsoku/>
        <w:wordWrap w:val="0"/>
        <w:overflowPunct/>
        <w:topLinePunct w:val="0"/>
        <w:autoSpaceDE/>
        <w:autoSpaceDN/>
        <w:bidi w:val="0"/>
        <w:adjustRightInd/>
        <w:snapToGrid/>
        <w:spacing w:after="0" w:line="440" w:lineRule="exact"/>
        <w:ind w:left="0" w:leftChars="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2.合同执行中涉及采购资金和采购内容修改或补充的，须经政府采购监管部门审批，并签书面补充协议报政府采购监督管理部门备案，方可作为主合同不可分割的一部分。</w:t>
      </w:r>
    </w:p>
    <w:p w14:paraId="092708C8">
      <w:pPr>
        <w:keepNext w:val="0"/>
        <w:keepLines w:val="0"/>
        <w:pageBreakBefore w:val="0"/>
        <w:widowControl w:val="0"/>
        <w:kinsoku/>
        <w:overflowPunct/>
        <w:topLinePunct w:val="0"/>
        <w:autoSpaceDE/>
        <w:autoSpaceDN/>
        <w:bidi w:val="0"/>
        <w:adjustRightInd w:val="0"/>
        <w:snapToGrid w:val="0"/>
        <w:spacing w:line="480" w:lineRule="exact"/>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b w:val="0"/>
          <w:i w:val="0"/>
          <w:color w:val="000000"/>
          <w:sz w:val="24"/>
          <w:szCs w:val="24"/>
        </w:rPr>
        <w:t>3.本合同一式</w:t>
      </w:r>
      <w:r>
        <w:rPr>
          <w:rFonts w:hint="eastAsia" w:ascii="宋体" w:hAnsi="宋体" w:eastAsia="宋体" w:cs="宋体"/>
          <w:b w:val="0"/>
          <w:i w:val="0"/>
          <w:color w:val="000000"/>
          <w:sz w:val="24"/>
          <w:szCs w:val="24"/>
          <w:u w:val="single"/>
          <w:lang w:val="en-US" w:eastAsia="zh-CN"/>
        </w:rPr>
        <w:t xml:space="preserve">  </w:t>
      </w:r>
      <w:r>
        <w:rPr>
          <w:rFonts w:hint="eastAsia" w:ascii="宋体" w:hAnsi="宋体" w:eastAsia="宋体" w:cs="宋体"/>
          <w:b w:val="0"/>
          <w:i w:val="0"/>
          <w:color w:val="000000"/>
          <w:sz w:val="24"/>
          <w:szCs w:val="24"/>
        </w:rPr>
        <w:t>份，甲方执</w:t>
      </w:r>
      <w:r>
        <w:rPr>
          <w:rFonts w:hint="eastAsia" w:ascii="宋体" w:hAnsi="宋体" w:eastAsia="宋体" w:cs="宋体"/>
          <w:b w:val="0"/>
          <w:i w:val="0"/>
          <w:color w:val="000000"/>
          <w:sz w:val="24"/>
          <w:szCs w:val="24"/>
          <w:u w:val="single"/>
          <w:lang w:val="en-US" w:eastAsia="zh-CN"/>
        </w:rPr>
        <w:t xml:space="preserve">  </w:t>
      </w:r>
      <w:r>
        <w:rPr>
          <w:rFonts w:hint="eastAsia" w:ascii="宋体" w:hAnsi="宋体" w:eastAsia="宋体" w:cs="宋体"/>
          <w:b w:val="0"/>
          <w:i w:val="0"/>
          <w:color w:val="000000"/>
          <w:sz w:val="24"/>
          <w:szCs w:val="24"/>
        </w:rPr>
        <w:t>份。乙方、鉴证方各执</w:t>
      </w:r>
      <w:r>
        <w:rPr>
          <w:rFonts w:hint="eastAsia" w:ascii="宋体" w:hAnsi="宋体" w:eastAsia="宋体" w:cs="宋体"/>
          <w:b w:val="0"/>
          <w:i w:val="0"/>
          <w:color w:val="000000"/>
          <w:sz w:val="24"/>
          <w:szCs w:val="24"/>
          <w:u w:val="single"/>
          <w:lang w:val="en-US" w:eastAsia="zh-CN"/>
        </w:rPr>
        <w:t xml:space="preserve">  </w:t>
      </w:r>
      <w:r>
        <w:rPr>
          <w:rFonts w:hint="eastAsia" w:ascii="宋体" w:hAnsi="宋体" w:eastAsia="宋体" w:cs="宋体"/>
          <w:b w:val="0"/>
          <w:i w:val="0"/>
          <w:color w:val="000000"/>
          <w:sz w:val="24"/>
          <w:szCs w:val="24"/>
        </w:rPr>
        <w:t>份，本合同甲、 乙、鉴证方签字盖章后生效。</w:t>
      </w:r>
    </w:p>
    <w:p w14:paraId="5F93DFC7">
      <w:pPr>
        <w:adjustRightInd w:val="0"/>
        <w:snapToGrid w:val="0"/>
        <w:spacing w:line="480" w:lineRule="exact"/>
        <w:ind w:firstLine="480" w:firstLineChars="200"/>
        <w:rPr>
          <w:rFonts w:hint="eastAsia" w:ascii="宋体" w:hAnsi="宋体" w:eastAsia="宋体" w:cs="宋体"/>
          <w:color w:val="auto"/>
          <w:kern w:val="2"/>
          <w:sz w:val="24"/>
          <w:szCs w:val="24"/>
          <w:lang w:val="en-US" w:eastAsia="zh-CN" w:bidi="ar-SA"/>
        </w:rPr>
      </w:pPr>
    </w:p>
    <w:p w14:paraId="36A0FE56">
      <w:pPr>
        <w:keepNext w:val="0"/>
        <w:keepLines w:val="0"/>
        <w:pageBreakBefore w:val="0"/>
        <w:widowControl w:val="0"/>
        <w:kinsoku/>
        <w:wordWrap w:val="0"/>
        <w:overflowPunct/>
        <w:topLinePunct w:val="0"/>
        <w:autoSpaceDE/>
        <w:autoSpaceDN/>
        <w:bidi w:val="0"/>
        <w:spacing w:after="0" w:line="50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甲方：             (签章)               </w:t>
      </w:r>
      <w:r>
        <w:rPr>
          <w:rFonts w:hint="eastAsia" w:ascii="宋体" w:hAnsi="宋体" w:eastAsia="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rPr>
        <w:t>乙方：           (签章)</w:t>
      </w:r>
    </w:p>
    <w:p w14:paraId="6E355CFA">
      <w:pPr>
        <w:keepNext w:val="0"/>
        <w:keepLines w:val="0"/>
        <w:pageBreakBefore w:val="0"/>
        <w:widowControl w:val="0"/>
        <w:kinsoku/>
        <w:wordWrap w:val="0"/>
        <w:overflowPunct/>
        <w:topLinePunct w:val="0"/>
        <w:autoSpaceDE/>
        <w:autoSpaceDN/>
        <w:bidi w:val="0"/>
        <w:spacing w:after="0" w:line="50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法人代表</w:t>
      </w:r>
      <w:r>
        <w:rPr>
          <w:rFonts w:hint="eastAsia" w:ascii="宋体" w:hAnsi="宋体" w:eastAsia="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rPr>
        <w:t>法人代表：</w:t>
      </w:r>
    </w:p>
    <w:p w14:paraId="0575E279">
      <w:pPr>
        <w:keepNext w:val="0"/>
        <w:keepLines w:val="0"/>
        <w:pageBreakBefore w:val="0"/>
        <w:widowControl w:val="0"/>
        <w:kinsoku/>
        <w:wordWrap w:val="0"/>
        <w:overflowPunct/>
        <w:topLinePunct w:val="0"/>
        <w:autoSpaceDE/>
        <w:autoSpaceDN/>
        <w:bidi w:val="0"/>
        <w:spacing w:after="0" w:line="50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授权代表人：  </w:t>
      </w:r>
      <w:r>
        <w:rPr>
          <w:rFonts w:hint="eastAsia" w:ascii="宋体" w:hAnsi="宋体" w:eastAsia="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rPr>
        <w:t>授权代表人：</w:t>
      </w:r>
    </w:p>
    <w:p w14:paraId="15E58310">
      <w:pPr>
        <w:keepNext w:val="0"/>
        <w:keepLines w:val="0"/>
        <w:pageBreakBefore w:val="0"/>
        <w:widowControl w:val="0"/>
        <w:kinsoku/>
        <w:wordWrap w:val="0"/>
        <w:overflowPunct/>
        <w:topLinePunct w:val="0"/>
        <w:autoSpaceDE/>
        <w:autoSpaceDN/>
        <w:bidi w:val="0"/>
        <w:spacing w:after="0" w:line="500" w:lineRule="exact"/>
        <w:ind w:left="0" w:right="0"/>
        <w:jc w:val="both"/>
        <w:textAlignment w:val="baseline"/>
        <w:rPr>
          <w:sz w:val="30"/>
        </w:rPr>
      </w:pPr>
    </w:p>
    <w:p w14:paraId="14B22B91">
      <w:pPr>
        <w:keepNext w:val="0"/>
        <w:keepLines w:val="0"/>
        <w:pageBreakBefore w:val="0"/>
        <w:widowControl w:val="0"/>
        <w:kinsoku/>
        <w:overflowPunct/>
        <w:topLinePunct w:val="0"/>
        <w:autoSpaceDE/>
        <w:autoSpaceDN/>
        <w:bidi w:val="0"/>
        <w:adjustRightInd w:val="0"/>
        <w:snapToGrid w:val="0"/>
        <w:spacing w:line="500" w:lineRule="exact"/>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签订时间：</w:t>
      </w:r>
      <w:r>
        <w:rPr>
          <w:rFonts w:hint="eastAsia" w:asciiTheme="minorEastAsia" w:hAnsiTheme="minorEastAsia" w:eastAsiaTheme="minorEastAsia" w:cstheme="minorEastAsia"/>
          <w:b w:val="0"/>
          <w:i w:val="0"/>
          <w:color w:val="000000"/>
          <w:sz w:val="24"/>
          <w:szCs w:val="24"/>
          <w:lang w:val="en-US" w:eastAsia="zh-CN"/>
        </w:rPr>
        <w:t xml:space="preserve">    </w:t>
      </w:r>
      <w:r>
        <w:rPr>
          <w:rFonts w:hint="eastAsia" w:asciiTheme="minorEastAsia" w:hAnsiTheme="minorEastAsia" w:eastAsiaTheme="minorEastAsia" w:cstheme="minorEastAsia"/>
          <w:b w:val="0"/>
          <w:i w:val="0"/>
          <w:color w:val="000000"/>
          <w:sz w:val="24"/>
          <w:szCs w:val="24"/>
        </w:rPr>
        <w:t>年</w:t>
      </w:r>
      <w:r>
        <w:rPr>
          <w:rFonts w:hint="eastAsia" w:asciiTheme="minorEastAsia" w:hAnsiTheme="minorEastAsia" w:eastAsiaTheme="minorEastAsia" w:cstheme="minorEastAsia"/>
          <w:b w:val="0"/>
          <w:i w:val="0"/>
          <w:color w:val="000000"/>
          <w:sz w:val="24"/>
          <w:szCs w:val="24"/>
          <w:lang w:val="en-US" w:eastAsia="zh-CN"/>
        </w:rPr>
        <w:t xml:space="preserve">  </w:t>
      </w:r>
      <w:r>
        <w:rPr>
          <w:rFonts w:hint="eastAsia" w:asciiTheme="minorEastAsia" w:hAnsiTheme="minorEastAsia" w:cstheme="minorEastAsia"/>
          <w:b w:val="0"/>
          <w:i w:val="0"/>
          <w:color w:val="000000"/>
          <w:sz w:val="24"/>
          <w:szCs w:val="24"/>
          <w:lang w:val="en-US" w:eastAsia="zh-CN"/>
        </w:rPr>
        <w:t xml:space="preserve"> </w:t>
      </w:r>
      <w:r>
        <w:rPr>
          <w:rFonts w:hint="eastAsia" w:asciiTheme="minorEastAsia" w:hAnsiTheme="minorEastAsia" w:eastAsiaTheme="minorEastAsia" w:cstheme="minorEastAsia"/>
          <w:b w:val="0"/>
          <w:i w:val="0"/>
          <w:color w:val="000000"/>
          <w:sz w:val="24"/>
          <w:szCs w:val="24"/>
        </w:rPr>
        <w:t>月</w:t>
      </w:r>
      <w:r>
        <w:rPr>
          <w:rFonts w:hint="eastAsia" w:asciiTheme="minorEastAsia" w:hAnsiTheme="minorEastAsia" w:eastAsiaTheme="minorEastAsia" w:cstheme="minorEastAsia"/>
          <w:b w:val="0"/>
          <w:i w:val="0"/>
          <w:color w:val="000000"/>
          <w:sz w:val="24"/>
          <w:szCs w:val="24"/>
          <w:lang w:val="en-US" w:eastAsia="zh-CN"/>
        </w:rPr>
        <w:t xml:space="preserve"> </w:t>
      </w:r>
      <w:r>
        <w:rPr>
          <w:rFonts w:hint="eastAsia" w:asciiTheme="minorEastAsia" w:hAnsiTheme="minorEastAsia" w:cstheme="minorEastAsia"/>
          <w:b w:val="0"/>
          <w:i w:val="0"/>
          <w:color w:val="000000"/>
          <w:sz w:val="24"/>
          <w:szCs w:val="24"/>
          <w:lang w:val="en-US" w:eastAsia="zh-CN"/>
        </w:rPr>
        <w:t xml:space="preserve"> </w:t>
      </w:r>
      <w:r>
        <w:rPr>
          <w:rFonts w:hint="eastAsia" w:asciiTheme="minorEastAsia" w:hAnsiTheme="minorEastAsia" w:eastAsiaTheme="minorEastAsia" w:cstheme="minorEastAsia"/>
          <w:b w:val="0"/>
          <w:i w:val="0"/>
          <w:color w:val="000000"/>
          <w:sz w:val="24"/>
          <w:szCs w:val="24"/>
          <w:lang w:val="en-US" w:eastAsia="zh-CN"/>
        </w:rPr>
        <w:t xml:space="preserve"> </w:t>
      </w:r>
      <w:r>
        <w:rPr>
          <w:rFonts w:hint="eastAsia" w:asciiTheme="minorEastAsia" w:hAnsiTheme="minorEastAsia" w:eastAsiaTheme="minorEastAsia" w:cstheme="minorEastAsia"/>
          <w:b w:val="0"/>
          <w:i w:val="0"/>
          <w:color w:val="000000"/>
          <w:sz w:val="24"/>
          <w:szCs w:val="24"/>
        </w:rPr>
        <w:t xml:space="preserve">日 </w:t>
      </w:r>
      <w:r>
        <w:rPr>
          <w:rFonts w:hint="eastAsia" w:asciiTheme="minorEastAsia" w:hAnsiTheme="minorEastAsia" w:cstheme="minorEastAsia"/>
          <w:b w:val="0"/>
          <w:i w:val="0"/>
          <w:color w:val="000000"/>
          <w:sz w:val="24"/>
          <w:szCs w:val="24"/>
          <w:lang w:val="en-US" w:eastAsia="zh-CN"/>
        </w:rPr>
        <w:t xml:space="preserve">               </w:t>
      </w:r>
      <w:r>
        <w:rPr>
          <w:rFonts w:hint="eastAsia" w:asciiTheme="minorEastAsia" w:hAnsiTheme="minorEastAsia" w:eastAsiaTheme="minorEastAsia" w:cstheme="minorEastAsia"/>
          <w:b w:val="0"/>
          <w:i w:val="0"/>
          <w:color w:val="000000"/>
          <w:sz w:val="24"/>
          <w:szCs w:val="24"/>
        </w:rPr>
        <w:t>签订时间：</w:t>
      </w:r>
      <w:r>
        <w:rPr>
          <w:rFonts w:hint="eastAsia" w:asciiTheme="minorEastAsia" w:hAnsiTheme="minorEastAsia" w:eastAsiaTheme="minorEastAsia" w:cstheme="minorEastAsia"/>
          <w:b w:val="0"/>
          <w:i w:val="0"/>
          <w:color w:val="000000"/>
          <w:sz w:val="24"/>
          <w:szCs w:val="24"/>
          <w:lang w:val="en-US" w:eastAsia="zh-CN"/>
        </w:rPr>
        <w:t xml:space="preserve">    </w:t>
      </w:r>
      <w:r>
        <w:rPr>
          <w:rFonts w:hint="eastAsia" w:asciiTheme="minorEastAsia" w:hAnsiTheme="minorEastAsia" w:eastAsiaTheme="minorEastAsia" w:cstheme="minorEastAsia"/>
          <w:b w:val="0"/>
          <w:i w:val="0"/>
          <w:color w:val="000000"/>
          <w:sz w:val="24"/>
          <w:szCs w:val="24"/>
        </w:rPr>
        <w:t>年</w:t>
      </w:r>
      <w:r>
        <w:rPr>
          <w:rFonts w:hint="eastAsia" w:asciiTheme="minorEastAsia" w:hAnsiTheme="minorEastAsia" w:eastAsiaTheme="minorEastAsia" w:cstheme="minorEastAsia"/>
          <w:b w:val="0"/>
          <w:i w:val="0"/>
          <w:color w:val="000000"/>
          <w:sz w:val="24"/>
          <w:szCs w:val="24"/>
          <w:lang w:val="en-US" w:eastAsia="zh-CN"/>
        </w:rPr>
        <w:t xml:space="preserve">  </w:t>
      </w:r>
      <w:r>
        <w:rPr>
          <w:rFonts w:hint="eastAsia" w:asciiTheme="minorEastAsia" w:hAnsiTheme="minorEastAsia" w:cstheme="minorEastAsia"/>
          <w:b w:val="0"/>
          <w:i w:val="0"/>
          <w:color w:val="000000"/>
          <w:sz w:val="24"/>
          <w:szCs w:val="24"/>
          <w:lang w:val="en-US" w:eastAsia="zh-CN"/>
        </w:rPr>
        <w:t xml:space="preserve"> </w:t>
      </w:r>
      <w:r>
        <w:rPr>
          <w:rFonts w:hint="eastAsia" w:asciiTheme="minorEastAsia" w:hAnsiTheme="minorEastAsia" w:eastAsiaTheme="minorEastAsia" w:cstheme="minorEastAsia"/>
          <w:b w:val="0"/>
          <w:i w:val="0"/>
          <w:color w:val="000000"/>
          <w:sz w:val="24"/>
          <w:szCs w:val="24"/>
        </w:rPr>
        <w:t>月</w:t>
      </w:r>
      <w:r>
        <w:rPr>
          <w:rFonts w:hint="eastAsia" w:asciiTheme="minorEastAsia" w:hAnsiTheme="minorEastAsia" w:cstheme="minorEastAsia"/>
          <w:b w:val="0"/>
          <w:i w:val="0"/>
          <w:color w:val="000000"/>
          <w:sz w:val="24"/>
          <w:szCs w:val="24"/>
          <w:lang w:val="en-US" w:eastAsia="zh-CN"/>
        </w:rPr>
        <w:t xml:space="preserve">   </w:t>
      </w:r>
      <w:r>
        <w:rPr>
          <w:rFonts w:hint="eastAsia" w:asciiTheme="minorEastAsia" w:hAnsiTheme="minorEastAsia" w:eastAsiaTheme="minorEastAsia" w:cstheme="minorEastAsia"/>
          <w:b w:val="0"/>
          <w:i w:val="0"/>
          <w:color w:val="000000"/>
          <w:sz w:val="24"/>
          <w:szCs w:val="24"/>
        </w:rPr>
        <w:t>日</w:t>
      </w:r>
    </w:p>
    <w:p w14:paraId="50029A9F">
      <w:pPr>
        <w:adjustRightInd w:val="0"/>
        <w:snapToGrid w:val="0"/>
        <w:spacing w:line="480" w:lineRule="exact"/>
        <w:ind w:firstLine="480" w:firstLineChars="200"/>
        <w:rPr>
          <w:rFonts w:hint="eastAsia" w:asciiTheme="minorEastAsia" w:hAnsiTheme="minorEastAsia" w:eastAsiaTheme="minorEastAsia" w:cstheme="minorEastAsia"/>
          <w:b w:val="0"/>
          <w:i w:val="0"/>
          <w:color w:val="000000"/>
          <w:sz w:val="24"/>
          <w:szCs w:val="24"/>
          <w:lang w:val="en-US" w:eastAsia="zh-CN"/>
        </w:rPr>
      </w:pPr>
    </w:p>
    <w:p w14:paraId="7501C90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center"/>
        <w:textAlignment w:val="auto"/>
        <w:outlineLvl w:val="0"/>
        <w:rPr>
          <w:rFonts w:hint="default" w:eastAsia="宋体"/>
          <w:color w:val="auto"/>
          <w:sz w:val="32"/>
          <w:szCs w:val="32"/>
          <w:lang w:val="en-US" w:eastAsia="zh-CN"/>
        </w:rPr>
      </w:pPr>
      <w:bookmarkStart w:id="151" w:name="_Toc6574"/>
      <w:r>
        <w:rPr>
          <w:rFonts w:hint="eastAsia" w:ascii="宋体" w:hAnsi="宋体" w:eastAsia="宋体" w:cs="宋体"/>
          <w:color w:val="auto"/>
          <w:kern w:val="2"/>
          <w:sz w:val="24"/>
          <w:szCs w:val="24"/>
          <w:lang w:val="en-US" w:eastAsia="zh-CN" w:bidi="ar-SA"/>
        </w:rPr>
        <w:br w:type="column"/>
      </w:r>
      <w:r>
        <w:rPr>
          <w:rFonts w:hint="eastAsia"/>
          <w:b/>
          <w:bCs/>
          <w:color w:val="auto"/>
          <w:sz w:val="36"/>
          <w:szCs w:val="36"/>
          <w:lang w:val="en-US" w:eastAsia="zh-CN"/>
        </w:rPr>
        <w:t>第七部分  响应文件格式</w:t>
      </w:r>
      <w:bookmarkEnd w:id="151"/>
    </w:p>
    <w:p w14:paraId="114D1037">
      <w:pPr>
        <w:widowControl/>
        <w:spacing w:line="400" w:lineRule="exact"/>
        <w:jc w:val="right"/>
        <w:rPr>
          <w:rFonts w:cs="仿宋" w:asciiTheme="minorEastAsia" w:hAnsiTheme="minorEastAsia" w:eastAsiaTheme="minorEastAsia"/>
          <w:b/>
          <w:color w:val="auto"/>
          <w:sz w:val="36"/>
          <w:szCs w:val="36"/>
          <w:bdr w:val="single" w:color="auto" w:sz="4" w:space="0"/>
          <w:shd w:val="pct10" w:color="auto" w:fill="FFFFFF"/>
        </w:rPr>
      </w:pPr>
    </w:p>
    <w:p w14:paraId="6D0BE19A">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7C92E603">
      <w:pPr>
        <w:widowControl/>
        <w:spacing w:line="440" w:lineRule="exact"/>
        <w:rPr>
          <w:rFonts w:cs="仿宋" w:asciiTheme="minorEastAsia" w:hAnsiTheme="minorEastAsia" w:eastAsiaTheme="minorEastAsia"/>
          <w:bCs/>
          <w:color w:val="auto"/>
          <w:sz w:val="32"/>
          <w:szCs w:val="32"/>
        </w:rPr>
      </w:pPr>
      <w:r>
        <w:rPr>
          <w:rFonts w:hint="eastAsia" w:ascii="宋体" w:hAnsi="宋体" w:cs="宋体"/>
          <w:b/>
          <w:bCs/>
          <w:color w:val="auto"/>
          <w:kern w:val="44"/>
          <w:sz w:val="32"/>
          <w:szCs w:val="32"/>
        </w:rPr>
        <w:t>项目编号</w:t>
      </w:r>
      <w:r>
        <w:rPr>
          <w:rFonts w:hint="eastAsia" w:ascii="宋体" w:hAnsi="宋体" w:cs="宋体"/>
          <w:b/>
          <w:bCs/>
          <w:color w:val="auto"/>
          <w:kern w:val="44"/>
          <w:sz w:val="32"/>
          <w:szCs w:val="32"/>
          <w:lang w:eastAsia="zh-CN"/>
        </w:rPr>
        <w:t>：</w:t>
      </w:r>
      <w:r>
        <w:rPr>
          <w:rFonts w:hint="eastAsia" w:cs="仿宋" w:asciiTheme="minorEastAsia" w:hAnsiTheme="minorEastAsia" w:eastAsiaTheme="minorEastAsia"/>
          <w:bCs/>
          <w:color w:val="auto"/>
          <w:sz w:val="32"/>
          <w:szCs w:val="32"/>
        </w:rPr>
        <w:t xml:space="preserve"> </w:t>
      </w:r>
    </w:p>
    <w:p w14:paraId="65D0356C">
      <w:pPr>
        <w:widowControl/>
        <w:spacing w:line="600" w:lineRule="exact"/>
        <w:rPr>
          <w:rFonts w:cs="仿宋" w:asciiTheme="minorEastAsia" w:hAnsiTheme="minorEastAsia" w:eastAsiaTheme="minorEastAsia"/>
          <w:bCs/>
          <w:color w:val="auto"/>
          <w:spacing w:val="20"/>
          <w:kern w:val="0"/>
          <w:sz w:val="84"/>
          <w:szCs w:val="84"/>
        </w:rPr>
      </w:pPr>
    </w:p>
    <w:p w14:paraId="163EB016">
      <w:pPr>
        <w:pStyle w:val="5"/>
        <w:rPr>
          <w:color w:val="auto"/>
        </w:rPr>
      </w:pPr>
    </w:p>
    <w:p w14:paraId="6B56535D">
      <w:pPr>
        <w:rPr>
          <w:color w:val="auto"/>
        </w:rPr>
      </w:pPr>
    </w:p>
    <w:p w14:paraId="4204DD75">
      <w:pPr>
        <w:pStyle w:val="5"/>
        <w:rPr>
          <w:color w:val="auto"/>
        </w:rPr>
      </w:pPr>
    </w:p>
    <w:p w14:paraId="61CC9B32">
      <w:pPr>
        <w:rPr>
          <w:color w:val="auto"/>
        </w:rPr>
      </w:pPr>
    </w:p>
    <w:p w14:paraId="2CB84EFB">
      <w:pPr>
        <w:pStyle w:val="22"/>
        <w:jc w:val="center"/>
        <w:rPr>
          <w:rFonts w:hint="eastAsia" w:ascii="宋体" w:hAnsi="宋体" w:eastAsia="宋体" w:cs="宋体"/>
          <w:b/>
          <w:bCs/>
          <w:color w:val="auto"/>
          <w:sz w:val="48"/>
          <w:szCs w:val="48"/>
          <w:lang w:eastAsia="zh-CN"/>
        </w:rPr>
      </w:pPr>
      <w:r>
        <w:rPr>
          <w:rFonts w:hint="eastAsia" w:ascii="宋体" w:hAnsi="宋体" w:cs="宋体"/>
          <w:b/>
          <w:bCs/>
          <w:color w:val="auto"/>
          <w:sz w:val="56"/>
          <w:szCs w:val="56"/>
          <w:u w:val="single"/>
        </w:rPr>
        <w:t xml:space="preserve">                  </w:t>
      </w:r>
      <w:r>
        <w:rPr>
          <w:rFonts w:hint="eastAsia" w:ascii="宋体" w:hAnsi="宋体" w:cs="宋体"/>
          <w:b/>
          <w:bCs/>
          <w:color w:val="auto"/>
          <w:sz w:val="56"/>
          <w:szCs w:val="56"/>
        </w:rPr>
        <w:t>项目</w:t>
      </w:r>
      <w:bookmarkStart w:id="152" w:name="OLE_LINK13"/>
      <w:r>
        <w:rPr>
          <w:rFonts w:hint="eastAsia" w:ascii="宋体" w:hAnsi="宋体" w:cs="宋体"/>
          <w:b/>
          <w:bCs/>
          <w:color w:val="auto"/>
          <w:sz w:val="56"/>
          <w:szCs w:val="56"/>
          <w:lang w:eastAsia="zh-CN"/>
        </w:rPr>
        <w:t>（</w:t>
      </w:r>
      <w:r>
        <w:rPr>
          <w:rFonts w:hint="eastAsia" w:ascii="宋体" w:hAnsi="宋体" w:cs="宋体"/>
          <w:b/>
          <w:bCs/>
          <w:color w:val="auto"/>
          <w:sz w:val="56"/>
          <w:szCs w:val="56"/>
          <w:lang w:val="en-US" w:eastAsia="zh-CN"/>
        </w:rPr>
        <w:t>二次</w:t>
      </w:r>
      <w:r>
        <w:rPr>
          <w:rFonts w:hint="eastAsia" w:ascii="宋体" w:hAnsi="宋体" w:cs="宋体"/>
          <w:b/>
          <w:bCs/>
          <w:color w:val="auto"/>
          <w:sz w:val="56"/>
          <w:szCs w:val="56"/>
          <w:lang w:eastAsia="zh-CN"/>
        </w:rPr>
        <w:t>）</w:t>
      </w:r>
    </w:p>
    <w:bookmarkEnd w:id="152"/>
    <w:p w14:paraId="2855DFD8">
      <w:pPr>
        <w:pStyle w:val="22"/>
        <w:jc w:val="center"/>
        <w:rPr>
          <w:rFonts w:ascii="宋体" w:hAnsi="宋体" w:cs="宋体"/>
          <w:b/>
          <w:bCs/>
          <w:color w:val="auto"/>
          <w:sz w:val="56"/>
          <w:szCs w:val="56"/>
        </w:rPr>
      </w:pPr>
    </w:p>
    <w:p w14:paraId="026AB55D">
      <w:pPr>
        <w:pStyle w:val="22"/>
        <w:rPr>
          <w:color w:val="auto"/>
        </w:rPr>
      </w:pPr>
    </w:p>
    <w:p w14:paraId="17C8BD7E">
      <w:pPr>
        <w:pStyle w:val="22"/>
        <w:rPr>
          <w:color w:val="auto"/>
        </w:rPr>
      </w:pPr>
    </w:p>
    <w:p w14:paraId="5F9D0EB1">
      <w:pPr>
        <w:pStyle w:val="22"/>
        <w:rPr>
          <w:color w:val="auto"/>
        </w:rPr>
      </w:pPr>
    </w:p>
    <w:p w14:paraId="0C6FFA9B">
      <w:pPr>
        <w:pStyle w:val="22"/>
        <w:rPr>
          <w:color w:val="auto"/>
        </w:rPr>
      </w:pPr>
    </w:p>
    <w:p w14:paraId="00CBABD2">
      <w:pPr>
        <w:widowControl/>
        <w:spacing w:before="163" w:beforeLines="50" w:line="800" w:lineRule="exact"/>
        <w:jc w:val="center"/>
        <w:rPr>
          <w:rFonts w:cs="仿宋" w:asciiTheme="minorEastAsia" w:hAnsiTheme="minorEastAsia" w:eastAsiaTheme="minorEastAsia"/>
          <w:b/>
          <w:color w:val="auto"/>
          <w:spacing w:val="20"/>
          <w:kern w:val="0"/>
          <w:sz w:val="84"/>
          <w:szCs w:val="84"/>
        </w:rPr>
      </w:pPr>
      <w:r>
        <w:rPr>
          <w:rFonts w:hint="eastAsia" w:cs="仿宋" w:asciiTheme="minorEastAsia" w:hAnsiTheme="minorEastAsia" w:eastAsiaTheme="minorEastAsia"/>
          <w:b/>
          <w:color w:val="auto"/>
          <w:spacing w:val="20"/>
          <w:kern w:val="0"/>
          <w:sz w:val="84"/>
          <w:szCs w:val="84"/>
        </w:rPr>
        <w:t>响应文件</w:t>
      </w:r>
    </w:p>
    <w:p w14:paraId="2B3BBCD7">
      <w:pPr>
        <w:pStyle w:val="22"/>
        <w:rPr>
          <w:color w:val="auto"/>
        </w:rPr>
      </w:pPr>
    </w:p>
    <w:p w14:paraId="02575AA1">
      <w:pPr>
        <w:widowControl/>
        <w:spacing w:line="480" w:lineRule="exact"/>
        <w:rPr>
          <w:rFonts w:cs="仿宋" w:asciiTheme="minorEastAsia" w:hAnsiTheme="minorEastAsia" w:eastAsiaTheme="minorEastAsia"/>
          <w:bCs/>
          <w:color w:val="auto"/>
          <w:sz w:val="44"/>
          <w:szCs w:val="44"/>
        </w:rPr>
      </w:pPr>
      <w:r>
        <w:rPr>
          <w:rFonts w:hint="eastAsia" w:cs="仿宋" w:asciiTheme="minorEastAsia" w:hAnsiTheme="minorEastAsia" w:eastAsiaTheme="minorEastAsia"/>
          <w:bCs/>
          <w:color w:val="auto"/>
          <w:sz w:val="32"/>
          <w:szCs w:val="28"/>
        </w:rPr>
        <w:t xml:space="preserve">                     </w:t>
      </w:r>
      <w:r>
        <w:rPr>
          <w:rFonts w:hint="eastAsia" w:cs="仿宋" w:asciiTheme="minorEastAsia" w:hAnsiTheme="minorEastAsia" w:eastAsiaTheme="minorEastAsia"/>
          <w:bCs/>
          <w:color w:val="auto"/>
          <w:sz w:val="44"/>
          <w:szCs w:val="44"/>
        </w:rPr>
        <w:t>（正/副本）</w:t>
      </w:r>
    </w:p>
    <w:p w14:paraId="663219AE">
      <w:pPr>
        <w:widowControl/>
        <w:spacing w:line="400" w:lineRule="exact"/>
        <w:rPr>
          <w:rFonts w:cs="仿宋" w:asciiTheme="minorEastAsia" w:hAnsiTheme="minorEastAsia" w:eastAsiaTheme="minorEastAsia"/>
          <w:bCs/>
          <w:color w:val="auto"/>
          <w:sz w:val="18"/>
          <w:szCs w:val="18"/>
        </w:rPr>
      </w:pPr>
    </w:p>
    <w:p w14:paraId="75A98166">
      <w:pPr>
        <w:widowControl/>
        <w:spacing w:line="400" w:lineRule="exact"/>
        <w:rPr>
          <w:rFonts w:cs="仿宋" w:asciiTheme="minorEastAsia" w:hAnsiTheme="minorEastAsia" w:eastAsiaTheme="minorEastAsia"/>
          <w:bCs/>
          <w:color w:val="auto"/>
          <w:sz w:val="18"/>
          <w:szCs w:val="18"/>
        </w:rPr>
      </w:pPr>
    </w:p>
    <w:p w14:paraId="1E327433">
      <w:pPr>
        <w:widowControl/>
        <w:spacing w:line="400" w:lineRule="exact"/>
        <w:rPr>
          <w:rFonts w:cs="仿宋" w:asciiTheme="minorEastAsia" w:hAnsiTheme="minorEastAsia" w:eastAsiaTheme="minorEastAsia"/>
          <w:bCs/>
          <w:color w:val="auto"/>
          <w:sz w:val="18"/>
          <w:szCs w:val="18"/>
        </w:rPr>
      </w:pPr>
    </w:p>
    <w:p w14:paraId="3281FED2">
      <w:pPr>
        <w:widowControl/>
        <w:spacing w:line="480" w:lineRule="auto"/>
        <w:rPr>
          <w:rFonts w:cs="仿宋" w:asciiTheme="minorEastAsia" w:hAnsiTheme="minorEastAsia" w:eastAsiaTheme="minorEastAsia"/>
          <w:bCs/>
          <w:color w:val="auto"/>
          <w:sz w:val="36"/>
          <w:szCs w:val="36"/>
        </w:rPr>
      </w:pPr>
    </w:p>
    <w:p w14:paraId="366D17AC">
      <w:pPr>
        <w:widowControl/>
        <w:spacing w:line="480" w:lineRule="auto"/>
        <w:rPr>
          <w:rFonts w:cs="仿宋" w:asciiTheme="minorEastAsia" w:hAnsiTheme="minorEastAsia" w:eastAsiaTheme="minorEastAsia"/>
          <w:bCs/>
          <w:color w:val="auto"/>
          <w:sz w:val="36"/>
          <w:szCs w:val="36"/>
        </w:rPr>
      </w:pPr>
    </w:p>
    <w:p w14:paraId="650BEFC9">
      <w:pPr>
        <w:pStyle w:val="12"/>
        <w:rPr>
          <w:color w:val="auto"/>
        </w:rPr>
      </w:pPr>
    </w:p>
    <w:p w14:paraId="5F1EFEF5">
      <w:pPr>
        <w:snapToGrid w:val="0"/>
        <w:spacing w:line="56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lang w:val="zh-CN"/>
        </w:rPr>
        <w:t>供应商（单位名称及公章）：</w:t>
      </w:r>
      <w:r>
        <w:rPr>
          <w:rFonts w:hint="eastAsia" w:ascii="宋体" w:hAnsi="宋体" w:cs="宋体"/>
          <w:color w:val="auto"/>
          <w:sz w:val="24"/>
          <w:szCs w:val="24"/>
        </w:rPr>
        <w:t xml:space="preserve">____________________________ </w:t>
      </w:r>
    </w:p>
    <w:p w14:paraId="3D8E16AD">
      <w:pPr>
        <w:snapToGrid w:val="0"/>
        <w:spacing w:line="560" w:lineRule="exact"/>
        <w:ind w:firstLine="480" w:firstLineChars="200"/>
        <w:jc w:val="left"/>
        <w:rPr>
          <w:rFonts w:cs="Times New Roman"/>
          <w:color w:val="auto"/>
          <w:sz w:val="24"/>
          <w:szCs w:val="24"/>
        </w:rPr>
      </w:pPr>
      <w:r>
        <w:rPr>
          <w:rFonts w:hint="eastAsia" w:ascii="宋体" w:hAnsi="宋体" w:cs="宋体"/>
          <w:color w:val="auto"/>
          <w:sz w:val="24"/>
          <w:szCs w:val="24"/>
          <w:lang w:val="zh-CN"/>
        </w:rPr>
        <w:t>法定代表人或被授权人（签字</w:t>
      </w:r>
      <w:r>
        <w:rPr>
          <w:rFonts w:hint="eastAsia" w:ascii="宋体" w:hAnsi="宋体" w:cs="宋体"/>
          <w:color w:val="auto"/>
          <w:sz w:val="24"/>
          <w:szCs w:val="24"/>
        </w:rPr>
        <w:t>或盖章</w:t>
      </w:r>
      <w:r>
        <w:rPr>
          <w:rFonts w:hint="eastAsia" w:ascii="宋体" w:hAnsi="宋体" w:cs="宋体"/>
          <w:color w:val="auto"/>
          <w:sz w:val="24"/>
          <w:szCs w:val="24"/>
          <w:lang w:val="zh-CN"/>
        </w:rPr>
        <w:t>）：</w:t>
      </w:r>
      <w:r>
        <w:rPr>
          <w:rFonts w:hint="eastAsia" w:ascii="宋体" w:hAnsi="宋体" w:cs="宋体"/>
          <w:color w:val="auto"/>
          <w:sz w:val="24"/>
          <w:szCs w:val="24"/>
        </w:rPr>
        <w:t>______________________</w:t>
      </w:r>
    </w:p>
    <w:p w14:paraId="3C111293">
      <w:pPr>
        <w:snapToGrid w:val="0"/>
        <w:spacing w:line="56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日期</w:t>
      </w:r>
      <w:r>
        <w:rPr>
          <w:rFonts w:hint="eastAsia" w:ascii="宋体" w:hAnsi="宋体" w:cs="宋体"/>
          <w:color w:val="auto"/>
          <w:sz w:val="24"/>
          <w:szCs w:val="24"/>
          <w:lang w:val="zh-CN"/>
        </w:rPr>
        <w:t>：</w:t>
      </w:r>
      <w:r>
        <w:rPr>
          <w:rFonts w:hint="eastAsia" w:ascii="宋体" w:hAnsi="宋体" w:cs="宋体"/>
          <w:color w:val="auto"/>
          <w:sz w:val="24"/>
          <w:szCs w:val="24"/>
        </w:rPr>
        <w:t>____________________________________________________</w:t>
      </w:r>
    </w:p>
    <w:p w14:paraId="4F803CAF">
      <w:pPr>
        <w:pageBreakBefore/>
        <w:ind w:firstLine="1004" w:firstLineChars="200"/>
        <w:jc w:val="center"/>
        <w:rPr>
          <w:rFonts w:ascii="宋体" w:hAnsi="宋体" w:cs="宋体"/>
          <w:b/>
          <w:bCs/>
          <w:color w:val="auto"/>
          <w:sz w:val="50"/>
          <w:szCs w:val="50"/>
        </w:rPr>
      </w:pPr>
      <w:r>
        <w:rPr>
          <w:rFonts w:hint="eastAsia" w:ascii="宋体" w:hAnsi="宋体" w:cs="宋体"/>
          <w:b/>
          <w:bCs/>
          <w:color w:val="auto"/>
          <w:sz w:val="50"/>
          <w:szCs w:val="50"/>
        </w:rPr>
        <w:t>目录</w:t>
      </w:r>
    </w:p>
    <w:p w14:paraId="0BC1F6D3">
      <w:pPr>
        <w:pStyle w:val="22"/>
        <w:spacing w:line="360" w:lineRule="auto"/>
        <w:ind w:left="1155" w:leftChars="550"/>
        <w:rPr>
          <w:rFonts w:ascii="宋体" w:hAnsi="宋体"/>
          <w:color w:val="auto"/>
          <w:sz w:val="32"/>
          <w:szCs w:val="28"/>
        </w:rPr>
      </w:pPr>
      <w:r>
        <w:rPr>
          <w:rFonts w:hint="eastAsia" w:ascii="宋体" w:hAnsi="宋体"/>
          <w:color w:val="auto"/>
          <w:sz w:val="32"/>
          <w:szCs w:val="28"/>
        </w:rPr>
        <w:t xml:space="preserve">第一章 </w:t>
      </w:r>
      <w:r>
        <w:rPr>
          <w:rFonts w:ascii="宋体" w:hAnsi="宋体"/>
          <w:color w:val="auto"/>
          <w:sz w:val="32"/>
          <w:szCs w:val="28"/>
        </w:rPr>
        <w:t xml:space="preserve">  </w:t>
      </w:r>
      <w:r>
        <w:rPr>
          <w:rFonts w:hint="eastAsia" w:ascii="宋体" w:hAnsi="宋体"/>
          <w:color w:val="auto"/>
          <w:sz w:val="32"/>
          <w:szCs w:val="28"/>
        </w:rPr>
        <w:t>响应函</w:t>
      </w:r>
    </w:p>
    <w:p w14:paraId="05259D0C">
      <w:pPr>
        <w:pStyle w:val="22"/>
        <w:spacing w:line="360" w:lineRule="auto"/>
        <w:ind w:left="1155" w:leftChars="550"/>
        <w:rPr>
          <w:rFonts w:ascii="宋体" w:hAnsi="宋体"/>
          <w:color w:val="auto"/>
          <w:sz w:val="32"/>
          <w:szCs w:val="28"/>
        </w:rPr>
      </w:pPr>
      <w:r>
        <w:rPr>
          <w:rFonts w:hint="eastAsia" w:ascii="宋体" w:hAnsi="宋体"/>
          <w:color w:val="auto"/>
          <w:sz w:val="32"/>
          <w:szCs w:val="28"/>
        </w:rPr>
        <w:t xml:space="preserve">第二章 </w:t>
      </w:r>
      <w:r>
        <w:rPr>
          <w:rFonts w:ascii="宋体" w:hAnsi="宋体"/>
          <w:color w:val="auto"/>
          <w:sz w:val="32"/>
          <w:szCs w:val="28"/>
        </w:rPr>
        <w:t xml:space="preserve">  </w:t>
      </w:r>
      <w:r>
        <w:rPr>
          <w:rFonts w:hint="eastAsia" w:ascii="宋体" w:hAnsi="宋体"/>
          <w:color w:val="auto"/>
          <w:sz w:val="32"/>
          <w:szCs w:val="28"/>
        </w:rPr>
        <w:t>响应报价表</w:t>
      </w:r>
    </w:p>
    <w:p w14:paraId="3FA74500">
      <w:pPr>
        <w:pStyle w:val="22"/>
        <w:spacing w:line="360" w:lineRule="auto"/>
        <w:ind w:left="1155" w:leftChars="550"/>
        <w:rPr>
          <w:rFonts w:ascii="宋体" w:hAnsi="宋体"/>
          <w:color w:val="auto"/>
          <w:sz w:val="32"/>
          <w:szCs w:val="28"/>
        </w:rPr>
      </w:pPr>
      <w:r>
        <w:rPr>
          <w:rFonts w:hint="eastAsia" w:ascii="宋体" w:hAnsi="宋体"/>
          <w:color w:val="auto"/>
          <w:sz w:val="32"/>
          <w:szCs w:val="28"/>
        </w:rPr>
        <w:t xml:space="preserve">第三章  </w:t>
      </w:r>
      <w:r>
        <w:rPr>
          <w:rFonts w:ascii="宋体" w:hAnsi="宋体"/>
          <w:color w:val="auto"/>
          <w:sz w:val="32"/>
          <w:szCs w:val="28"/>
        </w:rPr>
        <w:t xml:space="preserve"> </w:t>
      </w:r>
      <w:r>
        <w:rPr>
          <w:rFonts w:hint="eastAsia" w:ascii="宋体" w:hAnsi="宋体"/>
          <w:color w:val="auto"/>
          <w:sz w:val="32"/>
          <w:szCs w:val="28"/>
        </w:rPr>
        <w:t>供应商资质证明文件</w:t>
      </w:r>
    </w:p>
    <w:p w14:paraId="709006E6">
      <w:pPr>
        <w:pStyle w:val="22"/>
        <w:spacing w:line="360" w:lineRule="auto"/>
        <w:ind w:left="1155" w:leftChars="550"/>
        <w:rPr>
          <w:rFonts w:hint="default" w:ascii="宋体" w:hAnsi="宋体" w:eastAsia="宋体"/>
          <w:color w:val="auto"/>
          <w:sz w:val="32"/>
          <w:szCs w:val="28"/>
          <w:lang w:val="en-US" w:eastAsia="zh-CN"/>
        </w:rPr>
      </w:pPr>
      <w:r>
        <w:rPr>
          <w:rFonts w:hint="eastAsia" w:ascii="宋体" w:hAnsi="宋体"/>
          <w:color w:val="auto"/>
          <w:sz w:val="32"/>
          <w:szCs w:val="28"/>
        </w:rPr>
        <w:t xml:space="preserve">第四章   </w:t>
      </w:r>
      <w:r>
        <w:rPr>
          <w:rFonts w:hint="eastAsia" w:ascii="宋体" w:hAnsi="宋体"/>
          <w:color w:val="auto"/>
          <w:sz w:val="32"/>
          <w:szCs w:val="28"/>
          <w:lang w:val="en-US" w:eastAsia="zh-CN"/>
        </w:rPr>
        <w:t>技术及</w:t>
      </w:r>
      <w:r>
        <w:rPr>
          <w:rFonts w:hint="eastAsia" w:ascii="宋体" w:hAnsi="宋体"/>
          <w:color w:val="auto"/>
          <w:sz w:val="32"/>
          <w:szCs w:val="28"/>
          <w:lang w:eastAsia="zh-CN"/>
        </w:rPr>
        <w:t>商务偏离表</w:t>
      </w:r>
    </w:p>
    <w:p w14:paraId="4DE8C1F3">
      <w:pPr>
        <w:pStyle w:val="22"/>
        <w:spacing w:line="360" w:lineRule="auto"/>
        <w:ind w:left="1155" w:leftChars="550"/>
        <w:rPr>
          <w:rFonts w:ascii="宋体" w:hAnsi="宋体"/>
          <w:color w:val="auto"/>
          <w:sz w:val="32"/>
          <w:szCs w:val="28"/>
        </w:rPr>
      </w:pPr>
      <w:r>
        <w:rPr>
          <w:rFonts w:hint="eastAsia" w:ascii="宋体" w:hAnsi="宋体"/>
          <w:color w:val="auto"/>
          <w:sz w:val="32"/>
          <w:szCs w:val="28"/>
        </w:rPr>
        <w:t>第五章</w:t>
      </w:r>
      <w:r>
        <w:rPr>
          <w:rFonts w:hint="eastAsia" w:ascii="宋体" w:hAnsi="宋体"/>
          <w:color w:val="auto"/>
          <w:sz w:val="32"/>
          <w:szCs w:val="28"/>
          <w:lang w:val="en-US" w:eastAsia="zh-CN"/>
        </w:rPr>
        <w:t xml:space="preserve">   响应</w:t>
      </w:r>
      <w:r>
        <w:rPr>
          <w:rFonts w:hint="eastAsia" w:ascii="宋体" w:hAnsi="宋体"/>
          <w:color w:val="auto"/>
          <w:sz w:val="32"/>
          <w:szCs w:val="28"/>
        </w:rPr>
        <w:t>方案</w:t>
      </w:r>
    </w:p>
    <w:p w14:paraId="00A3307E">
      <w:pPr>
        <w:pStyle w:val="22"/>
        <w:spacing w:line="360" w:lineRule="auto"/>
        <w:ind w:left="1155" w:leftChars="550"/>
        <w:rPr>
          <w:rFonts w:ascii="宋体" w:hAnsi="宋体"/>
          <w:color w:val="auto"/>
          <w:sz w:val="32"/>
          <w:szCs w:val="28"/>
        </w:rPr>
      </w:pPr>
      <w:r>
        <w:rPr>
          <w:rFonts w:hint="eastAsia" w:ascii="宋体" w:hAnsi="宋体"/>
          <w:color w:val="auto"/>
          <w:sz w:val="32"/>
          <w:szCs w:val="28"/>
        </w:rPr>
        <w:t>第</w:t>
      </w:r>
      <w:r>
        <w:rPr>
          <w:rFonts w:hint="eastAsia" w:ascii="宋体" w:hAnsi="宋体"/>
          <w:color w:val="auto"/>
          <w:sz w:val="32"/>
          <w:szCs w:val="28"/>
          <w:lang w:val="en-US" w:eastAsia="zh-CN"/>
        </w:rPr>
        <w:t>六</w:t>
      </w:r>
      <w:r>
        <w:rPr>
          <w:rFonts w:hint="eastAsia" w:ascii="宋体" w:hAnsi="宋体"/>
          <w:color w:val="auto"/>
          <w:sz w:val="32"/>
          <w:szCs w:val="28"/>
        </w:rPr>
        <w:t>章   供应商承诺书</w:t>
      </w:r>
    </w:p>
    <w:p w14:paraId="6C37BA6D">
      <w:pPr>
        <w:pStyle w:val="22"/>
        <w:spacing w:line="360" w:lineRule="auto"/>
        <w:ind w:left="1155" w:leftChars="550"/>
        <w:rPr>
          <w:rFonts w:ascii="宋体" w:hAnsi="宋体"/>
          <w:color w:val="auto"/>
          <w:sz w:val="32"/>
          <w:szCs w:val="28"/>
        </w:rPr>
      </w:pPr>
    </w:p>
    <w:p w14:paraId="287C118E">
      <w:pPr>
        <w:pStyle w:val="22"/>
        <w:spacing w:line="360" w:lineRule="auto"/>
        <w:ind w:left="1155" w:leftChars="550"/>
        <w:rPr>
          <w:rFonts w:ascii="宋体" w:hAnsi="宋体"/>
          <w:color w:val="auto"/>
          <w:sz w:val="32"/>
          <w:szCs w:val="28"/>
        </w:rPr>
      </w:pPr>
      <w:r>
        <w:rPr>
          <w:rFonts w:hint="eastAsia" w:ascii="宋体" w:hAnsi="宋体"/>
          <w:color w:val="auto"/>
          <w:sz w:val="32"/>
          <w:szCs w:val="28"/>
        </w:rPr>
        <w:t xml:space="preserve">   </w:t>
      </w:r>
    </w:p>
    <w:p w14:paraId="2FFAA879">
      <w:pPr>
        <w:pStyle w:val="22"/>
        <w:spacing w:line="360" w:lineRule="auto"/>
        <w:ind w:left="1155" w:leftChars="550"/>
        <w:rPr>
          <w:rFonts w:ascii="宋体" w:hAnsi="宋体"/>
          <w:color w:val="auto"/>
          <w:sz w:val="32"/>
          <w:szCs w:val="28"/>
        </w:rPr>
      </w:pPr>
      <w:r>
        <w:rPr>
          <w:rFonts w:hint="eastAsia" w:ascii="宋体" w:hAnsi="宋体"/>
          <w:color w:val="auto"/>
          <w:sz w:val="32"/>
          <w:szCs w:val="28"/>
        </w:rPr>
        <w:t xml:space="preserve"> </w:t>
      </w:r>
      <w:r>
        <w:rPr>
          <w:rFonts w:ascii="宋体" w:hAnsi="宋体"/>
          <w:color w:val="auto"/>
          <w:sz w:val="32"/>
          <w:szCs w:val="28"/>
        </w:rPr>
        <w:t xml:space="preserve"> </w:t>
      </w:r>
    </w:p>
    <w:p w14:paraId="5D067DEA">
      <w:pPr>
        <w:pStyle w:val="22"/>
        <w:spacing w:line="360" w:lineRule="auto"/>
        <w:ind w:left="1155" w:leftChars="550"/>
        <w:rPr>
          <w:rFonts w:ascii="宋体" w:hAnsi="宋体"/>
          <w:color w:val="auto"/>
          <w:sz w:val="32"/>
          <w:szCs w:val="28"/>
        </w:rPr>
      </w:pPr>
      <w:r>
        <w:rPr>
          <w:rFonts w:hint="eastAsia" w:ascii="宋体" w:hAnsi="宋体"/>
          <w:color w:val="auto"/>
          <w:sz w:val="32"/>
          <w:szCs w:val="28"/>
        </w:rPr>
        <w:t xml:space="preserve"> </w:t>
      </w:r>
      <w:r>
        <w:rPr>
          <w:rFonts w:ascii="宋体" w:hAnsi="宋体"/>
          <w:color w:val="auto"/>
          <w:sz w:val="32"/>
          <w:szCs w:val="28"/>
        </w:rPr>
        <w:t xml:space="preserve"> </w:t>
      </w:r>
    </w:p>
    <w:p w14:paraId="33C49625">
      <w:pPr>
        <w:pStyle w:val="22"/>
        <w:spacing w:line="360" w:lineRule="auto"/>
        <w:ind w:left="1155" w:leftChars="550"/>
        <w:rPr>
          <w:rFonts w:ascii="宋体" w:hAnsi="宋体"/>
          <w:color w:val="auto"/>
          <w:sz w:val="32"/>
          <w:szCs w:val="28"/>
        </w:rPr>
      </w:pPr>
      <w:r>
        <w:rPr>
          <w:rFonts w:ascii="宋体" w:hAnsi="宋体"/>
          <w:color w:val="auto"/>
          <w:sz w:val="32"/>
          <w:szCs w:val="28"/>
        </w:rPr>
        <w:t xml:space="preserve">  </w:t>
      </w:r>
    </w:p>
    <w:p w14:paraId="6A60312B"/>
    <w:p w14:paraId="7517C92E">
      <w:pPr>
        <w:pStyle w:val="22"/>
        <w:spacing w:line="480" w:lineRule="auto"/>
        <w:ind w:left="945" w:leftChars="450"/>
        <w:rPr>
          <w:color w:val="auto"/>
        </w:rPr>
      </w:pPr>
      <w:r>
        <w:rPr>
          <w:rFonts w:hint="eastAsia"/>
          <w:color w:val="auto"/>
          <w:sz w:val="30"/>
          <w:szCs w:val="30"/>
        </w:rPr>
        <w:tab/>
      </w:r>
    </w:p>
    <w:p w14:paraId="63B87481">
      <w:pPr>
        <w:pStyle w:val="3"/>
        <w:pageBreakBefore/>
        <w:rPr>
          <w:rFonts w:ascii="宋体" w:cs="Times New Roman"/>
          <w:color w:val="auto"/>
          <w:sz w:val="32"/>
          <w:szCs w:val="32"/>
        </w:rPr>
      </w:pPr>
      <w:bookmarkStart w:id="153" w:name="_Toc2536"/>
      <w:bookmarkStart w:id="154" w:name="_Toc536202393"/>
      <w:bookmarkStart w:id="155" w:name="_Toc10356"/>
      <w:bookmarkStart w:id="156" w:name="_Toc536429333"/>
      <w:bookmarkStart w:id="157" w:name="_Toc536429386"/>
      <w:bookmarkStart w:id="158" w:name="_Toc536202324"/>
      <w:bookmarkStart w:id="159" w:name="_Toc19543349"/>
      <w:r>
        <w:rPr>
          <w:rFonts w:hint="eastAsia" w:ascii="宋体" w:hAnsi="宋体" w:cs="宋体"/>
          <w:color w:val="auto"/>
          <w:sz w:val="32"/>
          <w:szCs w:val="32"/>
        </w:rPr>
        <w:t>第一</w:t>
      </w:r>
      <w:bookmarkEnd w:id="153"/>
      <w:r>
        <w:rPr>
          <w:rFonts w:hint="eastAsia" w:ascii="宋体" w:hAnsi="宋体" w:cs="宋体"/>
          <w:color w:val="auto"/>
          <w:sz w:val="32"/>
          <w:szCs w:val="32"/>
        </w:rPr>
        <w:t>章</w:t>
      </w:r>
      <w:r>
        <w:rPr>
          <w:rFonts w:ascii="宋体" w:hAnsi="宋体" w:cs="宋体"/>
          <w:color w:val="auto"/>
          <w:sz w:val="32"/>
          <w:szCs w:val="32"/>
        </w:rPr>
        <w:t xml:space="preserve">  </w:t>
      </w:r>
      <w:r>
        <w:rPr>
          <w:rFonts w:hint="eastAsia" w:ascii="宋体" w:hAnsi="宋体" w:cs="宋体"/>
          <w:color w:val="auto"/>
          <w:sz w:val="32"/>
          <w:szCs w:val="32"/>
        </w:rPr>
        <w:t>响应函</w:t>
      </w:r>
      <w:bookmarkEnd w:id="154"/>
      <w:bookmarkEnd w:id="155"/>
      <w:bookmarkEnd w:id="156"/>
      <w:bookmarkEnd w:id="157"/>
      <w:bookmarkEnd w:id="158"/>
      <w:bookmarkEnd w:id="159"/>
    </w:p>
    <w:p w14:paraId="53101261">
      <w:pPr>
        <w:adjustRightInd w:val="0"/>
        <w:snapToGrid w:val="0"/>
        <w:spacing w:line="480" w:lineRule="exact"/>
        <w:jc w:val="left"/>
        <w:rPr>
          <w:rFonts w:ascii="宋体" w:cs="Times New Roman"/>
          <w:color w:val="auto"/>
          <w:sz w:val="24"/>
          <w:szCs w:val="24"/>
        </w:rPr>
      </w:pPr>
      <w:r>
        <w:rPr>
          <w:rFonts w:hint="eastAsia" w:ascii="宋体" w:hAnsi="宋体" w:cs="宋体"/>
          <w:color w:val="auto"/>
          <w:sz w:val="24"/>
          <w:szCs w:val="24"/>
        </w:rPr>
        <w:t>安康尚昊招标代理有限公司：</w:t>
      </w:r>
    </w:p>
    <w:p w14:paraId="4AAE6303">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olor w:val="auto"/>
          <w:sz w:val="24"/>
          <w:szCs w:val="24"/>
        </w:rPr>
        <w:t>我单位收到贵公司</w:t>
      </w:r>
      <w:r>
        <w:rPr>
          <w:rFonts w:hint="eastAsia" w:ascii="宋体" w:hAnsi="宋体"/>
          <w:color w:val="auto"/>
          <w:sz w:val="24"/>
          <w:szCs w:val="24"/>
          <w:u w:val="single"/>
        </w:rPr>
        <w:t xml:space="preserve">  （项目名称） （项目编号）    </w:t>
      </w:r>
      <w:r>
        <w:rPr>
          <w:rFonts w:hint="eastAsia" w:ascii="宋体" w:hAnsi="宋体" w:cs="宋体"/>
          <w:color w:val="auto"/>
          <w:sz w:val="24"/>
          <w:szCs w:val="24"/>
        </w:rPr>
        <w:t>竞争性磋商文件，经详细研究，我公司决</w:t>
      </w:r>
      <w:r>
        <w:rPr>
          <w:rFonts w:hint="eastAsia" w:ascii="宋体" w:hAnsi="宋体" w:cs="宋体"/>
          <w:color w:val="auto"/>
          <w:sz w:val="24"/>
          <w:szCs w:val="24"/>
          <w:shd w:val="clear"/>
        </w:rPr>
        <w:t>定参加本</w:t>
      </w:r>
      <w:r>
        <w:rPr>
          <w:rFonts w:hint="eastAsia" w:ascii="宋体" w:hAnsi="宋体" w:cs="宋体"/>
          <w:color w:val="auto"/>
          <w:sz w:val="24"/>
          <w:szCs w:val="24"/>
        </w:rPr>
        <w:t>次磋商活动。为此，我方郑重承诺以下诸点，并负法律责任。</w:t>
      </w:r>
    </w:p>
    <w:p w14:paraId="0F35E8C9">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愿意按照竞争性磋商文件中的全部要求，提供合格的产品及完善的技术服务，履行合同的责任和义务。</w:t>
      </w:r>
    </w:p>
    <w:p w14:paraId="237FFEFB">
      <w:pPr>
        <w:spacing w:line="480" w:lineRule="exact"/>
        <w:ind w:firstLine="480" w:firstLineChars="200"/>
        <w:rPr>
          <w:rFonts w:ascii="宋体" w:hAnsi="宋体" w:cs="宋体"/>
          <w:color w:val="auto"/>
          <w:sz w:val="24"/>
          <w:szCs w:val="24"/>
        </w:rPr>
      </w:pPr>
      <w:r>
        <w:rPr>
          <w:rFonts w:hint="eastAsia" w:ascii="宋体" w:hAnsi="宋体" w:cs="宋体"/>
          <w:color w:val="auto"/>
          <w:sz w:val="24"/>
          <w:szCs w:val="24"/>
          <w:lang w:eastAsia="zh-CN"/>
        </w:rPr>
        <w:t>2.</w:t>
      </w:r>
      <w:r>
        <w:rPr>
          <w:rFonts w:hint="eastAsia" w:ascii="宋体" w:hAnsi="宋体" w:cs="宋体"/>
          <w:color w:val="auto"/>
          <w:sz w:val="24"/>
          <w:szCs w:val="24"/>
        </w:rPr>
        <w:t>按照竞争性磋商文件的规定，我公司的响应总报价为：</w:t>
      </w:r>
    </w:p>
    <w:p w14:paraId="59782492">
      <w:pPr>
        <w:spacing w:line="360" w:lineRule="auto"/>
        <w:ind w:firstLine="480" w:firstLineChars="200"/>
        <w:rPr>
          <w:color w:val="auto"/>
        </w:rPr>
      </w:pPr>
      <w:r>
        <w:rPr>
          <w:rFonts w:hint="eastAsia" w:ascii="宋体" w:hAnsi="宋体" w:cs="宋体"/>
          <w:color w:val="auto"/>
          <w:sz w:val="24"/>
          <w:szCs w:val="24"/>
        </w:rPr>
        <w:t>人民币（大写）：______________元；（小写）￥：______元；</w:t>
      </w:r>
    </w:p>
    <w:p w14:paraId="755F7201">
      <w:pPr>
        <w:adjustRightInd w:val="0"/>
        <w:snapToGrid w:val="0"/>
        <w:spacing w:line="480" w:lineRule="exact"/>
        <w:ind w:firstLine="480" w:firstLineChars="200"/>
        <w:jc w:val="left"/>
        <w:rPr>
          <w:rFonts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我方提交的响应文件正本</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份，电子文件</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份</w:t>
      </w:r>
    </w:p>
    <w:p w14:paraId="0B836A12">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我们已详细阅读了竞争性磋商文件，完全理解并同意放弃提出含糊不清和误解问题的权力。</w:t>
      </w:r>
    </w:p>
    <w:p w14:paraId="2AD4697A">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如果我方在磋商后到规定的响应有效期内撤回响应文件及承诺，我们将承担相关法律责任。</w:t>
      </w:r>
    </w:p>
    <w:p w14:paraId="5ED5F460">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同意向贵方提供贵方可能要求的、与本次磋商有关的任何证据资料。</w:t>
      </w:r>
    </w:p>
    <w:p w14:paraId="1F249AEA">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我方承诺响应有效期为磋商后______日历日内有效。</w:t>
      </w:r>
    </w:p>
    <w:p w14:paraId="6E980EC5">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lang w:eastAsia="zh-CN"/>
        </w:rPr>
        <w:t>8.</w:t>
      </w:r>
      <w:r>
        <w:rPr>
          <w:rFonts w:hint="eastAsia" w:ascii="宋体" w:hAnsi="宋体" w:cs="宋体"/>
          <w:color w:val="auto"/>
          <w:sz w:val="24"/>
          <w:szCs w:val="24"/>
        </w:rPr>
        <w:t>所有关于本次磋商的函电，请按下列地址联系：</w:t>
      </w:r>
    </w:p>
    <w:p w14:paraId="5916BC06">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供应商（单位名称及公章）：_____________________</w:t>
      </w:r>
    </w:p>
    <w:p w14:paraId="3DCB250A">
      <w:pPr>
        <w:adjustRightInd w:val="0"/>
        <w:snapToGrid w:val="0"/>
        <w:spacing w:line="480" w:lineRule="exact"/>
        <w:ind w:firstLine="480" w:firstLineChars="200"/>
        <w:rPr>
          <w:rFonts w:ascii="宋体" w:cs="Times New Roman"/>
          <w:color w:val="auto"/>
          <w:sz w:val="24"/>
          <w:szCs w:val="24"/>
        </w:rPr>
      </w:pPr>
      <w:r>
        <w:rPr>
          <w:rFonts w:hint="eastAsia" w:ascii="宋体" w:hAnsi="宋体" w:cs="宋体"/>
          <w:color w:val="auto"/>
          <w:sz w:val="24"/>
          <w:szCs w:val="24"/>
        </w:rPr>
        <w:t>法定代表人或被授权人（</w:t>
      </w:r>
      <w:r>
        <w:rPr>
          <w:rFonts w:hint="eastAsia" w:ascii="宋体" w:hAnsi="宋体" w:cs="宋体"/>
          <w:color w:val="auto"/>
          <w:sz w:val="24"/>
          <w:szCs w:val="24"/>
          <w:lang w:val="zh-CN"/>
        </w:rPr>
        <w:t>签字</w:t>
      </w:r>
      <w:r>
        <w:rPr>
          <w:rFonts w:hint="eastAsia" w:ascii="宋体" w:hAnsi="宋体" w:cs="宋体"/>
          <w:color w:val="auto"/>
          <w:sz w:val="24"/>
          <w:szCs w:val="24"/>
        </w:rPr>
        <w:t>或盖章）：_____________________</w:t>
      </w:r>
    </w:p>
    <w:p w14:paraId="6669771C">
      <w:pPr>
        <w:adjustRightInd w:val="0"/>
        <w:snapToGrid w:val="0"/>
        <w:spacing w:line="480" w:lineRule="exact"/>
        <w:ind w:firstLine="480" w:firstLineChars="200"/>
        <w:jc w:val="left"/>
        <w:rPr>
          <w:rFonts w:ascii="宋体" w:cs="Times New Roman"/>
          <w:color w:val="auto"/>
          <w:sz w:val="24"/>
          <w:szCs w:val="24"/>
        </w:rPr>
      </w:pPr>
      <w:r>
        <w:rPr>
          <w:rFonts w:hint="eastAsia" w:ascii="宋体" w:hAnsi="宋体" w:cs="宋体"/>
          <w:color w:val="auto"/>
          <w:sz w:val="24"/>
          <w:szCs w:val="24"/>
        </w:rPr>
        <w:t>地</w:t>
      </w:r>
      <w:r>
        <w:rPr>
          <w:rFonts w:ascii="宋体" w:hAnsi="宋体" w:cs="宋体"/>
          <w:color w:val="auto"/>
          <w:sz w:val="24"/>
          <w:szCs w:val="24"/>
        </w:rPr>
        <w:t xml:space="preserve">    </w:t>
      </w:r>
      <w:r>
        <w:rPr>
          <w:rFonts w:hint="eastAsia" w:ascii="宋体" w:hAnsi="宋体" w:cs="宋体"/>
          <w:color w:val="auto"/>
          <w:sz w:val="24"/>
          <w:szCs w:val="24"/>
        </w:rPr>
        <w:t>址：___________________________________</w:t>
      </w:r>
    </w:p>
    <w:p w14:paraId="388861AA">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开户银行：___________________________________</w:t>
      </w:r>
    </w:p>
    <w:p w14:paraId="04DE065F">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帐</w:t>
      </w:r>
      <w:r>
        <w:rPr>
          <w:rFonts w:ascii="宋体" w:hAnsi="宋体" w:cs="宋体"/>
          <w:color w:val="auto"/>
          <w:sz w:val="24"/>
          <w:szCs w:val="24"/>
        </w:rPr>
        <w:t xml:space="preserve">    </w:t>
      </w:r>
      <w:r>
        <w:rPr>
          <w:rFonts w:hint="eastAsia" w:ascii="宋体" w:hAnsi="宋体" w:cs="宋体"/>
          <w:color w:val="auto"/>
          <w:sz w:val="24"/>
          <w:szCs w:val="24"/>
        </w:rPr>
        <w:t>号：___________________________________</w:t>
      </w:r>
    </w:p>
    <w:p w14:paraId="0D4DFBF4">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电</w:t>
      </w:r>
      <w:r>
        <w:rPr>
          <w:rFonts w:ascii="宋体" w:hAnsi="宋体" w:cs="宋体"/>
          <w:color w:val="auto"/>
          <w:sz w:val="24"/>
          <w:szCs w:val="24"/>
        </w:rPr>
        <w:t xml:space="preserve">    </w:t>
      </w:r>
      <w:r>
        <w:rPr>
          <w:rFonts w:hint="eastAsia" w:ascii="宋体" w:hAnsi="宋体" w:cs="宋体"/>
          <w:color w:val="auto"/>
          <w:sz w:val="24"/>
          <w:szCs w:val="24"/>
        </w:rPr>
        <w:t>话：___________________________________</w:t>
      </w:r>
    </w:p>
    <w:p w14:paraId="4801DBFD">
      <w:pPr>
        <w:adjustRightInd w:val="0"/>
        <w:snapToGrid w:val="0"/>
        <w:spacing w:line="480" w:lineRule="exact"/>
        <w:ind w:firstLine="480" w:firstLineChars="200"/>
        <w:jc w:val="left"/>
        <w:rPr>
          <w:rFonts w:ascii="宋体" w:cs="Times New Roman"/>
          <w:color w:val="auto"/>
          <w:sz w:val="24"/>
          <w:szCs w:val="24"/>
          <w:u w:val="single"/>
        </w:rPr>
      </w:pPr>
      <w:r>
        <w:rPr>
          <w:rFonts w:hint="eastAsia" w:ascii="宋体" w:hAnsi="宋体" w:cs="宋体"/>
          <w:color w:val="auto"/>
          <w:sz w:val="24"/>
          <w:szCs w:val="24"/>
        </w:rPr>
        <w:t>邮</w:t>
      </w:r>
      <w:r>
        <w:rPr>
          <w:rFonts w:ascii="宋体" w:hAnsi="宋体" w:cs="宋体"/>
          <w:color w:val="auto"/>
          <w:sz w:val="24"/>
          <w:szCs w:val="24"/>
        </w:rPr>
        <w:t xml:space="preserve">    </w:t>
      </w:r>
      <w:r>
        <w:rPr>
          <w:rFonts w:hint="eastAsia" w:ascii="宋体" w:hAnsi="宋体" w:cs="宋体"/>
          <w:color w:val="auto"/>
          <w:sz w:val="24"/>
          <w:szCs w:val="24"/>
        </w:rPr>
        <w:t>编：___________________________________</w:t>
      </w:r>
    </w:p>
    <w:p w14:paraId="7595CA51">
      <w:pPr>
        <w:adjustRightInd w:val="0"/>
        <w:snapToGrid w:val="0"/>
        <w:spacing w:line="480" w:lineRule="exact"/>
        <w:ind w:firstLine="480" w:firstLineChars="200"/>
        <w:rPr>
          <w:rFonts w:ascii="宋体" w:cs="Times New Roman"/>
          <w:color w:val="auto"/>
          <w:sz w:val="24"/>
          <w:szCs w:val="24"/>
        </w:rPr>
        <w:sectPr>
          <w:pgSz w:w="11906" w:h="16838"/>
          <w:pgMar w:top="1361" w:right="1417" w:bottom="1361" w:left="1417" w:header="1134" w:footer="992" w:gutter="0"/>
          <w:pgNumType w:fmt="decimal"/>
          <w:cols w:space="0" w:num="1"/>
          <w:titlePg/>
          <w:rtlGutter w:val="0"/>
          <w:docGrid w:type="lines" w:linePitch="328"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bookmarkStart w:id="160" w:name="_Toc28494"/>
    </w:p>
    <w:bookmarkEnd w:id="160"/>
    <w:p w14:paraId="1A75FD13">
      <w:pPr>
        <w:autoSpaceDE w:val="0"/>
        <w:autoSpaceDN w:val="0"/>
        <w:adjustRightInd w:val="0"/>
        <w:snapToGrid w:val="0"/>
        <w:spacing w:line="360" w:lineRule="auto"/>
        <w:jc w:val="center"/>
        <w:rPr>
          <w:b/>
          <w:color w:val="auto"/>
          <w:sz w:val="24"/>
        </w:rPr>
      </w:pPr>
      <w:bookmarkStart w:id="161" w:name="_Toc11309"/>
      <w:r>
        <w:rPr>
          <w:rFonts w:hint="eastAsia" w:hAnsi="宋体"/>
          <w:b/>
          <w:color w:val="auto"/>
          <w:sz w:val="32"/>
          <w:szCs w:val="32"/>
        </w:rPr>
        <w:t>第二章 响应报价表</w:t>
      </w:r>
    </w:p>
    <w:p w14:paraId="5CBFF5F4">
      <w:pPr>
        <w:autoSpaceDE w:val="0"/>
        <w:autoSpaceDN w:val="0"/>
        <w:adjustRightInd w:val="0"/>
        <w:snapToGrid w:val="0"/>
        <w:spacing w:line="360" w:lineRule="auto"/>
        <w:rPr>
          <w:rFonts w:ascii="宋体" w:hAnsi="宋体" w:cs="宋体"/>
          <w:b/>
          <w:color w:val="auto"/>
          <w:sz w:val="24"/>
          <w:szCs w:val="24"/>
        </w:rPr>
      </w:pPr>
      <w:r>
        <w:rPr>
          <w:rFonts w:hint="eastAsia" w:ascii="宋体" w:hAnsi="宋体" w:cs="宋体"/>
          <w:b/>
          <w:color w:val="auto"/>
          <w:sz w:val="24"/>
          <w:szCs w:val="24"/>
        </w:rPr>
        <w:t xml:space="preserve"> </w:t>
      </w:r>
    </w:p>
    <w:p w14:paraId="2A83EF32">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供应商名称：                                        </w:t>
      </w:r>
    </w:p>
    <w:p w14:paraId="7B21F95E">
      <w:pPr>
        <w:adjustRightInd w:val="0"/>
        <w:snapToGrid w:val="0"/>
        <w:spacing w:line="360" w:lineRule="auto"/>
        <w:ind w:firstLine="480" w:firstLineChars="200"/>
        <w:jc w:val="left"/>
        <w:rPr>
          <w:rFonts w:hint="default" w:ascii="宋体" w:cs="Times New Roman" w:eastAsiaTheme="minorEastAsia"/>
          <w:color w:val="auto"/>
          <w:sz w:val="24"/>
          <w:szCs w:val="24"/>
          <w:lang w:val="en-US" w:eastAsia="zh-CN"/>
        </w:rPr>
      </w:pPr>
      <w:r>
        <w:rPr>
          <w:rFonts w:hint="eastAsia" w:ascii="宋体" w:hAnsi="宋体" w:cs="宋体"/>
          <w:color w:val="auto"/>
          <w:sz w:val="24"/>
          <w:szCs w:val="24"/>
        </w:rPr>
        <w:t xml:space="preserve">项目名称：  </w:t>
      </w:r>
      <w:r>
        <w:rPr>
          <w:rFonts w:hint="eastAsia" w:cs="Times New Roman" w:asciiTheme="minorEastAsia" w:hAnsiTheme="minorEastAsia" w:eastAsiaTheme="minorEastAsia"/>
          <w:color w:val="auto"/>
          <w:sz w:val="28"/>
          <w:szCs w:val="28"/>
        </w:rPr>
        <w:t xml:space="preserve">                             </w:t>
      </w:r>
      <w:r>
        <w:rPr>
          <w:rFonts w:hint="eastAsia" w:cs="Times New Roman" w:asciiTheme="minorEastAsia" w:hAnsiTheme="minorEastAsia" w:eastAsiaTheme="minorEastAsia"/>
          <w:color w:val="auto"/>
          <w:sz w:val="28"/>
          <w:szCs w:val="28"/>
          <w:lang w:val="en-US" w:eastAsia="zh-CN"/>
        </w:rPr>
        <w:t xml:space="preserve">  </w:t>
      </w:r>
    </w:p>
    <w:tbl>
      <w:tblPr>
        <w:tblStyle w:val="35"/>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2953"/>
        <w:gridCol w:w="1978"/>
        <w:gridCol w:w="2038"/>
      </w:tblGrid>
      <w:tr w14:paraId="4365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2649" w:type="dxa"/>
            <w:tcBorders>
              <w:tl2br w:val="single" w:color="auto" w:sz="4" w:space="0"/>
            </w:tcBorders>
          </w:tcPr>
          <w:p w14:paraId="5EA6B98A">
            <w:pPr>
              <w:kinsoku w:val="0"/>
              <w:spacing w:line="500" w:lineRule="exact"/>
              <w:ind w:firstLine="720" w:firstLineChars="300"/>
              <w:rPr>
                <w:rFonts w:ascii="宋体" w:hAnsi="宋体" w:cs="Times New Roman"/>
                <w:color w:val="auto"/>
                <w:sz w:val="24"/>
                <w:szCs w:val="24"/>
              </w:rPr>
            </w:pPr>
            <w:r>
              <w:rPr>
                <w:rFonts w:hint="eastAsia" w:ascii="宋体" w:hAnsi="宋体" w:cs="Times New Roman"/>
                <w:color w:val="auto"/>
                <w:sz w:val="24"/>
                <w:szCs w:val="24"/>
              </w:rPr>
              <w:t>报价内容</w:t>
            </w:r>
          </w:p>
          <w:p w14:paraId="2104F0EC">
            <w:pPr>
              <w:kinsoku w:val="0"/>
              <w:spacing w:line="500" w:lineRule="exact"/>
              <w:rPr>
                <w:rFonts w:ascii="宋体" w:hAnsi="宋体" w:cs="Times New Roman"/>
                <w:color w:val="auto"/>
                <w:sz w:val="24"/>
                <w:szCs w:val="24"/>
              </w:rPr>
            </w:pPr>
          </w:p>
          <w:p w14:paraId="5CBE8ADD">
            <w:pPr>
              <w:kinsoku w:val="0"/>
              <w:spacing w:line="500" w:lineRule="exact"/>
              <w:rPr>
                <w:rFonts w:ascii="宋体" w:hAnsi="宋体" w:cs="Times New Roman"/>
                <w:color w:val="auto"/>
                <w:sz w:val="24"/>
                <w:szCs w:val="24"/>
              </w:rPr>
            </w:pPr>
          </w:p>
          <w:p w14:paraId="22FDFA9E">
            <w:pPr>
              <w:kinsoku w:val="0"/>
              <w:spacing w:line="500" w:lineRule="exact"/>
              <w:rPr>
                <w:rFonts w:ascii="宋体" w:hAnsi="宋体" w:cs="Times New Roman"/>
                <w:color w:val="auto"/>
                <w:sz w:val="24"/>
                <w:szCs w:val="24"/>
              </w:rPr>
            </w:pPr>
          </w:p>
          <w:p w14:paraId="7716EC03">
            <w:pPr>
              <w:kinsoku w:val="0"/>
              <w:spacing w:line="500" w:lineRule="exact"/>
              <w:rPr>
                <w:rFonts w:ascii="宋体" w:hAnsi="宋体" w:cs="Times New Roman"/>
                <w:color w:val="auto"/>
                <w:sz w:val="24"/>
                <w:szCs w:val="24"/>
              </w:rPr>
            </w:pPr>
            <w:r>
              <w:rPr>
                <w:rFonts w:hint="eastAsia" w:ascii="宋体" w:hAnsi="宋体" w:cs="Times New Roman"/>
                <w:color w:val="auto"/>
                <w:sz w:val="24"/>
                <w:szCs w:val="24"/>
              </w:rPr>
              <w:t>投标内容</w:t>
            </w:r>
          </w:p>
        </w:tc>
        <w:tc>
          <w:tcPr>
            <w:tcW w:w="2953" w:type="dxa"/>
            <w:vAlign w:val="center"/>
          </w:tcPr>
          <w:p w14:paraId="161F5446">
            <w:pPr>
              <w:kinsoku w:val="0"/>
              <w:spacing w:line="500" w:lineRule="exact"/>
              <w:ind w:firstLine="141" w:firstLineChars="59"/>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投标总价</w:t>
            </w:r>
          </w:p>
          <w:p w14:paraId="1A99F9C9">
            <w:pPr>
              <w:kinsoku w:val="0"/>
              <w:spacing w:line="500" w:lineRule="exact"/>
              <w:ind w:firstLine="141" w:firstLineChars="59"/>
              <w:jc w:val="center"/>
              <w:rPr>
                <w:rFonts w:hint="default" w:eastAsia="宋体"/>
                <w:color w:val="auto"/>
                <w:lang w:val="en-US" w:eastAsia="zh-CN"/>
              </w:rPr>
            </w:pPr>
            <w:r>
              <w:rPr>
                <w:rFonts w:hint="eastAsia" w:ascii="宋体" w:hAnsi="宋体"/>
                <w:color w:val="auto"/>
                <w:sz w:val="24"/>
                <w:szCs w:val="24"/>
                <w:lang w:val="en-US" w:eastAsia="zh-CN"/>
              </w:rPr>
              <w:t>（元）</w:t>
            </w:r>
          </w:p>
        </w:tc>
        <w:tc>
          <w:tcPr>
            <w:tcW w:w="1978" w:type="dxa"/>
            <w:vAlign w:val="center"/>
          </w:tcPr>
          <w:p w14:paraId="342F0776">
            <w:pPr>
              <w:kinsoku w:val="0"/>
              <w:spacing w:line="500" w:lineRule="exact"/>
              <w:ind w:firstLine="141" w:firstLineChars="59"/>
              <w:jc w:val="center"/>
              <w:rPr>
                <w:rFonts w:hint="eastAsia" w:ascii="宋体" w:hAnsi="宋体" w:eastAsia="宋体" w:cs="Times New Roman"/>
                <w:color w:val="auto"/>
                <w:sz w:val="24"/>
                <w:szCs w:val="24"/>
                <w:lang w:eastAsia="zh-CN"/>
              </w:rPr>
            </w:pPr>
            <w:r>
              <w:rPr>
                <w:rFonts w:hint="eastAsia" w:ascii="宋体" w:hAnsi="宋体" w:cs="宋体"/>
                <w:color w:val="auto"/>
                <w:kern w:val="0"/>
                <w:sz w:val="24"/>
                <w:szCs w:val="24"/>
              </w:rPr>
              <w:t>合同履行期限</w:t>
            </w:r>
          </w:p>
        </w:tc>
        <w:tc>
          <w:tcPr>
            <w:tcW w:w="2038" w:type="dxa"/>
            <w:vAlign w:val="center"/>
          </w:tcPr>
          <w:p w14:paraId="0E0A2A4C">
            <w:pPr>
              <w:kinsoku w:val="0"/>
              <w:spacing w:line="500" w:lineRule="exact"/>
              <w:jc w:val="center"/>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备注</w:t>
            </w:r>
          </w:p>
        </w:tc>
      </w:tr>
      <w:tr w14:paraId="08CD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2649" w:type="dxa"/>
            <w:vAlign w:val="center"/>
          </w:tcPr>
          <w:p w14:paraId="531CC9B6">
            <w:pPr>
              <w:pStyle w:val="46"/>
              <w:spacing w:line="360" w:lineRule="auto"/>
              <w:ind w:firstLine="0" w:firstLineChars="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安康市中医医院物流系统维保服务采购项目（三次）</w:t>
            </w:r>
          </w:p>
          <w:p w14:paraId="5E74AB75">
            <w:pPr>
              <w:kinsoku w:val="0"/>
              <w:spacing w:line="500" w:lineRule="exact"/>
              <w:jc w:val="center"/>
              <w:rPr>
                <w:rFonts w:ascii="宋体" w:hAnsi="宋体" w:cs="Times New Roman"/>
                <w:color w:val="auto"/>
                <w:sz w:val="24"/>
                <w:szCs w:val="24"/>
              </w:rPr>
            </w:pPr>
          </w:p>
        </w:tc>
        <w:tc>
          <w:tcPr>
            <w:tcW w:w="2953" w:type="dxa"/>
            <w:vAlign w:val="center"/>
          </w:tcPr>
          <w:p w14:paraId="79206D04">
            <w:pPr>
              <w:kinsoku w:val="0"/>
              <w:spacing w:line="500" w:lineRule="exact"/>
              <w:rPr>
                <w:rFonts w:ascii="宋体" w:hAnsi="宋体" w:cs="Times New Roman"/>
                <w:color w:val="auto"/>
                <w:sz w:val="24"/>
                <w:szCs w:val="24"/>
              </w:rPr>
            </w:pPr>
          </w:p>
        </w:tc>
        <w:tc>
          <w:tcPr>
            <w:tcW w:w="1978" w:type="dxa"/>
            <w:vAlign w:val="center"/>
          </w:tcPr>
          <w:p w14:paraId="0F085AF2">
            <w:pPr>
              <w:kinsoku w:val="0"/>
              <w:spacing w:line="500" w:lineRule="exact"/>
              <w:jc w:val="center"/>
              <w:rPr>
                <w:rFonts w:ascii="宋体" w:hAnsi="宋体" w:cs="Times New Roman"/>
                <w:color w:val="auto"/>
                <w:sz w:val="24"/>
                <w:szCs w:val="24"/>
              </w:rPr>
            </w:pPr>
          </w:p>
        </w:tc>
        <w:tc>
          <w:tcPr>
            <w:tcW w:w="2038" w:type="dxa"/>
            <w:vAlign w:val="center"/>
          </w:tcPr>
          <w:p w14:paraId="4AA09EDF">
            <w:pPr>
              <w:kinsoku w:val="0"/>
              <w:spacing w:line="500" w:lineRule="exact"/>
              <w:jc w:val="center"/>
              <w:rPr>
                <w:rFonts w:ascii="宋体" w:hAnsi="宋体" w:cs="Times New Roman"/>
                <w:color w:val="auto"/>
                <w:sz w:val="24"/>
                <w:szCs w:val="24"/>
              </w:rPr>
            </w:pPr>
          </w:p>
        </w:tc>
      </w:tr>
    </w:tbl>
    <w:p w14:paraId="4A547802">
      <w:pPr>
        <w:spacing w:line="360" w:lineRule="auto"/>
        <w:jc w:val="left"/>
        <w:rPr>
          <w:rFonts w:ascii="宋体" w:hAnsi="宋体" w:cs="仿宋"/>
          <w:color w:val="auto"/>
          <w:sz w:val="24"/>
          <w:szCs w:val="24"/>
        </w:rPr>
      </w:pPr>
    </w:p>
    <w:p w14:paraId="411C78CB">
      <w:pPr>
        <w:spacing w:line="360" w:lineRule="auto"/>
        <w:jc w:val="left"/>
        <w:rPr>
          <w:rFonts w:ascii="宋体" w:hAnsi="宋体" w:cs="仿宋"/>
          <w:b/>
          <w:bCs/>
          <w:color w:val="auto"/>
          <w:sz w:val="24"/>
          <w:szCs w:val="24"/>
        </w:rPr>
      </w:pPr>
      <w:r>
        <w:rPr>
          <w:rFonts w:hint="eastAsia" w:ascii="宋体" w:hAnsi="宋体" w:cs="仿宋"/>
          <w:b/>
          <w:bCs/>
          <w:color w:val="auto"/>
          <w:sz w:val="24"/>
          <w:szCs w:val="24"/>
        </w:rPr>
        <w:t>备注</w:t>
      </w:r>
      <w:r>
        <w:rPr>
          <w:rFonts w:ascii="宋体" w:hAnsi="宋体" w:cs="仿宋"/>
          <w:b/>
          <w:bCs/>
          <w:color w:val="auto"/>
          <w:sz w:val="24"/>
          <w:szCs w:val="24"/>
        </w:rPr>
        <w:t>：</w:t>
      </w:r>
    </w:p>
    <w:p w14:paraId="0D7CD988">
      <w:pPr>
        <w:spacing w:line="360" w:lineRule="auto"/>
        <w:ind w:firstLine="361" w:firstLineChars="150"/>
        <w:jc w:val="left"/>
        <w:rPr>
          <w:rFonts w:ascii="宋体" w:hAnsi="宋体" w:cs="仿宋"/>
          <w:b/>
          <w:bCs/>
          <w:color w:val="auto"/>
          <w:sz w:val="24"/>
          <w:szCs w:val="24"/>
        </w:rPr>
      </w:pPr>
      <w:r>
        <w:rPr>
          <w:rFonts w:hint="eastAsia" w:ascii="宋体" w:hAnsi="宋体" w:cs="仿宋"/>
          <w:b/>
          <w:bCs/>
          <w:color w:val="auto"/>
          <w:sz w:val="24"/>
          <w:szCs w:val="24"/>
        </w:rPr>
        <w:t>投标人所报的价格应考虑到可能发生的所有与完成本项目相关服务及履行合同义务有关的一切费用。</w:t>
      </w:r>
    </w:p>
    <w:p w14:paraId="1DE50C0E">
      <w:pPr>
        <w:kinsoku w:val="0"/>
        <w:spacing w:line="360" w:lineRule="auto"/>
        <w:jc w:val="left"/>
        <w:rPr>
          <w:rFonts w:ascii="宋体" w:cs="Times New Roman"/>
          <w:color w:val="auto"/>
          <w:sz w:val="24"/>
          <w:szCs w:val="24"/>
        </w:rPr>
      </w:pPr>
    </w:p>
    <w:p w14:paraId="1B077F36">
      <w:pPr>
        <w:adjustRightInd w:val="0"/>
        <w:snapToGrid w:val="0"/>
        <w:spacing w:line="480" w:lineRule="auto"/>
        <w:jc w:val="left"/>
        <w:rPr>
          <w:color w:val="auto"/>
        </w:rPr>
      </w:pPr>
      <w:r>
        <w:rPr>
          <w:rFonts w:hint="eastAsia" w:ascii="宋体" w:hAnsi="宋体" w:cs="宋体"/>
          <w:color w:val="auto"/>
          <w:sz w:val="24"/>
          <w:szCs w:val="24"/>
        </w:rPr>
        <w:t xml:space="preserve">供应商（单位名称及公章）：____________________________  </w:t>
      </w:r>
    </w:p>
    <w:p w14:paraId="0CC2D610">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法定代表人或被授权人（</w:t>
      </w:r>
      <w:r>
        <w:rPr>
          <w:rFonts w:hint="eastAsia" w:ascii="宋体" w:hAnsi="宋体" w:cs="宋体"/>
          <w:color w:val="auto"/>
          <w:spacing w:val="4"/>
          <w:sz w:val="24"/>
        </w:rPr>
        <w:t>签字或盖章</w:t>
      </w:r>
      <w:r>
        <w:rPr>
          <w:rFonts w:hint="eastAsia" w:ascii="宋体" w:hAnsi="宋体" w:cs="宋体"/>
          <w:color w:val="auto"/>
          <w:sz w:val="24"/>
          <w:szCs w:val="24"/>
        </w:rPr>
        <w:t>）：________________________</w:t>
      </w:r>
    </w:p>
    <w:p w14:paraId="108F9C71">
      <w:pPr>
        <w:adjustRightInd w:val="0"/>
        <w:snapToGrid w:val="0"/>
        <w:spacing w:line="480" w:lineRule="auto"/>
        <w:rPr>
          <w:rFonts w:ascii="宋体" w:hAnsi="宋体" w:cs="宋体"/>
          <w:color w:val="auto"/>
          <w:sz w:val="24"/>
          <w:szCs w:val="24"/>
        </w:rPr>
        <w:sectPr>
          <w:pgSz w:w="11906" w:h="16838"/>
          <w:pgMar w:top="1361" w:right="1417" w:bottom="1361" w:left="1417" w:header="1134" w:footer="992" w:gutter="0"/>
          <w:pgNumType w:fmt="decimal"/>
          <w:cols w:space="0" w:num="1"/>
          <w:titlePg/>
          <w:rtlGutter w:val="0"/>
          <w:docGrid w:type="lines" w:linePitch="328"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期：_______年_______月______日</w:t>
      </w:r>
    </w:p>
    <w:p w14:paraId="5B634A40">
      <w:pPr>
        <w:pStyle w:val="3"/>
        <w:jc w:val="center"/>
        <w:rPr>
          <w:rFonts w:ascii="Calibri Light" w:hAnsi="Calibri Light" w:cs="Times New Roman"/>
          <w:color w:val="auto"/>
          <w:sz w:val="32"/>
          <w:szCs w:val="32"/>
        </w:rPr>
      </w:pPr>
      <w:r>
        <w:rPr>
          <w:rFonts w:hint="eastAsia" w:ascii="Calibri Light" w:hAnsi="Calibri Light" w:cs="Times New Roman"/>
          <w:color w:val="auto"/>
          <w:sz w:val="32"/>
          <w:szCs w:val="32"/>
        </w:rPr>
        <w:t>投标分项报价表</w:t>
      </w:r>
    </w:p>
    <w:p w14:paraId="390CE905">
      <w:pPr>
        <w:tabs>
          <w:tab w:val="right" w:pos="8435"/>
        </w:tabs>
        <w:ind w:firstLine="280" w:firstLineChars="100"/>
        <w:rPr>
          <w:rFonts w:hint="eastAsia" w:ascii="宋体" w:hAnsi="宋体" w:cs="Times New Roman"/>
          <w:color w:val="auto"/>
          <w:sz w:val="28"/>
          <w:szCs w:val="28"/>
          <w:lang w:val="en-US" w:eastAsia="zh-CN"/>
        </w:rPr>
      </w:pPr>
      <w:r>
        <w:rPr>
          <w:rFonts w:hint="eastAsia" w:ascii="宋体" w:hAnsi="宋体" w:eastAsia="宋体" w:cs="Times New Roman"/>
          <w:color w:val="auto"/>
          <w:sz w:val="28"/>
          <w:szCs w:val="28"/>
          <w:lang w:val="en-US" w:eastAsia="zh-CN"/>
        </w:rPr>
        <w:t>投标人</w:t>
      </w:r>
      <w:r>
        <w:rPr>
          <w:rFonts w:hint="eastAsia" w:ascii="宋体" w:hAnsi="宋体" w:eastAsia="宋体" w:cs="Times New Roman"/>
          <w:color w:val="auto"/>
          <w:sz w:val="28"/>
          <w:szCs w:val="28"/>
        </w:rPr>
        <w:t>名称：</w:t>
      </w:r>
      <w:r>
        <w:rPr>
          <w:rFonts w:hint="eastAsia" w:ascii="宋体" w:hAnsi="宋体" w:eastAsia="宋体" w:cs="Times New Roman"/>
          <w:color w:val="auto"/>
          <w:sz w:val="28"/>
          <w:szCs w:val="28"/>
        </w:rPr>
        <w:tab/>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lang w:val="en-US" w:eastAsia="zh-CN"/>
        </w:rPr>
        <w:t xml:space="preserve"> </w:t>
      </w:r>
      <w:r>
        <w:rPr>
          <w:rFonts w:hint="eastAsia" w:ascii="宋体" w:hAnsi="宋体" w:cs="Times New Roman"/>
          <w:color w:val="auto"/>
          <w:sz w:val="28"/>
          <w:szCs w:val="28"/>
          <w:lang w:val="en-US" w:eastAsia="zh-CN"/>
        </w:rPr>
        <w:t xml:space="preserve"> </w:t>
      </w:r>
      <w:r>
        <w:rPr>
          <w:rFonts w:hint="eastAsia" w:ascii="宋体" w:hAnsi="宋体" w:eastAsia="宋体" w:cs="Times New Roman"/>
          <w:color w:val="auto"/>
          <w:sz w:val="28"/>
          <w:szCs w:val="28"/>
        </w:rPr>
        <w:t>金额单位：人民币 （元</w:t>
      </w:r>
      <w:r>
        <w:rPr>
          <w:rFonts w:hint="default" w:ascii="宋体" w:hAnsi="宋体" w:eastAsia="宋体" w:cs="Times New Roman"/>
          <w:color w:val="auto"/>
          <w:sz w:val="28"/>
          <w:szCs w:val="28"/>
        </w:rPr>
        <w:t>）</w:t>
      </w:r>
      <w:r>
        <w:rPr>
          <w:rFonts w:hint="eastAsia" w:ascii="宋体" w:hAnsi="宋体" w:cs="Times New Roman"/>
          <w:color w:val="auto"/>
          <w:sz w:val="28"/>
          <w:szCs w:val="28"/>
          <w:lang w:val="en-US" w:eastAsia="zh-CN"/>
        </w:rPr>
        <w:t xml:space="preserve"> </w:t>
      </w:r>
    </w:p>
    <w:tbl>
      <w:tblPr>
        <w:tblStyle w:val="35"/>
        <w:tblW w:w="4982"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07"/>
        <w:gridCol w:w="2064"/>
        <w:gridCol w:w="1257"/>
        <w:gridCol w:w="1257"/>
        <w:gridCol w:w="1257"/>
        <w:gridCol w:w="463"/>
        <w:gridCol w:w="2350"/>
      </w:tblGrid>
      <w:tr w14:paraId="38372D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328" w:type="pct"/>
            <w:vAlign w:val="center"/>
          </w:tcPr>
          <w:p w14:paraId="535E467C">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序号</w:t>
            </w:r>
          </w:p>
        </w:tc>
        <w:tc>
          <w:tcPr>
            <w:tcW w:w="1115" w:type="pct"/>
            <w:vAlign w:val="center"/>
          </w:tcPr>
          <w:p w14:paraId="6F036F1D">
            <w:pPr>
              <w:keepNext w:val="0"/>
              <w:keepLines w:val="0"/>
              <w:widowControl/>
              <w:suppressLineNumbers w:val="0"/>
              <w:topLinePunct/>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服务内容</w:t>
            </w:r>
          </w:p>
        </w:tc>
        <w:tc>
          <w:tcPr>
            <w:tcW w:w="679" w:type="pct"/>
            <w:vAlign w:val="center"/>
          </w:tcPr>
          <w:p w14:paraId="16330DA5">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数量</w:t>
            </w:r>
          </w:p>
        </w:tc>
        <w:tc>
          <w:tcPr>
            <w:tcW w:w="679" w:type="pct"/>
            <w:vAlign w:val="center"/>
          </w:tcPr>
          <w:p w14:paraId="3E66EFEB">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单价</w:t>
            </w:r>
          </w:p>
        </w:tc>
        <w:tc>
          <w:tcPr>
            <w:tcW w:w="679" w:type="pct"/>
            <w:vAlign w:val="center"/>
          </w:tcPr>
          <w:p w14:paraId="4DC6E168">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总价</w:t>
            </w:r>
          </w:p>
        </w:tc>
        <w:tc>
          <w:tcPr>
            <w:tcW w:w="1515" w:type="pct"/>
            <w:gridSpan w:val="2"/>
            <w:vAlign w:val="center"/>
          </w:tcPr>
          <w:p w14:paraId="404D7B74">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p>
          <w:p w14:paraId="07B29F1A">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r>
              <w:rPr>
                <w:rFonts w:hint="eastAsia" w:ascii="宋体" w:hAnsi="宋体" w:eastAsia="宋体" w:cs="Times New Roman"/>
                <w:color w:val="auto"/>
                <w:sz w:val="28"/>
                <w:szCs w:val="28"/>
              </w:rPr>
              <w:t>备注</w:t>
            </w:r>
          </w:p>
          <w:p w14:paraId="2279EEB6">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sz w:val="28"/>
                <w:szCs w:val="28"/>
              </w:rPr>
            </w:pPr>
          </w:p>
        </w:tc>
      </w:tr>
      <w:tr w14:paraId="33641D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44155F4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1</w:t>
            </w:r>
          </w:p>
        </w:tc>
        <w:tc>
          <w:tcPr>
            <w:tcW w:w="1115" w:type="pct"/>
            <w:vAlign w:val="center"/>
          </w:tcPr>
          <w:p w14:paraId="676EEF44">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79" w:type="pct"/>
            <w:vAlign w:val="center"/>
          </w:tcPr>
          <w:p w14:paraId="29AD25E5">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1200CEE1">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6A0778C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5" w:type="pct"/>
            <w:gridSpan w:val="2"/>
            <w:vAlign w:val="center"/>
          </w:tcPr>
          <w:p w14:paraId="5DBB2C83">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7116BF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4E39E924">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2</w:t>
            </w:r>
          </w:p>
        </w:tc>
        <w:tc>
          <w:tcPr>
            <w:tcW w:w="1115" w:type="pct"/>
            <w:vAlign w:val="center"/>
          </w:tcPr>
          <w:p w14:paraId="1DAEC679">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79" w:type="pct"/>
            <w:vAlign w:val="center"/>
          </w:tcPr>
          <w:p w14:paraId="4FE05E1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6E90E12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61EBB30A">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5" w:type="pct"/>
            <w:gridSpan w:val="2"/>
            <w:vAlign w:val="center"/>
          </w:tcPr>
          <w:p w14:paraId="5DC2DD8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1CFA2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75CAE52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3</w:t>
            </w:r>
          </w:p>
        </w:tc>
        <w:tc>
          <w:tcPr>
            <w:tcW w:w="1115" w:type="pct"/>
            <w:vAlign w:val="center"/>
          </w:tcPr>
          <w:p w14:paraId="1184EE03">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79" w:type="pct"/>
            <w:vAlign w:val="center"/>
          </w:tcPr>
          <w:p w14:paraId="7133A8D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375978BB">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358B464A">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5" w:type="pct"/>
            <w:gridSpan w:val="2"/>
            <w:vAlign w:val="center"/>
          </w:tcPr>
          <w:p w14:paraId="6CD9547B">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308C1A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356132EF">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4</w:t>
            </w:r>
          </w:p>
        </w:tc>
        <w:tc>
          <w:tcPr>
            <w:tcW w:w="1115" w:type="pct"/>
            <w:vAlign w:val="center"/>
          </w:tcPr>
          <w:p w14:paraId="0DD18A8C">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79" w:type="pct"/>
            <w:vAlign w:val="center"/>
          </w:tcPr>
          <w:p w14:paraId="0B086345">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2657C954">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2A5ACEC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5" w:type="pct"/>
            <w:gridSpan w:val="2"/>
            <w:vAlign w:val="center"/>
          </w:tcPr>
          <w:p w14:paraId="6690EACF">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1D2628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36C0581C">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5</w:t>
            </w:r>
          </w:p>
        </w:tc>
        <w:tc>
          <w:tcPr>
            <w:tcW w:w="1115" w:type="pct"/>
            <w:vAlign w:val="center"/>
          </w:tcPr>
          <w:p w14:paraId="52BF929D">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Times New Roman"/>
                <w:color w:val="auto"/>
                <w:kern w:val="2"/>
                <w:sz w:val="28"/>
                <w:szCs w:val="28"/>
                <w:lang w:val="en-US" w:eastAsia="zh-CN" w:bidi="ar-SA"/>
              </w:rPr>
            </w:pPr>
          </w:p>
        </w:tc>
        <w:tc>
          <w:tcPr>
            <w:tcW w:w="679" w:type="pct"/>
            <w:vAlign w:val="center"/>
          </w:tcPr>
          <w:p w14:paraId="225E7D6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4FA7A583">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152FA973">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5" w:type="pct"/>
            <w:gridSpan w:val="2"/>
            <w:vAlign w:val="center"/>
          </w:tcPr>
          <w:p w14:paraId="52B4D2F4">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374E64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328" w:type="pct"/>
            <w:vAlign w:val="center"/>
          </w:tcPr>
          <w:p w14:paraId="3E88942F">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115" w:type="pct"/>
            <w:vAlign w:val="center"/>
          </w:tcPr>
          <w:p w14:paraId="070B10D5">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15013C5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4F2C136A">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679" w:type="pct"/>
            <w:vAlign w:val="center"/>
          </w:tcPr>
          <w:p w14:paraId="4AA89557">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c>
          <w:tcPr>
            <w:tcW w:w="1515" w:type="pct"/>
            <w:gridSpan w:val="2"/>
            <w:vAlign w:val="center"/>
          </w:tcPr>
          <w:p w14:paraId="77F0E3C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8"/>
                <w:szCs w:val="28"/>
              </w:rPr>
            </w:pPr>
          </w:p>
        </w:tc>
      </w:tr>
      <w:tr w14:paraId="32F818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3730" w:type="pct"/>
            <w:gridSpan w:val="6"/>
            <w:vAlign w:val="center"/>
          </w:tcPr>
          <w:p w14:paraId="28242728">
            <w:pPr>
              <w:keepNext w:val="0"/>
              <w:keepLines w:val="0"/>
              <w:suppressLineNumbers w:val="0"/>
              <w:spacing w:before="0" w:beforeAutospacing="0" w:after="0" w:afterAutospacing="0"/>
              <w:ind w:left="0" w:right="0"/>
              <w:rPr>
                <w:rFonts w:hint="eastAsia" w:ascii="宋体" w:hAnsi="宋体" w:eastAsia="宋体" w:cs="Times New Roman"/>
                <w:color w:val="auto"/>
                <w:sz w:val="28"/>
                <w:szCs w:val="28"/>
              </w:rPr>
            </w:pPr>
            <w:r>
              <w:rPr>
                <w:rFonts w:hint="eastAsia" w:ascii="宋体" w:hAnsi="宋体" w:eastAsia="宋体" w:cs="Times New Roman"/>
                <w:color w:val="auto"/>
                <w:sz w:val="28"/>
                <w:szCs w:val="28"/>
              </w:rPr>
              <w:t>总计（大写</w:t>
            </w:r>
            <w:r>
              <w:rPr>
                <w:rFonts w:hint="default" w:ascii="宋体" w:hAnsi="宋体" w:eastAsia="宋体" w:cs="Times New Roman"/>
                <w:color w:val="auto"/>
                <w:sz w:val="28"/>
                <w:szCs w:val="28"/>
              </w:rPr>
              <w:t>）</w:t>
            </w:r>
            <w:r>
              <w:rPr>
                <w:rFonts w:hint="eastAsia" w:ascii="宋体" w:hAnsi="宋体" w:eastAsia="宋体" w:cs="Times New Roman"/>
                <w:color w:val="auto"/>
                <w:sz w:val="28"/>
                <w:szCs w:val="28"/>
              </w:rPr>
              <w:t>：</w:t>
            </w:r>
          </w:p>
        </w:tc>
        <w:tc>
          <w:tcPr>
            <w:tcW w:w="1269" w:type="pct"/>
            <w:vAlign w:val="center"/>
          </w:tcPr>
          <w:p w14:paraId="4A093C8E">
            <w:pPr>
              <w:keepNext w:val="0"/>
              <w:keepLines w:val="0"/>
              <w:suppressLineNumbers w:val="0"/>
              <w:spacing w:before="0" w:beforeAutospacing="0" w:after="0" w:afterAutospacing="0"/>
              <w:ind w:left="0" w:right="0"/>
              <w:rPr>
                <w:rFonts w:hint="eastAsia" w:ascii="宋体" w:hAnsi="宋体" w:eastAsia="宋体" w:cs="Times New Roman"/>
                <w:color w:val="auto"/>
                <w:sz w:val="28"/>
                <w:szCs w:val="28"/>
              </w:rPr>
            </w:pPr>
            <w:r>
              <w:rPr>
                <w:rFonts w:hint="eastAsia" w:ascii="宋体" w:hAnsi="宋体" w:eastAsia="宋体" w:cs="Times New Roman"/>
                <w:color w:val="auto"/>
                <w:sz w:val="28"/>
                <w:szCs w:val="28"/>
              </w:rPr>
              <w:t>小写</w:t>
            </w:r>
            <w:r>
              <w:rPr>
                <w:rFonts w:hint="default" w:ascii="宋体" w:hAnsi="宋体" w:eastAsia="宋体" w:cs="Times New Roman"/>
                <w:color w:val="auto"/>
                <w:sz w:val="28"/>
                <w:szCs w:val="28"/>
              </w:rPr>
              <w:t>：</w:t>
            </w:r>
          </w:p>
        </w:tc>
      </w:tr>
    </w:tbl>
    <w:p w14:paraId="3339A574">
      <w:pPr>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注：1.投标人可根据实际情况自行扩展表格细项。</w:t>
      </w:r>
    </w:p>
    <w:p w14:paraId="6B4616CE">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2.如果分项报价合计与投标总报价不一致，以分项报价合计为准进行结算。</w:t>
      </w:r>
    </w:p>
    <w:p w14:paraId="71562874">
      <w:pPr>
        <w:spacing w:line="360" w:lineRule="auto"/>
        <w:ind w:firstLine="480" w:firstLineChars="200"/>
        <w:rPr>
          <w:rFonts w:hint="eastAsia" w:ascii="宋体" w:hAnsi="宋体" w:cs="仿宋"/>
          <w:color w:val="auto"/>
          <w:sz w:val="24"/>
          <w:szCs w:val="24"/>
          <w:highlight w:val="none"/>
        </w:rPr>
      </w:pPr>
      <w:r>
        <w:rPr>
          <w:rFonts w:ascii="宋体" w:hAnsi="宋体" w:cs="仿宋"/>
          <w:color w:val="auto"/>
          <w:sz w:val="24"/>
          <w:szCs w:val="24"/>
          <w:highlight w:val="none"/>
        </w:rPr>
        <w:t>3.</w:t>
      </w:r>
      <w:r>
        <w:rPr>
          <w:rFonts w:hint="eastAsia" w:ascii="宋体" w:hAnsi="宋体" w:cs="仿宋"/>
          <w:color w:val="auto"/>
          <w:sz w:val="24"/>
          <w:szCs w:val="24"/>
          <w:highlight w:val="none"/>
        </w:rPr>
        <w:t>如果不提供详细分项报价将视为没有实质性响应</w:t>
      </w:r>
      <w:r>
        <w:rPr>
          <w:rFonts w:hint="eastAsia" w:ascii="宋体" w:hAnsi="宋体" w:cs="仿宋"/>
          <w:color w:val="auto"/>
          <w:sz w:val="24"/>
          <w:szCs w:val="24"/>
          <w:highlight w:val="none"/>
          <w:lang w:val="en-US" w:eastAsia="zh-CN"/>
        </w:rPr>
        <w:t>磋商</w:t>
      </w:r>
      <w:r>
        <w:rPr>
          <w:rFonts w:hint="eastAsia" w:ascii="宋体" w:hAnsi="宋体" w:cs="仿宋"/>
          <w:color w:val="auto"/>
          <w:sz w:val="24"/>
          <w:szCs w:val="24"/>
          <w:highlight w:val="none"/>
        </w:rPr>
        <w:t>文件。</w:t>
      </w:r>
    </w:p>
    <w:p w14:paraId="7F99DAFF">
      <w:pPr>
        <w:numPr>
          <w:ilvl w:val="0"/>
          <w:numId w:val="0"/>
        </w:numPr>
        <w:spacing w:line="360" w:lineRule="auto"/>
        <w:ind w:firstLine="480" w:firstLineChars="200"/>
        <w:rPr>
          <w:rFonts w:hint="eastAsia" w:ascii="宋体" w:hAnsi="宋体" w:cs="仿宋"/>
          <w:color w:val="auto"/>
          <w:sz w:val="24"/>
          <w:szCs w:val="24"/>
        </w:rPr>
      </w:pPr>
      <w:r>
        <w:rPr>
          <w:rFonts w:hint="eastAsia" w:ascii="宋体" w:hAnsi="宋体" w:eastAsia="宋体" w:cs="仿宋"/>
          <w:color w:val="auto"/>
          <w:kern w:val="2"/>
          <w:sz w:val="24"/>
          <w:szCs w:val="24"/>
          <w:highlight w:val="none"/>
          <w:lang w:val="en-US" w:eastAsia="zh-CN" w:bidi="ar-SA"/>
        </w:rPr>
        <w:t>4.如中标，本表内容将作为采购人验收、查找内容之一。</w:t>
      </w:r>
    </w:p>
    <w:p w14:paraId="01AA458B">
      <w:pPr>
        <w:pStyle w:val="22"/>
        <w:rPr>
          <w:color w:val="auto"/>
        </w:rPr>
      </w:pPr>
    </w:p>
    <w:p w14:paraId="174B02A9">
      <w:pPr>
        <w:pStyle w:val="22"/>
        <w:rPr>
          <w:color w:val="auto"/>
        </w:rPr>
      </w:pPr>
    </w:p>
    <w:p w14:paraId="5F9AFC4A">
      <w:pPr>
        <w:adjustRightInd w:val="0"/>
        <w:snapToGrid w:val="0"/>
        <w:spacing w:line="480" w:lineRule="auto"/>
        <w:jc w:val="left"/>
        <w:rPr>
          <w:rFonts w:ascii="宋体" w:cs="Times New Roman"/>
          <w:color w:val="auto"/>
          <w:sz w:val="24"/>
          <w:szCs w:val="24"/>
          <w:u w:val="single"/>
        </w:rPr>
      </w:pPr>
      <w:r>
        <w:rPr>
          <w:rFonts w:hint="eastAsia" w:ascii="宋体" w:hAnsi="宋体" w:cs="宋体"/>
          <w:color w:val="auto"/>
          <w:sz w:val="24"/>
          <w:szCs w:val="24"/>
          <w:lang w:val="en-US" w:eastAsia="zh-CN"/>
        </w:rPr>
        <w:t>投标人</w:t>
      </w:r>
      <w:r>
        <w:rPr>
          <w:rFonts w:hint="eastAsia" w:ascii="宋体" w:hAnsi="宋体" w:cs="宋体"/>
          <w:color w:val="auto"/>
          <w:sz w:val="24"/>
          <w:szCs w:val="24"/>
        </w:rPr>
        <w:t>（单位名称及公章）：____________________________</w:t>
      </w:r>
    </w:p>
    <w:p w14:paraId="514240DF">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）：____________________________</w:t>
      </w:r>
    </w:p>
    <w:p w14:paraId="7D7D7369">
      <w:pPr>
        <w:adjustRightInd w:val="0"/>
        <w:snapToGrid w:val="0"/>
        <w:spacing w:line="480" w:lineRule="auto"/>
        <w:rPr>
          <w:rFonts w:hint="eastAsia" w:ascii="宋体" w:hAnsi="宋体" w:cs="宋体"/>
          <w:color w:val="auto"/>
          <w:sz w:val="24"/>
          <w:szCs w:val="24"/>
        </w:rPr>
        <w:sectPr>
          <w:pgSz w:w="11906" w:h="16838"/>
          <w:pgMar w:top="1361" w:right="1417" w:bottom="1361" w:left="1417" w:header="1134" w:footer="992" w:gutter="0"/>
          <w:pgNumType w:fmt="decimal"/>
          <w:cols w:space="0" w:num="1"/>
          <w:titlePg/>
          <w:rtlGutter w:val="0"/>
          <w:docGrid w:type="lines" w:linePitch="328"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p>
    <w:p w14:paraId="146E8AC9">
      <w:pPr>
        <w:pStyle w:val="3"/>
        <w:pageBreakBefore/>
        <w:rPr>
          <w:rFonts w:ascii="宋体" w:hAnsi="宋体" w:cs="宋体"/>
          <w:color w:val="auto"/>
        </w:rPr>
      </w:pPr>
      <w:r>
        <w:rPr>
          <w:rFonts w:hint="eastAsia" w:ascii="Calibri Light" w:hAnsi="Calibri Light" w:cs="Times New Roman"/>
          <w:color w:val="auto"/>
          <w:sz w:val="32"/>
          <w:szCs w:val="32"/>
        </w:rPr>
        <w:t>第三章 供应商资质证明文件</w:t>
      </w:r>
    </w:p>
    <w:p w14:paraId="5A86DB13">
      <w:pPr>
        <w:keepNext w:val="0"/>
        <w:keepLines w:val="0"/>
        <w:pageBreakBefore w:val="0"/>
        <w:tabs>
          <w:tab w:val="left" w:pos="567"/>
        </w:tabs>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具有独立承担民事责任能力的法人、其他组织或自然人，并出具合法有效的营业执照或事业单位法人证书等国家规定的相关证明，自然人参与的提供其身份证明。</w:t>
      </w:r>
    </w:p>
    <w:p w14:paraId="4661ED7A">
      <w:pPr>
        <w:keepNext w:val="0"/>
        <w:keepLines w:val="0"/>
        <w:pageBreakBefore w:val="0"/>
        <w:kinsoku/>
        <w:wordWrap/>
        <w:overflowPunct/>
        <w:topLinePunct w:val="0"/>
        <w:autoSpaceDE/>
        <w:autoSpaceDN/>
        <w:bidi w:val="0"/>
        <w:adjustRightInd/>
        <w:spacing w:line="440" w:lineRule="exact"/>
        <w:ind w:firstLine="360" w:firstLineChars="15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rPr>
        <w:t xml:space="preserve"> </w:t>
      </w:r>
      <w:r>
        <w:rPr>
          <w:rFonts w:hint="eastAsia" w:ascii="宋体" w:hAnsi="宋体" w:cs="宋体"/>
          <w:color w:val="auto"/>
          <w:sz w:val="24"/>
          <w:szCs w:val="24"/>
          <w:lang w:eastAsia="zh-CN"/>
        </w:rPr>
        <w:t>2.</w:t>
      </w:r>
      <w:r>
        <w:rPr>
          <w:rFonts w:hint="eastAsia" w:ascii="宋体" w:hAnsi="宋体" w:cs="宋体"/>
          <w:color w:val="auto"/>
          <w:kern w:val="0"/>
          <w:sz w:val="24"/>
          <w:szCs w:val="24"/>
          <w:lang w:eastAsia="zh-CN"/>
        </w:rPr>
        <w:t>法定代表人授权书及被授权人身份证复印件（法定代表人直接投标只需提交其身份明材料）。</w:t>
      </w:r>
    </w:p>
    <w:p w14:paraId="32F11CFF">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6F7D8C5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16B0CAB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提供2024年7月至今任意一个月缴纳的纳税证明或完税证明</w:t>
      </w:r>
      <w:r>
        <w:rPr>
          <w:rFonts w:hint="eastAsia" w:ascii="宋体" w:hAnsi="宋体" w:cs="宋体"/>
          <w:color w:val="auto"/>
          <w:sz w:val="24"/>
          <w:szCs w:val="24"/>
        </w:rPr>
        <w:t>，依法免税或缓缴的单位应提供相关证明材料，纳税证明或完税证明上应有代收机构或税务机关的公章或业务专用章。</w:t>
      </w:r>
    </w:p>
    <w:p w14:paraId="21FD393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提供2024年度经审计的财务审计报告</w:t>
      </w:r>
      <w:r>
        <w:rPr>
          <w:rFonts w:hint="eastAsia" w:ascii="宋体" w:hAnsi="宋体" w:cs="宋体"/>
          <w:color w:val="auto"/>
          <w:sz w:val="24"/>
          <w:szCs w:val="24"/>
          <w:lang w:val="en-US" w:eastAsia="zh-CN"/>
        </w:rPr>
        <w:t>或</w:t>
      </w:r>
      <w:r>
        <w:rPr>
          <w:rFonts w:hint="eastAsia" w:ascii="宋体" w:hAnsi="宋体" w:cs="宋体"/>
          <w:color w:val="auto"/>
          <w:sz w:val="24"/>
          <w:szCs w:val="24"/>
          <w:lang w:eastAsia="zh-CN"/>
        </w:rPr>
        <w:t>投标截止时间</w:t>
      </w:r>
      <w:r>
        <w:rPr>
          <w:rFonts w:hint="eastAsia" w:ascii="宋体" w:hAnsi="宋体" w:cs="宋体"/>
          <w:color w:val="auto"/>
          <w:sz w:val="24"/>
          <w:szCs w:val="24"/>
          <w:lang w:val="en-US" w:eastAsia="zh-CN"/>
        </w:rPr>
        <w:t>前</w:t>
      </w:r>
      <w:r>
        <w:rPr>
          <w:rFonts w:hint="eastAsia" w:ascii="宋体" w:hAnsi="宋体" w:cs="宋体"/>
          <w:color w:val="auto"/>
          <w:sz w:val="24"/>
          <w:szCs w:val="24"/>
          <w:lang w:eastAsia="zh-CN"/>
        </w:rPr>
        <w:t>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5FF1AAE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提供2024年7月至今任意一个月社会保障资金缴存单</w:t>
      </w:r>
      <w:r>
        <w:rPr>
          <w:rFonts w:hint="eastAsia" w:ascii="宋体" w:hAnsi="宋体" w:cs="宋体"/>
          <w:color w:val="auto"/>
          <w:sz w:val="24"/>
          <w:szCs w:val="24"/>
        </w:rPr>
        <w:t>据或社保机构开具的社会保险参保缴费情况证明，依法不需要缴纳社会保障资金的单位应提供相关证明材料，单据或证明上应有社保机构或代收机构的印章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603C362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6CA04A2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sz w:val="24"/>
          <w:szCs w:val="24"/>
          <w:lang w:val="en-US" w:eastAsia="zh-CN"/>
        </w:rPr>
        <w:t>9.</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547D64F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sz w:val="24"/>
          <w:szCs w:val="24"/>
          <w:lang w:val="en-US" w:eastAsia="zh-CN"/>
        </w:rPr>
        <w:t>10.本项目不接受联合体投标。</w:t>
      </w:r>
    </w:p>
    <w:p w14:paraId="649EE06A">
      <w:pPr>
        <w:tabs>
          <w:tab w:val="center" w:pos="4153"/>
          <w:tab w:val="right" w:pos="8306"/>
        </w:tabs>
        <w:snapToGrid w:val="0"/>
        <w:spacing w:line="360" w:lineRule="auto"/>
        <w:ind w:firstLine="480" w:firstLineChars="200"/>
        <w:jc w:val="left"/>
        <w:rPr>
          <w:rFonts w:hint="eastAsia" w:ascii="宋体" w:hAnsi="宋体" w:cs="宋体"/>
          <w:color w:val="auto"/>
          <w:kern w:val="0"/>
          <w:sz w:val="24"/>
          <w:szCs w:val="24"/>
        </w:rPr>
      </w:pPr>
    </w:p>
    <w:p w14:paraId="54C50509">
      <w:pPr>
        <w:tabs>
          <w:tab w:val="center" w:pos="4153"/>
          <w:tab w:val="right" w:pos="8306"/>
        </w:tabs>
        <w:snapToGrid w:val="0"/>
        <w:spacing w:line="360" w:lineRule="auto"/>
        <w:ind w:firstLine="480" w:firstLineChars="200"/>
        <w:jc w:val="left"/>
        <w:rPr>
          <w:rFonts w:hint="eastAsia" w:ascii="宋体" w:hAnsi="宋体" w:cs="宋体"/>
          <w:color w:val="auto"/>
          <w:kern w:val="0"/>
          <w:sz w:val="24"/>
          <w:szCs w:val="24"/>
        </w:rPr>
      </w:pPr>
    </w:p>
    <w:p w14:paraId="331B2F2D">
      <w:pPr>
        <w:pStyle w:val="45"/>
        <w:rPr>
          <w:rFonts w:hint="eastAsia" w:ascii="宋体" w:hAnsi="宋体" w:cs="宋体"/>
          <w:color w:val="auto"/>
          <w:kern w:val="0"/>
          <w:sz w:val="24"/>
          <w:szCs w:val="24"/>
        </w:rPr>
      </w:pPr>
    </w:p>
    <w:p w14:paraId="61A5F4B0">
      <w:pPr>
        <w:pStyle w:val="45"/>
        <w:rPr>
          <w:rFonts w:hint="eastAsia" w:ascii="宋体" w:hAnsi="宋体" w:cs="宋体"/>
          <w:color w:val="auto"/>
          <w:kern w:val="0"/>
          <w:sz w:val="24"/>
          <w:szCs w:val="24"/>
        </w:rPr>
      </w:pPr>
    </w:p>
    <w:p w14:paraId="52542548">
      <w:pPr>
        <w:pStyle w:val="45"/>
        <w:rPr>
          <w:rFonts w:hint="eastAsia" w:ascii="宋体" w:hAnsi="宋体" w:cs="宋体"/>
          <w:color w:val="auto"/>
          <w:kern w:val="0"/>
          <w:sz w:val="24"/>
          <w:szCs w:val="24"/>
        </w:rPr>
      </w:pPr>
    </w:p>
    <w:p w14:paraId="3293F023">
      <w:pPr>
        <w:pStyle w:val="45"/>
        <w:rPr>
          <w:rFonts w:hint="eastAsia" w:ascii="宋体" w:hAnsi="宋体" w:cs="宋体"/>
          <w:color w:val="auto"/>
          <w:kern w:val="0"/>
          <w:sz w:val="24"/>
          <w:szCs w:val="24"/>
        </w:rPr>
      </w:pPr>
    </w:p>
    <w:p w14:paraId="18C1B73C">
      <w:pPr>
        <w:tabs>
          <w:tab w:val="left" w:pos="210"/>
        </w:tabs>
        <w:spacing w:line="420" w:lineRule="exact"/>
        <w:jc w:val="center"/>
        <w:rPr>
          <w:rFonts w:ascii="宋体" w:hAnsi="宋体" w:cs="Arial"/>
          <w:b/>
          <w:color w:val="auto"/>
          <w:kern w:val="0"/>
          <w:sz w:val="32"/>
          <w:szCs w:val="32"/>
        </w:rPr>
      </w:pPr>
      <w:r>
        <w:rPr>
          <w:rFonts w:hint="eastAsia" w:ascii="宋体" w:hAnsi="宋体" w:cs="Arial"/>
          <w:b/>
          <w:color w:val="auto"/>
          <w:kern w:val="0"/>
          <w:sz w:val="32"/>
          <w:szCs w:val="32"/>
        </w:rPr>
        <w:t xml:space="preserve">   </w:t>
      </w:r>
      <w:r>
        <w:rPr>
          <w:rFonts w:hint="eastAsia" w:ascii="宋体" w:hAnsi="宋体" w:cs="Arial"/>
          <w:b/>
          <w:color w:val="auto"/>
          <w:kern w:val="0"/>
          <w:sz w:val="28"/>
          <w:szCs w:val="28"/>
        </w:rPr>
        <w:t xml:space="preserve"> 法定代表人证明书</w:t>
      </w:r>
    </w:p>
    <w:p w14:paraId="3278A074">
      <w:pPr>
        <w:tabs>
          <w:tab w:val="left" w:pos="210"/>
        </w:tabs>
        <w:spacing w:line="320" w:lineRule="exact"/>
        <w:jc w:val="center"/>
        <w:rPr>
          <w:rFonts w:ascii="宋体" w:hAnsi="宋体" w:cs="Arial"/>
          <w:b/>
          <w:color w:val="auto"/>
          <w:kern w:val="0"/>
          <w:sz w:val="32"/>
          <w:szCs w:val="32"/>
        </w:rPr>
      </w:pPr>
    </w:p>
    <w:tbl>
      <w:tblPr>
        <w:tblStyle w:val="35"/>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2866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12DA21DB">
            <w:pPr>
              <w:tabs>
                <w:tab w:val="left" w:pos="210"/>
              </w:tabs>
              <w:spacing w:line="320" w:lineRule="exact"/>
              <w:rPr>
                <w:rFonts w:ascii="宋体" w:hAnsi="宋体" w:cs="Arial"/>
                <w:color w:val="auto"/>
                <w:kern w:val="0"/>
                <w:sz w:val="24"/>
                <w:szCs w:val="24"/>
              </w:rPr>
            </w:pPr>
            <w:r>
              <w:rPr>
                <w:rFonts w:hint="eastAsia" w:ascii="宋体" w:hAnsi="宋体" w:cs="Arial"/>
                <w:color w:val="auto"/>
                <w:kern w:val="0"/>
                <w:sz w:val="24"/>
                <w:szCs w:val="24"/>
              </w:rPr>
              <w:t>致：</w:t>
            </w:r>
          </w:p>
        </w:tc>
      </w:tr>
      <w:tr w14:paraId="32F2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6F05DBF4">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企</w:t>
            </w:r>
          </w:p>
          <w:p w14:paraId="60E1B171">
            <w:pPr>
              <w:tabs>
                <w:tab w:val="left" w:pos="210"/>
              </w:tabs>
              <w:spacing w:line="320" w:lineRule="exact"/>
              <w:jc w:val="center"/>
              <w:rPr>
                <w:rFonts w:ascii="宋体" w:hAnsi="宋体" w:cs="Arial"/>
                <w:color w:val="auto"/>
                <w:kern w:val="0"/>
                <w:sz w:val="24"/>
                <w:szCs w:val="24"/>
              </w:rPr>
            </w:pPr>
          </w:p>
          <w:p w14:paraId="13A36D01">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业</w:t>
            </w:r>
          </w:p>
          <w:p w14:paraId="60047DB4">
            <w:pPr>
              <w:tabs>
                <w:tab w:val="left" w:pos="210"/>
              </w:tabs>
              <w:spacing w:line="320" w:lineRule="exact"/>
              <w:jc w:val="center"/>
              <w:rPr>
                <w:rFonts w:ascii="宋体" w:hAnsi="宋体" w:cs="Arial"/>
                <w:color w:val="auto"/>
                <w:kern w:val="0"/>
                <w:sz w:val="24"/>
                <w:szCs w:val="24"/>
              </w:rPr>
            </w:pPr>
          </w:p>
          <w:p w14:paraId="2FA8C8E9">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w:t>
            </w:r>
          </w:p>
          <w:p w14:paraId="0F61DBBA">
            <w:pPr>
              <w:tabs>
                <w:tab w:val="left" w:pos="210"/>
              </w:tabs>
              <w:spacing w:line="320" w:lineRule="exact"/>
              <w:jc w:val="center"/>
              <w:rPr>
                <w:rFonts w:ascii="宋体" w:hAnsi="宋体" w:cs="Arial"/>
                <w:color w:val="auto"/>
                <w:kern w:val="0"/>
                <w:sz w:val="24"/>
                <w:szCs w:val="24"/>
              </w:rPr>
            </w:pPr>
          </w:p>
          <w:p w14:paraId="184B2048">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人</w:t>
            </w:r>
          </w:p>
        </w:tc>
        <w:tc>
          <w:tcPr>
            <w:tcW w:w="2223" w:type="dxa"/>
            <w:vAlign w:val="center"/>
          </w:tcPr>
          <w:p w14:paraId="6AE30C5B">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企业名称</w:t>
            </w:r>
          </w:p>
        </w:tc>
        <w:tc>
          <w:tcPr>
            <w:tcW w:w="6797" w:type="dxa"/>
            <w:gridSpan w:val="4"/>
            <w:vAlign w:val="center"/>
          </w:tcPr>
          <w:p w14:paraId="3D415C7B">
            <w:pPr>
              <w:tabs>
                <w:tab w:val="left" w:pos="210"/>
              </w:tabs>
              <w:spacing w:line="320" w:lineRule="exact"/>
              <w:jc w:val="center"/>
              <w:rPr>
                <w:rFonts w:ascii="宋体" w:hAnsi="宋体" w:cs="Arial"/>
                <w:color w:val="auto"/>
                <w:kern w:val="0"/>
                <w:sz w:val="24"/>
                <w:szCs w:val="24"/>
              </w:rPr>
            </w:pPr>
          </w:p>
        </w:tc>
      </w:tr>
      <w:tr w14:paraId="269F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0D778A4">
            <w:pPr>
              <w:tabs>
                <w:tab w:val="left" w:pos="210"/>
              </w:tabs>
              <w:spacing w:line="320" w:lineRule="exact"/>
              <w:jc w:val="center"/>
              <w:rPr>
                <w:rFonts w:ascii="宋体" w:hAnsi="宋体" w:cs="Arial"/>
                <w:color w:val="auto"/>
                <w:kern w:val="0"/>
                <w:sz w:val="24"/>
                <w:szCs w:val="24"/>
              </w:rPr>
            </w:pPr>
          </w:p>
        </w:tc>
        <w:tc>
          <w:tcPr>
            <w:tcW w:w="2223" w:type="dxa"/>
            <w:vAlign w:val="center"/>
          </w:tcPr>
          <w:p w14:paraId="04E35028">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法定地址</w:t>
            </w:r>
          </w:p>
        </w:tc>
        <w:tc>
          <w:tcPr>
            <w:tcW w:w="6797" w:type="dxa"/>
            <w:gridSpan w:val="4"/>
            <w:vAlign w:val="center"/>
          </w:tcPr>
          <w:p w14:paraId="468779F7">
            <w:pPr>
              <w:tabs>
                <w:tab w:val="left" w:pos="210"/>
              </w:tabs>
              <w:spacing w:line="320" w:lineRule="exact"/>
              <w:jc w:val="center"/>
              <w:rPr>
                <w:rFonts w:ascii="宋体" w:hAnsi="宋体" w:cs="Arial"/>
                <w:color w:val="auto"/>
                <w:kern w:val="0"/>
                <w:sz w:val="24"/>
                <w:szCs w:val="24"/>
              </w:rPr>
            </w:pPr>
          </w:p>
        </w:tc>
      </w:tr>
      <w:tr w14:paraId="622E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100AA639">
            <w:pPr>
              <w:tabs>
                <w:tab w:val="left" w:pos="210"/>
              </w:tabs>
              <w:spacing w:line="320" w:lineRule="exact"/>
              <w:jc w:val="center"/>
              <w:rPr>
                <w:rFonts w:ascii="宋体" w:hAnsi="宋体" w:cs="Arial"/>
                <w:color w:val="auto"/>
                <w:kern w:val="0"/>
                <w:sz w:val="24"/>
                <w:szCs w:val="24"/>
              </w:rPr>
            </w:pPr>
          </w:p>
        </w:tc>
        <w:tc>
          <w:tcPr>
            <w:tcW w:w="2223" w:type="dxa"/>
            <w:vAlign w:val="center"/>
          </w:tcPr>
          <w:p w14:paraId="5557EEEF">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邮政编码</w:t>
            </w:r>
          </w:p>
        </w:tc>
        <w:tc>
          <w:tcPr>
            <w:tcW w:w="6797" w:type="dxa"/>
            <w:gridSpan w:val="4"/>
            <w:vAlign w:val="center"/>
          </w:tcPr>
          <w:p w14:paraId="761A1881">
            <w:pPr>
              <w:tabs>
                <w:tab w:val="left" w:pos="210"/>
              </w:tabs>
              <w:spacing w:line="320" w:lineRule="exact"/>
              <w:jc w:val="center"/>
              <w:rPr>
                <w:rFonts w:ascii="宋体" w:hAnsi="宋体" w:cs="Arial"/>
                <w:color w:val="auto"/>
                <w:kern w:val="0"/>
                <w:sz w:val="24"/>
                <w:szCs w:val="24"/>
              </w:rPr>
            </w:pPr>
          </w:p>
        </w:tc>
      </w:tr>
      <w:tr w14:paraId="3695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1C62F86F">
            <w:pPr>
              <w:tabs>
                <w:tab w:val="left" w:pos="210"/>
              </w:tabs>
              <w:spacing w:line="320" w:lineRule="exact"/>
              <w:jc w:val="center"/>
              <w:rPr>
                <w:rFonts w:ascii="宋体" w:hAnsi="宋体" w:cs="Arial"/>
                <w:color w:val="auto"/>
                <w:kern w:val="0"/>
                <w:sz w:val="24"/>
                <w:szCs w:val="24"/>
              </w:rPr>
            </w:pPr>
          </w:p>
        </w:tc>
        <w:tc>
          <w:tcPr>
            <w:tcW w:w="2223" w:type="dxa"/>
            <w:vAlign w:val="center"/>
          </w:tcPr>
          <w:p w14:paraId="0E29CEEE">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工商登记机关</w:t>
            </w:r>
          </w:p>
        </w:tc>
        <w:tc>
          <w:tcPr>
            <w:tcW w:w="6797" w:type="dxa"/>
            <w:gridSpan w:val="4"/>
            <w:vAlign w:val="center"/>
          </w:tcPr>
          <w:p w14:paraId="6B6A7FE6">
            <w:pPr>
              <w:tabs>
                <w:tab w:val="left" w:pos="210"/>
              </w:tabs>
              <w:spacing w:line="320" w:lineRule="exact"/>
              <w:jc w:val="center"/>
              <w:rPr>
                <w:rFonts w:ascii="宋体" w:hAnsi="宋体" w:cs="Arial"/>
                <w:color w:val="auto"/>
                <w:kern w:val="0"/>
                <w:sz w:val="24"/>
                <w:szCs w:val="24"/>
              </w:rPr>
            </w:pPr>
          </w:p>
        </w:tc>
      </w:tr>
      <w:tr w14:paraId="123A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5DADD0B5">
            <w:pPr>
              <w:tabs>
                <w:tab w:val="left" w:pos="210"/>
              </w:tabs>
              <w:spacing w:line="320" w:lineRule="exact"/>
              <w:jc w:val="center"/>
              <w:rPr>
                <w:rFonts w:ascii="宋体" w:hAnsi="宋体" w:cs="Arial"/>
                <w:color w:val="auto"/>
                <w:kern w:val="0"/>
                <w:sz w:val="24"/>
                <w:szCs w:val="24"/>
              </w:rPr>
            </w:pPr>
          </w:p>
        </w:tc>
        <w:tc>
          <w:tcPr>
            <w:tcW w:w="2223" w:type="dxa"/>
            <w:vAlign w:val="center"/>
          </w:tcPr>
          <w:p w14:paraId="254C3D72">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税务登记机关</w:t>
            </w:r>
          </w:p>
        </w:tc>
        <w:tc>
          <w:tcPr>
            <w:tcW w:w="6797" w:type="dxa"/>
            <w:gridSpan w:val="4"/>
            <w:vAlign w:val="center"/>
          </w:tcPr>
          <w:p w14:paraId="3854697E">
            <w:pPr>
              <w:tabs>
                <w:tab w:val="left" w:pos="210"/>
              </w:tabs>
              <w:spacing w:line="320" w:lineRule="exact"/>
              <w:rPr>
                <w:rFonts w:ascii="宋体" w:hAnsi="宋体" w:cs="Arial"/>
                <w:color w:val="auto"/>
                <w:kern w:val="0"/>
                <w:sz w:val="24"/>
                <w:szCs w:val="24"/>
              </w:rPr>
            </w:pPr>
          </w:p>
        </w:tc>
      </w:tr>
      <w:tr w14:paraId="6BD6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3EA4B313">
            <w:pPr>
              <w:tabs>
                <w:tab w:val="left" w:pos="210"/>
              </w:tabs>
              <w:spacing w:line="320" w:lineRule="exact"/>
              <w:jc w:val="center"/>
              <w:rPr>
                <w:rFonts w:ascii="宋体" w:hAnsi="宋体" w:cs="Arial"/>
                <w:color w:val="auto"/>
                <w:kern w:val="0"/>
                <w:sz w:val="24"/>
                <w:szCs w:val="24"/>
              </w:rPr>
            </w:pPr>
          </w:p>
        </w:tc>
        <w:tc>
          <w:tcPr>
            <w:tcW w:w="2223" w:type="dxa"/>
            <w:vAlign w:val="center"/>
          </w:tcPr>
          <w:p w14:paraId="39ACCE0D">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机构代码证号</w:t>
            </w:r>
          </w:p>
        </w:tc>
        <w:tc>
          <w:tcPr>
            <w:tcW w:w="6797" w:type="dxa"/>
            <w:gridSpan w:val="4"/>
            <w:vAlign w:val="center"/>
          </w:tcPr>
          <w:p w14:paraId="559F30C8">
            <w:pPr>
              <w:tabs>
                <w:tab w:val="left" w:pos="210"/>
              </w:tabs>
              <w:spacing w:line="320" w:lineRule="exact"/>
              <w:jc w:val="center"/>
              <w:rPr>
                <w:rFonts w:ascii="宋体" w:hAnsi="宋体" w:cs="Arial"/>
                <w:color w:val="auto"/>
                <w:kern w:val="0"/>
                <w:sz w:val="24"/>
                <w:szCs w:val="24"/>
              </w:rPr>
            </w:pPr>
          </w:p>
        </w:tc>
      </w:tr>
      <w:tr w14:paraId="271B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62055F86">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法定代表人</w:t>
            </w:r>
          </w:p>
        </w:tc>
        <w:tc>
          <w:tcPr>
            <w:tcW w:w="2223" w:type="dxa"/>
            <w:vAlign w:val="center"/>
          </w:tcPr>
          <w:p w14:paraId="531BB341">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姓名</w:t>
            </w:r>
          </w:p>
        </w:tc>
        <w:tc>
          <w:tcPr>
            <w:tcW w:w="2408" w:type="dxa"/>
            <w:gridSpan w:val="2"/>
            <w:vAlign w:val="center"/>
          </w:tcPr>
          <w:p w14:paraId="794CA98F">
            <w:pPr>
              <w:tabs>
                <w:tab w:val="left" w:pos="210"/>
              </w:tabs>
              <w:spacing w:line="320" w:lineRule="exact"/>
              <w:jc w:val="center"/>
              <w:rPr>
                <w:rFonts w:ascii="宋体" w:hAnsi="宋体" w:cs="Arial"/>
                <w:color w:val="auto"/>
                <w:kern w:val="0"/>
                <w:sz w:val="24"/>
                <w:szCs w:val="24"/>
              </w:rPr>
            </w:pPr>
          </w:p>
        </w:tc>
        <w:tc>
          <w:tcPr>
            <w:tcW w:w="2218" w:type="dxa"/>
            <w:vAlign w:val="center"/>
          </w:tcPr>
          <w:p w14:paraId="42B13EB8">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性别</w:t>
            </w:r>
          </w:p>
        </w:tc>
        <w:tc>
          <w:tcPr>
            <w:tcW w:w="2171" w:type="dxa"/>
            <w:vAlign w:val="center"/>
          </w:tcPr>
          <w:p w14:paraId="3CAA103D">
            <w:pPr>
              <w:tabs>
                <w:tab w:val="left" w:pos="210"/>
              </w:tabs>
              <w:spacing w:line="320" w:lineRule="exact"/>
              <w:jc w:val="center"/>
              <w:rPr>
                <w:rFonts w:ascii="宋体" w:hAnsi="宋体" w:cs="Arial"/>
                <w:color w:val="auto"/>
                <w:kern w:val="0"/>
                <w:sz w:val="24"/>
                <w:szCs w:val="24"/>
              </w:rPr>
            </w:pPr>
          </w:p>
        </w:tc>
      </w:tr>
      <w:tr w14:paraId="42F0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21CC3D25">
            <w:pPr>
              <w:tabs>
                <w:tab w:val="left" w:pos="210"/>
              </w:tabs>
              <w:spacing w:line="320" w:lineRule="exact"/>
              <w:jc w:val="center"/>
              <w:rPr>
                <w:rFonts w:ascii="宋体" w:hAnsi="宋体" w:cs="Arial"/>
                <w:color w:val="auto"/>
                <w:kern w:val="0"/>
                <w:sz w:val="24"/>
                <w:szCs w:val="24"/>
              </w:rPr>
            </w:pPr>
          </w:p>
        </w:tc>
        <w:tc>
          <w:tcPr>
            <w:tcW w:w="2223" w:type="dxa"/>
            <w:vAlign w:val="center"/>
          </w:tcPr>
          <w:p w14:paraId="6835EC84">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职务</w:t>
            </w:r>
          </w:p>
        </w:tc>
        <w:tc>
          <w:tcPr>
            <w:tcW w:w="2408" w:type="dxa"/>
            <w:gridSpan w:val="2"/>
            <w:vAlign w:val="center"/>
          </w:tcPr>
          <w:p w14:paraId="66EB80FB">
            <w:pPr>
              <w:tabs>
                <w:tab w:val="left" w:pos="210"/>
              </w:tabs>
              <w:spacing w:line="320" w:lineRule="exact"/>
              <w:jc w:val="center"/>
              <w:rPr>
                <w:rFonts w:ascii="宋体" w:hAnsi="宋体" w:cs="Arial"/>
                <w:color w:val="auto"/>
                <w:kern w:val="0"/>
                <w:sz w:val="24"/>
                <w:szCs w:val="24"/>
              </w:rPr>
            </w:pPr>
          </w:p>
        </w:tc>
        <w:tc>
          <w:tcPr>
            <w:tcW w:w="2218" w:type="dxa"/>
            <w:vAlign w:val="center"/>
          </w:tcPr>
          <w:p w14:paraId="5B2715B9">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联系电话</w:t>
            </w:r>
          </w:p>
        </w:tc>
        <w:tc>
          <w:tcPr>
            <w:tcW w:w="2171" w:type="dxa"/>
            <w:vAlign w:val="center"/>
          </w:tcPr>
          <w:p w14:paraId="297A2E20">
            <w:pPr>
              <w:tabs>
                <w:tab w:val="left" w:pos="210"/>
              </w:tabs>
              <w:spacing w:line="320" w:lineRule="exact"/>
              <w:jc w:val="center"/>
              <w:rPr>
                <w:rFonts w:ascii="宋体" w:hAnsi="宋体" w:cs="Arial"/>
                <w:color w:val="auto"/>
                <w:kern w:val="0"/>
                <w:sz w:val="24"/>
                <w:szCs w:val="24"/>
              </w:rPr>
            </w:pPr>
          </w:p>
        </w:tc>
      </w:tr>
      <w:tr w14:paraId="7000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69476D5">
            <w:pPr>
              <w:tabs>
                <w:tab w:val="left" w:pos="210"/>
              </w:tabs>
              <w:spacing w:line="320" w:lineRule="exact"/>
              <w:jc w:val="center"/>
              <w:rPr>
                <w:rFonts w:ascii="宋体" w:hAnsi="宋体" w:cs="Arial"/>
                <w:color w:val="auto"/>
                <w:kern w:val="0"/>
                <w:sz w:val="24"/>
                <w:szCs w:val="24"/>
              </w:rPr>
            </w:pPr>
          </w:p>
        </w:tc>
        <w:tc>
          <w:tcPr>
            <w:tcW w:w="2223" w:type="dxa"/>
            <w:vAlign w:val="center"/>
          </w:tcPr>
          <w:p w14:paraId="6A65D0BA">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传真</w:t>
            </w:r>
          </w:p>
        </w:tc>
        <w:tc>
          <w:tcPr>
            <w:tcW w:w="6797" w:type="dxa"/>
            <w:gridSpan w:val="4"/>
            <w:vAlign w:val="center"/>
          </w:tcPr>
          <w:p w14:paraId="1715EA8E">
            <w:pPr>
              <w:tabs>
                <w:tab w:val="left" w:pos="210"/>
              </w:tabs>
              <w:spacing w:line="320" w:lineRule="exact"/>
              <w:jc w:val="center"/>
              <w:rPr>
                <w:rFonts w:ascii="宋体" w:hAnsi="宋体" w:cs="Arial"/>
                <w:color w:val="auto"/>
                <w:kern w:val="0"/>
                <w:sz w:val="24"/>
                <w:szCs w:val="24"/>
              </w:rPr>
            </w:pPr>
          </w:p>
        </w:tc>
      </w:tr>
      <w:tr w14:paraId="2F22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1E3DAE9B">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法定代表人身份证复印件</w:t>
            </w:r>
          </w:p>
        </w:tc>
        <w:tc>
          <w:tcPr>
            <w:tcW w:w="4441" w:type="dxa"/>
            <w:gridSpan w:val="2"/>
            <w:vMerge w:val="restart"/>
            <w:vAlign w:val="center"/>
          </w:tcPr>
          <w:p w14:paraId="002422DF">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（粘贴处）</w:t>
            </w:r>
          </w:p>
        </w:tc>
        <w:tc>
          <w:tcPr>
            <w:tcW w:w="4579" w:type="dxa"/>
            <w:gridSpan w:val="3"/>
            <w:vAlign w:val="center"/>
          </w:tcPr>
          <w:p w14:paraId="36C427F9">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法定代表人签字或盖章</w:t>
            </w:r>
          </w:p>
        </w:tc>
      </w:tr>
      <w:tr w14:paraId="40CD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6184D551">
            <w:pPr>
              <w:tabs>
                <w:tab w:val="left" w:pos="210"/>
              </w:tabs>
              <w:spacing w:line="320" w:lineRule="exact"/>
              <w:jc w:val="center"/>
              <w:rPr>
                <w:rFonts w:ascii="宋体" w:hAnsi="宋体" w:cs="Arial"/>
                <w:color w:val="auto"/>
                <w:kern w:val="0"/>
                <w:sz w:val="24"/>
                <w:szCs w:val="24"/>
              </w:rPr>
            </w:pPr>
          </w:p>
        </w:tc>
        <w:tc>
          <w:tcPr>
            <w:tcW w:w="4441" w:type="dxa"/>
            <w:gridSpan w:val="2"/>
            <w:vMerge w:val="continue"/>
            <w:vAlign w:val="center"/>
          </w:tcPr>
          <w:p w14:paraId="2CD0672D">
            <w:pPr>
              <w:tabs>
                <w:tab w:val="left" w:pos="210"/>
              </w:tabs>
              <w:spacing w:line="320" w:lineRule="exact"/>
              <w:jc w:val="center"/>
              <w:rPr>
                <w:rFonts w:ascii="宋体" w:hAnsi="宋体" w:cs="Arial"/>
                <w:color w:val="auto"/>
                <w:kern w:val="0"/>
                <w:sz w:val="24"/>
                <w:szCs w:val="24"/>
              </w:rPr>
            </w:pPr>
          </w:p>
        </w:tc>
        <w:tc>
          <w:tcPr>
            <w:tcW w:w="4579" w:type="dxa"/>
            <w:gridSpan w:val="3"/>
            <w:vAlign w:val="bottom"/>
          </w:tcPr>
          <w:p w14:paraId="1C423AB8">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szCs w:val="24"/>
              </w:rPr>
              <w:t>（公章）</w:t>
            </w:r>
          </w:p>
          <w:p w14:paraId="6FD6B3EC">
            <w:pPr>
              <w:tabs>
                <w:tab w:val="left" w:pos="210"/>
              </w:tabs>
              <w:spacing w:line="320" w:lineRule="exact"/>
              <w:jc w:val="center"/>
              <w:rPr>
                <w:rFonts w:ascii="宋体" w:hAnsi="宋体" w:cs="Arial"/>
                <w:color w:val="auto"/>
                <w:kern w:val="0"/>
                <w:sz w:val="24"/>
                <w:szCs w:val="24"/>
              </w:rPr>
            </w:pPr>
          </w:p>
          <w:p w14:paraId="2734A896">
            <w:pPr>
              <w:tabs>
                <w:tab w:val="left" w:pos="210"/>
              </w:tabs>
              <w:spacing w:line="320" w:lineRule="exact"/>
              <w:jc w:val="center"/>
              <w:rPr>
                <w:rFonts w:ascii="宋体" w:hAnsi="宋体" w:cs="Arial"/>
                <w:color w:val="auto"/>
                <w:kern w:val="0"/>
                <w:sz w:val="24"/>
                <w:szCs w:val="24"/>
              </w:rPr>
            </w:pPr>
          </w:p>
          <w:p w14:paraId="102BE8C4">
            <w:pPr>
              <w:tabs>
                <w:tab w:val="left" w:pos="210"/>
              </w:tabs>
              <w:spacing w:line="320" w:lineRule="exact"/>
              <w:jc w:val="center"/>
              <w:rPr>
                <w:rFonts w:ascii="宋体" w:hAnsi="宋体" w:cs="Arial"/>
                <w:color w:val="auto"/>
                <w:kern w:val="0"/>
                <w:sz w:val="24"/>
                <w:szCs w:val="24"/>
              </w:rPr>
            </w:pPr>
          </w:p>
          <w:p w14:paraId="386F641B">
            <w:pPr>
              <w:tabs>
                <w:tab w:val="left" w:pos="210"/>
              </w:tabs>
              <w:spacing w:line="320" w:lineRule="exact"/>
              <w:jc w:val="right"/>
              <w:rPr>
                <w:rFonts w:ascii="宋体" w:hAnsi="宋体" w:cs="Arial"/>
                <w:color w:val="auto"/>
                <w:kern w:val="0"/>
                <w:sz w:val="24"/>
                <w:szCs w:val="24"/>
              </w:rPr>
            </w:pPr>
            <w:r>
              <w:rPr>
                <w:rFonts w:hint="eastAsia" w:ascii="宋体" w:hAnsi="宋体" w:cs="Arial"/>
                <w:color w:val="auto"/>
                <w:kern w:val="0"/>
                <w:sz w:val="24"/>
                <w:szCs w:val="24"/>
              </w:rPr>
              <w:t xml:space="preserve">年  月  日 </w:t>
            </w:r>
          </w:p>
        </w:tc>
      </w:tr>
    </w:tbl>
    <w:p w14:paraId="074315A0">
      <w:pPr>
        <w:pStyle w:val="3"/>
        <w:pageBreakBefore/>
        <w:rPr>
          <w:rFonts w:ascii="宋体" w:hAnsi="宋体" w:cs="宋体"/>
          <w:color w:val="auto"/>
        </w:rPr>
      </w:pPr>
      <w:bookmarkStart w:id="162" w:name="_Toc19543356"/>
      <w:r>
        <w:rPr>
          <w:rFonts w:hint="eastAsia" w:ascii="宋体" w:hAnsi="宋体" w:cs="宋体"/>
          <w:color w:val="auto"/>
        </w:rPr>
        <w:t>法定代表人授权书</w:t>
      </w:r>
      <w:bookmarkEnd w:id="162"/>
    </w:p>
    <w:p w14:paraId="0956D082">
      <w:pPr>
        <w:pStyle w:val="17"/>
        <w:spacing w:line="400" w:lineRule="exact"/>
        <w:jc w:val="left"/>
        <w:rPr>
          <w:rFonts w:hAnsi="宋体" w:cs="Times New Roman"/>
          <w:color w:val="auto"/>
          <w:sz w:val="24"/>
          <w:szCs w:val="24"/>
        </w:rPr>
      </w:pPr>
      <w:r>
        <w:rPr>
          <w:rFonts w:hint="eastAsia" w:hAnsi="宋体"/>
          <w:color w:val="auto"/>
          <w:sz w:val="24"/>
          <w:szCs w:val="24"/>
        </w:rPr>
        <w:t>安康尚昊招标代理有限公司：</w:t>
      </w:r>
    </w:p>
    <w:p w14:paraId="61CFFD49">
      <w:pPr>
        <w:tabs>
          <w:tab w:val="left" w:pos="8820"/>
        </w:tabs>
        <w:spacing w:line="400" w:lineRule="exact"/>
        <w:ind w:firstLine="570"/>
        <w:rPr>
          <w:rFonts w:ascii="宋体" w:cs="Times New Roman"/>
          <w:color w:val="auto"/>
          <w:sz w:val="24"/>
          <w:szCs w:val="24"/>
          <w:u w:val="single"/>
        </w:rPr>
      </w:pPr>
      <w:r>
        <w:rPr>
          <w:rFonts w:hint="eastAsia" w:ascii="宋体" w:hAnsi="宋体" w:cs="宋体"/>
          <w:color w:val="auto"/>
          <w:sz w:val="24"/>
          <w:szCs w:val="24"/>
        </w:rPr>
        <w:t>本授权委托书声明：我</w:t>
      </w:r>
      <w:r>
        <w:rPr>
          <w:rFonts w:hint="eastAsia" w:ascii="宋体" w:hAnsi="宋体" w:cs="宋体"/>
          <w:color w:val="auto"/>
          <w:sz w:val="24"/>
          <w:szCs w:val="24"/>
          <w:u w:val="single"/>
        </w:rPr>
        <w:t>（法定代表人姓名）</w:t>
      </w:r>
      <w:r>
        <w:rPr>
          <w:rFonts w:ascii="宋体" w:hAnsi="宋体" w:cs="宋体"/>
          <w:color w:val="auto"/>
          <w:sz w:val="24"/>
          <w:szCs w:val="24"/>
          <w:u w:val="single"/>
        </w:rPr>
        <w:t xml:space="preserve">   </w:t>
      </w:r>
      <w:r>
        <w:rPr>
          <w:rFonts w:hint="eastAsia" w:ascii="宋体" w:hAnsi="宋体" w:cs="宋体"/>
          <w:color w:val="auto"/>
          <w:sz w:val="24"/>
          <w:szCs w:val="24"/>
        </w:rPr>
        <w:t>系注册于</w:t>
      </w:r>
      <w:r>
        <w:rPr>
          <w:rFonts w:ascii="宋体" w:hAnsi="宋体" w:cs="宋体"/>
          <w:color w:val="auto"/>
          <w:sz w:val="24"/>
          <w:szCs w:val="24"/>
          <w:u w:val="single"/>
        </w:rPr>
        <w:t xml:space="preserve">  </w:t>
      </w:r>
      <w:r>
        <w:rPr>
          <w:rFonts w:hint="eastAsia" w:ascii="宋体" w:hAnsi="宋体" w:cs="宋体"/>
          <w:color w:val="auto"/>
          <w:sz w:val="24"/>
          <w:szCs w:val="24"/>
          <w:u w:val="single"/>
        </w:rPr>
        <w:t>（供应商地址）</w:t>
      </w:r>
      <w:r>
        <w:rPr>
          <w:rFonts w:hint="eastAsia" w:ascii="宋体" w:hAnsi="宋体" w:cs="宋体"/>
          <w:color w:val="auto"/>
          <w:sz w:val="24"/>
          <w:szCs w:val="24"/>
        </w:rPr>
        <w:t>的</w:t>
      </w:r>
      <w:r>
        <w:rPr>
          <w:rFonts w:hint="eastAsia" w:ascii="宋体" w:hAnsi="宋体" w:cs="宋体"/>
          <w:color w:val="auto"/>
          <w:sz w:val="24"/>
          <w:szCs w:val="24"/>
          <w:u w:val="single"/>
        </w:rPr>
        <w:t>（供应商名称）</w:t>
      </w:r>
      <w:r>
        <w:rPr>
          <w:rFonts w:ascii="宋体" w:hAnsi="宋体" w:cs="宋体"/>
          <w:color w:val="auto"/>
          <w:sz w:val="24"/>
          <w:szCs w:val="24"/>
          <w:u w:val="single"/>
        </w:rPr>
        <w:t xml:space="preserve">  </w:t>
      </w:r>
      <w:r>
        <w:rPr>
          <w:rFonts w:hint="eastAsia" w:ascii="宋体" w:hAnsi="宋体" w:cs="宋体"/>
          <w:color w:val="auto"/>
          <w:sz w:val="24"/>
          <w:szCs w:val="24"/>
        </w:rPr>
        <w:t>的法定代表人，现代表公司授权下面签字的</w:t>
      </w:r>
      <w:r>
        <w:rPr>
          <w:rFonts w:hint="eastAsia" w:ascii="宋体" w:hAnsi="宋体" w:cs="宋体"/>
          <w:color w:val="auto"/>
          <w:sz w:val="24"/>
          <w:szCs w:val="24"/>
          <w:u w:val="single"/>
        </w:rPr>
        <w:t>（被授权人的姓名、职务）</w:t>
      </w:r>
      <w:r>
        <w:rPr>
          <w:rFonts w:ascii="宋体" w:hAnsi="宋体" w:cs="宋体"/>
          <w:color w:val="auto"/>
          <w:sz w:val="24"/>
          <w:szCs w:val="24"/>
          <w:u w:val="single"/>
        </w:rPr>
        <w:t xml:space="preserve">   </w:t>
      </w:r>
      <w:r>
        <w:rPr>
          <w:rFonts w:hint="eastAsia" w:ascii="宋体" w:hAnsi="宋体" w:cs="宋体"/>
          <w:color w:val="auto"/>
          <w:sz w:val="24"/>
          <w:szCs w:val="24"/>
        </w:rPr>
        <w:t>为我公司合法代理人，代表本公司参加</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（项目名称）  </w:t>
      </w:r>
      <w:r>
        <w:rPr>
          <w:rFonts w:hint="eastAsia" w:ascii="宋体" w:hAnsi="宋体" w:cs="宋体"/>
          <w:color w:val="auto"/>
          <w:sz w:val="24"/>
          <w:szCs w:val="24"/>
        </w:rPr>
        <w:t>采购项目编号为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的采购活动。以我方名义全权处理该项目有关磋商、签订合同以及执行合同等一切事宜。</w:t>
      </w:r>
    </w:p>
    <w:p w14:paraId="1AF88CC1">
      <w:pPr>
        <w:spacing w:line="400" w:lineRule="exact"/>
        <w:ind w:firstLine="480" w:firstLineChars="200"/>
        <w:rPr>
          <w:rFonts w:ascii="宋体" w:cs="Times New Roman"/>
          <w:color w:val="auto"/>
          <w:sz w:val="24"/>
          <w:szCs w:val="24"/>
        </w:rPr>
      </w:pPr>
      <w:r>
        <w:rPr>
          <w:rFonts w:hint="eastAsia" w:ascii="宋体" w:hAnsi="宋体" w:cs="宋体"/>
          <w:color w:val="auto"/>
          <w:sz w:val="24"/>
          <w:szCs w:val="24"/>
        </w:rPr>
        <w:t>有效期自磋商之日起</w:t>
      </w:r>
      <w:r>
        <w:rPr>
          <w:rFonts w:hint="eastAsia" w:ascii="宋体" w:hAnsi="宋体" w:cs="宋体"/>
          <w:color w:val="auto"/>
          <w:sz w:val="24"/>
          <w:szCs w:val="24"/>
          <w:u w:val="single"/>
        </w:rPr>
        <w:t xml:space="preserve">    </w:t>
      </w:r>
      <w:r>
        <w:rPr>
          <w:rFonts w:hint="eastAsia" w:ascii="宋体" w:hAnsi="宋体" w:cs="宋体"/>
          <w:color w:val="auto"/>
          <w:sz w:val="24"/>
          <w:szCs w:val="24"/>
        </w:rPr>
        <w:t>日历日，特此声明。</w:t>
      </w:r>
    </w:p>
    <w:p w14:paraId="544BB5DE">
      <w:pPr>
        <w:pStyle w:val="17"/>
        <w:spacing w:line="400" w:lineRule="exact"/>
        <w:ind w:firstLine="480" w:firstLineChars="200"/>
        <w:jc w:val="left"/>
        <w:rPr>
          <w:rFonts w:hAnsi="宋体"/>
          <w:color w:val="auto"/>
          <w:sz w:val="24"/>
          <w:szCs w:val="24"/>
        </w:rPr>
      </w:pPr>
      <w:r>
        <w:rPr>
          <w:rFonts w:hint="eastAsia" w:hAnsi="宋体"/>
          <w:color w:val="auto"/>
          <w:sz w:val="24"/>
          <w:szCs w:val="24"/>
        </w:rPr>
        <w:t>供应商（单位名称及公章）：</w:t>
      </w:r>
      <w:r>
        <w:rPr>
          <w:rFonts w:hAnsi="宋体"/>
          <w:color w:val="auto"/>
          <w:sz w:val="24"/>
          <w:szCs w:val="24"/>
        </w:rPr>
        <w:t>________</w:t>
      </w:r>
    </w:p>
    <w:p w14:paraId="4912CDEF">
      <w:pPr>
        <w:pStyle w:val="17"/>
        <w:spacing w:line="400" w:lineRule="exact"/>
        <w:ind w:firstLine="480" w:firstLineChars="200"/>
        <w:jc w:val="left"/>
        <w:rPr>
          <w:rFonts w:hAnsi="宋体"/>
          <w:color w:val="auto"/>
          <w:sz w:val="24"/>
          <w:szCs w:val="24"/>
          <w:u w:val="single"/>
        </w:rPr>
      </w:pPr>
      <w:r>
        <w:rPr>
          <w:rFonts w:hint="eastAsia" w:hAnsi="宋体"/>
          <w:color w:val="auto"/>
          <w:sz w:val="24"/>
          <w:szCs w:val="24"/>
        </w:rPr>
        <w:t>法定代表人（签字或盖章）：</w:t>
      </w:r>
      <w:r>
        <w:rPr>
          <w:rFonts w:hAnsi="宋体"/>
          <w:color w:val="auto"/>
          <w:sz w:val="24"/>
          <w:szCs w:val="24"/>
        </w:rPr>
        <w:t>________</w:t>
      </w:r>
    </w:p>
    <w:p w14:paraId="587D2846">
      <w:pPr>
        <w:pStyle w:val="17"/>
        <w:spacing w:line="400" w:lineRule="exact"/>
        <w:ind w:firstLine="480" w:firstLineChars="200"/>
        <w:jc w:val="left"/>
        <w:rPr>
          <w:rFonts w:hAnsi="宋体" w:cs="Times New Roman"/>
          <w:color w:val="auto"/>
          <w:sz w:val="24"/>
          <w:szCs w:val="24"/>
        </w:rPr>
      </w:pPr>
      <w:r>
        <w:rPr>
          <w:rFonts w:hint="eastAsia" w:hAnsi="宋体"/>
          <w:color w:val="auto"/>
          <w:sz w:val="24"/>
          <w:szCs w:val="24"/>
        </w:rPr>
        <w:t>被授权人（签字）：</w:t>
      </w:r>
      <w:r>
        <w:rPr>
          <w:rFonts w:hAnsi="宋体"/>
          <w:color w:val="auto"/>
          <w:sz w:val="24"/>
          <w:szCs w:val="24"/>
        </w:rPr>
        <w:t>________</w:t>
      </w:r>
      <w:r>
        <w:rPr>
          <w:rFonts w:hint="eastAsia" w:hAnsi="宋体"/>
          <w:color w:val="auto"/>
          <w:sz w:val="24"/>
          <w:szCs w:val="24"/>
        </w:rPr>
        <w:t>性别：</w:t>
      </w:r>
      <w:r>
        <w:rPr>
          <w:rFonts w:hAnsi="宋体"/>
          <w:color w:val="auto"/>
          <w:sz w:val="24"/>
          <w:szCs w:val="24"/>
        </w:rPr>
        <w:t>________</w:t>
      </w:r>
    </w:p>
    <w:p w14:paraId="52AEF32C">
      <w:pPr>
        <w:pStyle w:val="17"/>
        <w:spacing w:line="400" w:lineRule="exact"/>
        <w:ind w:firstLine="480" w:firstLineChars="200"/>
        <w:jc w:val="left"/>
        <w:rPr>
          <w:rFonts w:hAnsi="宋体" w:cs="Times New Roman"/>
          <w:color w:val="auto"/>
          <w:sz w:val="24"/>
          <w:szCs w:val="24"/>
          <w:u w:val="single"/>
        </w:rPr>
      </w:pPr>
      <w:r>
        <w:rPr>
          <w:rFonts w:hint="eastAsia" w:hAnsi="宋体"/>
          <w:color w:val="auto"/>
          <w:sz w:val="24"/>
          <w:szCs w:val="24"/>
        </w:rPr>
        <w:t>联系地址：</w:t>
      </w:r>
      <w:r>
        <w:rPr>
          <w:rFonts w:hAnsi="宋体"/>
          <w:color w:val="auto"/>
          <w:sz w:val="24"/>
          <w:szCs w:val="24"/>
        </w:rPr>
        <w:t>________________</w:t>
      </w:r>
    </w:p>
    <w:p w14:paraId="056DA94F">
      <w:pPr>
        <w:pStyle w:val="17"/>
        <w:spacing w:line="400" w:lineRule="exact"/>
        <w:ind w:firstLine="480" w:firstLineChars="200"/>
        <w:jc w:val="left"/>
        <w:rPr>
          <w:rFonts w:hAnsi="宋体" w:cs="Times New Roman"/>
          <w:color w:val="auto"/>
          <w:sz w:val="24"/>
          <w:szCs w:val="24"/>
          <w:u w:val="single"/>
        </w:rPr>
      </w:pPr>
      <w:r>
        <w:rPr>
          <w:rFonts w:hint="eastAsia" w:hAnsi="宋体"/>
          <w:color w:val="auto"/>
          <w:sz w:val="24"/>
          <w:szCs w:val="24"/>
        </w:rPr>
        <w:t>联系电话：</w:t>
      </w:r>
      <w:r>
        <w:rPr>
          <w:rFonts w:hAnsi="宋体"/>
          <w:color w:val="auto"/>
          <w:sz w:val="24"/>
          <w:szCs w:val="24"/>
        </w:rPr>
        <w:t>________________</w:t>
      </w:r>
    </w:p>
    <w:p w14:paraId="0B39E9BD">
      <w:pPr>
        <w:pStyle w:val="17"/>
        <w:spacing w:line="400" w:lineRule="exact"/>
        <w:ind w:firstLine="480" w:firstLineChars="200"/>
        <w:jc w:val="left"/>
        <w:rPr>
          <w:rFonts w:hint="default" w:hAnsi="宋体" w:eastAsia="宋体"/>
          <w:color w:val="auto"/>
          <w:sz w:val="24"/>
          <w:szCs w:val="24"/>
          <w:lang w:val="en-US" w:eastAsia="zh-CN"/>
        </w:rPr>
      </w:pPr>
      <w:r>
        <w:rPr>
          <w:rFonts w:hint="eastAsia" w:hAnsi="宋体"/>
          <w:color w:val="auto"/>
          <w:sz w:val="24"/>
          <w:szCs w:val="24"/>
          <w:lang w:val="en-US" w:eastAsia="zh-CN"/>
        </w:rPr>
        <w:t>签发日期：</w:t>
      </w:r>
      <w:r>
        <w:rPr>
          <w:rFonts w:hint="eastAsia" w:hAnsi="宋体"/>
          <w:color w:val="auto"/>
          <w:sz w:val="24"/>
          <w:szCs w:val="24"/>
          <w:u w:val="single"/>
          <w:lang w:val="en-US" w:eastAsia="zh-CN"/>
        </w:rPr>
        <w:t xml:space="preserve">   </w:t>
      </w:r>
      <w:r>
        <w:rPr>
          <w:rFonts w:hint="eastAsia" w:hAnsi="宋体"/>
          <w:color w:val="auto"/>
          <w:sz w:val="24"/>
          <w:szCs w:val="24"/>
          <w:lang w:val="en-US" w:eastAsia="zh-CN"/>
        </w:rPr>
        <w:t>年</w:t>
      </w:r>
      <w:r>
        <w:rPr>
          <w:rFonts w:hint="eastAsia" w:hAnsi="宋体"/>
          <w:color w:val="auto"/>
          <w:sz w:val="24"/>
          <w:szCs w:val="24"/>
          <w:u w:val="single"/>
          <w:lang w:val="en-US" w:eastAsia="zh-CN"/>
        </w:rPr>
        <w:t xml:space="preserve">   </w:t>
      </w:r>
      <w:r>
        <w:rPr>
          <w:rFonts w:hint="eastAsia" w:hAnsi="宋体"/>
          <w:color w:val="auto"/>
          <w:sz w:val="24"/>
          <w:szCs w:val="24"/>
          <w:lang w:val="en-US" w:eastAsia="zh-CN"/>
        </w:rPr>
        <w:t>月</w:t>
      </w:r>
      <w:r>
        <w:rPr>
          <w:rFonts w:hint="eastAsia" w:hAnsi="宋体"/>
          <w:color w:val="auto"/>
          <w:sz w:val="24"/>
          <w:szCs w:val="24"/>
          <w:u w:val="single"/>
          <w:lang w:val="en-US" w:eastAsia="zh-CN"/>
        </w:rPr>
        <w:t xml:space="preserve">   </w:t>
      </w:r>
      <w:r>
        <w:rPr>
          <w:rFonts w:hint="eastAsia" w:hAnsi="宋体"/>
          <w:color w:val="auto"/>
          <w:sz w:val="24"/>
          <w:szCs w:val="24"/>
          <w:lang w:val="en-US" w:eastAsia="zh-CN"/>
        </w:rPr>
        <w:t>日</w:t>
      </w:r>
    </w:p>
    <w:p w14:paraId="78B79C5A">
      <w:pPr>
        <w:pStyle w:val="17"/>
        <w:spacing w:line="400" w:lineRule="exact"/>
        <w:ind w:firstLine="480" w:firstLineChars="200"/>
        <w:jc w:val="left"/>
        <w:rPr>
          <w:rFonts w:hAnsi="宋体" w:cs="Times New Roman"/>
          <w:color w:val="auto"/>
          <w:sz w:val="24"/>
          <w:szCs w:val="24"/>
        </w:rPr>
      </w:pPr>
      <w:r>
        <w:rPr>
          <w:rFonts w:hint="eastAsia" w:hAnsi="宋体"/>
          <w:color w:val="auto"/>
          <w:sz w:val="24"/>
          <w:szCs w:val="24"/>
        </w:rPr>
        <w:t>法定代表人及被授权人身份证复印件（注：身份证复印件须加盖企业公章）</w:t>
      </w:r>
    </w:p>
    <w:tbl>
      <w:tblPr>
        <w:tblStyle w:val="3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3EF0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02C4B839">
            <w:pPr>
              <w:pStyle w:val="17"/>
              <w:spacing w:line="500" w:lineRule="exact"/>
              <w:jc w:val="left"/>
              <w:rPr>
                <w:rFonts w:hAnsi="宋体" w:cs="Times New Roman"/>
                <w:color w:val="auto"/>
                <w:sz w:val="22"/>
                <w:szCs w:val="24"/>
                <w:shd w:val="pct10" w:color="auto" w:fill="FFFFFF"/>
              </w:rPr>
            </w:pPr>
            <w:r>
              <w:rPr>
                <w:rFonts w:hint="eastAsia" w:hAnsi="宋体"/>
                <w:color w:val="auto"/>
                <w:sz w:val="22"/>
                <w:szCs w:val="24"/>
                <w:shd w:val="pct10" w:color="auto" w:fill="FFFFFF"/>
              </w:rPr>
              <w:t>法定代表人身份证复印件（正面）</w:t>
            </w:r>
          </w:p>
        </w:tc>
        <w:tc>
          <w:tcPr>
            <w:tcW w:w="4531" w:type="dxa"/>
            <w:shd w:val="clear" w:color="auto" w:fill="D9D9D9"/>
            <w:vAlign w:val="center"/>
          </w:tcPr>
          <w:p w14:paraId="07D5D77F">
            <w:pPr>
              <w:pStyle w:val="17"/>
              <w:spacing w:line="500" w:lineRule="exact"/>
              <w:ind w:firstLine="440" w:firstLineChars="200"/>
              <w:jc w:val="left"/>
              <w:rPr>
                <w:rFonts w:hAnsi="宋体" w:cs="Times New Roman"/>
                <w:color w:val="auto"/>
                <w:sz w:val="22"/>
                <w:szCs w:val="24"/>
                <w:shd w:val="pct10" w:color="auto" w:fill="FFFFFF"/>
              </w:rPr>
            </w:pPr>
            <w:r>
              <w:rPr>
                <w:rFonts w:hint="eastAsia" w:hAnsi="宋体"/>
                <w:color w:val="auto"/>
                <w:sz w:val="22"/>
                <w:szCs w:val="24"/>
                <w:shd w:val="pct10" w:color="auto" w:fill="FFFFFF"/>
              </w:rPr>
              <w:t>被授权人身份证复印件（正面）</w:t>
            </w:r>
          </w:p>
        </w:tc>
      </w:tr>
      <w:tr w14:paraId="2B86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46741FB9">
            <w:pPr>
              <w:pStyle w:val="17"/>
              <w:spacing w:line="500" w:lineRule="exact"/>
              <w:jc w:val="left"/>
              <w:rPr>
                <w:rFonts w:hAnsi="宋体" w:cs="Times New Roman"/>
                <w:color w:val="auto"/>
                <w:sz w:val="22"/>
                <w:szCs w:val="24"/>
                <w:shd w:val="pct10" w:color="auto" w:fill="FFFFFF"/>
              </w:rPr>
            </w:pPr>
            <w:r>
              <w:rPr>
                <w:rFonts w:hint="eastAsia" w:hAnsi="宋体"/>
                <w:color w:val="auto"/>
                <w:sz w:val="22"/>
                <w:szCs w:val="24"/>
                <w:shd w:val="pct10" w:color="auto" w:fill="FFFFFF"/>
              </w:rPr>
              <w:t>法定代表人身份证复印件（反面）</w:t>
            </w:r>
          </w:p>
        </w:tc>
        <w:tc>
          <w:tcPr>
            <w:tcW w:w="4531" w:type="dxa"/>
            <w:shd w:val="clear" w:color="auto" w:fill="D9D9D9"/>
            <w:vAlign w:val="center"/>
          </w:tcPr>
          <w:p w14:paraId="13DC2C6F">
            <w:pPr>
              <w:pStyle w:val="17"/>
              <w:spacing w:line="500" w:lineRule="exact"/>
              <w:ind w:firstLine="440" w:firstLineChars="200"/>
              <w:jc w:val="left"/>
              <w:rPr>
                <w:rFonts w:hAnsi="宋体" w:cs="Times New Roman"/>
                <w:color w:val="auto"/>
                <w:sz w:val="22"/>
                <w:szCs w:val="24"/>
                <w:shd w:val="pct10" w:color="auto" w:fill="FFFFFF"/>
              </w:rPr>
            </w:pPr>
            <w:r>
              <w:rPr>
                <w:rFonts w:hint="eastAsia" w:hAnsi="宋体"/>
                <w:color w:val="auto"/>
                <w:sz w:val="22"/>
                <w:szCs w:val="24"/>
                <w:shd w:val="pct10" w:color="auto" w:fill="FFFFFF"/>
              </w:rPr>
              <w:t>被授权人身份证复印件（反面）</w:t>
            </w:r>
          </w:p>
        </w:tc>
      </w:tr>
    </w:tbl>
    <w:p w14:paraId="08762037">
      <w:pPr>
        <w:pStyle w:val="17"/>
        <w:spacing w:line="500" w:lineRule="exact"/>
        <w:ind w:firstLine="480" w:firstLineChars="200"/>
        <w:jc w:val="left"/>
        <w:rPr>
          <w:rFonts w:hAnsi="宋体"/>
          <w:color w:val="auto"/>
          <w:sz w:val="24"/>
          <w:szCs w:val="24"/>
        </w:rPr>
      </w:pPr>
      <w:r>
        <w:rPr>
          <w:rFonts w:hint="eastAsia" w:hAnsi="宋体"/>
          <w:color w:val="auto"/>
          <w:sz w:val="24"/>
          <w:szCs w:val="24"/>
        </w:rPr>
        <w:t>说明：</w:t>
      </w:r>
    </w:p>
    <w:p w14:paraId="47DAA718">
      <w:pPr>
        <w:pStyle w:val="17"/>
        <w:spacing w:line="500" w:lineRule="exact"/>
        <w:ind w:firstLine="480" w:firstLineChars="200"/>
        <w:jc w:val="left"/>
        <w:rPr>
          <w:rFonts w:hAnsi="宋体"/>
          <w:color w:val="auto"/>
          <w:sz w:val="24"/>
          <w:szCs w:val="24"/>
        </w:rPr>
      </w:pPr>
      <w:r>
        <w:rPr>
          <w:rFonts w:hAnsi="宋体"/>
          <w:color w:val="auto"/>
          <w:sz w:val="24"/>
          <w:szCs w:val="24"/>
        </w:rPr>
        <w:t>1</w:t>
      </w:r>
      <w:r>
        <w:rPr>
          <w:rFonts w:hint="eastAsia" w:hAnsi="宋体"/>
          <w:color w:val="auto"/>
          <w:sz w:val="24"/>
          <w:szCs w:val="24"/>
        </w:rPr>
        <w:t>．本授权书有效期自招标大会之日计算不得少于</w:t>
      </w:r>
      <w:r>
        <w:rPr>
          <w:rFonts w:hAnsi="宋体"/>
          <w:color w:val="auto"/>
          <w:sz w:val="24"/>
          <w:szCs w:val="24"/>
        </w:rPr>
        <w:t>90</w:t>
      </w:r>
      <w:r>
        <w:rPr>
          <w:rFonts w:hint="eastAsia" w:hAnsi="宋体"/>
          <w:color w:val="auto"/>
          <w:sz w:val="24"/>
          <w:szCs w:val="24"/>
        </w:rPr>
        <w:t>日历日。</w:t>
      </w:r>
    </w:p>
    <w:p w14:paraId="440356BF">
      <w:pPr>
        <w:pStyle w:val="17"/>
        <w:spacing w:line="500" w:lineRule="exact"/>
        <w:ind w:firstLine="480" w:firstLineChars="200"/>
        <w:jc w:val="left"/>
        <w:rPr>
          <w:rFonts w:hAnsi="宋体"/>
          <w:b/>
          <w:bCs/>
          <w:color w:val="auto"/>
          <w:sz w:val="24"/>
          <w:szCs w:val="24"/>
        </w:rPr>
      </w:pPr>
      <w:r>
        <w:rPr>
          <w:rFonts w:hAnsi="宋体"/>
          <w:color w:val="auto"/>
          <w:sz w:val="24"/>
          <w:szCs w:val="24"/>
        </w:rPr>
        <w:t>2</w:t>
      </w:r>
      <w:r>
        <w:rPr>
          <w:rFonts w:hint="eastAsia" w:hAnsi="宋体"/>
          <w:color w:val="auto"/>
          <w:sz w:val="24"/>
          <w:szCs w:val="24"/>
        </w:rPr>
        <w:t>．授权书内容填写要明确，文字要工整清楚，涂改无效。</w:t>
      </w:r>
      <w:r>
        <w:rPr>
          <w:rFonts w:hint="eastAsia" w:hAnsi="宋体"/>
          <w:color w:val="auto"/>
        </w:rPr>
        <w:br w:type="page"/>
      </w:r>
    </w:p>
    <w:p w14:paraId="3D2D4D30">
      <w:pPr>
        <w:pStyle w:val="3"/>
        <w:jc w:val="center"/>
        <w:rPr>
          <w:rFonts w:hint="eastAsia" w:ascii="宋体" w:hAnsi="宋体" w:eastAsia="宋体" w:cs="宋体"/>
          <w:color w:val="auto"/>
        </w:rPr>
      </w:pPr>
      <w:bookmarkStart w:id="163" w:name="_Toc24284"/>
      <w:bookmarkStart w:id="164" w:name="_Toc536202397"/>
      <w:bookmarkStart w:id="165" w:name="_Toc536429390"/>
      <w:bookmarkStart w:id="166" w:name="_Toc19543357"/>
      <w:bookmarkStart w:id="167" w:name="_Toc536202328"/>
      <w:bookmarkStart w:id="168" w:name="_Toc7526"/>
      <w:bookmarkStart w:id="169" w:name="_Toc536429337"/>
      <w:r>
        <w:rPr>
          <w:rFonts w:hint="eastAsia" w:ascii="宋体" w:hAnsi="宋体" w:eastAsia="宋体" w:cs="宋体"/>
          <w:color w:val="auto"/>
        </w:rPr>
        <w:t>无重大违法记录声明</w:t>
      </w:r>
      <w:bookmarkEnd w:id="163"/>
    </w:p>
    <w:p w14:paraId="471A1BE7">
      <w:pPr>
        <w:snapToGrid w:val="0"/>
        <w:spacing w:line="480" w:lineRule="auto"/>
        <w:ind w:firstLine="480" w:firstLineChars="200"/>
        <w:jc w:val="left"/>
        <w:rPr>
          <w:rFonts w:hint="eastAsia" w:ascii="宋体" w:hAnsi="宋体" w:eastAsia="宋体" w:cs="宋体"/>
          <w:color w:val="auto"/>
          <w:kern w:val="0"/>
          <w:sz w:val="24"/>
          <w:szCs w:val="24"/>
        </w:rPr>
      </w:pPr>
    </w:p>
    <w:p w14:paraId="216C3803">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我单位参与安康尚昊招标代理有限公司组织的</w:t>
      </w:r>
      <w:r>
        <w:rPr>
          <w:rFonts w:hint="eastAsia" w:ascii="宋体" w:hAnsi="宋体" w:eastAsia="宋体" w:cs="宋体"/>
          <w:color w:val="auto"/>
          <w:sz w:val="24"/>
          <w:szCs w:val="24"/>
          <w:u w:val="single"/>
        </w:rPr>
        <w:t xml:space="preserve">     （项目名称）（项目编号）    </w:t>
      </w:r>
      <w:r>
        <w:rPr>
          <w:rFonts w:hint="eastAsia" w:ascii="宋体" w:hAnsi="宋体" w:eastAsia="宋体" w:cs="宋体"/>
          <w:color w:val="auto"/>
          <w:sz w:val="24"/>
          <w:szCs w:val="24"/>
          <w:lang w:eastAsia="zh-CN"/>
        </w:rPr>
        <w:t>竞争性</w:t>
      </w:r>
      <w:r>
        <w:rPr>
          <w:rFonts w:hint="eastAsia" w:ascii="宋体" w:hAnsi="宋体" w:cs="宋体"/>
          <w:color w:val="auto"/>
          <w:sz w:val="24"/>
          <w:szCs w:val="24"/>
          <w:lang w:val="en-US" w:eastAsia="zh-CN"/>
        </w:rPr>
        <w:t>磋商采购活动</w:t>
      </w:r>
      <w:r>
        <w:rPr>
          <w:rFonts w:hint="eastAsia" w:ascii="宋体" w:hAnsi="宋体" w:eastAsia="宋体" w:cs="宋体"/>
          <w:color w:val="auto"/>
          <w:sz w:val="24"/>
          <w:szCs w:val="24"/>
        </w:rPr>
        <w:t>，我单位郑重声明：我方参加本项目招标工作前三年内无重大违法活动记录，符合《中华人民共和国政府采购法》规定的供应商资格条件，我方对此声明负全部法律责任。</w:t>
      </w:r>
    </w:p>
    <w:p w14:paraId="6445F516">
      <w:pPr>
        <w:spacing w:line="360" w:lineRule="auto"/>
        <w:rPr>
          <w:rFonts w:hint="eastAsia" w:ascii="宋体" w:hAnsi="宋体" w:eastAsia="宋体" w:cs="宋体"/>
          <w:color w:val="auto"/>
          <w:sz w:val="24"/>
          <w:szCs w:val="24"/>
        </w:rPr>
      </w:pPr>
    </w:p>
    <w:p w14:paraId="129527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4337EB69">
      <w:pPr>
        <w:spacing w:line="360" w:lineRule="auto"/>
        <w:rPr>
          <w:rFonts w:hint="eastAsia" w:ascii="宋体" w:hAnsi="宋体" w:eastAsia="宋体" w:cs="宋体"/>
          <w:color w:val="auto"/>
          <w:sz w:val="24"/>
          <w:szCs w:val="24"/>
        </w:rPr>
      </w:pPr>
    </w:p>
    <w:p w14:paraId="6392E13C">
      <w:pPr>
        <w:spacing w:line="360" w:lineRule="auto"/>
        <w:rPr>
          <w:rFonts w:hint="eastAsia" w:ascii="宋体" w:hAnsi="宋体" w:eastAsia="宋体" w:cs="宋体"/>
          <w:color w:val="auto"/>
          <w:sz w:val="24"/>
          <w:szCs w:val="24"/>
        </w:rPr>
      </w:pPr>
    </w:p>
    <w:p w14:paraId="5EFEC173">
      <w:pPr>
        <w:spacing w:line="360" w:lineRule="auto"/>
        <w:rPr>
          <w:rFonts w:hint="eastAsia" w:ascii="宋体" w:hAnsi="宋体" w:eastAsia="宋体" w:cs="宋体"/>
          <w:color w:val="auto"/>
          <w:sz w:val="24"/>
          <w:szCs w:val="24"/>
          <w:lang w:eastAsia="zh-CN"/>
        </w:rPr>
      </w:pPr>
    </w:p>
    <w:p w14:paraId="08943A0E">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w:t>
      </w:r>
      <w:r>
        <w:rPr>
          <w:rFonts w:hint="eastAsia" w:ascii="宋体" w:hAnsi="宋体" w:cs="宋体"/>
          <w:color w:val="auto"/>
          <w:sz w:val="24"/>
          <w:szCs w:val="24"/>
          <w:u w:val="single"/>
          <w:lang w:val="en-US" w:eastAsia="zh-CN"/>
        </w:rPr>
        <w:t xml:space="preserve">                   </w:t>
      </w:r>
    </w:p>
    <w:p w14:paraId="0C4B8B61">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w:t>
      </w:r>
      <w:r>
        <w:rPr>
          <w:rFonts w:hint="eastAsia" w:ascii="宋体" w:hAnsi="宋体" w:cs="宋体"/>
          <w:color w:val="auto"/>
          <w:sz w:val="24"/>
          <w:szCs w:val="24"/>
          <w:u w:val="single"/>
          <w:lang w:val="en-US" w:eastAsia="zh-CN"/>
        </w:rPr>
        <w:t xml:space="preserve">                   </w:t>
      </w:r>
    </w:p>
    <w:p w14:paraId="695D1BB4">
      <w:pPr>
        <w:adjustRightInd w:val="0"/>
        <w:snapToGrid w:val="0"/>
        <w:spacing w:line="360" w:lineRule="auto"/>
        <w:rPr>
          <w:color w:val="auto"/>
        </w:rPr>
        <w:sectPr>
          <w:headerReference r:id="rId15" w:type="first"/>
          <w:footerReference r:id="rId17" w:type="first"/>
          <w:headerReference r:id="rId14" w:type="default"/>
          <w:footerReference r:id="rId16" w:type="default"/>
          <w:pgSz w:w="11906" w:h="16838"/>
          <w:pgMar w:top="1361" w:right="1417" w:bottom="1361" w:left="1417" w:header="1134" w:footer="992" w:gutter="0"/>
          <w:pgNumType w:fmt="decimal"/>
          <w:cols w:space="0" w:num="1"/>
          <w:titlePg/>
          <w:rtlGutter w:val="0"/>
          <w:docGrid w:type="lines" w:linePitch="328" w:charSpace="0"/>
        </w:sectPr>
      </w:pPr>
      <w:r>
        <w:rPr>
          <w:rFonts w:hint="eastAsia" w:ascii="宋体" w:hAnsi="宋体" w:eastAsia="宋体" w:cs="宋体"/>
          <w:color w:val="auto"/>
          <w:sz w:val="24"/>
          <w:szCs w:val="24"/>
        </w:rPr>
        <w:t>日    期：</w:t>
      </w:r>
      <w:r>
        <w:rPr>
          <w:rFonts w:hint="eastAsia" w:ascii="宋体" w:hAnsi="宋体" w:cs="宋体"/>
          <w:color w:val="auto"/>
          <w:sz w:val="24"/>
          <w:szCs w:val="24"/>
          <w:u w:val="single"/>
          <w:lang w:val="en-US" w:eastAsia="zh-CN"/>
        </w:rPr>
        <w:t xml:space="preserve">                   </w:t>
      </w:r>
    </w:p>
    <w:p w14:paraId="149FB120">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投标人非联合体投标声明</w:t>
      </w:r>
    </w:p>
    <w:p w14:paraId="479D4833">
      <w:pPr>
        <w:adjustRightInd w:val="0"/>
        <w:snapToGrid w:val="0"/>
        <w:spacing w:line="360" w:lineRule="auto"/>
        <w:rPr>
          <w:rFonts w:ascii="仿宋" w:hAnsi="仿宋" w:eastAsia="仿宋" w:cs="黑体"/>
          <w:bCs/>
          <w:color w:val="auto"/>
          <w:sz w:val="28"/>
          <w:szCs w:val="28"/>
        </w:rPr>
      </w:pPr>
    </w:p>
    <w:p w14:paraId="1AFAD58F">
      <w:pPr>
        <w:adjustRightInd w:val="0"/>
        <w:snapToGrid w:val="0"/>
        <w:spacing w:line="408" w:lineRule="auto"/>
        <w:rPr>
          <w:rFonts w:ascii="宋体" w:hAnsi="宋体" w:cs="宋体"/>
          <w:bCs/>
          <w:color w:val="auto"/>
          <w:sz w:val="24"/>
          <w:szCs w:val="24"/>
        </w:rPr>
      </w:pPr>
      <w:r>
        <w:rPr>
          <w:rFonts w:hint="eastAsia" w:ascii="宋体" w:hAnsi="宋体" w:cs="宋体"/>
          <w:color w:val="auto"/>
          <w:sz w:val="24"/>
          <w:szCs w:val="24"/>
        </w:rPr>
        <w:t>安康尚昊招标代理有限公司</w:t>
      </w:r>
      <w:r>
        <w:rPr>
          <w:rFonts w:hint="eastAsia" w:ascii="宋体" w:hAnsi="宋体" w:cs="宋体"/>
          <w:bCs/>
          <w:color w:val="auto"/>
          <w:sz w:val="24"/>
          <w:szCs w:val="24"/>
        </w:rPr>
        <w:t>：</w:t>
      </w:r>
    </w:p>
    <w:p w14:paraId="0DC64912">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我方愿响应贵方</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日发布的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项目（项目编号：</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）招标内容，参与投标，提供采购人需求中规定的全部内容。本公司就参加投标工作，作出郑重声明：</w:t>
      </w:r>
    </w:p>
    <w:p w14:paraId="41DDC500">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1.本公司保证在本项目投标中不与其他单位围标、串标，不出让投标资格，不向采购人、采购代理机构和评标委员会成员行贿。</w:t>
      </w:r>
    </w:p>
    <w:p w14:paraId="64F2AACA">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2.本公司保证本项目并非联合体投标，本项目服务由本公司独立承担。</w:t>
      </w:r>
    </w:p>
    <w:p w14:paraId="0563EEA0">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本公司违反上述保证，或本声明陈述与事实不符，经查实，我方自行承担一切后果及法律责任</w:t>
      </w:r>
      <w:r>
        <w:rPr>
          <w:rFonts w:hint="eastAsia" w:ascii="宋体" w:hAnsi="宋体" w:cs="宋体"/>
          <w:bCs/>
          <w:color w:val="auto"/>
          <w:sz w:val="24"/>
          <w:szCs w:val="24"/>
          <w:lang w:eastAsia="zh-CN"/>
        </w:rPr>
        <w:t>。</w:t>
      </w:r>
    </w:p>
    <w:p w14:paraId="1E35049E">
      <w:pPr>
        <w:adjustRightInd w:val="0"/>
        <w:snapToGrid w:val="0"/>
        <w:spacing w:line="408" w:lineRule="auto"/>
        <w:ind w:firstLine="480"/>
        <w:rPr>
          <w:rFonts w:ascii="宋体" w:hAnsi="宋体" w:cs="宋体"/>
          <w:bCs/>
          <w:color w:val="auto"/>
          <w:sz w:val="24"/>
          <w:szCs w:val="24"/>
        </w:rPr>
      </w:pPr>
      <w:r>
        <w:rPr>
          <w:rFonts w:hint="eastAsia" w:ascii="宋体" w:hAnsi="宋体" w:cs="宋体"/>
          <w:bCs/>
          <w:color w:val="auto"/>
          <w:sz w:val="24"/>
          <w:szCs w:val="24"/>
        </w:rPr>
        <w:t>特此声明。</w:t>
      </w:r>
    </w:p>
    <w:p w14:paraId="412BA115">
      <w:pPr>
        <w:pStyle w:val="30"/>
        <w:ind w:firstLine="480"/>
        <w:rPr>
          <w:color w:val="auto"/>
        </w:rPr>
      </w:pPr>
    </w:p>
    <w:p w14:paraId="5A2BEFE7">
      <w:pPr>
        <w:spacing w:line="360" w:lineRule="auto"/>
        <w:rPr>
          <w:rFonts w:ascii="宋体"/>
          <w:color w:val="auto"/>
          <w:sz w:val="24"/>
          <w:szCs w:val="24"/>
          <w:u w:val="single"/>
        </w:rPr>
      </w:pPr>
      <w:r>
        <w:rPr>
          <w:rFonts w:hint="eastAsia" w:ascii="宋体" w:hAnsi="宋体" w:cs="宋体"/>
          <w:color w:val="auto"/>
          <w:sz w:val="24"/>
          <w:szCs w:val="24"/>
        </w:rPr>
        <w:t>供应商（单位名称及公章）：</w:t>
      </w:r>
      <w:r>
        <w:rPr>
          <w:rFonts w:ascii="宋体" w:hAnsi="宋体" w:cs="宋体"/>
          <w:color w:val="auto"/>
          <w:sz w:val="24"/>
          <w:szCs w:val="24"/>
        </w:rPr>
        <w:t>____________________</w:t>
      </w:r>
    </w:p>
    <w:p w14:paraId="03BA3B2C">
      <w:pPr>
        <w:adjustRightInd w:val="0"/>
        <w:snapToGrid w:val="0"/>
        <w:spacing w:line="360" w:lineRule="auto"/>
        <w:rPr>
          <w:rFonts w:ascii="宋体"/>
          <w:color w:val="auto"/>
          <w:sz w:val="24"/>
          <w:szCs w:val="24"/>
        </w:rPr>
      </w:pPr>
      <w:r>
        <w:rPr>
          <w:rFonts w:hint="eastAsia" w:ascii="宋体" w:hAnsi="宋体" w:cs="宋体"/>
          <w:color w:val="auto"/>
          <w:sz w:val="24"/>
          <w:szCs w:val="24"/>
        </w:rPr>
        <w:t>法定代表人或被授权人（</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ascii="宋体" w:hAnsi="宋体" w:cs="宋体"/>
          <w:color w:val="auto"/>
          <w:sz w:val="24"/>
          <w:szCs w:val="24"/>
        </w:rPr>
        <w:t>____________________</w:t>
      </w:r>
    </w:p>
    <w:p w14:paraId="3CA329FE">
      <w:pPr>
        <w:adjustRightInd w:val="0"/>
        <w:snapToGrid w:val="0"/>
        <w:spacing w:line="360" w:lineRule="auto"/>
        <w:rPr>
          <w:color w:val="auto"/>
        </w:rPr>
        <w:sectPr>
          <w:pgSz w:w="11906" w:h="16838"/>
          <w:pgMar w:top="1361" w:right="1417" w:bottom="1361" w:left="1417" w:header="1134" w:footer="992" w:gutter="0"/>
          <w:pgNumType w:fmt="decimal"/>
          <w:cols w:space="0" w:num="1"/>
          <w:titlePg/>
          <w:rtlGutter w:val="0"/>
          <w:docGrid w:type="lines" w:linePitch="328"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w:t>
      </w:r>
      <w:r>
        <w:rPr>
          <w:rFonts w:ascii="宋体" w:hAnsi="宋体" w:cs="宋体"/>
          <w:color w:val="auto"/>
          <w:sz w:val="24"/>
          <w:szCs w:val="24"/>
        </w:rPr>
        <w:t>________</w:t>
      </w:r>
      <w:r>
        <w:rPr>
          <w:rFonts w:hint="eastAsia" w:ascii="宋体" w:hAnsi="宋体" w:cs="宋体"/>
          <w:color w:val="auto"/>
          <w:sz w:val="24"/>
          <w:szCs w:val="24"/>
        </w:rPr>
        <w:t>年</w:t>
      </w:r>
      <w:r>
        <w:rPr>
          <w:rFonts w:ascii="宋体" w:hAnsi="宋体" w:cs="宋体"/>
          <w:color w:val="auto"/>
          <w:sz w:val="24"/>
          <w:szCs w:val="24"/>
        </w:rPr>
        <w:t>________</w:t>
      </w:r>
      <w:r>
        <w:rPr>
          <w:rFonts w:hint="eastAsia" w:ascii="宋体" w:hAnsi="宋体" w:cs="宋体"/>
          <w:color w:val="auto"/>
          <w:sz w:val="24"/>
          <w:szCs w:val="24"/>
        </w:rPr>
        <w:t>月</w:t>
      </w:r>
      <w:r>
        <w:rPr>
          <w:rFonts w:ascii="宋体" w:hAnsi="宋体" w:cs="宋体"/>
          <w:color w:val="auto"/>
          <w:sz w:val="24"/>
          <w:szCs w:val="24"/>
        </w:rPr>
        <w:t>________</w:t>
      </w:r>
      <w:r>
        <w:rPr>
          <w:rFonts w:hint="eastAsia" w:ascii="宋体" w:hAnsi="宋体" w:cs="宋体"/>
          <w:color w:val="auto"/>
          <w:sz w:val="24"/>
          <w:szCs w:val="24"/>
        </w:rPr>
        <w:t>日</w:t>
      </w:r>
    </w:p>
    <w:p w14:paraId="70DFC608">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中小微企业声明函（</w:t>
      </w:r>
      <w:r>
        <w:rPr>
          <w:rFonts w:hint="eastAsia" w:ascii="宋体" w:hAnsi="宋体" w:cs="宋体"/>
          <w:b/>
          <w:bCs/>
          <w:color w:val="auto"/>
          <w:sz w:val="28"/>
          <w:szCs w:val="28"/>
          <w:lang w:val="en-US" w:eastAsia="zh-CN"/>
        </w:rPr>
        <w:t>货物</w:t>
      </w:r>
      <w:r>
        <w:rPr>
          <w:rFonts w:hint="eastAsia" w:ascii="宋体" w:hAnsi="宋体" w:cs="宋体"/>
          <w:b/>
          <w:bCs/>
          <w:color w:val="auto"/>
          <w:sz w:val="28"/>
          <w:szCs w:val="28"/>
        </w:rPr>
        <w:t>）（如是）</w:t>
      </w:r>
    </w:p>
    <w:p w14:paraId="257D32E2">
      <w:pPr>
        <w:adjustRightInd w:val="0"/>
        <w:snapToGrid w:val="0"/>
        <w:spacing w:line="360" w:lineRule="auto"/>
        <w:jc w:val="center"/>
        <w:rPr>
          <w:rFonts w:ascii="仿宋" w:hAnsi="仿宋" w:eastAsia="仿宋" w:cs="黑体"/>
          <w:bCs/>
          <w:color w:val="auto"/>
          <w:sz w:val="28"/>
          <w:szCs w:val="28"/>
        </w:rPr>
      </w:pPr>
    </w:p>
    <w:p w14:paraId="2EE1BBCE">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本公司郑重声明，根据《政府采购促进中小企业发展管理办法》（财库[2020]46 号）的规定，本公司参加</w:t>
      </w:r>
      <w:r>
        <w:rPr>
          <w:rFonts w:hint="eastAsia" w:ascii="宋体" w:hAnsi="宋体" w:cs="宋体"/>
          <w:bCs/>
          <w:color w:val="auto"/>
          <w:sz w:val="24"/>
          <w:szCs w:val="24"/>
          <w:u w:val="single"/>
        </w:rPr>
        <w:t>（单位名称）</w:t>
      </w:r>
      <w:r>
        <w:rPr>
          <w:rFonts w:hint="eastAsia" w:ascii="宋体" w:hAnsi="宋体" w:cs="宋体"/>
          <w:bCs/>
          <w:color w:val="auto"/>
          <w:sz w:val="24"/>
          <w:szCs w:val="24"/>
        </w:rPr>
        <w:t>的</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项目名称：</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（项目编号：</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rPr>
        <w:t>采购活动，提供的货物全部由符合政策要求的中小企业制造。相关企业的具体情况如下：</w:t>
      </w:r>
    </w:p>
    <w:p w14:paraId="48223507">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63CF369E">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72CAE4E6">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w:t>
      </w:r>
    </w:p>
    <w:p w14:paraId="27D49A69">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以上企业，不属于大企业的分支机构，不存在控股股东为大企业的情形，也不存在与大企业的负责人为同一人的情形。</w:t>
      </w:r>
    </w:p>
    <w:p w14:paraId="0C03797C">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本企业对上述声明内容的真实性负责。如有虚假，将依法承担相应责任。</w:t>
      </w:r>
    </w:p>
    <w:p w14:paraId="524E7920">
      <w:pPr>
        <w:wordWrap w:val="0"/>
        <w:snapToGrid w:val="0"/>
        <w:spacing w:line="360" w:lineRule="auto"/>
        <w:ind w:firstLine="480" w:firstLineChars="200"/>
        <w:rPr>
          <w:rFonts w:hint="eastAsia" w:ascii="宋体" w:hAnsi="宋体" w:eastAsia="宋体" w:cs="宋体"/>
          <w:bCs/>
          <w:color w:val="auto"/>
          <w:sz w:val="24"/>
          <w:szCs w:val="24"/>
        </w:rPr>
      </w:pPr>
    </w:p>
    <w:p w14:paraId="6F82FEBE">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63C191CC">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7963B1C4">
      <w:pPr>
        <w:pStyle w:val="109"/>
        <w:rPr>
          <w:rFonts w:hint="eastAsia"/>
          <w:color w:val="auto"/>
          <w:lang w:val="en-US" w:eastAsia="zh-CN"/>
        </w:rPr>
      </w:pPr>
    </w:p>
    <w:p w14:paraId="619D2DE2">
      <w:pPr>
        <w:pStyle w:val="3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5431D971">
      <w:pPr>
        <w:pStyle w:val="12"/>
        <w:rPr>
          <w:rFonts w:hint="eastAsia" w:ascii="宋体" w:hAnsi="宋体" w:eastAsia="宋体" w:cs="宋体"/>
          <w:color w:val="auto"/>
          <w:sz w:val="24"/>
          <w:szCs w:val="24"/>
        </w:rPr>
        <w:sectPr>
          <w:footerReference r:id="rId19" w:type="first"/>
          <w:footerReference r:id="rId18" w:type="default"/>
          <w:pgSz w:w="11906" w:h="16838"/>
          <w:pgMar w:top="1361" w:right="1417" w:bottom="1361" w:left="1417" w:header="1134" w:footer="992" w:gutter="0"/>
          <w:pgNumType w:fmt="decimal"/>
          <w:cols w:space="0" w:num="1"/>
          <w:titlePg/>
          <w:rtlGutter w:val="0"/>
          <w:docGrid w:type="lines" w:linePitch="328" w:charSpace="0"/>
        </w:sectPr>
      </w:pPr>
    </w:p>
    <w:p w14:paraId="6827F85E">
      <w:pPr>
        <w:spacing w:after="190" w:afterLines="50" w:line="480" w:lineRule="exact"/>
        <w:jc w:val="center"/>
        <w:rPr>
          <w:rFonts w:hint="eastAsia" w:ascii="宋体" w:hAnsi="宋体" w:eastAsia="宋体" w:cs="宋体"/>
          <w:b/>
          <w:bCs w:val="0"/>
          <w:color w:val="auto"/>
          <w:sz w:val="28"/>
          <w:szCs w:val="28"/>
          <w:u w:val="none"/>
          <w:lang w:val="en-US" w:eastAsia="zh-CN"/>
        </w:rPr>
      </w:pPr>
      <w:r>
        <w:rPr>
          <w:rFonts w:hint="eastAsia" w:ascii="宋体" w:hAnsi="宋体" w:eastAsia="宋体" w:cs="宋体"/>
          <w:b/>
          <w:bCs w:val="0"/>
          <w:color w:val="auto"/>
          <w:sz w:val="28"/>
          <w:szCs w:val="28"/>
          <w:u w:val="none"/>
          <w:lang w:val="en-US" w:eastAsia="zh-CN"/>
        </w:rPr>
        <w:t>中小企业声明函（工程、服务）（如是）</w:t>
      </w:r>
    </w:p>
    <w:p w14:paraId="050A0A7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377349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34FF8AA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4630D28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1618087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59AA329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4A166999">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1BF1BA60">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411EFD49">
      <w:pPr>
        <w:autoSpaceDE w:val="0"/>
        <w:autoSpaceDN w:val="0"/>
        <w:adjustRightInd w:val="0"/>
        <w:spacing w:line="600" w:lineRule="auto"/>
        <w:rPr>
          <w:rFonts w:ascii="宋体" w:hAnsi="宋体" w:cs="宋体"/>
          <w:color w:val="auto"/>
          <w:sz w:val="24"/>
          <w:szCs w:val="24"/>
          <w:u w:val="single"/>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529CB349">
      <w:pPr>
        <w:keepNext/>
        <w:keepLines/>
        <w:spacing w:line="415" w:lineRule="auto"/>
        <w:jc w:val="center"/>
        <w:outlineLvl w:val="1"/>
        <w:rPr>
          <w:rFonts w:ascii="Calibri Light" w:hAnsi="Calibri Light" w:cs="Times New Roman"/>
          <w:b/>
          <w:bCs/>
          <w:color w:val="auto"/>
          <w:sz w:val="32"/>
          <w:szCs w:val="32"/>
        </w:rPr>
        <w:sectPr>
          <w:pgSz w:w="11906" w:h="16838"/>
          <w:pgMar w:top="1361" w:right="1417" w:bottom="1361" w:left="1417" w:header="1134" w:footer="992" w:gutter="0"/>
          <w:pgNumType w:fmt="decimal"/>
          <w:cols w:space="0" w:num="1"/>
          <w:titlePg/>
          <w:rtlGutter w:val="0"/>
          <w:docGrid w:type="lines" w:linePitch="328" w:charSpace="0"/>
        </w:sectPr>
      </w:pPr>
    </w:p>
    <w:p w14:paraId="0FB85AEA">
      <w:pPr>
        <w:pStyle w:val="3"/>
        <w:numPr>
          <w:ilvl w:val="0"/>
          <w:numId w:val="9"/>
        </w:numPr>
        <w:ind w:firstLine="482" w:firstLineChars="150"/>
        <w:jc w:val="center"/>
        <w:rPr>
          <w:rFonts w:hint="eastAsia" w:ascii="Calibri Light" w:hAnsi="Calibri Light" w:cs="Times New Roman"/>
          <w:b/>
          <w:bCs/>
          <w:color w:val="auto"/>
          <w:sz w:val="32"/>
          <w:szCs w:val="32"/>
          <w:lang w:eastAsia="zh-CN"/>
        </w:rPr>
      </w:pPr>
      <w:bookmarkStart w:id="170" w:name="_Toc19543354"/>
      <w:r>
        <w:rPr>
          <w:rFonts w:hint="eastAsia" w:ascii="Calibri Light" w:hAnsi="Calibri Light" w:cs="Times New Roman"/>
          <w:b/>
          <w:bCs/>
          <w:color w:val="auto"/>
          <w:sz w:val="32"/>
          <w:szCs w:val="32"/>
        </w:rPr>
        <w:t xml:space="preserve">  </w:t>
      </w:r>
      <w:bookmarkEnd w:id="170"/>
      <w:bookmarkStart w:id="171" w:name="OLE_LINK28"/>
      <w:r>
        <w:rPr>
          <w:rFonts w:hint="eastAsia" w:ascii="Calibri Light" w:hAnsi="Calibri Light" w:cs="Times New Roman"/>
          <w:b/>
          <w:bCs/>
          <w:color w:val="auto"/>
          <w:sz w:val="32"/>
          <w:szCs w:val="32"/>
          <w:lang w:val="en-US" w:eastAsia="zh-CN"/>
        </w:rPr>
        <w:t>技术及</w:t>
      </w:r>
      <w:r>
        <w:rPr>
          <w:rFonts w:hint="eastAsia" w:ascii="Calibri Light" w:hAnsi="Calibri Light" w:cs="Times New Roman"/>
          <w:b/>
          <w:bCs/>
          <w:color w:val="auto"/>
          <w:sz w:val="32"/>
          <w:szCs w:val="32"/>
          <w:lang w:eastAsia="zh-CN"/>
        </w:rPr>
        <w:t>商务偏离表</w:t>
      </w:r>
      <w:bookmarkEnd w:id="171"/>
    </w:p>
    <w:p w14:paraId="745877E1">
      <w:pPr>
        <w:pStyle w:val="3"/>
        <w:spacing w:before="0" w:after="0"/>
        <w:ind w:firstLine="422" w:firstLineChars="150"/>
        <w:jc w:val="center"/>
        <w:rPr>
          <w:color w:val="auto"/>
          <w:sz w:val="28"/>
          <w:szCs w:val="28"/>
        </w:rPr>
      </w:pPr>
      <w:r>
        <w:rPr>
          <w:rFonts w:hint="eastAsia"/>
          <w:color w:val="auto"/>
          <w:sz w:val="28"/>
          <w:szCs w:val="28"/>
        </w:rPr>
        <w:t>技术偏离表</w:t>
      </w:r>
    </w:p>
    <w:tbl>
      <w:tblPr>
        <w:tblStyle w:val="3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24842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7BCDF34C">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序号</w:t>
            </w:r>
          </w:p>
        </w:tc>
        <w:tc>
          <w:tcPr>
            <w:tcW w:w="2050" w:type="dxa"/>
            <w:vAlign w:val="center"/>
          </w:tcPr>
          <w:p w14:paraId="5B48B9D5">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lang w:eastAsia="zh-CN"/>
              </w:rPr>
              <w:t>磋商文件</w:t>
            </w:r>
            <w:r>
              <w:rPr>
                <w:rFonts w:hint="eastAsia" w:ascii="宋体" w:hAnsi="宋体" w:cs="宋体"/>
                <w:b/>
                <w:color w:val="auto"/>
                <w:szCs w:val="21"/>
              </w:rPr>
              <w:t>技术要求</w:t>
            </w:r>
          </w:p>
        </w:tc>
        <w:tc>
          <w:tcPr>
            <w:tcW w:w="3934" w:type="dxa"/>
            <w:vAlign w:val="center"/>
          </w:tcPr>
          <w:p w14:paraId="564AEB7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lang w:val="en-US" w:eastAsia="zh-CN"/>
              </w:rPr>
            </w:pPr>
            <w:r>
              <w:rPr>
                <w:rFonts w:hint="eastAsia" w:ascii="宋体" w:hAnsi="宋体" w:cs="宋体"/>
                <w:b/>
                <w:color w:val="auto"/>
                <w:szCs w:val="21"/>
              </w:rPr>
              <w:t>投标文件技术参数</w:t>
            </w:r>
            <w:r>
              <w:rPr>
                <w:rFonts w:hint="eastAsia" w:ascii="宋体" w:hAnsi="宋体" w:cs="宋体"/>
                <w:b/>
                <w:color w:val="auto"/>
                <w:szCs w:val="21"/>
                <w:lang w:val="en-US" w:eastAsia="zh-CN"/>
              </w:rPr>
              <w:t>应答</w:t>
            </w:r>
          </w:p>
        </w:tc>
        <w:tc>
          <w:tcPr>
            <w:tcW w:w="1583" w:type="dxa"/>
            <w:vAlign w:val="center"/>
          </w:tcPr>
          <w:p w14:paraId="1991158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b/>
                <w:color w:val="auto"/>
                <w:szCs w:val="21"/>
                <w:lang w:val="en-US" w:eastAsia="zh-CN"/>
              </w:rPr>
              <w:t>响应/偏离</w:t>
            </w:r>
          </w:p>
        </w:tc>
        <w:tc>
          <w:tcPr>
            <w:tcW w:w="1369" w:type="dxa"/>
            <w:vAlign w:val="center"/>
          </w:tcPr>
          <w:p w14:paraId="7886D181">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偏离简述</w:t>
            </w:r>
          </w:p>
        </w:tc>
      </w:tr>
      <w:tr w14:paraId="37942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E5AA386">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1</w:t>
            </w:r>
          </w:p>
        </w:tc>
        <w:tc>
          <w:tcPr>
            <w:tcW w:w="2050" w:type="dxa"/>
          </w:tcPr>
          <w:p w14:paraId="2CA8E64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287F662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41A6342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037C392B">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7AD7A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E75F2F2">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2</w:t>
            </w:r>
          </w:p>
        </w:tc>
        <w:tc>
          <w:tcPr>
            <w:tcW w:w="2050" w:type="dxa"/>
          </w:tcPr>
          <w:p w14:paraId="6A80880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413FD17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6A5E3C4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3FB31AF5">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1D6C2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184D20FD">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3</w:t>
            </w:r>
          </w:p>
        </w:tc>
        <w:tc>
          <w:tcPr>
            <w:tcW w:w="2050" w:type="dxa"/>
          </w:tcPr>
          <w:p w14:paraId="6463FCAB">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51D1518E">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158A3C9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0B33E955">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29125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AB1EECE">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4</w:t>
            </w:r>
          </w:p>
        </w:tc>
        <w:tc>
          <w:tcPr>
            <w:tcW w:w="2050" w:type="dxa"/>
          </w:tcPr>
          <w:p w14:paraId="2639518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1D1D1DC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2412456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08ED952D">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6B6ED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55D3FF48">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w:t>
            </w:r>
          </w:p>
        </w:tc>
        <w:tc>
          <w:tcPr>
            <w:tcW w:w="2050" w:type="dxa"/>
          </w:tcPr>
          <w:p w14:paraId="04E8F35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49F1A11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5CF2486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7EDFA106">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6DCA4F88">
      <w:pPr>
        <w:pStyle w:val="25"/>
        <w:rPr>
          <w:color w:val="auto"/>
        </w:rPr>
      </w:pPr>
      <w:r>
        <w:rPr>
          <w:rFonts w:hint="eastAsia" w:ascii="宋体" w:hAnsi="宋体" w:cs="仿宋"/>
          <w:color w:val="auto"/>
          <w:sz w:val="24"/>
          <w:szCs w:val="24"/>
        </w:rPr>
        <w:t>注：投标人可根据实际情况自行扩展表格细项。</w:t>
      </w:r>
    </w:p>
    <w:p w14:paraId="600601D2">
      <w:pPr>
        <w:jc w:val="center"/>
        <w:rPr>
          <w:rFonts w:ascii="宋体" w:hAnsi="宋体"/>
          <w:b/>
          <w:color w:val="auto"/>
          <w:sz w:val="24"/>
          <w:szCs w:val="24"/>
        </w:rPr>
      </w:pPr>
    </w:p>
    <w:p w14:paraId="03923991">
      <w:pPr>
        <w:jc w:val="center"/>
        <w:rPr>
          <w:rFonts w:ascii="宋体" w:hAnsi="宋体"/>
          <w:b/>
          <w:color w:val="auto"/>
          <w:sz w:val="24"/>
          <w:szCs w:val="24"/>
        </w:rPr>
      </w:pPr>
    </w:p>
    <w:p w14:paraId="30005368">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2A7C24BB">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11508D09">
      <w:pPr>
        <w:ind w:firstLine="240" w:firstLineChars="100"/>
        <w:rPr>
          <w:rFonts w:hint="eastAsia" w:ascii="Calibri Light" w:hAnsi="Calibri Light" w:cs="Times New Roman"/>
          <w:b/>
          <w:bCs/>
          <w:color w:val="auto"/>
          <w:sz w:val="32"/>
          <w:szCs w:val="32"/>
          <w:lang w:eastAsia="zh-CN"/>
        </w:rPr>
        <w:sectPr>
          <w:footerReference r:id="rId20" w:type="default"/>
          <w:pgSz w:w="11906" w:h="16838"/>
          <w:pgMar w:top="1361" w:right="1417" w:bottom="1361" w:left="1417" w:header="1134" w:footer="992" w:gutter="0"/>
          <w:pgNumType w:fmt="decimal"/>
          <w:cols w:space="0" w:num="1"/>
          <w:titlePg/>
          <w:rtlGutter w:val="0"/>
          <w:docGrid w:type="lines" w:linePitch="328" w:charSpace="0"/>
        </w:sectPr>
      </w:pPr>
      <w:r>
        <w:rPr>
          <w:rFonts w:hint="eastAsia" w:ascii="宋体" w:hAnsi="宋体"/>
          <w:color w:val="auto"/>
          <w:sz w:val="24"/>
          <w:szCs w:val="24"/>
        </w:rPr>
        <w:t>日      期：</w:t>
      </w:r>
    </w:p>
    <w:p w14:paraId="722BD4DF">
      <w:pPr>
        <w:rPr>
          <w:rFonts w:hint="eastAsia"/>
          <w:color w:val="auto"/>
          <w:lang w:eastAsia="zh-CN"/>
        </w:rPr>
      </w:pPr>
    </w:p>
    <w:p w14:paraId="63710E0F">
      <w:pPr>
        <w:numPr>
          <w:ilvl w:val="0"/>
          <w:numId w:val="0"/>
        </w:numPr>
        <w:jc w:val="center"/>
        <w:rPr>
          <w:rFonts w:hint="eastAsia" w:ascii="Arial" w:hAnsi="Arial" w:eastAsia="宋体" w:cs="Arial"/>
          <w:b/>
          <w:bCs/>
          <w:color w:val="auto"/>
          <w:kern w:val="2"/>
          <w:sz w:val="24"/>
          <w:szCs w:val="24"/>
          <w:lang w:val="en-US" w:eastAsia="zh-CN" w:bidi="ar-SA"/>
        </w:rPr>
      </w:pPr>
    </w:p>
    <w:p w14:paraId="55F2C028">
      <w:pPr>
        <w:numPr>
          <w:ilvl w:val="0"/>
          <w:numId w:val="0"/>
        </w:numPr>
        <w:jc w:val="center"/>
        <w:rPr>
          <w:rFonts w:hint="eastAsia" w:ascii="Arial" w:hAnsi="Arial" w:eastAsia="宋体" w:cs="Arial"/>
          <w:b/>
          <w:bCs/>
          <w:color w:val="auto"/>
          <w:kern w:val="2"/>
          <w:sz w:val="28"/>
          <w:szCs w:val="28"/>
          <w:lang w:val="en-US" w:eastAsia="zh-CN" w:bidi="ar-SA"/>
        </w:rPr>
      </w:pPr>
      <w:r>
        <w:rPr>
          <w:rFonts w:hint="eastAsia" w:ascii="Arial" w:hAnsi="Arial" w:eastAsia="宋体" w:cs="Arial"/>
          <w:b/>
          <w:bCs/>
          <w:color w:val="auto"/>
          <w:kern w:val="2"/>
          <w:sz w:val="28"/>
          <w:szCs w:val="28"/>
          <w:lang w:val="en-US" w:eastAsia="zh-CN" w:bidi="ar-SA"/>
        </w:rPr>
        <w:t>商务偏离表</w:t>
      </w:r>
    </w:p>
    <w:p w14:paraId="76DC15C6">
      <w:pPr>
        <w:numPr>
          <w:ilvl w:val="0"/>
          <w:numId w:val="0"/>
        </w:numPr>
        <w:jc w:val="center"/>
        <w:rPr>
          <w:rFonts w:hint="eastAsia" w:ascii="Arial" w:hAnsi="Arial" w:eastAsia="宋体" w:cs="Arial"/>
          <w:b/>
          <w:bCs/>
          <w:color w:val="auto"/>
          <w:kern w:val="2"/>
          <w:sz w:val="24"/>
          <w:szCs w:val="24"/>
          <w:lang w:val="en-US" w:eastAsia="zh-CN" w:bidi="ar-SA"/>
        </w:rPr>
      </w:pPr>
    </w:p>
    <w:tbl>
      <w:tblPr>
        <w:tblStyle w:val="3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4B42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375AD8C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default"/>
                <w:color w:val="auto"/>
              </w:rPr>
              <w:br w:type="page"/>
            </w:r>
            <w:r>
              <w:rPr>
                <w:rFonts w:hint="eastAsia" w:ascii="宋体" w:hAnsi="宋体" w:eastAsia="宋体" w:cs="宋体"/>
                <w:b/>
                <w:color w:val="auto"/>
                <w:szCs w:val="21"/>
                <w:lang w:val="en-US" w:eastAsia="zh-CN"/>
              </w:rPr>
              <w:t>序号</w:t>
            </w:r>
          </w:p>
        </w:tc>
        <w:tc>
          <w:tcPr>
            <w:tcW w:w="2835" w:type="dxa"/>
            <w:vAlign w:val="center"/>
          </w:tcPr>
          <w:p w14:paraId="3F8368C1">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cs="宋体"/>
                <w:b/>
                <w:color w:val="auto"/>
                <w:szCs w:val="21"/>
                <w:lang w:eastAsia="zh-CN"/>
              </w:rPr>
              <w:t>磋商文件</w:t>
            </w:r>
            <w:r>
              <w:rPr>
                <w:rFonts w:hint="eastAsia" w:ascii="宋体" w:hAnsi="宋体" w:eastAsia="宋体" w:cs="宋体"/>
                <w:b/>
                <w:color w:val="auto"/>
                <w:szCs w:val="21"/>
              </w:rPr>
              <w:t>商务要求</w:t>
            </w:r>
          </w:p>
        </w:tc>
        <w:tc>
          <w:tcPr>
            <w:tcW w:w="2552" w:type="dxa"/>
            <w:vAlign w:val="center"/>
          </w:tcPr>
          <w:p w14:paraId="43E23661">
            <w:pPr>
              <w:keepNext w:val="0"/>
              <w:keepLines w:val="0"/>
              <w:suppressLineNumbers w:val="0"/>
              <w:wordWrap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b/>
                <w:color w:val="auto"/>
                <w:szCs w:val="21"/>
              </w:rPr>
              <w:t>投标文件商务应答</w:t>
            </w:r>
          </w:p>
        </w:tc>
        <w:tc>
          <w:tcPr>
            <w:tcW w:w="1516" w:type="dxa"/>
            <w:vAlign w:val="center"/>
          </w:tcPr>
          <w:p w14:paraId="284866A9">
            <w:pPr>
              <w:keepNext w:val="0"/>
              <w:keepLines w:val="0"/>
              <w:suppressLineNumbers w:val="0"/>
              <w:wordWrap w:val="0"/>
              <w:spacing w:before="0" w:beforeAutospacing="0" w:after="0" w:afterAutospacing="0"/>
              <w:ind w:left="0" w:right="0"/>
              <w:jc w:val="center"/>
              <w:rPr>
                <w:rFonts w:hint="default" w:ascii="宋体" w:hAnsi="宋体" w:eastAsia="宋体" w:cs="宋体"/>
                <w:color w:val="auto"/>
                <w:sz w:val="24"/>
                <w:szCs w:val="24"/>
                <w:lang w:val="en-US" w:eastAsia="zh-CN"/>
              </w:rPr>
            </w:pPr>
            <w:r>
              <w:rPr>
                <w:rFonts w:hint="eastAsia" w:ascii="宋体" w:hAnsi="宋体" w:eastAsia="宋体" w:cs="宋体"/>
                <w:b/>
                <w:color w:val="auto"/>
                <w:szCs w:val="21"/>
                <w:lang w:val="en-US" w:eastAsia="zh-CN"/>
              </w:rPr>
              <w:t>响应/偏离</w:t>
            </w:r>
          </w:p>
        </w:tc>
        <w:tc>
          <w:tcPr>
            <w:tcW w:w="1516" w:type="dxa"/>
            <w:vAlign w:val="center"/>
          </w:tcPr>
          <w:p w14:paraId="2A97E35F">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偏离简述</w:t>
            </w:r>
          </w:p>
        </w:tc>
      </w:tr>
      <w:tr w14:paraId="3541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A1C714A">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1</w:t>
            </w:r>
          </w:p>
        </w:tc>
        <w:tc>
          <w:tcPr>
            <w:tcW w:w="2835" w:type="dxa"/>
            <w:vAlign w:val="center"/>
          </w:tcPr>
          <w:p w14:paraId="65189C4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5F0E0D47">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2EF09333">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2FC39D6D">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4111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A6B9299">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w:t>
            </w:r>
          </w:p>
        </w:tc>
        <w:tc>
          <w:tcPr>
            <w:tcW w:w="2835" w:type="dxa"/>
            <w:vAlign w:val="center"/>
          </w:tcPr>
          <w:p w14:paraId="63649DCD">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6A18DF7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4917B87F">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D00C2B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675F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EE9F769">
            <w:pPr>
              <w:keepNext w:val="0"/>
              <w:keepLines w:val="0"/>
              <w:suppressLineNumbers w:val="0"/>
              <w:wordWrap w:val="0"/>
              <w:spacing w:before="0" w:beforeAutospacing="0" w:after="0" w:afterAutospacing="0"/>
              <w:ind w:left="0" w:right="0"/>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3</w:t>
            </w:r>
          </w:p>
        </w:tc>
        <w:tc>
          <w:tcPr>
            <w:tcW w:w="2835" w:type="dxa"/>
            <w:vAlign w:val="center"/>
          </w:tcPr>
          <w:p w14:paraId="31F281BC">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24CC7D6C">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A2AC91A">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66B81FDE">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4BB0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CFFA42C">
            <w:pPr>
              <w:keepNext w:val="0"/>
              <w:keepLines w:val="0"/>
              <w:suppressLineNumbers w:val="0"/>
              <w:wordWrap w:val="0"/>
              <w:spacing w:before="0" w:beforeAutospacing="0" w:after="0" w:afterAutospacing="0"/>
              <w:ind w:left="0" w:right="0"/>
              <w:jc w:val="center"/>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w:t>
            </w:r>
          </w:p>
        </w:tc>
        <w:tc>
          <w:tcPr>
            <w:tcW w:w="2835" w:type="dxa"/>
            <w:vAlign w:val="center"/>
          </w:tcPr>
          <w:p w14:paraId="4BA485D2">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5A09BB9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5FB3BE8">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7DE501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bl>
    <w:p w14:paraId="63E044A6">
      <w:pPr>
        <w:spacing w:line="360" w:lineRule="auto"/>
        <w:ind w:firstLine="482" w:firstLineChars="200"/>
        <w:rPr>
          <w:b/>
          <w:bCs/>
          <w:color w:val="auto"/>
          <w:sz w:val="24"/>
          <w:szCs w:val="24"/>
        </w:rPr>
      </w:pPr>
      <w:r>
        <w:rPr>
          <w:rFonts w:hint="eastAsia" w:ascii="宋体" w:hAnsi="宋体"/>
          <w:b/>
          <w:bCs/>
          <w:color w:val="auto"/>
          <w:sz w:val="24"/>
          <w:szCs w:val="24"/>
        </w:rPr>
        <w:t>注：对</w:t>
      </w:r>
      <w:r>
        <w:rPr>
          <w:rFonts w:hint="eastAsia" w:ascii="宋体" w:hAnsi="宋体"/>
          <w:b/>
          <w:bCs/>
          <w:color w:val="auto"/>
          <w:sz w:val="24"/>
          <w:szCs w:val="24"/>
          <w:lang w:eastAsia="zh-CN"/>
        </w:rPr>
        <w:t>磋商文件</w:t>
      </w:r>
      <w:r>
        <w:rPr>
          <w:rFonts w:hint="eastAsia" w:ascii="宋体" w:hAnsi="宋体"/>
          <w:b/>
          <w:bCs/>
          <w:color w:val="auto"/>
          <w:sz w:val="24"/>
          <w:szCs w:val="24"/>
        </w:rPr>
        <w:t>中要求的商务条款逐条响应并详细说明。</w:t>
      </w:r>
    </w:p>
    <w:p w14:paraId="5C42B219">
      <w:pPr>
        <w:rPr>
          <w:color w:val="auto"/>
          <w:sz w:val="24"/>
          <w:szCs w:val="24"/>
        </w:rPr>
      </w:pPr>
    </w:p>
    <w:p w14:paraId="74D85CD8">
      <w:pPr>
        <w:spacing w:line="360" w:lineRule="auto"/>
        <w:ind w:firstLine="420" w:firstLineChars="175"/>
        <w:rPr>
          <w:rFonts w:ascii="宋体" w:hAnsi="宋体"/>
          <w:color w:val="auto"/>
          <w:sz w:val="24"/>
          <w:szCs w:val="24"/>
        </w:rPr>
      </w:pPr>
      <w:r>
        <w:rPr>
          <w:rFonts w:ascii="宋体" w:hAnsi="宋体"/>
          <w:color w:val="auto"/>
          <w:sz w:val="24"/>
          <w:szCs w:val="24"/>
        </w:rPr>
        <w:t xml:space="preserve">    </w:t>
      </w:r>
    </w:p>
    <w:p w14:paraId="7C9117F4">
      <w:pPr>
        <w:spacing w:line="360" w:lineRule="auto"/>
        <w:ind w:firstLine="420" w:firstLineChars="175"/>
        <w:rPr>
          <w:rFonts w:hint="eastAsia" w:ascii="宋体" w:hAnsi="宋体" w:cs="Times New Roman"/>
          <w:b/>
          <w:bCs/>
          <w:color w:val="auto"/>
          <w:sz w:val="24"/>
          <w:szCs w:val="24"/>
        </w:rPr>
      </w:pPr>
      <w:r>
        <w:rPr>
          <w:rFonts w:hint="eastAsia" w:ascii="宋体" w:hAnsi="宋体"/>
          <w:color w:val="auto"/>
          <w:sz w:val="24"/>
          <w:szCs w:val="24"/>
        </w:rPr>
        <w:t xml:space="preserve">   </w:t>
      </w:r>
    </w:p>
    <w:p w14:paraId="0AB7D895">
      <w:pPr>
        <w:pStyle w:val="22"/>
        <w:rPr>
          <w:color w:val="auto"/>
        </w:rPr>
      </w:pPr>
    </w:p>
    <w:p w14:paraId="2BA58935">
      <w:pPr>
        <w:pStyle w:val="22"/>
        <w:rPr>
          <w:color w:val="auto"/>
        </w:rPr>
      </w:pPr>
    </w:p>
    <w:p w14:paraId="1C4722CB">
      <w:pPr>
        <w:pStyle w:val="22"/>
        <w:rPr>
          <w:color w:val="auto"/>
        </w:rPr>
      </w:pPr>
    </w:p>
    <w:p w14:paraId="329EFD67">
      <w:pPr>
        <w:adjustRightInd w:val="0"/>
        <w:snapToGrid w:val="0"/>
        <w:spacing w:line="480" w:lineRule="auto"/>
        <w:jc w:val="left"/>
        <w:rPr>
          <w:rFonts w:ascii="宋体" w:cs="Times New Roman"/>
          <w:color w:val="auto"/>
          <w:sz w:val="24"/>
          <w:szCs w:val="24"/>
          <w:u w:val="single"/>
        </w:rPr>
      </w:pPr>
      <w:r>
        <w:rPr>
          <w:rFonts w:hint="eastAsia" w:ascii="宋体" w:hAnsi="宋体" w:cs="宋体"/>
          <w:color w:val="auto"/>
          <w:sz w:val="24"/>
          <w:szCs w:val="24"/>
          <w:lang w:val="en-US" w:eastAsia="zh-CN"/>
        </w:rPr>
        <w:t>投标人</w:t>
      </w:r>
      <w:r>
        <w:rPr>
          <w:rFonts w:hint="eastAsia" w:ascii="宋体" w:hAnsi="宋体" w:cs="宋体"/>
          <w:color w:val="auto"/>
          <w:sz w:val="24"/>
          <w:szCs w:val="24"/>
        </w:rPr>
        <w:t>（单位名称及公章）：____________________________</w:t>
      </w:r>
    </w:p>
    <w:p w14:paraId="3FEB1308">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）：____________________________</w:t>
      </w:r>
    </w:p>
    <w:p w14:paraId="2E89C1D7">
      <w:pPr>
        <w:adjustRightInd w:val="0"/>
        <w:snapToGrid w:val="0"/>
        <w:spacing w:line="480" w:lineRule="auto"/>
        <w:rPr>
          <w:rFonts w:ascii="宋体" w:cs="Times New Roman"/>
          <w:color w:val="auto"/>
          <w:sz w:val="24"/>
          <w:szCs w:val="24"/>
        </w:r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p>
    <w:p w14:paraId="1325C13C">
      <w:pPr>
        <w:widowControl/>
        <w:jc w:val="left"/>
        <w:rPr>
          <w:rFonts w:ascii="宋体" w:hAnsi="宋体" w:cs="宋体"/>
          <w:b/>
          <w:bCs/>
          <w:color w:val="auto"/>
          <w:sz w:val="28"/>
          <w:szCs w:val="28"/>
        </w:rPr>
      </w:pPr>
    </w:p>
    <w:bookmarkEnd w:id="161"/>
    <w:bookmarkEnd w:id="164"/>
    <w:bookmarkEnd w:id="165"/>
    <w:bookmarkEnd w:id="166"/>
    <w:bookmarkEnd w:id="167"/>
    <w:bookmarkEnd w:id="168"/>
    <w:bookmarkEnd w:id="169"/>
    <w:p w14:paraId="43B331B0">
      <w:pPr>
        <w:pStyle w:val="3"/>
        <w:pageBreakBefore/>
        <w:rPr>
          <w:rFonts w:ascii="宋体" w:cs="Times New Roman"/>
          <w:color w:val="auto"/>
          <w:sz w:val="24"/>
          <w:szCs w:val="24"/>
        </w:rPr>
        <w:sectPr>
          <w:pgSz w:w="11906" w:h="16838"/>
          <w:pgMar w:top="1361" w:right="1417" w:bottom="1361" w:left="1417" w:header="1134" w:footer="992" w:gutter="0"/>
          <w:pgNumType w:fmt="decimal"/>
          <w:cols w:space="0" w:num="1"/>
          <w:titlePg/>
          <w:rtlGutter w:val="0"/>
          <w:docGrid w:type="lines" w:linePitch="328" w:charSpace="0"/>
        </w:sectPr>
      </w:pPr>
      <w:bookmarkStart w:id="172" w:name="_Toc1408"/>
    </w:p>
    <w:bookmarkEnd w:id="172"/>
    <w:p w14:paraId="68F52725">
      <w:pPr>
        <w:pStyle w:val="3"/>
        <w:keepNext/>
        <w:keepLines/>
        <w:pageBreakBefore/>
        <w:widowControl w:val="0"/>
        <w:kinsoku/>
        <w:wordWrap/>
        <w:overflowPunct/>
        <w:topLinePunct w:val="0"/>
        <w:autoSpaceDE/>
        <w:autoSpaceDN/>
        <w:bidi w:val="0"/>
        <w:adjustRightInd/>
        <w:snapToGrid/>
        <w:spacing w:line="413" w:lineRule="auto"/>
        <w:textAlignment w:val="auto"/>
        <w:rPr>
          <w:rFonts w:ascii="宋体" w:hAnsi="宋体" w:cs="宋体"/>
          <w:color w:val="auto"/>
          <w:sz w:val="32"/>
          <w:szCs w:val="32"/>
        </w:rPr>
      </w:pPr>
      <w:bookmarkStart w:id="173" w:name="_Toc9172"/>
      <w:bookmarkStart w:id="174" w:name="_Toc536202399"/>
      <w:bookmarkStart w:id="175" w:name="_Toc536202330"/>
      <w:bookmarkStart w:id="176" w:name="_Toc536429339"/>
      <w:bookmarkStart w:id="177" w:name="_Toc536429392"/>
      <w:bookmarkStart w:id="178" w:name="_Toc19543359"/>
      <w:bookmarkStart w:id="179" w:name="_Toc14937"/>
      <w:bookmarkStart w:id="180" w:name="_Toc1803"/>
      <w:r>
        <w:rPr>
          <w:rFonts w:hint="eastAsia" w:ascii="宋体" w:hAnsi="宋体" w:cs="宋体"/>
          <w:color w:val="auto"/>
          <w:sz w:val="32"/>
          <w:szCs w:val="32"/>
        </w:rPr>
        <w:t>第</w:t>
      </w:r>
      <w:r>
        <w:rPr>
          <w:rFonts w:hint="eastAsia" w:ascii="宋体" w:hAnsi="宋体" w:cs="宋体"/>
          <w:color w:val="auto"/>
          <w:sz w:val="32"/>
          <w:szCs w:val="32"/>
          <w:lang w:val="en-US" w:eastAsia="zh-CN"/>
        </w:rPr>
        <w:t>五</w:t>
      </w:r>
      <w:r>
        <w:rPr>
          <w:rFonts w:hint="eastAsia" w:ascii="宋体" w:hAnsi="宋体" w:cs="宋体"/>
          <w:color w:val="auto"/>
          <w:sz w:val="32"/>
          <w:szCs w:val="32"/>
        </w:rPr>
        <w:t>章</w:t>
      </w:r>
      <w:r>
        <w:rPr>
          <w:rFonts w:ascii="宋体" w:hAnsi="宋体" w:cs="宋体"/>
          <w:color w:val="auto"/>
          <w:sz w:val="32"/>
          <w:szCs w:val="32"/>
        </w:rPr>
        <w:t xml:space="preserve">  </w:t>
      </w:r>
      <w:bookmarkEnd w:id="173"/>
      <w:r>
        <w:rPr>
          <w:rFonts w:hint="eastAsia" w:ascii="宋体" w:hAnsi="宋体" w:cs="宋体"/>
          <w:color w:val="auto"/>
          <w:sz w:val="32"/>
          <w:szCs w:val="32"/>
          <w:lang w:val="en-US" w:eastAsia="zh-CN"/>
        </w:rPr>
        <w:t>响应</w:t>
      </w:r>
      <w:r>
        <w:rPr>
          <w:rFonts w:hint="eastAsia" w:ascii="宋体" w:hAnsi="宋体" w:cs="宋体"/>
          <w:color w:val="auto"/>
          <w:sz w:val="32"/>
          <w:szCs w:val="32"/>
        </w:rPr>
        <w:t>方案</w:t>
      </w:r>
      <w:bookmarkEnd w:id="174"/>
      <w:bookmarkEnd w:id="175"/>
      <w:bookmarkEnd w:id="176"/>
      <w:bookmarkEnd w:id="177"/>
      <w:bookmarkEnd w:id="178"/>
      <w:bookmarkEnd w:id="179"/>
    </w:p>
    <w:p w14:paraId="2EC76B0B">
      <w:pPr>
        <w:spacing w:line="360" w:lineRule="auto"/>
        <w:ind w:firstLine="482" w:firstLineChars="200"/>
        <w:rPr>
          <w:rFonts w:ascii="宋体" w:cs="Times New Roman"/>
          <w:b/>
          <w:bCs/>
          <w:color w:val="auto"/>
          <w:sz w:val="28"/>
          <w:szCs w:val="24"/>
        </w:rPr>
      </w:pPr>
      <w:r>
        <w:rPr>
          <w:rFonts w:hint="eastAsia" w:ascii="宋体" w:hAnsi="宋体"/>
          <w:b/>
          <w:bCs/>
          <w:color w:val="auto"/>
          <w:sz w:val="24"/>
          <w:szCs w:val="24"/>
        </w:rPr>
        <w:t>按照磋商文件的要求编制的</w:t>
      </w:r>
      <w:r>
        <w:rPr>
          <w:rFonts w:hint="eastAsia" w:ascii="宋体" w:hAnsi="宋体"/>
          <w:b/>
          <w:bCs/>
          <w:color w:val="auto"/>
          <w:sz w:val="24"/>
          <w:szCs w:val="24"/>
          <w:lang w:val="en-US" w:eastAsia="zh-CN"/>
        </w:rPr>
        <w:t>响应</w:t>
      </w:r>
      <w:r>
        <w:rPr>
          <w:rFonts w:hint="eastAsia" w:ascii="宋体" w:hAnsi="宋体"/>
          <w:b/>
          <w:bCs/>
          <w:color w:val="auto"/>
          <w:sz w:val="24"/>
          <w:szCs w:val="24"/>
        </w:rPr>
        <w:t>方案说明书，</w:t>
      </w:r>
      <w:r>
        <w:rPr>
          <w:rFonts w:hint="eastAsia" w:ascii="宋体" w:hAnsi="宋体"/>
          <w:b/>
          <w:bCs/>
          <w:color w:val="auto"/>
          <w:sz w:val="24"/>
          <w:szCs w:val="24"/>
          <w:lang w:val="en-US" w:eastAsia="zh-CN"/>
        </w:rPr>
        <w:t>响应</w:t>
      </w:r>
      <w:r>
        <w:rPr>
          <w:rFonts w:hint="eastAsia" w:ascii="宋体" w:hAnsi="宋体"/>
          <w:b/>
          <w:bCs/>
          <w:color w:val="auto"/>
          <w:sz w:val="24"/>
          <w:szCs w:val="24"/>
        </w:rPr>
        <w:t>方案由供应商自行编写，无具体格式，包含但不限于以下内容：</w:t>
      </w:r>
    </w:p>
    <w:p w14:paraId="2F98BDC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bookmarkStart w:id="181" w:name="_Toc26541342"/>
      <w:bookmarkStart w:id="182" w:name="_Toc528240834"/>
      <w:bookmarkStart w:id="183" w:name="_Toc23258631"/>
      <w:bookmarkStart w:id="184" w:name="_Toc484198844"/>
      <w:bookmarkStart w:id="185" w:name="_Toc19543360"/>
      <w:r>
        <w:rPr>
          <w:rFonts w:hint="eastAsia" w:ascii="宋体" w:hAnsi="宋体" w:cs="宋体"/>
          <w:b w:val="0"/>
          <w:bCs/>
          <w:color w:val="auto"/>
          <w:kern w:val="0"/>
          <w:sz w:val="24"/>
          <w:szCs w:val="24"/>
          <w:lang w:val="en-US" w:eastAsia="zh-CN"/>
        </w:rPr>
        <w:t>1.项目实施方案</w:t>
      </w:r>
    </w:p>
    <w:p w14:paraId="2623934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2.重难点分析</w:t>
      </w:r>
    </w:p>
    <w:p w14:paraId="4B2700B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3.人员配置及组织架构</w:t>
      </w:r>
    </w:p>
    <w:p w14:paraId="790F19C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4.维保服务分析</w:t>
      </w:r>
    </w:p>
    <w:p w14:paraId="6F1FFDF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5.内部质量及安全管理体系</w:t>
      </w:r>
    </w:p>
    <w:p w14:paraId="2EEFEA0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6.应急措施</w:t>
      </w:r>
    </w:p>
    <w:p w14:paraId="23F8509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7.工具仪器</w:t>
      </w:r>
    </w:p>
    <w:p w14:paraId="45081AF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8.业绩</w:t>
      </w:r>
    </w:p>
    <w:p w14:paraId="6766D79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9.备品配件</w:t>
      </w:r>
    </w:p>
    <w:p w14:paraId="6555F71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10.合理化建议</w:t>
      </w:r>
    </w:p>
    <w:p w14:paraId="1F5A2DB4">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11.供应商认为有必要提供的其他证明材料及情况说明</w:t>
      </w:r>
    </w:p>
    <w:p w14:paraId="219EC004">
      <w:pPr>
        <w:spacing w:line="360" w:lineRule="auto"/>
        <w:ind w:firstLine="630" w:firstLineChars="300"/>
        <w:rPr>
          <w:rFonts w:ascii="宋体" w:hAnsi="宋体" w:cs="Times New Roman"/>
          <w:color w:val="auto"/>
          <w:sz w:val="24"/>
          <w:szCs w:val="24"/>
        </w:rPr>
      </w:pPr>
      <w:r>
        <w:rPr>
          <w:rFonts w:hint="eastAsia" w:ascii="微软雅黑" w:hAnsi="微软雅黑" w:eastAsia="微软雅黑" w:cs="微软雅黑"/>
          <w:b w:val="0"/>
          <w:bCs w:val="0"/>
          <w:color w:val="auto"/>
          <w:lang w:val="en-US" w:eastAsia="zh-CN"/>
        </w:rPr>
        <w:t>……</w:t>
      </w:r>
      <w:r>
        <w:rPr>
          <w:rFonts w:ascii="宋体" w:hAnsi="宋体" w:cs="Times New Roman"/>
          <w:color w:val="auto"/>
          <w:sz w:val="24"/>
          <w:szCs w:val="24"/>
        </w:rPr>
        <w:br w:type="page"/>
      </w:r>
    </w:p>
    <w:p w14:paraId="495EA792">
      <w:pPr>
        <w:keepNext/>
        <w:keepLines/>
        <w:spacing w:before="260" w:after="260" w:line="416" w:lineRule="auto"/>
        <w:ind w:firstLine="422" w:firstLineChars="150"/>
        <w:jc w:val="center"/>
        <w:outlineLvl w:val="1"/>
        <w:rPr>
          <w:rFonts w:ascii="宋体" w:hAnsi="宋体" w:cs="宋体"/>
          <w:b/>
          <w:bCs/>
          <w:color w:val="auto"/>
          <w:kern w:val="20"/>
          <w:sz w:val="22"/>
          <w:szCs w:val="22"/>
        </w:rPr>
      </w:pPr>
      <w:r>
        <w:rPr>
          <w:rFonts w:hint="eastAsia" w:ascii="Calibri Light" w:hAnsi="Calibri Light" w:cs="Times New Roman"/>
          <w:b/>
          <w:bCs/>
          <w:color w:val="auto"/>
          <w:sz w:val="28"/>
          <w:szCs w:val="28"/>
        </w:rPr>
        <w:t>拟投入人员情况表</w:t>
      </w:r>
      <w:bookmarkEnd w:id="181"/>
      <w:bookmarkEnd w:id="182"/>
      <w:bookmarkEnd w:id="183"/>
      <w:bookmarkEnd w:id="184"/>
    </w:p>
    <w:tbl>
      <w:tblPr>
        <w:tblStyle w:val="3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40"/>
        <w:gridCol w:w="800"/>
        <w:gridCol w:w="800"/>
        <w:gridCol w:w="800"/>
        <w:gridCol w:w="1049"/>
        <w:gridCol w:w="2635"/>
        <w:gridCol w:w="954"/>
      </w:tblGrid>
      <w:tr w14:paraId="4F9D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blHeader/>
          <w:jc w:val="center"/>
        </w:trPr>
        <w:tc>
          <w:tcPr>
            <w:tcW w:w="782" w:type="dxa"/>
            <w:tcMar>
              <w:top w:w="15" w:type="dxa"/>
              <w:left w:w="15" w:type="dxa"/>
              <w:bottom w:w="0" w:type="dxa"/>
              <w:right w:w="15" w:type="dxa"/>
            </w:tcMar>
            <w:vAlign w:val="center"/>
          </w:tcPr>
          <w:p w14:paraId="52B75DAC">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序号</w:t>
            </w:r>
          </w:p>
        </w:tc>
        <w:tc>
          <w:tcPr>
            <w:tcW w:w="1740" w:type="dxa"/>
            <w:tcMar>
              <w:top w:w="15" w:type="dxa"/>
              <w:left w:w="15" w:type="dxa"/>
              <w:bottom w:w="0" w:type="dxa"/>
              <w:right w:w="15" w:type="dxa"/>
            </w:tcMar>
            <w:vAlign w:val="center"/>
          </w:tcPr>
          <w:p w14:paraId="543BE0AD">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姓  名</w:t>
            </w:r>
          </w:p>
        </w:tc>
        <w:tc>
          <w:tcPr>
            <w:tcW w:w="800" w:type="dxa"/>
            <w:tcMar>
              <w:top w:w="15" w:type="dxa"/>
              <w:left w:w="15" w:type="dxa"/>
              <w:bottom w:w="0" w:type="dxa"/>
              <w:right w:w="15" w:type="dxa"/>
            </w:tcMar>
            <w:vAlign w:val="center"/>
          </w:tcPr>
          <w:p w14:paraId="3DBD4BBF">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性别</w:t>
            </w:r>
          </w:p>
        </w:tc>
        <w:tc>
          <w:tcPr>
            <w:tcW w:w="800" w:type="dxa"/>
            <w:tcMar>
              <w:top w:w="15" w:type="dxa"/>
              <w:left w:w="15" w:type="dxa"/>
              <w:bottom w:w="0" w:type="dxa"/>
              <w:right w:w="15" w:type="dxa"/>
            </w:tcMar>
            <w:vAlign w:val="center"/>
          </w:tcPr>
          <w:p w14:paraId="23340954">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年龄</w:t>
            </w:r>
          </w:p>
        </w:tc>
        <w:tc>
          <w:tcPr>
            <w:tcW w:w="800" w:type="dxa"/>
            <w:tcMar>
              <w:top w:w="15" w:type="dxa"/>
              <w:left w:w="15" w:type="dxa"/>
              <w:bottom w:w="0" w:type="dxa"/>
              <w:right w:w="15" w:type="dxa"/>
            </w:tcMar>
            <w:vAlign w:val="center"/>
          </w:tcPr>
          <w:p w14:paraId="6A6DE53C">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学历</w:t>
            </w:r>
          </w:p>
        </w:tc>
        <w:tc>
          <w:tcPr>
            <w:tcW w:w="1049" w:type="dxa"/>
            <w:tcMar>
              <w:top w:w="15" w:type="dxa"/>
              <w:left w:w="15" w:type="dxa"/>
              <w:bottom w:w="0" w:type="dxa"/>
              <w:right w:w="15" w:type="dxa"/>
            </w:tcMar>
            <w:vAlign w:val="center"/>
          </w:tcPr>
          <w:p w14:paraId="12E41AA0">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工作</w:t>
            </w:r>
          </w:p>
          <w:p w14:paraId="0F7620A0">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年限</w:t>
            </w:r>
          </w:p>
        </w:tc>
        <w:tc>
          <w:tcPr>
            <w:tcW w:w="2635" w:type="dxa"/>
            <w:tcMar>
              <w:top w:w="15" w:type="dxa"/>
              <w:left w:w="15" w:type="dxa"/>
              <w:bottom w:w="0" w:type="dxa"/>
              <w:right w:w="15" w:type="dxa"/>
            </w:tcMar>
            <w:vAlign w:val="center"/>
          </w:tcPr>
          <w:p w14:paraId="5B6EB5D0">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拟担任的职务</w:t>
            </w:r>
          </w:p>
        </w:tc>
        <w:tc>
          <w:tcPr>
            <w:tcW w:w="954" w:type="dxa"/>
            <w:tcMar>
              <w:top w:w="15" w:type="dxa"/>
              <w:left w:w="15" w:type="dxa"/>
              <w:bottom w:w="0" w:type="dxa"/>
              <w:right w:w="15" w:type="dxa"/>
            </w:tcMar>
            <w:vAlign w:val="center"/>
          </w:tcPr>
          <w:p w14:paraId="6C612D77">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岗位</w:t>
            </w:r>
          </w:p>
          <w:p w14:paraId="3AA158AC">
            <w:pPr>
              <w:adjustRightInd w:val="0"/>
              <w:snapToGrid w:val="0"/>
              <w:spacing w:line="400" w:lineRule="exact"/>
              <w:jc w:val="center"/>
              <w:rPr>
                <w:rFonts w:ascii="宋体" w:hAnsi="宋体" w:cs="宋体"/>
                <w:b/>
                <w:color w:val="auto"/>
                <w:kern w:val="0"/>
                <w:sz w:val="24"/>
              </w:rPr>
            </w:pPr>
            <w:r>
              <w:rPr>
                <w:rFonts w:hint="eastAsia" w:ascii="宋体" w:hAnsi="宋体" w:cs="宋体"/>
                <w:b/>
                <w:color w:val="auto"/>
                <w:kern w:val="0"/>
                <w:sz w:val="24"/>
              </w:rPr>
              <w:t>情况</w:t>
            </w:r>
          </w:p>
        </w:tc>
      </w:tr>
      <w:tr w14:paraId="6E4F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4A3ACBB">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5172CB2B">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1639D10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1747EC0">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7D0D70F">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07E634D9">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0BB7A90E">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5D01885D">
            <w:pPr>
              <w:adjustRightInd w:val="0"/>
              <w:snapToGrid w:val="0"/>
              <w:spacing w:line="400" w:lineRule="exact"/>
              <w:ind w:firstLine="480" w:firstLineChars="200"/>
              <w:rPr>
                <w:rFonts w:ascii="宋体" w:hAnsi="宋体" w:cs="宋体"/>
                <w:color w:val="auto"/>
                <w:kern w:val="0"/>
                <w:sz w:val="24"/>
              </w:rPr>
            </w:pPr>
          </w:p>
        </w:tc>
      </w:tr>
      <w:tr w14:paraId="1322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72A93CE3">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389B97C4">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0FCE3EED">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288FB9A">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56FC9C4">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38968030">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72FBE654">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60DCE54A">
            <w:pPr>
              <w:adjustRightInd w:val="0"/>
              <w:snapToGrid w:val="0"/>
              <w:spacing w:line="400" w:lineRule="exact"/>
              <w:ind w:firstLine="480" w:firstLineChars="200"/>
              <w:rPr>
                <w:rFonts w:ascii="宋体" w:hAnsi="宋体" w:cs="宋体"/>
                <w:color w:val="auto"/>
                <w:kern w:val="0"/>
                <w:sz w:val="24"/>
              </w:rPr>
            </w:pPr>
          </w:p>
        </w:tc>
      </w:tr>
      <w:tr w14:paraId="4940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85F67EC">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066EB64E">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1D07BB1">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3AD89DD">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374BE1F">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53CE9909">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2B97CB45">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CBC63A3">
            <w:pPr>
              <w:adjustRightInd w:val="0"/>
              <w:snapToGrid w:val="0"/>
              <w:spacing w:line="400" w:lineRule="exact"/>
              <w:ind w:firstLine="480" w:firstLineChars="200"/>
              <w:rPr>
                <w:rFonts w:ascii="宋体" w:hAnsi="宋体" w:cs="宋体"/>
                <w:color w:val="auto"/>
                <w:kern w:val="0"/>
                <w:sz w:val="24"/>
              </w:rPr>
            </w:pPr>
          </w:p>
        </w:tc>
      </w:tr>
      <w:tr w14:paraId="06DC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70B6F612">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11FA748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4BA6D0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FC69370">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F150792">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00EFC3B4">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0ABD7860">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455AB6F8">
            <w:pPr>
              <w:adjustRightInd w:val="0"/>
              <w:snapToGrid w:val="0"/>
              <w:spacing w:line="400" w:lineRule="exact"/>
              <w:ind w:firstLine="480" w:firstLineChars="200"/>
              <w:rPr>
                <w:rFonts w:ascii="宋体" w:hAnsi="宋体" w:cs="宋体"/>
                <w:color w:val="auto"/>
                <w:kern w:val="0"/>
                <w:sz w:val="24"/>
              </w:rPr>
            </w:pPr>
          </w:p>
        </w:tc>
      </w:tr>
      <w:tr w14:paraId="40F6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7FD10FE">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786C1B22">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98A3E8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F3B53B0">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7E7CAA6">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11C58E21">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307D90B3">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DE0E76F">
            <w:pPr>
              <w:adjustRightInd w:val="0"/>
              <w:snapToGrid w:val="0"/>
              <w:spacing w:line="400" w:lineRule="exact"/>
              <w:ind w:firstLine="480" w:firstLineChars="200"/>
              <w:rPr>
                <w:rFonts w:ascii="宋体" w:hAnsi="宋体" w:cs="宋体"/>
                <w:color w:val="auto"/>
                <w:kern w:val="0"/>
                <w:sz w:val="24"/>
              </w:rPr>
            </w:pPr>
          </w:p>
        </w:tc>
      </w:tr>
      <w:tr w14:paraId="5935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31E2445F">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2F078E24">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762460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8108D43">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9F3EC03">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438EDB9A">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4879E7D8">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37D46193">
            <w:pPr>
              <w:adjustRightInd w:val="0"/>
              <w:snapToGrid w:val="0"/>
              <w:spacing w:line="400" w:lineRule="exact"/>
              <w:ind w:firstLine="480" w:firstLineChars="200"/>
              <w:rPr>
                <w:rFonts w:ascii="宋体" w:hAnsi="宋体" w:cs="宋体"/>
                <w:color w:val="auto"/>
                <w:kern w:val="0"/>
                <w:sz w:val="24"/>
              </w:rPr>
            </w:pPr>
          </w:p>
        </w:tc>
      </w:tr>
      <w:tr w14:paraId="2299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D1A2010">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3174DF9C">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91BF1F5">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06953C3D">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EB42435">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776C297C">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0C4F3872">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2A0EA98C">
            <w:pPr>
              <w:adjustRightInd w:val="0"/>
              <w:snapToGrid w:val="0"/>
              <w:spacing w:line="400" w:lineRule="exact"/>
              <w:ind w:firstLine="480" w:firstLineChars="200"/>
              <w:rPr>
                <w:rFonts w:ascii="宋体" w:hAnsi="宋体" w:cs="宋体"/>
                <w:color w:val="auto"/>
                <w:kern w:val="0"/>
                <w:sz w:val="24"/>
              </w:rPr>
            </w:pPr>
          </w:p>
        </w:tc>
      </w:tr>
      <w:tr w14:paraId="7F8E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7B7924E">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0F89580B">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0E056586">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1F8CAA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37A31CE">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601DE9D1">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47FF30EA">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F8C8A58">
            <w:pPr>
              <w:adjustRightInd w:val="0"/>
              <w:snapToGrid w:val="0"/>
              <w:spacing w:line="400" w:lineRule="exact"/>
              <w:ind w:firstLine="480" w:firstLineChars="200"/>
              <w:rPr>
                <w:rFonts w:ascii="宋体" w:hAnsi="宋体" w:cs="宋体"/>
                <w:color w:val="auto"/>
                <w:kern w:val="0"/>
                <w:sz w:val="24"/>
              </w:rPr>
            </w:pPr>
          </w:p>
        </w:tc>
      </w:tr>
      <w:tr w14:paraId="0C2C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2AF76C3A">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6773D11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3594B83">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BDBEBA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7B6646B">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4BE2D3B2">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28AD9A9E">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1EB56027">
            <w:pPr>
              <w:adjustRightInd w:val="0"/>
              <w:snapToGrid w:val="0"/>
              <w:spacing w:line="400" w:lineRule="exact"/>
              <w:ind w:firstLine="480" w:firstLineChars="200"/>
              <w:rPr>
                <w:rFonts w:ascii="宋体" w:hAnsi="宋体" w:cs="宋体"/>
                <w:color w:val="auto"/>
                <w:kern w:val="0"/>
                <w:sz w:val="24"/>
              </w:rPr>
            </w:pPr>
          </w:p>
        </w:tc>
      </w:tr>
      <w:tr w14:paraId="5B81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ACA71A7">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5683A1DE">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3A560A2">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28CCF6B">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AB3FCE0">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342070E3">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7662DFDA">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0B0AD0E">
            <w:pPr>
              <w:adjustRightInd w:val="0"/>
              <w:snapToGrid w:val="0"/>
              <w:spacing w:line="400" w:lineRule="exact"/>
              <w:ind w:firstLine="480" w:firstLineChars="200"/>
              <w:rPr>
                <w:rFonts w:ascii="宋体" w:hAnsi="宋体" w:cs="宋体"/>
                <w:color w:val="auto"/>
                <w:kern w:val="0"/>
                <w:sz w:val="24"/>
              </w:rPr>
            </w:pPr>
          </w:p>
        </w:tc>
      </w:tr>
      <w:tr w14:paraId="7285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25A57A2">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34CA9F1A">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3DFF06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66FAF76">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A79738F">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0E7A28D1">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685EDE7A">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752559F0">
            <w:pPr>
              <w:adjustRightInd w:val="0"/>
              <w:snapToGrid w:val="0"/>
              <w:spacing w:line="400" w:lineRule="exact"/>
              <w:ind w:firstLine="480" w:firstLineChars="200"/>
              <w:rPr>
                <w:rFonts w:ascii="宋体" w:hAnsi="宋体" w:cs="宋体"/>
                <w:color w:val="auto"/>
                <w:kern w:val="0"/>
                <w:sz w:val="24"/>
              </w:rPr>
            </w:pPr>
          </w:p>
        </w:tc>
      </w:tr>
      <w:tr w14:paraId="7C90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28826CD">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1F976999">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ED5AB81">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C1FEBA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6558C89">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5FF98667">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7D713229">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20C4C1EF">
            <w:pPr>
              <w:adjustRightInd w:val="0"/>
              <w:snapToGrid w:val="0"/>
              <w:spacing w:line="400" w:lineRule="exact"/>
              <w:ind w:firstLine="480" w:firstLineChars="200"/>
              <w:rPr>
                <w:rFonts w:ascii="宋体" w:hAnsi="宋体" w:cs="宋体"/>
                <w:color w:val="auto"/>
                <w:kern w:val="0"/>
                <w:sz w:val="24"/>
              </w:rPr>
            </w:pPr>
          </w:p>
        </w:tc>
      </w:tr>
      <w:tr w14:paraId="3E84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8F9C4BB">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384A63A5">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2BF4BB4">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50C65E7C">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FED0004">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7B1552CD">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11D2B7DA">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0D1399BA">
            <w:pPr>
              <w:adjustRightInd w:val="0"/>
              <w:snapToGrid w:val="0"/>
              <w:spacing w:line="400" w:lineRule="exact"/>
              <w:ind w:firstLine="480" w:firstLineChars="200"/>
              <w:rPr>
                <w:rFonts w:ascii="宋体" w:hAnsi="宋体" w:cs="宋体"/>
                <w:color w:val="auto"/>
                <w:kern w:val="0"/>
                <w:sz w:val="24"/>
              </w:rPr>
            </w:pPr>
          </w:p>
        </w:tc>
      </w:tr>
      <w:tr w14:paraId="238E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C7DF0B6">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174AF3BA">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2CEC69BA">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B23312C">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944ACD8">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71AB6B81">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5A0033B8">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5C96E656">
            <w:pPr>
              <w:adjustRightInd w:val="0"/>
              <w:snapToGrid w:val="0"/>
              <w:spacing w:line="400" w:lineRule="exact"/>
              <w:ind w:firstLine="480" w:firstLineChars="200"/>
              <w:rPr>
                <w:rFonts w:ascii="宋体" w:hAnsi="宋体" w:cs="宋体"/>
                <w:color w:val="auto"/>
                <w:kern w:val="0"/>
                <w:sz w:val="24"/>
              </w:rPr>
            </w:pPr>
          </w:p>
        </w:tc>
      </w:tr>
      <w:tr w14:paraId="3F51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6C1CBFE5">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4917122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19EE93F4">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B658933">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11836B06">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3EA44536">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767F1700">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617DB540">
            <w:pPr>
              <w:adjustRightInd w:val="0"/>
              <w:snapToGrid w:val="0"/>
              <w:spacing w:line="400" w:lineRule="exact"/>
              <w:ind w:firstLine="480" w:firstLineChars="200"/>
              <w:rPr>
                <w:rFonts w:ascii="宋体" w:hAnsi="宋体" w:cs="宋体"/>
                <w:color w:val="auto"/>
                <w:kern w:val="0"/>
                <w:sz w:val="24"/>
              </w:rPr>
            </w:pPr>
          </w:p>
        </w:tc>
      </w:tr>
      <w:tr w14:paraId="38F9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9651797">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22A86075">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482282B5">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68049DB0">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6EA8B92">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1EC4E0FC">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2E0883BC">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2B90D59E">
            <w:pPr>
              <w:adjustRightInd w:val="0"/>
              <w:snapToGrid w:val="0"/>
              <w:spacing w:line="400" w:lineRule="exact"/>
              <w:ind w:firstLine="480" w:firstLineChars="200"/>
              <w:rPr>
                <w:rFonts w:ascii="宋体" w:hAnsi="宋体" w:cs="宋体"/>
                <w:color w:val="auto"/>
                <w:kern w:val="0"/>
                <w:sz w:val="24"/>
              </w:rPr>
            </w:pPr>
          </w:p>
        </w:tc>
      </w:tr>
      <w:tr w14:paraId="68B5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782" w:type="dxa"/>
            <w:tcMar>
              <w:top w:w="15" w:type="dxa"/>
              <w:left w:w="15" w:type="dxa"/>
              <w:bottom w:w="0" w:type="dxa"/>
              <w:right w:w="15" w:type="dxa"/>
            </w:tcMar>
            <w:vAlign w:val="bottom"/>
          </w:tcPr>
          <w:p w14:paraId="5D0ACC0D">
            <w:pPr>
              <w:adjustRightInd w:val="0"/>
              <w:snapToGrid w:val="0"/>
              <w:spacing w:line="400" w:lineRule="exact"/>
              <w:ind w:firstLine="480" w:firstLineChars="200"/>
              <w:rPr>
                <w:rFonts w:ascii="宋体" w:hAnsi="宋体" w:cs="宋体"/>
                <w:color w:val="auto"/>
                <w:kern w:val="0"/>
                <w:sz w:val="24"/>
              </w:rPr>
            </w:pPr>
          </w:p>
        </w:tc>
        <w:tc>
          <w:tcPr>
            <w:tcW w:w="1740" w:type="dxa"/>
            <w:tcMar>
              <w:top w:w="15" w:type="dxa"/>
              <w:left w:w="15" w:type="dxa"/>
              <w:bottom w:w="0" w:type="dxa"/>
              <w:right w:w="15" w:type="dxa"/>
            </w:tcMar>
            <w:vAlign w:val="bottom"/>
          </w:tcPr>
          <w:p w14:paraId="4F9F79AF">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727C30F8">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098F53DC">
            <w:pPr>
              <w:adjustRightInd w:val="0"/>
              <w:snapToGrid w:val="0"/>
              <w:spacing w:line="400" w:lineRule="exact"/>
              <w:ind w:firstLine="480" w:firstLineChars="200"/>
              <w:rPr>
                <w:rFonts w:ascii="宋体" w:hAnsi="宋体" w:cs="宋体"/>
                <w:color w:val="auto"/>
                <w:kern w:val="0"/>
                <w:sz w:val="24"/>
              </w:rPr>
            </w:pPr>
          </w:p>
        </w:tc>
        <w:tc>
          <w:tcPr>
            <w:tcW w:w="800" w:type="dxa"/>
            <w:tcMar>
              <w:top w:w="15" w:type="dxa"/>
              <w:left w:w="15" w:type="dxa"/>
              <w:bottom w:w="0" w:type="dxa"/>
              <w:right w:w="15" w:type="dxa"/>
            </w:tcMar>
            <w:vAlign w:val="bottom"/>
          </w:tcPr>
          <w:p w14:paraId="314BB121">
            <w:pPr>
              <w:adjustRightInd w:val="0"/>
              <w:snapToGrid w:val="0"/>
              <w:spacing w:line="400" w:lineRule="exact"/>
              <w:ind w:firstLine="480" w:firstLineChars="200"/>
              <w:rPr>
                <w:rFonts w:ascii="宋体" w:hAnsi="宋体" w:cs="宋体"/>
                <w:color w:val="auto"/>
                <w:kern w:val="0"/>
                <w:sz w:val="24"/>
              </w:rPr>
            </w:pPr>
          </w:p>
        </w:tc>
        <w:tc>
          <w:tcPr>
            <w:tcW w:w="1049" w:type="dxa"/>
            <w:tcMar>
              <w:top w:w="15" w:type="dxa"/>
              <w:left w:w="15" w:type="dxa"/>
              <w:bottom w:w="0" w:type="dxa"/>
              <w:right w:w="15" w:type="dxa"/>
            </w:tcMar>
            <w:vAlign w:val="bottom"/>
          </w:tcPr>
          <w:p w14:paraId="0F63EC17">
            <w:pPr>
              <w:adjustRightInd w:val="0"/>
              <w:snapToGrid w:val="0"/>
              <w:spacing w:line="400" w:lineRule="exact"/>
              <w:ind w:firstLine="480" w:firstLineChars="200"/>
              <w:rPr>
                <w:rFonts w:ascii="宋体" w:hAnsi="宋体" w:cs="宋体"/>
                <w:color w:val="auto"/>
                <w:kern w:val="0"/>
                <w:sz w:val="24"/>
              </w:rPr>
            </w:pPr>
          </w:p>
        </w:tc>
        <w:tc>
          <w:tcPr>
            <w:tcW w:w="2635" w:type="dxa"/>
            <w:tcMar>
              <w:top w:w="15" w:type="dxa"/>
              <w:left w:w="15" w:type="dxa"/>
              <w:bottom w:w="0" w:type="dxa"/>
              <w:right w:w="15" w:type="dxa"/>
            </w:tcMar>
            <w:vAlign w:val="bottom"/>
          </w:tcPr>
          <w:p w14:paraId="3EA20701">
            <w:pPr>
              <w:adjustRightInd w:val="0"/>
              <w:snapToGrid w:val="0"/>
              <w:spacing w:line="400" w:lineRule="exact"/>
              <w:ind w:firstLine="480" w:firstLineChars="200"/>
              <w:rPr>
                <w:rFonts w:ascii="宋体" w:hAnsi="宋体" w:cs="宋体"/>
                <w:color w:val="auto"/>
                <w:kern w:val="0"/>
                <w:sz w:val="24"/>
              </w:rPr>
            </w:pPr>
          </w:p>
        </w:tc>
        <w:tc>
          <w:tcPr>
            <w:tcW w:w="954" w:type="dxa"/>
            <w:tcMar>
              <w:top w:w="15" w:type="dxa"/>
              <w:left w:w="15" w:type="dxa"/>
              <w:bottom w:w="0" w:type="dxa"/>
              <w:right w:w="15" w:type="dxa"/>
            </w:tcMar>
            <w:vAlign w:val="bottom"/>
          </w:tcPr>
          <w:p w14:paraId="575411DA">
            <w:pPr>
              <w:adjustRightInd w:val="0"/>
              <w:snapToGrid w:val="0"/>
              <w:spacing w:line="400" w:lineRule="exact"/>
              <w:ind w:firstLine="480" w:firstLineChars="200"/>
              <w:rPr>
                <w:rFonts w:ascii="宋体" w:hAnsi="宋体" w:cs="宋体"/>
                <w:color w:val="auto"/>
                <w:kern w:val="0"/>
                <w:sz w:val="24"/>
              </w:rPr>
            </w:pPr>
          </w:p>
        </w:tc>
      </w:tr>
    </w:tbl>
    <w:p w14:paraId="454BE937">
      <w:pPr>
        <w:rPr>
          <w:rFonts w:ascii="Times New Roman" w:hAnsi="Times New Roman" w:cs="Times New Roman"/>
          <w:color w:val="auto"/>
          <w:szCs w:val="22"/>
        </w:rPr>
      </w:pPr>
    </w:p>
    <w:p w14:paraId="61033E98">
      <w:pPr>
        <w:adjustRightInd w:val="0"/>
        <w:snapToGrid w:val="0"/>
        <w:spacing w:line="480" w:lineRule="auto"/>
        <w:jc w:val="left"/>
        <w:rPr>
          <w:rFonts w:hint="eastAsia" w:cs="宋体" w:asciiTheme="minorEastAsia" w:hAnsiTheme="minorEastAsia" w:eastAsiaTheme="minorEastAsia"/>
          <w:color w:val="auto"/>
          <w:sz w:val="24"/>
          <w:szCs w:val="24"/>
        </w:rPr>
      </w:pPr>
      <w:bookmarkStart w:id="186" w:name="_Hlt491573425"/>
      <w:bookmarkEnd w:id="186"/>
      <w:bookmarkStart w:id="187" w:name="_Hlt491572882"/>
      <w:bookmarkEnd w:id="187"/>
      <w:bookmarkStart w:id="188" w:name="_Hlt491766019"/>
      <w:bookmarkEnd w:id="188"/>
      <w:bookmarkStart w:id="189" w:name="_Hlt491765868"/>
      <w:bookmarkEnd w:id="189"/>
      <w:bookmarkStart w:id="190" w:name="_Hlt491765944"/>
      <w:bookmarkEnd w:id="190"/>
    </w:p>
    <w:p w14:paraId="663AF719">
      <w:pPr>
        <w:adjustRightInd w:val="0"/>
        <w:snapToGrid w:val="0"/>
        <w:spacing w:line="480" w:lineRule="auto"/>
        <w:jc w:val="left"/>
        <w:rPr>
          <w:rFonts w:cs="Times New Roman"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供应商（单位名称及公章）：</w:t>
      </w:r>
      <w:r>
        <w:rPr>
          <w:rFonts w:cs="宋体" w:asciiTheme="minorEastAsia" w:hAnsiTheme="minorEastAsia" w:eastAsiaTheme="minorEastAsia"/>
          <w:color w:val="auto"/>
          <w:sz w:val="24"/>
          <w:szCs w:val="24"/>
        </w:rPr>
        <w:t>____________________</w:t>
      </w:r>
    </w:p>
    <w:p w14:paraId="21E7A305">
      <w:pPr>
        <w:adjustRightInd w:val="0"/>
        <w:snapToGrid w:val="0"/>
        <w:spacing w:line="480" w:lineRule="auto"/>
        <w:rPr>
          <w:rFonts w:cs="Times New Roman"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法定代表人或被授权人（</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____________________</w:t>
      </w:r>
    </w:p>
    <w:p w14:paraId="6255A2E5">
      <w:pPr>
        <w:adjustRightInd w:val="0"/>
        <w:snapToGrid w:val="0"/>
        <w:spacing w:line="480" w:lineRule="auto"/>
        <w:rPr>
          <w:rFonts w:ascii="宋体" w:cs="Times New Roman"/>
          <w:color w:val="auto"/>
        </w:rPr>
      </w:pPr>
      <w:r>
        <w:rPr>
          <w:rFonts w:hint="eastAsia" w:cs="宋体" w:asciiTheme="minorEastAsia" w:hAnsiTheme="minorEastAsia" w:eastAsiaTheme="minorEastAsia"/>
          <w:color w:val="auto"/>
          <w:sz w:val="24"/>
          <w:szCs w:val="24"/>
        </w:rPr>
        <w:t>日</w:t>
      </w:r>
      <w:r>
        <w:rPr>
          <w:rFonts w:cs="宋体" w:asciiTheme="minorEastAsia" w:hAnsiTheme="minorEastAsia" w:eastAsiaTheme="minorEastAsia"/>
          <w:color w:val="auto"/>
          <w:sz w:val="24"/>
          <w:szCs w:val="24"/>
        </w:rPr>
        <w:t xml:space="preserve">    </w:t>
      </w:r>
      <w:r>
        <w:rPr>
          <w:rFonts w:hint="eastAsia" w:cs="宋体" w:asciiTheme="minorEastAsia" w:hAnsiTheme="minorEastAsia" w:eastAsiaTheme="minorEastAsia"/>
          <w:color w:val="auto"/>
          <w:sz w:val="24"/>
          <w:szCs w:val="24"/>
        </w:rPr>
        <w:t>期：</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年</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月</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日</w:t>
      </w:r>
    </w:p>
    <w:p w14:paraId="31735FB5">
      <w:pPr>
        <w:rPr>
          <w:rFonts w:ascii="Times New Roman" w:hAnsi="Times New Roman" w:cs="Times New Roman"/>
          <w:color w:val="auto"/>
          <w:sz w:val="24"/>
          <w:szCs w:val="24"/>
        </w:rPr>
      </w:pPr>
    </w:p>
    <w:p w14:paraId="08A1DD58">
      <w:pPr>
        <w:rPr>
          <w:rFonts w:ascii="Times New Roman" w:hAnsi="Times New Roman" w:cs="Times New Roman"/>
          <w:color w:val="auto"/>
          <w:sz w:val="24"/>
          <w:szCs w:val="24"/>
        </w:rPr>
      </w:pPr>
    </w:p>
    <w:p w14:paraId="7108D3BB">
      <w:pPr>
        <w:spacing w:line="360" w:lineRule="auto"/>
        <w:ind w:firstLine="420" w:firstLineChars="175"/>
        <w:rPr>
          <w:rFonts w:ascii="宋体" w:hAnsi="宋体" w:cs="Times New Roman"/>
          <w:color w:val="auto"/>
          <w:sz w:val="24"/>
          <w:szCs w:val="24"/>
        </w:rPr>
      </w:pPr>
      <w:r>
        <w:rPr>
          <w:rFonts w:ascii="宋体" w:hAnsi="宋体" w:cs="Times New Roman"/>
          <w:color w:val="auto"/>
          <w:sz w:val="24"/>
          <w:szCs w:val="24"/>
        </w:rPr>
        <w:t xml:space="preserve">    </w:t>
      </w:r>
    </w:p>
    <w:p w14:paraId="029A92DA">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业绩</w:t>
      </w:r>
      <w:bookmarkEnd w:id="185"/>
    </w:p>
    <w:tbl>
      <w:tblPr>
        <w:tblStyle w:val="35"/>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7941B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5ACBB14">
            <w:pPr>
              <w:jc w:val="center"/>
              <w:rPr>
                <w:rFonts w:ascii="宋体" w:hAnsi="宋体" w:cs="Times New Roman"/>
                <w:color w:val="auto"/>
                <w:sz w:val="24"/>
                <w:szCs w:val="24"/>
              </w:rPr>
            </w:pPr>
            <w:r>
              <w:rPr>
                <w:rFonts w:hint="eastAsia" w:ascii="宋体" w:hAnsi="宋体" w:cs="Times New Roman"/>
                <w:color w:val="auto"/>
                <w:sz w:val="24"/>
                <w:szCs w:val="24"/>
              </w:rPr>
              <w:t>序号</w:t>
            </w:r>
          </w:p>
        </w:tc>
        <w:tc>
          <w:tcPr>
            <w:tcW w:w="1414" w:type="dxa"/>
            <w:vAlign w:val="center"/>
          </w:tcPr>
          <w:p w14:paraId="2A03F49D">
            <w:pPr>
              <w:jc w:val="center"/>
              <w:rPr>
                <w:rFonts w:ascii="宋体" w:hAnsi="宋体" w:cs="Times New Roman"/>
                <w:color w:val="auto"/>
                <w:sz w:val="24"/>
                <w:szCs w:val="24"/>
              </w:rPr>
            </w:pPr>
            <w:r>
              <w:rPr>
                <w:rFonts w:hint="eastAsia" w:ascii="宋体" w:hAnsi="宋体" w:cs="Times New Roman"/>
                <w:color w:val="auto"/>
                <w:sz w:val="24"/>
                <w:szCs w:val="24"/>
              </w:rPr>
              <w:t>项目名称</w:t>
            </w:r>
          </w:p>
        </w:tc>
        <w:tc>
          <w:tcPr>
            <w:tcW w:w="2364" w:type="dxa"/>
            <w:vAlign w:val="center"/>
          </w:tcPr>
          <w:p w14:paraId="4F9754AB">
            <w:pPr>
              <w:jc w:val="center"/>
              <w:rPr>
                <w:rFonts w:ascii="宋体" w:hAnsi="宋体" w:cs="Times New Roman"/>
                <w:color w:val="auto"/>
                <w:sz w:val="24"/>
                <w:szCs w:val="24"/>
              </w:rPr>
            </w:pPr>
            <w:r>
              <w:rPr>
                <w:rFonts w:hint="eastAsia" w:ascii="宋体" w:hAnsi="宋体" w:cs="Times New Roman"/>
                <w:color w:val="auto"/>
                <w:sz w:val="24"/>
                <w:szCs w:val="24"/>
              </w:rPr>
              <w:t>项目内容</w:t>
            </w:r>
          </w:p>
        </w:tc>
        <w:tc>
          <w:tcPr>
            <w:tcW w:w="2409" w:type="dxa"/>
            <w:vAlign w:val="center"/>
          </w:tcPr>
          <w:p w14:paraId="7F46FEFC">
            <w:pPr>
              <w:jc w:val="center"/>
              <w:rPr>
                <w:rFonts w:ascii="宋体" w:hAnsi="宋体" w:cs="Times New Roman"/>
                <w:color w:val="auto"/>
                <w:sz w:val="24"/>
                <w:szCs w:val="24"/>
              </w:rPr>
            </w:pPr>
            <w:r>
              <w:rPr>
                <w:rFonts w:hint="eastAsia" w:ascii="宋体" w:hAnsi="宋体" w:cs="Times New Roman"/>
                <w:color w:val="auto"/>
                <w:sz w:val="24"/>
                <w:szCs w:val="24"/>
              </w:rPr>
              <w:t>合同金额</w:t>
            </w:r>
          </w:p>
        </w:tc>
        <w:tc>
          <w:tcPr>
            <w:tcW w:w="2409" w:type="dxa"/>
            <w:vAlign w:val="center"/>
          </w:tcPr>
          <w:p w14:paraId="78344B5B">
            <w:pPr>
              <w:jc w:val="center"/>
              <w:rPr>
                <w:rFonts w:ascii="宋体" w:hAnsi="宋体" w:cs="Times New Roman"/>
                <w:color w:val="auto"/>
                <w:sz w:val="24"/>
                <w:szCs w:val="24"/>
              </w:rPr>
            </w:pPr>
            <w:r>
              <w:rPr>
                <w:rFonts w:hint="eastAsia" w:ascii="宋体" w:hAnsi="宋体" w:cs="Times New Roman"/>
                <w:color w:val="auto"/>
                <w:sz w:val="24"/>
                <w:szCs w:val="24"/>
              </w:rPr>
              <w:t>采购人名称</w:t>
            </w:r>
          </w:p>
        </w:tc>
      </w:tr>
      <w:tr w14:paraId="1C4EE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13DF556">
            <w:pPr>
              <w:ind w:left="120"/>
              <w:jc w:val="center"/>
              <w:rPr>
                <w:rFonts w:ascii="宋体" w:hAnsi="宋体" w:cs="Times New Roman"/>
                <w:color w:val="auto"/>
                <w:sz w:val="24"/>
                <w:szCs w:val="24"/>
              </w:rPr>
            </w:pPr>
            <w:r>
              <w:rPr>
                <w:rFonts w:hint="eastAsia" w:ascii="宋体" w:hAnsi="宋体" w:cs="Times New Roman"/>
                <w:color w:val="auto"/>
                <w:sz w:val="24"/>
                <w:szCs w:val="24"/>
              </w:rPr>
              <w:t>1</w:t>
            </w:r>
          </w:p>
        </w:tc>
        <w:tc>
          <w:tcPr>
            <w:tcW w:w="1414" w:type="dxa"/>
            <w:vAlign w:val="center"/>
          </w:tcPr>
          <w:p w14:paraId="2D092290">
            <w:pPr>
              <w:jc w:val="center"/>
              <w:rPr>
                <w:rFonts w:ascii="宋体" w:hAnsi="宋体" w:cs="Times New Roman"/>
                <w:color w:val="auto"/>
                <w:sz w:val="24"/>
                <w:szCs w:val="24"/>
              </w:rPr>
            </w:pPr>
          </w:p>
        </w:tc>
        <w:tc>
          <w:tcPr>
            <w:tcW w:w="2364" w:type="dxa"/>
            <w:vAlign w:val="center"/>
          </w:tcPr>
          <w:p w14:paraId="11817E0E">
            <w:pPr>
              <w:jc w:val="center"/>
              <w:rPr>
                <w:rFonts w:ascii="宋体" w:hAnsi="宋体" w:cs="Times New Roman"/>
                <w:color w:val="auto"/>
                <w:sz w:val="24"/>
                <w:szCs w:val="24"/>
              </w:rPr>
            </w:pPr>
          </w:p>
        </w:tc>
        <w:tc>
          <w:tcPr>
            <w:tcW w:w="2409" w:type="dxa"/>
          </w:tcPr>
          <w:p w14:paraId="3765AE70">
            <w:pPr>
              <w:jc w:val="center"/>
              <w:rPr>
                <w:rFonts w:ascii="宋体" w:hAnsi="宋体" w:cs="Times New Roman"/>
                <w:color w:val="auto"/>
                <w:sz w:val="24"/>
                <w:szCs w:val="24"/>
              </w:rPr>
            </w:pPr>
          </w:p>
        </w:tc>
        <w:tc>
          <w:tcPr>
            <w:tcW w:w="2409" w:type="dxa"/>
          </w:tcPr>
          <w:p w14:paraId="7784F4B8">
            <w:pPr>
              <w:jc w:val="center"/>
              <w:rPr>
                <w:rFonts w:ascii="宋体" w:hAnsi="宋体" w:cs="Times New Roman"/>
                <w:color w:val="auto"/>
                <w:sz w:val="24"/>
                <w:szCs w:val="24"/>
              </w:rPr>
            </w:pPr>
          </w:p>
        </w:tc>
      </w:tr>
      <w:tr w14:paraId="1CE05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D5286C1">
            <w:pPr>
              <w:ind w:left="120"/>
              <w:jc w:val="center"/>
              <w:rPr>
                <w:rFonts w:ascii="宋体" w:hAnsi="宋体" w:cs="Times New Roman"/>
                <w:color w:val="auto"/>
                <w:sz w:val="24"/>
                <w:szCs w:val="24"/>
              </w:rPr>
            </w:pPr>
            <w:r>
              <w:rPr>
                <w:rFonts w:hint="eastAsia" w:ascii="宋体" w:hAnsi="宋体" w:cs="Times New Roman"/>
                <w:color w:val="auto"/>
                <w:sz w:val="24"/>
                <w:szCs w:val="24"/>
              </w:rPr>
              <w:t>2</w:t>
            </w:r>
          </w:p>
        </w:tc>
        <w:tc>
          <w:tcPr>
            <w:tcW w:w="1414" w:type="dxa"/>
            <w:vAlign w:val="center"/>
          </w:tcPr>
          <w:p w14:paraId="11C5E256">
            <w:pPr>
              <w:jc w:val="center"/>
              <w:rPr>
                <w:rFonts w:ascii="宋体" w:hAnsi="宋体" w:cs="Times New Roman"/>
                <w:color w:val="auto"/>
                <w:sz w:val="24"/>
                <w:szCs w:val="24"/>
              </w:rPr>
            </w:pPr>
          </w:p>
        </w:tc>
        <w:tc>
          <w:tcPr>
            <w:tcW w:w="2364" w:type="dxa"/>
            <w:vAlign w:val="center"/>
          </w:tcPr>
          <w:p w14:paraId="27D22DC6">
            <w:pPr>
              <w:jc w:val="center"/>
              <w:rPr>
                <w:rFonts w:ascii="宋体" w:hAnsi="宋体" w:cs="Times New Roman"/>
                <w:color w:val="auto"/>
                <w:sz w:val="24"/>
                <w:szCs w:val="24"/>
              </w:rPr>
            </w:pPr>
          </w:p>
        </w:tc>
        <w:tc>
          <w:tcPr>
            <w:tcW w:w="2409" w:type="dxa"/>
          </w:tcPr>
          <w:p w14:paraId="2FB64352">
            <w:pPr>
              <w:jc w:val="center"/>
              <w:rPr>
                <w:rFonts w:ascii="宋体" w:hAnsi="宋体" w:cs="Times New Roman"/>
                <w:color w:val="auto"/>
                <w:sz w:val="24"/>
                <w:szCs w:val="24"/>
              </w:rPr>
            </w:pPr>
          </w:p>
        </w:tc>
        <w:tc>
          <w:tcPr>
            <w:tcW w:w="2409" w:type="dxa"/>
          </w:tcPr>
          <w:p w14:paraId="501630F1">
            <w:pPr>
              <w:jc w:val="center"/>
              <w:rPr>
                <w:rFonts w:ascii="宋体" w:hAnsi="宋体" w:cs="Times New Roman"/>
                <w:color w:val="auto"/>
                <w:sz w:val="24"/>
                <w:szCs w:val="24"/>
              </w:rPr>
            </w:pPr>
          </w:p>
        </w:tc>
      </w:tr>
      <w:tr w14:paraId="2D7B4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DDA92CC">
            <w:pPr>
              <w:ind w:left="120"/>
              <w:jc w:val="center"/>
              <w:rPr>
                <w:rFonts w:ascii="宋体" w:hAnsi="宋体" w:cs="Times New Roman"/>
                <w:color w:val="auto"/>
                <w:sz w:val="24"/>
                <w:szCs w:val="24"/>
              </w:rPr>
            </w:pPr>
            <w:r>
              <w:rPr>
                <w:rFonts w:hint="eastAsia" w:ascii="宋体" w:hAnsi="宋体" w:cs="Times New Roman"/>
                <w:color w:val="auto"/>
                <w:sz w:val="24"/>
                <w:szCs w:val="24"/>
              </w:rPr>
              <w:t>3</w:t>
            </w:r>
          </w:p>
        </w:tc>
        <w:tc>
          <w:tcPr>
            <w:tcW w:w="1414" w:type="dxa"/>
            <w:vAlign w:val="center"/>
          </w:tcPr>
          <w:p w14:paraId="484A6E00">
            <w:pPr>
              <w:jc w:val="center"/>
              <w:rPr>
                <w:rFonts w:ascii="宋体" w:hAnsi="宋体" w:cs="Times New Roman"/>
                <w:color w:val="auto"/>
                <w:sz w:val="24"/>
                <w:szCs w:val="24"/>
              </w:rPr>
            </w:pPr>
          </w:p>
        </w:tc>
        <w:tc>
          <w:tcPr>
            <w:tcW w:w="2364" w:type="dxa"/>
            <w:vAlign w:val="center"/>
          </w:tcPr>
          <w:p w14:paraId="7A011910">
            <w:pPr>
              <w:jc w:val="center"/>
              <w:rPr>
                <w:rFonts w:ascii="宋体" w:hAnsi="宋体" w:cs="Times New Roman"/>
                <w:color w:val="auto"/>
                <w:sz w:val="24"/>
                <w:szCs w:val="24"/>
              </w:rPr>
            </w:pPr>
          </w:p>
        </w:tc>
        <w:tc>
          <w:tcPr>
            <w:tcW w:w="2409" w:type="dxa"/>
          </w:tcPr>
          <w:p w14:paraId="4106C756">
            <w:pPr>
              <w:jc w:val="center"/>
              <w:rPr>
                <w:rFonts w:ascii="宋体" w:hAnsi="宋体" w:cs="Times New Roman"/>
                <w:color w:val="auto"/>
                <w:sz w:val="24"/>
                <w:szCs w:val="24"/>
              </w:rPr>
            </w:pPr>
          </w:p>
        </w:tc>
        <w:tc>
          <w:tcPr>
            <w:tcW w:w="2409" w:type="dxa"/>
          </w:tcPr>
          <w:p w14:paraId="2B6953A3">
            <w:pPr>
              <w:jc w:val="center"/>
              <w:rPr>
                <w:rFonts w:ascii="宋体" w:hAnsi="宋体" w:cs="Times New Roman"/>
                <w:color w:val="auto"/>
                <w:sz w:val="24"/>
                <w:szCs w:val="24"/>
              </w:rPr>
            </w:pPr>
          </w:p>
        </w:tc>
      </w:tr>
      <w:tr w14:paraId="35F13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18C0A99">
            <w:pPr>
              <w:ind w:left="120"/>
              <w:jc w:val="center"/>
              <w:rPr>
                <w:rFonts w:ascii="宋体" w:hAnsi="宋体" w:cs="Times New Roman"/>
                <w:color w:val="auto"/>
                <w:sz w:val="24"/>
                <w:szCs w:val="24"/>
              </w:rPr>
            </w:pPr>
            <w:r>
              <w:rPr>
                <w:rFonts w:hint="eastAsia" w:ascii="宋体" w:hAnsi="宋体" w:cs="Times New Roman"/>
                <w:color w:val="auto"/>
                <w:sz w:val="24"/>
                <w:szCs w:val="24"/>
              </w:rPr>
              <w:t>4</w:t>
            </w:r>
          </w:p>
        </w:tc>
        <w:tc>
          <w:tcPr>
            <w:tcW w:w="1414" w:type="dxa"/>
            <w:vAlign w:val="center"/>
          </w:tcPr>
          <w:p w14:paraId="5CFB1508">
            <w:pPr>
              <w:jc w:val="center"/>
              <w:rPr>
                <w:rFonts w:ascii="宋体" w:hAnsi="宋体" w:cs="Times New Roman"/>
                <w:color w:val="auto"/>
                <w:sz w:val="24"/>
                <w:szCs w:val="24"/>
              </w:rPr>
            </w:pPr>
          </w:p>
        </w:tc>
        <w:tc>
          <w:tcPr>
            <w:tcW w:w="2364" w:type="dxa"/>
            <w:vAlign w:val="center"/>
          </w:tcPr>
          <w:p w14:paraId="6F77E213">
            <w:pPr>
              <w:jc w:val="center"/>
              <w:rPr>
                <w:rFonts w:ascii="宋体" w:hAnsi="宋体" w:cs="Times New Roman"/>
                <w:color w:val="auto"/>
                <w:sz w:val="24"/>
                <w:szCs w:val="24"/>
              </w:rPr>
            </w:pPr>
          </w:p>
        </w:tc>
        <w:tc>
          <w:tcPr>
            <w:tcW w:w="2409" w:type="dxa"/>
          </w:tcPr>
          <w:p w14:paraId="4166F5C4">
            <w:pPr>
              <w:jc w:val="center"/>
              <w:rPr>
                <w:rFonts w:ascii="宋体" w:hAnsi="宋体" w:cs="Times New Roman"/>
                <w:color w:val="auto"/>
                <w:sz w:val="24"/>
                <w:szCs w:val="24"/>
              </w:rPr>
            </w:pPr>
          </w:p>
        </w:tc>
        <w:tc>
          <w:tcPr>
            <w:tcW w:w="2409" w:type="dxa"/>
          </w:tcPr>
          <w:p w14:paraId="29460FA1">
            <w:pPr>
              <w:jc w:val="center"/>
              <w:rPr>
                <w:rFonts w:ascii="宋体" w:hAnsi="宋体" w:cs="Times New Roman"/>
                <w:color w:val="auto"/>
                <w:sz w:val="24"/>
                <w:szCs w:val="24"/>
              </w:rPr>
            </w:pPr>
          </w:p>
        </w:tc>
      </w:tr>
      <w:tr w14:paraId="10E33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B700E7F">
            <w:pPr>
              <w:ind w:left="120"/>
              <w:jc w:val="center"/>
              <w:rPr>
                <w:rFonts w:ascii="宋体" w:hAnsi="宋体" w:cs="Times New Roman"/>
                <w:color w:val="auto"/>
                <w:sz w:val="24"/>
                <w:szCs w:val="24"/>
              </w:rPr>
            </w:pPr>
            <w:r>
              <w:rPr>
                <w:rFonts w:hint="eastAsia" w:ascii="宋体" w:hAnsi="宋体" w:cs="Times New Roman"/>
                <w:color w:val="auto"/>
                <w:sz w:val="24"/>
                <w:szCs w:val="24"/>
              </w:rPr>
              <w:t>5</w:t>
            </w:r>
          </w:p>
        </w:tc>
        <w:tc>
          <w:tcPr>
            <w:tcW w:w="1414" w:type="dxa"/>
            <w:vAlign w:val="center"/>
          </w:tcPr>
          <w:p w14:paraId="687887E3">
            <w:pPr>
              <w:jc w:val="center"/>
              <w:rPr>
                <w:rFonts w:ascii="宋体" w:hAnsi="宋体" w:cs="Times New Roman"/>
                <w:color w:val="auto"/>
                <w:sz w:val="24"/>
                <w:szCs w:val="24"/>
              </w:rPr>
            </w:pPr>
          </w:p>
        </w:tc>
        <w:tc>
          <w:tcPr>
            <w:tcW w:w="2364" w:type="dxa"/>
            <w:vAlign w:val="center"/>
          </w:tcPr>
          <w:p w14:paraId="277164AE">
            <w:pPr>
              <w:jc w:val="center"/>
              <w:rPr>
                <w:rFonts w:ascii="宋体" w:hAnsi="宋体" w:cs="Times New Roman"/>
                <w:color w:val="auto"/>
                <w:sz w:val="24"/>
                <w:szCs w:val="24"/>
              </w:rPr>
            </w:pPr>
          </w:p>
        </w:tc>
        <w:tc>
          <w:tcPr>
            <w:tcW w:w="2409" w:type="dxa"/>
          </w:tcPr>
          <w:p w14:paraId="676330E5">
            <w:pPr>
              <w:jc w:val="center"/>
              <w:rPr>
                <w:rFonts w:ascii="宋体" w:hAnsi="宋体" w:cs="Times New Roman"/>
                <w:color w:val="auto"/>
                <w:sz w:val="24"/>
                <w:szCs w:val="24"/>
              </w:rPr>
            </w:pPr>
          </w:p>
        </w:tc>
        <w:tc>
          <w:tcPr>
            <w:tcW w:w="2409" w:type="dxa"/>
          </w:tcPr>
          <w:p w14:paraId="212040CB">
            <w:pPr>
              <w:jc w:val="center"/>
              <w:rPr>
                <w:rFonts w:ascii="宋体" w:hAnsi="宋体" w:cs="Times New Roman"/>
                <w:color w:val="auto"/>
                <w:sz w:val="24"/>
                <w:szCs w:val="24"/>
              </w:rPr>
            </w:pPr>
          </w:p>
        </w:tc>
      </w:tr>
      <w:tr w14:paraId="39D86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1F5BB73">
            <w:pPr>
              <w:jc w:val="center"/>
              <w:rPr>
                <w:rFonts w:ascii="宋体" w:hAnsi="宋体" w:cs="Times New Roman"/>
                <w:color w:val="auto"/>
                <w:sz w:val="24"/>
                <w:szCs w:val="24"/>
              </w:rPr>
            </w:pPr>
            <w:r>
              <w:rPr>
                <w:rFonts w:hint="eastAsia" w:ascii="宋体" w:hAnsi="宋体" w:cs="Times New Roman"/>
                <w:color w:val="auto"/>
                <w:sz w:val="24"/>
                <w:szCs w:val="24"/>
              </w:rPr>
              <w:t>…</w:t>
            </w:r>
          </w:p>
        </w:tc>
        <w:tc>
          <w:tcPr>
            <w:tcW w:w="1414" w:type="dxa"/>
            <w:vAlign w:val="center"/>
          </w:tcPr>
          <w:p w14:paraId="3240706A">
            <w:pPr>
              <w:jc w:val="center"/>
              <w:rPr>
                <w:rFonts w:ascii="宋体" w:hAnsi="宋体" w:cs="Times New Roman"/>
                <w:color w:val="auto"/>
                <w:sz w:val="24"/>
                <w:szCs w:val="24"/>
              </w:rPr>
            </w:pPr>
          </w:p>
        </w:tc>
        <w:tc>
          <w:tcPr>
            <w:tcW w:w="2364" w:type="dxa"/>
            <w:vAlign w:val="center"/>
          </w:tcPr>
          <w:p w14:paraId="1948861B">
            <w:pPr>
              <w:jc w:val="center"/>
              <w:rPr>
                <w:rFonts w:ascii="宋体" w:hAnsi="宋体" w:cs="Times New Roman"/>
                <w:color w:val="auto"/>
                <w:sz w:val="24"/>
                <w:szCs w:val="24"/>
              </w:rPr>
            </w:pPr>
          </w:p>
        </w:tc>
        <w:tc>
          <w:tcPr>
            <w:tcW w:w="2409" w:type="dxa"/>
          </w:tcPr>
          <w:p w14:paraId="757FC12C">
            <w:pPr>
              <w:jc w:val="center"/>
              <w:rPr>
                <w:rFonts w:ascii="宋体" w:hAnsi="宋体" w:cs="Times New Roman"/>
                <w:color w:val="auto"/>
                <w:sz w:val="24"/>
                <w:szCs w:val="24"/>
              </w:rPr>
            </w:pPr>
          </w:p>
        </w:tc>
        <w:tc>
          <w:tcPr>
            <w:tcW w:w="2409" w:type="dxa"/>
          </w:tcPr>
          <w:p w14:paraId="03F8B749">
            <w:pPr>
              <w:jc w:val="center"/>
              <w:rPr>
                <w:rFonts w:ascii="宋体" w:hAnsi="宋体" w:cs="Times New Roman"/>
                <w:color w:val="auto"/>
                <w:sz w:val="24"/>
                <w:szCs w:val="24"/>
              </w:rPr>
            </w:pPr>
          </w:p>
        </w:tc>
      </w:tr>
      <w:tr w14:paraId="2FA7E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F4CE417">
            <w:pPr>
              <w:jc w:val="center"/>
              <w:rPr>
                <w:rFonts w:ascii="宋体" w:hAnsi="宋体" w:cs="Times New Roman"/>
                <w:color w:val="auto"/>
                <w:sz w:val="24"/>
                <w:szCs w:val="24"/>
              </w:rPr>
            </w:pPr>
          </w:p>
        </w:tc>
        <w:tc>
          <w:tcPr>
            <w:tcW w:w="1414" w:type="dxa"/>
            <w:vAlign w:val="center"/>
          </w:tcPr>
          <w:p w14:paraId="48BB6227">
            <w:pPr>
              <w:jc w:val="center"/>
              <w:rPr>
                <w:rFonts w:ascii="宋体" w:hAnsi="宋体" w:cs="Times New Roman"/>
                <w:color w:val="auto"/>
                <w:sz w:val="24"/>
                <w:szCs w:val="24"/>
              </w:rPr>
            </w:pPr>
          </w:p>
        </w:tc>
        <w:tc>
          <w:tcPr>
            <w:tcW w:w="2364" w:type="dxa"/>
            <w:vAlign w:val="center"/>
          </w:tcPr>
          <w:p w14:paraId="0BBF8F74">
            <w:pPr>
              <w:jc w:val="center"/>
              <w:rPr>
                <w:rFonts w:ascii="宋体" w:hAnsi="宋体" w:cs="Times New Roman"/>
                <w:color w:val="auto"/>
                <w:sz w:val="24"/>
                <w:szCs w:val="24"/>
              </w:rPr>
            </w:pPr>
          </w:p>
        </w:tc>
        <w:tc>
          <w:tcPr>
            <w:tcW w:w="2409" w:type="dxa"/>
          </w:tcPr>
          <w:p w14:paraId="31BD91BD">
            <w:pPr>
              <w:jc w:val="center"/>
              <w:rPr>
                <w:rFonts w:ascii="宋体" w:hAnsi="宋体" w:cs="Times New Roman"/>
                <w:color w:val="auto"/>
                <w:sz w:val="24"/>
                <w:szCs w:val="24"/>
              </w:rPr>
            </w:pPr>
          </w:p>
        </w:tc>
        <w:tc>
          <w:tcPr>
            <w:tcW w:w="2409" w:type="dxa"/>
          </w:tcPr>
          <w:p w14:paraId="62530919">
            <w:pPr>
              <w:jc w:val="center"/>
              <w:rPr>
                <w:rFonts w:ascii="宋体" w:hAnsi="宋体" w:cs="Times New Roman"/>
                <w:color w:val="auto"/>
                <w:sz w:val="24"/>
                <w:szCs w:val="24"/>
              </w:rPr>
            </w:pPr>
          </w:p>
        </w:tc>
      </w:tr>
      <w:tr w14:paraId="35CC0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F496668">
            <w:pPr>
              <w:jc w:val="center"/>
              <w:rPr>
                <w:rFonts w:ascii="宋体" w:hAnsi="宋体" w:cs="Times New Roman"/>
                <w:color w:val="auto"/>
                <w:sz w:val="24"/>
                <w:szCs w:val="24"/>
              </w:rPr>
            </w:pPr>
          </w:p>
        </w:tc>
        <w:tc>
          <w:tcPr>
            <w:tcW w:w="1414" w:type="dxa"/>
            <w:vAlign w:val="center"/>
          </w:tcPr>
          <w:p w14:paraId="4BE2E252">
            <w:pPr>
              <w:jc w:val="center"/>
              <w:rPr>
                <w:rFonts w:ascii="宋体" w:hAnsi="宋体" w:cs="Times New Roman"/>
                <w:color w:val="auto"/>
                <w:sz w:val="24"/>
                <w:szCs w:val="24"/>
              </w:rPr>
            </w:pPr>
          </w:p>
        </w:tc>
        <w:tc>
          <w:tcPr>
            <w:tcW w:w="2364" w:type="dxa"/>
            <w:vAlign w:val="center"/>
          </w:tcPr>
          <w:p w14:paraId="3B08B610">
            <w:pPr>
              <w:jc w:val="center"/>
              <w:rPr>
                <w:rFonts w:ascii="宋体" w:hAnsi="宋体" w:cs="Times New Roman"/>
                <w:color w:val="auto"/>
                <w:sz w:val="24"/>
                <w:szCs w:val="24"/>
              </w:rPr>
            </w:pPr>
          </w:p>
        </w:tc>
        <w:tc>
          <w:tcPr>
            <w:tcW w:w="2409" w:type="dxa"/>
          </w:tcPr>
          <w:p w14:paraId="1B0FE960">
            <w:pPr>
              <w:jc w:val="center"/>
              <w:rPr>
                <w:rFonts w:ascii="宋体" w:hAnsi="宋体" w:cs="Times New Roman"/>
                <w:color w:val="auto"/>
                <w:sz w:val="24"/>
                <w:szCs w:val="24"/>
              </w:rPr>
            </w:pPr>
          </w:p>
        </w:tc>
        <w:tc>
          <w:tcPr>
            <w:tcW w:w="2409" w:type="dxa"/>
          </w:tcPr>
          <w:p w14:paraId="5E858FF7">
            <w:pPr>
              <w:jc w:val="center"/>
              <w:rPr>
                <w:rFonts w:ascii="宋体" w:hAnsi="宋体" w:cs="Times New Roman"/>
                <w:color w:val="auto"/>
                <w:sz w:val="24"/>
                <w:szCs w:val="24"/>
              </w:rPr>
            </w:pPr>
          </w:p>
        </w:tc>
      </w:tr>
      <w:tr w14:paraId="08C7C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AF10428">
            <w:pPr>
              <w:jc w:val="center"/>
              <w:rPr>
                <w:rFonts w:ascii="宋体" w:hAnsi="宋体" w:cs="Times New Roman"/>
                <w:color w:val="auto"/>
                <w:sz w:val="24"/>
                <w:szCs w:val="24"/>
              </w:rPr>
            </w:pPr>
          </w:p>
        </w:tc>
        <w:tc>
          <w:tcPr>
            <w:tcW w:w="1414" w:type="dxa"/>
            <w:vAlign w:val="center"/>
          </w:tcPr>
          <w:p w14:paraId="25DB3088">
            <w:pPr>
              <w:jc w:val="center"/>
              <w:rPr>
                <w:rFonts w:ascii="宋体" w:hAnsi="宋体" w:cs="Times New Roman"/>
                <w:color w:val="auto"/>
                <w:sz w:val="24"/>
                <w:szCs w:val="24"/>
              </w:rPr>
            </w:pPr>
          </w:p>
        </w:tc>
        <w:tc>
          <w:tcPr>
            <w:tcW w:w="2364" w:type="dxa"/>
            <w:vAlign w:val="center"/>
          </w:tcPr>
          <w:p w14:paraId="19228087">
            <w:pPr>
              <w:jc w:val="center"/>
              <w:rPr>
                <w:rFonts w:ascii="宋体" w:hAnsi="宋体" w:cs="Times New Roman"/>
                <w:color w:val="auto"/>
                <w:sz w:val="24"/>
                <w:szCs w:val="24"/>
              </w:rPr>
            </w:pPr>
          </w:p>
        </w:tc>
        <w:tc>
          <w:tcPr>
            <w:tcW w:w="2409" w:type="dxa"/>
          </w:tcPr>
          <w:p w14:paraId="2EE7EA6B">
            <w:pPr>
              <w:jc w:val="center"/>
              <w:rPr>
                <w:rFonts w:ascii="宋体" w:hAnsi="宋体" w:cs="Times New Roman"/>
                <w:color w:val="auto"/>
                <w:sz w:val="24"/>
                <w:szCs w:val="24"/>
              </w:rPr>
            </w:pPr>
          </w:p>
        </w:tc>
        <w:tc>
          <w:tcPr>
            <w:tcW w:w="2409" w:type="dxa"/>
          </w:tcPr>
          <w:p w14:paraId="43F6A201">
            <w:pPr>
              <w:jc w:val="center"/>
              <w:rPr>
                <w:rFonts w:ascii="宋体" w:hAnsi="宋体" w:cs="Times New Roman"/>
                <w:color w:val="auto"/>
                <w:sz w:val="24"/>
                <w:szCs w:val="24"/>
              </w:rPr>
            </w:pPr>
          </w:p>
        </w:tc>
      </w:tr>
      <w:tr w14:paraId="74E70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AE5868A">
            <w:pPr>
              <w:ind w:left="120"/>
              <w:jc w:val="center"/>
              <w:rPr>
                <w:rFonts w:ascii="宋体" w:hAnsi="宋体" w:cs="Times New Roman"/>
                <w:color w:val="auto"/>
                <w:sz w:val="24"/>
                <w:szCs w:val="24"/>
              </w:rPr>
            </w:pPr>
          </w:p>
        </w:tc>
        <w:tc>
          <w:tcPr>
            <w:tcW w:w="1414" w:type="dxa"/>
            <w:vAlign w:val="center"/>
          </w:tcPr>
          <w:p w14:paraId="285630EE">
            <w:pPr>
              <w:jc w:val="center"/>
              <w:rPr>
                <w:rFonts w:ascii="宋体" w:hAnsi="宋体" w:cs="Times New Roman"/>
                <w:color w:val="auto"/>
                <w:sz w:val="24"/>
                <w:szCs w:val="24"/>
              </w:rPr>
            </w:pPr>
          </w:p>
        </w:tc>
        <w:tc>
          <w:tcPr>
            <w:tcW w:w="2364" w:type="dxa"/>
            <w:vAlign w:val="center"/>
          </w:tcPr>
          <w:p w14:paraId="305AA95F">
            <w:pPr>
              <w:jc w:val="center"/>
              <w:rPr>
                <w:rFonts w:ascii="宋体" w:hAnsi="宋体" w:cs="Times New Roman"/>
                <w:color w:val="auto"/>
                <w:sz w:val="24"/>
                <w:szCs w:val="24"/>
              </w:rPr>
            </w:pPr>
          </w:p>
        </w:tc>
        <w:tc>
          <w:tcPr>
            <w:tcW w:w="2409" w:type="dxa"/>
          </w:tcPr>
          <w:p w14:paraId="747B5331">
            <w:pPr>
              <w:jc w:val="center"/>
              <w:rPr>
                <w:rFonts w:ascii="宋体" w:hAnsi="宋体" w:cs="Times New Roman"/>
                <w:color w:val="auto"/>
                <w:sz w:val="24"/>
                <w:szCs w:val="24"/>
              </w:rPr>
            </w:pPr>
          </w:p>
        </w:tc>
        <w:tc>
          <w:tcPr>
            <w:tcW w:w="2409" w:type="dxa"/>
          </w:tcPr>
          <w:p w14:paraId="0DE70126">
            <w:pPr>
              <w:jc w:val="center"/>
              <w:rPr>
                <w:rFonts w:ascii="宋体" w:hAnsi="宋体" w:cs="Times New Roman"/>
                <w:color w:val="auto"/>
                <w:sz w:val="24"/>
                <w:szCs w:val="24"/>
              </w:rPr>
            </w:pPr>
          </w:p>
        </w:tc>
      </w:tr>
    </w:tbl>
    <w:p w14:paraId="5D566C2F">
      <w:pPr>
        <w:tabs>
          <w:tab w:val="left" w:pos="8782"/>
        </w:tabs>
        <w:snapToGrid w:val="0"/>
        <w:spacing w:line="360" w:lineRule="auto"/>
        <w:ind w:firstLine="480" w:firstLineChars="200"/>
        <w:rPr>
          <w:rFonts w:ascii="宋体" w:hAnsi="宋体" w:cs="Times New Roman"/>
          <w:color w:val="auto"/>
          <w:sz w:val="24"/>
          <w:szCs w:val="24"/>
        </w:rPr>
      </w:pPr>
    </w:p>
    <w:p w14:paraId="18F9DFEA">
      <w:pPr>
        <w:tabs>
          <w:tab w:val="left" w:pos="8782"/>
        </w:tabs>
        <w:snapToGrid w:val="0"/>
        <w:spacing w:line="360" w:lineRule="auto"/>
        <w:ind w:firstLine="480" w:firstLineChars="200"/>
        <w:rPr>
          <w:rFonts w:ascii="宋体" w:hAnsi="宋体" w:cs="Times New Roman"/>
          <w:color w:val="auto"/>
          <w:sz w:val="24"/>
          <w:szCs w:val="24"/>
        </w:rPr>
      </w:pPr>
      <w:r>
        <w:rPr>
          <w:rFonts w:hint="eastAsia" w:ascii="宋体" w:hAnsi="宋体" w:cs="Times New Roman"/>
          <w:color w:val="auto"/>
          <w:sz w:val="24"/>
          <w:szCs w:val="24"/>
        </w:rPr>
        <w:t>注：1.投标人应如实列出以上情况，如有隐瞒，一经查实将导致其报价申请被拒绝。</w:t>
      </w:r>
    </w:p>
    <w:p w14:paraId="45E44574">
      <w:pPr>
        <w:tabs>
          <w:tab w:val="left" w:pos="8782"/>
        </w:tabs>
        <w:snapToGrid w:val="0"/>
        <w:spacing w:line="360" w:lineRule="auto"/>
        <w:ind w:firstLine="960" w:firstLineChars="400"/>
        <w:rPr>
          <w:rFonts w:ascii="宋体" w:hAnsi="宋体" w:cs="Times New Roman"/>
          <w:color w:val="auto"/>
          <w:sz w:val="24"/>
          <w:szCs w:val="24"/>
        </w:rPr>
      </w:pPr>
      <w:r>
        <w:rPr>
          <w:rFonts w:hint="eastAsia" w:ascii="宋体" w:hAnsi="宋体" w:cs="Times New Roman"/>
          <w:color w:val="auto"/>
          <w:sz w:val="24"/>
          <w:szCs w:val="24"/>
        </w:rPr>
        <w:t xml:space="preserve">2.投标人应提供双方签订的合同（合同复印件加盖公章装订在投标文件中）。 </w:t>
      </w:r>
    </w:p>
    <w:p w14:paraId="74F85110">
      <w:pPr>
        <w:pStyle w:val="22"/>
        <w:rPr>
          <w:color w:val="auto"/>
        </w:rPr>
      </w:pPr>
    </w:p>
    <w:p w14:paraId="6245DB9E">
      <w:pPr>
        <w:pStyle w:val="22"/>
        <w:rPr>
          <w:color w:val="auto"/>
        </w:rPr>
      </w:pPr>
    </w:p>
    <w:p w14:paraId="58DFF733">
      <w:pPr>
        <w:pStyle w:val="22"/>
        <w:rPr>
          <w:color w:val="auto"/>
        </w:rPr>
      </w:pPr>
    </w:p>
    <w:p w14:paraId="13A54528">
      <w:pPr>
        <w:pStyle w:val="22"/>
        <w:rPr>
          <w:color w:val="auto"/>
        </w:rPr>
      </w:pPr>
    </w:p>
    <w:p w14:paraId="779D5DC1">
      <w:pPr>
        <w:adjustRightInd w:val="0"/>
        <w:snapToGrid w:val="0"/>
        <w:spacing w:line="480" w:lineRule="auto"/>
        <w:jc w:val="left"/>
        <w:rPr>
          <w:rFonts w:cs="Times New Roman"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供应商（单位名称及公章）：</w:t>
      </w:r>
      <w:r>
        <w:rPr>
          <w:rFonts w:cs="宋体" w:asciiTheme="minorEastAsia" w:hAnsiTheme="minorEastAsia" w:eastAsiaTheme="minorEastAsia"/>
          <w:color w:val="auto"/>
          <w:sz w:val="24"/>
          <w:szCs w:val="24"/>
        </w:rPr>
        <w:t>____________________</w:t>
      </w:r>
    </w:p>
    <w:p w14:paraId="749A6967">
      <w:pPr>
        <w:adjustRightInd w:val="0"/>
        <w:snapToGrid w:val="0"/>
        <w:spacing w:line="480" w:lineRule="auto"/>
        <w:rPr>
          <w:rFonts w:cs="Times New Roman"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法定代表人或被授权人（</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rPr>
        <w:t>____________________</w:t>
      </w:r>
    </w:p>
    <w:p w14:paraId="4D1B1FC7">
      <w:pPr>
        <w:adjustRightInd w:val="0"/>
        <w:snapToGrid w:val="0"/>
        <w:spacing w:line="480" w:lineRule="auto"/>
        <w:rPr>
          <w:rFonts w:ascii="宋体" w:cs="Times New Roman"/>
          <w:color w:val="auto"/>
        </w:rPr>
      </w:pPr>
      <w:r>
        <w:rPr>
          <w:rFonts w:hint="eastAsia" w:cs="宋体" w:asciiTheme="minorEastAsia" w:hAnsiTheme="minorEastAsia" w:eastAsiaTheme="minorEastAsia"/>
          <w:color w:val="auto"/>
          <w:sz w:val="24"/>
          <w:szCs w:val="24"/>
        </w:rPr>
        <w:t>日</w:t>
      </w:r>
      <w:r>
        <w:rPr>
          <w:rFonts w:cs="宋体" w:asciiTheme="minorEastAsia" w:hAnsiTheme="minorEastAsia" w:eastAsiaTheme="minorEastAsia"/>
          <w:color w:val="auto"/>
          <w:sz w:val="24"/>
          <w:szCs w:val="24"/>
        </w:rPr>
        <w:t xml:space="preserve">    </w:t>
      </w:r>
      <w:r>
        <w:rPr>
          <w:rFonts w:hint="eastAsia" w:cs="宋体" w:asciiTheme="minorEastAsia" w:hAnsiTheme="minorEastAsia" w:eastAsiaTheme="minorEastAsia"/>
          <w:color w:val="auto"/>
          <w:sz w:val="24"/>
          <w:szCs w:val="24"/>
        </w:rPr>
        <w:t>期：</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年</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月</w:t>
      </w:r>
      <w:r>
        <w:rPr>
          <w:rFonts w:cs="宋体" w:asciiTheme="minorEastAsia" w:hAnsiTheme="minorEastAsia" w:eastAsiaTheme="minorEastAsia"/>
          <w:color w:val="auto"/>
          <w:sz w:val="24"/>
          <w:szCs w:val="24"/>
        </w:rPr>
        <w:t>________</w:t>
      </w:r>
      <w:r>
        <w:rPr>
          <w:rFonts w:hint="eastAsia" w:cs="宋体" w:asciiTheme="minorEastAsia" w:hAnsiTheme="minorEastAsia" w:eastAsiaTheme="minorEastAsia"/>
          <w:color w:val="auto"/>
          <w:sz w:val="24"/>
          <w:szCs w:val="24"/>
        </w:rPr>
        <w:t>日</w:t>
      </w:r>
    </w:p>
    <w:bookmarkEnd w:id="180"/>
    <w:p w14:paraId="74044EE5">
      <w:pPr>
        <w:pStyle w:val="3"/>
        <w:keepNext/>
        <w:keepLines/>
        <w:pageBreakBefore w:val="0"/>
        <w:widowControl w:val="0"/>
        <w:kinsoku/>
        <w:wordWrap/>
        <w:overflowPunct/>
        <w:topLinePunct w:val="0"/>
        <w:autoSpaceDE/>
        <w:autoSpaceDN/>
        <w:bidi w:val="0"/>
        <w:adjustRightInd/>
        <w:snapToGrid/>
        <w:spacing w:line="413" w:lineRule="auto"/>
        <w:textAlignment w:val="auto"/>
        <w:rPr>
          <w:rFonts w:ascii="宋体" w:hAnsi="宋体" w:cs="宋体"/>
          <w:color w:val="auto"/>
          <w:sz w:val="32"/>
          <w:szCs w:val="32"/>
        </w:rPr>
      </w:pPr>
      <w:bookmarkStart w:id="191" w:name="_Toc536202333"/>
      <w:bookmarkStart w:id="192" w:name="_Toc536429395"/>
      <w:bookmarkStart w:id="193" w:name="_Toc10667"/>
      <w:bookmarkStart w:id="194" w:name="_Toc536429342"/>
      <w:bookmarkStart w:id="195" w:name="_Toc536202402"/>
      <w:bookmarkStart w:id="196" w:name="_Toc19543363"/>
      <w:bookmarkStart w:id="197" w:name="_Toc24683"/>
      <w:r>
        <w:rPr>
          <w:rFonts w:hint="eastAsia" w:ascii="宋体" w:hAnsi="宋体" w:cs="宋体"/>
          <w:color w:val="auto"/>
          <w:sz w:val="32"/>
          <w:szCs w:val="32"/>
        </w:rPr>
        <w:t>第</w:t>
      </w:r>
      <w:r>
        <w:rPr>
          <w:rFonts w:hint="eastAsia" w:ascii="宋体" w:hAnsi="宋体" w:cs="宋体"/>
          <w:color w:val="auto"/>
          <w:sz w:val="32"/>
          <w:szCs w:val="32"/>
          <w:lang w:val="en-US" w:eastAsia="zh-CN"/>
        </w:rPr>
        <w:t>六</w:t>
      </w:r>
      <w:r>
        <w:rPr>
          <w:rFonts w:hint="eastAsia" w:ascii="宋体" w:hAnsi="宋体" w:cs="宋体"/>
          <w:color w:val="auto"/>
          <w:sz w:val="32"/>
          <w:szCs w:val="32"/>
        </w:rPr>
        <w:t>章</w:t>
      </w:r>
      <w:r>
        <w:rPr>
          <w:rFonts w:ascii="宋体" w:hAnsi="宋体" w:cs="宋体"/>
          <w:color w:val="auto"/>
          <w:sz w:val="32"/>
          <w:szCs w:val="32"/>
        </w:rPr>
        <w:t xml:space="preserve">  </w:t>
      </w:r>
      <w:r>
        <w:rPr>
          <w:rFonts w:hint="eastAsia" w:ascii="宋体" w:hAnsi="宋体" w:cs="宋体"/>
          <w:color w:val="auto"/>
          <w:sz w:val="32"/>
          <w:szCs w:val="32"/>
        </w:rPr>
        <w:t>供应商承诺书</w:t>
      </w:r>
      <w:bookmarkEnd w:id="191"/>
      <w:bookmarkEnd w:id="192"/>
      <w:bookmarkEnd w:id="193"/>
      <w:bookmarkEnd w:id="194"/>
      <w:bookmarkEnd w:id="195"/>
      <w:bookmarkEnd w:id="196"/>
      <w:bookmarkEnd w:id="197"/>
    </w:p>
    <w:p w14:paraId="00CD2DDF">
      <w:pPr>
        <w:widowControl/>
        <w:spacing w:line="480" w:lineRule="exact"/>
        <w:jc w:val="center"/>
        <w:rPr>
          <w:rFonts w:cs="仿宋" w:asciiTheme="minorEastAsia" w:hAnsiTheme="minorEastAsia" w:eastAsiaTheme="minorEastAsia"/>
          <w:b/>
          <w:bCs w:val="0"/>
          <w:color w:val="auto"/>
          <w:kern w:val="0"/>
          <w:sz w:val="28"/>
          <w:szCs w:val="32"/>
        </w:rPr>
      </w:pPr>
      <w:r>
        <w:rPr>
          <w:rFonts w:hint="eastAsia" w:cs="仿宋" w:asciiTheme="minorEastAsia" w:hAnsiTheme="minorEastAsia" w:eastAsiaTheme="minorEastAsia"/>
          <w:b/>
          <w:bCs w:val="0"/>
          <w:color w:val="auto"/>
          <w:kern w:val="0"/>
          <w:sz w:val="28"/>
          <w:szCs w:val="32"/>
        </w:rPr>
        <w:t>政府采购供应商拒绝政府采购领域商业贿赂承诺书</w:t>
      </w:r>
    </w:p>
    <w:p w14:paraId="37F3D8B4">
      <w:pPr>
        <w:widowControl/>
        <w:spacing w:line="240" w:lineRule="exact"/>
        <w:ind w:firstLine="420" w:firstLineChars="200"/>
        <w:jc w:val="left"/>
        <w:rPr>
          <w:rFonts w:cs="仿宋" w:asciiTheme="minorEastAsia" w:hAnsiTheme="minorEastAsia" w:eastAsiaTheme="minorEastAsia"/>
          <w:bCs/>
          <w:color w:val="auto"/>
          <w:kern w:val="0"/>
        </w:rPr>
      </w:pPr>
    </w:p>
    <w:p w14:paraId="1588FE9A">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rPr>
        <w:t xml:space="preserve">为响应党中央、国务院关于治理政府采购领域商业贿赂行为的号召，我单位在此庄严承诺： </w:t>
      </w:r>
    </w:p>
    <w:p w14:paraId="059AE5C5">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1.</w:t>
      </w:r>
      <w:r>
        <w:rPr>
          <w:rFonts w:hint="eastAsia" w:cs="仿宋" w:asciiTheme="minorEastAsia" w:hAnsiTheme="minorEastAsia" w:eastAsiaTheme="minorEastAsia"/>
          <w:bCs/>
          <w:color w:val="auto"/>
          <w:kern w:val="0"/>
          <w:sz w:val="24"/>
          <w:szCs w:val="28"/>
        </w:rPr>
        <w:t xml:space="preserve">在参与政府采购活动中遵纪守法、诚信经营、公平竞标。 </w:t>
      </w:r>
    </w:p>
    <w:p w14:paraId="7E1A1E64">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 xml:space="preserve">不向采购人、招标代理机构和政府采购评审专家进行任何形式的商业贿赂以谋取交易机会。 </w:t>
      </w:r>
    </w:p>
    <w:p w14:paraId="47FF4190">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 xml:space="preserve">不向政府采购招标代理机构和采购人提供虚假资质文件或采用虚假应标方式参与政府采购市场竞争并谋取成交、成交。 </w:t>
      </w:r>
    </w:p>
    <w:p w14:paraId="38C7DEA2">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不采取“围标、陪标”等商业欺诈手段获得政府采购</w:t>
      </w:r>
      <w:r>
        <w:rPr>
          <w:rFonts w:hint="eastAsia" w:cs="仿宋" w:asciiTheme="minorEastAsia" w:hAnsiTheme="minorEastAsia" w:eastAsiaTheme="minorEastAsia"/>
          <w:bCs/>
          <w:color w:val="auto"/>
          <w:kern w:val="0"/>
          <w:sz w:val="24"/>
          <w:szCs w:val="28"/>
          <w:lang w:eastAsia="zh-CN"/>
        </w:rPr>
        <w:t>订单</w:t>
      </w:r>
      <w:r>
        <w:rPr>
          <w:rFonts w:hint="eastAsia" w:cs="仿宋" w:asciiTheme="minorEastAsia" w:hAnsiTheme="minorEastAsia" w:eastAsiaTheme="minorEastAsia"/>
          <w:bCs/>
          <w:color w:val="auto"/>
          <w:kern w:val="0"/>
          <w:sz w:val="24"/>
          <w:szCs w:val="28"/>
        </w:rPr>
        <w:t xml:space="preserve">。 </w:t>
      </w:r>
    </w:p>
    <w:p w14:paraId="1AC41FFD">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不采取不正当手段</w:t>
      </w:r>
      <w:r>
        <w:rPr>
          <w:rFonts w:hint="eastAsia" w:cs="仿宋" w:asciiTheme="minorEastAsia" w:hAnsiTheme="minorEastAsia" w:eastAsiaTheme="minorEastAsia"/>
          <w:bCs/>
          <w:color w:val="auto"/>
          <w:kern w:val="0"/>
          <w:sz w:val="24"/>
          <w:szCs w:val="28"/>
          <w:lang w:eastAsia="zh-CN"/>
        </w:rPr>
        <w:t>诋毁</w:t>
      </w:r>
      <w:r>
        <w:rPr>
          <w:rFonts w:hint="eastAsia" w:cs="仿宋" w:asciiTheme="minorEastAsia" w:hAnsiTheme="minorEastAsia" w:eastAsiaTheme="minorEastAsia"/>
          <w:bCs/>
          <w:color w:val="auto"/>
          <w:kern w:val="0"/>
          <w:sz w:val="24"/>
          <w:szCs w:val="28"/>
        </w:rPr>
        <w:t xml:space="preserve">、排挤其他供应商。 </w:t>
      </w:r>
    </w:p>
    <w:p w14:paraId="6BE93C94">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6.不再提供</w:t>
      </w:r>
      <w:r>
        <w:rPr>
          <w:rFonts w:hint="eastAsia" w:cs="仿宋" w:asciiTheme="minorEastAsia" w:hAnsiTheme="minorEastAsia" w:eastAsiaTheme="minorEastAsia"/>
          <w:bCs/>
          <w:color w:val="auto"/>
          <w:kern w:val="0"/>
          <w:sz w:val="24"/>
          <w:szCs w:val="28"/>
        </w:rPr>
        <w:t xml:space="preserve">商品和服务时“偷梁换柱、以次充好”损害采购人的合法权益。 </w:t>
      </w:r>
    </w:p>
    <w:p w14:paraId="3620EAC6">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不与采购人、招标代理机构政府采购评审专家</w:t>
      </w:r>
      <w:r>
        <w:rPr>
          <w:rFonts w:hint="eastAsia" w:cs="仿宋" w:asciiTheme="minorEastAsia" w:hAnsiTheme="minorEastAsia" w:eastAsiaTheme="minorEastAsia"/>
          <w:bCs/>
          <w:color w:val="auto"/>
          <w:kern w:val="0"/>
          <w:sz w:val="24"/>
          <w:szCs w:val="28"/>
          <w:lang w:eastAsia="zh-CN"/>
        </w:rPr>
        <w:t>或其他</w:t>
      </w:r>
      <w:r>
        <w:rPr>
          <w:rFonts w:hint="eastAsia" w:cs="仿宋" w:asciiTheme="minorEastAsia" w:hAnsiTheme="minorEastAsia" w:eastAsiaTheme="minorEastAsia"/>
          <w:bCs/>
          <w:color w:val="auto"/>
          <w:kern w:val="0"/>
          <w:sz w:val="24"/>
          <w:szCs w:val="28"/>
        </w:rPr>
        <w:t xml:space="preserve">供应商恶意串通，进行质疑和投诉，维护政府采购市场秩序。 </w:t>
      </w:r>
    </w:p>
    <w:p w14:paraId="7ECE6DB5">
      <w:pPr>
        <w:widowControl/>
        <w:spacing w:line="440" w:lineRule="exact"/>
        <w:ind w:firstLine="480" w:firstLineChars="200"/>
        <w:rPr>
          <w:rFonts w:hint="eastAsia" w:cs="仿宋" w:asciiTheme="minorEastAsia" w:hAnsiTheme="minorEastAsia" w:eastAsiaTheme="minorEastAsia"/>
          <w:bCs/>
          <w:color w:val="auto"/>
          <w:kern w:val="0"/>
          <w:sz w:val="24"/>
          <w:szCs w:val="28"/>
          <w:lang w:eastAsia="zh-CN"/>
        </w:rPr>
      </w:pPr>
      <w:r>
        <w:rPr>
          <w:rFonts w:hint="eastAsia" w:cs="仿宋" w:asciiTheme="minorEastAsia" w:hAnsiTheme="minorEastAsia" w:eastAsiaTheme="minorEastAsia"/>
          <w:bCs/>
          <w:color w:val="auto"/>
          <w:kern w:val="0"/>
          <w:sz w:val="24"/>
          <w:szCs w:val="28"/>
          <w:lang w:eastAsia="zh-CN"/>
        </w:rPr>
        <w:t>8.</w:t>
      </w:r>
      <w:r>
        <w:rPr>
          <w:rFonts w:hint="eastAsia" w:cs="仿宋" w:asciiTheme="minorEastAsia" w:hAnsiTheme="minorEastAsia" w:eastAsiaTheme="minorEastAsia"/>
          <w:bCs/>
          <w:color w:val="auto"/>
          <w:kern w:val="0"/>
          <w:sz w:val="24"/>
          <w:szCs w:val="28"/>
        </w:rPr>
        <w:t xml:space="preserve">尊重和接受政府采购监督管理部门的监督和政府招标代理机构招标要求，承担因违约行为给采购人造成的损失。 </w:t>
      </w:r>
    </w:p>
    <w:p w14:paraId="09C37753">
      <w:pPr>
        <w:widowControl/>
        <w:spacing w:line="440" w:lineRule="exact"/>
        <w:ind w:firstLine="480" w:firstLineChars="200"/>
        <w:rPr>
          <w:rFonts w:cs="仿宋" w:asciiTheme="minorEastAsia" w:hAnsiTheme="minorEastAsia" w:eastAsiaTheme="minorEastAsia"/>
          <w:bCs/>
          <w:color w:val="auto"/>
          <w:kern w:val="0"/>
          <w:sz w:val="22"/>
          <w:szCs w:val="24"/>
        </w:rPr>
      </w:pPr>
      <w:r>
        <w:rPr>
          <w:rFonts w:hint="eastAsia" w:cs="仿宋" w:asciiTheme="minorEastAsia" w:hAnsiTheme="minorEastAsia" w:eastAsiaTheme="minorEastAsia"/>
          <w:bCs/>
          <w:color w:val="auto"/>
          <w:kern w:val="0"/>
          <w:sz w:val="24"/>
          <w:szCs w:val="28"/>
          <w:lang w:eastAsia="zh-CN"/>
        </w:rPr>
        <w:t>9.</w:t>
      </w:r>
      <w:r>
        <w:rPr>
          <w:rFonts w:hint="eastAsia" w:cs="仿宋" w:asciiTheme="minorEastAsia" w:hAnsiTheme="minorEastAsia" w:eastAsiaTheme="minorEastAsia"/>
          <w:bCs/>
          <w:color w:val="auto"/>
          <w:kern w:val="0"/>
          <w:sz w:val="24"/>
          <w:szCs w:val="28"/>
        </w:rPr>
        <w:t xml:space="preserve">不发生其他有悖于政府采购公开、公平、公正和诚信原则的行为。 </w:t>
      </w:r>
    </w:p>
    <w:p w14:paraId="03857F17">
      <w:pPr>
        <w:widowControl/>
        <w:spacing w:line="440" w:lineRule="exact"/>
        <w:ind w:firstLine="960" w:firstLineChars="400"/>
        <w:rPr>
          <w:rFonts w:cs="仿宋" w:asciiTheme="minorEastAsia" w:hAnsiTheme="minorEastAsia" w:eastAsiaTheme="minorEastAsia"/>
          <w:bCs/>
          <w:color w:val="auto"/>
          <w:kern w:val="0"/>
          <w:sz w:val="24"/>
          <w:szCs w:val="28"/>
        </w:rPr>
      </w:pPr>
    </w:p>
    <w:p w14:paraId="0B296E04">
      <w:pPr>
        <w:widowControl/>
        <w:spacing w:line="440" w:lineRule="exact"/>
        <w:ind w:firstLine="960" w:firstLineChars="4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（盖章）</w:t>
      </w:r>
    </w:p>
    <w:p w14:paraId="4910565F">
      <w:pPr>
        <w:widowControl/>
        <w:spacing w:line="44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全权代表：</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仿宋" w:asciiTheme="minorEastAsia" w:hAnsiTheme="minorEastAsia" w:eastAsiaTheme="minorEastAsia"/>
          <w:bCs/>
          <w:color w:val="auto"/>
          <w:kern w:val="0"/>
          <w:sz w:val="24"/>
          <w:szCs w:val="28"/>
        </w:rPr>
        <w:t xml:space="preserve">） </w:t>
      </w:r>
    </w:p>
    <w:p w14:paraId="6D64F7C3">
      <w:pPr>
        <w:widowControl/>
        <w:spacing w:line="520" w:lineRule="exact"/>
        <w:ind w:firstLine="480" w:firstLineChars="200"/>
        <w:rPr>
          <w:rFonts w:cs="仿宋" w:asciiTheme="minorEastAsia" w:hAnsiTheme="minorEastAsia" w:eastAsiaTheme="minorEastAsia"/>
          <w:bCs/>
          <w:color w:val="auto"/>
          <w:kern w:val="0"/>
          <w:sz w:val="24"/>
          <w:szCs w:val="28"/>
          <w:u w:val="single"/>
        </w:rPr>
      </w:pPr>
      <w:r>
        <w:rPr>
          <w:rFonts w:hint="eastAsia" w:cs="仿宋" w:asciiTheme="minorEastAsia" w:hAnsiTheme="minorEastAsia" w:eastAsiaTheme="minorEastAsia"/>
          <w:bCs/>
          <w:color w:val="auto"/>
          <w:kern w:val="0"/>
          <w:sz w:val="24"/>
          <w:szCs w:val="28"/>
        </w:rPr>
        <w:t xml:space="preserve">    地　　址：</w:t>
      </w:r>
      <w:r>
        <w:rPr>
          <w:rFonts w:hint="eastAsia" w:cs="仿宋" w:asciiTheme="minorEastAsia" w:hAnsiTheme="minorEastAsia" w:eastAsiaTheme="minorEastAsia"/>
          <w:bCs/>
          <w:color w:val="auto"/>
          <w:kern w:val="0"/>
          <w:sz w:val="24"/>
          <w:szCs w:val="28"/>
          <w:u w:val="single"/>
        </w:rPr>
        <w:t xml:space="preserve">                              </w:t>
      </w:r>
    </w:p>
    <w:p w14:paraId="138B1006">
      <w:pPr>
        <w:widowControl/>
        <w:spacing w:line="520" w:lineRule="exact"/>
        <w:ind w:firstLine="480" w:firstLineChars="2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xml:space="preserve">    邮    编：</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   </w:t>
      </w:r>
    </w:p>
    <w:p w14:paraId="0195E3A2">
      <w:pPr>
        <w:widowControl/>
        <w:spacing w:line="520" w:lineRule="exact"/>
        <w:ind w:firstLine="720" w:firstLineChars="30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 电　　话：</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 xml:space="preserve">　　 </w:t>
      </w:r>
    </w:p>
    <w:p w14:paraId="4A563F5D">
      <w:pPr>
        <w:widowControl/>
        <w:spacing w:line="340" w:lineRule="exact"/>
        <w:rPr>
          <w:rFonts w:cs="仿宋" w:asciiTheme="minorEastAsia" w:hAnsiTheme="minorEastAsia" w:eastAsiaTheme="minorEastAsia"/>
          <w:bCs/>
          <w:color w:val="auto"/>
          <w:kern w:val="0"/>
          <w:sz w:val="24"/>
          <w:szCs w:val="28"/>
        </w:rPr>
      </w:pPr>
    </w:p>
    <w:p w14:paraId="3500C9FD">
      <w:pPr>
        <w:widowControl/>
        <w:spacing w:line="340" w:lineRule="exact"/>
        <w:ind w:firstLine="4920" w:firstLineChars="2050"/>
        <w:rPr>
          <w:rFonts w:cs="仿宋" w:asciiTheme="minorEastAsia" w:hAnsiTheme="minorEastAsia" w:eastAsiaTheme="minorEastAsia"/>
          <w:bCs/>
          <w:color w:val="auto"/>
          <w:sz w:val="36"/>
          <w:szCs w:val="40"/>
        </w:rPr>
      </w:pPr>
      <w:r>
        <w:rPr>
          <w:rFonts w:hint="eastAsia" w:cs="仿宋" w:asciiTheme="minorEastAsia" w:hAnsiTheme="minorEastAsia" w:eastAsiaTheme="minorEastAsia"/>
          <w:bCs/>
          <w:color w:val="auto"/>
          <w:kern w:val="0"/>
          <w:sz w:val="24"/>
          <w:szCs w:val="28"/>
        </w:rPr>
        <w:t>年　　月　　日</w:t>
      </w:r>
    </w:p>
    <w:p w14:paraId="065475BE">
      <w:pPr>
        <w:widowControl/>
        <w:spacing w:line="640" w:lineRule="exact"/>
        <w:jc w:val="center"/>
        <w:rPr>
          <w:rFonts w:cs="仿宋" w:asciiTheme="minorEastAsia" w:hAnsiTheme="minorEastAsia" w:eastAsiaTheme="minorEastAsia"/>
          <w:bCs/>
          <w:color w:val="auto"/>
          <w:sz w:val="36"/>
          <w:szCs w:val="40"/>
        </w:rPr>
      </w:pPr>
    </w:p>
    <w:p w14:paraId="37C31C4B">
      <w:pPr>
        <w:widowControl/>
        <w:tabs>
          <w:tab w:val="left" w:pos="3930"/>
        </w:tabs>
        <w:spacing w:line="400" w:lineRule="exact"/>
        <w:jc w:val="left"/>
        <w:rPr>
          <w:rFonts w:cs="仿宋" w:asciiTheme="minorEastAsia" w:hAnsiTheme="minorEastAsia" w:eastAsiaTheme="minorEastAsia"/>
          <w:bCs/>
          <w:color w:val="auto"/>
          <w:sz w:val="40"/>
          <w:szCs w:val="40"/>
        </w:rPr>
      </w:pPr>
      <w:r>
        <w:rPr>
          <w:rFonts w:hint="eastAsia" w:cs="仿宋" w:asciiTheme="minorEastAsia" w:hAnsiTheme="minorEastAsia" w:eastAsiaTheme="minorEastAsia"/>
          <w:bCs/>
          <w:color w:val="auto"/>
          <w:sz w:val="40"/>
          <w:szCs w:val="40"/>
        </w:rPr>
        <w:tab/>
      </w:r>
    </w:p>
    <w:p w14:paraId="29A50DA2">
      <w:pPr>
        <w:widowControl/>
        <w:jc w:val="left"/>
        <w:rPr>
          <w:rFonts w:cs="仿宋" w:asciiTheme="minorEastAsia" w:hAnsiTheme="minorEastAsia" w:eastAsiaTheme="minorEastAsia"/>
          <w:bCs/>
          <w:color w:val="auto"/>
          <w:kern w:val="0"/>
          <w:sz w:val="32"/>
          <w:szCs w:val="32"/>
        </w:rPr>
      </w:pPr>
    </w:p>
    <w:p w14:paraId="51130DB3">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auto"/>
          <w:kern w:val="0"/>
          <w:sz w:val="32"/>
          <w:szCs w:val="32"/>
        </w:rPr>
      </w:pPr>
    </w:p>
    <w:p w14:paraId="7289363C">
      <w:pPr>
        <w:widowControl/>
        <w:shd w:val="clear" w:color="auto" w:fill="FFFFFF"/>
        <w:spacing w:before="100" w:beforeAutospacing="1" w:after="100" w:afterAutospacing="1" w:line="400" w:lineRule="exact"/>
        <w:jc w:val="center"/>
        <w:rPr>
          <w:rFonts w:cs="仿宋" w:asciiTheme="minorEastAsia" w:hAnsiTheme="minorEastAsia" w:eastAsiaTheme="minorEastAsia"/>
          <w:b/>
          <w:color w:val="auto"/>
          <w:kern w:val="0"/>
          <w:sz w:val="22"/>
          <w:szCs w:val="22"/>
        </w:rPr>
      </w:pPr>
      <w:r>
        <w:rPr>
          <w:rFonts w:hint="eastAsia" w:cs="仿宋" w:asciiTheme="minorEastAsia" w:hAnsiTheme="minorEastAsia" w:eastAsiaTheme="minorEastAsia"/>
          <w:b/>
          <w:color w:val="auto"/>
          <w:kern w:val="0"/>
          <w:sz w:val="28"/>
          <w:szCs w:val="28"/>
        </w:rPr>
        <w:t>承诺书Ⅱ</w:t>
      </w:r>
    </w:p>
    <w:p w14:paraId="57B01AEE">
      <w:pPr>
        <w:widowControl/>
        <w:spacing w:line="440" w:lineRule="exact"/>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致：安康尚昊招标代理有限公司</w:t>
      </w:r>
    </w:p>
    <w:p w14:paraId="2C7394EF">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rPr>
        <w:t>为了诚实、客观、有序地参与政府采购活动，愿就以下内容作出承诺：</w:t>
      </w:r>
    </w:p>
    <w:p w14:paraId="313740F0">
      <w:pPr>
        <w:widowControl/>
        <w:spacing w:line="440" w:lineRule="exact"/>
        <w:ind w:firstLine="472" w:firstLineChars="197"/>
        <w:rPr>
          <w:rFonts w:cs="Times New Roman" w:asciiTheme="minorEastAsia" w:hAnsiTheme="minorEastAsia" w:eastAsiaTheme="minorEastAsia"/>
          <w:color w:val="auto"/>
          <w:sz w:val="24"/>
          <w:szCs w:val="28"/>
        </w:rPr>
      </w:pPr>
      <w:r>
        <w:rPr>
          <w:rFonts w:hint="eastAsia" w:cs="Times New Roman" w:asciiTheme="minorEastAsia" w:hAnsiTheme="minorEastAsia" w:eastAsiaTheme="minorEastAsia"/>
          <w:color w:val="auto"/>
          <w:sz w:val="24"/>
          <w:szCs w:val="28"/>
          <w:lang w:eastAsia="zh-CN"/>
        </w:rPr>
        <w:t>1.</w:t>
      </w:r>
      <w:r>
        <w:rPr>
          <w:rFonts w:hint="eastAsia" w:cs="Times New Roman" w:asciiTheme="minorEastAsia" w:hAnsiTheme="minorEastAsia" w:eastAsiaTheme="minorEastAsia"/>
          <w:color w:val="auto"/>
          <w:sz w:val="24"/>
          <w:szCs w:val="28"/>
        </w:rPr>
        <w:t>参加采购代理机构组织的政府采购活动时，严格按照磋商文件的规定和要求提供所需的相关材料，并对所提供的各类资料的真实性负责，不虚假应标，不虚列业绩。</w:t>
      </w:r>
    </w:p>
    <w:p w14:paraId="4908E045">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2.</w:t>
      </w:r>
      <w:r>
        <w:rPr>
          <w:rFonts w:hint="eastAsia" w:cs="仿宋" w:asciiTheme="minorEastAsia" w:hAnsiTheme="minorEastAsia" w:eastAsiaTheme="minorEastAsia"/>
          <w:bCs/>
          <w:color w:val="auto"/>
          <w:kern w:val="0"/>
          <w:sz w:val="24"/>
          <w:szCs w:val="28"/>
        </w:rPr>
        <w:t>尊重参与政府采购活动各相关方的合法行为，接受政府采购活动依法形成的意见、结果。</w:t>
      </w:r>
    </w:p>
    <w:p w14:paraId="42F98668">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3.</w:t>
      </w:r>
      <w:r>
        <w:rPr>
          <w:rFonts w:hint="eastAsia" w:cs="仿宋" w:asciiTheme="minorEastAsia" w:hAnsiTheme="minorEastAsia" w:eastAsiaTheme="minorEastAsia"/>
          <w:bCs/>
          <w:color w:val="auto"/>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1CE661B4">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4.</w:t>
      </w:r>
      <w:r>
        <w:rPr>
          <w:rFonts w:hint="eastAsia" w:cs="仿宋" w:asciiTheme="minorEastAsia" w:hAnsiTheme="minorEastAsia" w:eastAsiaTheme="minorEastAsia"/>
          <w:bCs/>
          <w:color w:val="auto"/>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35A555C6">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5.</w:t>
      </w:r>
      <w:r>
        <w:rPr>
          <w:rFonts w:hint="eastAsia" w:cs="仿宋" w:asciiTheme="minorEastAsia" w:hAnsiTheme="minorEastAsia" w:eastAsiaTheme="minorEastAsia"/>
          <w:bCs/>
          <w:color w:val="auto"/>
          <w:kern w:val="0"/>
          <w:sz w:val="24"/>
          <w:szCs w:val="28"/>
        </w:rPr>
        <w:t>近三年受到有关行政主管部门的行政处理、不良行为记录为</w:t>
      </w:r>
      <w:r>
        <w:rPr>
          <w:rFonts w:hint="eastAsia" w:cs="仿宋" w:asciiTheme="minorEastAsia" w:hAnsiTheme="minorEastAsia" w:eastAsiaTheme="minorEastAsia"/>
          <w:bCs/>
          <w:color w:val="auto"/>
          <w:kern w:val="0"/>
          <w:sz w:val="24"/>
          <w:szCs w:val="28"/>
          <w:u w:val="single"/>
        </w:rPr>
        <w:t>    </w:t>
      </w:r>
      <w:r>
        <w:rPr>
          <w:rFonts w:hint="eastAsia" w:cs="仿宋" w:asciiTheme="minorEastAsia" w:hAnsiTheme="minorEastAsia" w:eastAsiaTheme="minorEastAsia"/>
          <w:bCs/>
          <w:color w:val="auto"/>
          <w:kern w:val="0"/>
          <w:sz w:val="24"/>
          <w:szCs w:val="28"/>
        </w:rPr>
        <w:t>次（没有填零），如有隐瞒实情，愿承担一切责任及后果。</w:t>
      </w:r>
    </w:p>
    <w:p w14:paraId="3BC8D1F4">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6.</w:t>
      </w:r>
      <w:r>
        <w:rPr>
          <w:rFonts w:hint="eastAsia" w:cs="仿宋" w:asciiTheme="minorEastAsia" w:hAnsiTheme="minorEastAsia" w:eastAsiaTheme="minorEastAsia"/>
          <w:bCs/>
          <w:color w:val="auto"/>
          <w:kern w:val="0"/>
          <w:sz w:val="24"/>
          <w:szCs w:val="28"/>
        </w:rPr>
        <w:t>参加本次磋商提交的所有资质证明文件及业绩证明是真实的、有效的，如有隐瞒实情，愿承担一切责任及后果。</w:t>
      </w:r>
    </w:p>
    <w:p w14:paraId="4CFC98A7">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7.</w:t>
      </w:r>
      <w:r>
        <w:rPr>
          <w:rFonts w:hint="eastAsia" w:cs="仿宋" w:asciiTheme="minorEastAsia" w:hAnsiTheme="minorEastAsia" w:eastAsiaTheme="minorEastAsia"/>
          <w:bCs/>
          <w:color w:val="auto"/>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71FF43F8">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lang w:eastAsia="zh-CN"/>
        </w:rPr>
        <w:t>8.</w:t>
      </w:r>
      <w:r>
        <w:rPr>
          <w:rFonts w:hint="eastAsia" w:cs="仿宋" w:asciiTheme="minorEastAsia" w:hAnsiTheme="minorEastAsia" w:eastAsiaTheme="minorEastAsia"/>
          <w:bCs/>
          <w:color w:val="auto"/>
          <w:kern w:val="0"/>
          <w:sz w:val="24"/>
          <w:szCs w:val="28"/>
        </w:rPr>
        <w:t>认真履行成交单位应承担的责任和义务，全面执行采购合同规定的各项内容，保质保量地按时提供采购物品。</w:t>
      </w:r>
    </w:p>
    <w:p w14:paraId="39AB471A">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若本企业（单位）发生有悖于上述承诺的行为，愿意接受《中华人民共和国政府采购法》和《中华人民共和国政府采购法实施条例》中对响应单位的相关处理。</w:t>
      </w:r>
    </w:p>
    <w:p w14:paraId="1DE402C5">
      <w:pPr>
        <w:widowControl/>
        <w:shd w:val="clear" w:color="auto" w:fill="FFFFFF"/>
        <w:spacing w:line="440" w:lineRule="exact"/>
        <w:ind w:firstLine="480"/>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本承诺是采购项目响应文件的组成部分。</w:t>
      </w:r>
    </w:p>
    <w:p w14:paraId="7E916807">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承诺单位：</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（盖章）</w:t>
      </w:r>
    </w:p>
    <w:p w14:paraId="4FFFA6A6">
      <w:pPr>
        <w:widowControl/>
        <w:shd w:val="clear" w:color="auto" w:fill="FFFFFF"/>
        <w:spacing w:line="440" w:lineRule="exact"/>
        <w:ind w:firstLine="2152" w:firstLineChars="897"/>
        <w:rPr>
          <w:rFonts w:cs="仿宋" w:asciiTheme="minorEastAsia" w:hAnsiTheme="minorEastAsia" w:eastAsiaTheme="minorEastAsia"/>
          <w:bCs/>
          <w:color w:val="auto"/>
          <w:kern w:val="0"/>
          <w:sz w:val="24"/>
          <w:szCs w:val="28"/>
        </w:rPr>
      </w:pPr>
      <w:r>
        <w:rPr>
          <w:rFonts w:hint="eastAsia" w:cs="仿宋" w:asciiTheme="minorEastAsia" w:hAnsiTheme="minorEastAsia" w:eastAsiaTheme="minorEastAsia"/>
          <w:bCs/>
          <w:color w:val="auto"/>
          <w:kern w:val="0"/>
          <w:sz w:val="24"/>
          <w:szCs w:val="28"/>
        </w:rPr>
        <w:t>全权代表：</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w:t>
      </w:r>
      <w:r>
        <w:rPr>
          <w:rFonts w:hint="eastAsia" w:ascii="宋体" w:hAnsi="宋体" w:cs="宋体"/>
          <w:color w:val="auto"/>
          <w:sz w:val="24"/>
          <w:szCs w:val="24"/>
          <w:lang w:val="zh-CN"/>
        </w:rPr>
        <w:t>签字</w:t>
      </w:r>
      <w:r>
        <w:rPr>
          <w:rFonts w:hint="eastAsia" w:ascii="宋体" w:hAnsi="宋体" w:cs="宋体"/>
          <w:color w:val="auto"/>
          <w:sz w:val="24"/>
          <w:szCs w:val="24"/>
        </w:rPr>
        <w:t>或盖章</w:t>
      </w:r>
      <w:r>
        <w:rPr>
          <w:rFonts w:hint="eastAsia" w:cs="仿宋" w:asciiTheme="minorEastAsia" w:hAnsiTheme="minorEastAsia" w:eastAsiaTheme="minorEastAsia"/>
          <w:bCs/>
          <w:color w:val="auto"/>
          <w:kern w:val="0"/>
          <w:sz w:val="24"/>
          <w:szCs w:val="28"/>
        </w:rPr>
        <w:t>）</w:t>
      </w:r>
    </w:p>
    <w:p w14:paraId="02929F93">
      <w:pPr>
        <w:widowControl/>
        <w:shd w:val="clear" w:color="auto" w:fill="FFFFFF"/>
        <w:spacing w:line="440" w:lineRule="exact"/>
        <w:ind w:firstLine="2152" w:firstLineChars="897"/>
        <w:rPr>
          <w:rFonts w:cs="仿宋" w:asciiTheme="minorEastAsia" w:hAnsiTheme="minorEastAsia" w:eastAsiaTheme="minorEastAsia"/>
          <w:bCs/>
          <w:color w:val="auto"/>
          <w:sz w:val="24"/>
          <w:szCs w:val="28"/>
        </w:rPr>
      </w:pPr>
      <w:r>
        <w:rPr>
          <w:rFonts w:hint="eastAsia" w:cs="仿宋" w:asciiTheme="minorEastAsia" w:hAnsiTheme="minorEastAsia" w:eastAsiaTheme="minorEastAsia"/>
          <w:bCs/>
          <w:color w:val="auto"/>
          <w:kern w:val="0"/>
          <w:sz w:val="24"/>
          <w:szCs w:val="28"/>
        </w:rPr>
        <w:t>日    期：</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年</w:t>
      </w:r>
      <w:r>
        <w:rPr>
          <w:rFonts w:hint="eastAsia" w:cs="仿宋" w:asciiTheme="minorEastAsia" w:hAnsiTheme="minorEastAsia" w:eastAsiaTheme="minorEastAsia"/>
          <w:bCs/>
          <w:color w:val="auto"/>
          <w:kern w:val="0"/>
          <w:sz w:val="24"/>
          <w:szCs w:val="28"/>
          <w:u w:val="single"/>
        </w:rPr>
        <w:t xml:space="preserve">     </w:t>
      </w:r>
      <w:r>
        <w:rPr>
          <w:rFonts w:hint="eastAsia" w:cs="仿宋" w:asciiTheme="minorEastAsia" w:hAnsiTheme="minorEastAsia" w:eastAsiaTheme="minorEastAsia"/>
          <w:bCs/>
          <w:color w:val="auto"/>
          <w:kern w:val="0"/>
          <w:sz w:val="24"/>
          <w:szCs w:val="28"/>
        </w:rPr>
        <w:t>月</w:t>
      </w:r>
      <w:r>
        <w:rPr>
          <w:rFonts w:hint="eastAsia" w:cs="仿宋" w:asciiTheme="minorEastAsia" w:hAnsiTheme="minorEastAsia" w:eastAsiaTheme="minorEastAsia"/>
          <w:bCs/>
          <w:color w:val="auto"/>
          <w:sz w:val="28"/>
          <w:szCs w:val="32"/>
          <w:u w:val="single"/>
        </w:rPr>
        <w:t xml:space="preserve">    </w:t>
      </w:r>
      <w:r>
        <w:rPr>
          <w:rFonts w:hint="eastAsia" w:cs="仿宋" w:asciiTheme="minorEastAsia" w:hAnsiTheme="minorEastAsia" w:eastAsiaTheme="minorEastAsia"/>
          <w:bCs/>
          <w:color w:val="auto"/>
          <w:sz w:val="24"/>
          <w:szCs w:val="28"/>
        </w:rPr>
        <w:t>日</w:t>
      </w:r>
    </w:p>
    <w:p w14:paraId="09067856">
      <w:pPr>
        <w:pStyle w:val="3"/>
        <w:adjustRightInd w:val="0"/>
        <w:spacing w:line="416" w:lineRule="atLeast"/>
        <w:textAlignment w:val="baseline"/>
        <w:rPr>
          <w:rFonts w:ascii="宋体" w:hAnsi="宋体" w:cs="宋体"/>
          <w:color w:val="auto"/>
        </w:rPr>
      </w:pPr>
      <w:bookmarkStart w:id="198" w:name="_Toc536202403"/>
      <w:bookmarkStart w:id="199" w:name="_Toc536429343"/>
      <w:bookmarkStart w:id="200" w:name="_Toc25514"/>
      <w:bookmarkStart w:id="201" w:name="_Toc536429396"/>
      <w:bookmarkStart w:id="202" w:name="_Toc536202334"/>
    </w:p>
    <w:bookmarkEnd w:id="0"/>
    <w:bookmarkEnd w:id="198"/>
    <w:bookmarkEnd w:id="199"/>
    <w:bookmarkEnd w:id="200"/>
    <w:bookmarkEnd w:id="201"/>
    <w:bookmarkEnd w:id="202"/>
    <w:p w14:paraId="29B291BD">
      <w:pPr>
        <w:widowControl/>
        <w:jc w:val="left"/>
        <w:rPr>
          <w:color w:val="auto"/>
          <w:sz w:val="24"/>
          <w:szCs w:val="28"/>
        </w:rPr>
      </w:pPr>
    </w:p>
    <w:p w14:paraId="153B6C26">
      <w:pPr>
        <w:pStyle w:val="12"/>
        <w:rPr>
          <w:color w:val="auto"/>
          <w:sz w:val="24"/>
          <w:szCs w:val="28"/>
        </w:rPr>
      </w:pPr>
    </w:p>
    <w:p w14:paraId="2DF1B956">
      <w:pPr>
        <w:rPr>
          <w:color w:val="auto"/>
          <w:sz w:val="24"/>
          <w:szCs w:val="28"/>
        </w:rPr>
      </w:pPr>
    </w:p>
    <w:p w14:paraId="4D577E03">
      <w:pPr>
        <w:pStyle w:val="12"/>
        <w:rPr>
          <w:color w:val="auto"/>
          <w:sz w:val="24"/>
          <w:szCs w:val="28"/>
        </w:rPr>
        <w:sectPr>
          <w:footerReference r:id="rId22" w:type="first"/>
          <w:footerReference r:id="rId21" w:type="default"/>
          <w:pgSz w:w="11906" w:h="16838"/>
          <w:pgMar w:top="1361" w:right="1417" w:bottom="1361" w:left="1417" w:header="1134" w:footer="992" w:gutter="0"/>
          <w:pgNumType w:fmt="decimal"/>
          <w:cols w:space="0" w:num="1"/>
          <w:titlePg/>
          <w:rtlGutter w:val="0"/>
          <w:docGrid w:type="lines" w:linePitch="328" w:charSpace="0"/>
        </w:sectPr>
      </w:pPr>
    </w:p>
    <w:p w14:paraId="788D1FFC">
      <w:pPr>
        <w:rPr>
          <w:color w:val="auto"/>
        </w:rPr>
      </w:pPr>
    </w:p>
    <w:p w14:paraId="2A06850F">
      <w:pPr>
        <w:pStyle w:val="22"/>
        <w:rPr>
          <w:color w:val="auto"/>
        </w:rPr>
      </w:pPr>
    </w:p>
    <w:p w14:paraId="6D536D9C">
      <w:pPr>
        <w:pStyle w:val="22"/>
        <w:rPr>
          <w:color w:val="auto"/>
        </w:rPr>
      </w:pPr>
    </w:p>
    <w:p w14:paraId="6E3EF1A8">
      <w:pPr>
        <w:pStyle w:val="22"/>
        <w:rPr>
          <w:color w:val="auto"/>
        </w:rPr>
      </w:pPr>
    </w:p>
    <w:p w14:paraId="1781D8FB">
      <w:pPr>
        <w:pStyle w:val="22"/>
        <w:rPr>
          <w:color w:val="auto"/>
        </w:rPr>
      </w:pPr>
    </w:p>
    <w:p w14:paraId="7B35E6A3">
      <w:pPr>
        <w:pStyle w:val="22"/>
        <w:rPr>
          <w:color w:val="auto"/>
        </w:rPr>
      </w:pPr>
    </w:p>
    <w:p w14:paraId="1676252C">
      <w:pPr>
        <w:pStyle w:val="22"/>
        <w:rPr>
          <w:color w:val="auto"/>
        </w:rPr>
      </w:pPr>
    </w:p>
    <w:p w14:paraId="13558132">
      <w:pPr>
        <w:pStyle w:val="22"/>
        <w:rPr>
          <w:color w:val="auto"/>
        </w:rPr>
      </w:pPr>
    </w:p>
    <w:p w14:paraId="7317F6CC">
      <w:pPr>
        <w:pStyle w:val="22"/>
        <w:rPr>
          <w:color w:val="auto"/>
        </w:rPr>
      </w:pPr>
    </w:p>
    <w:p w14:paraId="74299A6F">
      <w:pPr>
        <w:pStyle w:val="22"/>
        <w:rPr>
          <w:color w:val="auto"/>
        </w:rPr>
      </w:pPr>
    </w:p>
    <w:p w14:paraId="558E9CC7">
      <w:pPr>
        <w:pStyle w:val="22"/>
        <w:rPr>
          <w:color w:val="auto"/>
        </w:rPr>
      </w:pPr>
    </w:p>
    <w:p w14:paraId="6A4F7824">
      <w:pPr>
        <w:pStyle w:val="22"/>
        <w:rPr>
          <w:color w:val="auto"/>
        </w:rPr>
      </w:pPr>
    </w:p>
    <w:p w14:paraId="4EACD6EE">
      <w:pPr>
        <w:pStyle w:val="22"/>
        <w:rPr>
          <w:color w:val="auto"/>
        </w:rPr>
      </w:pPr>
    </w:p>
    <w:p w14:paraId="3EF830C7">
      <w:pPr>
        <w:pStyle w:val="22"/>
        <w:rPr>
          <w:color w:val="auto"/>
        </w:rPr>
      </w:pPr>
    </w:p>
    <w:p w14:paraId="3B60CCCD">
      <w:pPr>
        <w:pStyle w:val="22"/>
        <w:rPr>
          <w:color w:val="auto"/>
        </w:rPr>
      </w:pPr>
    </w:p>
    <w:p w14:paraId="7B790FF1">
      <w:pPr>
        <w:pStyle w:val="22"/>
        <w:rPr>
          <w:color w:val="auto"/>
        </w:rPr>
      </w:pPr>
    </w:p>
    <w:p w14:paraId="64A33E46">
      <w:pPr>
        <w:pStyle w:val="22"/>
        <w:rPr>
          <w:color w:val="auto"/>
        </w:rPr>
      </w:pPr>
    </w:p>
    <w:p w14:paraId="1C16210D">
      <w:pPr>
        <w:pStyle w:val="22"/>
        <w:rPr>
          <w:color w:val="auto"/>
        </w:rPr>
      </w:pPr>
    </w:p>
    <w:p w14:paraId="4252DED8">
      <w:pPr>
        <w:pStyle w:val="22"/>
        <w:rPr>
          <w:color w:val="auto"/>
        </w:rPr>
      </w:pPr>
    </w:p>
    <w:p w14:paraId="1618FAEB">
      <w:pPr>
        <w:pStyle w:val="22"/>
        <w:rPr>
          <w:color w:val="auto"/>
        </w:rPr>
      </w:pPr>
    </w:p>
    <w:p w14:paraId="3FF2123E">
      <w:pPr>
        <w:pStyle w:val="22"/>
        <w:rPr>
          <w:color w:val="auto"/>
        </w:rPr>
      </w:pPr>
    </w:p>
    <w:p w14:paraId="1A6CBE9A">
      <w:pPr>
        <w:pStyle w:val="22"/>
        <w:rPr>
          <w:color w:val="auto"/>
        </w:rPr>
      </w:pPr>
    </w:p>
    <w:p w14:paraId="3F43E0C8">
      <w:pPr>
        <w:pStyle w:val="22"/>
        <w:rPr>
          <w:color w:val="auto"/>
        </w:rPr>
      </w:pPr>
    </w:p>
    <w:p w14:paraId="33D8CD95">
      <w:pPr>
        <w:pStyle w:val="22"/>
        <w:rPr>
          <w:color w:val="auto"/>
        </w:rPr>
      </w:pPr>
    </w:p>
    <w:p w14:paraId="05BA5D89">
      <w:pPr>
        <w:pStyle w:val="22"/>
        <w:rPr>
          <w:color w:val="auto"/>
        </w:rPr>
      </w:pPr>
    </w:p>
    <w:p w14:paraId="59D7A27B">
      <w:pPr>
        <w:pStyle w:val="22"/>
        <w:rPr>
          <w:color w:val="auto"/>
        </w:rPr>
      </w:pPr>
    </w:p>
    <w:p w14:paraId="6A5EE0C2">
      <w:pPr>
        <w:pStyle w:val="22"/>
        <w:rPr>
          <w:color w:val="auto"/>
        </w:rPr>
      </w:pPr>
    </w:p>
    <w:p w14:paraId="463F3918">
      <w:pPr>
        <w:pStyle w:val="22"/>
        <w:rPr>
          <w:color w:val="auto"/>
        </w:rPr>
      </w:pPr>
    </w:p>
    <w:p w14:paraId="4B73C698">
      <w:pPr>
        <w:pStyle w:val="22"/>
        <w:rPr>
          <w:color w:val="auto"/>
        </w:rPr>
      </w:pPr>
    </w:p>
    <w:p w14:paraId="17991E62">
      <w:pPr>
        <w:pStyle w:val="22"/>
        <w:rPr>
          <w:color w:val="auto"/>
        </w:rPr>
      </w:pPr>
    </w:p>
    <w:p w14:paraId="29561E64">
      <w:pPr>
        <w:pStyle w:val="22"/>
        <w:rPr>
          <w:color w:val="auto"/>
        </w:rPr>
      </w:pPr>
    </w:p>
    <w:p w14:paraId="0A32F819">
      <w:pPr>
        <w:pStyle w:val="22"/>
        <w:rPr>
          <w:color w:val="auto"/>
        </w:rPr>
      </w:pPr>
    </w:p>
    <w:p w14:paraId="24CBB826">
      <w:pPr>
        <w:pStyle w:val="22"/>
        <w:rPr>
          <w:color w:val="auto"/>
        </w:rPr>
      </w:pPr>
    </w:p>
    <w:p w14:paraId="21E311D0">
      <w:pPr>
        <w:pStyle w:val="22"/>
        <w:rPr>
          <w:color w:val="auto"/>
        </w:rPr>
      </w:pPr>
    </w:p>
    <w:p w14:paraId="574FD4B8">
      <w:pPr>
        <w:pStyle w:val="22"/>
        <w:rPr>
          <w:color w:val="auto"/>
        </w:rPr>
      </w:pPr>
    </w:p>
    <w:p w14:paraId="0F6219CB">
      <w:pPr>
        <w:pStyle w:val="22"/>
        <w:rPr>
          <w:color w:val="auto"/>
        </w:rPr>
      </w:pPr>
    </w:p>
    <w:p w14:paraId="72EBDF60">
      <w:pPr>
        <w:pStyle w:val="22"/>
        <w:rPr>
          <w:color w:val="auto"/>
        </w:rPr>
      </w:pPr>
    </w:p>
    <w:p w14:paraId="56B6761C">
      <w:pPr>
        <w:pStyle w:val="22"/>
        <w:rPr>
          <w:color w:val="auto"/>
        </w:rPr>
      </w:pPr>
    </w:p>
    <w:p w14:paraId="7E7F16F3">
      <w:pPr>
        <w:pStyle w:val="22"/>
        <w:rPr>
          <w:color w:val="auto"/>
        </w:rPr>
      </w:pPr>
    </w:p>
    <w:p w14:paraId="28453B87">
      <w:pPr>
        <w:pStyle w:val="22"/>
        <w:rPr>
          <w:color w:val="auto"/>
        </w:rPr>
      </w:pPr>
    </w:p>
    <w:p w14:paraId="7781B137">
      <w:pPr>
        <w:pStyle w:val="22"/>
        <w:rPr>
          <w:color w:val="auto"/>
        </w:rPr>
      </w:pPr>
    </w:p>
    <w:p w14:paraId="11CC7E1B">
      <w:pPr>
        <w:pStyle w:val="22"/>
        <w:rPr>
          <w:color w:val="auto"/>
        </w:rPr>
      </w:pPr>
    </w:p>
    <w:p w14:paraId="340E5B11">
      <w:pPr>
        <w:pStyle w:val="22"/>
        <w:rPr>
          <w:color w:val="auto"/>
        </w:rPr>
      </w:pPr>
      <w:r>
        <w:rPr>
          <w:rFonts w:hint="eastAsia"/>
          <w:color w:val="auto"/>
        </w:rPr>
        <w:drawing>
          <wp:anchor distT="0" distB="0" distL="114300" distR="114300" simplePos="0" relativeHeight="251668480" behindDoc="0" locked="0" layoutInCell="1" allowOverlap="1">
            <wp:simplePos x="0" y="0"/>
            <wp:positionH relativeFrom="column">
              <wp:posOffset>2520950</wp:posOffset>
            </wp:positionH>
            <wp:positionV relativeFrom="paragraph">
              <wp:posOffset>122555</wp:posOffset>
            </wp:positionV>
            <wp:extent cx="554355" cy="401320"/>
            <wp:effectExtent l="0" t="0" r="17145" b="17780"/>
            <wp:wrapNone/>
            <wp:docPr id="15" name="图片 15"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_尚昊 标"/>
                    <pic:cNvPicPr>
                      <a:picLocks noChangeAspect="1"/>
                    </pic:cNvPicPr>
                  </pic:nvPicPr>
                  <pic:blipFill>
                    <a:blip r:embed="rId26"/>
                    <a:stretch>
                      <a:fillRect/>
                    </a:stretch>
                  </pic:blipFill>
                  <pic:spPr>
                    <a:xfrm>
                      <a:off x="0" y="0"/>
                      <a:ext cx="554355" cy="401320"/>
                    </a:xfrm>
                    <a:prstGeom prst="rect">
                      <a:avLst/>
                    </a:prstGeom>
                  </pic:spPr>
                </pic:pic>
              </a:graphicData>
            </a:graphic>
          </wp:anchor>
        </w:drawing>
      </w:r>
    </w:p>
    <w:p w14:paraId="27381CA8">
      <w:pPr>
        <w:pStyle w:val="22"/>
        <w:rPr>
          <w:color w:val="auto"/>
        </w:rPr>
      </w:pPr>
    </w:p>
    <w:p w14:paraId="572382E5">
      <w:pPr>
        <w:spacing w:line="440" w:lineRule="exact"/>
        <w:rPr>
          <w:color w:val="auto"/>
          <w:sz w:val="32"/>
          <w:szCs w:val="32"/>
        </w:rPr>
      </w:pPr>
      <w:r>
        <w:rPr>
          <w:rFonts w:hint="eastAsia"/>
          <w:color w:val="auto"/>
          <w:sz w:val="32"/>
          <w:szCs w:val="32"/>
        </w:rPr>
        <w:t>安康尚昊招标代理有限公司</w:t>
      </w:r>
    </w:p>
    <w:p w14:paraId="21286A54">
      <w:pPr>
        <w:spacing w:line="440" w:lineRule="exact"/>
        <w:jc w:val="center"/>
        <w:rPr>
          <w:color w:val="auto"/>
          <w:sz w:val="32"/>
          <w:szCs w:val="32"/>
        </w:rPr>
      </w:pPr>
      <w:r>
        <w:rPr>
          <w:rFonts w:hint="eastAsia"/>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pt;width:423pt;z-index:251663360;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Kp9jT&#10;AAAABgEAAA8AAAAAAAAAAQAgAAAAIgAAAGRycy9kb3ducmV2LnhtbFBLAQIUABQAAAAIAIdO4kD7&#10;0hfG7AEAANkDAAAOAAAAAAAAAAEAIAAAACIBAABkcnMvZTJvRG9jLnhtbFBLBQYAAAAABgAGAFkB&#10;AACABQAAAAA=&#10;">
                <v:fill on="f" focussize="0,0"/>
                <v:stroke weight="1.5pt" color="#000000" joinstyle="round"/>
                <v:imagedata o:title=""/>
                <o:lock v:ext="edit" aspectratio="f"/>
              </v:line>
            </w:pict>
          </mc:Fallback>
        </mc:AlternateContent>
      </w:r>
    </w:p>
    <w:p w14:paraId="6EFB4668">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982331336"/>
        </w:rPr>
        <w:t xml:space="preserve">地    </w:t>
      </w:r>
      <w:r>
        <w:rPr>
          <w:rFonts w:hint="eastAsia" w:hAnsi="宋体"/>
          <w:color w:val="auto"/>
          <w:spacing w:val="0"/>
          <w:kern w:val="0"/>
          <w:sz w:val="24"/>
          <w:szCs w:val="24"/>
          <w:fitText w:val="1050" w:id="982331336"/>
        </w:rPr>
        <w:t>址</w:t>
      </w:r>
      <w:r>
        <w:rPr>
          <w:rFonts w:hint="eastAsia" w:hAnsi="宋体"/>
          <w:color w:val="auto"/>
          <w:spacing w:val="-6"/>
          <w:sz w:val="24"/>
          <w:szCs w:val="24"/>
        </w:rPr>
        <w:t>：安康市高新区</w:t>
      </w:r>
      <w:r>
        <w:rPr>
          <w:rFonts w:hint="eastAsia" w:hAnsi="宋体"/>
          <w:color w:val="auto"/>
          <w:spacing w:val="-6"/>
          <w:sz w:val="24"/>
          <w:szCs w:val="24"/>
          <w:lang w:eastAsia="zh-CN"/>
        </w:rPr>
        <w:t>高新观澜8栋</w:t>
      </w:r>
      <w:r>
        <w:rPr>
          <w:rFonts w:hint="eastAsia" w:hAnsi="宋体"/>
          <w:color w:val="auto"/>
          <w:spacing w:val="-6"/>
          <w:sz w:val="24"/>
          <w:szCs w:val="24"/>
        </w:rPr>
        <w:t>2单元801室</w:t>
      </w:r>
    </w:p>
    <w:p w14:paraId="090A00DB">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1"/>
        </w:rPr>
        <w:t xml:space="preserve">邮    </w:t>
      </w:r>
      <w:r>
        <w:rPr>
          <w:rFonts w:hint="eastAsia" w:hAnsi="宋体"/>
          <w:color w:val="auto"/>
          <w:spacing w:val="0"/>
          <w:kern w:val="0"/>
          <w:sz w:val="24"/>
          <w:szCs w:val="24"/>
          <w:fitText w:val="1050" w:id="1"/>
        </w:rPr>
        <w:t>编</w:t>
      </w:r>
      <w:r>
        <w:rPr>
          <w:rFonts w:hint="eastAsia" w:hAnsi="宋体"/>
          <w:color w:val="auto"/>
          <w:sz w:val="24"/>
          <w:szCs w:val="24"/>
        </w:rPr>
        <w:t>：725000</w:t>
      </w:r>
    </w:p>
    <w:p w14:paraId="31A72DAA">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2"/>
        </w:rPr>
        <w:t xml:space="preserve">电    </w:t>
      </w:r>
      <w:r>
        <w:rPr>
          <w:rFonts w:hint="eastAsia" w:hAnsi="宋体"/>
          <w:color w:val="auto"/>
          <w:spacing w:val="0"/>
          <w:kern w:val="0"/>
          <w:sz w:val="24"/>
          <w:szCs w:val="24"/>
          <w:fitText w:val="1050" w:id="2"/>
        </w:rPr>
        <w:t>话</w:t>
      </w:r>
      <w:r>
        <w:rPr>
          <w:rFonts w:hint="eastAsia" w:hAnsi="宋体"/>
          <w:color w:val="auto"/>
          <w:sz w:val="24"/>
          <w:szCs w:val="24"/>
        </w:rPr>
        <w:t>：13991519725</w:t>
      </w:r>
    </w:p>
    <w:p w14:paraId="0FC97798">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3"/>
        </w:rPr>
        <w:t>公司名</w:t>
      </w:r>
      <w:r>
        <w:rPr>
          <w:rFonts w:hint="eastAsia" w:hAnsi="宋体"/>
          <w:color w:val="auto"/>
          <w:spacing w:val="0"/>
          <w:kern w:val="0"/>
          <w:sz w:val="24"/>
          <w:szCs w:val="24"/>
          <w:fitText w:val="1050" w:id="3"/>
        </w:rPr>
        <w:t>称</w:t>
      </w:r>
      <w:r>
        <w:rPr>
          <w:rFonts w:hint="eastAsia" w:hAnsi="宋体"/>
          <w:color w:val="auto"/>
          <w:sz w:val="24"/>
          <w:szCs w:val="24"/>
        </w:rPr>
        <w:t>：安康尚昊招标代理有限公司</w:t>
      </w:r>
    </w:p>
    <w:p w14:paraId="21E776D7">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4"/>
        </w:rPr>
        <w:t>开户银</w:t>
      </w:r>
      <w:r>
        <w:rPr>
          <w:rFonts w:hint="eastAsia" w:hAnsi="宋体"/>
          <w:color w:val="auto"/>
          <w:spacing w:val="0"/>
          <w:kern w:val="0"/>
          <w:sz w:val="24"/>
          <w:szCs w:val="24"/>
          <w:fitText w:val="1050" w:id="4"/>
        </w:rPr>
        <w:t>行</w:t>
      </w:r>
      <w:r>
        <w:rPr>
          <w:rFonts w:hint="eastAsia" w:hAnsi="宋体"/>
          <w:color w:val="auto"/>
          <w:sz w:val="24"/>
          <w:szCs w:val="24"/>
        </w:rPr>
        <w:t>：中国建设银行股份有限公司安康分行营业部</w:t>
      </w:r>
    </w:p>
    <w:p w14:paraId="222FDA54">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5"/>
        </w:rPr>
        <w:t xml:space="preserve">账    </w:t>
      </w:r>
      <w:r>
        <w:rPr>
          <w:rFonts w:hint="eastAsia" w:hAnsi="宋体"/>
          <w:color w:val="auto"/>
          <w:spacing w:val="0"/>
          <w:kern w:val="0"/>
          <w:sz w:val="24"/>
          <w:szCs w:val="24"/>
          <w:fitText w:val="1050" w:id="5"/>
        </w:rPr>
        <w:t>号</w:t>
      </w:r>
      <w:r>
        <w:rPr>
          <w:rFonts w:hint="eastAsia" w:hAnsi="宋体"/>
          <w:color w:val="auto"/>
          <w:sz w:val="24"/>
          <w:szCs w:val="24"/>
        </w:rPr>
        <w:t>：</w:t>
      </w:r>
      <w:r>
        <w:rPr>
          <w:rFonts w:hint="eastAsia" w:ascii="宋体" w:hAnsi="宋体" w:cs="宋体"/>
          <w:color w:val="auto"/>
          <w:sz w:val="24"/>
          <w:szCs w:val="28"/>
        </w:rPr>
        <w:t>61050166371100000492</w:t>
      </w:r>
      <w:r>
        <w:rPr>
          <w:rFonts w:hint="eastAsia" w:hAnsi="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pt;width:423pt;z-index:251662336;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i+1gLT&#10;AAAABgEAAA8AAAAAAAAAAQAgAAAAIgAAAGRycy9kb3ducmV2LnhtbFBLAQIUABQAAAAIAIdO4kDI&#10;KlhK7AEAANkDAAAOAAAAAAAAAAEAIAAAACIBAABkcnMvZTJvRG9jLnhtbFBLBQYAAAAABgAGAFkB&#10;AACABQAAAAA=&#10;">
                <v:fill on="f" focussize="0,0"/>
                <v:stroke weight="1.5pt" color="#000000" joinstyle="round"/>
                <v:imagedata o:title=""/>
                <o:lock v:ext="edit" aspectratio="f"/>
              </v:line>
            </w:pict>
          </mc:Fallback>
        </mc:AlternateContent>
      </w:r>
    </w:p>
    <w:p w14:paraId="33EC508C">
      <w:pPr>
        <w:pStyle w:val="103"/>
        <w:ind w:firstLine="420"/>
        <w:rPr>
          <w:color w:val="auto"/>
        </w:rPr>
      </w:pPr>
    </w:p>
    <w:p w14:paraId="0A6EDC4D">
      <w:pPr>
        <w:spacing w:line="20" w:lineRule="exact"/>
        <w:rPr>
          <w:color w:val="auto"/>
        </w:rPr>
      </w:pPr>
    </w:p>
    <w:sectPr>
      <w:footerReference r:id="rId24" w:type="first"/>
      <w:footerReference r:id="rId23" w:type="default"/>
      <w:pgSz w:w="11906" w:h="16838"/>
      <w:pgMar w:top="1361" w:right="1417" w:bottom="1361" w:left="1417" w:header="1134" w:footer="992" w:gutter="0"/>
      <w:pgNumType w:fmt="decimal"/>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CC96">
    <w:pPr>
      <w:pStyle w:val="22"/>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E6A3">
    <w:pPr>
      <w:pStyle w:val="22"/>
      <w:tabs>
        <w:tab w:val="center" w:pos="4819"/>
        <w:tab w:val="left" w:pos="7440"/>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E5749">
                          <w:pPr>
                            <w:pStyle w:val="22"/>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4E5749">
                    <w:pPr>
                      <w:pStyle w:val="22"/>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54</w:t>
                    </w:r>
                    <w:r>
                      <w:t xml:space="preserve"> 页</w:t>
                    </w:r>
                  </w:p>
                </w:txbxContent>
              </v:textbox>
            </v:shape>
          </w:pict>
        </mc:Fallback>
      </mc:AlternateContent>
    </w:r>
    <w:r>
      <w:tab/>
    </w:r>
  </w:p>
  <w:p w14:paraId="348276B3">
    <w:pPr>
      <w:pStyle w:val="22"/>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DC1F">
    <w:pPr>
      <w:pStyle w:val="22"/>
      <w:tabs>
        <w:tab w:val="center" w:pos="4819"/>
        <w:tab w:val="left" w:pos="7440"/>
      </w:tabs>
      <w:jc w:val="center"/>
      <w:rPr>
        <w:rFonts w:ascii="宋体"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559D6">
                          <w:pPr>
                            <w:pStyle w:val="22"/>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56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9559D6">
                    <w:pPr>
                      <w:pStyle w:val="22"/>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56</w:t>
                    </w:r>
                    <w: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2027">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BA4EE">
                          <w:pPr>
                            <w:pStyle w:val="22"/>
                          </w:pPr>
                          <w:r>
                            <w:t xml:space="preserve">第 </w:t>
                          </w:r>
                          <w:r>
                            <w:fldChar w:fldCharType="begin"/>
                          </w:r>
                          <w:r>
                            <w:instrText xml:space="preserve"> PAGE  \* MERGEFORMAT </w:instrText>
                          </w:r>
                          <w:r>
                            <w:fldChar w:fldCharType="separate"/>
                          </w:r>
                          <w:r>
                            <w:t>42</w:t>
                          </w:r>
                          <w:r>
                            <w:fldChar w:fldCharType="end"/>
                          </w:r>
                          <w:r>
                            <w:t xml:space="preserve"> 页 共 </w:t>
                          </w:r>
                          <w:r>
                            <w:rPr>
                              <w:rFonts w:hint="eastAsia"/>
                              <w:lang w:val="en-US" w:eastAsia="zh-CN"/>
                            </w:rPr>
                            <w:t>56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9BA4EE">
                    <w:pPr>
                      <w:pStyle w:val="22"/>
                    </w:pPr>
                    <w:r>
                      <w:t xml:space="preserve">第 </w:t>
                    </w:r>
                    <w:r>
                      <w:fldChar w:fldCharType="begin"/>
                    </w:r>
                    <w:r>
                      <w:instrText xml:space="preserve"> PAGE  \* MERGEFORMAT </w:instrText>
                    </w:r>
                    <w:r>
                      <w:fldChar w:fldCharType="separate"/>
                    </w:r>
                    <w:r>
                      <w:t>42</w:t>
                    </w:r>
                    <w:r>
                      <w:fldChar w:fldCharType="end"/>
                    </w:r>
                    <w:r>
                      <w:t xml:space="preserve"> 页 共 </w:t>
                    </w:r>
                    <w:r>
                      <w:rPr>
                        <w:rFonts w:hint="eastAsia"/>
                        <w:lang w:val="en-US" w:eastAsia="zh-CN"/>
                      </w:rPr>
                      <w:t>56</w:t>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4222">
    <w:pPr>
      <w:pStyle w:val="22"/>
      <w:tabs>
        <w:tab w:val="center" w:pos="4819"/>
        <w:tab w:val="left" w:pos="7440"/>
      </w:tabs>
    </w:pPr>
    <w:r>
      <w:tab/>
    </w:r>
  </w:p>
  <w:p w14:paraId="7CBF6A3F">
    <w:pPr>
      <w:pStyle w:val="22"/>
      <w:ind w:right="360"/>
      <w:jc w:val="center"/>
      <w:rPr>
        <w:rFonts w:ascii="宋体" w:cs="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0CEF">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00B1">
    <w:pPr>
      <w:pStyle w:val="22"/>
      <w:tabs>
        <w:tab w:val="center" w:pos="4819"/>
        <w:tab w:val="left" w:pos="7440"/>
      </w:tabs>
    </w:pPr>
    <w:r>
      <w:tab/>
    </w:r>
  </w:p>
  <w:p w14:paraId="3F7463FF">
    <w:pPr>
      <w:pStyle w:val="22"/>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56AD">
    <w:pPr>
      <w:pStyle w:val="22"/>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B8EF6">
    <w:pPr>
      <w:pStyle w:val="22"/>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CDB96">
                          <w:pPr>
                            <w:pStyle w:val="22"/>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9CDB96">
                    <w:pPr>
                      <w:pStyle w:val="22"/>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56</w:t>
                    </w:r>
                    <w:r>
                      <w:t xml:space="preserve"> 页</w:t>
                    </w:r>
                  </w:p>
                </w:txbxContent>
              </v:textbox>
            </v:shape>
          </w:pict>
        </mc:Fallback>
      </mc:AlternateContent>
    </w:r>
    <w:r>
      <w:tab/>
    </w:r>
  </w:p>
  <w:p w14:paraId="5ECC928F">
    <w:pPr>
      <w:pStyle w:val="22"/>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13F8">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8801A">
                          <w:pPr>
                            <w:pStyle w:val="2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C8801A">
                    <w:pPr>
                      <w:pStyle w:val="2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56</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123C1">
    <w:pPr>
      <w:pStyle w:val="22"/>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7B4E5">
                          <w:pPr>
                            <w:pStyle w:val="22"/>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56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B7B4E5">
                    <w:pPr>
                      <w:pStyle w:val="22"/>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56</w:t>
                    </w:r>
                    <w:r>
                      <w:t xml:space="preserve"> 页</w:t>
                    </w:r>
                  </w:p>
                </w:txbxContent>
              </v:textbox>
            </v:shape>
          </w:pict>
        </mc:Fallback>
      </mc:AlternateContent>
    </w:r>
    <w:r>
      <w:tab/>
    </w:r>
  </w:p>
  <w:p w14:paraId="44C4023F">
    <w:pPr>
      <w:pStyle w:val="22"/>
      <w:ind w:right="360"/>
      <w:jc w:val="center"/>
      <w:rPr>
        <w:rFonts w:ascii="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CE32">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F8341">
                          <w:pPr>
                            <w:pStyle w:val="22"/>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56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73F8341">
                    <w:pPr>
                      <w:pStyle w:val="22"/>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56</w:t>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A88A7">
    <w:pPr>
      <w:pStyle w:val="2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BD947">
                          <w:pPr>
                            <w:pStyle w:val="22"/>
                          </w:pPr>
                          <w:r>
                            <w:t xml:space="preserve">第 </w:t>
                          </w:r>
                          <w:r>
                            <w:fldChar w:fldCharType="begin"/>
                          </w:r>
                          <w:r>
                            <w:instrText xml:space="preserve"> PAGE  \* MERGEFORMAT </w:instrText>
                          </w:r>
                          <w:r>
                            <w:fldChar w:fldCharType="separate"/>
                          </w:r>
                          <w:r>
                            <w:t>77</w:t>
                          </w:r>
                          <w:r>
                            <w:fldChar w:fldCharType="end"/>
                          </w:r>
                          <w:r>
                            <w:t xml:space="preserve"> 页 共 </w:t>
                          </w:r>
                          <w:r>
                            <w:rPr>
                              <w:rFonts w:hint="eastAsia"/>
                              <w:lang w:val="en-US" w:eastAsia="zh-CN"/>
                            </w:rPr>
                            <w:t>59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C2BD947">
                    <w:pPr>
                      <w:pStyle w:val="22"/>
                    </w:pPr>
                    <w:r>
                      <w:t xml:space="preserve">第 </w:t>
                    </w:r>
                    <w:r>
                      <w:fldChar w:fldCharType="begin"/>
                    </w:r>
                    <w:r>
                      <w:instrText xml:space="preserve"> PAGE  \* MERGEFORMAT </w:instrText>
                    </w:r>
                    <w:r>
                      <w:fldChar w:fldCharType="separate"/>
                    </w:r>
                    <w:r>
                      <w:t>77</w:t>
                    </w:r>
                    <w:r>
                      <w:fldChar w:fldCharType="end"/>
                    </w:r>
                    <w:r>
                      <w:t xml:space="preserve"> 页 共 </w:t>
                    </w:r>
                    <w:r>
                      <w:rPr>
                        <w:rFonts w:hint="eastAsia"/>
                        <w:lang w:val="en-US" w:eastAsia="zh-CN"/>
                      </w:rPr>
                      <w:t>59</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17C79">
    <w:pPr>
      <w:pStyle w:val="2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E906D">
                          <w:pPr>
                            <w:pStyle w:val="22"/>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56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1E906D">
                    <w:pPr>
                      <w:pStyle w:val="22"/>
                    </w:pPr>
                    <w:r>
                      <w:t xml:space="preserve">第 </w:t>
                    </w:r>
                    <w:r>
                      <w:fldChar w:fldCharType="begin"/>
                    </w:r>
                    <w:r>
                      <w:instrText xml:space="preserve"> PAGE  \* MERGEFORMAT </w:instrText>
                    </w:r>
                    <w:r>
                      <w:fldChar w:fldCharType="separate"/>
                    </w:r>
                    <w:r>
                      <w:t>76</w:t>
                    </w:r>
                    <w:r>
                      <w:fldChar w:fldCharType="end"/>
                    </w:r>
                    <w:r>
                      <w:t xml:space="preserve"> 页 共 </w:t>
                    </w:r>
                    <w:r>
                      <w:rPr>
                        <w:rFonts w:hint="eastAsia"/>
                        <w:lang w:val="en-US" w:eastAsia="zh-CN"/>
                      </w:rPr>
                      <w:t>56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13DC">
    <w:pPr>
      <w:adjustRightInd w:val="0"/>
      <w:snapToGrid w:val="0"/>
      <w:spacing w:line="360" w:lineRule="auto"/>
      <w:jc w:val="left"/>
      <w:rPr>
        <w:rFonts w:ascii="宋体" w:cs="Times New Roman"/>
        <w:u w:val="single"/>
      </w:rPr>
    </w:pPr>
    <w:r>
      <w:rPr>
        <w:rFonts w:hint="eastAsia" w:ascii="宋体" w:hAnsi="宋体" w:cs="宋体"/>
        <w:sz w:val="15"/>
        <w:szCs w:val="15"/>
        <w:u w:val="single"/>
      </w:rPr>
      <w:t>安康市中医医院互联网医院建设服务项目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AKSH2020-ZCS-010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773E4">
    <w:pPr>
      <w:pStyle w:val="23"/>
      <w:pBdr>
        <w:bottom w:val="none" w:color="auto" w:sz="0" w:space="1"/>
      </w:pBd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B448">
    <w:pPr>
      <w:pStyle w:val="23"/>
      <w:pBdr>
        <w:bottom w:val="none" w:color="auto" w:sz="0" w:space="1"/>
      </w:pBdr>
      <w:jc w:val="both"/>
      <w:rPr>
        <w:rFonts w:hint="eastAsia" w:eastAsia="宋体"/>
        <w:lang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安康市中医医院物流系统维保服务采购项目（三次）</w:t>
    </w:r>
    <w:r>
      <w:rPr>
        <w:rFonts w:hint="eastAsia" w:ascii="宋体" w:hAnsi="宋体" w:cs="宋体"/>
        <w:sz w:val="21"/>
        <w:szCs w:val="21"/>
        <w:u w:val="single"/>
      </w:rPr>
      <w:t xml:space="preserve">          项目编号：</w:t>
    </w:r>
    <w:r>
      <w:rPr>
        <w:rFonts w:hint="eastAsia" w:ascii="宋体" w:hAnsi="宋体" w:cs="宋体"/>
        <w:sz w:val="21"/>
        <w:szCs w:val="21"/>
        <w:u w:val="single"/>
        <w:lang w:eastAsia="zh-CN"/>
      </w:rPr>
      <w:t>AKSH2025-ZCS-092-3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84B2">
    <w:pPr>
      <w:pStyle w:val="2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BC6E9">
    <w:pPr>
      <w:pStyle w:val="23"/>
      <w:pBdr>
        <w:bottom w:val="none" w:color="auto" w:sz="0" w:space="1"/>
      </w:pBdr>
      <w:jc w:val="both"/>
      <w:rPr>
        <w:rFonts w:hint="eastAsia" w:eastAsia="宋体"/>
        <w:lang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安康市中医医院物流系统维保服务采购项目（三次）</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项目编号：</w:t>
    </w:r>
    <w:r>
      <w:rPr>
        <w:rFonts w:hint="eastAsia" w:ascii="宋体" w:hAnsi="宋体" w:cs="宋体"/>
        <w:sz w:val="21"/>
        <w:szCs w:val="21"/>
        <w:u w:val="single"/>
        <w:lang w:eastAsia="zh-CN"/>
      </w:rPr>
      <w:t>AKSH2025-ZCS-092-3</w:t>
    </w:r>
    <w:r>
      <w:rPr>
        <w:rFonts w:hint="eastAsia" w:ascii="宋体" w:hAnsi="宋体" w:cs="宋体"/>
        <w:sz w:val="21"/>
        <w:szCs w:val="21"/>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2F41D">
    <w:pPr>
      <w:pStyle w:val="23"/>
      <w:pBdr>
        <w:bottom w:val="none" w:color="auto" w:sz="0" w:space="1"/>
      </w:pBdr>
      <w:jc w:val="both"/>
      <w:rPr>
        <w:rFonts w:ascii="宋体" w:hAnsi="宋体" w:cs="宋体"/>
        <w:sz w:val="21"/>
        <w:szCs w:val="21"/>
        <w:u w:val="single"/>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安康市中医医院物流系统维保服务采购项目（三次）</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项目编号：</w:t>
    </w:r>
    <w:r>
      <w:rPr>
        <w:rFonts w:hint="eastAsia" w:ascii="宋体" w:hAnsi="宋体" w:cs="宋体"/>
        <w:sz w:val="21"/>
        <w:szCs w:val="21"/>
        <w:u w:val="single"/>
        <w:lang w:eastAsia="zh-CN"/>
      </w:rPr>
      <w:t>AKSH2025-ZCS-092-3</w:t>
    </w:r>
    <w:r>
      <w:rPr>
        <w:rFonts w:hint="eastAsia" w:ascii="宋体" w:hAnsi="宋体" w:cs="宋体"/>
        <w:sz w:val="21"/>
        <w:szCs w:val="21"/>
        <w:u w:val="single"/>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B91C">
    <w:pPr>
      <w:pStyle w:val="23"/>
      <w:pBdr>
        <w:bottom w:val="none" w:color="auto" w:sz="0" w:space="1"/>
      </w:pBdr>
      <w:jc w:val="both"/>
      <w:rPr>
        <w:rFonts w:hint="eastAsia" w:eastAsia="宋体"/>
        <w:lang w:eastAsia="zh-CN"/>
      </w:rPr>
    </w:pPr>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安康市中医医院物流系统维保服务采购项目（三次）</w:t>
    </w:r>
    <w:r>
      <w:rPr>
        <w:rFonts w:hint="eastAsia" w:ascii="宋体" w:hAnsi="宋体" w:cs="宋体"/>
        <w:sz w:val="21"/>
        <w:szCs w:val="21"/>
        <w:u w:val="single"/>
      </w:rPr>
      <w:t xml:space="preserve">  项目编号：</w:t>
    </w:r>
    <w:r>
      <w:rPr>
        <w:rFonts w:hint="eastAsia" w:ascii="宋体" w:hAnsi="宋体" w:cs="宋体"/>
        <w:sz w:val="21"/>
        <w:szCs w:val="21"/>
        <w:u w:val="single"/>
        <w:lang w:eastAsia="zh-CN"/>
      </w:rPr>
      <w:t>AKSH2025-ZCS-092-3</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23EF0">
    <w:pPr>
      <w:pStyle w:val="23"/>
      <w:pBdr>
        <w:bottom w:val="none" w:color="auto" w:sz="0" w:space="1"/>
      </w:pBdr>
      <w:jc w:val="both"/>
      <w:rPr>
        <w:rFonts w:hint="eastAsia" w:eastAsia="宋体"/>
        <w:lang w:eastAsia="zh-CN"/>
      </w:rPr>
    </w:pPr>
    <w:bookmarkStart w:id="203" w:name="OLE_LINK2"/>
    <w:r>
      <w:rPr>
        <w:rFonts w:hint="eastAsia" w:ascii="宋体" w:hAnsi="宋体" w:cs="宋体"/>
        <w:sz w:val="21"/>
        <w:szCs w:val="21"/>
        <w:u w:val="single"/>
      </w:rPr>
      <w:t>项目名称：</w:t>
    </w:r>
    <w:r>
      <w:rPr>
        <w:rFonts w:hint="eastAsia" w:ascii="宋体" w:hAnsi="宋体" w:cs="宋体"/>
        <w:sz w:val="21"/>
        <w:szCs w:val="21"/>
        <w:u w:val="single"/>
        <w:lang w:eastAsia="zh-CN"/>
      </w:rPr>
      <w:t>安康市中医医院物流系统维保服务采购项目（三次）</w:t>
    </w:r>
    <w:r>
      <w:rPr>
        <w:rFonts w:hint="eastAsia" w:ascii="宋体" w:hAnsi="宋体" w:cs="宋体"/>
        <w:sz w:val="21"/>
        <w:szCs w:val="21"/>
        <w:u w:val="single"/>
      </w:rPr>
      <w:t xml:space="preserve">  项目编号：</w:t>
    </w:r>
    <w:r>
      <w:rPr>
        <w:rFonts w:hint="eastAsia" w:ascii="宋体" w:hAnsi="宋体" w:cs="宋体"/>
        <w:sz w:val="21"/>
        <w:szCs w:val="21"/>
        <w:u w:val="single"/>
        <w:lang w:eastAsia="zh-CN"/>
      </w:rPr>
      <w:t>AKSH2025-ZCS-092-3</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bookmarkEnd w:id="20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E72C7A"/>
    <w:multiLevelType w:val="singleLevel"/>
    <w:tmpl w:val="29E72C7A"/>
    <w:lvl w:ilvl="0" w:tentative="0">
      <w:start w:val="4"/>
      <w:numFmt w:val="chineseCounting"/>
      <w:suff w:val="space"/>
      <w:lvlText w:val="第%1章"/>
      <w:lvlJc w:val="left"/>
      <w:rPr>
        <w:rFonts w:hint="eastAsia"/>
      </w:rPr>
    </w:lvl>
  </w:abstractNum>
  <w:abstractNum w:abstractNumId="3">
    <w:nsid w:val="4380BC3D"/>
    <w:multiLevelType w:val="singleLevel"/>
    <w:tmpl w:val="4380BC3D"/>
    <w:lvl w:ilvl="0" w:tentative="0">
      <w:start w:val="1"/>
      <w:numFmt w:val="chineseCounting"/>
      <w:suff w:val="space"/>
      <w:lvlText w:val="第%1条"/>
      <w:lvlJc w:val="left"/>
      <w:rPr>
        <w:rFonts w:hint="eastAsia"/>
      </w:rPr>
    </w:lvl>
  </w:abstractNum>
  <w:abstractNum w:abstractNumId="4">
    <w:nsid w:val="4474AEEA"/>
    <w:multiLevelType w:val="singleLevel"/>
    <w:tmpl w:val="4474AEEA"/>
    <w:lvl w:ilvl="0" w:tentative="0">
      <w:start w:val="1"/>
      <w:numFmt w:val="chineseCounting"/>
      <w:suff w:val="nothing"/>
      <w:lvlText w:val="（%1）"/>
      <w:lvlJc w:val="left"/>
      <w:rPr>
        <w:rFonts w:hint="eastAsia"/>
      </w:rPr>
    </w:lvl>
  </w:abstractNum>
  <w:abstractNum w:abstractNumId="5">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6">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7">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8">
    <w:nsid w:val="7F62D675"/>
    <w:multiLevelType w:val="singleLevel"/>
    <w:tmpl w:val="7F62D675"/>
    <w:lvl w:ilvl="0" w:tentative="0">
      <w:start w:val="1"/>
      <w:numFmt w:val="decimal"/>
      <w:lvlText w:val="%1."/>
      <w:lvlJc w:val="left"/>
      <w:pPr>
        <w:tabs>
          <w:tab w:val="left" w:pos="312"/>
        </w:tabs>
      </w:pPr>
    </w:lvl>
  </w:abstractNum>
  <w:num w:numId="1">
    <w:abstractNumId w:val="1"/>
  </w:num>
  <w:num w:numId="2">
    <w:abstractNumId w:val="5"/>
  </w:num>
  <w:num w:numId="3">
    <w:abstractNumId w:val="6"/>
  </w:num>
  <w:num w:numId="4">
    <w:abstractNumId w:val="7"/>
  </w:num>
  <w:num w:numId="5">
    <w:abstractNumId w:val="4"/>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dit="forms" w:enforcement="1" w:cryptProviderType="rsaFull" w:cryptAlgorithmClass="hash" w:cryptAlgorithmType="typeAny" w:cryptAlgorithmSid="4" w:cryptSpinCount="0" w:hash="es3jwAWWzps4KVPbCpMw4hbPogQ=" w:salt="sVCS2MLwQEtrQphzE+qHbw=="/>
  <w:defaultTabStop w:val="420"/>
  <w:doNotHyphenateCaps/>
  <w:drawingGridHorizontalSpacing w:val="210"/>
  <w:drawingGridVerticalSpacing w:val="164"/>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OGE3YTllNWRkNjgwY2M5ZDEwMmY0ODQzZDFhY2IifQ=="/>
  </w:docVars>
  <w:rsids>
    <w:rsidRoot w:val="00172A27"/>
    <w:rsid w:val="00003D89"/>
    <w:rsid w:val="00004BA7"/>
    <w:rsid w:val="00005B32"/>
    <w:rsid w:val="00010EA2"/>
    <w:rsid w:val="00015CE5"/>
    <w:rsid w:val="0001630B"/>
    <w:rsid w:val="00016924"/>
    <w:rsid w:val="000215F9"/>
    <w:rsid w:val="0002193F"/>
    <w:rsid w:val="000251B2"/>
    <w:rsid w:val="000354E9"/>
    <w:rsid w:val="00040CAE"/>
    <w:rsid w:val="0005257D"/>
    <w:rsid w:val="0005463B"/>
    <w:rsid w:val="00056A18"/>
    <w:rsid w:val="0006270F"/>
    <w:rsid w:val="0006767E"/>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22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45A5B"/>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035"/>
    <w:rsid w:val="00642F93"/>
    <w:rsid w:val="006657C9"/>
    <w:rsid w:val="006739A1"/>
    <w:rsid w:val="00675301"/>
    <w:rsid w:val="00676150"/>
    <w:rsid w:val="0068208A"/>
    <w:rsid w:val="006852A3"/>
    <w:rsid w:val="00686E29"/>
    <w:rsid w:val="00691EC3"/>
    <w:rsid w:val="00696FBA"/>
    <w:rsid w:val="006A2AC7"/>
    <w:rsid w:val="006A2D96"/>
    <w:rsid w:val="006A3734"/>
    <w:rsid w:val="006B38D0"/>
    <w:rsid w:val="006C4563"/>
    <w:rsid w:val="006D079F"/>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94C43"/>
    <w:rsid w:val="007A16A6"/>
    <w:rsid w:val="007A2512"/>
    <w:rsid w:val="007A36C0"/>
    <w:rsid w:val="007A69BE"/>
    <w:rsid w:val="007B2B77"/>
    <w:rsid w:val="007B6B64"/>
    <w:rsid w:val="007B6BCF"/>
    <w:rsid w:val="007B6D05"/>
    <w:rsid w:val="007C18C2"/>
    <w:rsid w:val="007C1CAA"/>
    <w:rsid w:val="007C7DEA"/>
    <w:rsid w:val="007D00DF"/>
    <w:rsid w:val="007E3909"/>
    <w:rsid w:val="007E552D"/>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2EB"/>
    <w:rsid w:val="00870EAE"/>
    <w:rsid w:val="008710F1"/>
    <w:rsid w:val="00876563"/>
    <w:rsid w:val="008839DC"/>
    <w:rsid w:val="00885D6D"/>
    <w:rsid w:val="008866C0"/>
    <w:rsid w:val="00887D1E"/>
    <w:rsid w:val="00891290"/>
    <w:rsid w:val="008962A7"/>
    <w:rsid w:val="00897D92"/>
    <w:rsid w:val="008A0975"/>
    <w:rsid w:val="008A367A"/>
    <w:rsid w:val="008B2891"/>
    <w:rsid w:val="008B3BC3"/>
    <w:rsid w:val="008B7CA5"/>
    <w:rsid w:val="008C08F3"/>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3AE7"/>
    <w:rsid w:val="00954CF1"/>
    <w:rsid w:val="00956521"/>
    <w:rsid w:val="00962505"/>
    <w:rsid w:val="00964B6E"/>
    <w:rsid w:val="0096516F"/>
    <w:rsid w:val="0096641E"/>
    <w:rsid w:val="00967538"/>
    <w:rsid w:val="0097045D"/>
    <w:rsid w:val="0097134B"/>
    <w:rsid w:val="009729CB"/>
    <w:rsid w:val="00983FAD"/>
    <w:rsid w:val="0098589A"/>
    <w:rsid w:val="009859B0"/>
    <w:rsid w:val="0099232E"/>
    <w:rsid w:val="009935A5"/>
    <w:rsid w:val="009A4A76"/>
    <w:rsid w:val="009A6B98"/>
    <w:rsid w:val="009A77A9"/>
    <w:rsid w:val="009B5F0C"/>
    <w:rsid w:val="009C0F48"/>
    <w:rsid w:val="009C28C6"/>
    <w:rsid w:val="009C52D9"/>
    <w:rsid w:val="009C65C7"/>
    <w:rsid w:val="009D4358"/>
    <w:rsid w:val="009D657F"/>
    <w:rsid w:val="009D6BDA"/>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AE9"/>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3826"/>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C1730"/>
    <w:rsid w:val="00EC4D0A"/>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6BF8"/>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3730A5"/>
    <w:rsid w:val="013A223F"/>
    <w:rsid w:val="0141481B"/>
    <w:rsid w:val="01525A0A"/>
    <w:rsid w:val="01630F53"/>
    <w:rsid w:val="016A454D"/>
    <w:rsid w:val="016D50E6"/>
    <w:rsid w:val="017D3840"/>
    <w:rsid w:val="018E640A"/>
    <w:rsid w:val="01920D21"/>
    <w:rsid w:val="01AC2FBF"/>
    <w:rsid w:val="01AD1AAE"/>
    <w:rsid w:val="01D86994"/>
    <w:rsid w:val="01DA363D"/>
    <w:rsid w:val="01EE19B6"/>
    <w:rsid w:val="01F90F7C"/>
    <w:rsid w:val="01FD1152"/>
    <w:rsid w:val="020600F6"/>
    <w:rsid w:val="02064B47"/>
    <w:rsid w:val="022D433C"/>
    <w:rsid w:val="023C7D0C"/>
    <w:rsid w:val="023F763D"/>
    <w:rsid w:val="02590F24"/>
    <w:rsid w:val="0284231A"/>
    <w:rsid w:val="02854F8C"/>
    <w:rsid w:val="028A67B7"/>
    <w:rsid w:val="02906142"/>
    <w:rsid w:val="02BA4D88"/>
    <w:rsid w:val="02BA6C1F"/>
    <w:rsid w:val="02C56FBB"/>
    <w:rsid w:val="02CB14A4"/>
    <w:rsid w:val="02D06F2C"/>
    <w:rsid w:val="02D3498C"/>
    <w:rsid w:val="02D37EB0"/>
    <w:rsid w:val="02D533B3"/>
    <w:rsid w:val="02E57ADC"/>
    <w:rsid w:val="02F61685"/>
    <w:rsid w:val="02FA17E2"/>
    <w:rsid w:val="02FD5BFC"/>
    <w:rsid w:val="02FE73C3"/>
    <w:rsid w:val="030A0C9E"/>
    <w:rsid w:val="03123218"/>
    <w:rsid w:val="03442ED4"/>
    <w:rsid w:val="034C725D"/>
    <w:rsid w:val="0358398D"/>
    <w:rsid w:val="03720CB3"/>
    <w:rsid w:val="037E5DCB"/>
    <w:rsid w:val="03963471"/>
    <w:rsid w:val="03990B73"/>
    <w:rsid w:val="03A27284"/>
    <w:rsid w:val="03C10C9F"/>
    <w:rsid w:val="03C14100"/>
    <w:rsid w:val="03C921C1"/>
    <w:rsid w:val="03CA29C7"/>
    <w:rsid w:val="03FD053E"/>
    <w:rsid w:val="040B7728"/>
    <w:rsid w:val="0411533A"/>
    <w:rsid w:val="042A0462"/>
    <w:rsid w:val="04536164"/>
    <w:rsid w:val="0459572E"/>
    <w:rsid w:val="04B17441"/>
    <w:rsid w:val="04CB26A7"/>
    <w:rsid w:val="04CD0688"/>
    <w:rsid w:val="04CD34EE"/>
    <w:rsid w:val="04D502BA"/>
    <w:rsid w:val="04DF4866"/>
    <w:rsid w:val="04F06D3D"/>
    <w:rsid w:val="04FF39AD"/>
    <w:rsid w:val="050047DB"/>
    <w:rsid w:val="050438CD"/>
    <w:rsid w:val="050E77DB"/>
    <w:rsid w:val="052B0940"/>
    <w:rsid w:val="053973B5"/>
    <w:rsid w:val="05402991"/>
    <w:rsid w:val="054E1CE0"/>
    <w:rsid w:val="056C728C"/>
    <w:rsid w:val="057A7F6E"/>
    <w:rsid w:val="05CA380B"/>
    <w:rsid w:val="05D137D6"/>
    <w:rsid w:val="05D71396"/>
    <w:rsid w:val="05E73C3B"/>
    <w:rsid w:val="05FA123D"/>
    <w:rsid w:val="05FB4E02"/>
    <w:rsid w:val="05FF224E"/>
    <w:rsid w:val="060454DB"/>
    <w:rsid w:val="06110D47"/>
    <w:rsid w:val="063F6A07"/>
    <w:rsid w:val="064055CE"/>
    <w:rsid w:val="065110EC"/>
    <w:rsid w:val="065A46B0"/>
    <w:rsid w:val="065B3B93"/>
    <w:rsid w:val="066D1D57"/>
    <w:rsid w:val="06AE0265"/>
    <w:rsid w:val="06B12629"/>
    <w:rsid w:val="06B238FA"/>
    <w:rsid w:val="06BD3616"/>
    <w:rsid w:val="06BE30D0"/>
    <w:rsid w:val="06C6330B"/>
    <w:rsid w:val="06CD112D"/>
    <w:rsid w:val="06D15B14"/>
    <w:rsid w:val="06DC7813"/>
    <w:rsid w:val="06E56C12"/>
    <w:rsid w:val="06E81FA4"/>
    <w:rsid w:val="070B3D9D"/>
    <w:rsid w:val="07224610"/>
    <w:rsid w:val="072B0A4F"/>
    <w:rsid w:val="073278A0"/>
    <w:rsid w:val="073E5E68"/>
    <w:rsid w:val="07433EF7"/>
    <w:rsid w:val="07610E7C"/>
    <w:rsid w:val="07621A18"/>
    <w:rsid w:val="076808B4"/>
    <w:rsid w:val="077166EC"/>
    <w:rsid w:val="077965D0"/>
    <w:rsid w:val="07836EDF"/>
    <w:rsid w:val="07892C9E"/>
    <w:rsid w:val="07997C89"/>
    <w:rsid w:val="07A9711F"/>
    <w:rsid w:val="07B241D3"/>
    <w:rsid w:val="07B436A2"/>
    <w:rsid w:val="07DF3D76"/>
    <w:rsid w:val="07E562BD"/>
    <w:rsid w:val="07FC0B21"/>
    <w:rsid w:val="07FC0D88"/>
    <w:rsid w:val="08145F16"/>
    <w:rsid w:val="08366DA4"/>
    <w:rsid w:val="08404F36"/>
    <w:rsid w:val="08452820"/>
    <w:rsid w:val="087D1536"/>
    <w:rsid w:val="089E6E52"/>
    <w:rsid w:val="08B16FB6"/>
    <w:rsid w:val="08CE2541"/>
    <w:rsid w:val="08DA2D14"/>
    <w:rsid w:val="08E53CD3"/>
    <w:rsid w:val="08E74CA6"/>
    <w:rsid w:val="08E95814"/>
    <w:rsid w:val="090360D7"/>
    <w:rsid w:val="090A42F6"/>
    <w:rsid w:val="092266DC"/>
    <w:rsid w:val="09271A18"/>
    <w:rsid w:val="09442803"/>
    <w:rsid w:val="0949327F"/>
    <w:rsid w:val="094D1E21"/>
    <w:rsid w:val="09560FD7"/>
    <w:rsid w:val="095D32ED"/>
    <w:rsid w:val="097A7578"/>
    <w:rsid w:val="097D251D"/>
    <w:rsid w:val="09810619"/>
    <w:rsid w:val="099106B6"/>
    <w:rsid w:val="09913C41"/>
    <w:rsid w:val="09A52E1C"/>
    <w:rsid w:val="09A9060C"/>
    <w:rsid w:val="09C30A93"/>
    <w:rsid w:val="09CF513B"/>
    <w:rsid w:val="09D65B51"/>
    <w:rsid w:val="09E25AD9"/>
    <w:rsid w:val="09E779CE"/>
    <w:rsid w:val="09EA213D"/>
    <w:rsid w:val="0A010578"/>
    <w:rsid w:val="0A0976BB"/>
    <w:rsid w:val="0A1E12A6"/>
    <w:rsid w:val="0A2D0142"/>
    <w:rsid w:val="0A3E3F88"/>
    <w:rsid w:val="0A672A35"/>
    <w:rsid w:val="0A706A46"/>
    <w:rsid w:val="0A891706"/>
    <w:rsid w:val="0A982836"/>
    <w:rsid w:val="0A9C61F8"/>
    <w:rsid w:val="0ABA57A8"/>
    <w:rsid w:val="0AC32834"/>
    <w:rsid w:val="0ACD72AE"/>
    <w:rsid w:val="0AEE50E0"/>
    <w:rsid w:val="0AFC5610"/>
    <w:rsid w:val="0B14133A"/>
    <w:rsid w:val="0B2F31E8"/>
    <w:rsid w:val="0B565626"/>
    <w:rsid w:val="0B5D1A85"/>
    <w:rsid w:val="0B5D1E36"/>
    <w:rsid w:val="0B651A2B"/>
    <w:rsid w:val="0BB5243F"/>
    <w:rsid w:val="0BCF1A6D"/>
    <w:rsid w:val="0BED26A5"/>
    <w:rsid w:val="0BEE4F68"/>
    <w:rsid w:val="0BEF7DA3"/>
    <w:rsid w:val="0BF91A7F"/>
    <w:rsid w:val="0BFB3BB6"/>
    <w:rsid w:val="0C0A394D"/>
    <w:rsid w:val="0C200572"/>
    <w:rsid w:val="0C3D5924"/>
    <w:rsid w:val="0C4A5A7C"/>
    <w:rsid w:val="0C5F0865"/>
    <w:rsid w:val="0C605AD8"/>
    <w:rsid w:val="0C7B690B"/>
    <w:rsid w:val="0C807692"/>
    <w:rsid w:val="0C9B2B46"/>
    <w:rsid w:val="0CA81750"/>
    <w:rsid w:val="0CB5191B"/>
    <w:rsid w:val="0CB6728F"/>
    <w:rsid w:val="0CBF5FD8"/>
    <w:rsid w:val="0CE360B2"/>
    <w:rsid w:val="0CFD25BD"/>
    <w:rsid w:val="0D1F6213"/>
    <w:rsid w:val="0D452987"/>
    <w:rsid w:val="0D62596E"/>
    <w:rsid w:val="0D6C19EE"/>
    <w:rsid w:val="0D7B32BC"/>
    <w:rsid w:val="0D933F5C"/>
    <w:rsid w:val="0DA46170"/>
    <w:rsid w:val="0DA800E4"/>
    <w:rsid w:val="0DB25485"/>
    <w:rsid w:val="0DC7526D"/>
    <w:rsid w:val="0DCB40A1"/>
    <w:rsid w:val="0DE7465B"/>
    <w:rsid w:val="0E005C7A"/>
    <w:rsid w:val="0E0C42FA"/>
    <w:rsid w:val="0E381521"/>
    <w:rsid w:val="0E4D3106"/>
    <w:rsid w:val="0E7F7FCB"/>
    <w:rsid w:val="0E9C75AF"/>
    <w:rsid w:val="0EA91CC7"/>
    <w:rsid w:val="0EC875FE"/>
    <w:rsid w:val="0EDC5D28"/>
    <w:rsid w:val="0EE235F9"/>
    <w:rsid w:val="0EE36E7C"/>
    <w:rsid w:val="0EFD2AF6"/>
    <w:rsid w:val="0F03025E"/>
    <w:rsid w:val="0F1A17DC"/>
    <w:rsid w:val="0F1C13DE"/>
    <w:rsid w:val="0F323BCC"/>
    <w:rsid w:val="0F537409"/>
    <w:rsid w:val="0F79260C"/>
    <w:rsid w:val="0F987E27"/>
    <w:rsid w:val="0FA66BBA"/>
    <w:rsid w:val="0FA95318"/>
    <w:rsid w:val="0FAE784A"/>
    <w:rsid w:val="0FBB76E3"/>
    <w:rsid w:val="0FBE7AE4"/>
    <w:rsid w:val="0FC66DA3"/>
    <w:rsid w:val="0FC72972"/>
    <w:rsid w:val="0FE77623"/>
    <w:rsid w:val="100D394F"/>
    <w:rsid w:val="100E0796"/>
    <w:rsid w:val="10122E9C"/>
    <w:rsid w:val="10123CEB"/>
    <w:rsid w:val="10204FBD"/>
    <w:rsid w:val="10372E26"/>
    <w:rsid w:val="103966FB"/>
    <w:rsid w:val="103A4EAF"/>
    <w:rsid w:val="10460CC2"/>
    <w:rsid w:val="104F3B50"/>
    <w:rsid w:val="106C132D"/>
    <w:rsid w:val="108D683E"/>
    <w:rsid w:val="108E6DDE"/>
    <w:rsid w:val="109B61CD"/>
    <w:rsid w:val="10A6243E"/>
    <w:rsid w:val="10AB38B0"/>
    <w:rsid w:val="10D80231"/>
    <w:rsid w:val="10DD209D"/>
    <w:rsid w:val="10FF1E8F"/>
    <w:rsid w:val="110D2C89"/>
    <w:rsid w:val="112C7AF5"/>
    <w:rsid w:val="1180102E"/>
    <w:rsid w:val="119963B1"/>
    <w:rsid w:val="11B361D3"/>
    <w:rsid w:val="11BB4D58"/>
    <w:rsid w:val="11BB6630"/>
    <w:rsid w:val="11BF4CAB"/>
    <w:rsid w:val="11C7593B"/>
    <w:rsid w:val="11EF6F34"/>
    <w:rsid w:val="12134735"/>
    <w:rsid w:val="1217313B"/>
    <w:rsid w:val="122E2D61"/>
    <w:rsid w:val="12340E2D"/>
    <w:rsid w:val="12793BBE"/>
    <w:rsid w:val="127A31E0"/>
    <w:rsid w:val="127F1866"/>
    <w:rsid w:val="12802B6B"/>
    <w:rsid w:val="128C33F4"/>
    <w:rsid w:val="12A957E0"/>
    <w:rsid w:val="12B24C82"/>
    <w:rsid w:val="131C06AC"/>
    <w:rsid w:val="133A4EB7"/>
    <w:rsid w:val="13441D7E"/>
    <w:rsid w:val="1345554B"/>
    <w:rsid w:val="13487675"/>
    <w:rsid w:val="135618C9"/>
    <w:rsid w:val="13645F7C"/>
    <w:rsid w:val="136B6621"/>
    <w:rsid w:val="137447B2"/>
    <w:rsid w:val="13830E2C"/>
    <w:rsid w:val="138D11BC"/>
    <w:rsid w:val="138E1A23"/>
    <w:rsid w:val="13992EB6"/>
    <w:rsid w:val="139D2FCC"/>
    <w:rsid w:val="13AF1F58"/>
    <w:rsid w:val="13C61B7D"/>
    <w:rsid w:val="13D84C83"/>
    <w:rsid w:val="13DD49EF"/>
    <w:rsid w:val="13EA285B"/>
    <w:rsid w:val="14074063"/>
    <w:rsid w:val="140D7D73"/>
    <w:rsid w:val="14116779"/>
    <w:rsid w:val="142468C7"/>
    <w:rsid w:val="143321B1"/>
    <w:rsid w:val="143B2E41"/>
    <w:rsid w:val="143C08C2"/>
    <w:rsid w:val="143C5260"/>
    <w:rsid w:val="147F6DAD"/>
    <w:rsid w:val="149C20CC"/>
    <w:rsid w:val="14A12650"/>
    <w:rsid w:val="14AA5673"/>
    <w:rsid w:val="14AF4B49"/>
    <w:rsid w:val="14B41673"/>
    <w:rsid w:val="14C64FA3"/>
    <w:rsid w:val="14CD1555"/>
    <w:rsid w:val="14E868B9"/>
    <w:rsid w:val="14F13F0D"/>
    <w:rsid w:val="14F75772"/>
    <w:rsid w:val="14F838A9"/>
    <w:rsid w:val="14FF6402"/>
    <w:rsid w:val="150C5718"/>
    <w:rsid w:val="15273101"/>
    <w:rsid w:val="153E2DB6"/>
    <w:rsid w:val="15420170"/>
    <w:rsid w:val="15550B09"/>
    <w:rsid w:val="155550C1"/>
    <w:rsid w:val="15576ACE"/>
    <w:rsid w:val="155B3298"/>
    <w:rsid w:val="15655DA6"/>
    <w:rsid w:val="1568217F"/>
    <w:rsid w:val="157306F8"/>
    <w:rsid w:val="15761223"/>
    <w:rsid w:val="15784E47"/>
    <w:rsid w:val="158C14E9"/>
    <w:rsid w:val="158D6F6A"/>
    <w:rsid w:val="159517A5"/>
    <w:rsid w:val="159A07FF"/>
    <w:rsid w:val="15A74B21"/>
    <w:rsid w:val="15D27F83"/>
    <w:rsid w:val="15DC4AEB"/>
    <w:rsid w:val="15E23CA8"/>
    <w:rsid w:val="15EE0289"/>
    <w:rsid w:val="15FA6095"/>
    <w:rsid w:val="161271C4"/>
    <w:rsid w:val="161A5018"/>
    <w:rsid w:val="164F7029"/>
    <w:rsid w:val="166127C6"/>
    <w:rsid w:val="166B3507"/>
    <w:rsid w:val="166C32BB"/>
    <w:rsid w:val="16A37A9D"/>
    <w:rsid w:val="16AF0347"/>
    <w:rsid w:val="16C2284B"/>
    <w:rsid w:val="16CB423B"/>
    <w:rsid w:val="16FC471D"/>
    <w:rsid w:val="17062F69"/>
    <w:rsid w:val="170767D7"/>
    <w:rsid w:val="17381F07"/>
    <w:rsid w:val="17423544"/>
    <w:rsid w:val="17450DD5"/>
    <w:rsid w:val="1750480D"/>
    <w:rsid w:val="17575561"/>
    <w:rsid w:val="17656B71"/>
    <w:rsid w:val="1779199A"/>
    <w:rsid w:val="177D6416"/>
    <w:rsid w:val="17907B2D"/>
    <w:rsid w:val="179944DC"/>
    <w:rsid w:val="17A06173"/>
    <w:rsid w:val="17B56054"/>
    <w:rsid w:val="17C22E6D"/>
    <w:rsid w:val="17C4240D"/>
    <w:rsid w:val="17C5460C"/>
    <w:rsid w:val="17D662EB"/>
    <w:rsid w:val="17D908F6"/>
    <w:rsid w:val="17DA4A5F"/>
    <w:rsid w:val="17DF536C"/>
    <w:rsid w:val="17EA0C48"/>
    <w:rsid w:val="17F760DF"/>
    <w:rsid w:val="18120EEB"/>
    <w:rsid w:val="181254FA"/>
    <w:rsid w:val="18186614"/>
    <w:rsid w:val="18194096"/>
    <w:rsid w:val="182B6938"/>
    <w:rsid w:val="183C0DD2"/>
    <w:rsid w:val="183D0E38"/>
    <w:rsid w:val="18403F55"/>
    <w:rsid w:val="1841587E"/>
    <w:rsid w:val="18496DE3"/>
    <w:rsid w:val="18630E03"/>
    <w:rsid w:val="186F3E63"/>
    <w:rsid w:val="187857E7"/>
    <w:rsid w:val="187A2E35"/>
    <w:rsid w:val="187B19AA"/>
    <w:rsid w:val="18811F09"/>
    <w:rsid w:val="188321C6"/>
    <w:rsid w:val="18921717"/>
    <w:rsid w:val="1892798E"/>
    <w:rsid w:val="18A25EE0"/>
    <w:rsid w:val="18A474FD"/>
    <w:rsid w:val="18BE00A7"/>
    <w:rsid w:val="18FD1C93"/>
    <w:rsid w:val="190D3CF6"/>
    <w:rsid w:val="190E1B7D"/>
    <w:rsid w:val="191477B1"/>
    <w:rsid w:val="192F739D"/>
    <w:rsid w:val="193A1B55"/>
    <w:rsid w:val="1999328D"/>
    <w:rsid w:val="19C169D0"/>
    <w:rsid w:val="19D10924"/>
    <w:rsid w:val="19DC5DE9"/>
    <w:rsid w:val="19E42EEC"/>
    <w:rsid w:val="19ED4F8F"/>
    <w:rsid w:val="19FC4F49"/>
    <w:rsid w:val="1A004525"/>
    <w:rsid w:val="1A1E247D"/>
    <w:rsid w:val="1A206E13"/>
    <w:rsid w:val="1A324F2D"/>
    <w:rsid w:val="1A3520BA"/>
    <w:rsid w:val="1A462475"/>
    <w:rsid w:val="1A574945"/>
    <w:rsid w:val="1A5A58C9"/>
    <w:rsid w:val="1A754C02"/>
    <w:rsid w:val="1AA30DFE"/>
    <w:rsid w:val="1AC06A39"/>
    <w:rsid w:val="1ACC4F36"/>
    <w:rsid w:val="1AF11218"/>
    <w:rsid w:val="1AF44A0B"/>
    <w:rsid w:val="1AF844CE"/>
    <w:rsid w:val="1AFC0863"/>
    <w:rsid w:val="1AFD0956"/>
    <w:rsid w:val="1B115D3C"/>
    <w:rsid w:val="1B1E0896"/>
    <w:rsid w:val="1B24030F"/>
    <w:rsid w:val="1B483F91"/>
    <w:rsid w:val="1B520060"/>
    <w:rsid w:val="1B5E3E72"/>
    <w:rsid w:val="1B614048"/>
    <w:rsid w:val="1B740D26"/>
    <w:rsid w:val="1B807337"/>
    <w:rsid w:val="1B943AD9"/>
    <w:rsid w:val="1BA36B65"/>
    <w:rsid w:val="1BA47C58"/>
    <w:rsid w:val="1BA76820"/>
    <w:rsid w:val="1BB80F43"/>
    <w:rsid w:val="1BC170B5"/>
    <w:rsid w:val="1BC5039F"/>
    <w:rsid w:val="1BC63CDD"/>
    <w:rsid w:val="1BC85289"/>
    <w:rsid w:val="1BDC02C0"/>
    <w:rsid w:val="1BEB4B83"/>
    <w:rsid w:val="1BF0529D"/>
    <w:rsid w:val="1C282642"/>
    <w:rsid w:val="1C380FA2"/>
    <w:rsid w:val="1C446BE5"/>
    <w:rsid w:val="1C6C70DC"/>
    <w:rsid w:val="1C6D0873"/>
    <w:rsid w:val="1C705992"/>
    <w:rsid w:val="1C915866"/>
    <w:rsid w:val="1C92426F"/>
    <w:rsid w:val="1CA26A88"/>
    <w:rsid w:val="1D07422E"/>
    <w:rsid w:val="1D385997"/>
    <w:rsid w:val="1D3C25C0"/>
    <w:rsid w:val="1D4A3A1E"/>
    <w:rsid w:val="1D584F32"/>
    <w:rsid w:val="1D5E31C4"/>
    <w:rsid w:val="1D604FC2"/>
    <w:rsid w:val="1D673AB8"/>
    <w:rsid w:val="1D6B0D1C"/>
    <w:rsid w:val="1D7025D9"/>
    <w:rsid w:val="1D724537"/>
    <w:rsid w:val="1D7942D2"/>
    <w:rsid w:val="1D804DF1"/>
    <w:rsid w:val="1D812873"/>
    <w:rsid w:val="1D8D5C15"/>
    <w:rsid w:val="1D946A32"/>
    <w:rsid w:val="1DA31A6F"/>
    <w:rsid w:val="1DB22E46"/>
    <w:rsid w:val="1DB51F23"/>
    <w:rsid w:val="1DC65199"/>
    <w:rsid w:val="1DE40399"/>
    <w:rsid w:val="1DE55082"/>
    <w:rsid w:val="1DEB7A42"/>
    <w:rsid w:val="1DF11C2D"/>
    <w:rsid w:val="1DF97E9A"/>
    <w:rsid w:val="1E1259E5"/>
    <w:rsid w:val="1E322697"/>
    <w:rsid w:val="1E3A7AA3"/>
    <w:rsid w:val="1E421B94"/>
    <w:rsid w:val="1E422931"/>
    <w:rsid w:val="1E5A1C2F"/>
    <w:rsid w:val="1E5E18A6"/>
    <w:rsid w:val="1E605592"/>
    <w:rsid w:val="1E7B3D90"/>
    <w:rsid w:val="1E832DAB"/>
    <w:rsid w:val="1E865B1A"/>
    <w:rsid w:val="1E9858BE"/>
    <w:rsid w:val="1EA0654E"/>
    <w:rsid w:val="1EA374D2"/>
    <w:rsid w:val="1EA44F54"/>
    <w:rsid w:val="1EBA70F8"/>
    <w:rsid w:val="1EC2624D"/>
    <w:rsid w:val="1EC331FD"/>
    <w:rsid w:val="1F1F3A24"/>
    <w:rsid w:val="1F206854"/>
    <w:rsid w:val="1F244EC9"/>
    <w:rsid w:val="1F2D6E0F"/>
    <w:rsid w:val="1F3A2C21"/>
    <w:rsid w:val="1F3D3E4E"/>
    <w:rsid w:val="1F5A3842"/>
    <w:rsid w:val="1F6659C8"/>
    <w:rsid w:val="1F690A75"/>
    <w:rsid w:val="1F7977EE"/>
    <w:rsid w:val="1F895E51"/>
    <w:rsid w:val="1F9F1011"/>
    <w:rsid w:val="1FA060F1"/>
    <w:rsid w:val="1FA073B6"/>
    <w:rsid w:val="1FA712FF"/>
    <w:rsid w:val="1FB12B7F"/>
    <w:rsid w:val="20025D99"/>
    <w:rsid w:val="200A2C27"/>
    <w:rsid w:val="202645B9"/>
    <w:rsid w:val="203159E0"/>
    <w:rsid w:val="203A68C1"/>
    <w:rsid w:val="2054435F"/>
    <w:rsid w:val="206225DB"/>
    <w:rsid w:val="20670906"/>
    <w:rsid w:val="206E56D0"/>
    <w:rsid w:val="206E7A43"/>
    <w:rsid w:val="20731CCC"/>
    <w:rsid w:val="207C25DC"/>
    <w:rsid w:val="208E24F6"/>
    <w:rsid w:val="20A11517"/>
    <w:rsid w:val="20C06E4B"/>
    <w:rsid w:val="20C3636D"/>
    <w:rsid w:val="20D25569"/>
    <w:rsid w:val="20E03EA8"/>
    <w:rsid w:val="20EA2C10"/>
    <w:rsid w:val="20ED38FC"/>
    <w:rsid w:val="20FF7332"/>
    <w:rsid w:val="21053439"/>
    <w:rsid w:val="21186BD7"/>
    <w:rsid w:val="211D78B0"/>
    <w:rsid w:val="212154AC"/>
    <w:rsid w:val="212C10FB"/>
    <w:rsid w:val="212E72D0"/>
    <w:rsid w:val="21380A2B"/>
    <w:rsid w:val="213E32F0"/>
    <w:rsid w:val="2149131F"/>
    <w:rsid w:val="2149340F"/>
    <w:rsid w:val="214E43E5"/>
    <w:rsid w:val="21561F3F"/>
    <w:rsid w:val="21600B88"/>
    <w:rsid w:val="21AD61D1"/>
    <w:rsid w:val="21B53414"/>
    <w:rsid w:val="21E5038E"/>
    <w:rsid w:val="21E8206B"/>
    <w:rsid w:val="21EA14F4"/>
    <w:rsid w:val="221C0A03"/>
    <w:rsid w:val="222B101D"/>
    <w:rsid w:val="223E6CF8"/>
    <w:rsid w:val="2243364A"/>
    <w:rsid w:val="224C3884"/>
    <w:rsid w:val="224E045E"/>
    <w:rsid w:val="226823A3"/>
    <w:rsid w:val="227C1E95"/>
    <w:rsid w:val="22873935"/>
    <w:rsid w:val="229226B8"/>
    <w:rsid w:val="22A73267"/>
    <w:rsid w:val="22AF5BBC"/>
    <w:rsid w:val="22C677C0"/>
    <w:rsid w:val="22CD1033"/>
    <w:rsid w:val="22DD3C85"/>
    <w:rsid w:val="22E25187"/>
    <w:rsid w:val="232102B1"/>
    <w:rsid w:val="236E03B0"/>
    <w:rsid w:val="23740A0F"/>
    <w:rsid w:val="23773046"/>
    <w:rsid w:val="23827050"/>
    <w:rsid w:val="238A31D0"/>
    <w:rsid w:val="23921869"/>
    <w:rsid w:val="239E3959"/>
    <w:rsid w:val="23A012D9"/>
    <w:rsid w:val="23A25387"/>
    <w:rsid w:val="23B1689B"/>
    <w:rsid w:val="23B42767"/>
    <w:rsid w:val="23B452A1"/>
    <w:rsid w:val="23CC074A"/>
    <w:rsid w:val="23E303FA"/>
    <w:rsid w:val="23EA577B"/>
    <w:rsid w:val="23EB5574"/>
    <w:rsid w:val="23F911BA"/>
    <w:rsid w:val="23FE56CB"/>
    <w:rsid w:val="240B1533"/>
    <w:rsid w:val="24283062"/>
    <w:rsid w:val="242B39CD"/>
    <w:rsid w:val="242C61E4"/>
    <w:rsid w:val="242D3C66"/>
    <w:rsid w:val="242D516F"/>
    <w:rsid w:val="243335F1"/>
    <w:rsid w:val="245247ED"/>
    <w:rsid w:val="24575A93"/>
    <w:rsid w:val="248B67FD"/>
    <w:rsid w:val="248F6CA6"/>
    <w:rsid w:val="24BF3406"/>
    <w:rsid w:val="24D97602"/>
    <w:rsid w:val="2508212D"/>
    <w:rsid w:val="251D6DF2"/>
    <w:rsid w:val="252B038C"/>
    <w:rsid w:val="252E1698"/>
    <w:rsid w:val="25533A48"/>
    <w:rsid w:val="25543DDA"/>
    <w:rsid w:val="255F7AD2"/>
    <w:rsid w:val="2562439C"/>
    <w:rsid w:val="256D4FBD"/>
    <w:rsid w:val="25710A7A"/>
    <w:rsid w:val="257E016B"/>
    <w:rsid w:val="258B7426"/>
    <w:rsid w:val="259B76C0"/>
    <w:rsid w:val="25AA58E4"/>
    <w:rsid w:val="25B52A47"/>
    <w:rsid w:val="25C10491"/>
    <w:rsid w:val="25C46D47"/>
    <w:rsid w:val="25E074E7"/>
    <w:rsid w:val="25E258B6"/>
    <w:rsid w:val="25EE4017"/>
    <w:rsid w:val="25F63B93"/>
    <w:rsid w:val="25F97290"/>
    <w:rsid w:val="2601616B"/>
    <w:rsid w:val="260512EE"/>
    <w:rsid w:val="26223B26"/>
    <w:rsid w:val="26241D26"/>
    <w:rsid w:val="2627224F"/>
    <w:rsid w:val="262B372C"/>
    <w:rsid w:val="263E274C"/>
    <w:rsid w:val="265B0A5D"/>
    <w:rsid w:val="266360FF"/>
    <w:rsid w:val="266A6A94"/>
    <w:rsid w:val="266C4868"/>
    <w:rsid w:val="26862B41"/>
    <w:rsid w:val="26960BDD"/>
    <w:rsid w:val="269C0568"/>
    <w:rsid w:val="269D762C"/>
    <w:rsid w:val="26A10A3D"/>
    <w:rsid w:val="26AA7CF2"/>
    <w:rsid w:val="26C976F8"/>
    <w:rsid w:val="26E563DD"/>
    <w:rsid w:val="26EF72E5"/>
    <w:rsid w:val="26FC4A2E"/>
    <w:rsid w:val="270B0E4A"/>
    <w:rsid w:val="27114CA3"/>
    <w:rsid w:val="27180E6A"/>
    <w:rsid w:val="271E393C"/>
    <w:rsid w:val="271E669F"/>
    <w:rsid w:val="27333A9E"/>
    <w:rsid w:val="273D5A6D"/>
    <w:rsid w:val="274023D4"/>
    <w:rsid w:val="274253D5"/>
    <w:rsid w:val="274C4E88"/>
    <w:rsid w:val="274E038B"/>
    <w:rsid w:val="2750388E"/>
    <w:rsid w:val="275D2BA4"/>
    <w:rsid w:val="27663E92"/>
    <w:rsid w:val="276D74EC"/>
    <w:rsid w:val="276F6A21"/>
    <w:rsid w:val="277B2154"/>
    <w:rsid w:val="2788146A"/>
    <w:rsid w:val="278A534F"/>
    <w:rsid w:val="27C128C8"/>
    <w:rsid w:val="27D163B4"/>
    <w:rsid w:val="27F4659B"/>
    <w:rsid w:val="28002089"/>
    <w:rsid w:val="280542B6"/>
    <w:rsid w:val="280D4F46"/>
    <w:rsid w:val="281C1B43"/>
    <w:rsid w:val="281C4CDA"/>
    <w:rsid w:val="281D775F"/>
    <w:rsid w:val="282B36F9"/>
    <w:rsid w:val="28375A3F"/>
    <w:rsid w:val="28520495"/>
    <w:rsid w:val="28713562"/>
    <w:rsid w:val="287813D0"/>
    <w:rsid w:val="287A7AF8"/>
    <w:rsid w:val="28901C9C"/>
    <w:rsid w:val="2893739E"/>
    <w:rsid w:val="28A46793"/>
    <w:rsid w:val="28A813E1"/>
    <w:rsid w:val="28B92E20"/>
    <w:rsid w:val="28B93CEB"/>
    <w:rsid w:val="28E02A8F"/>
    <w:rsid w:val="28E1683E"/>
    <w:rsid w:val="28F97D4B"/>
    <w:rsid w:val="29125D60"/>
    <w:rsid w:val="292B1C11"/>
    <w:rsid w:val="29311825"/>
    <w:rsid w:val="293E7836"/>
    <w:rsid w:val="29437541"/>
    <w:rsid w:val="29454C43"/>
    <w:rsid w:val="2960365F"/>
    <w:rsid w:val="29614573"/>
    <w:rsid w:val="29BA3FA4"/>
    <w:rsid w:val="29C73F17"/>
    <w:rsid w:val="29D10A88"/>
    <w:rsid w:val="29DA2F38"/>
    <w:rsid w:val="2A01667B"/>
    <w:rsid w:val="2A020879"/>
    <w:rsid w:val="2A1A46E9"/>
    <w:rsid w:val="2A2A2452"/>
    <w:rsid w:val="2A3717F0"/>
    <w:rsid w:val="2A3A4256"/>
    <w:rsid w:val="2A441BE1"/>
    <w:rsid w:val="2A4836B1"/>
    <w:rsid w:val="2A4A0382"/>
    <w:rsid w:val="2A5E4337"/>
    <w:rsid w:val="2A7541F8"/>
    <w:rsid w:val="2A851BD9"/>
    <w:rsid w:val="2A863893"/>
    <w:rsid w:val="2A9248E5"/>
    <w:rsid w:val="2A932720"/>
    <w:rsid w:val="2A946DF4"/>
    <w:rsid w:val="2A9A1CF1"/>
    <w:rsid w:val="2A9D2C76"/>
    <w:rsid w:val="2AA02867"/>
    <w:rsid w:val="2AB357E7"/>
    <w:rsid w:val="2AC9578D"/>
    <w:rsid w:val="2ACA60C4"/>
    <w:rsid w:val="2ACC5C5A"/>
    <w:rsid w:val="2ADE4D64"/>
    <w:rsid w:val="2AF04F6E"/>
    <w:rsid w:val="2B000827"/>
    <w:rsid w:val="2B0E422E"/>
    <w:rsid w:val="2B420288"/>
    <w:rsid w:val="2B421328"/>
    <w:rsid w:val="2B4D2E1A"/>
    <w:rsid w:val="2B563729"/>
    <w:rsid w:val="2B5E1033"/>
    <w:rsid w:val="2B641D7F"/>
    <w:rsid w:val="2B6D3C7A"/>
    <w:rsid w:val="2B7462A4"/>
    <w:rsid w:val="2B786D85"/>
    <w:rsid w:val="2B827A70"/>
    <w:rsid w:val="2B955445"/>
    <w:rsid w:val="2BA95732"/>
    <w:rsid w:val="2BAF763B"/>
    <w:rsid w:val="2BB23B01"/>
    <w:rsid w:val="2BB32D41"/>
    <w:rsid w:val="2BC069D0"/>
    <w:rsid w:val="2BC26022"/>
    <w:rsid w:val="2BC367B8"/>
    <w:rsid w:val="2BE30D8F"/>
    <w:rsid w:val="2BE46810"/>
    <w:rsid w:val="2BE960EF"/>
    <w:rsid w:val="2C071A15"/>
    <w:rsid w:val="2C0B44D1"/>
    <w:rsid w:val="2C0B64AA"/>
    <w:rsid w:val="2C2D3420"/>
    <w:rsid w:val="2C372A17"/>
    <w:rsid w:val="2C486535"/>
    <w:rsid w:val="2C55584A"/>
    <w:rsid w:val="2C7B4E8C"/>
    <w:rsid w:val="2C842D34"/>
    <w:rsid w:val="2C9446A0"/>
    <w:rsid w:val="2CA04D25"/>
    <w:rsid w:val="2CCF1C91"/>
    <w:rsid w:val="2CD6709D"/>
    <w:rsid w:val="2CE73722"/>
    <w:rsid w:val="2CED77C1"/>
    <w:rsid w:val="2CF617E0"/>
    <w:rsid w:val="2CFD14DB"/>
    <w:rsid w:val="2D16631A"/>
    <w:rsid w:val="2D4C5A5E"/>
    <w:rsid w:val="2D5A4743"/>
    <w:rsid w:val="2D6C2100"/>
    <w:rsid w:val="2D762BBA"/>
    <w:rsid w:val="2D7D7F0E"/>
    <w:rsid w:val="2D9263A7"/>
    <w:rsid w:val="2D944CD1"/>
    <w:rsid w:val="2DBB723B"/>
    <w:rsid w:val="2DC37DF1"/>
    <w:rsid w:val="2DCE0619"/>
    <w:rsid w:val="2DD35AE8"/>
    <w:rsid w:val="2DE463B0"/>
    <w:rsid w:val="2DE64BF5"/>
    <w:rsid w:val="2DE84AF7"/>
    <w:rsid w:val="2DED4EA0"/>
    <w:rsid w:val="2E0D173F"/>
    <w:rsid w:val="2E273547"/>
    <w:rsid w:val="2E307DB7"/>
    <w:rsid w:val="2E3E5270"/>
    <w:rsid w:val="2E601123"/>
    <w:rsid w:val="2E6011D7"/>
    <w:rsid w:val="2E627EA9"/>
    <w:rsid w:val="2E695B55"/>
    <w:rsid w:val="2E705062"/>
    <w:rsid w:val="2E961606"/>
    <w:rsid w:val="2EA22E91"/>
    <w:rsid w:val="2EC54F0E"/>
    <w:rsid w:val="2EEC173E"/>
    <w:rsid w:val="2EFE7D6E"/>
    <w:rsid w:val="2F1507D9"/>
    <w:rsid w:val="2F2D14C0"/>
    <w:rsid w:val="2F486EA2"/>
    <w:rsid w:val="2F747966"/>
    <w:rsid w:val="2F984ABB"/>
    <w:rsid w:val="2FB67708"/>
    <w:rsid w:val="2FBE480E"/>
    <w:rsid w:val="2FC254E7"/>
    <w:rsid w:val="30534DD6"/>
    <w:rsid w:val="30561692"/>
    <w:rsid w:val="30600479"/>
    <w:rsid w:val="306927FC"/>
    <w:rsid w:val="30702187"/>
    <w:rsid w:val="309E4373"/>
    <w:rsid w:val="30AA13BF"/>
    <w:rsid w:val="30C90633"/>
    <w:rsid w:val="30CA159C"/>
    <w:rsid w:val="30DF6CA0"/>
    <w:rsid w:val="30E61DC6"/>
    <w:rsid w:val="30ED32FC"/>
    <w:rsid w:val="30F139DA"/>
    <w:rsid w:val="310061F3"/>
    <w:rsid w:val="31143B11"/>
    <w:rsid w:val="31195802"/>
    <w:rsid w:val="311A5A74"/>
    <w:rsid w:val="312C253A"/>
    <w:rsid w:val="313533BC"/>
    <w:rsid w:val="313E4759"/>
    <w:rsid w:val="314B1C9B"/>
    <w:rsid w:val="31612184"/>
    <w:rsid w:val="317B5B3D"/>
    <w:rsid w:val="317D0C73"/>
    <w:rsid w:val="31926D16"/>
    <w:rsid w:val="3194218A"/>
    <w:rsid w:val="31A50EFF"/>
    <w:rsid w:val="31B444D7"/>
    <w:rsid w:val="31BB6926"/>
    <w:rsid w:val="31C33D33"/>
    <w:rsid w:val="31C342A2"/>
    <w:rsid w:val="31C97E3A"/>
    <w:rsid w:val="31E0281A"/>
    <w:rsid w:val="31F83438"/>
    <w:rsid w:val="31FC5556"/>
    <w:rsid w:val="32021299"/>
    <w:rsid w:val="32170FF5"/>
    <w:rsid w:val="32356B5E"/>
    <w:rsid w:val="324326C2"/>
    <w:rsid w:val="324E226E"/>
    <w:rsid w:val="327C5BEE"/>
    <w:rsid w:val="32C1086E"/>
    <w:rsid w:val="32D4454C"/>
    <w:rsid w:val="32DA44FC"/>
    <w:rsid w:val="32DD76BC"/>
    <w:rsid w:val="32F341BB"/>
    <w:rsid w:val="32F54E61"/>
    <w:rsid w:val="32FD49B4"/>
    <w:rsid w:val="330001A2"/>
    <w:rsid w:val="33055644"/>
    <w:rsid w:val="331830EB"/>
    <w:rsid w:val="332A6927"/>
    <w:rsid w:val="33434A04"/>
    <w:rsid w:val="334713E7"/>
    <w:rsid w:val="33541442"/>
    <w:rsid w:val="335C0F0C"/>
    <w:rsid w:val="3363480C"/>
    <w:rsid w:val="338257CE"/>
    <w:rsid w:val="33DA309D"/>
    <w:rsid w:val="33EA4F8B"/>
    <w:rsid w:val="33EF3043"/>
    <w:rsid w:val="33FA13D4"/>
    <w:rsid w:val="34006B60"/>
    <w:rsid w:val="34027E2D"/>
    <w:rsid w:val="34083F6D"/>
    <w:rsid w:val="341A1198"/>
    <w:rsid w:val="34237B7A"/>
    <w:rsid w:val="34384B8F"/>
    <w:rsid w:val="344A5CAF"/>
    <w:rsid w:val="34627AFE"/>
    <w:rsid w:val="34627E84"/>
    <w:rsid w:val="346907A6"/>
    <w:rsid w:val="346C4843"/>
    <w:rsid w:val="34761B3D"/>
    <w:rsid w:val="347C6980"/>
    <w:rsid w:val="34845AB5"/>
    <w:rsid w:val="34861646"/>
    <w:rsid w:val="3486483B"/>
    <w:rsid w:val="34A22AE6"/>
    <w:rsid w:val="34E96ADE"/>
    <w:rsid w:val="34ED2EF3"/>
    <w:rsid w:val="34FB6280"/>
    <w:rsid w:val="35184C6D"/>
    <w:rsid w:val="351C016C"/>
    <w:rsid w:val="351F0B3B"/>
    <w:rsid w:val="353D1B92"/>
    <w:rsid w:val="354143E4"/>
    <w:rsid w:val="356A2C20"/>
    <w:rsid w:val="35773F4E"/>
    <w:rsid w:val="358259D7"/>
    <w:rsid w:val="358B1967"/>
    <w:rsid w:val="358D3D69"/>
    <w:rsid w:val="35906410"/>
    <w:rsid w:val="35A23D0E"/>
    <w:rsid w:val="35BE61A8"/>
    <w:rsid w:val="35D408E8"/>
    <w:rsid w:val="35D903FF"/>
    <w:rsid w:val="35DB2555"/>
    <w:rsid w:val="35E1119D"/>
    <w:rsid w:val="35EF609A"/>
    <w:rsid w:val="360E3D96"/>
    <w:rsid w:val="361352C6"/>
    <w:rsid w:val="361D3657"/>
    <w:rsid w:val="362B1258"/>
    <w:rsid w:val="36475791"/>
    <w:rsid w:val="366F28DB"/>
    <w:rsid w:val="368178C2"/>
    <w:rsid w:val="36890788"/>
    <w:rsid w:val="36897EB8"/>
    <w:rsid w:val="368A2987"/>
    <w:rsid w:val="36906629"/>
    <w:rsid w:val="369301F2"/>
    <w:rsid w:val="369C6124"/>
    <w:rsid w:val="369F5F8F"/>
    <w:rsid w:val="36A056B5"/>
    <w:rsid w:val="36A1205A"/>
    <w:rsid w:val="36A46172"/>
    <w:rsid w:val="36CD7058"/>
    <w:rsid w:val="36D22E56"/>
    <w:rsid w:val="36D90673"/>
    <w:rsid w:val="36FE0747"/>
    <w:rsid w:val="370666E5"/>
    <w:rsid w:val="373511EA"/>
    <w:rsid w:val="373F25CC"/>
    <w:rsid w:val="374D3D49"/>
    <w:rsid w:val="374E3698"/>
    <w:rsid w:val="375111F8"/>
    <w:rsid w:val="375D0761"/>
    <w:rsid w:val="3776710C"/>
    <w:rsid w:val="37785578"/>
    <w:rsid w:val="378123A9"/>
    <w:rsid w:val="379501B2"/>
    <w:rsid w:val="37AB75F3"/>
    <w:rsid w:val="37B77B75"/>
    <w:rsid w:val="37C37A26"/>
    <w:rsid w:val="37DD61FF"/>
    <w:rsid w:val="37F66761"/>
    <w:rsid w:val="37FB2BE8"/>
    <w:rsid w:val="3818637F"/>
    <w:rsid w:val="383A3644"/>
    <w:rsid w:val="385F1A9D"/>
    <w:rsid w:val="3883540B"/>
    <w:rsid w:val="388614C8"/>
    <w:rsid w:val="38910707"/>
    <w:rsid w:val="389712F2"/>
    <w:rsid w:val="38A65C6F"/>
    <w:rsid w:val="38B42B1B"/>
    <w:rsid w:val="38D428CC"/>
    <w:rsid w:val="38DD3307"/>
    <w:rsid w:val="38E23DE0"/>
    <w:rsid w:val="38EC0F5C"/>
    <w:rsid w:val="38F46D95"/>
    <w:rsid w:val="38FF590E"/>
    <w:rsid w:val="390447E4"/>
    <w:rsid w:val="390C2A26"/>
    <w:rsid w:val="390F1C92"/>
    <w:rsid w:val="39293DB0"/>
    <w:rsid w:val="3932357B"/>
    <w:rsid w:val="393542AD"/>
    <w:rsid w:val="393C0FF6"/>
    <w:rsid w:val="393E44F9"/>
    <w:rsid w:val="39661E3A"/>
    <w:rsid w:val="3968533E"/>
    <w:rsid w:val="398630C2"/>
    <w:rsid w:val="398D772B"/>
    <w:rsid w:val="39945775"/>
    <w:rsid w:val="39A03524"/>
    <w:rsid w:val="39A828A4"/>
    <w:rsid w:val="39AA162A"/>
    <w:rsid w:val="39AD1252"/>
    <w:rsid w:val="39B13AE1"/>
    <w:rsid w:val="39D5466D"/>
    <w:rsid w:val="39E901AB"/>
    <w:rsid w:val="39F36619"/>
    <w:rsid w:val="39FC2F9F"/>
    <w:rsid w:val="3A1A0893"/>
    <w:rsid w:val="3A2940F7"/>
    <w:rsid w:val="3A5E6443"/>
    <w:rsid w:val="3A6B79A1"/>
    <w:rsid w:val="3A6E01EF"/>
    <w:rsid w:val="3A8D3267"/>
    <w:rsid w:val="3A956CA9"/>
    <w:rsid w:val="3A9A5F88"/>
    <w:rsid w:val="3A9B3EA5"/>
    <w:rsid w:val="3A9E0B45"/>
    <w:rsid w:val="3AB86041"/>
    <w:rsid w:val="3ABD23EC"/>
    <w:rsid w:val="3AC06BF4"/>
    <w:rsid w:val="3AD30754"/>
    <w:rsid w:val="3AD31A4B"/>
    <w:rsid w:val="3AD63FAA"/>
    <w:rsid w:val="3AD82BC6"/>
    <w:rsid w:val="3ADE2921"/>
    <w:rsid w:val="3AE96733"/>
    <w:rsid w:val="3AFE2C6B"/>
    <w:rsid w:val="3B084B8F"/>
    <w:rsid w:val="3B1866F7"/>
    <w:rsid w:val="3B2B2A20"/>
    <w:rsid w:val="3B376687"/>
    <w:rsid w:val="3B3E6939"/>
    <w:rsid w:val="3B4A1AE9"/>
    <w:rsid w:val="3B4F12B2"/>
    <w:rsid w:val="3B6343C3"/>
    <w:rsid w:val="3B730A2C"/>
    <w:rsid w:val="3B77509E"/>
    <w:rsid w:val="3BA46E66"/>
    <w:rsid w:val="3BAB412E"/>
    <w:rsid w:val="3BAC4273"/>
    <w:rsid w:val="3BAE5839"/>
    <w:rsid w:val="3BC73BD4"/>
    <w:rsid w:val="3BCE5AAC"/>
    <w:rsid w:val="3BDB763B"/>
    <w:rsid w:val="3BFB5246"/>
    <w:rsid w:val="3C0A04BB"/>
    <w:rsid w:val="3C3360EC"/>
    <w:rsid w:val="3C3643F9"/>
    <w:rsid w:val="3C3F3B8F"/>
    <w:rsid w:val="3C452831"/>
    <w:rsid w:val="3C5D17C0"/>
    <w:rsid w:val="3C5D5748"/>
    <w:rsid w:val="3C5E539B"/>
    <w:rsid w:val="3C7057AE"/>
    <w:rsid w:val="3C741ABD"/>
    <w:rsid w:val="3C795D45"/>
    <w:rsid w:val="3C841D58"/>
    <w:rsid w:val="3CA53C3A"/>
    <w:rsid w:val="3CA60B04"/>
    <w:rsid w:val="3CA74A0B"/>
    <w:rsid w:val="3CA97F92"/>
    <w:rsid w:val="3CC1259B"/>
    <w:rsid w:val="3CCA6C49"/>
    <w:rsid w:val="3CDB442E"/>
    <w:rsid w:val="3CE242F0"/>
    <w:rsid w:val="3CEA1C78"/>
    <w:rsid w:val="3CF0119C"/>
    <w:rsid w:val="3D045B29"/>
    <w:rsid w:val="3D3056F4"/>
    <w:rsid w:val="3D37642D"/>
    <w:rsid w:val="3D4B442E"/>
    <w:rsid w:val="3D53112B"/>
    <w:rsid w:val="3D672756"/>
    <w:rsid w:val="3D6D69CE"/>
    <w:rsid w:val="3D8D5B29"/>
    <w:rsid w:val="3D945377"/>
    <w:rsid w:val="3D9C11FA"/>
    <w:rsid w:val="3D9C6FA1"/>
    <w:rsid w:val="3DA962B7"/>
    <w:rsid w:val="3DB13B3B"/>
    <w:rsid w:val="3DC065C6"/>
    <w:rsid w:val="3DC70F93"/>
    <w:rsid w:val="3DDC0B07"/>
    <w:rsid w:val="3DDC7D8B"/>
    <w:rsid w:val="3DE051EE"/>
    <w:rsid w:val="3DF33233"/>
    <w:rsid w:val="3E0169BD"/>
    <w:rsid w:val="3E16578E"/>
    <w:rsid w:val="3E2E4312"/>
    <w:rsid w:val="3E3D3FF6"/>
    <w:rsid w:val="3E5700F6"/>
    <w:rsid w:val="3E5D317C"/>
    <w:rsid w:val="3E790CAC"/>
    <w:rsid w:val="3E7A3FF6"/>
    <w:rsid w:val="3E7B17BF"/>
    <w:rsid w:val="3E802A97"/>
    <w:rsid w:val="3E9E3D62"/>
    <w:rsid w:val="3EB721C8"/>
    <w:rsid w:val="3EBF7C5B"/>
    <w:rsid w:val="3EC7628C"/>
    <w:rsid w:val="3EDE1100"/>
    <w:rsid w:val="3EE14631"/>
    <w:rsid w:val="3EE44D3A"/>
    <w:rsid w:val="3EF4037B"/>
    <w:rsid w:val="3F0355EF"/>
    <w:rsid w:val="3F197280"/>
    <w:rsid w:val="3F4B496B"/>
    <w:rsid w:val="3F4B6BB2"/>
    <w:rsid w:val="3F7B3FB4"/>
    <w:rsid w:val="3F8A64BB"/>
    <w:rsid w:val="3F8A67CD"/>
    <w:rsid w:val="3F8F2C54"/>
    <w:rsid w:val="3F903F59"/>
    <w:rsid w:val="3F91658F"/>
    <w:rsid w:val="3F965E62"/>
    <w:rsid w:val="3FA45178"/>
    <w:rsid w:val="3FA46EF8"/>
    <w:rsid w:val="3FA660FD"/>
    <w:rsid w:val="3FB83E19"/>
    <w:rsid w:val="3FEC6BE3"/>
    <w:rsid w:val="402203F5"/>
    <w:rsid w:val="40223297"/>
    <w:rsid w:val="402657A8"/>
    <w:rsid w:val="4028158A"/>
    <w:rsid w:val="403D4072"/>
    <w:rsid w:val="40554F9C"/>
    <w:rsid w:val="40574F8A"/>
    <w:rsid w:val="40AE5034"/>
    <w:rsid w:val="40B35057"/>
    <w:rsid w:val="40BF6BC9"/>
    <w:rsid w:val="40D24565"/>
    <w:rsid w:val="41091371"/>
    <w:rsid w:val="41303C39"/>
    <w:rsid w:val="41364AA2"/>
    <w:rsid w:val="41425B1E"/>
    <w:rsid w:val="414F74CB"/>
    <w:rsid w:val="415B6654"/>
    <w:rsid w:val="41636FFF"/>
    <w:rsid w:val="41662EBF"/>
    <w:rsid w:val="416745BC"/>
    <w:rsid w:val="41690F03"/>
    <w:rsid w:val="417C2EE6"/>
    <w:rsid w:val="418A3D14"/>
    <w:rsid w:val="41907140"/>
    <w:rsid w:val="41A171BC"/>
    <w:rsid w:val="41A55BC2"/>
    <w:rsid w:val="41B119D5"/>
    <w:rsid w:val="41B13BD3"/>
    <w:rsid w:val="41BF23A4"/>
    <w:rsid w:val="41C46BAD"/>
    <w:rsid w:val="41CC21FF"/>
    <w:rsid w:val="41D12A32"/>
    <w:rsid w:val="41D301C3"/>
    <w:rsid w:val="41D623AF"/>
    <w:rsid w:val="41E06CA1"/>
    <w:rsid w:val="41F6377C"/>
    <w:rsid w:val="420B66EE"/>
    <w:rsid w:val="421B5801"/>
    <w:rsid w:val="422F49B3"/>
    <w:rsid w:val="42301F23"/>
    <w:rsid w:val="423767ED"/>
    <w:rsid w:val="425213C3"/>
    <w:rsid w:val="425968DE"/>
    <w:rsid w:val="426E68C9"/>
    <w:rsid w:val="427E58A6"/>
    <w:rsid w:val="42802614"/>
    <w:rsid w:val="42B01704"/>
    <w:rsid w:val="42CA554C"/>
    <w:rsid w:val="42CC4106"/>
    <w:rsid w:val="42D22B67"/>
    <w:rsid w:val="42DC0E76"/>
    <w:rsid w:val="42DF0DC2"/>
    <w:rsid w:val="42E21D47"/>
    <w:rsid w:val="42E661CE"/>
    <w:rsid w:val="42E92879"/>
    <w:rsid w:val="42EC69CA"/>
    <w:rsid w:val="42EE6E5E"/>
    <w:rsid w:val="42FB4A28"/>
    <w:rsid w:val="431F1AE3"/>
    <w:rsid w:val="433858A5"/>
    <w:rsid w:val="43527105"/>
    <w:rsid w:val="436D4954"/>
    <w:rsid w:val="438753A5"/>
    <w:rsid w:val="43891048"/>
    <w:rsid w:val="43920E07"/>
    <w:rsid w:val="43951B04"/>
    <w:rsid w:val="43A24887"/>
    <w:rsid w:val="43DA20AE"/>
    <w:rsid w:val="43F715ED"/>
    <w:rsid w:val="44000E21"/>
    <w:rsid w:val="440875AB"/>
    <w:rsid w:val="440B6331"/>
    <w:rsid w:val="440D15A1"/>
    <w:rsid w:val="4413593C"/>
    <w:rsid w:val="444B4C5F"/>
    <w:rsid w:val="44655A6C"/>
    <w:rsid w:val="4467168F"/>
    <w:rsid w:val="44766B6D"/>
    <w:rsid w:val="44864A89"/>
    <w:rsid w:val="44890DFE"/>
    <w:rsid w:val="448F50C0"/>
    <w:rsid w:val="44983838"/>
    <w:rsid w:val="44984355"/>
    <w:rsid w:val="44A8226D"/>
    <w:rsid w:val="44AA08C6"/>
    <w:rsid w:val="44B32010"/>
    <w:rsid w:val="44C84166"/>
    <w:rsid w:val="44EF4A70"/>
    <w:rsid w:val="44FE14DD"/>
    <w:rsid w:val="45011D41"/>
    <w:rsid w:val="452364C9"/>
    <w:rsid w:val="452B7DF8"/>
    <w:rsid w:val="45342FB5"/>
    <w:rsid w:val="454C0370"/>
    <w:rsid w:val="4550153F"/>
    <w:rsid w:val="455D4659"/>
    <w:rsid w:val="455E7EDC"/>
    <w:rsid w:val="45631ACD"/>
    <w:rsid w:val="45660998"/>
    <w:rsid w:val="458000C7"/>
    <w:rsid w:val="45806396"/>
    <w:rsid w:val="4585213C"/>
    <w:rsid w:val="458B3F95"/>
    <w:rsid w:val="45967A06"/>
    <w:rsid w:val="45AA2F38"/>
    <w:rsid w:val="45C41CBE"/>
    <w:rsid w:val="45CF1BC3"/>
    <w:rsid w:val="45F428E0"/>
    <w:rsid w:val="4601483F"/>
    <w:rsid w:val="46025A85"/>
    <w:rsid w:val="461A266E"/>
    <w:rsid w:val="46323738"/>
    <w:rsid w:val="46401681"/>
    <w:rsid w:val="464B7FDD"/>
    <w:rsid w:val="465530CB"/>
    <w:rsid w:val="4669507C"/>
    <w:rsid w:val="46760020"/>
    <w:rsid w:val="468C2B4D"/>
    <w:rsid w:val="468D05CE"/>
    <w:rsid w:val="46982676"/>
    <w:rsid w:val="46A7659A"/>
    <w:rsid w:val="46D00C57"/>
    <w:rsid w:val="46D06EA9"/>
    <w:rsid w:val="46F956FF"/>
    <w:rsid w:val="47496783"/>
    <w:rsid w:val="474B1C86"/>
    <w:rsid w:val="47630D4C"/>
    <w:rsid w:val="476A14DB"/>
    <w:rsid w:val="476A5FE9"/>
    <w:rsid w:val="4782435E"/>
    <w:rsid w:val="4790205D"/>
    <w:rsid w:val="479804CC"/>
    <w:rsid w:val="47A56E76"/>
    <w:rsid w:val="47AC0A26"/>
    <w:rsid w:val="47B75E90"/>
    <w:rsid w:val="47C03E43"/>
    <w:rsid w:val="47C56CDE"/>
    <w:rsid w:val="47D74267"/>
    <w:rsid w:val="47FD3740"/>
    <w:rsid w:val="48082BD4"/>
    <w:rsid w:val="48195197"/>
    <w:rsid w:val="483319A6"/>
    <w:rsid w:val="483413B6"/>
    <w:rsid w:val="48383932"/>
    <w:rsid w:val="48490A61"/>
    <w:rsid w:val="486410B1"/>
    <w:rsid w:val="487657D6"/>
    <w:rsid w:val="48A57A1A"/>
    <w:rsid w:val="48D664FA"/>
    <w:rsid w:val="49001E86"/>
    <w:rsid w:val="49081412"/>
    <w:rsid w:val="490B081A"/>
    <w:rsid w:val="4924150C"/>
    <w:rsid w:val="492A223F"/>
    <w:rsid w:val="493C6A78"/>
    <w:rsid w:val="49500C1A"/>
    <w:rsid w:val="495B1646"/>
    <w:rsid w:val="496D50BB"/>
    <w:rsid w:val="49831FB1"/>
    <w:rsid w:val="49834DA9"/>
    <w:rsid w:val="498E1308"/>
    <w:rsid w:val="498E392B"/>
    <w:rsid w:val="49953FD2"/>
    <w:rsid w:val="49A67FEA"/>
    <w:rsid w:val="49B42357"/>
    <w:rsid w:val="49BE170B"/>
    <w:rsid w:val="49C60D15"/>
    <w:rsid w:val="49CC282C"/>
    <w:rsid w:val="49CE19A5"/>
    <w:rsid w:val="49D14C7B"/>
    <w:rsid w:val="49EE2E55"/>
    <w:rsid w:val="49F64E88"/>
    <w:rsid w:val="49FE3D2D"/>
    <w:rsid w:val="4A0B5680"/>
    <w:rsid w:val="4A442DE8"/>
    <w:rsid w:val="4A4C3C76"/>
    <w:rsid w:val="4A582F08"/>
    <w:rsid w:val="4A586086"/>
    <w:rsid w:val="4A5B47E7"/>
    <w:rsid w:val="4A5C19ED"/>
    <w:rsid w:val="4A713EF7"/>
    <w:rsid w:val="4A71669A"/>
    <w:rsid w:val="4A990DB8"/>
    <w:rsid w:val="4AB30EDE"/>
    <w:rsid w:val="4ACE7349"/>
    <w:rsid w:val="4AE87797"/>
    <w:rsid w:val="4AEA5999"/>
    <w:rsid w:val="4B0A392B"/>
    <w:rsid w:val="4B100A0B"/>
    <w:rsid w:val="4B140282"/>
    <w:rsid w:val="4B341F77"/>
    <w:rsid w:val="4B383175"/>
    <w:rsid w:val="4B3F27FC"/>
    <w:rsid w:val="4B4C4394"/>
    <w:rsid w:val="4B536B77"/>
    <w:rsid w:val="4B7B039D"/>
    <w:rsid w:val="4B7D207A"/>
    <w:rsid w:val="4B875EB6"/>
    <w:rsid w:val="4B8D42B7"/>
    <w:rsid w:val="4B982295"/>
    <w:rsid w:val="4B9F639D"/>
    <w:rsid w:val="4BB308C1"/>
    <w:rsid w:val="4BBC3115"/>
    <w:rsid w:val="4C1750C8"/>
    <w:rsid w:val="4C30793C"/>
    <w:rsid w:val="4C3D761E"/>
    <w:rsid w:val="4C3F21A1"/>
    <w:rsid w:val="4C4658B1"/>
    <w:rsid w:val="4C657AAE"/>
    <w:rsid w:val="4C6C226D"/>
    <w:rsid w:val="4C7D1FFD"/>
    <w:rsid w:val="4C8A275C"/>
    <w:rsid w:val="4C8C446E"/>
    <w:rsid w:val="4CA97B54"/>
    <w:rsid w:val="4CC43F81"/>
    <w:rsid w:val="4CC74F06"/>
    <w:rsid w:val="4CD377AA"/>
    <w:rsid w:val="4CE51F37"/>
    <w:rsid w:val="4CF5763E"/>
    <w:rsid w:val="4D1400D2"/>
    <w:rsid w:val="4D1B6B8E"/>
    <w:rsid w:val="4D1E7969"/>
    <w:rsid w:val="4D2A0882"/>
    <w:rsid w:val="4D3951FB"/>
    <w:rsid w:val="4D3F7CBF"/>
    <w:rsid w:val="4D473FC5"/>
    <w:rsid w:val="4D4D4DDF"/>
    <w:rsid w:val="4D555A6E"/>
    <w:rsid w:val="4D6D4C62"/>
    <w:rsid w:val="4DA65831"/>
    <w:rsid w:val="4DAC647D"/>
    <w:rsid w:val="4DC46301"/>
    <w:rsid w:val="4DCD6596"/>
    <w:rsid w:val="4DEF23EA"/>
    <w:rsid w:val="4DF036EE"/>
    <w:rsid w:val="4DF71CA3"/>
    <w:rsid w:val="4DF807D9"/>
    <w:rsid w:val="4DFE3CC8"/>
    <w:rsid w:val="4E096817"/>
    <w:rsid w:val="4E1230AB"/>
    <w:rsid w:val="4E3450DC"/>
    <w:rsid w:val="4E3F7ECE"/>
    <w:rsid w:val="4E4E418E"/>
    <w:rsid w:val="4E8167AD"/>
    <w:rsid w:val="4EA902EC"/>
    <w:rsid w:val="4EAD5D22"/>
    <w:rsid w:val="4EAF2828"/>
    <w:rsid w:val="4EBE3E8A"/>
    <w:rsid w:val="4ED107DE"/>
    <w:rsid w:val="4EE058CB"/>
    <w:rsid w:val="4EF8069D"/>
    <w:rsid w:val="4EFF706A"/>
    <w:rsid w:val="4F0A7123"/>
    <w:rsid w:val="4F2A3762"/>
    <w:rsid w:val="4F2E0DB1"/>
    <w:rsid w:val="4F360EA8"/>
    <w:rsid w:val="4F802128"/>
    <w:rsid w:val="4F871206"/>
    <w:rsid w:val="4F8B568E"/>
    <w:rsid w:val="4F9F1B0F"/>
    <w:rsid w:val="4FA56238"/>
    <w:rsid w:val="4FA67F9C"/>
    <w:rsid w:val="4FA904C1"/>
    <w:rsid w:val="4FD41C1D"/>
    <w:rsid w:val="4FD64C5B"/>
    <w:rsid w:val="4FDA48F5"/>
    <w:rsid w:val="4FE0099B"/>
    <w:rsid w:val="4FE30C63"/>
    <w:rsid w:val="4FED2322"/>
    <w:rsid w:val="4FFD53C6"/>
    <w:rsid w:val="501040B3"/>
    <w:rsid w:val="50213603"/>
    <w:rsid w:val="50321789"/>
    <w:rsid w:val="50353485"/>
    <w:rsid w:val="503D1B16"/>
    <w:rsid w:val="50795316"/>
    <w:rsid w:val="508E47DC"/>
    <w:rsid w:val="50A90064"/>
    <w:rsid w:val="50AE3F83"/>
    <w:rsid w:val="50CF7A4B"/>
    <w:rsid w:val="50E92709"/>
    <w:rsid w:val="50FD7AEE"/>
    <w:rsid w:val="51145515"/>
    <w:rsid w:val="511A741E"/>
    <w:rsid w:val="51354115"/>
    <w:rsid w:val="5137564E"/>
    <w:rsid w:val="514E0A72"/>
    <w:rsid w:val="51576FE4"/>
    <w:rsid w:val="515D338B"/>
    <w:rsid w:val="519F488C"/>
    <w:rsid w:val="51C5493F"/>
    <w:rsid w:val="51CA5F3D"/>
    <w:rsid w:val="520713EF"/>
    <w:rsid w:val="520923F4"/>
    <w:rsid w:val="520934A3"/>
    <w:rsid w:val="5222282D"/>
    <w:rsid w:val="52257550"/>
    <w:rsid w:val="522762D7"/>
    <w:rsid w:val="52302A27"/>
    <w:rsid w:val="523742BD"/>
    <w:rsid w:val="52450012"/>
    <w:rsid w:val="52547F54"/>
    <w:rsid w:val="5265033A"/>
    <w:rsid w:val="527F07B8"/>
    <w:rsid w:val="528A0778"/>
    <w:rsid w:val="52903990"/>
    <w:rsid w:val="529320FE"/>
    <w:rsid w:val="5296438C"/>
    <w:rsid w:val="52990A97"/>
    <w:rsid w:val="529A30BA"/>
    <w:rsid w:val="529A6D62"/>
    <w:rsid w:val="529D3476"/>
    <w:rsid w:val="529D4EC7"/>
    <w:rsid w:val="529E7DC9"/>
    <w:rsid w:val="52A1157D"/>
    <w:rsid w:val="52DE4780"/>
    <w:rsid w:val="530B2D71"/>
    <w:rsid w:val="530C4EFF"/>
    <w:rsid w:val="530D3EEC"/>
    <w:rsid w:val="53194965"/>
    <w:rsid w:val="532452B2"/>
    <w:rsid w:val="532838FB"/>
    <w:rsid w:val="533237C4"/>
    <w:rsid w:val="53331AF6"/>
    <w:rsid w:val="5333550F"/>
    <w:rsid w:val="534357AA"/>
    <w:rsid w:val="534E3B3B"/>
    <w:rsid w:val="535B4CF0"/>
    <w:rsid w:val="53693CDD"/>
    <w:rsid w:val="538006C3"/>
    <w:rsid w:val="538A5F1E"/>
    <w:rsid w:val="539C576C"/>
    <w:rsid w:val="53AA6453"/>
    <w:rsid w:val="53BA08AE"/>
    <w:rsid w:val="53BC278B"/>
    <w:rsid w:val="53D146C7"/>
    <w:rsid w:val="53D53162"/>
    <w:rsid w:val="5400093A"/>
    <w:rsid w:val="540F6177"/>
    <w:rsid w:val="54103BF9"/>
    <w:rsid w:val="54140080"/>
    <w:rsid w:val="541A1B62"/>
    <w:rsid w:val="541A5C08"/>
    <w:rsid w:val="543B6670"/>
    <w:rsid w:val="543E150A"/>
    <w:rsid w:val="544A4CD7"/>
    <w:rsid w:val="54503E85"/>
    <w:rsid w:val="54760CFA"/>
    <w:rsid w:val="547747B8"/>
    <w:rsid w:val="547F24EC"/>
    <w:rsid w:val="54B972CF"/>
    <w:rsid w:val="54E164AC"/>
    <w:rsid w:val="551B6B41"/>
    <w:rsid w:val="552227BC"/>
    <w:rsid w:val="55230827"/>
    <w:rsid w:val="552968C4"/>
    <w:rsid w:val="553E2FE6"/>
    <w:rsid w:val="55411377"/>
    <w:rsid w:val="55671C2C"/>
    <w:rsid w:val="55781EC6"/>
    <w:rsid w:val="55992746"/>
    <w:rsid w:val="55A15285"/>
    <w:rsid w:val="55A96275"/>
    <w:rsid w:val="55AE7D4E"/>
    <w:rsid w:val="55B31E70"/>
    <w:rsid w:val="55C05B3D"/>
    <w:rsid w:val="55C51BA3"/>
    <w:rsid w:val="55C9649C"/>
    <w:rsid w:val="55DA41BD"/>
    <w:rsid w:val="56063D5E"/>
    <w:rsid w:val="5625421C"/>
    <w:rsid w:val="564306A0"/>
    <w:rsid w:val="564E3912"/>
    <w:rsid w:val="564F4128"/>
    <w:rsid w:val="565076BF"/>
    <w:rsid w:val="565B2641"/>
    <w:rsid w:val="56617B1E"/>
    <w:rsid w:val="56625644"/>
    <w:rsid w:val="569B59A6"/>
    <w:rsid w:val="56A62938"/>
    <w:rsid w:val="56E6209D"/>
    <w:rsid w:val="56EA4326"/>
    <w:rsid w:val="570D57DF"/>
    <w:rsid w:val="57132F95"/>
    <w:rsid w:val="572664EB"/>
    <w:rsid w:val="572D4E3F"/>
    <w:rsid w:val="572D56F6"/>
    <w:rsid w:val="572F3796"/>
    <w:rsid w:val="5732287F"/>
    <w:rsid w:val="573C5E95"/>
    <w:rsid w:val="573D052D"/>
    <w:rsid w:val="57452597"/>
    <w:rsid w:val="57454D4A"/>
    <w:rsid w:val="57606393"/>
    <w:rsid w:val="57733E7E"/>
    <w:rsid w:val="57871C26"/>
    <w:rsid w:val="57894A0E"/>
    <w:rsid w:val="57A77F5C"/>
    <w:rsid w:val="57C02302"/>
    <w:rsid w:val="57C63600"/>
    <w:rsid w:val="57D83FAF"/>
    <w:rsid w:val="57E148BE"/>
    <w:rsid w:val="57E8417C"/>
    <w:rsid w:val="581D479D"/>
    <w:rsid w:val="582B03E3"/>
    <w:rsid w:val="583077A8"/>
    <w:rsid w:val="58315DB1"/>
    <w:rsid w:val="58430210"/>
    <w:rsid w:val="585838C1"/>
    <w:rsid w:val="58606A21"/>
    <w:rsid w:val="5863214C"/>
    <w:rsid w:val="58663849"/>
    <w:rsid w:val="58717162"/>
    <w:rsid w:val="58857496"/>
    <w:rsid w:val="58B96227"/>
    <w:rsid w:val="58ED44C3"/>
    <w:rsid w:val="5947124D"/>
    <w:rsid w:val="59647B33"/>
    <w:rsid w:val="596C7E01"/>
    <w:rsid w:val="597F1615"/>
    <w:rsid w:val="59801346"/>
    <w:rsid w:val="59A47948"/>
    <w:rsid w:val="59B447B9"/>
    <w:rsid w:val="59DC43D8"/>
    <w:rsid w:val="5A22286F"/>
    <w:rsid w:val="5A270225"/>
    <w:rsid w:val="5A400973"/>
    <w:rsid w:val="5A737DB0"/>
    <w:rsid w:val="5A7747D4"/>
    <w:rsid w:val="5A7F451A"/>
    <w:rsid w:val="5A8042EB"/>
    <w:rsid w:val="5A8A0F99"/>
    <w:rsid w:val="5AA549B2"/>
    <w:rsid w:val="5AB51DDE"/>
    <w:rsid w:val="5ADC7386"/>
    <w:rsid w:val="5B117F79"/>
    <w:rsid w:val="5B5104F9"/>
    <w:rsid w:val="5B584E6A"/>
    <w:rsid w:val="5B5D0855"/>
    <w:rsid w:val="5B654DE1"/>
    <w:rsid w:val="5B7D50AA"/>
    <w:rsid w:val="5B817F90"/>
    <w:rsid w:val="5BAC4E3A"/>
    <w:rsid w:val="5BBD471D"/>
    <w:rsid w:val="5BC87CA3"/>
    <w:rsid w:val="5BD347B4"/>
    <w:rsid w:val="5BF65C6D"/>
    <w:rsid w:val="5C012B8C"/>
    <w:rsid w:val="5C362AF4"/>
    <w:rsid w:val="5C3B6CBD"/>
    <w:rsid w:val="5C3E4720"/>
    <w:rsid w:val="5C526BB4"/>
    <w:rsid w:val="5C5B3413"/>
    <w:rsid w:val="5C615D0C"/>
    <w:rsid w:val="5C694A3B"/>
    <w:rsid w:val="5C9B09C7"/>
    <w:rsid w:val="5CAD579C"/>
    <w:rsid w:val="5CB660AB"/>
    <w:rsid w:val="5CB815AE"/>
    <w:rsid w:val="5CC85BD5"/>
    <w:rsid w:val="5CDC5954"/>
    <w:rsid w:val="5CE018DD"/>
    <w:rsid w:val="5CEB5280"/>
    <w:rsid w:val="5D0403A9"/>
    <w:rsid w:val="5D153EC6"/>
    <w:rsid w:val="5D1928CC"/>
    <w:rsid w:val="5D1B01A7"/>
    <w:rsid w:val="5D317F73"/>
    <w:rsid w:val="5D4C4020"/>
    <w:rsid w:val="5D530128"/>
    <w:rsid w:val="5D5B7D4A"/>
    <w:rsid w:val="5D602734"/>
    <w:rsid w:val="5D6A35D0"/>
    <w:rsid w:val="5D7209DD"/>
    <w:rsid w:val="5DA46C2D"/>
    <w:rsid w:val="5DB554E1"/>
    <w:rsid w:val="5DBA0DD1"/>
    <w:rsid w:val="5DE233F0"/>
    <w:rsid w:val="5DE52DE2"/>
    <w:rsid w:val="5DF04B2E"/>
    <w:rsid w:val="5E0314BA"/>
    <w:rsid w:val="5E0324CA"/>
    <w:rsid w:val="5E074110"/>
    <w:rsid w:val="5E0854EE"/>
    <w:rsid w:val="5E0B78D6"/>
    <w:rsid w:val="5E214762"/>
    <w:rsid w:val="5E486ECD"/>
    <w:rsid w:val="5E6200F2"/>
    <w:rsid w:val="5E8E1E7B"/>
    <w:rsid w:val="5E933865"/>
    <w:rsid w:val="5E987E55"/>
    <w:rsid w:val="5E9D308B"/>
    <w:rsid w:val="5EAB5261"/>
    <w:rsid w:val="5EAF3C67"/>
    <w:rsid w:val="5EB1181D"/>
    <w:rsid w:val="5EBC03E1"/>
    <w:rsid w:val="5EC33BF1"/>
    <w:rsid w:val="5EC52109"/>
    <w:rsid w:val="5EDC6635"/>
    <w:rsid w:val="5EDF242A"/>
    <w:rsid w:val="5EE04437"/>
    <w:rsid w:val="5EEC4CC9"/>
    <w:rsid w:val="5EF03EB9"/>
    <w:rsid w:val="5EF85E29"/>
    <w:rsid w:val="5EFC424F"/>
    <w:rsid w:val="5F0C439F"/>
    <w:rsid w:val="5F0E1A83"/>
    <w:rsid w:val="5F29359B"/>
    <w:rsid w:val="5F387DD8"/>
    <w:rsid w:val="5F3F4450"/>
    <w:rsid w:val="5F610F9A"/>
    <w:rsid w:val="5F6601DC"/>
    <w:rsid w:val="5F712D16"/>
    <w:rsid w:val="5F782C2C"/>
    <w:rsid w:val="5F8416C1"/>
    <w:rsid w:val="5F88611B"/>
    <w:rsid w:val="5F925D02"/>
    <w:rsid w:val="5FA6205D"/>
    <w:rsid w:val="5FA93E7F"/>
    <w:rsid w:val="5FBD7E8C"/>
    <w:rsid w:val="5FC72CEE"/>
    <w:rsid w:val="5FD27242"/>
    <w:rsid w:val="5FE17054"/>
    <w:rsid w:val="5FF04AF3"/>
    <w:rsid w:val="6001450E"/>
    <w:rsid w:val="60056797"/>
    <w:rsid w:val="6012222A"/>
    <w:rsid w:val="602B5EDC"/>
    <w:rsid w:val="602C20DD"/>
    <w:rsid w:val="603C0E70"/>
    <w:rsid w:val="60442474"/>
    <w:rsid w:val="60452D1D"/>
    <w:rsid w:val="60472A84"/>
    <w:rsid w:val="60636B31"/>
    <w:rsid w:val="606964BC"/>
    <w:rsid w:val="606A3F3D"/>
    <w:rsid w:val="60844AE7"/>
    <w:rsid w:val="609C218E"/>
    <w:rsid w:val="60B12374"/>
    <w:rsid w:val="60B12B22"/>
    <w:rsid w:val="60BE39C7"/>
    <w:rsid w:val="60CB5CDD"/>
    <w:rsid w:val="60D14E8D"/>
    <w:rsid w:val="60D45B6B"/>
    <w:rsid w:val="610E11C8"/>
    <w:rsid w:val="610E2650"/>
    <w:rsid w:val="61177267"/>
    <w:rsid w:val="611C7D9F"/>
    <w:rsid w:val="61623A9A"/>
    <w:rsid w:val="617519E8"/>
    <w:rsid w:val="618A7FBC"/>
    <w:rsid w:val="61B42655"/>
    <w:rsid w:val="61B473D7"/>
    <w:rsid w:val="61C55F03"/>
    <w:rsid w:val="61E01520"/>
    <w:rsid w:val="61EB04E9"/>
    <w:rsid w:val="621825F1"/>
    <w:rsid w:val="622F4266"/>
    <w:rsid w:val="622F7878"/>
    <w:rsid w:val="62390CB6"/>
    <w:rsid w:val="623D18BA"/>
    <w:rsid w:val="62462A72"/>
    <w:rsid w:val="624C1ED5"/>
    <w:rsid w:val="6259166C"/>
    <w:rsid w:val="626A1485"/>
    <w:rsid w:val="62846CDE"/>
    <w:rsid w:val="62A42D3A"/>
    <w:rsid w:val="62B95A2A"/>
    <w:rsid w:val="62D00E29"/>
    <w:rsid w:val="62EA6460"/>
    <w:rsid w:val="63030F14"/>
    <w:rsid w:val="63185A08"/>
    <w:rsid w:val="63375355"/>
    <w:rsid w:val="634A2CF1"/>
    <w:rsid w:val="63607EDD"/>
    <w:rsid w:val="637C0957"/>
    <w:rsid w:val="63806113"/>
    <w:rsid w:val="638A3ADA"/>
    <w:rsid w:val="63942F1D"/>
    <w:rsid w:val="63AA400F"/>
    <w:rsid w:val="63D25CA3"/>
    <w:rsid w:val="63D26110"/>
    <w:rsid w:val="63D57637"/>
    <w:rsid w:val="63E477B4"/>
    <w:rsid w:val="63ED6827"/>
    <w:rsid w:val="63F10007"/>
    <w:rsid w:val="64087C2C"/>
    <w:rsid w:val="64432E01"/>
    <w:rsid w:val="6453132F"/>
    <w:rsid w:val="6470710A"/>
    <w:rsid w:val="649B6252"/>
    <w:rsid w:val="64A036C7"/>
    <w:rsid w:val="64C22BED"/>
    <w:rsid w:val="64D82908"/>
    <w:rsid w:val="64D91523"/>
    <w:rsid w:val="64DB2E27"/>
    <w:rsid w:val="64EC5F80"/>
    <w:rsid w:val="65067B4F"/>
    <w:rsid w:val="652F708D"/>
    <w:rsid w:val="654B1ECF"/>
    <w:rsid w:val="65585BAA"/>
    <w:rsid w:val="65622439"/>
    <w:rsid w:val="656E52FB"/>
    <w:rsid w:val="65811A17"/>
    <w:rsid w:val="658D680B"/>
    <w:rsid w:val="659D4F99"/>
    <w:rsid w:val="65A12770"/>
    <w:rsid w:val="65EC32C5"/>
    <w:rsid w:val="65F94B59"/>
    <w:rsid w:val="66035B03"/>
    <w:rsid w:val="661462F7"/>
    <w:rsid w:val="66150AEC"/>
    <w:rsid w:val="66386A97"/>
    <w:rsid w:val="6650158D"/>
    <w:rsid w:val="665A22F4"/>
    <w:rsid w:val="66770CAA"/>
    <w:rsid w:val="668B5CC3"/>
    <w:rsid w:val="66901A75"/>
    <w:rsid w:val="66AA0200"/>
    <w:rsid w:val="66B06886"/>
    <w:rsid w:val="66D238E8"/>
    <w:rsid w:val="66E30E48"/>
    <w:rsid w:val="67010AE3"/>
    <w:rsid w:val="670B371C"/>
    <w:rsid w:val="670F1CAF"/>
    <w:rsid w:val="670F7F24"/>
    <w:rsid w:val="67110EA9"/>
    <w:rsid w:val="67251571"/>
    <w:rsid w:val="672524A2"/>
    <w:rsid w:val="672542C6"/>
    <w:rsid w:val="67322B5A"/>
    <w:rsid w:val="67352362"/>
    <w:rsid w:val="67410373"/>
    <w:rsid w:val="67433876"/>
    <w:rsid w:val="676D5D3F"/>
    <w:rsid w:val="6783286B"/>
    <w:rsid w:val="678A5539"/>
    <w:rsid w:val="6794124F"/>
    <w:rsid w:val="67C373D8"/>
    <w:rsid w:val="67DB42ED"/>
    <w:rsid w:val="67DD4F5A"/>
    <w:rsid w:val="67E62186"/>
    <w:rsid w:val="67EA5309"/>
    <w:rsid w:val="67EE40CD"/>
    <w:rsid w:val="67F035BE"/>
    <w:rsid w:val="67F22715"/>
    <w:rsid w:val="68002120"/>
    <w:rsid w:val="68075EEC"/>
    <w:rsid w:val="68183231"/>
    <w:rsid w:val="68423799"/>
    <w:rsid w:val="68695ADC"/>
    <w:rsid w:val="687112E4"/>
    <w:rsid w:val="68811569"/>
    <w:rsid w:val="688D5AAB"/>
    <w:rsid w:val="689F47D3"/>
    <w:rsid w:val="68C83A2C"/>
    <w:rsid w:val="68E814B4"/>
    <w:rsid w:val="68F44821"/>
    <w:rsid w:val="68F91EAB"/>
    <w:rsid w:val="6905258B"/>
    <w:rsid w:val="690A6A65"/>
    <w:rsid w:val="69121E3A"/>
    <w:rsid w:val="69154D60"/>
    <w:rsid w:val="691D7C84"/>
    <w:rsid w:val="691F4D9F"/>
    <w:rsid w:val="69206401"/>
    <w:rsid w:val="694655C5"/>
    <w:rsid w:val="694A6DBA"/>
    <w:rsid w:val="69701C8D"/>
    <w:rsid w:val="69723EB6"/>
    <w:rsid w:val="69732C11"/>
    <w:rsid w:val="699243C0"/>
    <w:rsid w:val="699954C4"/>
    <w:rsid w:val="699D36D6"/>
    <w:rsid w:val="69A7578F"/>
    <w:rsid w:val="69B02560"/>
    <w:rsid w:val="69B779BF"/>
    <w:rsid w:val="69C21B11"/>
    <w:rsid w:val="69CD7FDE"/>
    <w:rsid w:val="69DC2306"/>
    <w:rsid w:val="69F0323B"/>
    <w:rsid w:val="6A07214F"/>
    <w:rsid w:val="6A097C8B"/>
    <w:rsid w:val="6A0B4089"/>
    <w:rsid w:val="6A1E7827"/>
    <w:rsid w:val="6A2E2210"/>
    <w:rsid w:val="6A2F7723"/>
    <w:rsid w:val="6A3A1355"/>
    <w:rsid w:val="6A586D90"/>
    <w:rsid w:val="6A6F632C"/>
    <w:rsid w:val="6A7263A9"/>
    <w:rsid w:val="6A7E510F"/>
    <w:rsid w:val="6A9F44B9"/>
    <w:rsid w:val="6AA9740B"/>
    <w:rsid w:val="6ABB21A6"/>
    <w:rsid w:val="6ACE0CEA"/>
    <w:rsid w:val="6ACE1BC9"/>
    <w:rsid w:val="6ADB2F03"/>
    <w:rsid w:val="6AE2354A"/>
    <w:rsid w:val="6AEB5722"/>
    <w:rsid w:val="6AF8649D"/>
    <w:rsid w:val="6AFA7A77"/>
    <w:rsid w:val="6AFB24CA"/>
    <w:rsid w:val="6AFF2463"/>
    <w:rsid w:val="6B0874EA"/>
    <w:rsid w:val="6B1D20DD"/>
    <w:rsid w:val="6B1F10AD"/>
    <w:rsid w:val="6B22477C"/>
    <w:rsid w:val="6B2C79E4"/>
    <w:rsid w:val="6B320A31"/>
    <w:rsid w:val="6B3555BC"/>
    <w:rsid w:val="6B491DA4"/>
    <w:rsid w:val="6B594672"/>
    <w:rsid w:val="6B5D28FD"/>
    <w:rsid w:val="6B5E4D2E"/>
    <w:rsid w:val="6B7113D2"/>
    <w:rsid w:val="6B75365C"/>
    <w:rsid w:val="6B8B79FD"/>
    <w:rsid w:val="6BAE5444"/>
    <w:rsid w:val="6BB05F5F"/>
    <w:rsid w:val="6BE116D3"/>
    <w:rsid w:val="6BFB6DB8"/>
    <w:rsid w:val="6C2A7865"/>
    <w:rsid w:val="6C2C6080"/>
    <w:rsid w:val="6C506213"/>
    <w:rsid w:val="6C5D5B58"/>
    <w:rsid w:val="6C620EF9"/>
    <w:rsid w:val="6C670665"/>
    <w:rsid w:val="6C6A54FD"/>
    <w:rsid w:val="6C737CFB"/>
    <w:rsid w:val="6C950FE9"/>
    <w:rsid w:val="6C983716"/>
    <w:rsid w:val="6CCB618B"/>
    <w:rsid w:val="6CF02B48"/>
    <w:rsid w:val="6CF6746A"/>
    <w:rsid w:val="6D1055FB"/>
    <w:rsid w:val="6D127D3D"/>
    <w:rsid w:val="6D22461C"/>
    <w:rsid w:val="6D2D03F9"/>
    <w:rsid w:val="6D455BB8"/>
    <w:rsid w:val="6D660588"/>
    <w:rsid w:val="6D802B33"/>
    <w:rsid w:val="6D9767D9"/>
    <w:rsid w:val="6D9E588E"/>
    <w:rsid w:val="6DA94262"/>
    <w:rsid w:val="6DB70CB4"/>
    <w:rsid w:val="6DEE71E8"/>
    <w:rsid w:val="6DF67E77"/>
    <w:rsid w:val="6E094352"/>
    <w:rsid w:val="6E0A2C2C"/>
    <w:rsid w:val="6E135B2D"/>
    <w:rsid w:val="6E4E6307"/>
    <w:rsid w:val="6E520C8F"/>
    <w:rsid w:val="6E540211"/>
    <w:rsid w:val="6E5864AC"/>
    <w:rsid w:val="6E7579F1"/>
    <w:rsid w:val="6E7855AD"/>
    <w:rsid w:val="6E92195E"/>
    <w:rsid w:val="6E9D66DB"/>
    <w:rsid w:val="6EA9791B"/>
    <w:rsid w:val="6EAD6321"/>
    <w:rsid w:val="6EEC1689"/>
    <w:rsid w:val="6F0C79BF"/>
    <w:rsid w:val="6F1624CD"/>
    <w:rsid w:val="6F19182E"/>
    <w:rsid w:val="6F1E7F02"/>
    <w:rsid w:val="6F3626B6"/>
    <w:rsid w:val="6F3F40AE"/>
    <w:rsid w:val="6F815117"/>
    <w:rsid w:val="6FAD7EFC"/>
    <w:rsid w:val="6FC91EF0"/>
    <w:rsid w:val="6FDC6A13"/>
    <w:rsid w:val="6FEA4288"/>
    <w:rsid w:val="70234308"/>
    <w:rsid w:val="702A2DF0"/>
    <w:rsid w:val="70650EF5"/>
    <w:rsid w:val="708020B9"/>
    <w:rsid w:val="708304A5"/>
    <w:rsid w:val="708F3F4F"/>
    <w:rsid w:val="709771CD"/>
    <w:rsid w:val="70B269EA"/>
    <w:rsid w:val="70DA275C"/>
    <w:rsid w:val="70DB30B2"/>
    <w:rsid w:val="70E329E4"/>
    <w:rsid w:val="70F40DF1"/>
    <w:rsid w:val="70F52EE5"/>
    <w:rsid w:val="70FD13AF"/>
    <w:rsid w:val="71155E1B"/>
    <w:rsid w:val="712447AC"/>
    <w:rsid w:val="71313F5D"/>
    <w:rsid w:val="71393588"/>
    <w:rsid w:val="714D6812"/>
    <w:rsid w:val="7170308B"/>
    <w:rsid w:val="717A2FBC"/>
    <w:rsid w:val="718E21F2"/>
    <w:rsid w:val="718E63D9"/>
    <w:rsid w:val="71971267"/>
    <w:rsid w:val="71995F66"/>
    <w:rsid w:val="719E503F"/>
    <w:rsid w:val="71A5799C"/>
    <w:rsid w:val="71AB3036"/>
    <w:rsid w:val="71AC3D91"/>
    <w:rsid w:val="71CC455D"/>
    <w:rsid w:val="71D62051"/>
    <w:rsid w:val="71E65261"/>
    <w:rsid w:val="71E87D6D"/>
    <w:rsid w:val="71FF0740"/>
    <w:rsid w:val="71FF0BB1"/>
    <w:rsid w:val="7238693B"/>
    <w:rsid w:val="723D27EE"/>
    <w:rsid w:val="72534E9D"/>
    <w:rsid w:val="726409BB"/>
    <w:rsid w:val="72804A68"/>
    <w:rsid w:val="72856C67"/>
    <w:rsid w:val="72896FE0"/>
    <w:rsid w:val="728E5F19"/>
    <w:rsid w:val="72907369"/>
    <w:rsid w:val="72A31F40"/>
    <w:rsid w:val="72A5093A"/>
    <w:rsid w:val="72BA3948"/>
    <w:rsid w:val="72C773DB"/>
    <w:rsid w:val="73013FCC"/>
    <w:rsid w:val="73047240"/>
    <w:rsid w:val="73085C46"/>
    <w:rsid w:val="730E64E0"/>
    <w:rsid w:val="73221F8B"/>
    <w:rsid w:val="73245D0B"/>
    <w:rsid w:val="73357A0F"/>
    <w:rsid w:val="733866F9"/>
    <w:rsid w:val="73547991"/>
    <w:rsid w:val="736938A6"/>
    <w:rsid w:val="736D75D5"/>
    <w:rsid w:val="73796EEC"/>
    <w:rsid w:val="738E6C88"/>
    <w:rsid w:val="739169F9"/>
    <w:rsid w:val="739D39C9"/>
    <w:rsid w:val="73A52AED"/>
    <w:rsid w:val="73C43DFB"/>
    <w:rsid w:val="73CD33BB"/>
    <w:rsid w:val="73F44C19"/>
    <w:rsid w:val="74031DA5"/>
    <w:rsid w:val="740C6947"/>
    <w:rsid w:val="742D4234"/>
    <w:rsid w:val="74326F65"/>
    <w:rsid w:val="743F4CBA"/>
    <w:rsid w:val="74404DBF"/>
    <w:rsid w:val="744765D2"/>
    <w:rsid w:val="74504A57"/>
    <w:rsid w:val="74687D42"/>
    <w:rsid w:val="7473071B"/>
    <w:rsid w:val="747E452E"/>
    <w:rsid w:val="748A000B"/>
    <w:rsid w:val="7490224A"/>
    <w:rsid w:val="749330FE"/>
    <w:rsid w:val="749331CE"/>
    <w:rsid w:val="74942EB6"/>
    <w:rsid w:val="749B3E5E"/>
    <w:rsid w:val="749E119A"/>
    <w:rsid w:val="74A356E3"/>
    <w:rsid w:val="74A37C5A"/>
    <w:rsid w:val="74AC1B7A"/>
    <w:rsid w:val="74D33EF6"/>
    <w:rsid w:val="74D81279"/>
    <w:rsid w:val="74DD4D68"/>
    <w:rsid w:val="74E1558B"/>
    <w:rsid w:val="74ED25E3"/>
    <w:rsid w:val="74F26A6B"/>
    <w:rsid w:val="75157FF9"/>
    <w:rsid w:val="75427AEF"/>
    <w:rsid w:val="754B297D"/>
    <w:rsid w:val="7560709F"/>
    <w:rsid w:val="757356C1"/>
    <w:rsid w:val="75776CC4"/>
    <w:rsid w:val="7585337A"/>
    <w:rsid w:val="75A01957"/>
    <w:rsid w:val="75A41F9F"/>
    <w:rsid w:val="75B456A9"/>
    <w:rsid w:val="75C03C40"/>
    <w:rsid w:val="75C404DC"/>
    <w:rsid w:val="75C50AA6"/>
    <w:rsid w:val="75D94171"/>
    <w:rsid w:val="75E64D79"/>
    <w:rsid w:val="75EA51DF"/>
    <w:rsid w:val="75EB4A8F"/>
    <w:rsid w:val="76016C28"/>
    <w:rsid w:val="76051776"/>
    <w:rsid w:val="7605782D"/>
    <w:rsid w:val="760B6FB5"/>
    <w:rsid w:val="763B7D07"/>
    <w:rsid w:val="76435113"/>
    <w:rsid w:val="766F2EEF"/>
    <w:rsid w:val="76905212"/>
    <w:rsid w:val="769D4442"/>
    <w:rsid w:val="76AE0A05"/>
    <w:rsid w:val="76AF515A"/>
    <w:rsid w:val="76B61F68"/>
    <w:rsid w:val="76CC1292"/>
    <w:rsid w:val="76D54682"/>
    <w:rsid w:val="77210231"/>
    <w:rsid w:val="773D64AD"/>
    <w:rsid w:val="77437CF9"/>
    <w:rsid w:val="775D10E3"/>
    <w:rsid w:val="77723A3F"/>
    <w:rsid w:val="777703EE"/>
    <w:rsid w:val="77816A4D"/>
    <w:rsid w:val="77A33763"/>
    <w:rsid w:val="77B77A99"/>
    <w:rsid w:val="77CB1717"/>
    <w:rsid w:val="77D01510"/>
    <w:rsid w:val="77E2543A"/>
    <w:rsid w:val="78023DEF"/>
    <w:rsid w:val="78203AD8"/>
    <w:rsid w:val="78437924"/>
    <w:rsid w:val="78447F3E"/>
    <w:rsid w:val="78531D63"/>
    <w:rsid w:val="785D6A87"/>
    <w:rsid w:val="78615D56"/>
    <w:rsid w:val="7879213E"/>
    <w:rsid w:val="78A15077"/>
    <w:rsid w:val="78B54873"/>
    <w:rsid w:val="78BC2324"/>
    <w:rsid w:val="78C445BB"/>
    <w:rsid w:val="78C83AD2"/>
    <w:rsid w:val="78F03A78"/>
    <w:rsid w:val="790106AE"/>
    <w:rsid w:val="790F0AA9"/>
    <w:rsid w:val="79306213"/>
    <w:rsid w:val="79395171"/>
    <w:rsid w:val="79424A2B"/>
    <w:rsid w:val="79516F63"/>
    <w:rsid w:val="79565544"/>
    <w:rsid w:val="795F53B0"/>
    <w:rsid w:val="79614697"/>
    <w:rsid w:val="796660A9"/>
    <w:rsid w:val="796946E1"/>
    <w:rsid w:val="796E1666"/>
    <w:rsid w:val="798A5C60"/>
    <w:rsid w:val="798F487B"/>
    <w:rsid w:val="79932EBA"/>
    <w:rsid w:val="79A07515"/>
    <w:rsid w:val="79A9103A"/>
    <w:rsid w:val="79AB36F9"/>
    <w:rsid w:val="79C51CFD"/>
    <w:rsid w:val="79C71FD3"/>
    <w:rsid w:val="79D60872"/>
    <w:rsid w:val="79DD1D32"/>
    <w:rsid w:val="79EB1886"/>
    <w:rsid w:val="79EC4C14"/>
    <w:rsid w:val="79EF06E6"/>
    <w:rsid w:val="79F06745"/>
    <w:rsid w:val="7A00729F"/>
    <w:rsid w:val="7A230972"/>
    <w:rsid w:val="7A402138"/>
    <w:rsid w:val="7A435623"/>
    <w:rsid w:val="7A4A4C3A"/>
    <w:rsid w:val="7A51551F"/>
    <w:rsid w:val="7A5C78B1"/>
    <w:rsid w:val="7A5E3C4E"/>
    <w:rsid w:val="7A733BF4"/>
    <w:rsid w:val="7A8C4B1E"/>
    <w:rsid w:val="7AAA2726"/>
    <w:rsid w:val="7AAC1296"/>
    <w:rsid w:val="7AC313F4"/>
    <w:rsid w:val="7ACA5466"/>
    <w:rsid w:val="7AD45C10"/>
    <w:rsid w:val="7AD522D5"/>
    <w:rsid w:val="7AE318EE"/>
    <w:rsid w:val="7AFB2BD3"/>
    <w:rsid w:val="7AFF0807"/>
    <w:rsid w:val="7B07175A"/>
    <w:rsid w:val="7B0A6A9B"/>
    <w:rsid w:val="7B0D2818"/>
    <w:rsid w:val="7B3D676B"/>
    <w:rsid w:val="7B416F0A"/>
    <w:rsid w:val="7B5D35F7"/>
    <w:rsid w:val="7B912D47"/>
    <w:rsid w:val="7B917CAE"/>
    <w:rsid w:val="7B92467D"/>
    <w:rsid w:val="7B943CCB"/>
    <w:rsid w:val="7B994E29"/>
    <w:rsid w:val="7B9D745B"/>
    <w:rsid w:val="7BAD3F83"/>
    <w:rsid w:val="7BB12C0A"/>
    <w:rsid w:val="7BB73BB8"/>
    <w:rsid w:val="7BC96E50"/>
    <w:rsid w:val="7BD24E35"/>
    <w:rsid w:val="7BDA36FA"/>
    <w:rsid w:val="7C005CAF"/>
    <w:rsid w:val="7C055284"/>
    <w:rsid w:val="7C254F1C"/>
    <w:rsid w:val="7C302710"/>
    <w:rsid w:val="7C424F97"/>
    <w:rsid w:val="7C425CF3"/>
    <w:rsid w:val="7C4C2BF6"/>
    <w:rsid w:val="7C57415F"/>
    <w:rsid w:val="7C57508E"/>
    <w:rsid w:val="7C594D0E"/>
    <w:rsid w:val="7C5D3714"/>
    <w:rsid w:val="7C60651C"/>
    <w:rsid w:val="7C640CBC"/>
    <w:rsid w:val="7C71680F"/>
    <w:rsid w:val="7C796B8F"/>
    <w:rsid w:val="7C812178"/>
    <w:rsid w:val="7CA83B93"/>
    <w:rsid w:val="7CAA7279"/>
    <w:rsid w:val="7CB82DCD"/>
    <w:rsid w:val="7CBC3199"/>
    <w:rsid w:val="7CC72DC3"/>
    <w:rsid w:val="7CCA3477"/>
    <w:rsid w:val="7CCB17CA"/>
    <w:rsid w:val="7CD66DE6"/>
    <w:rsid w:val="7CE57657"/>
    <w:rsid w:val="7D1E37C3"/>
    <w:rsid w:val="7D225A5C"/>
    <w:rsid w:val="7D3A42B0"/>
    <w:rsid w:val="7D653F46"/>
    <w:rsid w:val="7D6F1CD1"/>
    <w:rsid w:val="7D723F16"/>
    <w:rsid w:val="7D896705"/>
    <w:rsid w:val="7D8E3A4A"/>
    <w:rsid w:val="7D972197"/>
    <w:rsid w:val="7D990F1D"/>
    <w:rsid w:val="7D9A2209"/>
    <w:rsid w:val="7DA9460F"/>
    <w:rsid w:val="7DC73FEB"/>
    <w:rsid w:val="7DC80B9A"/>
    <w:rsid w:val="7DCB29F1"/>
    <w:rsid w:val="7DD47EE4"/>
    <w:rsid w:val="7DE03DE0"/>
    <w:rsid w:val="7DE5055D"/>
    <w:rsid w:val="7DE65FBE"/>
    <w:rsid w:val="7DFF6F70"/>
    <w:rsid w:val="7E1C41A7"/>
    <w:rsid w:val="7E2461C2"/>
    <w:rsid w:val="7E252460"/>
    <w:rsid w:val="7E397349"/>
    <w:rsid w:val="7E3B2283"/>
    <w:rsid w:val="7E425EB3"/>
    <w:rsid w:val="7E676FEC"/>
    <w:rsid w:val="7E826950"/>
    <w:rsid w:val="7E89682B"/>
    <w:rsid w:val="7E8A1B2B"/>
    <w:rsid w:val="7E904003"/>
    <w:rsid w:val="7E9064E4"/>
    <w:rsid w:val="7EA66AB7"/>
    <w:rsid w:val="7EA85236"/>
    <w:rsid w:val="7EB76F44"/>
    <w:rsid w:val="7EBB18A6"/>
    <w:rsid w:val="7EBC33F7"/>
    <w:rsid w:val="7ED60925"/>
    <w:rsid w:val="7EF249D2"/>
    <w:rsid w:val="7EFF5CB3"/>
    <w:rsid w:val="7F113622"/>
    <w:rsid w:val="7F1E0D19"/>
    <w:rsid w:val="7F314CA2"/>
    <w:rsid w:val="7F4C1035"/>
    <w:rsid w:val="7F50176F"/>
    <w:rsid w:val="7F7057E9"/>
    <w:rsid w:val="7F7405C7"/>
    <w:rsid w:val="7F7F75D9"/>
    <w:rsid w:val="7F8B38CC"/>
    <w:rsid w:val="7FAF6BB9"/>
    <w:rsid w:val="7FBB179D"/>
    <w:rsid w:val="7FCF43C0"/>
    <w:rsid w:val="7FD208D9"/>
    <w:rsid w:val="7FD44198"/>
    <w:rsid w:val="7FDB4950"/>
    <w:rsid w:val="7FDF55E5"/>
    <w:rsid w:val="7FFA2F91"/>
    <w:rsid w:val="7FFF38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8"/>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49"/>
    <w:unhideWhenUsed/>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50"/>
    <w:autoRedefine/>
    <w:semiHidden/>
    <w:unhideWhenUsed/>
    <w:qFormat/>
    <w:uiPriority w:val="0"/>
    <w:pPr>
      <w:keepNext/>
      <w:keepLines/>
      <w:spacing w:line="413" w:lineRule="auto"/>
      <w:outlineLvl w:val="2"/>
    </w:pPr>
    <w:rPr>
      <w:b/>
      <w:bCs/>
      <w:sz w:val="32"/>
      <w:szCs w:val="32"/>
    </w:rPr>
  </w:style>
  <w:style w:type="paragraph" w:styleId="5">
    <w:name w:val="heading 4"/>
    <w:basedOn w:val="1"/>
    <w:next w:val="1"/>
    <w:link w:val="51"/>
    <w:semiHidden/>
    <w:unhideWhenUsed/>
    <w:qFormat/>
    <w:uiPriority w:val="0"/>
    <w:pPr>
      <w:keepNext/>
      <w:keepLines/>
      <w:jc w:val="left"/>
      <w:outlineLvl w:val="3"/>
    </w:pPr>
    <w:rPr>
      <w:rFonts w:ascii="Arial" w:hAnsi="Arial" w:cs="Arial"/>
      <w:b/>
      <w:bCs/>
      <w:sz w:val="32"/>
      <w:szCs w:val="32"/>
    </w:rPr>
  </w:style>
  <w:style w:type="paragraph" w:styleId="6">
    <w:name w:val="heading 6"/>
    <w:basedOn w:val="1"/>
    <w:next w:val="1"/>
    <w:autoRedefine/>
    <w:qFormat/>
    <w:uiPriority w:val="1"/>
    <w:pPr>
      <w:ind w:left="878"/>
      <w:outlineLvl w:val="5"/>
    </w:pPr>
    <w:rPr>
      <w:rFonts w:ascii="仿宋" w:hAnsi="仿宋" w:eastAsia="仿宋" w:cs="仿宋"/>
      <w:b/>
      <w:bCs/>
      <w:sz w:val="28"/>
      <w:szCs w:val="28"/>
      <w:lang w:val="zh-CN" w:bidi="zh-CN"/>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260"/>
      <w:jc w:val="left"/>
    </w:pPr>
    <w:rPr>
      <w:rFonts w:asciiTheme="minorHAnsi" w:hAnsiTheme="minorHAnsi"/>
      <w:sz w:val="18"/>
      <w:szCs w:val="18"/>
    </w:rPr>
  </w:style>
  <w:style w:type="paragraph" w:styleId="8">
    <w:name w:val="Normal Indent"/>
    <w:basedOn w:val="1"/>
    <w:autoRedefine/>
    <w:qFormat/>
    <w:uiPriority w:val="0"/>
    <w:pPr>
      <w:ind w:firstLine="420"/>
    </w:pPr>
  </w:style>
  <w:style w:type="paragraph" w:styleId="9">
    <w:name w:val="toa heading"/>
    <w:basedOn w:val="1"/>
    <w:next w:val="1"/>
    <w:autoRedefine/>
    <w:unhideWhenUsed/>
    <w:qFormat/>
    <w:uiPriority w:val="0"/>
    <w:pPr>
      <w:spacing w:before="120"/>
    </w:pPr>
    <w:rPr>
      <w:rFonts w:asciiTheme="majorHAnsi" w:hAnsiTheme="majorHAnsi" w:cstheme="majorBidi"/>
      <w:sz w:val="24"/>
    </w:rPr>
  </w:style>
  <w:style w:type="paragraph" w:styleId="10">
    <w:name w:val="annotation text"/>
    <w:basedOn w:val="1"/>
    <w:link w:val="52"/>
    <w:autoRedefine/>
    <w:qFormat/>
    <w:uiPriority w:val="0"/>
    <w:pPr>
      <w:jc w:val="left"/>
    </w:pPr>
    <w:rPr>
      <w:rFonts w:ascii="宋体" w:cs="宋体"/>
      <w:kern w:val="0"/>
      <w:sz w:val="34"/>
      <w:szCs w:val="34"/>
    </w:rPr>
  </w:style>
  <w:style w:type="paragraph" w:styleId="11">
    <w:name w:val="Body Text 3"/>
    <w:basedOn w:val="1"/>
    <w:next w:val="12"/>
    <w:qFormat/>
    <w:uiPriority w:val="0"/>
    <w:pPr>
      <w:spacing w:line="360" w:lineRule="exact"/>
    </w:pPr>
    <w:rPr>
      <w:sz w:val="28"/>
      <w:szCs w:val="16"/>
    </w:rPr>
  </w:style>
  <w:style w:type="paragraph" w:styleId="12">
    <w:name w:val="Body Text"/>
    <w:basedOn w:val="1"/>
    <w:next w:val="1"/>
    <w:link w:val="53"/>
    <w:autoRedefine/>
    <w:unhideWhenUsed/>
    <w:qFormat/>
    <w:uiPriority w:val="99"/>
  </w:style>
  <w:style w:type="paragraph" w:styleId="13">
    <w:name w:val="Body Text Indent"/>
    <w:basedOn w:val="1"/>
    <w:link w:val="54"/>
    <w:autoRedefine/>
    <w:qFormat/>
    <w:uiPriority w:val="0"/>
    <w:pPr>
      <w:spacing w:after="120"/>
      <w:ind w:left="420" w:leftChars="200"/>
    </w:pPr>
  </w:style>
  <w:style w:type="paragraph" w:styleId="14">
    <w:name w:val="Block Text"/>
    <w:basedOn w:val="1"/>
    <w:autoRedefine/>
    <w:qFormat/>
    <w:uiPriority w:val="0"/>
    <w:pPr>
      <w:spacing w:after="120"/>
      <w:ind w:left="1440" w:leftChars="700" w:right="700" w:rightChars="700"/>
    </w:pPr>
  </w:style>
  <w:style w:type="paragraph" w:styleId="15">
    <w:name w:val="toc 5"/>
    <w:basedOn w:val="1"/>
    <w:next w:val="1"/>
    <w:autoRedefine/>
    <w:qFormat/>
    <w:uiPriority w:val="0"/>
    <w:pPr>
      <w:ind w:left="840"/>
      <w:jc w:val="left"/>
    </w:pPr>
    <w:rPr>
      <w:rFonts w:asciiTheme="minorHAnsi" w:hAnsiTheme="minorHAnsi"/>
      <w:sz w:val="18"/>
      <w:szCs w:val="18"/>
    </w:rPr>
  </w:style>
  <w:style w:type="paragraph" w:styleId="16">
    <w:name w:val="toc 3"/>
    <w:basedOn w:val="1"/>
    <w:next w:val="1"/>
    <w:autoRedefine/>
    <w:qFormat/>
    <w:uiPriority w:val="0"/>
    <w:pPr>
      <w:ind w:left="420"/>
      <w:jc w:val="left"/>
    </w:pPr>
    <w:rPr>
      <w:rFonts w:asciiTheme="minorHAnsi" w:hAnsiTheme="minorHAnsi"/>
      <w:i/>
      <w:iCs/>
      <w:sz w:val="20"/>
      <w:szCs w:val="20"/>
    </w:rPr>
  </w:style>
  <w:style w:type="paragraph" w:styleId="17">
    <w:name w:val="Plain Text"/>
    <w:basedOn w:val="1"/>
    <w:link w:val="55"/>
    <w:autoRedefine/>
    <w:qFormat/>
    <w:uiPriority w:val="0"/>
    <w:pPr>
      <w:spacing w:line="324" w:lineRule="auto"/>
    </w:pPr>
    <w:rPr>
      <w:rFonts w:ascii="宋体" w:hAnsi="Courier New" w:cs="宋体"/>
    </w:rPr>
  </w:style>
  <w:style w:type="paragraph" w:styleId="18">
    <w:name w:val="toc 8"/>
    <w:basedOn w:val="1"/>
    <w:next w:val="1"/>
    <w:autoRedefine/>
    <w:qFormat/>
    <w:uiPriority w:val="0"/>
    <w:pPr>
      <w:ind w:left="1470"/>
      <w:jc w:val="left"/>
    </w:pPr>
    <w:rPr>
      <w:rFonts w:asciiTheme="minorHAnsi" w:hAnsiTheme="minorHAnsi"/>
      <w:sz w:val="18"/>
      <w:szCs w:val="18"/>
    </w:rPr>
  </w:style>
  <w:style w:type="paragraph" w:styleId="19">
    <w:name w:val="Date"/>
    <w:basedOn w:val="1"/>
    <w:next w:val="1"/>
    <w:link w:val="79"/>
    <w:autoRedefine/>
    <w:qFormat/>
    <w:uiPriority w:val="0"/>
    <w:pPr>
      <w:ind w:left="100" w:leftChars="2500"/>
    </w:pPr>
  </w:style>
  <w:style w:type="paragraph" w:styleId="20">
    <w:name w:val="Body Text Indent 2"/>
    <w:basedOn w:val="1"/>
    <w:link w:val="56"/>
    <w:autoRedefine/>
    <w:qFormat/>
    <w:uiPriority w:val="0"/>
    <w:pPr>
      <w:spacing w:after="120" w:line="480" w:lineRule="auto"/>
      <w:ind w:left="420" w:leftChars="200"/>
    </w:pPr>
  </w:style>
  <w:style w:type="paragraph" w:styleId="21">
    <w:name w:val="Balloon Text"/>
    <w:basedOn w:val="1"/>
    <w:link w:val="57"/>
    <w:autoRedefine/>
    <w:qFormat/>
    <w:uiPriority w:val="0"/>
    <w:rPr>
      <w:sz w:val="18"/>
      <w:szCs w:val="18"/>
    </w:rPr>
  </w:style>
  <w:style w:type="paragraph" w:styleId="22">
    <w:name w:val="footer"/>
    <w:basedOn w:val="1"/>
    <w:link w:val="58"/>
    <w:autoRedefine/>
    <w:unhideWhenUsed/>
    <w:qFormat/>
    <w:uiPriority w:val="99"/>
    <w:pPr>
      <w:tabs>
        <w:tab w:val="center" w:pos="4153"/>
        <w:tab w:val="right" w:pos="8306"/>
      </w:tabs>
      <w:snapToGrid w:val="0"/>
      <w:jc w:val="left"/>
    </w:pPr>
    <w:rPr>
      <w:sz w:val="18"/>
      <w:szCs w:val="18"/>
    </w:rPr>
  </w:style>
  <w:style w:type="paragraph" w:styleId="23">
    <w:name w:val="header"/>
    <w:basedOn w:val="1"/>
    <w:link w:val="59"/>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Theme="minorHAnsi" w:hAnsiTheme="minorHAnsi"/>
      <w:b/>
      <w:bCs/>
      <w:caps/>
      <w:sz w:val="20"/>
      <w:szCs w:val="20"/>
    </w:rPr>
  </w:style>
  <w:style w:type="paragraph" w:styleId="25">
    <w:name w:val="toc 4"/>
    <w:basedOn w:val="1"/>
    <w:next w:val="1"/>
    <w:autoRedefine/>
    <w:qFormat/>
    <w:uiPriority w:val="0"/>
    <w:pPr>
      <w:ind w:left="630"/>
      <w:jc w:val="left"/>
    </w:pPr>
    <w:rPr>
      <w:rFonts w:asciiTheme="minorHAnsi" w:hAnsiTheme="minorHAnsi"/>
      <w:sz w:val="18"/>
      <w:szCs w:val="18"/>
    </w:rPr>
  </w:style>
  <w:style w:type="paragraph" w:styleId="26">
    <w:name w:val="footnote text"/>
    <w:basedOn w:val="1"/>
    <w:autoRedefine/>
    <w:qFormat/>
    <w:uiPriority w:val="0"/>
    <w:pPr>
      <w:snapToGrid w:val="0"/>
      <w:jc w:val="left"/>
    </w:pPr>
    <w:rPr>
      <w:sz w:val="18"/>
    </w:rPr>
  </w:style>
  <w:style w:type="paragraph" w:styleId="27">
    <w:name w:val="toc 6"/>
    <w:basedOn w:val="1"/>
    <w:next w:val="1"/>
    <w:autoRedefine/>
    <w:qFormat/>
    <w:uiPriority w:val="0"/>
    <w:pPr>
      <w:ind w:left="1050"/>
      <w:jc w:val="left"/>
    </w:pPr>
    <w:rPr>
      <w:rFonts w:asciiTheme="minorHAnsi" w:hAnsiTheme="minorHAnsi"/>
      <w:sz w:val="18"/>
      <w:szCs w:val="18"/>
    </w:rPr>
  </w:style>
  <w:style w:type="paragraph" w:styleId="28">
    <w:name w:val="toc 2"/>
    <w:basedOn w:val="1"/>
    <w:next w:val="1"/>
    <w:autoRedefine/>
    <w:qFormat/>
    <w:uiPriority w:val="0"/>
    <w:pPr>
      <w:ind w:left="210"/>
      <w:jc w:val="left"/>
    </w:pPr>
    <w:rPr>
      <w:rFonts w:asciiTheme="minorHAnsi" w:hAnsiTheme="minorHAnsi"/>
      <w:smallCaps/>
      <w:sz w:val="20"/>
      <w:szCs w:val="20"/>
    </w:rPr>
  </w:style>
  <w:style w:type="paragraph" w:styleId="29">
    <w:name w:val="toc 9"/>
    <w:basedOn w:val="1"/>
    <w:next w:val="1"/>
    <w:autoRedefine/>
    <w:qFormat/>
    <w:uiPriority w:val="0"/>
    <w:pPr>
      <w:ind w:left="1680"/>
      <w:jc w:val="left"/>
    </w:pPr>
    <w:rPr>
      <w:rFonts w:asciiTheme="minorHAnsi" w:hAnsiTheme="minorHAnsi"/>
      <w:sz w:val="18"/>
      <w:szCs w:val="18"/>
    </w:rPr>
  </w:style>
  <w:style w:type="paragraph" w:styleId="30">
    <w:name w:val="Body Text 2"/>
    <w:basedOn w:val="1"/>
    <w:link w:val="60"/>
    <w:autoRedefine/>
    <w:qFormat/>
    <w:uiPriority w:val="0"/>
    <w:pPr>
      <w:jc w:val="center"/>
    </w:pPr>
    <w:rPr>
      <w:b/>
      <w:bCs/>
      <w:spacing w:val="-20"/>
      <w:w w:val="130"/>
      <w:sz w:val="48"/>
      <w:szCs w:val="48"/>
    </w:rPr>
  </w:style>
  <w:style w:type="paragraph" w:styleId="3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0"/>
    <w:next w:val="1"/>
    <w:link w:val="89"/>
    <w:autoRedefine/>
    <w:qFormat/>
    <w:uiPriority w:val="0"/>
    <w:rPr>
      <w:rFonts w:ascii="Calibri" w:cs="Calibri"/>
      <w:b/>
      <w:bCs/>
      <w:kern w:val="2"/>
      <w:sz w:val="21"/>
      <w:szCs w:val="21"/>
    </w:rPr>
  </w:style>
  <w:style w:type="paragraph" w:styleId="33">
    <w:name w:val="Body Text First Indent"/>
    <w:basedOn w:val="12"/>
    <w:autoRedefine/>
    <w:qFormat/>
    <w:uiPriority w:val="0"/>
    <w:pPr>
      <w:ind w:firstLine="420" w:firstLineChars="100"/>
    </w:pPr>
  </w:style>
  <w:style w:type="paragraph" w:styleId="34">
    <w:name w:val="Body Text First Indent 2"/>
    <w:basedOn w:val="13"/>
    <w:autoRedefine/>
    <w:qFormat/>
    <w:uiPriority w:val="99"/>
    <w:pPr>
      <w:tabs>
        <w:tab w:val="left" w:pos="4900"/>
      </w:tabs>
      <w:ind w:firstLine="420" w:firstLineChars="200"/>
    </w:p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bCs/>
      <w:sz w:val="24"/>
      <w:szCs w:val="24"/>
    </w:rPr>
  </w:style>
  <w:style w:type="character" w:styleId="39">
    <w:name w:val="page number"/>
    <w:basedOn w:val="37"/>
    <w:autoRedefine/>
    <w:qFormat/>
    <w:uiPriority w:val="0"/>
  </w:style>
  <w:style w:type="character" w:styleId="40">
    <w:name w:val="Emphasis"/>
    <w:autoRedefine/>
    <w:qFormat/>
    <w:uiPriority w:val="0"/>
    <w:rPr>
      <w:i/>
      <w:iCs/>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styleId="43">
    <w:name w:val="HTML Cite"/>
    <w:autoRedefine/>
    <w:qFormat/>
    <w:uiPriority w:val="0"/>
    <w:rPr>
      <w:sz w:val="24"/>
      <w:szCs w:val="24"/>
    </w:rPr>
  </w:style>
  <w:style w:type="character" w:styleId="44">
    <w:name w:val="footnote reference"/>
    <w:basedOn w:val="37"/>
    <w:autoRedefine/>
    <w:qFormat/>
    <w:uiPriority w:val="0"/>
    <w:rPr>
      <w:vertAlign w:val="superscript"/>
    </w:rPr>
  </w:style>
  <w:style w:type="paragraph" w:customStyle="1" w:styleId="45">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6">
    <w:name w:val="列出段落1"/>
    <w:basedOn w:val="1"/>
    <w:autoRedefine/>
    <w:qFormat/>
    <w:uiPriority w:val="99"/>
    <w:pPr>
      <w:ind w:firstLine="420" w:firstLineChars="200"/>
    </w:pPr>
  </w:style>
  <w:style w:type="paragraph" w:customStyle="1" w:styleId="47">
    <w:name w:val="TOC 标题1"/>
    <w:basedOn w:val="2"/>
    <w:next w:val="1"/>
    <w:autoRedefine/>
    <w:qFormat/>
    <w:uiPriority w:val="99"/>
    <w:pPr>
      <w:spacing w:before="480" w:line="276" w:lineRule="auto"/>
      <w:outlineLvl w:val="9"/>
    </w:pPr>
    <w:rPr>
      <w:rFonts w:ascii="仿宋" w:hAnsi="仿宋" w:eastAsia="仿宋" w:cs="仿宋"/>
      <w:color w:val="000000"/>
      <w:kern w:val="0"/>
    </w:rPr>
  </w:style>
  <w:style w:type="character" w:customStyle="1" w:styleId="48">
    <w:name w:val="标题 1 字符"/>
    <w:link w:val="2"/>
    <w:autoRedefine/>
    <w:qFormat/>
    <w:locked/>
    <w:uiPriority w:val="99"/>
    <w:rPr>
      <w:rFonts w:ascii="Calibri" w:hAnsi="Calibri" w:cs="Calibri"/>
      <w:b/>
      <w:bCs/>
      <w:kern w:val="44"/>
      <w:sz w:val="44"/>
      <w:szCs w:val="44"/>
    </w:rPr>
  </w:style>
  <w:style w:type="character" w:customStyle="1" w:styleId="49">
    <w:name w:val="标题 2 字符"/>
    <w:link w:val="3"/>
    <w:autoRedefine/>
    <w:qFormat/>
    <w:locked/>
    <w:uiPriority w:val="99"/>
    <w:rPr>
      <w:rFonts w:ascii="Cambria" w:hAnsi="Cambria" w:eastAsia="宋体" w:cs="Cambria"/>
      <w:b/>
      <w:bCs/>
      <w:sz w:val="32"/>
      <w:szCs w:val="32"/>
    </w:rPr>
  </w:style>
  <w:style w:type="character" w:customStyle="1" w:styleId="50">
    <w:name w:val="标题 3 字符"/>
    <w:link w:val="4"/>
    <w:autoRedefine/>
    <w:semiHidden/>
    <w:qFormat/>
    <w:locked/>
    <w:uiPriority w:val="99"/>
    <w:rPr>
      <w:rFonts w:ascii="Calibri" w:hAnsi="Calibri" w:cs="Calibri"/>
      <w:b/>
      <w:bCs/>
      <w:sz w:val="32"/>
      <w:szCs w:val="32"/>
    </w:rPr>
  </w:style>
  <w:style w:type="character" w:customStyle="1" w:styleId="51">
    <w:name w:val="标题 4 字符"/>
    <w:link w:val="5"/>
    <w:autoRedefine/>
    <w:semiHidden/>
    <w:qFormat/>
    <w:uiPriority w:val="9"/>
    <w:rPr>
      <w:rFonts w:ascii="Cambria" w:hAnsi="Cambria" w:eastAsia="宋体" w:cs="Times New Roman"/>
      <w:b/>
      <w:bCs/>
      <w:sz w:val="28"/>
      <w:szCs w:val="28"/>
    </w:rPr>
  </w:style>
  <w:style w:type="character" w:customStyle="1" w:styleId="52">
    <w:name w:val="批注文字 字符"/>
    <w:link w:val="10"/>
    <w:autoRedefine/>
    <w:qFormat/>
    <w:locked/>
    <w:uiPriority w:val="99"/>
    <w:rPr>
      <w:rFonts w:ascii="宋体" w:hAnsi="Calibri" w:eastAsia="宋体" w:cs="宋体"/>
      <w:sz w:val="22"/>
      <w:szCs w:val="22"/>
    </w:rPr>
  </w:style>
  <w:style w:type="character" w:customStyle="1" w:styleId="53">
    <w:name w:val="正文文本 字符"/>
    <w:link w:val="12"/>
    <w:autoRedefine/>
    <w:semiHidden/>
    <w:qFormat/>
    <w:locked/>
    <w:uiPriority w:val="99"/>
    <w:rPr>
      <w:rFonts w:ascii="Calibri" w:hAnsi="Calibri" w:cs="Calibri"/>
    </w:rPr>
  </w:style>
  <w:style w:type="character" w:customStyle="1" w:styleId="54">
    <w:name w:val="正文文本缩进 字符"/>
    <w:link w:val="13"/>
    <w:autoRedefine/>
    <w:semiHidden/>
    <w:qFormat/>
    <w:uiPriority w:val="99"/>
    <w:rPr>
      <w:rFonts w:ascii="Calibri" w:hAnsi="Calibri" w:cs="Calibri"/>
      <w:szCs w:val="21"/>
    </w:rPr>
  </w:style>
  <w:style w:type="character" w:customStyle="1" w:styleId="55">
    <w:name w:val="纯文本 字符"/>
    <w:link w:val="17"/>
    <w:autoRedefine/>
    <w:qFormat/>
    <w:locked/>
    <w:uiPriority w:val="0"/>
    <w:rPr>
      <w:rFonts w:ascii="宋体" w:hAnsi="Courier New" w:cs="宋体"/>
      <w:sz w:val="21"/>
      <w:szCs w:val="21"/>
    </w:rPr>
  </w:style>
  <w:style w:type="character" w:customStyle="1" w:styleId="56">
    <w:name w:val="正文文本缩进 2 字符"/>
    <w:link w:val="20"/>
    <w:autoRedefine/>
    <w:semiHidden/>
    <w:qFormat/>
    <w:locked/>
    <w:uiPriority w:val="99"/>
    <w:rPr>
      <w:rFonts w:ascii="Calibri" w:hAnsi="Calibri" w:cs="Calibri"/>
    </w:rPr>
  </w:style>
  <w:style w:type="character" w:customStyle="1" w:styleId="57">
    <w:name w:val="批注框文本 字符"/>
    <w:link w:val="21"/>
    <w:autoRedefine/>
    <w:qFormat/>
    <w:locked/>
    <w:uiPriority w:val="99"/>
    <w:rPr>
      <w:rFonts w:ascii="Calibri" w:hAnsi="Calibri" w:eastAsia="宋体" w:cs="Calibri"/>
      <w:kern w:val="2"/>
      <w:sz w:val="18"/>
      <w:szCs w:val="18"/>
    </w:rPr>
  </w:style>
  <w:style w:type="character" w:customStyle="1" w:styleId="58">
    <w:name w:val="页脚 字符"/>
    <w:basedOn w:val="37"/>
    <w:link w:val="22"/>
    <w:autoRedefine/>
    <w:qFormat/>
    <w:locked/>
    <w:uiPriority w:val="99"/>
    <w:rPr>
      <w:rFonts w:ascii="Calibri" w:hAnsi="Calibri" w:cs="Calibri"/>
      <w:sz w:val="18"/>
      <w:szCs w:val="18"/>
    </w:rPr>
  </w:style>
  <w:style w:type="character" w:customStyle="1" w:styleId="59">
    <w:name w:val="页眉 字符"/>
    <w:basedOn w:val="37"/>
    <w:link w:val="23"/>
    <w:autoRedefine/>
    <w:qFormat/>
    <w:locked/>
    <w:uiPriority w:val="99"/>
    <w:rPr>
      <w:rFonts w:ascii="Calibri" w:hAnsi="Calibri" w:cs="Calibri"/>
      <w:sz w:val="18"/>
      <w:szCs w:val="18"/>
    </w:rPr>
  </w:style>
  <w:style w:type="character" w:customStyle="1" w:styleId="60">
    <w:name w:val="正文文本 2 字符"/>
    <w:link w:val="30"/>
    <w:autoRedefine/>
    <w:semiHidden/>
    <w:qFormat/>
    <w:locked/>
    <w:uiPriority w:val="99"/>
    <w:rPr>
      <w:rFonts w:ascii="Calibri" w:hAnsi="Calibri" w:cs="Calibri"/>
    </w:rPr>
  </w:style>
  <w:style w:type="paragraph" w:customStyle="1" w:styleId="61">
    <w:name w:val="Char2 Char Char Char"/>
    <w:basedOn w:val="1"/>
    <w:autoRedefine/>
    <w:qFormat/>
    <w:uiPriority w:val="99"/>
    <w:rPr>
      <w:rFonts w:ascii="Tahoma" w:hAnsi="Tahoma" w:cs="Tahoma"/>
      <w:sz w:val="24"/>
      <w:szCs w:val="24"/>
    </w:rPr>
  </w:style>
  <w:style w:type="character" w:customStyle="1" w:styleId="62">
    <w:name w:val="10"/>
    <w:autoRedefine/>
    <w:qFormat/>
    <w:uiPriority w:val="99"/>
    <w:rPr>
      <w:rFonts w:ascii="Calibri" w:hAnsi="Calibri" w:cs="Calibri"/>
    </w:rPr>
  </w:style>
  <w:style w:type="character" w:customStyle="1" w:styleId="63">
    <w:name w:val="15"/>
    <w:autoRedefine/>
    <w:qFormat/>
    <w:uiPriority w:val="99"/>
    <w:rPr>
      <w:rFonts w:ascii="Calibri" w:hAnsi="Calibri" w:cs="Calibri"/>
      <w:i/>
      <w:iCs/>
    </w:rPr>
  </w:style>
  <w:style w:type="paragraph" w:customStyle="1" w:styleId="64">
    <w:name w:val="_Style 2"/>
    <w:basedOn w:val="1"/>
    <w:autoRedefine/>
    <w:qFormat/>
    <w:uiPriority w:val="99"/>
    <w:pPr>
      <w:ind w:firstLine="420" w:firstLineChars="200"/>
    </w:pPr>
  </w:style>
  <w:style w:type="character" w:customStyle="1" w:styleId="65">
    <w:name w:val="apple-style-span"/>
    <w:autoRedefine/>
    <w:qFormat/>
    <w:uiPriority w:val="99"/>
  </w:style>
  <w:style w:type="character" w:customStyle="1" w:styleId="66">
    <w:name w:val="del"/>
    <w:basedOn w:val="37"/>
    <w:autoRedefine/>
    <w:qFormat/>
    <w:uiPriority w:val="99"/>
  </w:style>
  <w:style w:type="character" w:customStyle="1" w:styleId="67">
    <w:name w:val="del1"/>
    <w:autoRedefine/>
    <w:qFormat/>
    <w:uiPriority w:val="99"/>
    <w:rPr>
      <w:vanish/>
      <w:color w:val="auto"/>
      <w:sz w:val="18"/>
      <w:szCs w:val="18"/>
      <w:u w:val="single"/>
    </w:rPr>
  </w:style>
  <w:style w:type="character" w:customStyle="1" w:styleId="68">
    <w:name w:val="del2"/>
    <w:autoRedefine/>
    <w:qFormat/>
    <w:uiPriority w:val="99"/>
    <w:rPr>
      <w:vanish/>
    </w:rPr>
  </w:style>
  <w:style w:type="character" w:customStyle="1" w:styleId="69">
    <w:name w:val="del3"/>
    <w:autoRedefine/>
    <w:qFormat/>
    <w:uiPriority w:val="99"/>
    <w:rPr>
      <w:vanish/>
    </w:rPr>
  </w:style>
  <w:style w:type="paragraph" w:customStyle="1" w:styleId="70">
    <w:name w:val="_Style 4"/>
    <w:basedOn w:val="1"/>
    <w:autoRedefine/>
    <w:qFormat/>
    <w:uiPriority w:val="99"/>
    <w:pPr>
      <w:ind w:firstLine="420" w:firstLineChars="200"/>
    </w:pPr>
  </w:style>
  <w:style w:type="paragraph" w:customStyle="1" w:styleId="71">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2">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3">
    <w:name w:val="font101"/>
    <w:basedOn w:val="37"/>
    <w:autoRedefine/>
    <w:qFormat/>
    <w:uiPriority w:val="0"/>
    <w:rPr>
      <w:rFonts w:hint="eastAsia" w:ascii="宋体" w:hAnsi="宋体" w:eastAsia="宋体" w:cs="宋体"/>
      <w:color w:val="000000"/>
      <w:sz w:val="24"/>
      <w:szCs w:val="24"/>
      <w:u w:val="none"/>
    </w:rPr>
  </w:style>
  <w:style w:type="character" w:customStyle="1" w:styleId="74">
    <w:name w:val="font91"/>
    <w:basedOn w:val="37"/>
    <w:autoRedefine/>
    <w:qFormat/>
    <w:uiPriority w:val="0"/>
    <w:rPr>
      <w:rFonts w:hint="eastAsia" w:ascii="宋体" w:hAnsi="宋体" w:eastAsia="宋体" w:cs="宋体"/>
      <w:color w:val="000000"/>
      <w:sz w:val="24"/>
      <w:szCs w:val="24"/>
      <w:u w:val="none"/>
    </w:rPr>
  </w:style>
  <w:style w:type="character" w:customStyle="1" w:styleId="75">
    <w:name w:val="font41"/>
    <w:basedOn w:val="37"/>
    <w:autoRedefine/>
    <w:qFormat/>
    <w:uiPriority w:val="0"/>
    <w:rPr>
      <w:rFonts w:hint="eastAsia" w:ascii="宋体" w:hAnsi="宋体" w:eastAsia="宋体" w:cs="宋体"/>
      <w:color w:val="000000"/>
      <w:sz w:val="24"/>
      <w:szCs w:val="24"/>
      <w:u w:val="none"/>
    </w:rPr>
  </w:style>
  <w:style w:type="character" w:customStyle="1" w:styleId="76">
    <w:name w:val="font21"/>
    <w:basedOn w:val="37"/>
    <w:autoRedefine/>
    <w:qFormat/>
    <w:uiPriority w:val="0"/>
    <w:rPr>
      <w:rFonts w:hint="eastAsia" w:ascii="宋体" w:hAnsi="宋体" w:eastAsia="宋体" w:cs="宋体"/>
      <w:color w:val="000000"/>
      <w:sz w:val="24"/>
      <w:szCs w:val="24"/>
      <w:u w:val="none"/>
    </w:rPr>
  </w:style>
  <w:style w:type="paragraph" w:styleId="77">
    <w:name w:val="List Paragraph"/>
    <w:basedOn w:val="1"/>
    <w:autoRedefine/>
    <w:qFormat/>
    <w:uiPriority w:val="99"/>
    <w:pPr>
      <w:ind w:firstLine="420" w:firstLineChars="200"/>
    </w:pPr>
  </w:style>
  <w:style w:type="table" w:customStyle="1" w:styleId="78">
    <w:name w:val="TableGrid"/>
    <w:autoRedefine/>
    <w:qFormat/>
    <w:uiPriority w:val="0"/>
    <w:rPr>
      <w:kern w:val="2"/>
      <w:sz w:val="21"/>
      <w:szCs w:val="22"/>
    </w:rPr>
    <w:tblPr>
      <w:tblCellMar>
        <w:top w:w="0" w:type="dxa"/>
        <w:left w:w="0" w:type="dxa"/>
        <w:bottom w:w="0" w:type="dxa"/>
        <w:right w:w="0" w:type="dxa"/>
      </w:tblCellMar>
    </w:tblPr>
  </w:style>
  <w:style w:type="character" w:customStyle="1" w:styleId="79">
    <w:name w:val="日期 字符"/>
    <w:basedOn w:val="37"/>
    <w:link w:val="19"/>
    <w:autoRedefine/>
    <w:qFormat/>
    <w:uiPriority w:val="0"/>
    <w:rPr>
      <w:rFonts w:ascii="Calibri" w:hAnsi="Calibri" w:cs="Calibri"/>
      <w:kern w:val="2"/>
      <w:sz w:val="21"/>
      <w:szCs w:val="21"/>
    </w:rPr>
  </w:style>
  <w:style w:type="character" w:customStyle="1" w:styleId="80">
    <w:name w:val="List Paragraph Char1"/>
    <w:link w:val="81"/>
    <w:autoRedefine/>
    <w:qFormat/>
    <w:locked/>
    <w:uiPriority w:val="0"/>
    <w:rPr>
      <w:sz w:val="24"/>
    </w:rPr>
  </w:style>
  <w:style w:type="paragraph" w:customStyle="1" w:styleId="81">
    <w:name w:val="列出段落2"/>
    <w:basedOn w:val="1"/>
    <w:link w:val="80"/>
    <w:autoRedefine/>
    <w:qFormat/>
    <w:uiPriority w:val="0"/>
    <w:pPr>
      <w:ind w:firstLine="420" w:firstLineChars="200"/>
    </w:pPr>
    <w:rPr>
      <w:rFonts w:ascii="Times New Roman" w:hAnsi="Times New Roman" w:cs="Times New Roman"/>
      <w:kern w:val="0"/>
      <w:sz w:val="24"/>
      <w:szCs w:val="20"/>
    </w:rPr>
  </w:style>
  <w:style w:type="table" w:customStyle="1" w:styleId="82">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6">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7">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8">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9">
    <w:name w:val="批注主题 字符"/>
    <w:basedOn w:val="52"/>
    <w:link w:val="32"/>
    <w:autoRedefine/>
    <w:semiHidden/>
    <w:qFormat/>
    <w:uiPriority w:val="99"/>
    <w:rPr>
      <w:rFonts w:ascii="Calibri" w:hAnsi="Calibri" w:eastAsia="宋体" w:cs="Calibri"/>
      <w:b/>
      <w:bCs/>
      <w:kern w:val="2"/>
      <w:sz w:val="21"/>
      <w:szCs w:val="21"/>
    </w:rPr>
  </w:style>
  <w:style w:type="paragraph" w:customStyle="1" w:styleId="90">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91">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9"/>
    <w:autoRedefine/>
    <w:qFormat/>
    <w:uiPriority w:val="0"/>
    <w:rPr>
      <w:kern w:val="2"/>
      <w:sz w:val="21"/>
      <w:szCs w:val="22"/>
    </w:rPr>
    <w:tblPr>
      <w:tblCellMar>
        <w:top w:w="0" w:type="dxa"/>
        <w:left w:w="0" w:type="dxa"/>
        <w:bottom w:w="0" w:type="dxa"/>
        <w:right w:w="0" w:type="dxa"/>
      </w:tblCellMar>
    </w:tblPr>
  </w:style>
  <w:style w:type="table" w:customStyle="1" w:styleId="93">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2"/>
    <w:autoRedefine/>
    <w:qFormat/>
    <w:uiPriority w:val="0"/>
    <w:rPr>
      <w:kern w:val="2"/>
      <w:sz w:val="21"/>
      <w:szCs w:val="22"/>
    </w:rPr>
    <w:tblPr>
      <w:tblCellMar>
        <w:top w:w="0" w:type="dxa"/>
        <w:left w:w="0" w:type="dxa"/>
        <w:bottom w:w="0" w:type="dxa"/>
        <w:right w:w="0" w:type="dxa"/>
      </w:tblCellMar>
    </w:tblPr>
  </w:style>
  <w:style w:type="table" w:customStyle="1" w:styleId="96">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7">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8">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9">
    <w:name w:val="网格型1"/>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
    <w:name w:val="high-light-bg4"/>
    <w:basedOn w:val="37"/>
    <w:autoRedefine/>
    <w:qFormat/>
    <w:uiPriority w:val="0"/>
  </w:style>
  <w:style w:type="paragraph" w:customStyle="1" w:styleId="10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p16"/>
    <w:basedOn w:val="1"/>
    <w:autoRedefine/>
    <w:qFormat/>
    <w:uiPriority w:val="0"/>
    <w:rPr>
      <w:rFonts w:ascii="宋体" w:hAnsi="宋体" w:cs="宋体"/>
      <w:sz w:val="28"/>
      <w:szCs w:val="28"/>
    </w:rPr>
  </w:style>
  <w:style w:type="paragraph" w:customStyle="1" w:styleId="103">
    <w:name w:val="+正文"/>
    <w:basedOn w:val="1"/>
    <w:autoRedefine/>
    <w:qFormat/>
    <w:uiPriority w:val="99"/>
    <w:pPr>
      <w:spacing w:line="360" w:lineRule="auto"/>
      <w:ind w:firstLine="200" w:firstLineChars="200"/>
    </w:pPr>
  </w:style>
  <w:style w:type="paragraph" w:customStyle="1" w:styleId="104">
    <w:name w:val="正文 New"/>
    <w:autoRedefine/>
    <w:qFormat/>
    <w:uiPriority w:val="99"/>
    <w:pPr>
      <w:widowControl w:val="0"/>
      <w:jc w:val="both"/>
    </w:pPr>
    <w:rPr>
      <w:rFonts w:ascii="Times New Roman" w:hAnsi="Times New Roman" w:eastAsia="宋体" w:cs="Times New Roman"/>
      <w:lang w:val="en-US" w:eastAsia="zh-CN" w:bidi="ar-SA"/>
    </w:rPr>
  </w:style>
  <w:style w:type="character" w:customStyle="1" w:styleId="105">
    <w:name w:val="font01"/>
    <w:basedOn w:val="37"/>
    <w:autoRedefine/>
    <w:qFormat/>
    <w:uiPriority w:val="0"/>
    <w:rPr>
      <w:rFonts w:hint="eastAsia" w:ascii="仿宋" w:hAnsi="仿宋" w:eastAsia="仿宋" w:cs="仿宋"/>
      <w:color w:val="000000"/>
      <w:sz w:val="28"/>
      <w:szCs w:val="28"/>
      <w:u w:val="none"/>
    </w:rPr>
  </w:style>
  <w:style w:type="character" w:customStyle="1" w:styleId="106">
    <w:name w:val="font31"/>
    <w:basedOn w:val="37"/>
    <w:autoRedefine/>
    <w:qFormat/>
    <w:uiPriority w:val="0"/>
    <w:rPr>
      <w:rFonts w:hint="eastAsia" w:ascii="仿宋" w:hAnsi="仿宋" w:eastAsia="仿宋" w:cs="仿宋"/>
      <w:color w:val="000000"/>
      <w:sz w:val="24"/>
      <w:szCs w:val="24"/>
      <w:u w:val="none"/>
    </w:rPr>
  </w:style>
  <w:style w:type="character" w:customStyle="1" w:styleId="107">
    <w:name w:val="font11"/>
    <w:basedOn w:val="37"/>
    <w:autoRedefine/>
    <w:qFormat/>
    <w:uiPriority w:val="0"/>
    <w:rPr>
      <w:rFonts w:hint="eastAsia" w:ascii="宋体" w:hAnsi="宋体" w:eastAsia="宋体" w:cs="宋体"/>
      <w:color w:val="000000"/>
      <w:sz w:val="32"/>
      <w:szCs w:val="32"/>
      <w:u w:val="none"/>
    </w:rPr>
  </w:style>
  <w:style w:type="paragraph" w:customStyle="1" w:styleId="108">
    <w:name w:val="表格文字"/>
    <w:basedOn w:val="1"/>
    <w:autoRedefine/>
    <w:qFormat/>
    <w:uiPriority w:val="0"/>
    <w:pPr>
      <w:spacing w:before="120" w:after="120"/>
    </w:pPr>
    <w:rPr>
      <w:rFonts w:ascii="新宋体" w:hAnsi="宋体" w:eastAsia="新宋体" w:cstheme="minorBidi"/>
      <w:bCs/>
      <w:color w:val="000000"/>
      <w:sz w:val="18"/>
      <w:szCs w:val="18"/>
    </w:rPr>
  </w:style>
  <w:style w:type="paragraph" w:customStyle="1" w:styleId="109">
    <w:name w:val="正文格式"/>
    <w:basedOn w:val="1"/>
    <w:autoRedefine/>
    <w:qFormat/>
    <w:uiPriority w:val="0"/>
    <w:pPr>
      <w:adjustRightInd w:val="0"/>
      <w:snapToGrid w:val="0"/>
      <w:spacing w:line="400" w:lineRule="atLeast"/>
      <w:ind w:firstLine="482"/>
      <w:textAlignment w:val="baseline"/>
    </w:pPr>
  </w:style>
  <w:style w:type="paragraph" w:customStyle="1" w:styleId="110">
    <w:name w:val="※正文"/>
    <w:basedOn w:val="1"/>
    <w:next w:val="1"/>
    <w:qFormat/>
    <w:uiPriority w:val="0"/>
    <w:pPr>
      <w:widowControl/>
      <w:wordWrap w:val="0"/>
      <w:spacing w:line="400" w:lineRule="exact"/>
    </w:pPr>
    <w:rPr>
      <w:rFonts w:ascii="Calibri Light" w:hAnsi="Calibri Light" w:eastAsia="华文仿宋"/>
      <w:sz w:val="28"/>
      <w:szCs w:val="28"/>
    </w:rPr>
  </w:style>
  <w:style w:type="table" w:customStyle="1" w:styleId="111">
    <w:name w:val="Table Normal"/>
    <w:basedOn w:val="35"/>
    <w:qFormat/>
    <w:uiPriority w:val="0"/>
    <w:rPr>
      <w:rFonts w:ascii="Times New Roman" w:hAnsi="Times New Roman" w:eastAsia="Times New Roman" w:cs="Times New Roman"/>
      <w:kern w:val="0"/>
      <w:sz w:val="20"/>
      <w:szCs w:val="20"/>
      <w14:ligatures w14:val="none"/>
    </w:rPr>
    <w:tblPr>
      <w:tblCellMar>
        <w:left w:w="0" w:type="dxa"/>
        <w:right w:w="0" w:type="dxa"/>
      </w:tblCellMar>
    </w:tblPr>
  </w:style>
  <w:style w:type="paragraph" w:customStyle="1" w:styleId="112">
    <w:name w:val="MSG_EN_FONT_STYLE_NAME_TEMPLATE_ROLE_NUMBER MSG_EN_FONT_STYLE_NAME_BY_ROLE_TEXT 2"/>
    <w:basedOn w:val="1"/>
    <w:qFormat/>
    <w:uiPriority w:val="0"/>
    <w:pPr>
      <w:shd w:val="clear" w:color="auto" w:fill="FFFFFF"/>
      <w:spacing w:after="240" w:line="220" w:lineRule="exact"/>
      <w:jc w:val="distribute"/>
    </w:pPr>
    <w:rPr>
      <w:rFonts w:ascii="宋体" w:hAnsi="宋体" w:eastAsia="宋体" w:cs="宋体"/>
      <w:sz w:val="22"/>
    </w:rPr>
  </w:style>
  <w:style w:type="paragraph" w:customStyle="1" w:styleId="11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180A0-0E1E-43DA-AE95-CE829FEE3260}">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59</Pages>
  <Words>2283</Words>
  <Characters>2583</Characters>
  <Lines>176</Lines>
  <Paragraphs>49</Paragraphs>
  <TotalTime>50</TotalTime>
  <ScaleCrop>false</ScaleCrop>
  <LinksUpToDate>false</LinksUpToDate>
  <CharactersWithSpaces>2720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2023-06-08T02:12:00Z</dcterms:created>
  <dc:creator>Administrator</dc:creator>
  <cp:lastModifiedBy>WPS_1528011989</cp:lastModifiedBy>
  <cp:lastPrinted>2024-10-16T09:09:00Z</cp:lastPrinted>
  <dcterms:modified xsi:type="dcterms:W3CDTF">2025-09-02T01:36:12Z</dcterms:modified>
  <dc:title>政府采购项目</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8073FB5B771A447490D16C13ADE6865D_13</vt:lpwstr>
  </property>
  <property fmtid="{D5CDD505-2E9C-101B-9397-08002B2CF9AE}" pid="4" name="KSOTemplateDocerSaveRecord">
    <vt:lpwstr>eyJoZGlkIjoiMDg1OGE3YTllNWRkNjgwY2M5ZDEwMmY0ODQzZDFhY2IiLCJ1c2VySWQiOiIzNzU3MTM1MjkifQ==</vt:lpwstr>
  </property>
</Properties>
</file>