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8011">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548B3809">
      <w:pPr>
        <w:keepNext w:val="0"/>
        <w:keepLines w:val="0"/>
        <w:pageBreakBefore w:val="0"/>
        <w:widowControl w:val="0"/>
        <w:kinsoku/>
        <w:wordWrap/>
        <w:overflowPunct/>
        <w:topLinePunct w:val="0"/>
        <w:autoSpaceDE/>
        <w:autoSpaceDN/>
        <w:bidi w:val="0"/>
        <w:adjustRightInd/>
        <w:snapToGrid/>
        <w:spacing w:line="317"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一、项目概况</w:t>
      </w:r>
    </w:p>
    <w:p w14:paraId="3C482959">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需运维的西咸新区农村污水处理站共14座及相关配套管网，包括上林街道茨根村污水处理站、斗门街道中丰店村污水处理站、荆寺一村污水处理站、荆寺二村污水处理站、白家庄村污水处理站、袁旗寨村污水处理站、大王街道康王村污水处理站、龙台坊西堡村污水处理站、凿齿村污水处理站、兆仑村污水处理站、正阳街道后排村污水处理站、窑店街办刘家沟村污水处理站、三义村污水处理站、周陵街道司家庄村污水处理站及相关配套管网。</w:t>
      </w:r>
    </w:p>
    <w:p w14:paraId="260DD1EB">
      <w:pPr>
        <w:keepNext w:val="0"/>
        <w:keepLines w:val="0"/>
        <w:pageBreakBefore w:val="0"/>
        <w:widowControl w:val="0"/>
        <w:kinsoku/>
        <w:wordWrap/>
        <w:overflowPunct/>
        <w:topLinePunct w:val="0"/>
        <w:autoSpaceDE/>
        <w:autoSpaceDN/>
        <w:bidi w:val="0"/>
        <w:adjustRightInd/>
        <w:snapToGrid/>
        <w:spacing w:line="317" w:lineRule="auto"/>
        <w:ind w:leftChars="0" w:firstLine="480" w:firstLineChars="200"/>
        <w:textAlignment w:val="auto"/>
        <w:rPr>
          <w:rFonts w:hint="default" w:ascii="仿宋" w:hAnsi="仿宋" w:eastAsia="仿宋" w:cs="仿宋"/>
          <w:bCs/>
          <w:color w:val="auto"/>
          <w:kern w:val="2"/>
          <w:sz w:val="24"/>
          <w:szCs w:val="24"/>
          <w:highlight w:val="none"/>
          <w:vertAlign w:val="baseline"/>
          <w:lang w:val="en-US" w:eastAsia="zh-CN" w:bidi="ar-SA"/>
        </w:rPr>
      </w:pPr>
      <w:r>
        <w:rPr>
          <w:rFonts w:hint="eastAsia" w:ascii="仿宋" w:hAnsi="仿宋" w:eastAsia="仿宋" w:cs="仿宋"/>
          <w:bCs/>
          <w:color w:val="auto"/>
          <w:kern w:val="2"/>
          <w:sz w:val="24"/>
          <w:szCs w:val="24"/>
          <w:highlight w:val="none"/>
          <w:lang w:val="en-US" w:eastAsia="zh-CN" w:bidi="ar-SA"/>
        </w:rPr>
        <w:t>上述污水处理站数量为暂定数量，具体服务数量和站点按照实际情况以甲方指定为准。经测算，本项目14座污水处理站日处理方量合计约2000m</w:t>
      </w:r>
      <w:r>
        <w:rPr>
          <w:rFonts w:hint="eastAsia" w:ascii="仿宋" w:hAnsi="仿宋" w:eastAsia="仿宋" w:cs="仿宋"/>
          <w:bCs/>
          <w:color w:val="auto"/>
          <w:kern w:val="2"/>
          <w:sz w:val="24"/>
          <w:szCs w:val="24"/>
          <w:highlight w:val="none"/>
          <w:vertAlign w:val="superscript"/>
          <w:lang w:val="en-US" w:eastAsia="zh-CN" w:bidi="ar-SA"/>
        </w:rPr>
        <w:t>3</w:t>
      </w:r>
      <w:r>
        <w:rPr>
          <w:rFonts w:hint="eastAsia" w:ascii="仿宋" w:hAnsi="仿宋" w:eastAsia="仿宋" w:cs="仿宋"/>
          <w:bCs/>
          <w:color w:val="auto"/>
          <w:kern w:val="2"/>
          <w:sz w:val="24"/>
          <w:szCs w:val="24"/>
          <w:highlight w:val="none"/>
          <w:lang w:val="en-US" w:eastAsia="zh-CN" w:bidi="ar-SA"/>
        </w:rPr>
        <w:t>，处理方量单价最高限价为2.56元/m</w:t>
      </w:r>
      <w:r>
        <w:rPr>
          <w:rFonts w:hint="eastAsia" w:ascii="仿宋" w:hAnsi="仿宋" w:eastAsia="仿宋" w:cs="仿宋"/>
          <w:bCs/>
          <w:color w:val="auto"/>
          <w:kern w:val="2"/>
          <w:sz w:val="24"/>
          <w:szCs w:val="24"/>
          <w:highlight w:val="none"/>
          <w:vertAlign w:val="superscript"/>
          <w:lang w:val="en-US" w:eastAsia="zh-CN" w:bidi="ar-SA"/>
        </w:rPr>
        <w:t>3</w:t>
      </w:r>
      <w:r>
        <w:rPr>
          <w:rFonts w:hint="eastAsia" w:ascii="仿宋" w:hAnsi="仿宋" w:eastAsia="仿宋" w:cs="仿宋"/>
          <w:bCs/>
          <w:color w:val="auto"/>
          <w:kern w:val="2"/>
          <w:sz w:val="24"/>
          <w:szCs w:val="24"/>
          <w:highlight w:val="none"/>
          <w:vertAlign w:val="baseline"/>
          <w:lang w:val="en-US" w:eastAsia="zh-CN" w:bidi="ar-SA"/>
        </w:rPr>
        <w:t>，供应商报价中的单价不得高于该最高限价，否则按无效响应处理。</w:t>
      </w:r>
    </w:p>
    <w:p w14:paraId="2F4B70B5">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为规范和加强农村生活污水处理设施运行维护管理工作，确保设施正常运维，持续保障农村水环境质量，计划采购第三方运维服务。</w:t>
      </w:r>
    </w:p>
    <w:p w14:paraId="17A47AF2">
      <w:pPr>
        <w:keepNext w:val="0"/>
        <w:keepLines w:val="0"/>
        <w:pageBreakBefore w:val="0"/>
        <w:widowControl w:val="0"/>
        <w:kinsoku/>
        <w:wordWrap/>
        <w:overflowPunct/>
        <w:topLinePunct w:val="0"/>
        <w:autoSpaceDE/>
        <w:autoSpaceDN/>
        <w:bidi w:val="0"/>
        <w:adjustRightInd/>
        <w:snapToGrid/>
        <w:spacing w:line="317"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二、服务内容</w:t>
      </w:r>
    </w:p>
    <w:p w14:paraId="7CAB4864">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1、负责各农村污水处理站设备设施的运行、巡检工作。</w:t>
      </w:r>
    </w:p>
    <w:p w14:paraId="1C21DABF">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2、按照合同约定内容，负责各农村污水处理站设备设施的维护保养及维修工作。</w:t>
      </w:r>
    </w:p>
    <w:p w14:paraId="52FB4413">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3、负责各农村污水处理站污水处理药剂配置与投加工作。</w:t>
      </w:r>
    </w:p>
    <w:p w14:paraId="671ABF8F">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4、负责各农村污水处理站出水水质检测工作。</w:t>
      </w:r>
    </w:p>
    <w:p w14:paraId="1938FCA3">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5、负责各农村污水处理站尾水拉运外排工作。</w:t>
      </w:r>
    </w:p>
    <w:p w14:paraId="76AFBD10">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6、按照合同约定内容，负责各农村污水处理站污水处理工艺及管网异常情况的排查和协调处理工作。</w:t>
      </w:r>
    </w:p>
    <w:p w14:paraId="7ED79C82">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7、负责各农村污水处理站绿化及环境卫生清洁工作。</w:t>
      </w:r>
    </w:p>
    <w:p w14:paraId="5C2259F0">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8、负责各农村污水处理站剩余污泥处置工作。</w:t>
      </w:r>
    </w:p>
    <w:p w14:paraId="5013DE5C">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9、负责运行记录、设备检修记录、水质检测记录、尾水拉运外排记录等各类资料的填写、收集、归档、保管工作。</w:t>
      </w:r>
    </w:p>
    <w:p w14:paraId="4A60B472">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10、负责各农村污水处理站安全与环保管理工作。</w:t>
      </w:r>
    </w:p>
    <w:p w14:paraId="71F7E8F7">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11、配合上级单位完成各农村污水处理站检查及第三方水质检测单位取样工作。</w:t>
      </w:r>
    </w:p>
    <w:p w14:paraId="09828F5C">
      <w:pPr>
        <w:keepNext w:val="0"/>
        <w:keepLines w:val="0"/>
        <w:pageBreakBefore w:val="0"/>
        <w:widowControl w:val="0"/>
        <w:kinsoku/>
        <w:wordWrap/>
        <w:overflowPunct/>
        <w:topLinePunct w:val="0"/>
        <w:autoSpaceDE/>
        <w:autoSpaceDN/>
        <w:bidi w:val="0"/>
        <w:adjustRightInd/>
        <w:snapToGrid/>
        <w:spacing w:line="317"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三、工作要求</w:t>
      </w:r>
    </w:p>
    <w:p w14:paraId="662F10A9">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1、此次运维农污站处理工艺包括：A</w:t>
      </w:r>
      <w:r>
        <w:rPr>
          <w:rFonts w:hint="eastAsia" w:ascii="仿宋" w:hAnsi="仿宋" w:eastAsia="仿宋" w:cs="仿宋"/>
          <w:bCs/>
          <w:color w:val="auto"/>
          <w:sz w:val="24"/>
          <w:szCs w:val="24"/>
          <w:highlight w:val="none"/>
          <w:vertAlign w:val="superscript"/>
          <w:lang w:val="en-US" w:eastAsia="zh-CN"/>
        </w:rPr>
        <w:t>2</w:t>
      </w:r>
      <w:r>
        <w:rPr>
          <w:rFonts w:hint="eastAsia" w:ascii="仿宋" w:hAnsi="仿宋" w:eastAsia="仿宋" w:cs="仿宋"/>
          <w:bCs/>
          <w:color w:val="auto"/>
          <w:sz w:val="24"/>
          <w:szCs w:val="24"/>
          <w:highlight w:val="none"/>
          <w:lang w:val="en-US" w:eastAsia="zh-CN"/>
        </w:rPr>
        <w:t>O+MBR膜工艺、A</w:t>
      </w:r>
      <w:r>
        <w:rPr>
          <w:rFonts w:hint="eastAsia" w:ascii="仿宋" w:hAnsi="仿宋" w:eastAsia="仿宋" w:cs="仿宋"/>
          <w:bCs/>
          <w:color w:val="auto"/>
          <w:sz w:val="24"/>
          <w:szCs w:val="24"/>
          <w:highlight w:val="none"/>
          <w:vertAlign w:val="superscript"/>
          <w:lang w:val="en-US" w:eastAsia="zh-CN"/>
        </w:rPr>
        <w:t>2</w:t>
      </w:r>
      <w:r>
        <w:rPr>
          <w:rFonts w:hint="eastAsia" w:ascii="仿宋" w:hAnsi="仿宋" w:eastAsia="仿宋" w:cs="仿宋"/>
          <w:bCs/>
          <w:color w:val="auto"/>
          <w:sz w:val="24"/>
          <w:szCs w:val="24"/>
          <w:highlight w:val="none"/>
          <w:lang w:val="en-US" w:eastAsia="zh-CN"/>
        </w:rPr>
        <w:t>O+MBBR工艺和多级AO工艺。各农污站出水水质分别需达到《城镇污水处理厂污染物排放标准》（GB18918-2002）中一级A标准、陕西省地方标准《农村生活污水处理设施水污染物排放标准》（DB61/1227-2018）中一级标准、陕西省地方标准《农村生活污水处理设施水污染物排放标准》（DB61/1227-2018）中二级标准，具体情况详见下表：</w:t>
      </w:r>
    </w:p>
    <w:tbl>
      <w:tblPr>
        <w:tblStyle w:val="11"/>
        <w:tblW w:w="10314"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2455"/>
        <w:gridCol w:w="1845"/>
        <w:gridCol w:w="1557"/>
        <w:gridCol w:w="1400"/>
        <w:gridCol w:w="2071"/>
      </w:tblGrid>
      <w:tr w14:paraId="72C6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21BEAF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序号</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71EEB9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污水处理站名称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0BE99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污水处理工艺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785DB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尾水排放去向</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0A14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设计处理量m</w:t>
            </w:r>
            <w:r>
              <w:rPr>
                <w:rFonts w:hint="eastAsia" w:ascii="仿宋" w:hAnsi="仿宋" w:eastAsia="仿宋" w:cs="仿宋"/>
                <w:i w:val="0"/>
                <w:iCs w:val="0"/>
                <w:color w:val="auto"/>
                <w:kern w:val="0"/>
                <w:sz w:val="22"/>
                <w:szCs w:val="22"/>
                <w:highlight w:val="none"/>
                <w:u w:val="none"/>
                <w:vertAlign w:val="superscript"/>
                <w:lang w:val="en-US" w:eastAsia="zh-CN" w:bidi="ar"/>
              </w:rPr>
              <w:t>3</w:t>
            </w:r>
            <w:r>
              <w:rPr>
                <w:rFonts w:hint="eastAsia" w:ascii="仿宋" w:hAnsi="仿宋" w:eastAsia="仿宋" w:cs="仿宋"/>
                <w:i w:val="0"/>
                <w:iCs w:val="0"/>
                <w:color w:val="auto"/>
                <w:kern w:val="0"/>
                <w:sz w:val="22"/>
                <w:szCs w:val="22"/>
                <w:highlight w:val="none"/>
                <w:u w:val="none"/>
                <w:lang w:val="en-US" w:eastAsia="zh-CN" w:bidi="ar"/>
              </w:rPr>
              <w:t>/d</w:t>
            </w:r>
          </w:p>
        </w:tc>
        <w:tc>
          <w:tcPr>
            <w:tcW w:w="2071" w:type="dxa"/>
            <w:tcBorders>
              <w:top w:val="single" w:color="000000" w:sz="4" w:space="0"/>
              <w:left w:val="single" w:color="000000" w:sz="4" w:space="0"/>
              <w:bottom w:val="single" w:color="000000" w:sz="4" w:space="0"/>
              <w:right w:val="single" w:color="000000" w:sz="4" w:space="0"/>
            </w:tcBorders>
            <w:noWrap/>
            <w:vAlign w:val="center"/>
          </w:tcPr>
          <w:p w14:paraId="2202B20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排放标准</w:t>
            </w:r>
          </w:p>
        </w:tc>
      </w:tr>
      <w:tr w14:paraId="2537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3EA8DF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1B6189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茨根村污水处理站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557C3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4425C6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存放于涝池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43F898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108</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50AAAAD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1432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DDE99D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0E8487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中丰店村污水处理站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7468A1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O+MBBR工艺和多级AO工艺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FA635B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沣河</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0D4EB5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7A9B96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（GB18918-2002）中一级A标准</w:t>
            </w:r>
          </w:p>
        </w:tc>
      </w:tr>
      <w:tr w14:paraId="4AF4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C23E6E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3BD40D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荆寺一村污水处理站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F8839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O+MBBR工艺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3FCFC5A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存放于涝池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45C35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5EF1A11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7EAD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732314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25F226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荆寺二村污水处理站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B9A68D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O+MBBR工艺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EFD97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存放于涝池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224F0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618122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6494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570664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7DCB63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白家庄村污水处理站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A61FD8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A1900F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存放于涝池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9185F5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09C5568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2050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A6CCC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6043A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袁旗寨村污水处理站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F168E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O+MBBR工艺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22AC89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存放于涝池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088C80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6A6871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59D9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EC7DF7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E29DBC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康王村污水处理站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D94D4B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6D5C0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新河</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54705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127B8AD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（GB18918-2002）中一级A标准</w:t>
            </w:r>
          </w:p>
        </w:tc>
      </w:tr>
      <w:tr w14:paraId="5C31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8A28A8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2355CF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龙台坊西堡村污水处理站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8375E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21BC5C8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涝池、防洪渠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EC89C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5549A41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（GB18918-2002）中一级A标准</w:t>
            </w:r>
          </w:p>
        </w:tc>
      </w:tr>
      <w:tr w14:paraId="4CBB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0AB0CB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465F7A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凿齿村污水处理站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5AFD8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66B32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涝池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BF29D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369BF1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（GB18918-2002）中一级A标准</w:t>
            </w:r>
          </w:p>
        </w:tc>
      </w:tr>
      <w:tr w14:paraId="5184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A25002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4CF195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兆仑村污水处理站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FDB752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9771C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新河</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40DE2E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39FA973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（GB18918-2002）中一级A标准</w:t>
            </w:r>
          </w:p>
        </w:tc>
      </w:tr>
      <w:tr w14:paraId="4D6E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0B28B1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0211C8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后排村污水处理站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307B5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7AE53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蓄水池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0FBE4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1F2EDAD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3836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7CC9CC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78A5ABA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刘家沟村污水处理站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8B4F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56FC78D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蓄水池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DF2BBA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2EE7F37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248D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6A20E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13</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25621FD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三义村污水处理站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C6E7E5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57F821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蓄水池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DCF190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445AE0E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r w14:paraId="352F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AAC95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14</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CD7EC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司家庄村污水处理站</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505C48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w:t>
            </w:r>
            <w:r>
              <w:rPr>
                <w:rFonts w:hint="eastAsia" w:ascii="仿宋" w:hAnsi="仿宋" w:eastAsia="仿宋" w:cs="仿宋"/>
                <w:i w:val="0"/>
                <w:iCs w:val="0"/>
                <w:color w:val="000000"/>
                <w:kern w:val="0"/>
                <w:sz w:val="22"/>
                <w:szCs w:val="22"/>
                <w:u w:val="none"/>
                <w:vertAlign w:val="superscript"/>
                <w:lang w:val="en-US" w:eastAsia="zh-CN" w:bidi="ar"/>
              </w:rPr>
              <w:t>2</w:t>
            </w:r>
            <w:r>
              <w:rPr>
                <w:rFonts w:hint="eastAsia" w:ascii="仿宋" w:hAnsi="仿宋" w:eastAsia="仿宋" w:cs="仿宋"/>
                <w:i w:val="0"/>
                <w:iCs w:val="0"/>
                <w:color w:val="000000"/>
                <w:kern w:val="0"/>
                <w:sz w:val="22"/>
                <w:szCs w:val="22"/>
                <w:u w:val="none"/>
                <w:lang w:val="en-US" w:eastAsia="zh-CN" w:bidi="ar"/>
              </w:rPr>
              <w:t>O+MBR膜工艺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C0244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蓄水池</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E7602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221F604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（DB61/1227-2018）一级标准</w:t>
            </w:r>
          </w:p>
        </w:tc>
      </w:tr>
    </w:tbl>
    <w:p w14:paraId="1F06FD7A">
      <w:pPr>
        <w:keepNext w:val="0"/>
        <w:keepLines w:val="0"/>
        <w:pageBreakBefore w:val="0"/>
        <w:kinsoku/>
        <w:wordWrap/>
        <w:overflowPunct/>
        <w:bidi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在委托运维期内严格按适用法律及《西咸新区农村生活污水处理设施运行维护管理办法（试行）》，对污水站进行运行维护，持续、安全、稳定地提供服务，污水处理设备正常运转，并确保污水站出水水质达标。</w:t>
      </w:r>
    </w:p>
    <w:p w14:paraId="792B966A">
      <w:pPr>
        <w:keepNext w:val="0"/>
        <w:keepLines w:val="0"/>
        <w:pageBreakBefore w:val="0"/>
        <w:kinsoku/>
        <w:wordWrap/>
        <w:overflowPunct/>
        <w:bidi w:val="0"/>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四、服务期</w:t>
      </w:r>
    </w:p>
    <w:p w14:paraId="2CA0833F">
      <w:pPr>
        <w:spacing w:line="52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服务期限：</w:t>
      </w:r>
      <w:r>
        <w:rPr>
          <w:rFonts w:hint="eastAsia" w:ascii="仿宋" w:hAnsi="仿宋" w:eastAsia="仿宋" w:cs="仿宋"/>
          <w:bCs/>
          <w:color w:val="auto"/>
          <w:sz w:val="24"/>
          <w:szCs w:val="24"/>
          <w:highlight w:val="none"/>
          <w:lang w:val="zh-CN" w:eastAsia="zh-CN"/>
        </w:rPr>
        <w:t>自合同签订之日起一年。</w:t>
      </w:r>
    </w:p>
    <w:p w14:paraId="67BC76B8">
      <w:pPr>
        <w:keepNext w:val="0"/>
        <w:keepLines w:val="0"/>
        <w:pageBreakBefore w:val="0"/>
        <w:kinsoku/>
        <w:wordWrap/>
        <w:overflowPunct/>
        <w:bidi w:val="0"/>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五、付款方式</w:t>
      </w:r>
    </w:p>
    <w:p w14:paraId="00E3C0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firstLine="480" w:firstLineChars="200"/>
        <w:textAlignment w:val="auto"/>
        <w:rPr>
          <w:rStyle w:val="14"/>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乙方每季度按实际处理污水方量据实核算服务费，提交甲方后，甲方根据该季度考核结果核算该季度最终服务费，于下个季度首月支付。</w:t>
      </w:r>
    </w:p>
    <w:p w14:paraId="5C70614C">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7BF18FD"/>
    <w:rsid w:val="09733BCD"/>
    <w:rsid w:val="119242E3"/>
    <w:rsid w:val="129C0D42"/>
    <w:rsid w:val="170219D5"/>
    <w:rsid w:val="17E74F00"/>
    <w:rsid w:val="18C33753"/>
    <w:rsid w:val="1A2A3B3E"/>
    <w:rsid w:val="1EFD169A"/>
    <w:rsid w:val="22E10413"/>
    <w:rsid w:val="252C351F"/>
    <w:rsid w:val="296C0B43"/>
    <w:rsid w:val="2BAC1149"/>
    <w:rsid w:val="2E3D66A4"/>
    <w:rsid w:val="3E27534E"/>
    <w:rsid w:val="44B91127"/>
    <w:rsid w:val="4E646531"/>
    <w:rsid w:val="50BF7D4B"/>
    <w:rsid w:val="53A75A71"/>
    <w:rsid w:val="5A515100"/>
    <w:rsid w:val="685D5026"/>
    <w:rsid w:val="6BA21785"/>
    <w:rsid w:val="71797846"/>
    <w:rsid w:val="72F23390"/>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Body Text"/>
    <w:basedOn w:val="1"/>
    <w:next w:val="1"/>
    <w:qFormat/>
    <w:uiPriority w:val="0"/>
    <w:pPr>
      <w:spacing w:after="120" w:afterLines="0"/>
    </w:pPr>
    <w:rPr>
      <w:rFonts w:ascii="Times New Roman"/>
      <w:kern w:val="2"/>
      <w:sz w:val="21"/>
    </w:rPr>
  </w:style>
  <w:style w:type="paragraph" w:styleId="8">
    <w:name w:val="Body Text Indent"/>
    <w:basedOn w:val="1"/>
    <w:qFormat/>
    <w:uiPriority w:val="0"/>
    <w:pPr>
      <w:widowControl/>
      <w:ind w:firstLine="652" w:firstLineChars="233"/>
    </w:pPr>
    <w:rPr>
      <w:rFonts w:ascii="Times New Roman"/>
      <w:sz w:val="28"/>
    </w:rPr>
  </w:style>
  <w:style w:type="paragraph" w:styleId="9">
    <w:name w:val="footer"/>
    <w:basedOn w:val="1"/>
    <w:next w:val="7"/>
    <w:qFormat/>
    <w:uiPriority w:val="99"/>
    <w:pPr>
      <w:tabs>
        <w:tab w:val="center" w:pos="4153"/>
        <w:tab w:val="right" w:pos="8306"/>
      </w:tabs>
      <w:snapToGrid w:val="0"/>
      <w:jc w:val="left"/>
    </w:pPr>
    <w:rPr>
      <w:rFonts w:ascii="Times New Roman"/>
      <w:kern w:val="2"/>
      <w:sz w:val="18"/>
      <w:szCs w:val="18"/>
    </w:rPr>
  </w:style>
  <w:style w:type="paragraph" w:styleId="10">
    <w:name w:val="Body Text First Indent 2"/>
    <w:basedOn w:val="8"/>
    <w:unhideWhenUsed/>
    <w:qFormat/>
    <w:uiPriority w:val="99"/>
    <w:pPr>
      <w:widowControl/>
      <w:ind w:firstLine="420"/>
      <w:jc w:val="left"/>
    </w:pPr>
    <w:rPr>
      <w:rFonts w:ascii="宋体" w:hAnsi="宋体" w:cs="宋体"/>
      <w:sz w:val="21"/>
    </w:rPr>
  </w:style>
  <w:style w:type="paragraph" w:customStyle="1" w:styleId="13">
    <w:name w:val="正文文本 31"/>
    <w:basedOn w:val="1"/>
    <w:qFormat/>
    <w:uiPriority w:val="0"/>
    <w:rPr>
      <w:sz w:val="16"/>
      <w:szCs w:val="16"/>
    </w:r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7">
    <w:name w:val="列出段落1"/>
    <w:basedOn w:val="1"/>
    <w:qFormat/>
    <w:uiPriority w:val="0"/>
    <w:pPr>
      <w:ind w:firstLine="420" w:firstLineChars="200"/>
    </w:pPr>
  </w:style>
  <w:style w:type="paragraph" w:styleId="1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2299</Words>
  <Characters>2387</Characters>
  <Lines>0</Lines>
  <Paragraphs>0</Paragraphs>
  <TotalTime>0</TotalTime>
  <ScaleCrop>false</ScaleCrop>
  <LinksUpToDate>false</LinksUpToDate>
  <CharactersWithSpaces>2392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2025-09-08T06:41:30Z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