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D2041">
      <w:pPr>
        <w:pStyle w:val="8"/>
        <w:spacing w:line="360" w:lineRule="auto"/>
        <w:jc w:val="left"/>
        <w:rPr>
          <w:rFonts w:hint="eastAsia" w:ascii="宋体" w:hAnsi="宋体" w:eastAsia="宋体" w:cs="宋体"/>
          <w:b/>
          <w:color w:val="0000FF"/>
          <w:sz w:val="21"/>
          <w:highlight w:val="none"/>
        </w:rPr>
      </w:pPr>
      <w:r>
        <w:rPr>
          <w:rFonts w:hint="eastAsia" w:ascii="宋体" w:hAnsi="宋体" w:eastAsia="宋体" w:cs="宋体"/>
          <w:b/>
          <w:color w:val="0000FF"/>
          <w:sz w:val="21"/>
          <w:highlight w:val="none"/>
        </w:rPr>
        <w:t>一、项目概况</w:t>
      </w:r>
    </w:p>
    <w:p w14:paraId="43EEF652">
      <w:pPr>
        <w:pStyle w:val="8"/>
        <w:spacing w:line="360" w:lineRule="auto"/>
        <w:ind w:firstLine="410" w:firstLineChars="200"/>
        <w:jc w:val="both"/>
        <w:rPr>
          <w:rFonts w:hint="eastAsia" w:ascii="宋体" w:hAnsi="宋体" w:cs="宋体"/>
          <w:b w:val="0"/>
          <w:bCs w:val="0"/>
          <w:color w:val="0000FF"/>
          <w:spacing w:val="2"/>
          <w:highlight w:val="none"/>
          <w:lang w:val="en-US" w:eastAsia="zh-CN"/>
        </w:rPr>
      </w:pPr>
      <w:r>
        <w:rPr>
          <w:rFonts w:hint="eastAsia" w:ascii="宋体" w:hAnsi="宋体" w:cs="宋体"/>
          <w:b/>
          <w:bCs/>
          <w:color w:val="0000FF"/>
          <w:spacing w:val="2"/>
          <w:highlight w:val="none"/>
          <w:lang w:val="en-US" w:eastAsia="zh-CN"/>
        </w:rPr>
        <w:t>1.1项目基本情况：</w:t>
      </w:r>
      <w:r>
        <w:rPr>
          <w:rFonts w:hint="eastAsia" w:ascii="宋体" w:hAnsi="宋体" w:cs="宋体"/>
          <w:b w:val="0"/>
          <w:bCs w:val="0"/>
          <w:color w:val="0000FF"/>
          <w:spacing w:val="2"/>
          <w:highlight w:val="none"/>
          <w:lang w:val="en-US" w:eastAsia="zh-CN"/>
        </w:rPr>
        <w:t>港务大道及沿线支路沿线、秦汉大道沿线两侧绿地及支路、纺渭路、杏园立交周边、新寺遗址公园、启航公园等区域绿地养护及与绿化相关的养护辅助管理工作；</w:t>
      </w:r>
    </w:p>
    <w:p w14:paraId="3F9AC1B8">
      <w:pPr>
        <w:pStyle w:val="8"/>
        <w:spacing w:line="360" w:lineRule="auto"/>
        <w:ind w:firstLine="410" w:firstLineChars="200"/>
        <w:jc w:val="both"/>
        <w:rPr>
          <w:rFonts w:hint="eastAsia" w:ascii="宋体" w:hAnsi="宋体" w:cs="宋体"/>
          <w:b w:val="0"/>
          <w:bCs w:val="0"/>
          <w:color w:val="0000FF"/>
          <w:spacing w:val="2"/>
          <w:highlight w:val="none"/>
          <w:lang w:val="en-US" w:eastAsia="zh-CN"/>
        </w:rPr>
      </w:pPr>
      <w:r>
        <w:rPr>
          <w:rFonts w:hint="eastAsia" w:ascii="宋体" w:hAnsi="宋体" w:cs="宋体"/>
          <w:b/>
          <w:bCs/>
          <w:color w:val="0000FF"/>
          <w:spacing w:val="2"/>
          <w:highlight w:val="none"/>
          <w:lang w:val="en-US" w:eastAsia="zh-CN"/>
        </w:rPr>
        <w:t>1.2本项目采购标的名称：</w:t>
      </w:r>
      <w:r>
        <w:rPr>
          <w:rFonts w:hint="eastAsia" w:ascii="宋体" w:hAnsi="宋体" w:cs="宋体"/>
          <w:b w:val="0"/>
          <w:bCs w:val="0"/>
          <w:color w:val="0000FF"/>
          <w:spacing w:val="2"/>
          <w:highlight w:val="none"/>
          <w:lang w:val="en-US" w:eastAsia="zh-CN"/>
        </w:rPr>
        <w:t>2025-2027年养护管理辅助服务 。本项目所属行业为其他未列明行业。</w:t>
      </w:r>
    </w:p>
    <w:p w14:paraId="79A3AFD3">
      <w:pPr>
        <w:pStyle w:val="4"/>
        <w:keepNext w:val="0"/>
        <w:keepLines w:val="0"/>
        <w:pageBreakBefore w:val="0"/>
        <w:kinsoku/>
        <w:wordWrap/>
        <w:overflowPunct/>
        <w:topLinePunct w:val="0"/>
        <w:autoSpaceDE/>
        <w:autoSpaceDN/>
        <w:bidi w:val="0"/>
        <w:spacing w:before="120" w:beforeLines="50" w:after="120" w:afterLines="50" w:line="360" w:lineRule="auto"/>
        <w:textAlignment w:val="auto"/>
        <w:rPr>
          <w:rFonts w:hint="eastAsia" w:ascii="宋体" w:hAnsi="宋体" w:eastAsia="宋体" w:cs="宋体"/>
          <w:b/>
          <w:color w:val="0000FF"/>
          <w:sz w:val="28"/>
          <w:szCs w:val="28"/>
          <w:highlight w:val="none"/>
          <w:lang w:eastAsia="zh-CN"/>
        </w:rPr>
      </w:pPr>
      <w:r>
        <w:rPr>
          <w:rFonts w:hint="eastAsia" w:ascii="宋体" w:hAnsi="宋体" w:eastAsia="宋体" w:cs="宋体"/>
          <w:b/>
          <w:color w:val="0000FF"/>
          <w:sz w:val="28"/>
          <w:szCs w:val="28"/>
          <w:highlight w:val="none"/>
          <w:lang w:val="en-US" w:eastAsia="zh-CN"/>
        </w:rPr>
        <w:t>二</w:t>
      </w:r>
      <w:r>
        <w:rPr>
          <w:rFonts w:hint="eastAsia" w:ascii="宋体" w:hAnsi="宋体" w:eastAsia="宋体" w:cs="宋体"/>
          <w:b/>
          <w:color w:val="0000FF"/>
          <w:sz w:val="28"/>
          <w:szCs w:val="28"/>
          <w:highlight w:val="none"/>
          <w:lang w:eastAsia="zh-CN"/>
        </w:rPr>
        <w:t>、</w:t>
      </w:r>
      <w:r>
        <w:rPr>
          <w:rFonts w:hint="eastAsia" w:ascii="宋体" w:hAnsi="宋体" w:eastAsia="宋体" w:cs="宋体"/>
          <w:b/>
          <w:color w:val="0000FF"/>
          <w:sz w:val="28"/>
          <w:szCs w:val="28"/>
          <w:highlight w:val="none"/>
        </w:rPr>
        <w:t>服务</w:t>
      </w:r>
      <w:r>
        <w:rPr>
          <w:rFonts w:hint="eastAsia" w:ascii="宋体" w:hAnsi="宋体" w:eastAsia="宋体" w:cs="宋体"/>
          <w:b/>
          <w:color w:val="0000FF"/>
          <w:sz w:val="28"/>
          <w:szCs w:val="28"/>
          <w:highlight w:val="none"/>
          <w:lang w:eastAsia="zh-CN"/>
        </w:rPr>
        <w:t>内容及要求</w:t>
      </w:r>
    </w:p>
    <w:p w14:paraId="43FF8227">
      <w:pPr>
        <w:pStyle w:val="8"/>
        <w:numPr>
          <w:ilvl w:val="0"/>
          <w:numId w:val="0"/>
        </w:numPr>
        <w:spacing w:line="360" w:lineRule="auto"/>
        <w:ind w:firstLine="402" w:firstLineChars="200"/>
        <w:jc w:val="left"/>
        <w:rPr>
          <w:rFonts w:hint="eastAsia" w:ascii="宋体" w:hAnsi="宋体" w:eastAsia="宋体" w:cs="宋体"/>
          <w:b/>
          <w:bCs/>
          <w:color w:val="0000FF"/>
          <w:sz w:val="20"/>
          <w:szCs w:val="20"/>
          <w:highlight w:val="none"/>
          <w:lang w:val="en-US" w:eastAsia="zh-CN"/>
        </w:rPr>
      </w:pPr>
      <w:r>
        <w:rPr>
          <w:rFonts w:hint="eastAsia" w:ascii="宋体" w:hAnsi="宋体" w:eastAsia="宋体" w:cs="宋体"/>
          <w:b/>
          <w:bCs/>
          <w:color w:val="0000FF"/>
          <w:sz w:val="20"/>
          <w:szCs w:val="20"/>
          <w:highlight w:val="none"/>
          <w:lang w:val="en-US" w:eastAsia="zh-CN"/>
        </w:rPr>
        <w:t>1、工作范围：</w:t>
      </w:r>
    </w:p>
    <w:p w14:paraId="05F3E056">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港务大道及沿线支路沿线、秦汉大道沿线两侧绿地及支路、纺渭路、杏园立交周边、新寺遗址公园、启航公园等区域绿地养护及与绿化相关的养护辅助管理工作，涵盖巡查督导、数据采集、质量评估、档案管理等全流程辅助工作，其中绿化面积约380万平方米，行道树约1.9万株；</w:t>
      </w:r>
    </w:p>
    <w:p w14:paraId="4BBEEC0B">
      <w:pPr>
        <w:pStyle w:val="8"/>
        <w:numPr>
          <w:ilvl w:val="0"/>
          <w:numId w:val="0"/>
        </w:numPr>
        <w:spacing w:line="360" w:lineRule="auto"/>
        <w:ind w:firstLine="402" w:firstLineChars="200"/>
        <w:jc w:val="left"/>
        <w:rPr>
          <w:rFonts w:hint="eastAsia" w:ascii="宋体" w:hAnsi="宋体" w:eastAsia="宋体" w:cs="宋体"/>
          <w:b/>
          <w:bCs/>
          <w:color w:val="0000FF"/>
          <w:sz w:val="20"/>
          <w:szCs w:val="20"/>
          <w:highlight w:val="none"/>
          <w:lang w:val="en-US" w:eastAsia="zh-CN"/>
        </w:rPr>
      </w:pPr>
      <w:r>
        <w:rPr>
          <w:rFonts w:hint="eastAsia" w:ascii="宋体" w:hAnsi="宋体" w:eastAsia="宋体" w:cs="宋体"/>
          <w:b/>
          <w:bCs/>
          <w:color w:val="0000FF"/>
          <w:sz w:val="20"/>
          <w:szCs w:val="20"/>
          <w:highlight w:val="none"/>
          <w:lang w:val="en-US" w:eastAsia="zh-CN"/>
        </w:rPr>
        <w:t>2、服务内容：</w:t>
      </w:r>
    </w:p>
    <w:p w14:paraId="4C55F263">
      <w:pPr>
        <w:pStyle w:val="8"/>
        <w:spacing w:line="360" w:lineRule="auto"/>
        <w:ind w:firstLine="402" w:firstLineChars="200"/>
        <w:jc w:val="left"/>
        <w:rPr>
          <w:rFonts w:hint="eastAsia" w:ascii="宋体" w:hAnsi="宋体" w:eastAsia="宋体" w:cs="宋体"/>
          <w:color w:val="0000FF"/>
          <w:sz w:val="20"/>
          <w:szCs w:val="20"/>
          <w:highlight w:val="none"/>
        </w:rPr>
      </w:pPr>
      <w:r>
        <w:rPr>
          <w:rFonts w:hint="eastAsia" w:ascii="宋体" w:hAnsi="宋体" w:eastAsia="宋体" w:cs="宋体"/>
          <w:b/>
          <w:bCs/>
          <w:color w:val="0000FF"/>
          <w:sz w:val="20"/>
          <w:szCs w:val="20"/>
          <w:highlight w:val="none"/>
          <w:lang w:val="en-US" w:eastAsia="zh-CN"/>
        </w:rPr>
        <w:t>2.1辅助管理：</w:t>
      </w:r>
    </w:p>
    <w:p w14:paraId="3B9197CB">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①审查养护单位组织设计方案；</w:t>
      </w:r>
    </w:p>
    <w:p w14:paraId="6A5C7C4C">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②协助制定园区年度/月度养护计划并提供专业技术建议；</w:t>
      </w:r>
    </w:p>
    <w:p w14:paraId="58DB31E7">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③组织养护单位进行专业技术培训，每年不少于8次现场实操指导；</w:t>
      </w:r>
    </w:p>
    <w:p w14:paraId="6A5F0208">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④建立应急响应机制，极端天气后及时督促养护单位完成现场问题处理。</w:t>
      </w:r>
    </w:p>
    <w:p w14:paraId="246277AC">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 xml:space="preserve">⑤养护项目月度考核制度，形成现场问题专项通报，组织养护考核会议；   </w:t>
      </w:r>
    </w:p>
    <w:p w14:paraId="12E226EA">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⑥审查养护计划与方案： 年度、季度、月度养护计划，专项方案（如抗旱、防寒、病虫害防治、大树养护、水体养护等）的针对性、可行性、技术合理性；</w:t>
      </w:r>
    </w:p>
    <w:p w14:paraId="7A74F817">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⑦召开养护管理交底会：明确管理程序、工作方法、报验要求、沟通机制；</w:t>
      </w:r>
    </w:p>
    <w:p w14:paraId="507B0828">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⑧工序检查： 对浇水、除草、施肥、修剪、病虫害防治、保洁等日常工序进行过程检查，全面落实相关工作；</w:t>
      </w:r>
    </w:p>
    <w:p w14:paraId="1DA6DA6A">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⑨审核养护记录：检查养护单位的日常记录、病虫害防治台账，建立病虫害预警机制定期上报现场病虫害发生情况；</w:t>
      </w:r>
    </w:p>
    <w:p w14:paraId="3E07C4FE">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考核指标</w:t>
      </w:r>
      <w:r>
        <w:rPr>
          <w:rFonts w:hint="eastAsia" w:ascii="宋体" w:hAnsi="宋体" w:cs="宋体"/>
          <w:color w:val="0000FF"/>
          <w:sz w:val="20"/>
          <w:szCs w:val="20"/>
          <w:highlight w:val="none"/>
          <w:lang w:val="en-US" w:eastAsia="zh-CN"/>
        </w:rPr>
        <w:t>：</w:t>
      </w:r>
    </w:p>
    <w:p w14:paraId="0610DEE7">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计划通过率≥95%</w:t>
      </w:r>
      <w:r>
        <w:rPr>
          <w:rFonts w:hint="eastAsia" w:ascii="宋体" w:hAnsi="宋体" w:cs="宋体"/>
          <w:color w:val="0000FF"/>
          <w:sz w:val="20"/>
          <w:szCs w:val="20"/>
          <w:highlight w:val="none"/>
          <w:lang w:val="en-US" w:eastAsia="zh-CN"/>
        </w:rPr>
        <w:t>；</w:t>
      </w:r>
    </w:p>
    <w:p w14:paraId="31C52C30">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培训覆盖率100%</w:t>
      </w:r>
      <w:r>
        <w:rPr>
          <w:rFonts w:hint="eastAsia" w:ascii="宋体" w:hAnsi="宋体" w:cs="宋体"/>
          <w:color w:val="0000FF"/>
          <w:sz w:val="20"/>
          <w:szCs w:val="20"/>
          <w:highlight w:val="none"/>
          <w:lang w:val="en-US" w:eastAsia="zh-CN"/>
        </w:rPr>
        <w:t>；</w:t>
      </w:r>
    </w:p>
    <w:p w14:paraId="4434B470">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应急响应及时率100%</w:t>
      </w:r>
      <w:r>
        <w:rPr>
          <w:rFonts w:hint="eastAsia" w:ascii="宋体" w:hAnsi="宋体" w:cs="宋体"/>
          <w:color w:val="0000FF"/>
          <w:sz w:val="20"/>
          <w:szCs w:val="20"/>
          <w:highlight w:val="none"/>
          <w:lang w:val="en-US" w:eastAsia="zh-CN"/>
        </w:rPr>
        <w:t>。</w:t>
      </w:r>
    </w:p>
    <w:p w14:paraId="73F8E9DD">
      <w:pPr>
        <w:pStyle w:val="8"/>
        <w:spacing w:line="360" w:lineRule="auto"/>
        <w:ind w:firstLine="402" w:firstLineChars="200"/>
        <w:jc w:val="left"/>
        <w:rPr>
          <w:rFonts w:hint="eastAsia" w:ascii="宋体" w:hAnsi="宋体" w:eastAsia="宋体" w:cs="宋体"/>
          <w:b/>
          <w:bCs/>
          <w:color w:val="0000FF"/>
          <w:sz w:val="20"/>
          <w:szCs w:val="20"/>
          <w:highlight w:val="none"/>
          <w:lang w:val="en-US" w:eastAsia="zh-CN"/>
        </w:rPr>
      </w:pPr>
      <w:r>
        <w:rPr>
          <w:rFonts w:hint="eastAsia" w:ascii="宋体" w:hAnsi="宋体" w:eastAsia="宋体" w:cs="宋体"/>
          <w:b/>
          <w:bCs/>
          <w:color w:val="0000FF"/>
          <w:sz w:val="20"/>
          <w:szCs w:val="20"/>
          <w:highlight w:val="none"/>
          <w:lang w:val="en-US" w:eastAsia="zh-CN"/>
        </w:rPr>
        <w:t>2.2巡查督导：</w:t>
      </w:r>
    </w:p>
    <w:p w14:paraId="45878C11">
      <w:pPr>
        <w:pStyle w:val="8"/>
        <w:spacing w:line="360" w:lineRule="auto"/>
        <w:ind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①人工巡查每日开展动态巡查，每周全覆盖巡查≥3次</w:t>
      </w:r>
    </w:p>
    <w:p w14:paraId="47E8B5CF">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数据要求</w:t>
      </w:r>
      <w:r>
        <w:rPr>
          <w:rFonts w:hint="eastAsia" w:ascii="宋体" w:hAnsi="宋体" w:cs="宋体"/>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br w:type="textWrapping"/>
      </w:r>
      <w:r>
        <w:rPr>
          <w:rFonts w:hint="eastAsia" w:ascii="宋体" w:hAnsi="宋体" w:eastAsia="宋体" w:cs="宋体"/>
          <w:color w:val="0000FF"/>
          <w:sz w:val="20"/>
          <w:szCs w:val="20"/>
          <w:highlight w:val="none"/>
          <w:lang w:val="en-US" w:eastAsia="zh-CN"/>
        </w:rPr>
        <w:t>问题发现准确率≥98%</w:t>
      </w:r>
      <w:r>
        <w:rPr>
          <w:rFonts w:hint="eastAsia" w:ascii="宋体" w:hAnsi="宋体" w:cs="宋体"/>
          <w:color w:val="0000FF"/>
          <w:sz w:val="20"/>
          <w:szCs w:val="20"/>
          <w:highlight w:val="none"/>
          <w:lang w:val="en-US" w:eastAsia="zh-CN"/>
        </w:rPr>
        <w:t>；</w:t>
      </w:r>
    </w:p>
    <w:p w14:paraId="6B410764">
      <w:pPr>
        <w:pStyle w:val="8"/>
        <w:spacing w:line="360" w:lineRule="auto"/>
        <w:ind w:firstLine="400" w:firstLineChars="200"/>
        <w:jc w:val="left"/>
        <w:rPr>
          <w:rFonts w:hint="eastAsia" w:ascii="宋体" w:hAnsi="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整改闭环率100%</w:t>
      </w:r>
      <w:r>
        <w:rPr>
          <w:rFonts w:hint="eastAsia" w:ascii="宋体" w:hAnsi="宋体" w:cs="宋体"/>
          <w:color w:val="0000FF"/>
          <w:sz w:val="20"/>
          <w:szCs w:val="20"/>
          <w:highlight w:val="none"/>
          <w:lang w:val="en-US" w:eastAsia="zh-CN"/>
        </w:rPr>
        <w:t>。</w:t>
      </w:r>
    </w:p>
    <w:p w14:paraId="22F7BE9D">
      <w:pPr>
        <w:pStyle w:val="8"/>
        <w:spacing w:line="360" w:lineRule="auto"/>
        <w:ind w:firstLine="402"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b/>
          <w:bCs/>
          <w:color w:val="0000FF"/>
          <w:sz w:val="20"/>
          <w:szCs w:val="20"/>
          <w:highlight w:val="none"/>
          <w:lang w:val="en-US" w:eastAsia="zh-CN"/>
        </w:rPr>
        <w:t>2.3数据采集：</w:t>
      </w:r>
    </w:p>
    <w:p w14:paraId="148C5329">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①</w:t>
      </w:r>
      <w:r>
        <w:rPr>
          <w:rFonts w:hint="eastAsia" w:ascii="宋体" w:hAnsi="宋体" w:eastAsia="宋体" w:cs="宋体"/>
          <w:bCs/>
          <w:color w:val="0000FF"/>
          <w:sz w:val="20"/>
          <w:szCs w:val="20"/>
          <w:highlight w:val="none"/>
          <w:lang w:val="en-US" w:eastAsia="zh-CN"/>
        </w:rPr>
        <w:t>每年更新植物台账，包括品种、数量、等</w:t>
      </w:r>
      <w:r>
        <w:rPr>
          <w:rFonts w:hint="eastAsia" w:ascii="宋体" w:hAnsi="宋体" w:cs="宋体"/>
          <w:bCs/>
          <w:color w:val="0000FF"/>
          <w:sz w:val="20"/>
          <w:szCs w:val="20"/>
          <w:highlight w:val="none"/>
          <w:lang w:val="en-US" w:eastAsia="zh-CN"/>
        </w:rPr>
        <w:t>。</w:t>
      </w:r>
    </w:p>
    <w:p w14:paraId="2B0AEECD">
      <w:pPr>
        <w:pStyle w:val="8"/>
        <w:spacing w:line="360" w:lineRule="auto"/>
        <w:ind w:firstLine="402"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b/>
          <w:bCs/>
          <w:color w:val="0000FF"/>
          <w:sz w:val="20"/>
          <w:szCs w:val="20"/>
          <w:highlight w:val="none"/>
          <w:lang w:val="en-US" w:eastAsia="zh-CN"/>
        </w:rPr>
        <w:t>2.4质量评估</w:t>
      </w:r>
      <w:r>
        <w:rPr>
          <w:rFonts w:hint="eastAsia" w:ascii="宋体" w:hAnsi="宋体" w:cs="宋体"/>
          <w:b/>
          <w:bCs/>
          <w:color w:val="0000FF"/>
          <w:sz w:val="20"/>
          <w:szCs w:val="20"/>
          <w:highlight w:val="none"/>
          <w:lang w:val="en-US" w:eastAsia="zh-CN"/>
        </w:rPr>
        <w:t>：</w:t>
      </w:r>
    </w:p>
    <w:p w14:paraId="43449FAD">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①依据《城市园林绿化养护标准》（CJJ/T287-2018）制定三级考核指标</w:t>
      </w:r>
    </w:p>
    <w:p w14:paraId="55B7AEDC">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一级指标：植物存活率≥95%、黄土裸露率≤3%</w:t>
      </w:r>
      <w:r>
        <w:rPr>
          <w:rFonts w:hint="eastAsia" w:ascii="宋体" w:hAnsi="宋体" w:cs="宋体"/>
          <w:color w:val="0000FF"/>
          <w:sz w:val="20"/>
          <w:szCs w:val="20"/>
          <w:highlight w:val="none"/>
          <w:lang w:val="en-US" w:eastAsia="zh-CN"/>
        </w:rPr>
        <w:t>；</w:t>
      </w:r>
    </w:p>
    <w:p w14:paraId="1FE110E8">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二级指标：修剪规范度、施肥科学性等12项技术参数</w:t>
      </w:r>
      <w:r>
        <w:rPr>
          <w:rFonts w:hint="eastAsia" w:ascii="宋体" w:hAnsi="宋体" w:cs="宋体"/>
          <w:color w:val="0000FF"/>
          <w:sz w:val="20"/>
          <w:szCs w:val="20"/>
          <w:highlight w:val="none"/>
          <w:lang w:val="en-US" w:eastAsia="zh-CN"/>
        </w:rPr>
        <w:t>；</w:t>
      </w:r>
    </w:p>
    <w:p w14:paraId="693E9C88">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三级指标：市民投诉处理满意度≥90%</w:t>
      </w:r>
      <w:r>
        <w:rPr>
          <w:rFonts w:hint="eastAsia" w:ascii="宋体" w:hAnsi="宋体" w:cs="宋体"/>
          <w:color w:val="0000FF"/>
          <w:sz w:val="20"/>
          <w:szCs w:val="20"/>
          <w:highlight w:val="none"/>
          <w:lang w:val="en-US" w:eastAsia="zh-CN"/>
        </w:rPr>
        <w:t>；</w:t>
      </w:r>
    </w:p>
    <w:p w14:paraId="59ED7F64">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（优/合格/整改），每月发布红黑榜</w:t>
      </w:r>
      <w:r>
        <w:rPr>
          <w:rFonts w:hint="eastAsia" w:ascii="宋体" w:hAnsi="宋体" w:cs="宋体"/>
          <w:color w:val="0000FF"/>
          <w:sz w:val="20"/>
          <w:szCs w:val="20"/>
          <w:highlight w:val="none"/>
          <w:lang w:val="en-US" w:eastAsia="zh-CN"/>
        </w:rPr>
        <w:t>；</w:t>
      </w:r>
    </w:p>
    <w:p w14:paraId="11DFD2F1">
      <w:pPr>
        <w:pStyle w:val="8"/>
        <w:spacing w:line="360" w:lineRule="auto"/>
        <w:ind w:firstLine="402"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b/>
          <w:bCs/>
          <w:color w:val="0000FF"/>
          <w:sz w:val="20"/>
          <w:szCs w:val="20"/>
          <w:highlight w:val="none"/>
          <w:lang w:val="en-US" w:eastAsia="zh-CN"/>
        </w:rPr>
        <w:t>2.5档案管理</w:t>
      </w:r>
    </w:p>
    <w:p w14:paraId="479E8CD2">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①按《园林绿化养护管理规范》分类建立电子化养护档案库，实现电子化率100%；</w:t>
      </w:r>
    </w:p>
    <w:p w14:paraId="6E02148C">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②苗木资产数据库（数量、种类）</w:t>
      </w:r>
    </w:p>
    <w:p w14:paraId="69BBA7CC">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③养护作业日志（浇水、施肥、施肥等操作记录）</w:t>
      </w:r>
    </w:p>
    <w:p w14:paraId="776E258A">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④历史问题处置案例库</w:t>
      </w:r>
    </w:p>
    <w:p w14:paraId="571591CD">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⑤历史养护保存归档，当前年度资料实时更新。</w:t>
      </w:r>
    </w:p>
    <w:p w14:paraId="62460D94">
      <w:pPr>
        <w:pStyle w:val="8"/>
        <w:spacing w:line="360" w:lineRule="auto"/>
        <w:ind w:left="399" w:leftChars="190" w:firstLine="0" w:firstLineChars="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⑥督促养护单位提交《养</w:t>
      </w:r>
      <w:r>
        <w:rPr>
          <w:rFonts w:hint="eastAsia" w:ascii="宋体" w:hAnsi="宋体" w:eastAsia="宋体" w:cs="宋体"/>
          <w:bCs/>
          <w:color w:val="0000FF"/>
          <w:sz w:val="20"/>
          <w:szCs w:val="20"/>
          <w:highlight w:val="none"/>
          <w:lang w:val="en-US" w:eastAsia="zh-CN"/>
        </w:rPr>
        <w:t>护问题整改闭环报告》</w:t>
      </w:r>
      <w:r>
        <w:rPr>
          <w:rFonts w:hint="eastAsia" w:ascii="宋体" w:hAnsi="宋体" w:eastAsia="宋体" w:cs="宋体"/>
          <w:bCs/>
          <w:color w:val="0000FF"/>
          <w:sz w:val="20"/>
          <w:szCs w:val="20"/>
          <w:highlight w:val="none"/>
          <w:lang w:eastAsia="zh-CN"/>
        </w:rPr>
        <w:t>，</w:t>
      </w:r>
      <w:r>
        <w:rPr>
          <w:rFonts w:hint="eastAsia" w:ascii="宋体" w:hAnsi="宋体" w:eastAsia="宋体" w:cs="宋体"/>
          <w:bCs/>
          <w:color w:val="0000FF"/>
          <w:sz w:val="20"/>
          <w:szCs w:val="20"/>
          <w:highlight w:val="none"/>
          <w:lang w:val="en-US" w:eastAsia="zh-CN"/>
        </w:rPr>
        <w:t>并提供电子版资料一套存贮电子数据前，内容应与纸质内容一致，提交的文件需将名称备注明确：项目名称、主题内容以及提交文件的日期），纸质版资料一式4份</w:t>
      </w:r>
      <w:r>
        <w:rPr>
          <w:rFonts w:hint="eastAsia" w:ascii="宋体" w:hAnsi="宋体" w:eastAsia="宋体" w:cs="宋体"/>
          <w:b w:val="0"/>
          <w:bCs/>
          <w:color w:val="0000FF"/>
          <w:sz w:val="20"/>
          <w:szCs w:val="20"/>
          <w:highlight w:val="none"/>
          <w:lang w:val="en-US" w:eastAsia="zh-CN"/>
        </w:rPr>
        <w:t>文本需单独胶装装订，规格A3，共4套，正本1套，副本3套</w:t>
      </w:r>
      <w:r>
        <w:rPr>
          <w:rFonts w:hint="eastAsia" w:ascii="宋体" w:hAnsi="宋体" w:eastAsia="宋体" w:cs="宋体"/>
          <w:bCs/>
          <w:color w:val="0000FF"/>
          <w:sz w:val="20"/>
          <w:szCs w:val="20"/>
          <w:highlight w:val="none"/>
        </w:rPr>
        <w:t>。</w:t>
      </w:r>
    </w:p>
    <w:p w14:paraId="264D23E0">
      <w:pPr>
        <w:pStyle w:val="8"/>
        <w:spacing w:line="360" w:lineRule="auto"/>
        <w:ind w:firstLine="367"/>
        <w:jc w:val="left"/>
        <w:rPr>
          <w:rFonts w:hint="eastAsia" w:ascii="宋体" w:hAnsi="宋体" w:eastAsia="宋体" w:cs="宋体"/>
          <w:b/>
          <w:bCs/>
          <w:color w:val="0000FF"/>
          <w:sz w:val="20"/>
          <w:szCs w:val="20"/>
          <w:highlight w:val="none"/>
          <w:lang w:val="en-US" w:eastAsia="zh-CN"/>
        </w:rPr>
      </w:pPr>
      <w:r>
        <w:rPr>
          <w:rFonts w:hint="eastAsia" w:ascii="宋体" w:hAnsi="宋体" w:eastAsia="宋体" w:cs="宋体"/>
          <w:b/>
          <w:bCs/>
          <w:color w:val="0000FF"/>
          <w:sz w:val="20"/>
          <w:szCs w:val="20"/>
          <w:highlight w:val="none"/>
          <w:lang w:val="en-US" w:eastAsia="zh-CN"/>
        </w:rPr>
        <w:t>3、保密要求：</w:t>
      </w:r>
    </w:p>
    <w:p w14:paraId="2707C88D">
      <w:pPr>
        <w:pStyle w:val="8"/>
        <w:spacing w:line="360" w:lineRule="auto"/>
        <w:ind w:firstLine="367"/>
        <w:jc w:val="left"/>
        <w:rPr>
          <w:rFonts w:hint="eastAsia" w:ascii="宋体" w:hAnsi="宋体" w:eastAsia="宋体" w:cs="宋体"/>
          <w:b w:val="0"/>
          <w:bCs w:val="0"/>
          <w:color w:val="0000FF"/>
          <w:sz w:val="20"/>
          <w:szCs w:val="20"/>
          <w:highlight w:val="none"/>
          <w:lang w:val="en-US" w:eastAsia="en-US"/>
        </w:rPr>
      </w:pPr>
      <w:r>
        <w:rPr>
          <w:rFonts w:hint="eastAsia" w:ascii="宋体" w:hAnsi="宋体" w:eastAsia="宋体" w:cs="宋体"/>
          <w:b w:val="0"/>
          <w:bCs w:val="0"/>
          <w:color w:val="0000FF"/>
          <w:sz w:val="20"/>
          <w:szCs w:val="20"/>
          <w:highlight w:val="none"/>
          <w:lang w:val="en-US" w:eastAsia="zh-CN"/>
        </w:rPr>
        <w:t>3.1 所有与本项目有关的采购人信息,包括采购人的专有财产和保密信息，未经采购人书面同意，供应商不得向任何第三方泄露该信息。供应商承诺仅在本项目而使用，仅限供应商及本单位相关人员使用并履行本合同规定的保密义务；本项目终止时，返还给采购人或在采购人的监督下销毁；</w:t>
      </w:r>
    </w:p>
    <w:p w14:paraId="579F0659">
      <w:pPr>
        <w:pStyle w:val="8"/>
        <w:spacing w:line="360" w:lineRule="auto"/>
        <w:ind w:firstLine="367"/>
        <w:jc w:val="left"/>
        <w:rPr>
          <w:rFonts w:hint="eastAsia" w:ascii="宋体" w:hAnsi="宋体" w:eastAsia="宋体" w:cs="宋体"/>
          <w:b w:val="0"/>
          <w:bCs w:val="0"/>
          <w:color w:val="0000FF"/>
          <w:sz w:val="20"/>
          <w:szCs w:val="20"/>
          <w:highlight w:val="none"/>
          <w:lang w:val="en-US" w:eastAsia="en-US"/>
        </w:rPr>
      </w:pPr>
      <w:r>
        <w:rPr>
          <w:rFonts w:hint="eastAsia" w:ascii="宋体" w:hAnsi="宋体" w:eastAsia="宋体" w:cs="宋体"/>
          <w:b w:val="0"/>
          <w:bCs w:val="0"/>
          <w:color w:val="0000FF"/>
          <w:sz w:val="20"/>
          <w:szCs w:val="20"/>
          <w:highlight w:val="none"/>
          <w:lang w:val="en-US" w:eastAsia="zh-CN"/>
        </w:rPr>
        <w:t xml:space="preserve">3.2 </w:t>
      </w:r>
      <w:r>
        <w:rPr>
          <w:rFonts w:hint="eastAsia" w:ascii="宋体" w:hAnsi="宋体" w:cs="宋体"/>
          <w:b w:val="0"/>
          <w:bCs w:val="0"/>
          <w:color w:val="0000FF"/>
          <w:sz w:val="20"/>
          <w:szCs w:val="20"/>
          <w:highlight w:val="none"/>
          <w:lang w:val="en-US" w:eastAsia="zh-CN"/>
        </w:rPr>
        <w:t>供应商</w:t>
      </w:r>
      <w:r>
        <w:rPr>
          <w:rFonts w:hint="eastAsia" w:ascii="宋体" w:hAnsi="宋体" w:eastAsia="宋体" w:cs="宋体"/>
          <w:b w:val="0"/>
          <w:bCs w:val="0"/>
          <w:color w:val="0000FF"/>
          <w:sz w:val="20"/>
          <w:szCs w:val="20"/>
          <w:highlight w:val="none"/>
          <w:lang w:val="en-US" w:eastAsia="en-US"/>
        </w:rPr>
        <w:t>履行本</w:t>
      </w:r>
      <w:r>
        <w:rPr>
          <w:rFonts w:hint="eastAsia" w:ascii="宋体" w:hAnsi="宋体" w:eastAsia="宋体" w:cs="宋体"/>
          <w:b w:val="0"/>
          <w:bCs w:val="0"/>
          <w:color w:val="0000FF"/>
          <w:sz w:val="20"/>
          <w:szCs w:val="20"/>
          <w:highlight w:val="none"/>
          <w:lang w:val="en-US" w:eastAsia="zh-CN"/>
        </w:rPr>
        <w:t>项目</w:t>
      </w:r>
      <w:r>
        <w:rPr>
          <w:rFonts w:hint="eastAsia" w:ascii="宋体" w:hAnsi="宋体" w:eastAsia="宋体" w:cs="宋体"/>
          <w:b w:val="0"/>
          <w:bCs w:val="0"/>
          <w:color w:val="0000FF"/>
          <w:sz w:val="20"/>
          <w:szCs w:val="20"/>
          <w:highlight w:val="none"/>
          <w:lang w:val="en-US" w:eastAsia="en-US"/>
        </w:rPr>
        <w:t>过程中所有工作成果为保密信息，</w:t>
      </w:r>
      <w:r>
        <w:rPr>
          <w:rFonts w:hint="eastAsia" w:ascii="宋体" w:hAnsi="宋体" w:cs="宋体"/>
          <w:b w:val="0"/>
          <w:bCs w:val="0"/>
          <w:color w:val="0000FF"/>
          <w:sz w:val="20"/>
          <w:szCs w:val="20"/>
          <w:highlight w:val="none"/>
          <w:lang w:val="en-US" w:eastAsia="zh-CN"/>
        </w:rPr>
        <w:t>供应商</w:t>
      </w:r>
      <w:r>
        <w:rPr>
          <w:rFonts w:hint="eastAsia" w:ascii="宋体" w:hAnsi="宋体" w:eastAsia="宋体" w:cs="宋体"/>
          <w:b w:val="0"/>
          <w:bCs w:val="0"/>
          <w:color w:val="0000FF"/>
          <w:sz w:val="20"/>
          <w:szCs w:val="20"/>
          <w:highlight w:val="none"/>
          <w:lang w:val="en-US" w:eastAsia="en-US"/>
        </w:rPr>
        <w:t>只能将其用于本</w:t>
      </w:r>
      <w:r>
        <w:rPr>
          <w:rFonts w:hint="eastAsia" w:ascii="宋体" w:hAnsi="宋体" w:eastAsia="宋体" w:cs="宋体"/>
          <w:b w:val="0"/>
          <w:bCs w:val="0"/>
          <w:color w:val="0000FF"/>
          <w:sz w:val="20"/>
          <w:szCs w:val="20"/>
          <w:highlight w:val="none"/>
          <w:lang w:val="en-US" w:eastAsia="zh-CN"/>
        </w:rPr>
        <w:t>项目</w:t>
      </w:r>
      <w:r>
        <w:rPr>
          <w:rFonts w:hint="eastAsia" w:ascii="宋体" w:hAnsi="宋体" w:eastAsia="宋体" w:cs="宋体"/>
          <w:b w:val="0"/>
          <w:bCs w:val="0"/>
          <w:color w:val="0000FF"/>
          <w:sz w:val="20"/>
          <w:szCs w:val="20"/>
          <w:highlight w:val="none"/>
          <w:lang w:val="en-US" w:eastAsia="en-US"/>
        </w:rPr>
        <w:t>履行</w:t>
      </w:r>
      <w:r>
        <w:rPr>
          <w:rFonts w:hint="eastAsia" w:ascii="宋体" w:hAnsi="宋体" w:cs="宋体"/>
          <w:b w:val="0"/>
          <w:bCs w:val="0"/>
          <w:color w:val="0000FF"/>
          <w:sz w:val="20"/>
          <w:szCs w:val="20"/>
          <w:highlight w:val="none"/>
          <w:lang w:val="en-US" w:eastAsia="zh-CN"/>
        </w:rPr>
        <w:t>的</w:t>
      </w:r>
      <w:r>
        <w:rPr>
          <w:rFonts w:hint="eastAsia" w:ascii="宋体" w:hAnsi="宋体" w:eastAsia="宋体" w:cs="宋体"/>
          <w:b w:val="0"/>
          <w:bCs w:val="0"/>
          <w:color w:val="0000FF"/>
          <w:sz w:val="20"/>
          <w:szCs w:val="20"/>
          <w:highlight w:val="none"/>
          <w:lang w:val="en-US" w:eastAsia="en-US"/>
        </w:rPr>
        <w:t>目的，未经</w:t>
      </w:r>
      <w:r>
        <w:rPr>
          <w:rFonts w:hint="eastAsia" w:ascii="宋体" w:hAnsi="宋体" w:eastAsia="宋体" w:cs="宋体"/>
          <w:b w:val="0"/>
          <w:bCs w:val="0"/>
          <w:color w:val="0000FF"/>
          <w:sz w:val="20"/>
          <w:szCs w:val="20"/>
          <w:highlight w:val="none"/>
          <w:lang w:val="en-US" w:eastAsia="zh-CN"/>
        </w:rPr>
        <w:t>采购人</w:t>
      </w:r>
      <w:r>
        <w:rPr>
          <w:rFonts w:hint="eastAsia" w:ascii="宋体" w:hAnsi="宋体" w:eastAsia="宋体" w:cs="宋体"/>
          <w:b w:val="0"/>
          <w:bCs w:val="0"/>
          <w:color w:val="0000FF"/>
          <w:sz w:val="20"/>
          <w:szCs w:val="20"/>
          <w:highlight w:val="none"/>
          <w:lang w:val="en-US" w:eastAsia="en-US"/>
        </w:rPr>
        <w:t>许可，</w:t>
      </w:r>
      <w:r>
        <w:rPr>
          <w:rFonts w:hint="eastAsia" w:ascii="宋体" w:hAnsi="宋体" w:cs="宋体"/>
          <w:b w:val="0"/>
          <w:bCs w:val="0"/>
          <w:color w:val="0000FF"/>
          <w:sz w:val="20"/>
          <w:szCs w:val="20"/>
          <w:highlight w:val="none"/>
          <w:lang w:val="en-US" w:eastAsia="zh-CN"/>
        </w:rPr>
        <w:t>供应商</w:t>
      </w:r>
      <w:r>
        <w:rPr>
          <w:rFonts w:hint="eastAsia" w:ascii="宋体" w:hAnsi="宋体" w:eastAsia="宋体" w:cs="宋体"/>
          <w:b w:val="0"/>
          <w:bCs w:val="0"/>
          <w:color w:val="0000FF"/>
          <w:sz w:val="20"/>
          <w:szCs w:val="20"/>
          <w:highlight w:val="none"/>
          <w:lang w:val="en-US" w:eastAsia="en-US"/>
        </w:rPr>
        <w:t>不得将其向任何第三方透露</w:t>
      </w:r>
      <w:r>
        <w:rPr>
          <w:rFonts w:hint="eastAsia" w:ascii="宋体" w:hAnsi="宋体" w:eastAsia="宋体" w:cs="宋体"/>
          <w:b w:val="0"/>
          <w:bCs w:val="0"/>
          <w:color w:val="0000FF"/>
          <w:sz w:val="20"/>
          <w:szCs w:val="20"/>
          <w:highlight w:val="none"/>
          <w:lang w:val="en-US" w:eastAsia="zh-CN"/>
        </w:rPr>
        <w:t>；</w:t>
      </w:r>
    </w:p>
    <w:p w14:paraId="572761DB">
      <w:pPr>
        <w:pStyle w:val="8"/>
        <w:spacing w:line="360" w:lineRule="auto"/>
        <w:ind w:firstLine="367"/>
        <w:jc w:val="left"/>
        <w:rPr>
          <w:rFonts w:hint="eastAsia" w:ascii="宋体" w:hAnsi="宋体" w:eastAsia="宋体" w:cs="宋体"/>
          <w:b w:val="0"/>
          <w:bCs w:val="0"/>
          <w:color w:val="0000FF"/>
          <w:sz w:val="20"/>
          <w:szCs w:val="20"/>
          <w:highlight w:val="none"/>
          <w:lang w:val="en-US" w:eastAsia="en-US"/>
        </w:rPr>
      </w:pPr>
      <w:r>
        <w:rPr>
          <w:rFonts w:hint="eastAsia" w:ascii="宋体" w:hAnsi="宋体" w:eastAsia="宋体" w:cs="宋体"/>
          <w:b w:val="0"/>
          <w:bCs w:val="0"/>
          <w:color w:val="0000FF"/>
          <w:sz w:val="20"/>
          <w:szCs w:val="20"/>
          <w:highlight w:val="none"/>
          <w:lang w:val="en-US" w:eastAsia="zh-CN"/>
        </w:rPr>
        <w:t xml:space="preserve">3.3 </w:t>
      </w:r>
      <w:r>
        <w:rPr>
          <w:rFonts w:hint="eastAsia" w:ascii="宋体" w:hAnsi="宋体" w:cs="宋体"/>
          <w:b w:val="0"/>
          <w:bCs w:val="0"/>
          <w:color w:val="0000FF"/>
          <w:sz w:val="20"/>
          <w:szCs w:val="20"/>
          <w:highlight w:val="none"/>
          <w:lang w:val="en-US" w:eastAsia="zh-CN"/>
        </w:rPr>
        <w:t>供应商</w:t>
      </w:r>
      <w:r>
        <w:rPr>
          <w:rFonts w:hint="eastAsia" w:ascii="宋体" w:hAnsi="宋体" w:eastAsia="宋体" w:cs="宋体"/>
          <w:b w:val="0"/>
          <w:bCs w:val="0"/>
          <w:color w:val="0000FF"/>
          <w:sz w:val="20"/>
          <w:szCs w:val="20"/>
          <w:highlight w:val="none"/>
          <w:lang w:val="en-US" w:eastAsia="en-US"/>
        </w:rPr>
        <w:t>应采取一切措施</w:t>
      </w:r>
      <w:r>
        <w:rPr>
          <w:rFonts w:hint="eastAsia" w:ascii="宋体" w:hAnsi="宋体" w:cs="宋体"/>
          <w:b w:val="0"/>
          <w:bCs w:val="0"/>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en-US"/>
        </w:rPr>
        <w:t>确保</w:t>
      </w:r>
      <w:r>
        <w:rPr>
          <w:rFonts w:hint="eastAsia" w:ascii="宋体" w:hAnsi="宋体" w:cs="宋体"/>
          <w:b w:val="0"/>
          <w:bCs w:val="0"/>
          <w:color w:val="0000FF"/>
          <w:sz w:val="20"/>
          <w:szCs w:val="20"/>
          <w:highlight w:val="none"/>
          <w:lang w:val="en-US" w:eastAsia="zh-CN"/>
        </w:rPr>
        <w:t>供应商</w:t>
      </w:r>
      <w:r>
        <w:rPr>
          <w:rFonts w:hint="eastAsia" w:ascii="宋体" w:hAnsi="宋体" w:eastAsia="宋体" w:cs="宋体"/>
          <w:b w:val="0"/>
          <w:bCs w:val="0"/>
          <w:color w:val="0000FF"/>
          <w:sz w:val="20"/>
          <w:szCs w:val="20"/>
          <w:highlight w:val="none"/>
          <w:lang w:val="en-US" w:eastAsia="en-US"/>
        </w:rPr>
        <w:t>向第三方提供、泄露本</w:t>
      </w:r>
      <w:r>
        <w:rPr>
          <w:rFonts w:hint="eastAsia" w:ascii="宋体" w:hAnsi="宋体" w:eastAsia="宋体" w:cs="宋体"/>
          <w:b w:val="0"/>
          <w:bCs w:val="0"/>
          <w:color w:val="0000FF"/>
          <w:sz w:val="20"/>
          <w:szCs w:val="20"/>
          <w:highlight w:val="none"/>
          <w:lang w:val="en-US" w:eastAsia="zh-CN"/>
        </w:rPr>
        <w:t>项目</w:t>
      </w:r>
      <w:r>
        <w:rPr>
          <w:rFonts w:hint="eastAsia" w:ascii="宋体" w:hAnsi="宋体" w:eastAsia="宋体" w:cs="宋体"/>
          <w:b w:val="0"/>
          <w:bCs w:val="0"/>
          <w:color w:val="0000FF"/>
          <w:sz w:val="20"/>
          <w:szCs w:val="20"/>
          <w:highlight w:val="none"/>
          <w:lang w:val="en-US" w:eastAsia="en-US"/>
        </w:rPr>
        <w:t>规定的保密信息。若</w:t>
      </w:r>
      <w:r>
        <w:rPr>
          <w:rFonts w:hint="eastAsia" w:ascii="宋体" w:hAnsi="宋体" w:cs="宋体"/>
          <w:b w:val="0"/>
          <w:bCs w:val="0"/>
          <w:color w:val="0000FF"/>
          <w:sz w:val="20"/>
          <w:szCs w:val="20"/>
          <w:highlight w:val="none"/>
          <w:lang w:val="en-US" w:eastAsia="zh-CN"/>
        </w:rPr>
        <w:t>供应商</w:t>
      </w:r>
      <w:r>
        <w:rPr>
          <w:rFonts w:hint="eastAsia" w:ascii="宋体" w:hAnsi="宋体" w:eastAsia="宋体" w:cs="宋体"/>
          <w:b w:val="0"/>
          <w:bCs w:val="0"/>
          <w:color w:val="0000FF"/>
          <w:sz w:val="20"/>
          <w:szCs w:val="20"/>
          <w:highlight w:val="none"/>
          <w:lang w:val="en-US" w:eastAsia="en-US"/>
        </w:rPr>
        <w:t>泄露了本合同规定的保密信息，</w:t>
      </w:r>
      <w:r>
        <w:rPr>
          <w:rFonts w:hint="eastAsia" w:ascii="宋体" w:hAnsi="宋体" w:cs="宋体"/>
          <w:b w:val="0"/>
          <w:bCs w:val="0"/>
          <w:color w:val="0000FF"/>
          <w:sz w:val="20"/>
          <w:szCs w:val="20"/>
          <w:highlight w:val="none"/>
          <w:lang w:val="en-US" w:eastAsia="zh-CN"/>
        </w:rPr>
        <w:t>供应商</w:t>
      </w:r>
      <w:r>
        <w:rPr>
          <w:rFonts w:hint="eastAsia" w:ascii="宋体" w:hAnsi="宋体" w:eastAsia="宋体" w:cs="宋体"/>
          <w:b w:val="0"/>
          <w:bCs w:val="0"/>
          <w:color w:val="0000FF"/>
          <w:sz w:val="20"/>
          <w:szCs w:val="20"/>
          <w:highlight w:val="none"/>
          <w:lang w:val="en-US" w:eastAsia="en-US"/>
        </w:rPr>
        <w:t>应向</w:t>
      </w:r>
      <w:r>
        <w:rPr>
          <w:rFonts w:hint="eastAsia" w:ascii="宋体" w:hAnsi="宋体" w:eastAsia="宋体" w:cs="宋体"/>
          <w:b w:val="0"/>
          <w:bCs w:val="0"/>
          <w:color w:val="0000FF"/>
          <w:sz w:val="20"/>
          <w:szCs w:val="20"/>
          <w:highlight w:val="none"/>
          <w:lang w:val="en-US" w:eastAsia="zh-CN"/>
        </w:rPr>
        <w:t>采购人</w:t>
      </w:r>
      <w:r>
        <w:rPr>
          <w:rFonts w:hint="eastAsia" w:ascii="宋体" w:hAnsi="宋体" w:eastAsia="宋体" w:cs="宋体"/>
          <w:b w:val="0"/>
          <w:bCs w:val="0"/>
          <w:color w:val="0000FF"/>
          <w:sz w:val="20"/>
          <w:szCs w:val="20"/>
          <w:highlight w:val="none"/>
          <w:lang w:val="en-US" w:eastAsia="en-US"/>
        </w:rPr>
        <w:t>承担全部赔偿责任。前述赔偿责任将包括但不限于</w:t>
      </w:r>
      <w:r>
        <w:rPr>
          <w:rFonts w:hint="eastAsia" w:ascii="宋体" w:hAnsi="宋体" w:eastAsia="宋体" w:cs="宋体"/>
          <w:b w:val="0"/>
          <w:bCs w:val="0"/>
          <w:color w:val="0000FF"/>
          <w:sz w:val="20"/>
          <w:szCs w:val="20"/>
          <w:highlight w:val="none"/>
          <w:lang w:val="en-US" w:eastAsia="zh-CN"/>
        </w:rPr>
        <w:t>；</w:t>
      </w:r>
    </w:p>
    <w:p w14:paraId="08C65A3A">
      <w:pPr>
        <w:pStyle w:val="8"/>
        <w:spacing w:line="360" w:lineRule="auto"/>
        <w:ind w:firstLine="367"/>
        <w:jc w:val="left"/>
        <w:rPr>
          <w:rFonts w:hint="eastAsia" w:ascii="宋体" w:hAnsi="宋体" w:eastAsia="宋体" w:cs="宋体"/>
          <w:b w:val="0"/>
          <w:bCs w:val="0"/>
          <w:color w:val="0000FF"/>
          <w:sz w:val="20"/>
          <w:szCs w:val="20"/>
          <w:highlight w:val="none"/>
          <w:lang w:val="en-US" w:eastAsia="en-US"/>
        </w:rPr>
      </w:pPr>
      <w:r>
        <w:rPr>
          <w:rFonts w:hint="eastAsia" w:ascii="宋体" w:hAnsi="宋体" w:eastAsia="宋体" w:cs="宋体"/>
          <w:b w:val="0"/>
          <w:bCs w:val="0"/>
          <w:color w:val="0000FF"/>
          <w:sz w:val="20"/>
          <w:szCs w:val="20"/>
          <w:highlight w:val="none"/>
          <w:lang w:val="en-US" w:eastAsia="zh-CN"/>
        </w:rPr>
        <w:t>（1）</w:t>
      </w:r>
      <w:r>
        <w:rPr>
          <w:rFonts w:hint="eastAsia" w:ascii="宋体" w:hAnsi="宋体" w:eastAsia="宋体" w:cs="宋体"/>
          <w:b w:val="0"/>
          <w:bCs w:val="0"/>
          <w:color w:val="0000FF"/>
          <w:sz w:val="20"/>
          <w:szCs w:val="20"/>
          <w:highlight w:val="none"/>
          <w:lang w:val="en-US" w:eastAsia="en-US"/>
        </w:rPr>
        <w:t>泄露方所获得的全部收益</w:t>
      </w:r>
      <w:r>
        <w:rPr>
          <w:rFonts w:hint="eastAsia" w:ascii="宋体" w:hAnsi="宋体" w:eastAsia="宋体" w:cs="宋体"/>
          <w:b w:val="0"/>
          <w:bCs w:val="0"/>
          <w:color w:val="0000FF"/>
          <w:sz w:val="20"/>
          <w:szCs w:val="20"/>
          <w:highlight w:val="none"/>
          <w:lang w:val="en-US" w:eastAsia="zh-CN"/>
        </w:rPr>
        <w:t>；</w:t>
      </w:r>
    </w:p>
    <w:p w14:paraId="7C58F65D">
      <w:pPr>
        <w:pStyle w:val="8"/>
        <w:spacing w:line="360" w:lineRule="auto"/>
        <w:ind w:firstLine="367"/>
        <w:jc w:val="left"/>
        <w:rPr>
          <w:rFonts w:hint="eastAsia" w:ascii="宋体" w:hAnsi="宋体" w:eastAsia="宋体" w:cs="宋体"/>
          <w:b w:val="0"/>
          <w:bCs w:val="0"/>
          <w:color w:val="0000FF"/>
          <w:sz w:val="20"/>
          <w:szCs w:val="20"/>
          <w:highlight w:val="none"/>
          <w:lang w:val="en-US" w:eastAsia="zh-CN"/>
        </w:rPr>
      </w:pPr>
      <w:r>
        <w:rPr>
          <w:rFonts w:hint="eastAsia" w:ascii="宋体" w:hAnsi="宋体" w:eastAsia="宋体" w:cs="宋体"/>
          <w:b w:val="0"/>
          <w:bCs w:val="0"/>
          <w:color w:val="0000FF"/>
          <w:sz w:val="20"/>
          <w:szCs w:val="20"/>
          <w:highlight w:val="none"/>
          <w:lang w:val="en-US" w:eastAsia="zh-CN"/>
        </w:rPr>
        <w:t>（2）采购人</w:t>
      </w:r>
      <w:r>
        <w:rPr>
          <w:rFonts w:hint="eastAsia" w:ascii="宋体" w:hAnsi="宋体" w:eastAsia="宋体" w:cs="宋体"/>
          <w:b w:val="0"/>
          <w:bCs w:val="0"/>
          <w:color w:val="0000FF"/>
          <w:sz w:val="20"/>
          <w:szCs w:val="20"/>
          <w:highlight w:val="none"/>
          <w:lang w:val="en-US" w:eastAsia="en-US"/>
        </w:rPr>
        <w:t>因此所致的利润损失或因此所减少的商业收益</w:t>
      </w:r>
      <w:r>
        <w:rPr>
          <w:rFonts w:hint="eastAsia" w:ascii="宋体" w:hAnsi="宋体" w:eastAsia="宋体" w:cs="宋体"/>
          <w:b w:val="0"/>
          <w:bCs w:val="0"/>
          <w:color w:val="0000FF"/>
          <w:sz w:val="20"/>
          <w:szCs w:val="20"/>
          <w:highlight w:val="none"/>
          <w:lang w:val="en-US" w:eastAsia="zh-CN"/>
        </w:rPr>
        <w:t>；</w:t>
      </w:r>
    </w:p>
    <w:p w14:paraId="0A12C622">
      <w:pPr>
        <w:pStyle w:val="8"/>
        <w:spacing w:line="360" w:lineRule="auto"/>
        <w:ind w:firstLine="367"/>
        <w:jc w:val="left"/>
        <w:rPr>
          <w:rFonts w:hint="eastAsia" w:ascii="宋体" w:hAnsi="宋体" w:eastAsia="宋体" w:cs="宋体"/>
          <w:b w:val="0"/>
          <w:bCs w:val="0"/>
          <w:color w:val="0000FF"/>
          <w:sz w:val="20"/>
          <w:szCs w:val="20"/>
          <w:highlight w:val="none"/>
          <w:lang w:val="en-US" w:eastAsia="zh-CN"/>
        </w:rPr>
      </w:pPr>
      <w:r>
        <w:rPr>
          <w:rFonts w:hint="eastAsia" w:ascii="宋体" w:hAnsi="宋体" w:eastAsia="宋体" w:cs="宋体"/>
          <w:b w:val="0"/>
          <w:bCs w:val="0"/>
          <w:color w:val="0000FF"/>
          <w:sz w:val="20"/>
          <w:szCs w:val="20"/>
          <w:highlight w:val="none"/>
          <w:lang w:val="en-US" w:eastAsia="zh-CN"/>
        </w:rPr>
        <w:t>（3）采购人</w:t>
      </w:r>
      <w:r>
        <w:rPr>
          <w:rFonts w:hint="eastAsia" w:ascii="宋体" w:hAnsi="宋体" w:eastAsia="宋体" w:cs="宋体"/>
          <w:b w:val="0"/>
          <w:bCs w:val="0"/>
          <w:color w:val="0000FF"/>
          <w:sz w:val="20"/>
          <w:szCs w:val="20"/>
          <w:highlight w:val="none"/>
          <w:lang w:val="en-US" w:eastAsia="en-US"/>
        </w:rPr>
        <w:t>因追究</w:t>
      </w:r>
      <w:r>
        <w:rPr>
          <w:rFonts w:hint="eastAsia" w:ascii="宋体" w:hAnsi="宋体" w:cs="宋体"/>
          <w:b w:val="0"/>
          <w:bCs w:val="0"/>
          <w:color w:val="0000FF"/>
          <w:sz w:val="20"/>
          <w:szCs w:val="20"/>
          <w:highlight w:val="none"/>
          <w:lang w:val="en-US" w:eastAsia="zh-CN"/>
        </w:rPr>
        <w:t>供应商</w:t>
      </w:r>
      <w:r>
        <w:rPr>
          <w:rFonts w:hint="eastAsia" w:ascii="宋体" w:hAnsi="宋体" w:eastAsia="宋体" w:cs="宋体"/>
          <w:b w:val="0"/>
          <w:bCs w:val="0"/>
          <w:color w:val="0000FF"/>
          <w:sz w:val="20"/>
          <w:szCs w:val="20"/>
          <w:highlight w:val="none"/>
          <w:lang w:val="en-US" w:eastAsia="en-US"/>
        </w:rPr>
        <w:t>违约责任所发生的全部法律费用、律师费用等</w:t>
      </w:r>
      <w:r>
        <w:rPr>
          <w:rFonts w:hint="eastAsia" w:ascii="宋体" w:hAnsi="宋体" w:eastAsia="宋体" w:cs="宋体"/>
          <w:b w:val="0"/>
          <w:bCs w:val="0"/>
          <w:color w:val="0000FF"/>
          <w:sz w:val="20"/>
          <w:szCs w:val="20"/>
          <w:highlight w:val="none"/>
          <w:lang w:val="en-US" w:eastAsia="zh-CN"/>
        </w:rPr>
        <w:t>；</w:t>
      </w:r>
    </w:p>
    <w:p w14:paraId="5E3CD2D5">
      <w:pPr>
        <w:pStyle w:val="8"/>
        <w:spacing w:line="360" w:lineRule="auto"/>
        <w:ind w:firstLine="367"/>
        <w:jc w:val="left"/>
        <w:rPr>
          <w:rFonts w:hint="eastAsia" w:ascii="宋体" w:hAnsi="宋体" w:eastAsia="宋体" w:cs="宋体"/>
          <w:b w:val="0"/>
          <w:bCs w:val="0"/>
          <w:color w:val="0000FF"/>
          <w:sz w:val="20"/>
          <w:szCs w:val="20"/>
          <w:highlight w:val="none"/>
          <w:lang w:val="en-US" w:eastAsia="en-US"/>
        </w:rPr>
      </w:pPr>
      <w:r>
        <w:rPr>
          <w:rFonts w:hint="eastAsia" w:ascii="宋体" w:hAnsi="宋体" w:eastAsia="宋体" w:cs="宋体"/>
          <w:b w:val="0"/>
          <w:bCs w:val="0"/>
          <w:color w:val="0000FF"/>
          <w:sz w:val="20"/>
          <w:szCs w:val="20"/>
          <w:highlight w:val="none"/>
          <w:lang w:val="en-US" w:eastAsia="zh-CN"/>
        </w:rPr>
        <w:t>（4）</w:t>
      </w:r>
      <w:r>
        <w:rPr>
          <w:rFonts w:hint="eastAsia" w:ascii="宋体" w:hAnsi="宋体" w:eastAsia="宋体" w:cs="宋体"/>
          <w:b w:val="0"/>
          <w:bCs w:val="0"/>
          <w:color w:val="0000FF"/>
          <w:sz w:val="20"/>
          <w:szCs w:val="20"/>
          <w:highlight w:val="none"/>
          <w:lang w:val="en-US" w:eastAsia="en-US"/>
        </w:rPr>
        <w:t>本</w:t>
      </w:r>
      <w:r>
        <w:rPr>
          <w:rFonts w:hint="eastAsia" w:ascii="宋体" w:hAnsi="宋体" w:eastAsia="宋体" w:cs="宋体"/>
          <w:b w:val="0"/>
          <w:bCs w:val="0"/>
          <w:color w:val="0000FF"/>
          <w:sz w:val="20"/>
          <w:szCs w:val="20"/>
          <w:highlight w:val="none"/>
          <w:lang w:val="en-US" w:eastAsia="zh-CN"/>
        </w:rPr>
        <w:t>项目</w:t>
      </w:r>
      <w:r>
        <w:rPr>
          <w:rFonts w:hint="eastAsia" w:ascii="宋体" w:hAnsi="宋体" w:eastAsia="宋体" w:cs="宋体"/>
          <w:b w:val="0"/>
          <w:bCs w:val="0"/>
          <w:color w:val="0000FF"/>
          <w:sz w:val="20"/>
          <w:szCs w:val="20"/>
          <w:highlight w:val="none"/>
          <w:lang w:val="en-US" w:eastAsia="en-US"/>
        </w:rPr>
        <w:t>不论因何原因终止之后，上述保密义务继续有效，直至本</w:t>
      </w:r>
      <w:r>
        <w:rPr>
          <w:rFonts w:hint="eastAsia" w:ascii="宋体" w:hAnsi="宋体" w:eastAsia="宋体" w:cs="宋体"/>
          <w:b w:val="0"/>
          <w:bCs w:val="0"/>
          <w:color w:val="0000FF"/>
          <w:sz w:val="20"/>
          <w:szCs w:val="20"/>
          <w:highlight w:val="none"/>
          <w:lang w:val="en-US" w:eastAsia="zh-CN"/>
        </w:rPr>
        <w:t>项目</w:t>
      </w:r>
      <w:r>
        <w:rPr>
          <w:rFonts w:hint="eastAsia" w:ascii="宋体" w:hAnsi="宋体" w:eastAsia="宋体" w:cs="宋体"/>
          <w:b w:val="0"/>
          <w:bCs w:val="0"/>
          <w:color w:val="0000FF"/>
          <w:sz w:val="20"/>
          <w:szCs w:val="20"/>
          <w:highlight w:val="none"/>
          <w:lang w:val="en-US" w:eastAsia="en-US"/>
        </w:rPr>
        <w:t>规定的全部保密信息已通过合法途径成为社会公众所知悉的信息后终止。</w:t>
      </w:r>
    </w:p>
    <w:p w14:paraId="7574F676">
      <w:pPr>
        <w:pStyle w:val="8"/>
        <w:spacing w:line="360" w:lineRule="auto"/>
        <w:ind w:firstLine="367"/>
        <w:jc w:val="left"/>
        <w:rPr>
          <w:rFonts w:hint="eastAsia" w:ascii="宋体" w:hAnsi="宋体" w:eastAsia="宋体" w:cs="宋体"/>
          <w:b/>
          <w:bCs/>
          <w:color w:val="0000FF"/>
          <w:sz w:val="20"/>
          <w:szCs w:val="20"/>
          <w:highlight w:val="none"/>
          <w:lang w:val="en-US" w:eastAsia="zh-CN"/>
        </w:rPr>
      </w:pPr>
      <w:r>
        <w:rPr>
          <w:rFonts w:hint="eastAsia" w:ascii="宋体" w:hAnsi="宋体" w:eastAsia="宋体" w:cs="宋体"/>
          <w:b/>
          <w:bCs/>
          <w:color w:val="0000FF"/>
          <w:sz w:val="20"/>
          <w:szCs w:val="20"/>
          <w:highlight w:val="none"/>
          <w:lang w:val="en-US" w:eastAsia="zh-CN"/>
        </w:rPr>
        <w:t>4、其他</w:t>
      </w:r>
    </w:p>
    <w:p w14:paraId="6A699960">
      <w:r>
        <w:rPr>
          <w:rFonts w:hint="eastAsia" w:ascii="宋体" w:hAnsi="宋体" w:cs="宋体"/>
          <w:b w:val="0"/>
          <w:bCs w:val="0"/>
          <w:color w:val="0000FF"/>
          <w:sz w:val="20"/>
          <w:szCs w:val="20"/>
          <w:highlight w:val="none"/>
          <w:lang w:val="en-US" w:eastAsia="zh-CN"/>
        </w:rPr>
        <w:t>4.1</w:t>
      </w:r>
      <w:r>
        <w:rPr>
          <w:rFonts w:hint="eastAsia" w:ascii="宋体" w:hAnsi="宋体" w:eastAsia="宋体" w:cs="宋体"/>
          <w:b w:val="0"/>
          <w:bCs w:val="0"/>
          <w:color w:val="0000FF"/>
          <w:sz w:val="20"/>
          <w:szCs w:val="20"/>
          <w:highlight w:val="none"/>
          <w:lang w:val="en-US" w:eastAsia="zh-CN"/>
        </w:rPr>
        <w:t>本项目采购预算为两年预算，每年</w:t>
      </w:r>
      <w:r>
        <w:rPr>
          <w:rFonts w:hint="eastAsia" w:ascii="宋体" w:hAnsi="宋体" w:eastAsia="宋体" w:cs="宋体"/>
          <w:b/>
          <w:bCs/>
          <w:color w:val="0000FF"/>
          <w:sz w:val="20"/>
          <w:szCs w:val="20"/>
          <w:highlight w:val="none"/>
          <w:u w:val="single"/>
          <w:lang w:val="en-US" w:eastAsia="zh-CN"/>
        </w:rPr>
        <w:t>67</w:t>
      </w:r>
      <w:r>
        <w:rPr>
          <w:rFonts w:hint="eastAsia" w:ascii="宋体" w:hAnsi="宋体" w:eastAsia="宋体" w:cs="宋体"/>
          <w:b w:val="0"/>
          <w:bCs w:val="0"/>
          <w:color w:val="0000FF"/>
          <w:sz w:val="20"/>
          <w:szCs w:val="20"/>
          <w:highlight w:val="none"/>
          <w:lang w:val="en-US" w:eastAsia="zh-CN"/>
        </w:rPr>
        <w:t>万</w:t>
      </w:r>
      <w:r>
        <w:rPr>
          <w:rFonts w:hint="eastAsia" w:ascii="宋体" w:hAnsi="宋体" w:cs="宋体"/>
          <w:b w:val="0"/>
          <w:bCs w:val="0"/>
          <w:color w:val="0000FF"/>
          <w:sz w:val="20"/>
          <w:szCs w:val="20"/>
          <w:highlight w:val="none"/>
          <w:lang w:val="en-US" w:eastAsia="zh-CN"/>
        </w:rPr>
        <w:t>元，两年共计</w:t>
      </w:r>
      <w:r>
        <w:rPr>
          <w:rFonts w:hint="eastAsia" w:ascii="宋体" w:hAnsi="宋体" w:cs="宋体"/>
          <w:b/>
          <w:bCs/>
          <w:color w:val="0000FF"/>
          <w:sz w:val="20"/>
          <w:szCs w:val="20"/>
          <w:highlight w:val="none"/>
          <w:u w:val="single"/>
          <w:lang w:val="en-US" w:eastAsia="zh-CN"/>
        </w:rPr>
        <w:t>134</w:t>
      </w:r>
      <w:r>
        <w:rPr>
          <w:rFonts w:hint="eastAsia" w:ascii="宋体" w:hAnsi="宋体" w:cs="宋体"/>
          <w:b w:val="0"/>
          <w:bCs w:val="0"/>
          <w:color w:val="0000FF"/>
          <w:sz w:val="20"/>
          <w:szCs w:val="20"/>
          <w:highlight w:val="none"/>
          <w:lang w:val="en-US" w:eastAsia="zh-CN"/>
        </w:rPr>
        <w:t>万元；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8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5"/>
    <w:qFormat/>
    <w:uiPriority w:val="0"/>
    <w:pPr>
      <w:keepNext/>
      <w:keepLines/>
      <w:spacing w:before="260" w:after="260" w:line="500" w:lineRule="exact"/>
      <w:outlineLvl w:val="1"/>
    </w:pPr>
    <w:rPr>
      <w:rFonts w:ascii="Arial" w:hAnsi="Arial" w:eastAsia="黑体"/>
      <w:b/>
      <w:sz w:val="36"/>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rPr>
      <w:rFonts w:hAnsi="宋体"/>
      <w:sz w:val="18"/>
      <w:szCs w:val="18"/>
    </w:rPr>
  </w:style>
  <w:style w:type="paragraph" w:styleId="3">
    <w:name w:val="Body Text"/>
    <w:basedOn w:val="1"/>
    <w:qFormat/>
    <w:uiPriority w:val="0"/>
    <w:rPr>
      <w:rFonts w:ascii="Arial" w:hAnsi="Arial" w:eastAsia="Arial" w:cs="Arial"/>
      <w:sz w:val="21"/>
      <w:szCs w:val="21"/>
      <w:lang w:val="en-US" w:eastAsia="en-US" w:bidi="ar-SA"/>
    </w:rPr>
  </w:style>
  <w:style w:type="paragraph" w:styleId="5">
    <w:name w:val="Normal Indent"/>
    <w:basedOn w:val="1"/>
    <w:qFormat/>
    <w:uiPriority w:val="0"/>
    <w:pPr>
      <w:ind w:firstLine="420" w:firstLineChars="200"/>
    </w:pPr>
  </w:style>
  <w:style w:type="paragraph" w:customStyle="1" w:styleId="8">
    <w:name w:val="null3"/>
    <w:autoRedefine/>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2025-09-11T08:59:50Z</dcterms:created>
  <dc:creator>Administrator</dc:creator>
  <cp:lastModifiedBy>豆本豆</cp:lastModifiedBy>
  <dcterms:modified xsi:type="dcterms:W3CDTF">2025-09-11T09:03:07Z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eyJoZGlkIjoiZTc2YjNkNzAxY2E2NTE3ZmY0YmZiYzc2NDBhZGQxZGMiLCJ1c2VySWQiOiI4MTA3MzA2NDAifQ==</vt:lpwstr>
  </property>
  <property fmtid="{D5CDD505-2E9C-101B-9397-08002B2CF9AE}" pid="4" name="ICV">
    <vt:lpwstr>38A19B6DC52C4004B568EABA3072F263_12</vt:lpwstr>
  </property>
</Properties>
</file>