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1972B">
      <w:pPr>
        <w:pStyle w:val="7"/>
        <w:rPr>
          <w:rFonts w:hint="eastAsia" w:ascii="仿宋" w:hAnsi="仿宋" w:cs="仿宋"/>
          <w:sz w:val="32"/>
        </w:rPr>
      </w:pPr>
      <w:r>
        <w:rPr>
          <w:rFonts w:hint="eastAsia" w:ascii="仿宋" w:hAnsi="仿宋" w:cs="仿宋"/>
          <w:sz w:val="32"/>
          <w:szCs w:val="28"/>
        </w:rPr>
        <w:t>项目采购需求</w:t>
      </w:r>
    </w:p>
    <w:p w14:paraId="1548E144">
      <w:pPr>
        <w:pStyle w:val="4"/>
        <w:numPr>
          <w:ilvl w:val="0"/>
          <w:numId w:val="1"/>
        </w:numPr>
        <w:ind w:firstLine="643" w:firstLineChars="200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采购清单</w:t>
      </w:r>
    </w:p>
    <w:tbl>
      <w:tblPr>
        <w:tblStyle w:val="9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620"/>
        <w:gridCol w:w="1703"/>
        <w:gridCol w:w="1854"/>
      </w:tblGrid>
      <w:tr w14:paraId="5054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2" w:type="dxa"/>
            <w:noWrap w:val="0"/>
            <w:vAlign w:val="center"/>
          </w:tcPr>
          <w:p w14:paraId="6068E7F1">
            <w:pPr>
              <w:pStyle w:val="4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20" w:type="dxa"/>
            <w:noWrap w:val="0"/>
            <w:vAlign w:val="center"/>
          </w:tcPr>
          <w:p w14:paraId="617D4A6A">
            <w:pPr>
              <w:pStyle w:val="4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03" w:type="dxa"/>
            <w:noWrap w:val="0"/>
            <w:vAlign w:val="center"/>
          </w:tcPr>
          <w:p w14:paraId="0AB39957">
            <w:pPr>
              <w:pStyle w:val="4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54" w:type="dxa"/>
            <w:noWrap w:val="0"/>
            <w:vAlign w:val="center"/>
          </w:tcPr>
          <w:p w14:paraId="10874CAC">
            <w:pPr>
              <w:pStyle w:val="4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4793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2" w:type="dxa"/>
            <w:noWrap w:val="0"/>
            <w:vAlign w:val="center"/>
          </w:tcPr>
          <w:p w14:paraId="53C1B4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 w14:paraId="29F11372">
            <w:pPr>
              <w:spacing w:before="65" w:line="240" w:lineRule="auto"/>
              <w:ind w:right="116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解剖虚拟仿真教学系统-教师端一体机</w:t>
            </w:r>
          </w:p>
        </w:tc>
        <w:tc>
          <w:tcPr>
            <w:tcW w:w="1703" w:type="dxa"/>
            <w:noWrap w:val="0"/>
            <w:vAlign w:val="center"/>
          </w:tcPr>
          <w:p w14:paraId="5831513E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54" w:type="dxa"/>
            <w:noWrap w:val="0"/>
            <w:vAlign w:val="center"/>
          </w:tcPr>
          <w:p w14:paraId="535C6C39">
            <w:pPr>
              <w:spacing w:before="57"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611F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2" w:type="dxa"/>
            <w:noWrap w:val="0"/>
            <w:vAlign w:val="center"/>
          </w:tcPr>
          <w:p w14:paraId="2944CC5D">
            <w:pPr>
              <w:pStyle w:val="4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 w14:paraId="331C9708">
            <w:pPr>
              <w:spacing w:before="65" w:line="240" w:lineRule="auto"/>
              <w:ind w:right="116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配套服务</w:t>
            </w:r>
          </w:p>
        </w:tc>
        <w:tc>
          <w:tcPr>
            <w:tcW w:w="1703" w:type="dxa"/>
            <w:noWrap w:val="0"/>
            <w:vAlign w:val="center"/>
          </w:tcPr>
          <w:p w14:paraId="6169D8E5">
            <w:pPr>
              <w:spacing w:before="65"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54" w:type="dxa"/>
            <w:noWrap w:val="0"/>
            <w:vAlign w:val="center"/>
          </w:tcPr>
          <w:p w14:paraId="2FB04E6B">
            <w:pPr>
              <w:spacing w:before="58"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</w:tbl>
    <w:p w14:paraId="3504113B">
      <w:pPr>
        <w:pStyle w:val="4"/>
        <w:widowControl w:val="0"/>
        <w:numPr>
          <w:ilvl w:val="0"/>
          <w:numId w:val="1"/>
        </w:numPr>
        <w:spacing w:line="324" w:lineRule="auto"/>
        <w:ind w:left="0" w:leftChars="0"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技术参数</w:t>
      </w:r>
    </w:p>
    <w:tbl>
      <w:tblPr>
        <w:tblStyle w:val="9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14"/>
        <w:gridCol w:w="5279"/>
        <w:gridCol w:w="768"/>
        <w:gridCol w:w="723"/>
      </w:tblGrid>
      <w:tr w14:paraId="1CAD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  <w:jc w:val="center"/>
        </w:trPr>
        <w:tc>
          <w:tcPr>
            <w:tcW w:w="418" w:type="pct"/>
            <w:noWrap w:val="0"/>
            <w:vAlign w:val="center"/>
          </w:tcPr>
          <w:p w14:paraId="51099B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47" w:type="pct"/>
            <w:noWrap w:val="0"/>
            <w:vAlign w:val="center"/>
          </w:tcPr>
          <w:p w14:paraId="111A79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6" w:type="pct"/>
            <w:noWrap w:val="0"/>
            <w:vAlign w:val="center"/>
          </w:tcPr>
          <w:p w14:paraId="2F4897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446" w:type="pct"/>
            <w:noWrap w:val="0"/>
            <w:vAlign w:val="center"/>
          </w:tcPr>
          <w:p w14:paraId="1911FF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20" w:type="pct"/>
            <w:noWrap w:val="0"/>
            <w:vAlign w:val="center"/>
          </w:tcPr>
          <w:p w14:paraId="2EE532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01F1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18" w:type="pct"/>
            <w:noWrap w:val="0"/>
            <w:vAlign w:val="center"/>
          </w:tcPr>
          <w:p w14:paraId="2760E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23FC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bidi="ar"/>
              </w:rPr>
              <w:t>解剖虚拟仿真教学系统-教师端一体机</w:t>
            </w:r>
          </w:p>
        </w:tc>
        <w:tc>
          <w:tcPr>
            <w:tcW w:w="3066" w:type="pct"/>
            <w:noWrap w:val="0"/>
            <w:vAlign w:val="center"/>
          </w:tcPr>
          <w:p w14:paraId="16B07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英寸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LED液晶显示一体机，≥ 4K高清显示，AG防眩光钢化玻璃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，多点触摸，支持HDMI/DP/VGA/LAN/Type-C/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USB接口，支持Wifi、蓝牙；操作系统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win 10，CPU型号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i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及以上，4G及以上独立显卡，运行内存：16GB及以上，硬盘类型：固态硬盘，硬盘容量：500GB及以上，配备万向轮移动支架。</w:t>
            </w:r>
          </w:p>
          <w:p w14:paraId="170EB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真实解剖三维标本参照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国家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正规出版社图谱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教材制作，标本扫描结构暴露清晰、纹理走向明确、层次分明，内置画笔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支持重点结构名称标示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多种操作交互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中英文双语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360度旋转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缩放、移动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等功能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。</w:t>
            </w:r>
          </w:p>
          <w:p w14:paraId="613A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系统解剖学标本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1000件，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需包含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运动系统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消化系统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呼吸系统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泌尿系统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生殖系统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脉管系统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感觉器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神经系统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内分泌系统标本。</w:t>
            </w:r>
          </w:p>
          <w:p w14:paraId="3404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局部解剖学标本≥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0件。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需包含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头部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颈部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胸部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腹部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盆部与会阴区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脊柱区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上肢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下肢标本。</w:t>
            </w:r>
          </w:p>
          <w:p w14:paraId="771A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运动解剖学真实解剖标本件数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200件。</w:t>
            </w:r>
          </w:p>
          <w:p w14:paraId="290F8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整体人真实解剖三维标本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30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需包含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女性整体塑化标本。</w:t>
            </w:r>
          </w:p>
          <w:p w14:paraId="758A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胚胎学真实解剖三维标本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需包含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正常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畸形胎儿标本。</w:t>
            </w:r>
          </w:p>
          <w:p w14:paraId="70075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病理学真实三维标本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0件。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需包含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肿瘤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消化系统疾病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呼吸系统疾病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泌尿系统疾病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生殖系统和乳腺疾病标本。</w:t>
            </w:r>
          </w:p>
          <w:p w14:paraId="7368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口腔专业标本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0件。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需包含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口腔颌面颈部局解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口腔颌面颈部系解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牙体解剖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牙体对比标本。</w:t>
            </w:r>
          </w:p>
          <w:p w14:paraId="0308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10.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3D实物标本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多点触控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拖动、旋转、平移和缩放。</w:t>
            </w:r>
          </w:p>
          <w:p w14:paraId="457F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虚拟三维人体数字解剖模型支持多种操作交互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自由旋转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任意缩放、移动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360度观察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等功能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。</w:t>
            </w:r>
          </w:p>
          <w:p w14:paraId="3860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虚拟三维人体数字解剖模型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快速拆解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隐藏、透明操作，支持多个功能组合使用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。</w:t>
            </w:r>
          </w:p>
          <w:p w14:paraId="3D4A8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支持查看结构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高亮显示并显示注释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功能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。</w:t>
            </w:r>
          </w:p>
          <w:p w14:paraId="2C09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14.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支持搜索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一键隐藏单个或多个部位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一键位置居中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重置功能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。</w:t>
            </w:r>
          </w:p>
          <w:p w14:paraId="66E95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15.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支持使用过程中对拆分数据进行快照保存，下次使用可快速调取并显示当前拆分状态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。</w:t>
            </w:r>
          </w:p>
          <w:p w14:paraId="421A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16.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系统解剖学数字模型件数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0件，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需包含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运动系统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消化系统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呼吸系统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泌尿系统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生殖系统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脉管系统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感觉器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神经系统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内分泌系统模型。</w:t>
            </w:r>
          </w:p>
          <w:p w14:paraId="1475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17.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局部解剖学模型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25件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需包含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头颈部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男女性胸部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腹部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男女性盆部与会阴区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脊柱区模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上肢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下肢模型。</w:t>
            </w:r>
          </w:p>
          <w:p w14:paraId="5BD6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18.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运动解剖学三维模型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85件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整体人男、女性解剖三维数字模型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组织胚胎三维模型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75件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生理学三维模型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病理学三维模型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15件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细菌与病毒三维模型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70件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穴位经络三维模型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考古人类学模型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10件。</w:t>
            </w:r>
          </w:p>
          <w:p w14:paraId="1B33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.医学动画：医学类动画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0部，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包含中医学科普视频，基础医学视频动画，诊断学视频动画，护理学视频动画，内科学视频动画，外科学视频动画，妇产科学视频动画，医学技术视频动画。</w:t>
            </w:r>
          </w:p>
          <w:p w14:paraId="2E83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.全景切片：正常和非正常的人体组织切片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250片。</w:t>
            </w:r>
          </w:p>
          <w:p w14:paraId="6120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.人体断层：包含人体水平、矢状、冠状的三方位典型断面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0片。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需包含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头部断面标本，颈部断面标本，胸部断面标本，腹部断面标本，盆部与会阴区断面标本，上肢断面标本，下肢断面标本，全身冠状断面，全身矢状断面。</w:t>
            </w:r>
          </w:p>
          <w:p w14:paraId="2ED1D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.自测练习模块：涵盖医学形态学、机能学、临床学科等15类目试题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25000道。包括特色标本测试题，系统解剖学测试题，局部解剖学测试题，药理学测试题，病理学测试题，生理学测试题；组织学与胚胎学测试题；医学微生物学测试题；病理生理学测试题；生物化学测试题；诊断学测试题；内科学测试题；外科学测试题；妇产科学测试题；儿科学测试题。</w:t>
            </w:r>
          </w:p>
          <w:p w14:paraId="2AE8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.配备学生端口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00个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采用用户账号管理模式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不限节点，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账号随时随地登录平台的网站端、EXE客户端、手机APP客户端等进行学习。</w:t>
            </w:r>
          </w:p>
          <w:p w14:paraId="2870C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24.供应商负责所有软件终身升级服务，将持续为系统提供功能迭代、漏洞修复及内容更新支持。</w:t>
            </w:r>
          </w:p>
          <w:p w14:paraId="50957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25.配备“人体解剖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虚拟仿真教学系统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”的笔记本电脑1台，要求CPU≥i7；运行内存≥32GB；硬盘≥1T；分辨率≥2.8k；刷新率≥60Hz；屏幕尺寸≥14英寸；电池容量≥80Wh；正版化windows11操作系统。</w:t>
            </w:r>
          </w:p>
          <w:p w14:paraId="21C5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ar"/>
              </w:rPr>
              <w:t>注：以上参数带▲号的需提供相关证明材料。</w:t>
            </w:r>
          </w:p>
        </w:tc>
        <w:tc>
          <w:tcPr>
            <w:tcW w:w="446" w:type="pct"/>
            <w:noWrap w:val="0"/>
            <w:vAlign w:val="center"/>
          </w:tcPr>
          <w:p w14:paraId="26F0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0" w:type="pct"/>
            <w:noWrap w:val="0"/>
            <w:vAlign w:val="center"/>
          </w:tcPr>
          <w:p w14:paraId="1488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0557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18" w:type="pct"/>
            <w:noWrap w:val="0"/>
            <w:vAlign w:val="center"/>
          </w:tcPr>
          <w:p w14:paraId="6D0A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7" w:type="pct"/>
            <w:noWrap w:val="0"/>
            <w:vAlign w:val="center"/>
          </w:tcPr>
          <w:p w14:paraId="7012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配套服务</w:t>
            </w:r>
          </w:p>
        </w:tc>
        <w:tc>
          <w:tcPr>
            <w:tcW w:w="3066" w:type="pct"/>
            <w:noWrap w:val="0"/>
            <w:vAlign w:val="center"/>
          </w:tcPr>
          <w:p w14:paraId="3768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提供实验室大约180m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电路的升级配套服务。</w:t>
            </w:r>
          </w:p>
          <w:p w14:paraId="3B48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1.服务实验室范围：1F-06、1F-07、1F-10 人体解剖学实验室，共计 3 间。</w:t>
            </w:r>
          </w:p>
          <w:p w14:paraId="520B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2.插座新增工程：每间实验室需新增 24 个五孔墙面插座（含墙面走线施工），3 间实验室累计新增 72 个。</w:t>
            </w:r>
          </w:p>
          <w:p w14:paraId="79994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>3.照明更换工程：每间实验室需更换 3 盏 LED 吸顶灯（规格要求 ≥ 100cm×60cm，含墙面走线施工），3 间实验室累计更换 9 盏。</w:t>
            </w:r>
          </w:p>
        </w:tc>
        <w:tc>
          <w:tcPr>
            <w:tcW w:w="446" w:type="pct"/>
            <w:noWrap w:val="0"/>
            <w:vAlign w:val="center"/>
          </w:tcPr>
          <w:p w14:paraId="375EC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0" w:type="pct"/>
            <w:noWrap w:val="0"/>
            <w:vAlign w:val="center"/>
          </w:tcPr>
          <w:p w14:paraId="1F946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</w:tr>
    </w:tbl>
    <w:p w14:paraId="3B639D40">
      <w:pPr>
        <w:pStyle w:val="4"/>
        <w:widowControl w:val="0"/>
        <w:numPr>
          <w:ilvl w:val="0"/>
          <w:numId w:val="0"/>
        </w:numPr>
        <w:spacing w:line="324" w:lineRule="auto"/>
        <w:jc w:val="both"/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本项目采购需求需完全满足要求，要求提供相关证明材料的需提供相关证明材料，未提供按负偏离处理；每负偏离一项按无效文件处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EC207">
    <w:pPr>
      <w:pStyle w:val="5"/>
      <w:jc w:val="center"/>
      <w:rPr>
        <w:rFonts w:hint="eastAsia" w:ascii="宋体" w:hAnsi="宋体"/>
      </w:rPr>
    </w:pPr>
    <w:r>
      <w:rPr>
        <w:rFonts w:hint="eastAsia" w:ascii="宋体" w:hAnsi="宋体"/>
      </w:rPr>
      <w:t xml:space="preserve">陕西正信招标有限公司                            第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70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 xml:space="preserve">页 </w:t>
    </w:r>
    <w:r>
      <w:rPr>
        <w:rFonts w:ascii="宋体" w:hAnsi="宋体"/>
      </w:rPr>
      <w:t xml:space="preserve">            </w:t>
    </w:r>
    <w:r>
      <w:rPr>
        <w:rFonts w:hint="eastAsia" w:ascii="宋体" w:hAnsi="宋体"/>
      </w:rPr>
      <w:t>环城西路南段元晟合中心6层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AA1CF">
    <w:pPr>
      <w:pStyle w:val="6"/>
      <w:pBdr>
        <w:bottom w:val="none" w:color="auto" w:sz="0" w:space="0"/>
      </w:pBdr>
      <w:tabs>
        <w:tab w:val="left" w:pos="9072"/>
        <w:tab w:val="clear" w:pos="8306"/>
      </w:tabs>
      <w:jc w:val="left"/>
      <w:rPr>
        <w:rFonts w:hint="eastAsia"/>
      </w:rPr>
    </w:pPr>
    <w:r>
      <w:rPr>
        <w:rFonts w:hint="eastAsia"/>
        <w:u w:val="single"/>
      </w:rPr>
      <w:t xml:space="preserve"> </w:t>
    </w:r>
    <w:r>
      <w:rPr>
        <w:u w:val="single"/>
      </w:rPr>
      <w:t xml:space="preserve">                            </w:t>
    </w:r>
    <w:r>
      <w:rPr>
        <w:rFonts w:hint="eastAsia"/>
        <w:u w:val="single"/>
        <w:lang w:val="en-US" w:eastAsia="zh-CN"/>
      </w:rPr>
      <w:t xml:space="preserve">      </w:t>
    </w:r>
    <w:r>
      <w:rPr>
        <w:u w:val="single"/>
      </w:rPr>
      <w:t xml:space="preserve"> </w:t>
    </w:r>
    <w:r>
      <w:rPr>
        <w:rFonts w:hint="eastAsia"/>
        <w:u w:val="single"/>
        <w:lang w:val="en-US" w:eastAsia="zh-CN"/>
      </w:rPr>
      <w:t>陕西能源职业技术学院人体解剖虚拟仿真一体机购置项目</w:t>
    </w:r>
    <w:r>
      <w:rPr>
        <w:rFonts w:hint="eastAsia"/>
        <w:u w:val="single"/>
      </w:rPr>
      <w:t>竞争性</w:t>
    </w:r>
    <w:r>
      <w:rPr>
        <w:rFonts w:hint="eastAsia"/>
        <w:u w:val="single"/>
        <w:lang w:eastAsia="zh-CN"/>
      </w:rPr>
      <w:t>谈判</w:t>
    </w:r>
    <w:r>
      <w:rPr>
        <w:rFonts w:hint="eastAsia"/>
        <w:u w:val="single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B2E15"/>
    <w:multiLevelType w:val="singleLevel"/>
    <w:tmpl w:val="F63B2E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371E81"/>
    <w:multiLevelType w:val="singleLevel"/>
    <w:tmpl w:val="55371E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F3E66"/>
    <w:rsid w:val="18BF3E66"/>
    <w:rsid w:val="2DB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Times New Roman" w:eastAsia="宋?"/>
      <w:sz w:val="21"/>
      <w:szCs w:val="24"/>
    </w:rPr>
  </w:style>
  <w:style w:type="paragraph" w:styleId="3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4">
    <w:name w:val="Plain Text"/>
    <w:basedOn w:val="1"/>
    <w:qFormat/>
    <w:uiPriority w:val="99"/>
    <w:rPr>
      <w:rFonts w:ascii="宋体" w:hAnsi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仿宋"/>
      <w:b/>
      <w:bCs/>
      <w:kern w:val="28"/>
      <w:sz w:val="36"/>
      <w:szCs w:val="32"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1773</Words>
  <Characters>1963</Characters>
  <Lines>0</Lines>
  <Paragraphs>0</Paragraphs>
  <TotalTime>0</TotalTime>
  <ScaleCrop>false</ScaleCrop>
  <LinksUpToDate>false</LinksUpToDate>
  <CharactersWithSpaces>2031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2025-09-12T09:02:00Z</dcterms:created>
  <dc:creator>Cathy茹初見</dc:creator>
  <cp:lastModifiedBy>Cathy茹初見</cp:lastModifiedBy>
  <dcterms:modified xsi:type="dcterms:W3CDTF">2025-09-12T09:04:12Z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3E685467DA194C02BDAE04526263976B_11</vt:lpwstr>
  </property>
  <property fmtid="{D5CDD505-2E9C-101B-9397-08002B2CF9AE}" pid="4" name="KSOTemplateDocerSaveRecord">
    <vt:lpwstr>eyJoZGlkIjoiZWQ5NzVkYWI0MGQ0NTQxNThkOWY1MzQ0MjRiOWI4NDkiLCJ1c2VySWQiOiIxOTk3MjgxNTUifQ==</vt:lpwstr>
  </property>
</Properties>
</file>