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8CC8C">
      <w:r>
        <w:drawing>
          <wp:inline distT="0" distB="0" distL="114300" distR="114300">
            <wp:extent cx="5870575" cy="8333105"/>
            <wp:effectExtent l="0" t="0" r="15875" b="10795"/>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68"/>
                    <a:stretch>
                      <a:fillRect/>
                    </a:stretch>
                  </pic:blipFill>
                  <pic:spPr>
                    <a:xfrm>
                      <a:off x="0" y="0"/>
                      <a:ext cx="5870575" cy="8333105"/>
                    </a:xfrm>
                    <a:prstGeom prst="rect">
                      <a:avLst/>
                    </a:prstGeom>
                    <a:noFill/>
                    <a:ln>
                      <a:noFill/>
                    </a:ln>
                  </pic:spPr>
                </pic:pic>
              </a:graphicData>
            </a:graphic>
          </wp:inline>
        </w:drawing>
      </w:r>
    </w:p>
    <w:p w14:paraId="58DF2CAC">
      <w:pPr>
        <w:rPr>
          <w:rFonts w:hint="eastAsia" w:ascii="宋体" w:hAnsi="宋体" w:eastAsia="宋体" w:cs="宋体"/>
          <w:sz w:val="21"/>
          <w:highlight w:val="none"/>
        </w:rPr>
      </w:pPr>
      <w:r>
        <w:rPr>
          <w:rFonts w:hint="eastAsia" w:ascii="宋体" w:hAnsi="宋体" w:eastAsia="宋体" w:cs="宋体"/>
          <w:sz w:val="21"/>
          <w:highlight w:val="none"/>
        </w:rPr>
        <w:br w:type="page"/>
      </w:r>
    </w:p>
    <w:p w14:paraId="3DDDC1E3">
      <w:pPr>
        <w:spacing w:line="319" w:lineRule="auto"/>
        <w:rPr>
          <w:rFonts w:hint="eastAsia" w:ascii="宋体" w:hAnsi="宋体" w:eastAsia="宋体" w:cs="宋体"/>
          <w:sz w:val="21"/>
          <w:highlight w:val="none"/>
        </w:rPr>
      </w:pPr>
    </w:p>
    <w:p w14:paraId="0F0E9C82">
      <w:pPr>
        <w:spacing w:line="343" w:lineRule="auto"/>
        <w:rPr>
          <w:rFonts w:hint="eastAsia" w:ascii="宋体" w:hAnsi="宋体" w:eastAsia="宋体" w:cs="宋体"/>
          <w:sz w:val="21"/>
          <w:highlight w:val="none"/>
        </w:rPr>
      </w:pPr>
    </w:p>
    <w:p w14:paraId="780046EB">
      <w:pPr>
        <w:pStyle w:val="5"/>
        <w:keepNext w:val="0"/>
        <w:keepLines w:val="0"/>
        <w:pageBreakBefore w:val="0"/>
        <w:widowControl/>
        <w:kinsoku w:val="0"/>
        <w:wordWrap/>
        <w:overflowPunct/>
        <w:topLinePunct w:val="0"/>
        <w:autoSpaceDE w:val="0"/>
        <w:autoSpaceDN w:val="0"/>
        <w:bidi w:val="0"/>
        <w:adjustRightInd w:val="0"/>
        <w:snapToGrid w:val="0"/>
        <w:spacing w:before="130" w:line="360" w:lineRule="auto"/>
        <w:ind w:left="0" w:leftChars="0" w:firstLine="0" w:firstLineChars="0"/>
        <w:jc w:val="center"/>
        <w:textAlignment w:val="baseline"/>
        <w:rPr>
          <w:rFonts w:hint="eastAsia" w:ascii="宋体" w:hAnsi="宋体" w:eastAsia="宋体" w:cs="宋体"/>
          <w:sz w:val="40"/>
          <w:szCs w:val="40"/>
          <w:highlight w:val="none"/>
        </w:rPr>
      </w:pPr>
      <w:r>
        <w:rPr>
          <w:rFonts w:hint="eastAsia" w:ascii="宋体" w:hAnsi="宋体" w:eastAsia="宋体" w:cs="宋体"/>
          <w:b/>
          <w:bCs/>
          <w:spacing w:val="-53"/>
          <w:sz w:val="40"/>
          <w:szCs w:val="40"/>
          <w:highlight w:val="none"/>
        </w:rPr>
        <w:t>目</w:t>
      </w:r>
      <w:r>
        <w:rPr>
          <w:rFonts w:hint="eastAsia" w:ascii="宋体" w:hAnsi="宋体" w:eastAsia="宋体" w:cs="宋体"/>
          <w:spacing w:val="24"/>
          <w:sz w:val="40"/>
          <w:szCs w:val="40"/>
          <w:highlight w:val="none"/>
        </w:rPr>
        <w:t xml:space="preserve"> </w:t>
      </w:r>
      <w:r>
        <w:rPr>
          <w:rFonts w:hint="eastAsia" w:ascii="宋体" w:hAnsi="宋体" w:eastAsia="宋体" w:cs="宋体"/>
          <w:b/>
          <w:bCs/>
          <w:spacing w:val="-53"/>
          <w:sz w:val="40"/>
          <w:szCs w:val="40"/>
          <w:highlight w:val="none"/>
        </w:rPr>
        <w:t>录</w:t>
      </w:r>
    </w:p>
    <w:p w14:paraId="3E2E9619">
      <w:pPr>
        <w:pStyle w:val="5"/>
        <w:keepNext w:val="0"/>
        <w:keepLines w:val="0"/>
        <w:pageBreakBefore w:val="0"/>
        <w:widowControl/>
        <w:kinsoku w:val="0"/>
        <w:wordWrap/>
        <w:overflowPunct/>
        <w:topLinePunct w:val="0"/>
        <w:autoSpaceDE w:val="0"/>
        <w:autoSpaceDN w:val="0"/>
        <w:bidi w:val="0"/>
        <w:adjustRightInd w:val="0"/>
        <w:snapToGrid w:val="0"/>
        <w:spacing w:before="101" w:line="360" w:lineRule="auto"/>
        <w:ind w:left="680"/>
        <w:textAlignment w:val="baseline"/>
        <w:rPr>
          <w:rFonts w:hint="eastAsia" w:ascii="宋体" w:hAnsi="宋体" w:eastAsia="宋体" w:cs="宋体"/>
          <w:sz w:val="30"/>
          <w:szCs w:val="30"/>
          <w:highlight w:val="none"/>
        </w:rPr>
      </w:pPr>
      <w:r>
        <w:rPr>
          <w:rFonts w:hint="eastAsia" w:ascii="宋体" w:hAnsi="宋体" w:eastAsia="宋体" w:cs="宋体"/>
          <w:spacing w:val="4"/>
          <w:sz w:val="30"/>
          <w:szCs w:val="30"/>
          <w:highlight w:val="none"/>
        </w:rPr>
        <w:t>第一章</w:t>
      </w:r>
      <w:r>
        <w:rPr>
          <w:rFonts w:hint="eastAsia" w:ascii="宋体" w:hAnsi="宋体" w:eastAsia="宋体" w:cs="宋体"/>
          <w:spacing w:val="19"/>
          <w:sz w:val="30"/>
          <w:szCs w:val="30"/>
          <w:highlight w:val="none"/>
        </w:rPr>
        <w:t xml:space="preserve"> </w:t>
      </w:r>
      <w:r>
        <w:rPr>
          <w:rFonts w:hint="eastAsia" w:ascii="宋体" w:hAnsi="宋体" w:eastAsia="宋体" w:cs="宋体"/>
          <w:spacing w:val="4"/>
          <w:sz w:val="30"/>
          <w:szCs w:val="30"/>
          <w:highlight w:val="none"/>
        </w:rPr>
        <w:t>磋商公告</w:t>
      </w:r>
    </w:p>
    <w:p w14:paraId="2ED1020E">
      <w:pPr>
        <w:spacing w:line="275" w:lineRule="auto"/>
        <w:rPr>
          <w:rFonts w:hint="eastAsia" w:ascii="宋体" w:hAnsi="宋体" w:eastAsia="宋体" w:cs="宋体"/>
          <w:sz w:val="30"/>
          <w:szCs w:val="30"/>
          <w:highlight w:val="none"/>
        </w:rPr>
      </w:pPr>
    </w:p>
    <w:p w14:paraId="7312153C">
      <w:pPr>
        <w:pStyle w:val="5"/>
        <w:spacing w:before="101" w:line="228" w:lineRule="auto"/>
        <w:ind w:left="680"/>
        <w:rPr>
          <w:rFonts w:hint="eastAsia" w:ascii="宋体" w:hAnsi="宋体" w:eastAsia="宋体" w:cs="宋体"/>
          <w:sz w:val="30"/>
          <w:szCs w:val="30"/>
          <w:highlight w:val="none"/>
        </w:rPr>
      </w:pPr>
      <w:r>
        <w:rPr>
          <w:rFonts w:hint="eastAsia" w:ascii="宋体" w:hAnsi="宋体" w:eastAsia="宋体" w:cs="宋体"/>
          <w:spacing w:val="5"/>
          <w:sz w:val="30"/>
          <w:szCs w:val="30"/>
          <w:highlight w:val="none"/>
        </w:rPr>
        <w:t>第二章</w:t>
      </w:r>
      <w:r>
        <w:rPr>
          <w:rFonts w:hint="eastAsia" w:ascii="宋体" w:hAnsi="宋体" w:eastAsia="宋体" w:cs="宋体"/>
          <w:spacing w:val="20"/>
          <w:sz w:val="30"/>
          <w:szCs w:val="30"/>
          <w:highlight w:val="none"/>
        </w:rPr>
        <w:t xml:space="preserve"> </w:t>
      </w:r>
      <w:r>
        <w:rPr>
          <w:rFonts w:hint="eastAsia" w:ascii="宋体" w:hAnsi="宋体" w:eastAsia="宋体" w:cs="宋体"/>
          <w:spacing w:val="5"/>
          <w:sz w:val="30"/>
          <w:szCs w:val="30"/>
          <w:highlight w:val="none"/>
        </w:rPr>
        <w:t>供应商须知</w:t>
      </w:r>
    </w:p>
    <w:p w14:paraId="437D4331">
      <w:pPr>
        <w:spacing w:line="275" w:lineRule="auto"/>
        <w:rPr>
          <w:rFonts w:hint="eastAsia" w:ascii="宋体" w:hAnsi="宋体" w:eastAsia="宋体" w:cs="宋体"/>
          <w:sz w:val="30"/>
          <w:szCs w:val="30"/>
          <w:highlight w:val="none"/>
        </w:rPr>
      </w:pPr>
    </w:p>
    <w:p w14:paraId="791F2462">
      <w:pPr>
        <w:pStyle w:val="5"/>
        <w:spacing w:before="101" w:line="228" w:lineRule="auto"/>
        <w:ind w:left="680"/>
        <w:rPr>
          <w:rFonts w:hint="eastAsia" w:ascii="宋体" w:hAnsi="宋体" w:eastAsia="宋体" w:cs="宋体"/>
          <w:sz w:val="30"/>
          <w:szCs w:val="30"/>
          <w:highlight w:val="none"/>
        </w:rPr>
      </w:pPr>
      <w:r>
        <w:rPr>
          <w:rFonts w:hint="eastAsia" w:ascii="宋体" w:hAnsi="宋体" w:eastAsia="宋体" w:cs="宋体"/>
          <w:spacing w:val="2"/>
          <w:sz w:val="30"/>
          <w:szCs w:val="30"/>
          <w:highlight w:val="none"/>
        </w:rPr>
        <w:t>第三章</w:t>
      </w:r>
      <w:r>
        <w:rPr>
          <w:rFonts w:hint="eastAsia" w:ascii="宋体" w:hAnsi="宋体" w:eastAsia="宋体" w:cs="宋体"/>
          <w:spacing w:val="26"/>
          <w:sz w:val="30"/>
          <w:szCs w:val="30"/>
          <w:highlight w:val="none"/>
        </w:rPr>
        <w:t xml:space="preserve"> </w:t>
      </w:r>
      <w:r>
        <w:rPr>
          <w:rFonts w:hint="eastAsia" w:ascii="宋体" w:hAnsi="宋体" w:eastAsia="宋体" w:cs="宋体"/>
          <w:spacing w:val="2"/>
          <w:sz w:val="30"/>
          <w:szCs w:val="30"/>
          <w:highlight w:val="none"/>
        </w:rPr>
        <w:t>商务要求</w:t>
      </w:r>
    </w:p>
    <w:p w14:paraId="725D8D3F">
      <w:pPr>
        <w:spacing w:line="277" w:lineRule="auto"/>
        <w:rPr>
          <w:rFonts w:hint="eastAsia" w:ascii="宋体" w:hAnsi="宋体" w:eastAsia="宋体" w:cs="宋体"/>
          <w:sz w:val="30"/>
          <w:szCs w:val="30"/>
          <w:highlight w:val="none"/>
        </w:rPr>
      </w:pPr>
    </w:p>
    <w:p w14:paraId="338F2A2B">
      <w:pPr>
        <w:pStyle w:val="5"/>
        <w:spacing w:before="101" w:line="228" w:lineRule="auto"/>
        <w:ind w:left="680"/>
        <w:rPr>
          <w:rFonts w:hint="eastAsia" w:ascii="宋体" w:hAnsi="宋体" w:eastAsia="宋体" w:cs="宋体"/>
          <w:sz w:val="30"/>
          <w:szCs w:val="30"/>
          <w:highlight w:val="none"/>
        </w:rPr>
      </w:pPr>
      <w:r>
        <w:rPr>
          <w:rFonts w:hint="eastAsia" w:ascii="宋体" w:hAnsi="宋体" w:eastAsia="宋体" w:cs="宋体"/>
          <w:spacing w:val="7"/>
          <w:sz w:val="30"/>
          <w:szCs w:val="30"/>
          <w:highlight w:val="none"/>
        </w:rPr>
        <w:t>第四章</w:t>
      </w:r>
      <w:r>
        <w:rPr>
          <w:rFonts w:hint="eastAsia" w:ascii="宋体" w:hAnsi="宋体" w:eastAsia="宋体" w:cs="宋体"/>
          <w:spacing w:val="19"/>
          <w:sz w:val="30"/>
          <w:szCs w:val="30"/>
          <w:highlight w:val="none"/>
        </w:rPr>
        <w:t xml:space="preserve"> </w:t>
      </w:r>
      <w:r>
        <w:rPr>
          <w:rFonts w:hint="eastAsia" w:ascii="宋体" w:hAnsi="宋体" w:eastAsia="宋体" w:cs="宋体"/>
          <w:spacing w:val="7"/>
          <w:sz w:val="30"/>
          <w:szCs w:val="30"/>
          <w:highlight w:val="none"/>
        </w:rPr>
        <w:t>评审办法及标准</w:t>
      </w:r>
    </w:p>
    <w:p w14:paraId="26CA2CDB">
      <w:pPr>
        <w:spacing w:line="275" w:lineRule="auto"/>
        <w:rPr>
          <w:rFonts w:hint="eastAsia" w:ascii="宋体" w:hAnsi="宋体" w:eastAsia="宋体" w:cs="宋体"/>
          <w:sz w:val="30"/>
          <w:szCs w:val="30"/>
          <w:highlight w:val="none"/>
        </w:rPr>
      </w:pPr>
    </w:p>
    <w:p w14:paraId="398DE407">
      <w:pPr>
        <w:pStyle w:val="5"/>
        <w:spacing w:before="101" w:line="228" w:lineRule="auto"/>
        <w:ind w:left="680"/>
        <w:rPr>
          <w:rFonts w:hint="eastAsia" w:ascii="宋体" w:hAnsi="宋体" w:eastAsia="宋体" w:cs="宋体"/>
          <w:sz w:val="30"/>
          <w:szCs w:val="30"/>
          <w:highlight w:val="none"/>
        </w:rPr>
      </w:pPr>
      <w:r>
        <w:rPr>
          <w:rFonts w:hint="eastAsia" w:ascii="宋体" w:hAnsi="宋体" w:eastAsia="宋体" w:cs="宋体"/>
          <w:spacing w:val="9"/>
          <w:sz w:val="30"/>
          <w:szCs w:val="30"/>
          <w:highlight w:val="none"/>
        </w:rPr>
        <w:t>第五章 磋商内容及采购需求</w:t>
      </w:r>
    </w:p>
    <w:p w14:paraId="2FE3911F">
      <w:pPr>
        <w:spacing w:line="277" w:lineRule="auto"/>
        <w:rPr>
          <w:rFonts w:hint="eastAsia" w:ascii="宋体" w:hAnsi="宋体" w:eastAsia="宋体" w:cs="宋体"/>
          <w:sz w:val="30"/>
          <w:szCs w:val="30"/>
          <w:highlight w:val="none"/>
        </w:rPr>
      </w:pPr>
    </w:p>
    <w:p w14:paraId="40CBF861">
      <w:pPr>
        <w:pStyle w:val="5"/>
        <w:spacing w:before="102" w:line="228" w:lineRule="auto"/>
        <w:ind w:left="680"/>
        <w:rPr>
          <w:rFonts w:hint="eastAsia" w:ascii="宋体" w:hAnsi="宋体" w:eastAsia="宋体" w:cs="宋体"/>
          <w:sz w:val="30"/>
          <w:szCs w:val="30"/>
          <w:highlight w:val="none"/>
        </w:rPr>
      </w:pPr>
      <w:r>
        <w:rPr>
          <w:rFonts w:hint="eastAsia" w:ascii="宋体" w:hAnsi="宋体" w:eastAsia="宋体" w:cs="宋体"/>
          <w:spacing w:val="5"/>
          <w:sz w:val="30"/>
          <w:szCs w:val="30"/>
          <w:highlight w:val="none"/>
        </w:rPr>
        <w:t>第六章</w:t>
      </w:r>
      <w:r>
        <w:rPr>
          <w:rFonts w:hint="eastAsia" w:ascii="宋体" w:hAnsi="宋体" w:eastAsia="宋体" w:cs="宋体"/>
          <w:spacing w:val="24"/>
          <w:sz w:val="30"/>
          <w:szCs w:val="30"/>
          <w:highlight w:val="none"/>
        </w:rPr>
        <w:t xml:space="preserve"> </w:t>
      </w:r>
      <w:r>
        <w:rPr>
          <w:rFonts w:hint="eastAsia" w:ascii="宋体" w:hAnsi="宋体" w:eastAsia="宋体" w:cs="宋体"/>
          <w:spacing w:val="5"/>
          <w:sz w:val="30"/>
          <w:szCs w:val="30"/>
          <w:highlight w:val="none"/>
        </w:rPr>
        <w:t>合同基本条款</w:t>
      </w:r>
    </w:p>
    <w:p w14:paraId="232D3A76">
      <w:pPr>
        <w:spacing w:line="275" w:lineRule="auto"/>
        <w:rPr>
          <w:rFonts w:hint="eastAsia" w:ascii="宋体" w:hAnsi="宋体" w:eastAsia="宋体" w:cs="宋体"/>
          <w:sz w:val="30"/>
          <w:szCs w:val="30"/>
          <w:highlight w:val="none"/>
        </w:rPr>
      </w:pPr>
    </w:p>
    <w:p w14:paraId="5D60661F">
      <w:pPr>
        <w:pStyle w:val="5"/>
        <w:spacing w:before="101" w:line="228" w:lineRule="auto"/>
        <w:ind w:left="680"/>
        <w:rPr>
          <w:rFonts w:hint="eastAsia" w:ascii="宋体" w:hAnsi="宋体" w:eastAsia="宋体" w:cs="宋体"/>
          <w:sz w:val="30"/>
          <w:szCs w:val="30"/>
          <w:highlight w:val="none"/>
        </w:rPr>
      </w:pPr>
      <w:r>
        <w:rPr>
          <w:rFonts w:hint="eastAsia" w:ascii="宋体" w:hAnsi="宋体" w:eastAsia="宋体" w:cs="宋体"/>
          <w:spacing w:val="7"/>
          <w:sz w:val="30"/>
          <w:szCs w:val="30"/>
          <w:highlight w:val="none"/>
        </w:rPr>
        <w:t>第七章</w:t>
      </w:r>
      <w:r>
        <w:rPr>
          <w:rFonts w:hint="eastAsia" w:ascii="宋体" w:hAnsi="宋体" w:eastAsia="宋体" w:cs="宋体"/>
          <w:spacing w:val="25"/>
          <w:sz w:val="30"/>
          <w:szCs w:val="30"/>
          <w:highlight w:val="none"/>
        </w:rPr>
        <w:t xml:space="preserve"> </w:t>
      </w:r>
      <w:r>
        <w:rPr>
          <w:rFonts w:hint="eastAsia" w:ascii="宋体" w:hAnsi="宋体" w:eastAsia="宋体" w:cs="宋体"/>
          <w:spacing w:val="7"/>
          <w:sz w:val="30"/>
          <w:szCs w:val="30"/>
          <w:highlight w:val="none"/>
        </w:rPr>
        <w:t>响应文件构成及格式</w:t>
      </w:r>
    </w:p>
    <w:p w14:paraId="24A4A1D4">
      <w:pPr>
        <w:rPr>
          <w:rFonts w:hint="eastAsia" w:ascii="宋体" w:hAnsi="宋体" w:eastAsia="宋体" w:cs="宋体"/>
          <w:b/>
          <w:bCs/>
          <w:spacing w:val="2"/>
          <w:highlight w:val="none"/>
        </w:rPr>
      </w:pPr>
      <w:r>
        <w:rPr>
          <w:rFonts w:hint="eastAsia" w:ascii="宋体" w:hAnsi="宋体" w:eastAsia="宋体" w:cs="宋体"/>
          <w:b/>
          <w:bCs/>
          <w:spacing w:val="2"/>
          <w:highlight w:val="none"/>
        </w:rPr>
        <w:br w:type="page"/>
      </w:r>
    </w:p>
    <w:p w14:paraId="4924BA77">
      <w:pPr>
        <w:pStyle w:val="2"/>
        <w:bidi w:val="0"/>
        <w:rPr>
          <w:rFonts w:hint="eastAsia" w:ascii="宋体" w:hAnsi="宋体" w:eastAsia="宋体" w:cs="宋体"/>
          <w:highlight w:val="none"/>
        </w:rPr>
      </w:pPr>
      <w:r>
        <w:rPr>
          <w:rFonts w:hint="eastAsia" w:ascii="宋体" w:hAnsi="宋体" w:eastAsia="宋体" w:cs="宋体"/>
          <w:b/>
          <w:bCs/>
          <w:spacing w:val="2"/>
          <w:highlight w:val="none"/>
        </w:rPr>
        <w:t>第一章</w:t>
      </w:r>
      <w:r>
        <w:rPr>
          <w:rFonts w:hint="eastAsia" w:ascii="宋体" w:hAnsi="宋体" w:eastAsia="宋体" w:cs="宋体"/>
          <w:spacing w:val="153"/>
          <w:highlight w:val="none"/>
        </w:rPr>
        <w:t xml:space="preserve"> </w:t>
      </w:r>
      <w:r>
        <w:rPr>
          <w:rFonts w:hint="eastAsia" w:ascii="宋体" w:hAnsi="宋体" w:eastAsia="宋体" w:cs="宋体"/>
          <w:b/>
          <w:bCs/>
          <w:spacing w:val="2"/>
          <w:highlight w:val="none"/>
        </w:rPr>
        <w:t>磋商公告</w:t>
      </w:r>
    </w:p>
    <w:tbl>
      <w:tblPr>
        <w:tblStyle w:val="1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160"/>
      </w:tblGrid>
      <w:tr w14:paraId="1CDBFB5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769" w:hRule="atLeast"/>
        </w:trPr>
        <w:tc>
          <w:tcPr>
            <w:tcW w:w="5000" w:type="pct"/>
            <w:vAlign w:val="top"/>
          </w:tcPr>
          <w:p w14:paraId="028744FB">
            <w:pPr>
              <w:spacing w:before="153" w:line="222" w:lineRule="auto"/>
              <w:ind w:left="125"/>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项目概况</w:t>
            </w:r>
          </w:p>
          <w:p w14:paraId="332CEF05">
            <w:pPr>
              <w:spacing w:before="151" w:line="299" w:lineRule="auto"/>
              <w:ind w:left="134" w:right="112" w:firstLine="478"/>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val="en-US" w:eastAsia="zh-CN"/>
              </w:rPr>
              <w:t>榆林市农业农村局采购2023年度高标准农田建设项目市级验收服务项目</w:t>
            </w:r>
            <w:r>
              <w:rPr>
                <w:rFonts w:hint="eastAsia" w:ascii="宋体" w:hAnsi="宋体" w:eastAsia="宋体" w:cs="宋体"/>
                <w:spacing w:val="3"/>
                <w:sz w:val="24"/>
                <w:szCs w:val="24"/>
                <w:highlight w:val="none"/>
              </w:rPr>
              <w:t>的潜在供应</w:t>
            </w:r>
            <w:r>
              <w:rPr>
                <w:rFonts w:hint="eastAsia" w:ascii="宋体" w:hAnsi="宋体" w:eastAsia="宋体" w:cs="宋体"/>
                <w:spacing w:val="2"/>
                <w:sz w:val="24"/>
                <w:szCs w:val="24"/>
                <w:highlight w:val="none"/>
              </w:rPr>
              <w:t>商应在全国公共</w:t>
            </w:r>
            <w:r>
              <w:rPr>
                <w:rFonts w:hint="eastAsia" w:ascii="宋体" w:hAnsi="宋体" w:eastAsia="宋体" w:cs="宋体"/>
                <w:spacing w:val="3"/>
                <w:sz w:val="24"/>
                <w:szCs w:val="24"/>
                <w:highlight w:val="none"/>
              </w:rPr>
              <w:t>资源交易中心平台（陕西省）使用</w:t>
            </w:r>
            <w:r>
              <w:rPr>
                <w:rFonts w:hint="eastAsia" w:ascii="宋体" w:hAnsi="宋体" w:eastAsia="宋体" w:cs="宋体"/>
                <w:sz w:val="24"/>
                <w:szCs w:val="24"/>
                <w:highlight w:val="none"/>
              </w:rPr>
              <w:t>CA</w:t>
            </w:r>
            <w:r>
              <w:rPr>
                <w:rFonts w:hint="eastAsia" w:ascii="宋体" w:hAnsi="宋体" w:eastAsia="宋体" w:cs="宋体"/>
                <w:spacing w:val="-38"/>
                <w:sz w:val="24"/>
                <w:szCs w:val="24"/>
                <w:highlight w:val="none"/>
              </w:rPr>
              <w:t xml:space="preserve"> </w:t>
            </w:r>
            <w:r>
              <w:rPr>
                <w:rFonts w:hint="eastAsia" w:ascii="宋体" w:hAnsi="宋体" w:eastAsia="宋体" w:cs="宋体"/>
                <w:spacing w:val="3"/>
                <w:sz w:val="24"/>
                <w:szCs w:val="24"/>
                <w:highlight w:val="none"/>
              </w:rPr>
              <w:t>锁报名后自</w:t>
            </w:r>
            <w:r>
              <w:rPr>
                <w:rFonts w:hint="eastAsia" w:ascii="宋体" w:hAnsi="宋体" w:eastAsia="宋体" w:cs="宋体"/>
                <w:spacing w:val="2"/>
                <w:sz w:val="24"/>
                <w:szCs w:val="24"/>
                <w:highlight w:val="none"/>
              </w:rPr>
              <w:t>行下载获取磋商文件，并于2025年</w:t>
            </w:r>
            <w:r>
              <w:rPr>
                <w:rFonts w:hint="eastAsia" w:ascii="宋体" w:hAnsi="宋体" w:eastAsia="宋体" w:cs="宋体"/>
                <w:spacing w:val="2"/>
                <w:sz w:val="24"/>
                <w:szCs w:val="24"/>
                <w:highlight w:val="none"/>
                <w:lang w:val="en-US" w:eastAsia="zh-CN"/>
              </w:rPr>
              <w:t xml:space="preserve"> 09 </w:t>
            </w:r>
            <w:r>
              <w:rPr>
                <w:rFonts w:hint="eastAsia" w:ascii="宋体" w:hAnsi="宋体" w:eastAsia="宋体" w:cs="宋体"/>
                <w:spacing w:val="2"/>
                <w:sz w:val="24"/>
                <w:szCs w:val="24"/>
                <w:highlight w:val="none"/>
              </w:rPr>
              <w:t>月</w:t>
            </w:r>
            <w:r>
              <w:rPr>
                <w:rFonts w:hint="eastAsia" w:ascii="宋体" w:hAnsi="宋体" w:eastAsia="宋体" w:cs="宋体"/>
                <w:spacing w:val="2"/>
                <w:sz w:val="24"/>
                <w:szCs w:val="24"/>
                <w:highlight w:val="none"/>
                <w:lang w:val="en-US" w:eastAsia="zh-CN"/>
              </w:rPr>
              <w:t xml:space="preserve"> 10 </w:t>
            </w:r>
            <w:r>
              <w:rPr>
                <w:rFonts w:hint="eastAsia" w:ascii="宋体" w:hAnsi="宋体" w:eastAsia="宋体" w:cs="宋体"/>
                <w:spacing w:val="2"/>
                <w:sz w:val="24"/>
                <w:szCs w:val="24"/>
                <w:highlight w:val="none"/>
              </w:rPr>
              <w:t>日</w:t>
            </w:r>
            <w:r>
              <w:rPr>
                <w:rFonts w:hint="eastAsia" w:ascii="宋体" w:hAnsi="宋体" w:eastAsia="宋体" w:cs="宋体"/>
                <w:spacing w:val="2"/>
                <w:sz w:val="24"/>
                <w:szCs w:val="24"/>
                <w:highlight w:val="none"/>
                <w:lang w:val="en-US" w:eastAsia="zh-CN"/>
              </w:rPr>
              <w:t>11</w:t>
            </w:r>
            <w:r>
              <w:rPr>
                <w:rFonts w:hint="eastAsia" w:ascii="宋体" w:hAnsi="宋体" w:eastAsia="宋体" w:cs="宋体"/>
                <w:spacing w:val="2"/>
                <w:sz w:val="24"/>
                <w:szCs w:val="24"/>
                <w:highlight w:val="none"/>
              </w:rPr>
              <w:t>时30分00秒</w:t>
            </w:r>
            <w:r>
              <w:rPr>
                <w:rFonts w:hint="eastAsia" w:ascii="宋体" w:hAnsi="宋体" w:eastAsia="宋体" w:cs="宋体"/>
                <w:spacing w:val="-8"/>
                <w:sz w:val="24"/>
                <w:szCs w:val="24"/>
                <w:highlight w:val="none"/>
              </w:rPr>
              <w:t>（北京时间）前提交响应文件。</w:t>
            </w:r>
          </w:p>
        </w:tc>
      </w:tr>
    </w:tbl>
    <w:p w14:paraId="03205DBC">
      <w:pPr>
        <w:pStyle w:val="5"/>
        <w:keepNext w:val="0"/>
        <w:keepLines w:val="0"/>
        <w:pageBreakBefore w:val="0"/>
        <w:widowControl/>
        <w:kinsoku w:val="0"/>
        <w:wordWrap/>
        <w:overflowPunct/>
        <w:topLinePunct w:val="0"/>
        <w:autoSpaceDE w:val="0"/>
        <w:autoSpaceDN w:val="0"/>
        <w:bidi w:val="0"/>
        <w:adjustRightInd w:val="0"/>
        <w:snapToGrid w:val="0"/>
        <w:spacing w:before="147" w:line="360" w:lineRule="auto"/>
        <w:textAlignment w:val="baseline"/>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一、项目基本情况</w:t>
      </w:r>
    </w:p>
    <w:p w14:paraId="2FB69BC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WT2025ZBF-704B</w:t>
      </w:r>
    </w:p>
    <w:p w14:paraId="2BA2FDD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val="en-US" w:eastAsia="zh-CN"/>
        </w:rPr>
        <w:t>榆林市农业农村局采购2023年度高标准农田建设项目市级验收服务项目</w:t>
      </w:r>
    </w:p>
    <w:p w14:paraId="4068F5BA">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采购方式：竞争性磋商</w:t>
      </w:r>
    </w:p>
    <w:p w14:paraId="1F5F1DA9">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预算金额：</w:t>
      </w:r>
      <w:r>
        <w:rPr>
          <w:rFonts w:hint="eastAsia" w:ascii="宋体" w:hAnsi="宋体" w:eastAsia="宋体" w:cs="宋体"/>
          <w:highlight w:val="none"/>
          <w:lang w:eastAsia="zh-CN"/>
        </w:rPr>
        <w:t>850000.00</w:t>
      </w:r>
      <w:r>
        <w:rPr>
          <w:rFonts w:hint="eastAsia" w:ascii="宋体" w:hAnsi="宋体" w:eastAsia="宋体" w:cs="宋体"/>
          <w:highlight w:val="none"/>
        </w:rPr>
        <w:t>元</w:t>
      </w:r>
    </w:p>
    <w:p w14:paraId="6DFCFA3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采购需求：</w:t>
      </w:r>
    </w:p>
    <w:p w14:paraId="450702BF">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合同包 1(</w:t>
      </w:r>
      <w:r>
        <w:rPr>
          <w:rFonts w:hint="eastAsia" w:ascii="宋体" w:hAnsi="宋体" w:eastAsia="宋体" w:cs="宋体"/>
          <w:highlight w:val="none"/>
          <w:lang w:eastAsia="zh-CN"/>
        </w:rPr>
        <w:t>榆林市农业农村局采购2023年度高标准农田建设项目市级验收服务项目</w:t>
      </w:r>
      <w:r>
        <w:rPr>
          <w:rFonts w:hint="eastAsia" w:ascii="宋体" w:hAnsi="宋体" w:eastAsia="宋体" w:cs="宋体"/>
          <w:highlight w:val="none"/>
        </w:rPr>
        <w:t>):</w:t>
      </w:r>
    </w:p>
    <w:p w14:paraId="46D167C9">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合同包预算金额：</w:t>
      </w:r>
      <w:r>
        <w:rPr>
          <w:rFonts w:hint="eastAsia" w:ascii="宋体" w:hAnsi="宋体" w:eastAsia="宋体" w:cs="宋体"/>
          <w:highlight w:val="none"/>
          <w:lang w:eastAsia="zh-CN"/>
        </w:rPr>
        <w:t>850000.00</w:t>
      </w:r>
      <w:r>
        <w:rPr>
          <w:rFonts w:hint="eastAsia" w:ascii="宋体" w:hAnsi="宋体" w:eastAsia="宋体" w:cs="宋体"/>
          <w:highlight w:val="none"/>
        </w:rPr>
        <w:t xml:space="preserve">元 </w:t>
      </w:r>
    </w:p>
    <w:p w14:paraId="04E051C5">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合同包最高限价：</w:t>
      </w:r>
      <w:r>
        <w:rPr>
          <w:rFonts w:hint="eastAsia" w:ascii="宋体" w:hAnsi="宋体" w:eastAsia="宋体" w:cs="宋体"/>
          <w:highlight w:val="none"/>
          <w:lang w:eastAsia="zh-CN"/>
        </w:rPr>
        <w:t>850000.00</w:t>
      </w:r>
      <w:r>
        <w:rPr>
          <w:rFonts w:hint="eastAsia" w:ascii="宋体" w:hAnsi="宋体" w:eastAsia="宋体" w:cs="宋体"/>
          <w:highlight w:val="none"/>
        </w:rPr>
        <w:t>元</w:t>
      </w:r>
    </w:p>
    <w:tbl>
      <w:tblPr>
        <w:tblStyle w:val="12"/>
        <w:tblW w:w="5018" w:type="pct"/>
        <w:tblInd w:w="0"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autofit"/>
        <w:tblCellMar>
          <w:top w:w="0" w:type="dxa"/>
          <w:left w:w="0" w:type="dxa"/>
          <w:bottom w:w="0" w:type="dxa"/>
          <w:right w:w="0" w:type="dxa"/>
        </w:tblCellMar>
      </w:tblPr>
      <w:tblGrid>
        <w:gridCol w:w="935"/>
        <w:gridCol w:w="1163"/>
        <w:gridCol w:w="1601"/>
        <w:gridCol w:w="1230"/>
        <w:gridCol w:w="1369"/>
        <w:gridCol w:w="1489"/>
        <w:gridCol w:w="1410"/>
      </w:tblGrid>
      <w:tr w14:paraId="686D88A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76" w:hRule="atLeast"/>
        </w:trPr>
        <w:tc>
          <w:tcPr>
            <w:tcW w:w="508" w:type="pct"/>
            <w:vAlign w:val="center"/>
          </w:tcPr>
          <w:p w14:paraId="0BBA73A0">
            <w:pPr>
              <w:spacing w:before="78" w:line="224" w:lineRule="auto"/>
              <w:jc w:val="center"/>
              <w:rPr>
                <w:rFonts w:hint="eastAsia" w:ascii="宋体" w:hAnsi="宋体" w:eastAsia="宋体" w:cs="宋体"/>
                <w:sz w:val="24"/>
                <w:szCs w:val="24"/>
                <w:highlight w:val="none"/>
              </w:rPr>
            </w:pPr>
            <w:r>
              <w:rPr>
                <w:rFonts w:hint="eastAsia" w:ascii="宋体" w:hAnsi="宋体" w:eastAsia="宋体" w:cs="宋体"/>
                <w:spacing w:val="-32"/>
                <w:sz w:val="24"/>
                <w:szCs w:val="24"/>
                <w:highlight w:val="none"/>
              </w:rPr>
              <w:t>品目号</w:t>
            </w:r>
          </w:p>
        </w:tc>
        <w:tc>
          <w:tcPr>
            <w:tcW w:w="632" w:type="pct"/>
            <w:vAlign w:val="center"/>
          </w:tcPr>
          <w:p w14:paraId="6171A43C">
            <w:pPr>
              <w:spacing w:before="78" w:line="221" w:lineRule="auto"/>
              <w:jc w:val="center"/>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品目名称</w:t>
            </w:r>
          </w:p>
        </w:tc>
        <w:tc>
          <w:tcPr>
            <w:tcW w:w="870" w:type="pct"/>
            <w:vAlign w:val="center"/>
          </w:tcPr>
          <w:p w14:paraId="3A15D629">
            <w:pPr>
              <w:spacing w:before="78" w:line="222"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采购标的</w:t>
            </w:r>
          </w:p>
        </w:tc>
        <w:tc>
          <w:tcPr>
            <w:tcW w:w="668" w:type="pct"/>
            <w:vAlign w:val="center"/>
          </w:tcPr>
          <w:p w14:paraId="46E62833">
            <w:pPr>
              <w:spacing w:before="229" w:line="317" w:lineRule="auto"/>
              <w:ind w:right="296"/>
              <w:jc w:val="center"/>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数量</w:t>
            </w:r>
            <w:r>
              <w:rPr>
                <w:rFonts w:hint="eastAsia" w:ascii="宋体" w:hAnsi="宋体" w:eastAsia="宋体" w:cs="宋体"/>
                <w:spacing w:val="-8"/>
                <w:sz w:val="24"/>
                <w:szCs w:val="24"/>
                <w:highlight w:val="none"/>
              </w:rPr>
              <w:t>（单</w:t>
            </w:r>
            <w:r>
              <w:rPr>
                <w:rFonts w:hint="eastAsia" w:ascii="宋体" w:hAnsi="宋体" w:eastAsia="宋体" w:cs="宋体"/>
                <w:spacing w:val="-9"/>
                <w:sz w:val="24"/>
                <w:szCs w:val="24"/>
                <w:highlight w:val="none"/>
              </w:rPr>
              <w:t>位）</w:t>
            </w:r>
          </w:p>
        </w:tc>
        <w:tc>
          <w:tcPr>
            <w:tcW w:w="744" w:type="pct"/>
            <w:vAlign w:val="center"/>
          </w:tcPr>
          <w:p w14:paraId="617C408A">
            <w:pPr>
              <w:spacing w:before="78" w:line="325" w:lineRule="auto"/>
              <w:ind w:right="116"/>
              <w:jc w:val="center"/>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技术规格</w:t>
            </w:r>
            <w:r>
              <w:rPr>
                <w:rFonts w:hint="eastAsia" w:ascii="宋体" w:hAnsi="宋体" w:eastAsia="宋体" w:cs="宋体"/>
                <w:spacing w:val="-10"/>
                <w:sz w:val="24"/>
                <w:szCs w:val="24"/>
                <w:highlight w:val="none"/>
                <w:lang w:eastAsia="zh-CN"/>
              </w:rPr>
              <w:t>、</w:t>
            </w:r>
            <w:r>
              <w:rPr>
                <w:rFonts w:hint="eastAsia" w:ascii="宋体" w:hAnsi="宋体" w:eastAsia="宋体" w:cs="宋体"/>
                <w:spacing w:val="-10"/>
                <w:sz w:val="24"/>
                <w:szCs w:val="24"/>
                <w:highlight w:val="none"/>
              </w:rPr>
              <w:t>参</w:t>
            </w:r>
            <w:r>
              <w:rPr>
                <w:rFonts w:hint="eastAsia" w:ascii="宋体" w:hAnsi="宋体" w:eastAsia="宋体" w:cs="宋体"/>
                <w:spacing w:val="-2"/>
                <w:sz w:val="24"/>
                <w:szCs w:val="24"/>
                <w:highlight w:val="none"/>
              </w:rPr>
              <w:t>数及要求</w:t>
            </w:r>
          </w:p>
        </w:tc>
        <w:tc>
          <w:tcPr>
            <w:tcW w:w="809" w:type="pct"/>
            <w:vAlign w:val="center"/>
          </w:tcPr>
          <w:p w14:paraId="02563C01">
            <w:pPr>
              <w:spacing w:before="78" w:line="326" w:lineRule="auto"/>
              <w:ind w:right="345"/>
              <w:jc w:val="center"/>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品目预算</w:t>
            </w:r>
          </w:p>
          <w:p w14:paraId="7DFF213B">
            <w:pPr>
              <w:spacing w:before="78" w:line="326" w:lineRule="auto"/>
              <w:ind w:right="345"/>
              <w:jc w:val="center"/>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(元)</w:t>
            </w:r>
          </w:p>
        </w:tc>
        <w:tc>
          <w:tcPr>
            <w:tcW w:w="766" w:type="pct"/>
            <w:vAlign w:val="center"/>
          </w:tcPr>
          <w:p w14:paraId="0B293658">
            <w:pPr>
              <w:spacing w:before="78" w:line="222" w:lineRule="auto"/>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最高限价</w:t>
            </w:r>
          </w:p>
          <w:p w14:paraId="028CFF53">
            <w:pPr>
              <w:spacing w:before="152" w:line="224" w:lineRule="auto"/>
              <w:jc w:val="center"/>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(元)</w:t>
            </w:r>
          </w:p>
        </w:tc>
      </w:tr>
      <w:tr w14:paraId="5366B34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38" w:hRule="atLeast"/>
        </w:trPr>
        <w:tc>
          <w:tcPr>
            <w:tcW w:w="508" w:type="pct"/>
            <w:vAlign w:val="center"/>
          </w:tcPr>
          <w:p w14:paraId="659FEAEF">
            <w:pPr>
              <w:spacing w:before="78" w:line="181" w:lineRule="auto"/>
              <w:jc w:val="center"/>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1-1</w:t>
            </w:r>
          </w:p>
        </w:tc>
        <w:tc>
          <w:tcPr>
            <w:tcW w:w="632" w:type="pct"/>
            <w:vAlign w:val="center"/>
          </w:tcPr>
          <w:p w14:paraId="6EE7FABD">
            <w:pPr>
              <w:spacing w:before="78" w:line="222" w:lineRule="auto"/>
              <w:ind w:left="126"/>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eastAsia="zh-CN"/>
              </w:rPr>
              <w:t>其他</w:t>
            </w:r>
            <w:r>
              <w:rPr>
                <w:rFonts w:hint="eastAsia" w:ascii="宋体" w:hAnsi="宋体" w:eastAsia="宋体" w:cs="宋体"/>
                <w:spacing w:val="3"/>
                <w:sz w:val="24"/>
                <w:szCs w:val="24"/>
                <w:highlight w:val="none"/>
                <w:lang w:val="en-US" w:eastAsia="zh-CN"/>
              </w:rPr>
              <w:t>农业</w:t>
            </w:r>
            <w:r>
              <w:rPr>
                <w:rFonts w:hint="eastAsia" w:ascii="宋体" w:hAnsi="宋体" w:eastAsia="宋体" w:cs="宋体"/>
                <w:spacing w:val="3"/>
                <w:sz w:val="24"/>
                <w:szCs w:val="24"/>
                <w:highlight w:val="none"/>
                <w:lang w:eastAsia="zh-CN"/>
              </w:rPr>
              <w:t>服务</w:t>
            </w:r>
          </w:p>
        </w:tc>
        <w:tc>
          <w:tcPr>
            <w:tcW w:w="870" w:type="pct"/>
            <w:vAlign w:val="center"/>
          </w:tcPr>
          <w:p w14:paraId="19108F4F">
            <w:pPr>
              <w:spacing w:before="224" w:line="309" w:lineRule="auto"/>
              <w:ind w:right="120"/>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lang w:eastAsia="zh-CN"/>
              </w:rPr>
              <w:t>榆林市农业农村局采购2023年度高标准农田建设项目市级验收服务项目</w:t>
            </w:r>
          </w:p>
        </w:tc>
        <w:tc>
          <w:tcPr>
            <w:tcW w:w="668" w:type="pct"/>
            <w:vAlign w:val="center"/>
          </w:tcPr>
          <w:p w14:paraId="09022282">
            <w:pPr>
              <w:spacing w:before="78" w:line="224" w:lineRule="auto"/>
              <w:ind w:left="140"/>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1(项)</w:t>
            </w:r>
          </w:p>
        </w:tc>
        <w:tc>
          <w:tcPr>
            <w:tcW w:w="744" w:type="pct"/>
            <w:vAlign w:val="center"/>
          </w:tcPr>
          <w:p w14:paraId="060FBB9C">
            <w:pPr>
              <w:spacing w:before="224" w:line="309" w:lineRule="auto"/>
              <w:ind w:right="210"/>
              <w:jc w:val="center"/>
              <w:rPr>
                <w:rFonts w:hint="eastAsia" w:ascii="宋体" w:hAnsi="宋体" w:eastAsia="宋体" w:cs="宋体"/>
                <w:sz w:val="24"/>
                <w:szCs w:val="24"/>
                <w:highlight w:val="none"/>
              </w:rPr>
            </w:pPr>
            <w:r>
              <w:rPr>
                <w:rFonts w:hint="eastAsia" w:ascii="宋体" w:hAnsi="宋体" w:eastAsia="宋体" w:cs="宋体"/>
                <w:spacing w:val="-10"/>
                <w:sz w:val="24"/>
                <w:szCs w:val="24"/>
                <w:highlight w:val="none"/>
                <w:lang w:eastAsia="zh-CN"/>
              </w:rPr>
              <w:t>详见</w:t>
            </w:r>
            <w:r>
              <w:rPr>
                <w:rFonts w:hint="eastAsia" w:ascii="宋体" w:hAnsi="宋体" w:eastAsia="宋体" w:cs="宋体"/>
                <w:spacing w:val="-10"/>
                <w:sz w:val="24"/>
                <w:szCs w:val="24"/>
                <w:highlight w:val="none"/>
                <w:lang w:val="en-US" w:eastAsia="zh-CN"/>
              </w:rPr>
              <w:t>采购</w:t>
            </w:r>
            <w:r>
              <w:rPr>
                <w:rFonts w:hint="eastAsia" w:ascii="宋体" w:hAnsi="宋体" w:eastAsia="宋体" w:cs="宋体"/>
                <w:spacing w:val="-10"/>
                <w:sz w:val="24"/>
                <w:szCs w:val="24"/>
                <w:highlight w:val="none"/>
                <w:lang w:eastAsia="zh-CN"/>
              </w:rPr>
              <w:t>文件</w:t>
            </w:r>
          </w:p>
        </w:tc>
        <w:tc>
          <w:tcPr>
            <w:tcW w:w="809" w:type="pct"/>
            <w:vAlign w:val="center"/>
          </w:tcPr>
          <w:p w14:paraId="1CCDC773">
            <w:pPr>
              <w:spacing w:before="78" w:line="180" w:lineRule="auto"/>
              <w:ind w:left="127"/>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850000.00</w:t>
            </w:r>
          </w:p>
        </w:tc>
        <w:tc>
          <w:tcPr>
            <w:tcW w:w="766" w:type="pct"/>
            <w:vAlign w:val="center"/>
          </w:tcPr>
          <w:p w14:paraId="129E73EB">
            <w:pPr>
              <w:spacing w:before="78" w:line="180" w:lineRule="auto"/>
              <w:ind w:left="128"/>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850000.00</w:t>
            </w:r>
          </w:p>
        </w:tc>
      </w:tr>
    </w:tbl>
    <w:p w14:paraId="0F6C432B">
      <w:pPr>
        <w:pStyle w:val="5"/>
        <w:bidi w:val="0"/>
        <w:rPr>
          <w:rFonts w:hint="eastAsia" w:ascii="宋体" w:hAnsi="宋体" w:eastAsia="宋体" w:cs="宋体"/>
          <w:highlight w:val="none"/>
          <w:lang w:eastAsia="zh-CN"/>
        </w:rPr>
      </w:pPr>
      <w:r>
        <w:rPr>
          <w:rFonts w:hint="eastAsia" w:ascii="宋体" w:hAnsi="宋体" w:eastAsia="宋体" w:cs="宋体"/>
          <w:highlight w:val="none"/>
        </w:rPr>
        <w:t>本合同包不接受联合体响应</w:t>
      </w:r>
      <w:r>
        <w:rPr>
          <w:rFonts w:hint="eastAsia" w:ascii="宋体" w:hAnsi="宋体" w:eastAsia="宋体" w:cs="宋体"/>
          <w:highlight w:val="none"/>
          <w:lang w:eastAsia="zh-CN"/>
        </w:rPr>
        <w:t>。</w:t>
      </w:r>
    </w:p>
    <w:p w14:paraId="31A40A7E">
      <w:pPr>
        <w:pStyle w:val="5"/>
        <w:bidi w:val="0"/>
        <w:rPr>
          <w:rFonts w:hint="eastAsia" w:ascii="宋体" w:hAnsi="宋体" w:eastAsia="宋体" w:cs="宋体"/>
          <w:highlight w:val="none"/>
          <w:lang w:val="en-US" w:eastAsia="zh-CN"/>
        </w:rPr>
      </w:pPr>
      <w:r>
        <w:rPr>
          <w:rFonts w:hint="eastAsia" w:ascii="宋体" w:hAnsi="宋体" w:eastAsia="宋体" w:cs="宋体"/>
          <w:highlight w:val="none"/>
        </w:rPr>
        <w:t>合同履行期限：</w:t>
      </w:r>
      <w:r>
        <w:rPr>
          <w:rFonts w:hint="eastAsia" w:ascii="宋体" w:hAnsi="宋体" w:eastAsia="宋体" w:cs="宋体"/>
          <w:highlight w:val="none"/>
          <w:lang w:val="en-US" w:eastAsia="zh-CN"/>
        </w:rPr>
        <w:t>详见竞争性磋商文件</w:t>
      </w:r>
    </w:p>
    <w:p w14:paraId="37B30317">
      <w:pPr>
        <w:pStyle w:val="5"/>
        <w:keepNext w:val="0"/>
        <w:keepLines w:val="0"/>
        <w:pageBreakBefore w:val="0"/>
        <w:widowControl/>
        <w:kinsoku w:val="0"/>
        <w:wordWrap/>
        <w:overflowPunct/>
        <w:topLinePunct w:val="0"/>
        <w:autoSpaceDE w:val="0"/>
        <w:autoSpaceDN w:val="0"/>
        <w:bidi w:val="0"/>
        <w:adjustRightInd w:val="0"/>
        <w:snapToGrid w:val="0"/>
        <w:spacing w:before="38" w:line="360" w:lineRule="auto"/>
        <w:textAlignment w:val="baseline"/>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二、申请人的资格要求：</w:t>
      </w:r>
    </w:p>
    <w:p w14:paraId="1E470116">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 xml:space="preserve">1.满足《中华人民共和国政府采购法》第二十二条规定; </w:t>
      </w:r>
    </w:p>
    <w:p w14:paraId="36CBF6B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2.落实政府采购政策需满足的资格要求：</w:t>
      </w:r>
    </w:p>
    <w:p w14:paraId="193164B0">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合同包</w:t>
      </w:r>
      <w:r>
        <w:rPr>
          <w:rFonts w:hint="eastAsia" w:ascii="宋体" w:hAnsi="宋体" w:eastAsia="宋体" w:cs="宋体"/>
          <w:highlight w:val="none"/>
          <w:lang w:val="en-US" w:eastAsia="zh-CN"/>
        </w:rPr>
        <w:t xml:space="preserve"> </w:t>
      </w:r>
      <w:r>
        <w:rPr>
          <w:rFonts w:hint="eastAsia" w:ascii="宋体" w:hAnsi="宋体" w:eastAsia="宋体" w:cs="宋体"/>
          <w:highlight w:val="none"/>
        </w:rPr>
        <w:t>1(</w:t>
      </w:r>
      <w:r>
        <w:rPr>
          <w:rFonts w:hint="eastAsia" w:ascii="宋体" w:hAnsi="宋体" w:eastAsia="宋体" w:cs="宋体"/>
          <w:highlight w:val="none"/>
          <w:lang w:eastAsia="zh-CN"/>
        </w:rPr>
        <w:t>榆林市农业农村局采购2023年度高标准农田建设项目市级验收服务项目</w:t>
      </w:r>
      <w:r>
        <w:rPr>
          <w:rFonts w:hint="eastAsia" w:ascii="宋体" w:hAnsi="宋体" w:eastAsia="宋体" w:cs="宋体"/>
          <w:highlight w:val="none"/>
        </w:rPr>
        <w:t>)落实政府采购政策需满足的资格要求如下:</w:t>
      </w:r>
    </w:p>
    <w:p w14:paraId="5BB4AC76">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（1）《政府采购促进中小企业发展管理办法》（财库〔2020〕46号）；</w:t>
      </w:r>
    </w:p>
    <w:p w14:paraId="2FC11DCA">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（2）《财政部、司法部关于政府采购支持监狱企业发展有关问题的通知》（财库〔2014〕68号）；</w:t>
      </w:r>
    </w:p>
    <w:p w14:paraId="454A7DCA">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（3）《民政部、财政部、中国残疾人联合会关于促进残疾人就业政府采购政策的通知》（财库〔2017〕141号）；</w:t>
      </w:r>
    </w:p>
    <w:p w14:paraId="5DC3AA5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（4）《关于进一步加强政府绿色采购有关问题的通知》（陕财办采〔2021〕29号）；</w:t>
      </w:r>
    </w:p>
    <w:p w14:paraId="33BBB580">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（5）《财政部发展改革委生态环境部市场监管总局关于调整优化节能产品、环境标志产品政府采购执行机制的通知》（财库〔2019〕9号）；</w:t>
      </w:r>
    </w:p>
    <w:p w14:paraId="6AE8883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（6）《陕西省财政厅关于加快推进我省中小企业政府采购信用融资工作的通知》（陕财办采〔2020〕15号）；</w:t>
      </w:r>
    </w:p>
    <w:p w14:paraId="53150B86">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（7）《关于运用政府采购政策支持乡村产业振兴的通知》（财库〔2021〕19号）；</w:t>
      </w:r>
    </w:p>
    <w:p w14:paraId="358F449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（8）《关于深入开展政府采购脱贫地区农副产品工作推进乡村产业振兴的实施意见》的通知（财库〔2021〕20号）；</w:t>
      </w:r>
    </w:p>
    <w:p w14:paraId="67117CCF">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（9）陕西省财政厅关于进一步落实政府采购支持中小企业相关政策的通知（陕财办采〔2023〕3号）；</w:t>
      </w:r>
    </w:p>
    <w:p w14:paraId="76EAFB31">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（10）陕西省财政厅关于进一步优化政府采购营商环境有关事项的通知-（陕财办采〔2023〕4号）；</w:t>
      </w:r>
    </w:p>
    <w:p w14:paraId="06BCE07A">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（11）《陕西省财政厅中国人民银行西安分行关于深人推进政府采购信用融资业务的通知》（陕财办采〔2023]5号）</w:t>
      </w:r>
    </w:p>
    <w:p w14:paraId="00F5ECF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（12）其他需要落实的政府采购政策（如有最新颁布的政府采购政策，按最新颁布的政府采购政策执行）。</w:t>
      </w:r>
    </w:p>
    <w:p w14:paraId="7B8C4BD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3.本项目的特定资格要求：</w:t>
      </w:r>
    </w:p>
    <w:p w14:paraId="18444A4A">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合同包1(</w:t>
      </w:r>
      <w:r>
        <w:rPr>
          <w:rFonts w:hint="eastAsia" w:ascii="宋体" w:hAnsi="宋体" w:eastAsia="宋体" w:cs="宋体"/>
          <w:highlight w:val="none"/>
          <w:lang w:eastAsia="zh-CN"/>
        </w:rPr>
        <w:t>榆林市农业农村局采购2023年度高标准农田建设项目市级验收服务项目</w:t>
      </w:r>
      <w:r>
        <w:rPr>
          <w:rFonts w:hint="eastAsia" w:ascii="宋体" w:hAnsi="宋体" w:eastAsia="宋体" w:cs="宋体"/>
          <w:highlight w:val="none"/>
        </w:rPr>
        <w:t>)特定资格要求如下:</w:t>
      </w:r>
    </w:p>
    <w:p w14:paraId="59F0D86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（1）具有独立承担民事责任能力的法人、其他组织或自然人，并出具合法有效的营业执照或事业单位法人证书等国家规定的相关证明，自然人参与的提供其身份证明；</w:t>
      </w:r>
    </w:p>
    <w:p w14:paraId="1985A2B3">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（2）财务状况报告：提供 202</w:t>
      </w:r>
      <w:r>
        <w:rPr>
          <w:rFonts w:hint="eastAsia" w:ascii="宋体" w:hAnsi="宋体" w:eastAsia="宋体" w:cs="宋体"/>
          <w:highlight w:val="none"/>
          <w:lang w:val="en-US" w:eastAsia="zh-CN"/>
        </w:rPr>
        <w:t>4</w:t>
      </w:r>
      <w:r>
        <w:rPr>
          <w:rFonts w:hint="eastAsia" w:ascii="宋体" w:hAnsi="宋体" w:eastAsia="宋体" w:cs="宋体"/>
          <w:highlight w:val="none"/>
        </w:rPr>
        <w:t xml:space="preserve"> 年度完整的赋码财务审计报告；成立时间至提交响应文件截止时间不足一年的可提供成立后其基本存款账户出具的资信证明；</w:t>
      </w:r>
    </w:p>
    <w:p w14:paraId="6156786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（3）社会保障资金缴纳证明：提供202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ascii="宋体" w:hAnsi="宋体" w:eastAsia="宋体" w:cs="宋体"/>
          <w:highlight w:val="none"/>
          <w:lang w:val="en-US" w:eastAsia="zh-CN"/>
        </w:rPr>
        <w:t xml:space="preserve"> 8 </w:t>
      </w:r>
      <w:r>
        <w:rPr>
          <w:rFonts w:hint="eastAsia" w:ascii="宋体" w:hAnsi="宋体" w:eastAsia="宋体" w:cs="宋体"/>
          <w:highlight w:val="none"/>
        </w:rPr>
        <w:t>月至今至少 1 个月已缴纳的社会保障资金缴存单据或社保机构开具的社会保险参保缴费情况证明，依法不需要缴纳社会保障资金的单位应提供相关证明材料；</w:t>
      </w:r>
    </w:p>
    <w:p w14:paraId="49A4C083">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（4）税收缴纳证明：提供202</w:t>
      </w:r>
      <w:r>
        <w:rPr>
          <w:rFonts w:hint="eastAsia" w:ascii="宋体" w:hAnsi="宋体" w:eastAsia="宋体" w:cs="宋体"/>
          <w:highlight w:val="none"/>
          <w:lang w:val="en-US" w:eastAsia="zh-CN"/>
        </w:rPr>
        <w:t>4</w:t>
      </w:r>
      <w:r>
        <w:rPr>
          <w:rFonts w:hint="eastAsia" w:ascii="宋体" w:hAnsi="宋体" w:eastAsia="宋体" w:cs="宋体"/>
          <w:highlight w:val="none"/>
        </w:rPr>
        <w:t xml:space="preserve"> 年</w:t>
      </w:r>
      <w:r>
        <w:rPr>
          <w:rFonts w:hint="eastAsia" w:ascii="宋体" w:hAnsi="宋体" w:eastAsia="宋体" w:cs="宋体"/>
          <w:highlight w:val="none"/>
          <w:lang w:val="en-US" w:eastAsia="zh-CN"/>
        </w:rPr>
        <w:t xml:space="preserve"> 8 </w:t>
      </w:r>
      <w:r>
        <w:rPr>
          <w:rFonts w:hint="eastAsia" w:ascii="宋体" w:hAnsi="宋体" w:eastAsia="宋体" w:cs="宋体"/>
          <w:highlight w:val="none"/>
        </w:rPr>
        <w:t>月至今至少 1 个月已缴纳的纳税证明（银行缴费凭证）或完税证明，依法免税的单位应提供相关证明材料；</w:t>
      </w:r>
    </w:p>
    <w:p w14:paraId="2BB1258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（5）书面声明：参加本次政府采购活动前三年内在经营活动中没有重大违法记录声明函；</w:t>
      </w:r>
    </w:p>
    <w:p w14:paraId="2B8C20F1">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（6）提供具有履行合同所必需的设备和专业技术能力的承诺函；</w:t>
      </w:r>
    </w:p>
    <w:p w14:paraId="30CC22C5">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（7）法定代表人直接参加</w:t>
      </w:r>
      <w:r>
        <w:rPr>
          <w:rFonts w:hint="eastAsia" w:ascii="宋体" w:hAnsi="宋体" w:eastAsia="宋体" w:cs="宋体"/>
          <w:highlight w:val="none"/>
          <w:lang w:val="en-US" w:eastAsia="zh-CN"/>
        </w:rPr>
        <w:t>响应</w:t>
      </w:r>
      <w:r>
        <w:rPr>
          <w:rFonts w:hint="eastAsia" w:ascii="宋体" w:hAnsi="宋体" w:eastAsia="宋体" w:cs="宋体"/>
          <w:highlight w:val="none"/>
        </w:rPr>
        <w:t>，须出具法定代表人身份证明；法定代表人授权代表参加</w:t>
      </w:r>
      <w:r>
        <w:rPr>
          <w:rFonts w:hint="eastAsia" w:ascii="宋体" w:hAnsi="宋体" w:eastAsia="宋体" w:cs="宋体"/>
          <w:highlight w:val="none"/>
          <w:lang w:val="en-US" w:eastAsia="zh-CN"/>
        </w:rPr>
        <w:t>响应</w:t>
      </w:r>
      <w:r>
        <w:rPr>
          <w:rFonts w:hint="eastAsia" w:ascii="宋体" w:hAnsi="宋体" w:eastAsia="宋体" w:cs="宋体"/>
          <w:highlight w:val="none"/>
        </w:rPr>
        <w:t>，须出具法定代表人授权书；</w:t>
      </w:r>
    </w:p>
    <w:p w14:paraId="0DDF483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供应商</w:t>
      </w:r>
      <w:r>
        <w:rPr>
          <w:rFonts w:hint="eastAsia" w:ascii="宋体" w:hAnsi="宋体" w:eastAsia="宋体" w:cs="宋体"/>
          <w:highlight w:val="none"/>
        </w:rPr>
        <w:t>须具备有效的行业行政主管部门颁发的测绘乙级及以上资质</w:t>
      </w:r>
      <w:r>
        <w:rPr>
          <w:rFonts w:hint="eastAsia" w:ascii="宋体" w:hAnsi="宋体" w:eastAsia="宋体" w:cs="宋体"/>
          <w:highlight w:val="none"/>
          <w:lang w:eastAsia="zh-CN"/>
        </w:rPr>
        <w:t>；</w:t>
      </w:r>
    </w:p>
    <w:p w14:paraId="1589369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9</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本项目拟派项目负责人须具备相关专业中级及以上职称；</w:t>
      </w:r>
    </w:p>
    <w:p w14:paraId="731C0EF5">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10</w:t>
      </w:r>
      <w:r>
        <w:rPr>
          <w:rFonts w:hint="eastAsia" w:ascii="宋体" w:hAnsi="宋体" w:eastAsia="宋体" w:cs="宋体"/>
          <w:highlight w:val="none"/>
          <w:lang w:eastAsia="zh-CN"/>
        </w:rPr>
        <w:t>）</w:t>
      </w:r>
      <w:r>
        <w:rPr>
          <w:rFonts w:hint="eastAsia" w:ascii="宋体" w:hAnsi="宋体" w:eastAsia="宋体" w:cs="宋体"/>
          <w:highlight w:val="none"/>
        </w:rPr>
        <w:t>自主上报信用承诺书：</w:t>
      </w:r>
      <w:r>
        <w:rPr>
          <w:rFonts w:hint="eastAsia" w:ascii="宋体" w:hAnsi="宋体" w:eastAsia="宋体" w:cs="宋体"/>
          <w:highlight w:val="none"/>
          <w:lang w:eastAsia="zh-CN"/>
        </w:rPr>
        <w:t>供应商</w:t>
      </w:r>
      <w:r>
        <w:rPr>
          <w:rFonts w:hint="eastAsia" w:ascii="宋体" w:hAnsi="宋体" w:eastAsia="宋体" w:cs="宋体"/>
          <w:highlight w:val="none"/>
        </w:rPr>
        <w:t>及委托代理人员应在“信用中国（陕西榆林）”网站(www.ylcredit.gov.cn)进行注册、登录、自主上报信用承诺书，包括：供应商信用承诺书</w:t>
      </w:r>
      <w:r>
        <w:rPr>
          <w:rFonts w:hint="eastAsia" w:ascii="宋体" w:hAnsi="宋体" w:eastAsia="宋体" w:cs="宋体"/>
          <w:highlight w:val="none"/>
          <w:lang w:eastAsia="zh-CN"/>
        </w:rPr>
        <w:t>、信用（保证金）承诺书、榆林市政府采购服务类项目供应商信用承诺书</w:t>
      </w:r>
      <w:r>
        <w:rPr>
          <w:rFonts w:hint="eastAsia" w:ascii="宋体" w:hAnsi="宋体" w:eastAsia="宋体" w:cs="宋体"/>
          <w:highlight w:val="none"/>
        </w:rPr>
        <w:t>、法定代表人或委托代理人员信用承诺书</w:t>
      </w:r>
      <w:r>
        <w:rPr>
          <w:rFonts w:hint="eastAsia" w:ascii="宋体" w:hAnsi="宋体" w:eastAsia="宋体" w:cs="宋体"/>
          <w:highlight w:val="none"/>
          <w:lang w:eastAsia="zh-CN"/>
        </w:rPr>
        <w:t>；</w:t>
      </w:r>
      <w:r>
        <w:rPr>
          <w:rFonts w:hint="eastAsia" w:ascii="宋体" w:hAnsi="宋体" w:eastAsia="宋体" w:cs="宋体"/>
          <w:highlight w:val="none"/>
        </w:rPr>
        <w:t>（具体操作格式及要求详见</w:t>
      </w:r>
      <w:r>
        <w:rPr>
          <w:rFonts w:hint="eastAsia" w:ascii="宋体" w:hAnsi="宋体" w:eastAsia="宋体" w:cs="宋体"/>
          <w:highlight w:val="none"/>
          <w:lang w:val="en-US" w:eastAsia="zh-CN"/>
        </w:rPr>
        <w:t>竞争性磋商</w:t>
      </w:r>
      <w:r>
        <w:rPr>
          <w:rFonts w:hint="eastAsia" w:ascii="宋体" w:hAnsi="宋体" w:eastAsia="宋体" w:cs="宋体"/>
          <w:highlight w:val="none"/>
        </w:rPr>
        <w:t>文件）</w:t>
      </w:r>
    </w:p>
    <w:p w14:paraId="55C373D1">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11</w:t>
      </w:r>
      <w:r>
        <w:rPr>
          <w:rFonts w:hint="eastAsia" w:ascii="宋体" w:hAnsi="宋体" w:eastAsia="宋体" w:cs="宋体"/>
          <w:highlight w:val="none"/>
          <w:lang w:eastAsia="zh-CN"/>
        </w:rPr>
        <w:t>）供应商</w:t>
      </w:r>
      <w:r>
        <w:rPr>
          <w:rFonts w:hint="eastAsia" w:ascii="宋体" w:hAnsi="宋体" w:eastAsia="宋体" w:cs="宋体"/>
          <w:highlight w:val="none"/>
        </w:rPr>
        <w:t>不得被列入“中国执行信息公开网”（http://zxgk.court.gov.cn）失信被执行人，不得被列入“信用中国”网站（www.creditchina.gov.cn）重大税收违法失信主体，不得被列入“中国政府采购网”（www.ccgp.gov.cn）政府采购严重违法失信行为记录名单；（处罚期限届满的除外，如相关失信记录已失效，</w:t>
      </w:r>
      <w:r>
        <w:rPr>
          <w:rFonts w:hint="eastAsia" w:ascii="宋体" w:hAnsi="宋体" w:eastAsia="宋体" w:cs="宋体"/>
          <w:highlight w:val="none"/>
          <w:lang w:eastAsia="zh-CN"/>
        </w:rPr>
        <w:t>供应商</w:t>
      </w:r>
      <w:r>
        <w:rPr>
          <w:rFonts w:hint="eastAsia" w:ascii="宋体" w:hAnsi="宋体" w:eastAsia="宋体" w:cs="宋体"/>
          <w:highlight w:val="none"/>
        </w:rPr>
        <w:t>需提供相关证明资料），须提供中国执行信息公开网、信用中国及中国政府采购网相应查询结果的网站截图；</w:t>
      </w:r>
    </w:p>
    <w:p w14:paraId="4D44069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12</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本项目专门面向中小企业，供应商应填写中小企业（监狱企业）声明函并对其真实性负责；</w:t>
      </w:r>
    </w:p>
    <w:p w14:paraId="0F213F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13</w:t>
      </w:r>
      <w:r>
        <w:rPr>
          <w:rFonts w:hint="eastAsia" w:ascii="宋体" w:hAnsi="宋体" w:eastAsia="宋体" w:cs="宋体"/>
          <w:highlight w:val="none"/>
          <w:lang w:eastAsia="zh-CN"/>
        </w:rPr>
        <w:t>）本项目不接受联合体投标、不允许分包、转包，单位负责人为同一人或者存在直</w:t>
      </w:r>
      <w:r>
        <w:rPr>
          <w:rFonts w:hint="eastAsia" w:ascii="宋体" w:hAnsi="宋体" w:eastAsia="宋体" w:cs="宋体"/>
          <w:highlight w:val="none"/>
          <w:lang w:val="en-US" w:eastAsia="zh-CN"/>
        </w:rPr>
        <w:t>接控股、管理关系的不同供应商，不得参加同一合同项下的政府采购活动。</w:t>
      </w:r>
    </w:p>
    <w:p w14:paraId="7803E7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三、获取竞争性磋商文件</w:t>
      </w:r>
    </w:p>
    <w:p w14:paraId="148AA6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时间：2025年 08 月 29 日 至 2025年 09 月 04 日，每天上午 00:00:00 至 12:00:00 ，下午 12:00:00 至 23:59:59 （北京时间）</w:t>
      </w:r>
    </w:p>
    <w:p w14:paraId="4016ABB3">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途径：全国公共资源交易中心平台（陕西省）使用 CA 锁报名后自行下载</w:t>
      </w:r>
    </w:p>
    <w:p w14:paraId="62AB54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方式：在线获取</w:t>
      </w:r>
    </w:p>
    <w:p w14:paraId="3836E2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售价： 0 元</w:t>
      </w:r>
    </w:p>
    <w:p w14:paraId="680BD11E">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四、响应文件提交</w:t>
      </w:r>
    </w:p>
    <w:p w14:paraId="7ABE7D8F">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截止时间：2025年 09 月 10 日11时30分00秒 （北京时间） </w:t>
      </w:r>
    </w:p>
    <w:p w14:paraId="166432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地点：陕西省公共资源交易平台（榆林市不见面开标系统）</w:t>
      </w:r>
    </w:p>
    <w:p w14:paraId="56F217E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五、开启</w:t>
      </w:r>
    </w:p>
    <w:p w14:paraId="22373A58">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时间：2025年 09 月 10 日11时30分00秒（北京时间）</w:t>
      </w:r>
    </w:p>
    <w:p w14:paraId="0130DBD7">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地点：陕西省公共资源交易平台（榆林市不见面开标系统）</w:t>
      </w:r>
    </w:p>
    <w:p w14:paraId="153F123F">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六、公告期限</w:t>
      </w:r>
    </w:p>
    <w:p w14:paraId="293927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51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自本公告发布之日起 3 个工作日。</w:t>
      </w:r>
    </w:p>
    <w:p w14:paraId="424E0AA4">
      <w:pPr>
        <w:pStyle w:val="5"/>
        <w:spacing w:before="153" w:line="360" w:lineRule="auto"/>
        <w:ind w:left="21"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七、其他补充事宜</w:t>
      </w:r>
    </w:p>
    <w:p w14:paraId="76A9D8C5">
      <w:pPr>
        <w:pStyle w:val="5"/>
        <w:bidi w:val="0"/>
        <w:rPr>
          <w:rFonts w:hint="eastAsia" w:ascii="宋体" w:hAnsi="宋体" w:eastAsia="宋体" w:cs="宋体"/>
          <w:highlight w:val="none"/>
        </w:rPr>
      </w:pPr>
      <w:r>
        <w:rPr>
          <w:rFonts w:hint="eastAsia" w:ascii="宋体" w:hAnsi="宋体" w:eastAsia="宋体" w:cs="宋体"/>
          <w:highlight w:val="none"/>
        </w:rPr>
        <w:t>（1）平台报名：登录全国公共资源交易中心平台（陕西省）（http://www.sxggzyjy.cn/）,选择“电子交易平台→陕西政府采购交易系统→陕西省公共资源交易平台→</w:t>
      </w:r>
      <w:r>
        <w:rPr>
          <w:rFonts w:hint="eastAsia" w:ascii="宋体" w:hAnsi="宋体" w:eastAsia="宋体" w:cs="宋体"/>
          <w:highlight w:val="none"/>
          <w:lang w:eastAsia="zh-CN"/>
        </w:rPr>
        <w:t>供应商</w:t>
      </w:r>
      <w:r>
        <w:rPr>
          <w:rFonts w:hint="eastAsia" w:ascii="宋体" w:hAnsi="宋体" w:eastAsia="宋体" w:cs="宋体"/>
          <w:highlight w:val="none"/>
        </w:rPr>
        <w:t>”进行登录，登录后选择“交易乙方”身份进入</w:t>
      </w:r>
      <w:r>
        <w:rPr>
          <w:rFonts w:hint="eastAsia" w:ascii="宋体" w:hAnsi="宋体" w:eastAsia="宋体" w:cs="宋体"/>
          <w:highlight w:val="none"/>
          <w:lang w:eastAsia="zh-CN"/>
        </w:rPr>
        <w:t>供应商</w:t>
      </w:r>
      <w:r>
        <w:rPr>
          <w:rFonts w:hint="eastAsia" w:ascii="宋体" w:hAnsi="宋体" w:eastAsia="宋体" w:cs="宋体"/>
          <w:highlight w:val="none"/>
        </w:rPr>
        <w:t>界面进行报名并下载</w:t>
      </w:r>
      <w:r>
        <w:rPr>
          <w:rFonts w:hint="eastAsia" w:ascii="宋体" w:hAnsi="宋体" w:eastAsia="宋体" w:cs="宋体"/>
          <w:highlight w:val="none"/>
          <w:lang w:eastAsia="zh-CN"/>
        </w:rPr>
        <w:t>竞争性磋商文件</w:t>
      </w:r>
      <w:r>
        <w:rPr>
          <w:rFonts w:hint="eastAsia" w:ascii="宋体" w:hAnsi="宋体" w:eastAsia="宋体" w:cs="宋体"/>
          <w:highlight w:val="none"/>
        </w:rPr>
        <w:t>。电子</w:t>
      </w:r>
      <w:r>
        <w:rPr>
          <w:rFonts w:hint="eastAsia" w:ascii="宋体" w:hAnsi="宋体" w:eastAsia="宋体" w:cs="宋体"/>
          <w:highlight w:val="none"/>
          <w:lang w:eastAsia="zh-CN"/>
        </w:rPr>
        <w:t>竞争性磋商文件</w:t>
      </w:r>
      <w:r>
        <w:rPr>
          <w:rFonts w:hint="eastAsia" w:ascii="宋体" w:hAnsi="宋体" w:eastAsia="宋体" w:cs="宋体"/>
          <w:highlight w:val="none"/>
        </w:rPr>
        <w:t>在获取期内进行下载，逾期下载通道将关闭，未及时下载</w:t>
      </w:r>
      <w:r>
        <w:rPr>
          <w:rFonts w:hint="eastAsia" w:ascii="宋体" w:hAnsi="宋体" w:eastAsia="宋体" w:cs="宋体"/>
          <w:highlight w:val="none"/>
          <w:lang w:eastAsia="zh-CN"/>
        </w:rPr>
        <w:t>竞争性磋商文件</w:t>
      </w:r>
      <w:r>
        <w:rPr>
          <w:rFonts w:hint="eastAsia" w:ascii="宋体" w:hAnsi="宋体" w:eastAsia="宋体" w:cs="宋体"/>
          <w:highlight w:val="none"/>
        </w:rPr>
        <w:t>将会影响后续开评标活动。</w:t>
      </w:r>
    </w:p>
    <w:p w14:paraId="768A7C29">
      <w:pPr>
        <w:pStyle w:val="5"/>
        <w:bidi w:val="0"/>
        <w:rPr>
          <w:rFonts w:hint="eastAsia" w:ascii="宋体" w:hAnsi="宋体" w:eastAsia="宋体" w:cs="宋体"/>
          <w:highlight w:val="none"/>
        </w:rPr>
      </w:pPr>
      <w:r>
        <w:rPr>
          <w:rFonts w:hint="eastAsia" w:ascii="宋体" w:hAnsi="宋体" w:eastAsia="宋体" w:cs="宋体"/>
          <w:highlight w:val="none"/>
        </w:rPr>
        <w:t>（2）请</w:t>
      </w:r>
      <w:r>
        <w:rPr>
          <w:rFonts w:hint="eastAsia" w:ascii="宋体" w:hAnsi="宋体" w:eastAsia="宋体" w:cs="宋体"/>
          <w:highlight w:val="none"/>
          <w:lang w:eastAsia="zh-CN"/>
        </w:rPr>
        <w:t>供应商</w:t>
      </w:r>
      <w:r>
        <w:rPr>
          <w:rFonts w:hint="eastAsia" w:ascii="宋体" w:hAnsi="宋体" w:eastAsia="宋体" w:cs="宋体"/>
          <w:highlight w:val="none"/>
        </w:rPr>
        <w:t>按照陕西省财政厅关于政府采购供应商注册登记有关事项的通知中的要求，通过陕西省政府采购网（http://www.ccgp-shaanxi.gov.cn/）注册登记加入陕西省政府采购供应商库。</w:t>
      </w:r>
    </w:p>
    <w:p w14:paraId="00C74EC1">
      <w:pPr>
        <w:pStyle w:val="5"/>
        <w:bidi w:val="0"/>
        <w:rPr>
          <w:rFonts w:hint="eastAsia" w:ascii="宋体" w:hAnsi="宋体" w:eastAsia="宋体" w:cs="宋体"/>
          <w:highlight w:val="none"/>
        </w:rPr>
      </w:pPr>
      <w:r>
        <w:rPr>
          <w:rFonts w:hint="eastAsia" w:ascii="宋体" w:hAnsi="宋体" w:eastAsia="宋体" w:cs="宋体"/>
          <w:highlight w:val="none"/>
        </w:rPr>
        <w:t>（3）特别提醒：本项目采用电子化不见面开标方式，</w:t>
      </w:r>
      <w:r>
        <w:rPr>
          <w:rFonts w:hint="eastAsia" w:ascii="宋体" w:hAnsi="宋体" w:eastAsia="宋体" w:cs="宋体"/>
          <w:highlight w:val="none"/>
          <w:lang w:eastAsia="zh-CN"/>
        </w:rPr>
        <w:t>供应商</w:t>
      </w:r>
      <w:r>
        <w:rPr>
          <w:rFonts w:hint="eastAsia" w:ascii="宋体" w:hAnsi="宋体" w:eastAsia="宋体" w:cs="宋体"/>
          <w:highlight w:val="none"/>
        </w:rPr>
        <w:t>使用数字认证证书（CA锁）对电子</w:t>
      </w:r>
      <w:r>
        <w:rPr>
          <w:rFonts w:hint="eastAsia" w:ascii="宋体" w:hAnsi="宋体" w:eastAsia="宋体" w:cs="宋体"/>
          <w:highlight w:val="none"/>
          <w:lang w:eastAsia="zh-CN"/>
        </w:rPr>
        <w:t>竞争性磋商响应文件</w:t>
      </w:r>
      <w:r>
        <w:rPr>
          <w:rFonts w:hint="eastAsia" w:ascii="宋体" w:hAnsi="宋体" w:eastAsia="宋体" w:cs="宋体"/>
          <w:highlight w:val="none"/>
        </w:rPr>
        <w:t>进行签章、加密、上传、签到、解密。不见面开标系统的签到和电子</w:t>
      </w:r>
      <w:r>
        <w:rPr>
          <w:rFonts w:hint="eastAsia" w:ascii="宋体" w:hAnsi="宋体" w:eastAsia="宋体" w:cs="宋体"/>
          <w:highlight w:val="none"/>
          <w:lang w:eastAsia="zh-CN"/>
        </w:rPr>
        <w:t>竞争性磋商响应文件</w:t>
      </w:r>
      <w:r>
        <w:rPr>
          <w:rFonts w:hint="eastAsia" w:ascii="宋体" w:hAnsi="宋体" w:eastAsia="宋体" w:cs="宋体"/>
          <w:highlight w:val="none"/>
        </w:rPr>
        <w:t>解密事宜请登录全国公共资源交易平台（陕西省˙榆林市）（http://yl.sxggzyjy.cn/），选择“服务指南”，点击“下载专区”，点击榆林不见面开标系统操作手册（</w:t>
      </w:r>
      <w:r>
        <w:rPr>
          <w:rFonts w:hint="eastAsia" w:ascii="宋体" w:hAnsi="宋体" w:eastAsia="宋体" w:cs="宋体"/>
          <w:highlight w:val="none"/>
          <w:lang w:eastAsia="zh-CN"/>
        </w:rPr>
        <w:t>供应商</w:t>
      </w:r>
      <w:r>
        <w:rPr>
          <w:rFonts w:hint="eastAsia" w:ascii="宋体" w:hAnsi="宋体" w:eastAsia="宋体" w:cs="宋体"/>
          <w:highlight w:val="none"/>
        </w:rPr>
        <w:t>）、榆林不见面开标大厅</w:t>
      </w:r>
      <w:r>
        <w:rPr>
          <w:rFonts w:hint="eastAsia" w:ascii="宋体" w:hAnsi="宋体" w:eastAsia="宋体" w:cs="宋体"/>
          <w:highlight w:val="none"/>
          <w:lang w:eastAsia="zh-CN"/>
        </w:rPr>
        <w:t>供应商</w:t>
      </w:r>
      <w:r>
        <w:rPr>
          <w:rFonts w:hint="eastAsia" w:ascii="宋体" w:hAnsi="宋体" w:eastAsia="宋体" w:cs="宋体"/>
          <w:highlight w:val="none"/>
        </w:rPr>
        <w:t>询标操作手册V1.0，请</w:t>
      </w:r>
      <w:r>
        <w:rPr>
          <w:rFonts w:hint="eastAsia" w:ascii="宋体" w:hAnsi="宋体" w:eastAsia="宋体" w:cs="宋体"/>
          <w:highlight w:val="none"/>
          <w:lang w:eastAsia="zh-CN"/>
        </w:rPr>
        <w:t>供应商</w:t>
      </w:r>
      <w:r>
        <w:rPr>
          <w:rFonts w:hint="eastAsia" w:ascii="宋体" w:hAnsi="宋体" w:eastAsia="宋体" w:cs="宋体"/>
          <w:highlight w:val="none"/>
        </w:rPr>
        <w:t>仔细阅读操作手册，了解操作流程，熟练掌握不见面开标、不见面询标操作相关事宜，若无法正常投标，</w:t>
      </w:r>
      <w:r>
        <w:rPr>
          <w:rFonts w:hint="eastAsia" w:ascii="宋体" w:hAnsi="宋体" w:eastAsia="宋体" w:cs="宋体"/>
          <w:highlight w:val="none"/>
          <w:lang w:eastAsia="zh-CN"/>
        </w:rPr>
        <w:t>供应商</w:t>
      </w:r>
      <w:r>
        <w:rPr>
          <w:rFonts w:hint="eastAsia" w:ascii="宋体" w:hAnsi="宋体" w:eastAsia="宋体" w:cs="宋体"/>
          <w:highlight w:val="none"/>
        </w:rPr>
        <w:t>自行承担责任。电子</w:t>
      </w:r>
      <w:r>
        <w:rPr>
          <w:rFonts w:hint="eastAsia" w:ascii="宋体" w:hAnsi="宋体" w:eastAsia="宋体" w:cs="宋体"/>
          <w:highlight w:val="none"/>
          <w:lang w:eastAsia="zh-CN"/>
        </w:rPr>
        <w:t>竞争性磋商响应文件</w:t>
      </w:r>
      <w:r>
        <w:rPr>
          <w:rFonts w:hint="eastAsia" w:ascii="宋体" w:hAnsi="宋体" w:eastAsia="宋体" w:cs="宋体"/>
          <w:highlight w:val="none"/>
        </w:rPr>
        <w:t>制作软件技术支持热线：400-998-0000 ，CA锁购买：榆林市市民大厦3楼，联系电话：0912-3452148。</w:t>
      </w:r>
    </w:p>
    <w:p w14:paraId="3E150F84">
      <w:pPr>
        <w:pStyle w:val="5"/>
        <w:bidi w:val="0"/>
        <w:rPr>
          <w:rFonts w:hint="eastAsia" w:ascii="宋体" w:hAnsi="宋体" w:eastAsia="宋体" w:cs="宋体"/>
          <w:highlight w:val="none"/>
        </w:rPr>
      </w:pPr>
      <w:r>
        <w:rPr>
          <w:rFonts w:hint="eastAsia" w:ascii="宋体" w:hAnsi="宋体" w:eastAsia="宋体" w:cs="宋体"/>
          <w:b/>
          <w:bCs/>
          <w:highlight w:val="none"/>
        </w:rPr>
        <w:t>八、对本次采购活动提出询问，请按以下方式联系</w:t>
      </w:r>
    </w:p>
    <w:p w14:paraId="298A4B35">
      <w:pPr>
        <w:pStyle w:val="5"/>
        <w:bidi w:val="0"/>
        <w:rPr>
          <w:rFonts w:hint="eastAsia" w:ascii="宋体" w:hAnsi="宋体" w:eastAsia="宋体" w:cs="宋体"/>
          <w:highlight w:val="none"/>
        </w:rPr>
      </w:pPr>
      <w:r>
        <w:rPr>
          <w:rFonts w:hint="eastAsia" w:ascii="宋体" w:hAnsi="宋体" w:eastAsia="宋体" w:cs="宋体"/>
          <w:highlight w:val="none"/>
        </w:rPr>
        <w:t>1.采购人信息</w:t>
      </w:r>
    </w:p>
    <w:p w14:paraId="1CC923A6">
      <w:pPr>
        <w:pStyle w:val="5"/>
        <w:bidi w:val="0"/>
        <w:rPr>
          <w:rFonts w:hint="eastAsia" w:ascii="宋体" w:hAnsi="宋体" w:eastAsia="宋体" w:cs="宋体"/>
          <w:highlight w:val="none"/>
          <w:lang w:eastAsia="zh-CN"/>
        </w:rPr>
      </w:pPr>
      <w:r>
        <w:rPr>
          <w:rFonts w:hint="eastAsia" w:ascii="宋体" w:hAnsi="宋体" w:eastAsia="宋体" w:cs="宋体"/>
          <w:highlight w:val="none"/>
        </w:rPr>
        <w:t>名称：</w:t>
      </w:r>
      <w:r>
        <w:rPr>
          <w:rFonts w:hint="eastAsia" w:ascii="宋体" w:hAnsi="宋体" w:eastAsia="宋体" w:cs="宋体"/>
          <w:highlight w:val="none"/>
          <w:lang w:eastAsia="zh-CN"/>
        </w:rPr>
        <w:t>榆林市农业农村局</w:t>
      </w:r>
    </w:p>
    <w:p w14:paraId="0BDFDF62">
      <w:pPr>
        <w:pStyle w:val="5"/>
        <w:bidi w:val="0"/>
        <w:rPr>
          <w:rFonts w:hint="eastAsia" w:ascii="宋体" w:hAnsi="宋体" w:eastAsia="宋体" w:cs="宋体"/>
          <w:highlight w:val="none"/>
        </w:rPr>
      </w:pPr>
      <w:r>
        <w:rPr>
          <w:rFonts w:hint="eastAsia" w:ascii="宋体" w:hAnsi="宋体" w:eastAsia="宋体" w:cs="宋体"/>
          <w:highlight w:val="none"/>
        </w:rPr>
        <w:t>地址：陕西省榆林市榆阳区榆林大道158号</w:t>
      </w:r>
    </w:p>
    <w:p w14:paraId="3361A1B5">
      <w:pPr>
        <w:pStyle w:val="5"/>
        <w:bidi w:val="0"/>
        <w:rPr>
          <w:rFonts w:hint="eastAsia" w:ascii="宋体" w:hAnsi="宋体" w:eastAsia="宋体" w:cs="宋体"/>
          <w:highlight w:val="none"/>
        </w:rPr>
      </w:pPr>
      <w:r>
        <w:rPr>
          <w:rFonts w:hint="eastAsia" w:ascii="宋体" w:hAnsi="宋体" w:eastAsia="宋体" w:cs="宋体"/>
          <w:highlight w:val="none"/>
        </w:rPr>
        <w:t>联系方式：</w:t>
      </w:r>
      <w:r>
        <w:rPr>
          <w:rFonts w:hint="eastAsia" w:ascii="宋体" w:hAnsi="宋体" w:eastAsia="宋体" w:cs="宋体"/>
          <w:highlight w:val="none"/>
          <w:lang w:eastAsia="zh-CN"/>
        </w:rPr>
        <w:t>15389584666</w:t>
      </w:r>
    </w:p>
    <w:p w14:paraId="4250B189">
      <w:pPr>
        <w:pStyle w:val="5"/>
        <w:bidi w:val="0"/>
        <w:rPr>
          <w:rFonts w:hint="eastAsia" w:ascii="宋体" w:hAnsi="宋体" w:eastAsia="宋体" w:cs="宋体"/>
          <w:highlight w:val="none"/>
        </w:rPr>
      </w:pPr>
      <w:r>
        <w:rPr>
          <w:rFonts w:hint="eastAsia" w:ascii="宋体" w:hAnsi="宋体" w:eastAsia="宋体" w:cs="宋体"/>
          <w:highlight w:val="none"/>
        </w:rPr>
        <w:t>2.采购代理机构信息</w:t>
      </w:r>
    </w:p>
    <w:p w14:paraId="504979AA">
      <w:pPr>
        <w:pStyle w:val="5"/>
        <w:bidi w:val="0"/>
        <w:rPr>
          <w:rFonts w:hint="eastAsia" w:ascii="宋体" w:hAnsi="宋体" w:eastAsia="宋体" w:cs="宋体"/>
          <w:highlight w:val="none"/>
        </w:rPr>
      </w:pPr>
      <w:r>
        <w:rPr>
          <w:rFonts w:hint="eastAsia" w:ascii="宋体" w:hAnsi="宋体" w:eastAsia="宋体" w:cs="宋体"/>
          <w:highlight w:val="none"/>
        </w:rPr>
        <w:t>名称：</w:t>
      </w:r>
      <w:r>
        <w:rPr>
          <w:rFonts w:hint="eastAsia" w:ascii="宋体" w:hAnsi="宋体" w:eastAsia="宋体" w:cs="宋体"/>
          <w:highlight w:val="none"/>
          <w:lang w:eastAsia="zh-CN"/>
        </w:rPr>
        <w:t>万泰项目管理有限公司</w:t>
      </w:r>
      <w:r>
        <w:rPr>
          <w:rFonts w:hint="eastAsia" w:ascii="宋体" w:hAnsi="宋体" w:eastAsia="宋体" w:cs="宋体"/>
          <w:highlight w:val="none"/>
        </w:rPr>
        <w:t xml:space="preserve"> </w:t>
      </w:r>
    </w:p>
    <w:p w14:paraId="24083B23">
      <w:pPr>
        <w:pStyle w:val="5"/>
        <w:bidi w:val="0"/>
        <w:rPr>
          <w:rFonts w:hint="eastAsia" w:ascii="宋体" w:hAnsi="宋体" w:eastAsia="宋体" w:cs="宋体"/>
          <w:highlight w:val="none"/>
        </w:rPr>
      </w:pPr>
      <w:r>
        <w:rPr>
          <w:rFonts w:hint="eastAsia" w:ascii="宋体" w:hAnsi="宋体" w:eastAsia="宋体" w:cs="宋体"/>
          <w:highlight w:val="none"/>
        </w:rPr>
        <w:t>地址：陕西省西安市雁塔区南二环西段58号成长大厦1401-1404</w:t>
      </w:r>
    </w:p>
    <w:p w14:paraId="39046D9C">
      <w:pPr>
        <w:pStyle w:val="5"/>
        <w:bidi w:val="0"/>
        <w:rPr>
          <w:rFonts w:hint="eastAsia" w:ascii="宋体" w:hAnsi="宋体" w:eastAsia="宋体" w:cs="宋体"/>
          <w:highlight w:val="none"/>
        </w:rPr>
      </w:pPr>
      <w:r>
        <w:rPr>
          <w:rFonts w:hint="eastAsia" w:ascii="宋体" w:hAnsi="宋体" w:eastAsia="宋体" w:cs="宋体"/>
          <w:highlight w:val="none"/>
        </w:rPr>
        <w:t>联系方式：029-85328601</w:t>
      </w:r>
    </w:p>
    <w:p w14:paraId="3EF875AB">
      <w:pPr>
        <w:pStyle w:val="5"/>
        <w:bidi w:val="0"/>
        <w:rPr>
          <w:rFonts w:hint="eastAsia" w:ascii="宋体" w:hAnsi="宋体" w:eastAsia="宋体" w:cs="宋体"/>
          <w:highlight w:val="none"/>
        </w:rPr>
      </w:pPr>
      <w:r>
        <w:rPr>
          <w:rFonts w:hint="eastAsia" w:ascii="宋体" w:hAnsi="宋体" w:eastAsia="宋体" w:cs="宋体"/>
          <w:highlight w:val="none"/>
        </w:rPr>
        <w:t>3.项目联系方式</w:t>
      </w:r>
    </w:p>
    <w:p w14:paraId="21CF5209">
      <w:pPr>
        <w:pStyle w:val="5"/>
        <w:bidi w:val="0"/>
        <w:rPr>
          <w:rFonts w:hint="eastAsia" w:ascii="宋体" w:hAnsi="宋体" w:eastAsia="宋体" w:cs="宋体"/>
          <w:highlight w:val="none"/>
          <w:lang w:val="en-US" w:eastAsia="zh-CN"/>
        </w:rPr>
      </w:pPr>
      <w:r>
        <w:rPr>
          <w:rFonts w:hint="eastAsia" w:ascii="宋体" w:hAnsi="宋体" w:eastAsia="宋体" w:cs="宋体"/>
          <w:highlight w:val="none"/>
        </w:rPr>
        <w:t>项目联系人：</w:t>
      </w:r>
      <w:r>
        <w:rPr>
          <w:rFonts w:hint="eastAsia" w:ascii="宋体" w:hAnsi="宋体" w:eastAsia="宋体" w:cs="宋体"/>
          <w:highlight w:val="none"/>
          <w:lang w:val="en-US" w:eastAsia="zh-CN"/>
        </w:rPr>
        <w:t>张梦雪、张胜驰</w:t>
      </w:r>
    </w:p>
    <w:p w14:paraId="0A54C452">
      <w:pPr>
        <w:pStyle w:val="5"/>
        <w:bidi w:val="0"/>
        <w:rPr>
          <w:rFonts w:hint="eastAsia" w:ascii="宋体" w:hAnsi="宋体" w:eastAsia="宋体" w:cs="宋体"/>
          <w:highlight w:val="none"/>
        </w:rPr>
      </w:pPr>
      <w:r>
        <w:rPr>
          <w:rFonts w:hint="eastAsia" w:ascii="宋体" w:hAnsi="宋体" w:eastAsia="宋体" w:cs="宋体"/>
          <w:highlight w:val="none"/>
        </w:rPr>
        <w:t>电话：029-85328601</w:t>
      </w:r>
    </w:p>
    <w:p w14:paraId="56F66351">
      <w:pPr>
        <w:pStyle w:val="5"/>
        <w:spacing w:before="78" w:line="360" w:lineRule="auto"/>
        <w:ind w:right="1112"/>
        <w:jc w:val="right"/>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万泰项目管理有限公司</w:t>
      </w:r>
    </w:p>
    <w:p w14:paraId="56141E6A">
      <w:pPr>
        <w:pStyle w:val="5"/>
        <w:spacing w:before="78" w:line="360" w:lineRule="auto"/>
        <w:ind w:right="1112"/>
        <w:jc w:val="right"/>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202</w:t>
      </w:r>
      <w:r>
        <w:rPr>
          <w:rFonts w:hint="eastAsia" w:ascii="宋体" w:hAnsi="宋体" w:eastAsia="宋体" w:cs="宋体"/>
          <w:spacing w:val="-9"/>
          <w:sz w:val="24"/>
          <w:szCs w:val="24"/>
          <w:highlight w:val="none"/>
          <w:lang w:val="en-US" w:eastAsia="zh-CN"/>
        </w:rPr>
        <w:t>5</w:t>
      </w:r>
      <w:r>
        <w:rPr>
          <w:rFonts w:hint="eastAsia" w:ascii="宋体" w:hAnsi="宋体" w:eastAsia="宋体" w:cs="宋体"/>
          <w:spacing w:val="-9"/>
          <w:sz w:val="24"/>
          <w:szCs w:val="24"/>
          <w:highlight w:val="none"/>
        </w:rPr>
        <w:t>年</w:t>
      </w:r>
      <w:r>
        <w:rPr>
          <w:rFonts w:hint="eastAsia" w:ascii="宋体" w:hAnsi="宋体" w:eastAsia="宋体" w:cs="宋体"/>
          <w:spacing w:val="-9"/>
          <w:sz w:val="24"/>
          <w:szCs w:val="24"/>
          <w:highlight w:val="none"/>
          <w:lang w:val="en-US" w:eastAsia="zh-CN"/>
        </w:rPr>
        <w:t xml:space="preserve"> 08 </w:t>
      </w:r>
      <w:r>
        <w:rPr>
          <w:rFonts w:hint="eastAsia" w:ascii="宋体" w:hAnsi="宋体" w:eastAsia="宋体" w:cs="宋体"/>
          <w:spacing w:val="-9"/>
          <w:sz w:val="24"/>
          <w:szCs w:val="24"/>
          <w:highlight w:val="none"/>
        </w:rPr>
        <w:t>月</w:t>
      </w:r>
      <w:r>
        <w:rPr>
          <w:rFonts w:hint="eastAsia" w:ascii="宋体" w:hAnsi="宋体" w:eastAsia="宋体" w:cs="宋体"/>
          <w:spacing w:val="-9"/>
          <w:sz w:val="24"/>
          <w:szCs w:val="24"/>
          <w:highlight w:val="none"/>
          <w:lang w:val="en-US" w:eastAsia="zh-CN"/>
        </w:rPr>
        <w:t xml:space="preserve"> 29 </w:t>
      </w:r>
      <w:r>
        <w:rPr>
          <w:rFonts w:hint="eastAsia" w:ascii="宋体" w:hAnsi="宋体" w:eastAsia="宋体" w:cs="宋体"/>
          <w:spacing w:val="-9"/>
          <w:sz w:val="24"/>
          <w:szCs w:val="24"/>
          <w:highlight w:val="none"/>
        </w:rPr>
        <w:t>日</w:t>
      </w:r>
    </w:p>
    <w:p w14:paraId="5BC27DF8">
      <w:pPr>
        <w:spacing w:line="325" w:lineRule="auto"/>
        <w:rPr>
          <w:rFonts w:hint="eastAsia" w:ascii="宋体" w:hAnsi="宋体" w:eastAsia="宋体" w:cs="宋体"/>
          <w:sz w:val="24"/>
          <w:szCs w:val="24"/>
          <w:highlight w:val="none"/>
        </w:rPr>
      </w:pPr>
    </w:p>
    <w:p w14:paraId="2AF30335">
      <w:pPr>
        <w:pStyle w:val="6"/>
        <w:rPr>
          <w:rFonts w:hint="eastAsia" w:ascii="宋体" w:hAnsi="宋体" w:eastAsia="宋体" w:cs="宋体"/>
          <w:highlight w:val="none"/>
        </w:rPr>
        <w:sectPr>
          <w:headerReference r:id="rId5" w:type="default"/>
          <w:footerReference r:id="rId6" w:type="default"/>
          <w:pgSz w:w="11906" w:h="16839"/>
          <w:pgMar w:top="1134" w:right="1334" w:bottom="969" w:left="1418" w:header="862" w:footer="754" w:gutter="0"/>
          <w:pgNumType w:fmt="decimal" w:start="1"/>
          <w:cols w:space="720" w:num="1"/>
        </w:sectPr>
      </w:pPr>
    </w:p>
    <w:p w14:paraId="5862C032">
      <w:pPr>
        <w:pStyle w:val="2"/>
        <w:bidi w:val="0"/>
        <w:rPr>
          <w:rFonts w:hint="eastAsia" w:ascii="宋体" w:hAnsi="宋体" w:eastAsia="宋体" w:cs="宋体"/>
          <w:highlight w:val="none"/>
        </w:rPr>
      </w:pPr>
      <w:r>
        <w:rPr>
          <w:rFonts w:hint="eastAsia" w:ascii="宋体" w:hAnsi="宋体" w:eastAsia="宋体" w:cs="宋体"/>
          <w:b/>
          <w:bCs/>
          <w:color w:val="333333"/>
          <w:spacing w:val="2"/>
          <w:highlight w:val="none"/>
        </w:rPr>
        <w:t>第二章</w:t>
      </w:r>
      <w:r>
        <w:rPr>
          <w:rFonts w:hint="eastAsia" w:ascii="宋体" w:hAnsi="宋体" w:eastAsia="宋体" w:cs="宋体"/>
          <w:color w:val="333333"/>
          <w:spacing w:val="22"/>
          <w:highlight w:val="none"/>
        </w:rPr>
        <w:t xml:space="preserve"> </w:t>
      </w:r>
      <w:r>
        <w:rPr>
          <w:rFonts w:hint="eastAsia" w:ascii="宋体" w:hAnsi="宋体" w:eastAsia="宋体" w:cs="宋体"/>
          <w:b/>
          <w:bCs/>
          <w:color w:val="333333"/>
          <w:spacing w:val="2"/>
          <w:highlight w:val="none"/>
        </w:rPr>
        <w:t>供应商须知</w:t>
      </w:r>
    </w:p>
    <w:p w14:paraId="2DD32860">
      <w:pPr>
        <w:pStyle w:val="5"/>
        <w:spacing w:before="72" w:line="222" w:lineRule="auto"/>
        <w:ind w:left="0" w:leftChars="0" w:firstLine="0" w:firstLineChars="0"/>
        <w:jc w:val="center"/>
        <w:rPr>
          <w:rFonts w:hint="eastAsia" w:ascii="宋体" w:hAnsi="宋体" w:eastAsia="宋体" w:cs="宋体"/>
          <w:sz w:val="30"/>
          <w:szCs w:val="30"/>
          <w:highlight w:val="none"/>
        </w:rPr>
      </w:pPr>
      <w:r>
        <w:rPr>
          <w:rFonts w:hint="eastAsia" w:ascii="宋体" w:hAnsi="宋体" w:eastAsia="宋体" w:cs="宋体"/>
          <w:b/>
          <w:bCs/>
          <w:color w:val="333333"/>
          <w:spacing w:val="-2"/>
          <w:sz w:val="30"/>
          <w:szCs w:val="30"/>
          <w:highlight w:val="none"/>
        </w:rPr>
        <w:t>供应商须知前附表</w:t>
      </w:r>
    </w:p>
    <w:p w14:paraId="54E5744F">
      <w:pPr>
        <w:pStyle w:val="5"/>
        <w:spacing w:before="132" w:line="282" w:lineRule="auto"/>
        <w:ind w:left="0" w:leftChars="0" w:right="285" w:firstLine="0" w:firstLineChars="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说明：本前附表是对磋商文件的修改、补充和摘要，其内容与磋商文件不一致时，以</w:t>
      </w:r>
      <w:r>
        <w:rPr>
          <w:rFonts w:hint="eastAsia" w:ascii="宋体" w:hAnsi="宋体" w:eastAsia="宋体" w:cs="宋体"/>
          <w:spacing w:val="-1"/>
          <w:sz w:val="24"/>
          <w:szCs w:val="24"/>
          <w:highlight w:val="none"/>
        </w:rPr>
        <w:t>本前附表为准。</w:t>
      </w:r>
    </w:p>
    <w:tbl>
      <w:tblPr>
        <w:tblStyle w:val="12"/>
        <w:tblW w:w="93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8719"/>
      </w:tblGrid>
      <w:tr w14:paraId="05EE3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35" w:type="dxa"/>
            <w:vAlign w:val="center"/>
          </w:tcPr>
          <w:p w14:paraId="329C674E">
            <w:pPr>
              <w:keepNext w:val="0"/>
              <w:keepLines w:val="0"/>
              <w:pageBreakBefore w:val="0"/>
              <w:widowControl/>
              <w:kinsoku w:val="0"/>
              <w:wordWrap/>
              <w:overflowPunct/>
              <w:topLinePunct w:val="0"/>
              <w:autoSpaceDE w:val="0"/>
              <w:autoSpaceDN w:val="0"/>
              <w:bidi w:val="0"/>
              <w:adjustRightInd w:val="0"/>
              <w:snapToGrid w:val="0"/>
              <w:spacing w:before="164" w:line="360" w:lineRule="auto"/>
              <w:jc w:val="both"/>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项号</w:t>
            </w:r>
          </w:p>
        </w:tc>
        <w:tc>
          <w:tcPr>
            <w:tcW w:w="8719" w:type="dxa"/>
            <w:vAlign w:val="center"/>
          </w:tcPr>
          <w:p w14:paraId="58586BD5">
            <w:pPr>
              <w:keepNext w:val="0"/>
              <w:keepLines w:val="0"/>
              <w:pageBreakBefore w:val="0"/>
              <w:widowControl/>
              <w:kinsoku w:val="0"/>
              <w:wordWrap/>
              <w:overflowPunct/>
              <w:topLinePunct w:val="0"/>
              <w:autoSpaceDE w:val="0"/>
              <w:autoSpaceDN w:val="0"/>
              <w:bidi w:val="0"/>
              <w:adjustRightInd w:val="0"/>
              <w:snapToGrid w:val="0"/>
              <w:spacing w:before="165" w:line="360" w:lineRule="auto"/>
              <w:ind w:left="3821"/>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编列内容</w:t>
            </w:r>
          </w:p>
        </w:tc>
      </w:tr>
      <w:tr w14:paraId="7A372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635" w:type="dxa"/>
            <w:vAlign w:val="center"/>
          </w:tcPr>
          <w:p w14:paraId="4B39282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w:t>
            </w:r>
          </w:p>
        </w:tc>
        <w:tc>
          <w:tcPr>
            <w:tcW w:w="8719" w:type="dxa"/>
            <w:vAlign w:val="center"/>
          </w:tcPr>
          <w:p w14:paraId="1A409D4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榆林市农业农村局采购2023年度高标准农田建设项目市级验收服务项目</w:t>
            </w:r>
          </w:p>
          <w:p w14:paraId="78851A3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lang w:eastAsia="zh-CN"/>
              </w:rPr>
            </w:pPr>
            <w:r>
              <w:rPr>
                <w:rFonts w:hint="eastAsia" w:ascii="宋体" w:hAnsi="宋体" w:eastAsia="宋体" w:cs="宋体"/>
                <w:highlight w:val="none"/>
              </w:rPr>
              <w:t>项目编号：</w:t>
            </w:r>
            <w:r>
              <w:rPr>
                <w:rFonts w:hint="eastAsia" w:ascii="宋体" w:hAnsi="宋体" w:eastAsia="宋体" w:cs="宋体"/>
                <w:highlight w:val="none"/>
                <w:lang w:eastAsia="zh-CN"/>
              </w:rPr>
              <w:t>WT2025ZBF-704B</w:t>
            </w:r>
          </w:p>
        </w:tc>
      </w:tr>
      <w:tr w14:paraId="253EA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160A206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2</w:t>
            </w:r>
          </w:p>
        </w:tc>
        <w:tc>
          <w:tcPr>
            <w:tcW w:w="8719" w:type="dxa"/>
            <w:vAlign w:val="center"/>
          </w:tcPr>
          <w:p w14:paraId="48C15F7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rPr>
            </w:pPr>
            <w:r>
              <w:rPr>
                <w:rFonts w:hint="eastAsia" w:ascii="宋体" w:hAnsi="宋体" w:eastAsia="宋体" w:cs="宋体"/>
                <w:highlight w:val="none"/>
              </w:rPr>
              <w:t>项目性质：财政拨款</w:t>
            </w:r>
          </w:p>
        </w:tc>
      </w:tr>
      <w:tr w14:paraId="18D7C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635" w:type="dxa"/>
            <w:vAlign w:val="center"/>
          </w:tcPr>
          <w:p w14:paraId="6A56F3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3</w:t>
            </w:r>
          </w:p>
        </w:tc>
        <w:tc>
          <w:tcPr>
            <w:tcW w:w="8719" w:type="dxa"/>
            <w:vAlign w:val="center"/>
          </w:tcPr>
          <w:p w14:paraId="59509A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lang w:eastAsia="zh-CN"/>
              </w:rPr>
            </w:pPr>
            <w:r>
              <w:rPr>
                <w:rFonts w:hint="eastAsia" w:ascii="宋体" w:hAnsi="宋体" w:eastAsia="宋体" w:cs="宋体"/>
                <w:highlight w:val="none"/>
              </w:rPr>
              <w:t>采购人：</w:t>
            </w:r>
            <w:r>
              <w:rPr>
                <w:rFonts w:hint="eastAsia" w:ascii="宋体" w:hAnsi="宋体" w:eastAsia="宋体" w:cs="宋体"/>
                <w:highlight w:val="none"/>
                <w:lang w:eastAsia="zh-CN"/>
              </w:rPr>
              <w:t>榆林市农业农村局</w:t>
            </w:r>
          </w:p>
          <w:p w14:paraId="2D03A04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lang w:eastAsia="zh-CN"/>
              </w:rPr>
            </w:pPr>
            <w:r>
              <w:rPr>
                <w:rFonts w:hint="eastAsia" w:ascii="宋体" w:hAnsi="宋体" w:eastAsia="宋体" w:cs="宋体"/>
                <w:highlight w:val="none"/>
              </w:rPr>
              <w:t>采购代理机构：</w:t>
            </w:r>
            <w:r>
              <w:rPr>
                <w:rFonts w:hint="eastAsia" w:ascii="宋体" w:hAnsi="宋体" w:eastAsia="宋体" w:cs="宋体"/>
                <w:highlight w:val="none"/>
                <w:lang w:eastAsia="zh-CN"/>
              </w:rPr>
              <w:t>万泰项目管理有限公司</w:t>
            </w:r>
          </w:p>
        </w:tc>
      </w:tr>
      <w:tr w14:paraId="445B6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635" w:type="dxa"/>
            <w:vAlign w:val="center"/>
          </w:tcPr>
          <w:p w14:paraId="325F64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4</w:t>
            </w:r>
          </w:p>
        </w:tc>
        <w:tc>
          <w:tcPr>
            <w:tcW w:w="8719" w:type="dxa"/>
            <w:vAlign w:val="center"/>
          </w:tcPr>
          <w:p w14:paraId="6001681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rPr>
            </w:pPr>
            <w:r>
              <w:rPr>
                <w:rFonts w:hint="eastAsia" w:ascii="宋体" w:hAnsi="宋体" w:eastAsia="宋体" w:cs="宋体"/>
                <w:highlight w:val="none"/>
              </w:rPr>
              <w:t>采购内容详见磋商文件第五章磋商内容及采购需求</w:t>
            </w:r>
          </w:p>
          <w:p w14:paraId="146587E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rPr>
            </w:pPr>
            <w:r>
              <w:rPr>
                <w:rFonts w:hint="eastAsia" w:ascii="宋体" w:hAnsi="宋体" w:eastAsia="宋体" w:cs="宋体"/>
                <w:highlight w:val="none"/>
              </w:rPr>
              <w:t>本次采购、报价、磋商、评审均以完整的项目为单位，供应商必须就整个项目进行响应。</w:t>
            </w:r>
          </w:p>
          <w:p w14:paraId="542EF9D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项目概括：委托第三方机构开展2023年度高标准农田建设项目市级验收。主要包括查验项目完成、工程质量、资金管理、档案资料、上图入库、耕地质量、工程管护、项目效益等情况。</w:t>
            </w:r>
          </w:p>
        </w:tc>
      </w:tr>
      <w:tr w14:paraId="3102E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35" w:type="dxa"/>
            <w:vAlign w:val="center"/>
          </w:tcPr>
          <w:p w14:paraId="53C5AD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5</w:t>
            </w:r>
          </w:p>
        </w:tc>
        <w:tc>
          <w:tcPr>
            <w:tcW w:w="8719" w:type="dxa"/>
            <w:vAlign w:val="center"/>
          </w:tcPr>
          <w:p w14:paraId="1AB0C3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rPr>
            </w:pPr>
            <w:r>
              <w:rPr>
                <w:rFonts w:hint="eastAsia" w:ascii="宋体" w:hAnsi="宋体" w:eastAsia="宋体" w:cs="宋体"/>
                <w:highlight w:val="none"/>
              </w:rPr>
              <w:t>磋商文件截止时间及磋商时间和地点：</w:t>
            </w:r>
          </w:p>
          <w:p w14:paraId="6A3E9D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rPr>
            </w:pPr>
            <w:r>
              <w:rPr>
                <w:rFonts w:hint="eastAsia" w:ascii="宋体" w:hAnsi="宋体" w:eastAsia="宋体" w:cs="宋体"/>
                <w:highlight w:val="none"/>
              </w:rPr>
              <w:t>磋商文件截止时间：2025年</w:t>
            </w:r>
            <w:r>
              <w:rPr>
                <w:rFonts w:hint="eastAsia" w:ascii="宋体" w:hAnsi="宋体" w:eastAsia="宋体" w:cs="宋体"/>
                <w:highlight w:val="none"/>
                <w:lang w:val="en-US" w:eastAsia="zh-CN"/>
              </w:rPr>
              <w:t xml:space="preserve"> 09 </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10 </w:t>
            </w:r>
            <w:r>
              <w:rPr>
                <w:rFonts w:hint="eastAsia" w:ascii="宋体" w:hAnsi="宋体" w:eastAsia="宋体" w:cs="宋体"/>
                <w:highlight w:val="none"/>
              </w:rPr>
              <w:t>日</w:t>
            </w:r>
            <w:r>
              <w:rPr>
                <w:rFonts w:hint="eastAsia" w:ascii="宋体" w:hAnsi="宋体" w:eastAsia="宋体" w:cs="宋体"/>
                <w:highlight w:val="none"/>
                <w:lang w:val="en-US" w:eastAsia="zh-CN"/>
              </w:rPr>
              <w:t>11</w:t>
            </w:r>
            <w:r>
              <w:rPr>
                <w:rFonts w:hint="eastAsia" w:ascii="宋体" w:hAnsi="宋体" w:eastAsia="宋体" w:cs="宋体"/>
                <w:highlight w:val="none"/>
              </w:rPr>
              <w:t>时30分00秒（北京时间）</w:t>
            </w:r>
          </w:p>
          <w:p w14:paraId="72A147F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highlight w:val="none"/>
              </w:rPr>
            </w:pPr>
            <w:r>
              <w:rPr>
                <w:rFonts w:hint="eastAsia" w:ascii="宋体" w:hAnsi="宋体" w:eastAsia="宋体" w:cs="宋体"/>
                <w:highlight w:val="none"/>
              </w:rPr>
              <w:t>磋商时间：2025年</w:t>
            </w:r>
            <w:r>
              <w:rPr>
                <w:rFonts w:hint="eastAsia" w:ascii="宋体" w:hAnsi="宋体" w:eastAsia="宋体" w:cs="宋体"/>
                <w:highlight w:val="none"/>
                <w:lang w:val="en-US" w:eastAsia="zh-CN"/>
              </w:rPr>
              <w:t xml:space="preserve"> 09 </w:t>
            </w:r>
            <w:r>
              <w:rPr>
                <w:rFonts w:hint="eastAsia" w:ascii="宋体" w:hAnsi="宋体" w:eastAsia="宋体" w:cs="宋体"/>
                <w:highlight w:val="none"/>
              </w:rPr>
              <w:t>月</w:t>
            </w:r>
            <w:r>
              <w:rPr>
                <w:rFonts w:hint="eastAsia" w:ascii="宋体" w:hAnsi="宋体" w:eastAsia="宋体" w:cs="宋体"/>
                <w:highlight w:val="none"/>
                <w:lang w:val="en-US" w:eastAsia="zh-CN"/>
              </w:rPr>
              <w:t xml:space="preserve"> 10 </w:t>
            </w:r>
            <w:r>
              <w:rPr>
                <w:rFonts w:hint="eastAsia" w:ascii="宋体" w:hAnsi="宋体" w:eastAsia="宋体" w:cs="宋体"/>
                <w:highlight w:val="none"/>
              </w:rPr>
              <w:t>日</w:t>
            </w:r>
            <w:r>
              <w:rPr>
                <w:rFonts w:hint="eastAsia" w:ascii="宋体" w:hAnsi="宋体" w:eastAsia="宋体" w:cs="宋体"/>
                <w:highlight w:val="none"/>
                <w:lang w:val="en-US" w:eastAsia="zh-CN"/>
              </w:rPr>
              <w:t>11</w:t>
            </w:r>
            <w:r>
              <w:rPr>
                <w:rFonts w:hint="eastAsia" w:ascii="宋体" w:hAnsi="宋体" w:eastAsia="宋体" w:cs="宋体"/>
                <w:highlight w:val="none"/>
              </w:rPr>
              <w:t>时30分00秒（北京时间）</w:t>
            </w:r>
          </w:p>
          <w:p w14:paraId="2FE81FC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szCs w:val="24"/>
                <w:highlight w:val="none"/>
              </w:rPr>
            </w:pPr>
            <w:r>
              <w:rPr>
                <w:rFonts w:hint="eastAsia" w:ascii="宋体" w:hAnsi="宋体" w:eastAsia="宋体" w:cs="宋体"/>
                <w:highlight w:val="none"/>
              </w:rPr>
              <w:t>磋商地点：陕西省公共资源交易平台（榆林市不见面开标系统）</w:t>
            </w:r>
          </w:p>
        </w:tc>
      </w:tr>
      <w:tr w14:paraId="7CC4C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35" w:type="dxa"/>
            <w:vAlign w:val="center"/>
          </w:tcPr>
          <w:p w14:paraId="2048B7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6</w:t>
            </w:r>
          </w:p>
        </w:tc>
        <w:tc>
          <w:tcPr>
            <w:tcW w:w="8719" w:type="dxa"/>
            <w:vAlign w:val="center"/>
          </w:tcPr>
          <w:p w14:paraId="6FDA7FFA">
            <w:pPr>
              <w:keepNext w:val="0"/>
              <w:keepLines w:val="0"/>
              <w:pageBreakBefore w:val="0"/>
              <w:widowControl/>
              <w:kinsoku w:val="0"/>
              <w:wordWrap/>
              <w:overflowPunct/>
              <w:topLinePunct w:val="0"/>
              <w:autoSpaceDE w:val="0"/>
              <w:autoSpaceDN w:val="0"/>
              <w:bidi w:val="0"/>
              <w:adjustRightInd w:val="0"/>
              <w:snapToGrid w:val="0"/>
              <w:spacing w:before="147" w:line="360" w:lineRule="auto"/>
              <w:ind w:left="12"/>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服务期：进场后</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天内提交成果。</w:t>
            </w:r>
          </w:p>
        </w:tc>
      </w:tr>
      <w:tr w14:paraId="2836D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1EF567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7</w:t>
            </w:r>
          </w:p>
        </w:tc>
        <w:tc>
          <w:tcPr>
            <w:tcW w:w="8719" w:type="dxa"/>
            <w:vAlign w:val="center"/>
          </w:tcPr>
          <w:p w14:paraId="57AD69EE">
            <w:pPr>
              <w:keepNext w:val="0"/>
              <w:keepLines w:val="0"/>
              <w:pageBreakBefore w:val="0"/>
              <w:widowControl/>
              <w:kinsoku w:val="0"/>
              <w:wordWrap/>
              <w:overflowPunct/>
              <w:topLinePunct w:val="0"/>
              <w:autoSpaceDE w:val="0"/>
              <w:autoSpaceDN w:val="0"/>
              <w:bidi w:val="0"/>
              <w:adjustRightInd w:val="0"/>
              <w:snapToGrid w:val="0"/>
              <w:spacing w:before="149" w:line="360" w:lineRule="auto"/>
              <w:ind w:left="14"/>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项目实施地点：采购人指定地点。</w:t>
            </w:r>
          </w:p>
        </w:tc>
      </w:tr>
      <w:tr w14:paraId="6C48F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635" w:type="dxa"/>
            <w:vAlign w:val="center"/>
          </w:tcPr>
          <w:p w14:paraId="7D0D73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8</w:t>
            </w:r>
          </w:p>
        </w:tc>
        <w:tc>
          <w:tcPr>
            <w:tcW w:w="8719" w:type="dxa"/>
            <w:vAlign w:val="center"/>
          </w:tcPr>
          <w:p w14:paraId="0D137216">
            <w:pPr>
              <w:keepNext w:val="0"/>
              <w:keepLines w:val="0"/>
              <w:pageBreakBefore w:val="0"/>
              <w:widowControl/>
              <w:kinsoku w:val="0"/>
              <w:wordWrap/>
              <w:overflowPunct/>
              <w:topLinePunct w:val="0"/>
              <w:autoSpaceDE w:val="0"/>
              <w:autoSpaceDN w:val="0"/>
              <w:bidi w:val="0"/>
              <w:adjustRightInd w:val="0"/>
              <w:snapToGrid w:val="0"/>
              <w:spacing w:before="146" w:line="360" w:lineRule="auto"/>
              <w:ind w:left="18" w:right="3" w:hanging="5"/>
              <w:jc w:val="both"/>
              <w:rPr>
                <w:rFonts w:hint="eastAsia" w:ascii="宋体" w:hAnsi="宋体" w:eastAsia="宋体" w:cs="宋体"/>
                <w:snapToGrid w:val="0"/>
                <w:color w:val="000000"/>
                <w:kern w:val="0"/>
                <w:sz w:val="24"/>
                <w:szCs w:val="31"/>
                <w:highlight w:val="none"/>
                <w:lang w:val="en-US" w:eastAsia="zh-CN" w:bidi="ar-SA"/>
              </w:rPr>
            </w:pPr>
            <w:r>
              <w:rPr>
                <w:rFonts w:hint="eastAsia" w:ascii="宋体" w:hAnsi="宋体" w:eastAsia="宋体" w:cs="宋体"/>
                <w:snapToGrid w:val="0"/>
                <w:color w:val="000000"/>
                <w:kern w:val="0"/>
                <w:sz w:val="24"/>
                <w:szCs w:val="31"/>
                <w:highlight w:val="none"/>
                <w:lang w:val="en-US" w:eastAsia="zh-CN" w:bidi="ar-SA"/>
              </w:rPr>
              <w:t>付款方式：</w:t>
            </w:r>
          </w:p>
          <w:p w14:paraId="76B4361E">
            <w:pPr>
              <w:keepNext w:val="0"/>
              <w:keepLines w:val="0"/>
              <w:pageBreakBefore w:val="0"/>
              <w:widowControl/>
              <w:kinsoku w:val="0"/>
              <w:wordWrap/>
              <w:overflowPunct/>
              <w:topLinePunct w:val="0"/>
              <w:autoSpaceDE w:val="0"/>
              <w:autoSpaceDN w:val="0"/>
              <w:bidi w:val="0"/>
              <w:adjustRightInd w:val="0"/>
              <w:snapToGrid w:val="0"/>
              <w:spacing w:before="146" w:line="360" w:lineRule="auto"/>
              <w:ind w:left="18" w:right="3" w:hanging="5"/>
              <w:jc w:val="both"/>
              <w:rPr>
                <w:rFonts w:hint="eastAsia" w:ascii="宋体" w:hAnsi="宋体" w:eastAsia="宋体" w:cs="宋体"/>
                <w:snapToGrid w:val="0"/>
                <w:color w:val="000000"/>
                <w:kern w:val="0"/>
                <w:sz w:val="24"/>
                <w:szCs w:val="31"/>
                <w:highlight w:val="none"/>
                <w:lang w:val="en-US" w:eastAsia="zh-CN" w:bidi="ar-SA"/>
              </w:rPr>
            </w:pPr>
            <w:r>
              <w:rPr>
                <w:rFonts w:hint="eastAsia" w:ascii="宋体" w:hAnsi="宋体" w:eastAsia="宋体" w:cs="宋体"/>
                <w:snapToGrid w:val="0"/>
                <w:color w:val="000000"/>
                <w:kern w:val="0"/>
                <w:sz w:val="24"/>
                <w:szCs w:val="31"/>
                <w:highlight w:val="none"/>
                <w:lang w:val="en-US" w:eastAsia="zh-CN" w:bidi="ar-SA"/>
              </w:rPr>
              <w:t>（1）在合同签订后，乙方开展验收工作10日内（以进场时间为准），甲方向乙方支付合同总金额的40%作为预付款。</w:t>
            </w:r>
          </w:p>
          <w:p w14:paraId="6D4E3372">
            <w:pPr>
              <w:keepNext w:val="0"/>
              <w:keepLines w:val="0"/>
              <w:pageBreakBefore w:val="0"/>
              <w:widowControl/>
              <w:kinsoku w:val="0"/>
              <w:wordWrap/>
              <w:overflowPunct/>
              <w:topLinePunct w:val="0"/>
              <w:autoSpaceDE w:val="0"/>
              <w:autoSpaceDN w:val="0"/>
              <w:bidi w:val="0"/>
              <w:adjustRightInd w:val="0"/>
              <w:snapToGrid w:val="0"/>
              <w:spacing w:before="146" w:line="360" w:lineRule="auto"/>
              <w:ind w:left="18" w:right="3" w:hanging="5"/>
              <w:jc w:val="both"/>
              <w:rPr>
                <w:rFonts w:hint="eastAsia" w:ascii="宋体" w:hAnsi="宋体" w:eastAsia="宋体" w:cs="宋体"/>
                <w:sz w:val="24"/>
                <w:szCs w:val="24"/>
                <w:highlight w:val="none"/>
                <w:lang w:eastAsia="zh-CN"/>
              </w:rPr>
            </w:pPr>
            <w:r>
              <w:rPr>
                <w:rFonts w:hint="eastAsia" w:ascii="宋体" w:hAnsi="宋体" w:eastAsia="宋体" w:cs="宋体"/>
                <w:snapToGrid w:val="0"/>
                <w:color w:val="000000"/>
                <w:kern w:val="0"/>
                <w:sz w:val="24"/>
                <w:szCs w:val="31"/>
                <w:highlight w:val="none"/>
                <w:lang w:val="en-US" w:eastAsia="zh-CN" w:bidi="ar-SA"/>
              </w:rPr>
              <w:t>（2）乙方完成竣工验收并提交正式的竣工验收报告，且通过相关部门的审核备案后，在10个工作日内，甲方向乙方支付合同剩余款项。</w:t>
            </w:r>
          </w:p>
        </w:tc>
      </w:tr>
      <w:tr w14:paraId="6D3D5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349BF0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9</w:t>
            </w:r>
          </w:p>
        </w:tc>
        <w:tc>
          <w:tcPr>
            <w:tcW w:w="8719" w:type="dxa"/>
            <w:vAlign w:val="center"/>
          </w:tcPr>
          <w:p w14:paraId="5471AE2D">
            <w:pPr>
              <w:keepNext w:val="0"/>
              <w:keepLines w:val="0"/>
              <w:pageBreakBefore w:val="0"/>
              <w:widowControl/>
              <w:kinsoku w:val="0"/>
              <w:wordWrap/>
              <w:overflowPunct/>
              <w:topLinePunct w:val="0"/>
              <w:autoSpaceDE w:val="0"/>
              <w:autoSpaceDN w:val="0"/>
              <w:bidi w:val="0"/>
              <w:adjustRightInd w:val="0"/>
              <w:snapToGrid w:val="0"/>
              <w:spacing w:before="148" w:line="360" w:lineRule="auto"/>
              <w:ind w:left="12"/>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磋商有效期：磋商响应文件从召开磋商会议之日起，磋商</w:t>
            </w:r>
            <w:r>
              <w:rPr>
                <w:rFonts w:hint="eastAsia" w:ascii="宋体" w:hAnsi="宋体" w:eastAsia="宋体" w:cs="宋体"/>
                <w:sz w:val="24"/>
                <w:szCs w:val="24"/>
                <w:highlight w:val="none"/>
              </w:rPr>
              <w:t>有效期为90日历天。</w:t>
            </w:r>
          </w:p>
        </w:tc>
      </w:tr>
      <w:tr w14:paraId="387B0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35" w:type="dxa"/>
            <w:vAlign w:val="center"/>
          </w:tcPr>
          <w:p w14:paraId="3D2E06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10</w:t>
            </w:r>
          </w:p>
        </w:tc>
        <w:tc>
          <w:tcPr>
            <w:tcW w:w="8719" w:type="dxa"/>
            <w:vAlign w:val="center"/>
          </w:tcPr>
          <w:p w14:paraId="3681033E">
            <w:pPr>
              <w:keepNext w:val="0"/>
              <w:keepLines w:val="0"/>
              <w:pageBreakBefore w:val="0"/>
              <w:widowControl/>
              <w:kinsoku w:val="0"/>
              <w:wordWrap/>
              <w:overflowPunct/>
              <w:topLinePunct w:val="0"/>
              <w:autoSpaceDE w:val="0"/>
              <w:autoSpaceDN w:val="0"/>
              <w:bidi w:val="0"/>
              <w:adjustRightInd w:val="0"/>
              <w:snapToGrid w:val="0"/>
              <w:spacing w:before="147" w:line="360" w:lineRule="auto"/>
              <w:ind w:left="26" w:right="313" w:hanging="12"/>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踏勘现场：供应商可根据竞争性磋商文件的采购内容自行踏勘现场，由此引发</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的费用供应商自行承担，采购人不组织供应商踏勘现</w:t>
            </w:r>
            <w:r>
              <w:rPr>
                <w:rFonts w:hint="eastAsia" w:ascii="宋体" w:hAnsi="宋体" w:eastAsia="宋体" w:cs="宋体"/>
                <w:spacing w:val="1"/>
                <w:sz w:val="24"/>
                <w:szCs w:val="24"/>
                <w:highlight w:val="none"/>
              </w:rPr>
              <w:t>场。</w:t>
            </w:r>
          </w:p>
        </w:tc>
      </w:tr>
      <w:tr w14:paraId="4CFB8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635" w:type="dxa"/>
            <w:vAlign w:val="center"/>
          </w:tcPr>
          <w:p w14:paraId="33EA0A5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11</w:t>
            </w:r>
          </w:p>
        </w:tc>
        <w:tc>
          <w:tcPr>
            <w:tcW w:w="8719" w:type="dxa"/>
            <w:vAlign w:val="center"/>
          </w:tcPr>
          <w:p w14:paraId="42A97B26">
            <w:pPr>
              <w:keepNext w:val="0"/>
              <w:keepLines w:val="0"/>
              <w:pageBreakBefore w:val="0"/>
              <w:widowControl/>
              <w:kinsoku w:val="0"/>
              <w:wordWrap/>
              <w:overflowPunct/>
              <w:topLinePunct w:val="0"/>
              <w:autoSpaceDE w:val="0"/>
              <w:autoSpaceDN w:val="0"/>
              <w:bidi w:val="0"/>
              <w:adjustRightInd w:val="0"/>
              <w:snapToGrid w:val="0"/>
              <w:spacing w:before="148" w:line="360" w:lineRule="auto"/>
              <w:ind w:left="25"/>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资格证明文件：</w:t>
            </w:r>
          </w:p>
          <w:p w14:paraId="7FD7C5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（一）基本资格条件：符合《中华人民共和国政府采购法》第二十二条的规定。</w:t>
            </w:r>
          </w:p>
          <w:p w14:paraId="733485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（二）特定的资格条件：</w:t>
            </w:r>
          </w:p>
          <w:p w14:paraId="7CF74A9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rPr>
            </w:pPr>
            <w:r>
              <w:rPr>
                <w:rFonts w:hint="eastAsia" w:ascii="宋体" w:hAnsi="宋体" w:eastAsia="宋体" w:cs="宋体"/>
                <w:highlight w:val="none"/>
              </w:rPr>
              <w:t>（1）具有独立承担民事责任能力的法人、其他组织或自然人，并出具合法有效的营业执照或事业单位法人证书等国家规定的相关证明，自然人参与的提供其身份证明；</w:t>
            </w:r>
          </w:p>
          <w:p w14:paraId="4AF824B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rPr>
            </w:pPr>
            <w:r>
              <w:rPr>
                <w:rFonts w:hint="eastAsia" w:ascii="宋体" w:hAnsi="宋体" w:eastAsia="宋体" w:cs="宋体"/>
                <w:highlight w:val="none"/>
              </w:rPr>
              <w:t>（2）财务状况报告：提供 202</w:t>
            </w:r>
            <w:r>
              <w:rPr>
                <w:rFonts w:hint="eastAsia" w:ascii="宋体" w:hAnsi="宋体" w:eastAsia="宋体" w:cs="宋体"/>
                <w:highlight w:val="none"/>
                <w:lang w:val="en-US" w:eastAsia="zh-CN"/>
              </w:rPr>
              <w:t>4</w:t>
            </w:r>
            <w:r>
              <w:rPr>
                <w:rFonts w:hint="eastAsia" w:ascii="宋体" w:hAnsi="宋体" w:eastAsia="宋体" w:cs="宋体"/>
                <w:highlight w:val="none"/>
              </w:rPr>
              <w:t xml:space="preserve"> 年度完整的赋码财务审计报告；成立时间至提交 响应文件截止时间不足一年的可提供成立后其基本存款账户出具的资信证明；</w:t>
            </w:r>
          </w:p>
          <w:p w14:paraId="47375F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rPr>
            </w:pPr>
            <w:r>
              <w:rPr>
                <w:rFonts w:hint="eastAsia" w:ascii="宋体" w:hAnsi="宋体" w:eastAsia="宋体" w:cs="宋体"/>
                <w:highlight w:val="none"/>
              </w:rPr>
              <w:t>（3）社会保障资金缴纳证明：提供 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ascii="宋体" w:hAnsi="宋体" w:eastAsia="宋体" w:cs="宋体"/>
                <w:highlight w:val="none"/>
                <w:lang w:val="en-US" w:eastAsia="zh-CN"/>
              </w:rPr>
              <w:t xml:space="preserve"> 8 </w:t>
            </w:r>
            <w:r>
              <w:rPr>
                <w:rFonts w:hint="eastAsia" w:ascii="宋体" w:hAnsi="宋体" w:eastAsia="宋体" w:cs="宋体"/>
                <w:highlight w:val="none"/>
              </w:rPr>
              <w:t>月至今至少 1 个月已缴纳的社会保障资金缴存单据或社保机构开具的社会保险参保缴费情况证明，依法不需要缴纳社会保障资金的单位应提供相关证明材料；</w:t>
            </w:r>
          </w:p>
          <w:p w14:paraId="2B7D44B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rPr>
            </w:pPr>
            <w:r>
              <w:rPr>
                <w:rFonts w:hint="eastAsia" w:ascii="宋体" w:hAnsi="宋体" w:eastAsia="宋体" w:cs="宋体"/>
                <w:highlight w:val="none"/>
              </w:rPr>
              <w:t>（4）税收缴纳证明：提供 202</w:t>
            </w:r>
            <w:r>
              <w:rPr>
                <w:rFonts w:hint="eastAsia" w:ascii="宋体" w:hAnsi="宋体" w:eastAsia="宋体" w:cs="宋体"/>
                <w:highlight w:val="none"/>
                <w:lang w:val="en-US" w:eastAsia="zh-CN"/>
              </w:rPr>
              <w:t>4</w:t>
            </w:r>
            <w:r>
              <w:rPr>
                <w:rFonts w:hint="eastAsia" w:ascii="宋体" w:hAnsi="宋体" w:eastAsia="宋体" w:cs="宋体"/>
                <w:highlight w:val="none"/>
              </w:rPr>
              <w:t xml:space="preserve"> 年</w:t>
            </w:r>
            <w:r>
              <w:rPr>
                <w:rFonts w:hint="eastAsia" w:ascii="宋体" w:hAnsi="宋体" w:eastAsia="宋体" w:cs="宋体"/>
                <w:highlight w:val="none"/>
                <w:lang w:val="en-US" w:eastAsia="zh-CN"/>
              </w:rPr>
              <w:t xml:space="preserve"> 8 </w:t>
            </w:r>
            <w:r>
              <w:rPr>
                <w:rFonts w:hint="eastAsia" w:ascii="宋体" w:hAnsi="宋体" w:eastAsia="宋体" w:cs="宋体"/>
                <w:highlight w:val="none"/>
              </w:rPr>
              <w:t>月至今至少 1 个月已缴纳的纳税证明（银行缴费凭证）或完税证明，依法免税的单位应提供相关证明材料；</w:t>
            </w:r>
          </w:p>
          <w:p w14:paraId="21EF3A0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rPr>
            </w:pPr>
            <w:r>
              <w:rPr>
                <w:rFonts w:hint="eastAsia" w:ascii="宋体" w:hAnsi="宋体" w:eastAsia="宋体" w:cs="宋体"/>
                <w:highlight w:val="none"/>
              </w:rPr>
              <w:t>（5）书面声明：参加本次政府采购活动前三年内在经营活动中没有重大违法记录声明函；</w:t>
            </w:r>
          </w:p>
          <w:p w14:paraId="0E8E95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rPr>
            </w:pPr>
            <w:r>
              <w:rPr>
                <w:rFonts w:hint="eastAsia" w:ascii="宋体" w:hAnsi="宋体" w:eastAsia="宋体" w:cs="宋体"/>
                <w:highlight w:val="none"/>
              </w:rPr>
              <w:t>（6）提供具有履行合同所必需的设备和专业技术能力的承诺函；</w:t>
            </w:r>
          </w:p>
          <w:p w14:paraId="2D0A659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rPr>
            </w:pPr>
            <w:r>
              <w:rPr>
                <w:rFonts w:hint="eastAsia" w:ascii="宋体" w:hAnsi="宋体" w:eastAsia="宋体" w:cs="宋体"/>
                <w:highlight w:val="none"/>
              </w:rPr>
              <w:t>（7）法定代表人直接参加</w:t>
            </w:r>
            <w:r>
              <w:rPr>
                <w:rFonts w:hint="eastAsia" w:ascii="宋体" w:hAnsi="宋体" w:eastAsia="宋体" w:cs="宋体"/>
                <w:highlight w:val="none"/>
                <w:lang w:val="en-US" w:eastAsia="zh-CN"/>
              </w:rPr>
              <w:t>响应</w:t>
            </w:r>
            <w:r>
              <w:rPr>
                <w:rFonts w:hint="eastAsia" w:ascii="宋体" w:hAnsi="宋体" w:eastAsia="宋体" w:cs="宋体"/>
                <w:highlight w:val="none"/>
              </w:rPr>
              <w:t>，须出具法定代表人身份证明；法定代表人授权代表参加</w:t>
            </w:r>
            <w:r>
              <w:rPr>
                <w:rFonts w:hint="eastAsia" w:ascii="宋体" w:hAnsi="宋体" w:eastAsia="宋体" w:cs="宋体"/>
                <w:highlight w:val="none"/>
                <w:lang w:val="en-US" w:eastAsia="zh-CN"/>
              </w:rPr>
              <w:t>响应</w:t>
            </w:r>
            <w:r>
              <w:rPr>
                <w:rFonts w:hint="eastAsia" w:ascii="宋体" w:hAnsi="宋体" w:eastAsia="宋体" w:cs="宋体"/>
                <w:highlight w:val="none"/>
              </w:rPr>
              <w:t>，须出具法定代表人授权书；</w:t>
            </w:r>
          </w:p>
          <w:p w14:paraId="5FF0A1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供应商</w:t>
            </w:r>
            <w:r>
              <w:rPr>
                <w:rFonts w:hint="eastAsia" w:ascii="宋体" w:hAnsi="宋体" w:eastAsia="宋体" w:cs="宋体"/>
                <w:highlight w:val="none"/>
              </w:rPr>
              <w:t>须具备有效的行业行政主管部门颁发的测绘乙级及以上资质</w:t>
            </w:r>
            <w:r>
              <w:rPr>
                <w:rFonts w:hint="eastAsia" w:ascii="宋体" w:hAnsi="宋体" w:eastAsia="宋体" w:cs="宋体"/>
                <w:highlight w:val="none"/>
                <w:lang w:eastAsia="zh-CN"/>
              </w:rPr>
              <w:t>；</w:t>
            </w:r>
          </w:p>
          <w:p w14:paraId="23D218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9</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本项目拟派项目负责人须具备相关专业中级及以上职称；</w:t>
            </w:r>
          </w:p>
          <w:p w14:paraId="1B692D2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10</w:t>
            </w:r>
            <w:r>
              <w:rPr>
                <w:rFonts w:hint="eastAsia" w:ascii="宋体" w:hAnsi="宋体" w:eastAsia="宋体" w:cs="宋体"/>
                <w:highlight w:val="none"/>
                <w:lang w:eastAsia="zh-CN"/>
              </w:rPr>
              <w:t>）</w:t>
            </w:r>
            <w:r>
              <w:rPr>
                <w:rFonts w:hint="eastAsia" w:ascii="宋体" w:hAnsi="宋体" w:eastAsia="宋体" w:cs="宋体"/>
                <w:highlight w:val="none"/>
              </w:rPr>
              <w:t>自主上报信用承诺书：</w:t>
            </w:r>
            <w:r>
              <w:rPr>
                <w:rFonts w:hint="eastAsia" w:ascii="宋体" w:hAnsi="宋体" w:eastAsia="宋体" w:cs="宋体"/>
                <w:highlight w:val="none"/>
                <w:lang w:eastAsia="zh-CN"/>
              </w:rPr>
              <w:t>供应商</w:t>
            </w:r>
            <w:r>
              <w:rPr>
                <w:rFonts w:hint="eastAsia" w:ascii="宋体" w:hAnsi="宋体" w:eastAsia="宋体" w:cs="宋体"/>
                <w:highlight w:val="none"/>
              </w:rPr>
              <w:t>及委托代理人员应在“信用中国（陕西榆林）”网站(www.ylcredit.gov.cn)进行注册、登录、自主上报信用承诺书，包括：供应商信用承诺书</w:t>
            </w:r>
            <w:r>
              <w:rPr>
                <w:rFonts w:hint="eastAsia" w:ascii="宋体" w:hAnsi="宋体" w:eastAsia="宋体" w:cs="宋体"/>
                <w:highlight w:val="none"/>
                <w:lang w:eastAsia="zh-CN"/>
              </w:rPr>
              <w:t>、信用（保证金）承诺书、榆林市政府采购服务类项目供应商信用承诺书</w:t>
            </w:r>
            <w:r>
              <w:rPr>
                <w:rFonts w:hint="eastAsia" w:ascii="宋体" w:hAnsi="宋体" w:eastAsia="宋体" w:cs="宋体"/>
                <w:highlight w:val="none"/>
              </w:rPr>
              <w:t>、法定代表人或委托代理人员信用承诺书</w:t>
            </w:r>
            <w:r>
              <w:rPr>
                <w:rFonts w:hint="eastAsia" w:ascii="宋体" w:hAnsi="宋体" w:eastAsia="宋体" w:cs="宋体"/>
                <w:highlight w:val="none"/>
                <w:lang w:eastAsia="zh-CN"/>
              </w:rPr>
              <w:t>；</w:t>
            </w:r>
            <w:r>
              <w:rPr>
                <w:rFonts w:hint="eastAsia" w:ascii="宋体" w:hAnsi="宋体" w:eastAsia="宋体" w:cs="宋体"/>
                <w:highlight w:val="none"/>
              </w:rPr>
              <w:t>（具体操作格式及要求详见</w:t>
            </w:r>
            <w:r>
              <w:rPr>
                <w:rFonts w:hint="eastAsia" w:ascii="宋体" w:hAnsi="宋体" w:eastAsia="宋体" w:cs="宋体"/>
                <w:highlight w:val="none"/>
                <w:lang w:val="en-US" w:eastAsia="zh-CN"/>
              </w:rPr>
              <w:t>竞争性磋商</w:t>
            </w:r>
            <w:r>
              <w:rPr>
                <w:rFonts w:hint="eastAsia" w:ascii="宋体" w:hAnsi="宋体" w:eastAsia="宋体" w:cs="宋体"/>
                <w:highlight w:val="none"/>
              </w:rPr>
              <w:t>文件）</w:t>
            </w:r>
          </w:p>
          <w:p w14:paraId="6D078C8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11</w:t>
            </w:r>
            <w:r>
              <w:rPr>
                <w:rFonts w:hint="eastAsia" w:ascii="宋体" w:hAnsi="宋体" w:eastAsia="宋体" w:cs="宋体"/>
                <w:highlight w:val="none"/>
                <w:lang w:eastAsia="zh-CN"/>
              </w:rPr>
              <w:t>）供应商</w:t>
            </w:r>
            <w:r>
              <w:rPr>
                <w:rFonts w:hint="eastAsia" w:ascii="宋体" w:hAnsi="宋体" w:eastAsia="宋体" w:cs="宋体"/>
                <w:highlight w:val="none"/>
              </w:rPr>
              <w:t>不得被列入“中国执行信息公开网”（http://zxgk.court.gov.cn）失信被执行人，不得被列入“信用中国”网站（www.creditchina.gov.cn）重大税收违法失信主体，不得被列入“中国政府采购网”（www.ccgp.gov.cn）政府采购严重违法失信行为记录名单；（处罚期限届满的除外，如相关失信记录已失效，</w:t>
            </w:r>
            <w:r>
              <w:rPr>
                <w:rFonts w:hint="eastAsia" w:ascii="宋体" w:hAnsi="宋体" w:eastAsia="宋体" w:cs="宋体"/>
                <w:highlight w:val="none"/>
                <w:lang w:eastAsia="zh-CN"/>
              </w:rPr>
              <w:t>供应商</w:t>
            </w:r>
            <w:r>
              <w:rPr>
                <w:rFonts w:hint="eastAsia" w:ascii="宋体" w:hAnsi="宋体" w:eastAsia="宋体" w:cs="宋体"/>
                <w:highlight w:val="none"/>
              </w:rPr>
              <w:t>需提供相关证明资料），须提供中国执行信息公开网、信用中国及中国政府采购网相应查询结果的网站截图；</w:t>
            </w:r>
          </w:p>
          <w:p w14:paraId="54BEDE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12</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本项目专门面向中小企业，供应商应填写中小企业（监狱企业）声明函并对其真实性负责；</w:t>
            </w:r>
          </w:p>
          <w:p w14:paraId="32684A2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13</w:t>
            </w:r>
            <w:r>
              <w:rPr>
                <w:rFonts w:hint="eastAsia" w:ascii="宋体" w:hAnsi="宋体" w:eastAsia="宋体" w:cs="宋体"/>
                <w:highlight w:val="none"/>
                <w:lang w:eastAsia="zh-CN"/>
              </w:rPr>
              <w:t>）本项目不接受联合体投标、不允许分包、转包，单位负责人为同一人或者存在直</w:t>
            </w:r>
            <w:r>
              <w:rPr>
                <w:rFonts w:hint="eastAsia" w:ascii="宋体" w:hAnsi="宋体" w:eastAsia="宋体" w:cs="宋体"/>
                <w:highlight w:val="none"/>
                <w:lang w:val="en-US" w:eastAsia="zh-CN"/>
              </w:rPr>
              <w:t>接控股、管理关系的不同供应商，不得参加同一合同项下的政府采购活动。</w:t>
            </w:r>
          </w:p>
          <w:p w14:paraId="734A0F4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磋商开始后，由磋商小组对供应商的资格证明文件进行审查。未通过资格审查的供应商其响应文件将被视为无效。</w:t>
            </w:r>
          </w:p>
          <w:p w14:paraId="58F611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zCs w:val="24"/>
                <w:highlight w:val="none"/>
              </w:rPr>
            </w:pPr>
            <w:r>
              <w:rPr>
                <w:rFonts w:hint="eastAsia" w:ascii="宋体" w:hAnsi="宋体" w:eastAsia="宋体" w:cs="宋体"/>
                <w:highlight w:val="none"/>
              </w:rPr>
              <w:t>通过资格审查的供应商不足 3 家的，不得进行评审。</w:t>
            </w:r>
          </w:p>
        </w:tc>
      </w:tr>
      <w:tr w14:paraId="4F032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635" w:type="dxa"/>
            <w:vAlign w:val="center"/>
          </w:tcPr>
          <w:p w14:paraId="6851BE7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12</w:t>
            </w:r>
          </w:p>
        </w:tc>
        <w:tc>
          <w:tcPr>
            <w:tcW w:w="8719" w:type="dxa"/>
            <w:vAlign w:val="center"/>
          </w:tcPr>
          <w:p w14:paraId="4573040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zCs w:val="24"/>
                <w:highlight w:val="none"/>
              </w:rPr>
            </w:pPr>
            <w:r>
              <w:rPr>
                <w:rFonts w:hint="eastAsia" w:ascii="宋体" w:hAnsi="宋体" w:eastAsia="宋体" w:cs="宋体"/>
                <w:highlight w:val="none"/>
              </w:rPr>
              <w:t>根据陕财办会函〔2022〕55 号《陕西省财政厅关于启用会计师事务所审计报告“二维码 ”赋码查验功能的通知》2022 年 10月1日起，会计师事务所应出具赋码审计报告，使用者应接受和使用赋码审计报告。赋码审计报告电子版、黑白打印纸质版、彩色打印纸质版具有同等效力。</w:t>
            </w:r>
          </w:p>
        </w:tc>
      </w:tr>
      <w:tr w14:paraId="03890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5A1EFF0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13</w:t>
            </w:r>
          </w:p>
        </w:tc>
        <w:tc>
          <w:tcPr>
            <w:tcW w:w="8719" w:type="dxa"/>
            <w:vAlign w:val="center"/>
          </w:tcPr>
          <w:p w14:paraId="57BD6F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合同签订：成交供应商和采购人签订合同。</w:t>
            </w:r>
          </w:p>
        </w:tc>
      </w:tr>
      <w:tr w14:paraId="355E4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635" w:type="dxa"/>
            <w:vAlign w:val="center"/>
          </w:tcPr>
          <w:p w14:paraId="296B5C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14</w:t>
            </w:r>
          </w:p>
        </w:tc>
        <w:tc>
          <w:tcPr>
            <w:tcW w:w="8719" w:type="dxa"/>
            <w:vAlign w:val="center"/>
          </w:tcPr>
          <w:p w14:paraId="21EC5F0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其他：1、供应商对磋商文件有异议的，应当在响应截止时间前提出。</w:t>
            </w:r>
          </w:p>
          <w:p w14:paraId="5F9118C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2、当响应供应商不足三家时，按相关文件执行。</w:t>
            </w:r>
          </w:p>
        </w:tc>
      </w:tr>
      <w:tr w14:paraId="5DCD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223B8A1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15</w:t>
            </w:r>
          </w:p>
        </w:tc>
        <w:tc>
          <w:tcPr>
            <w:tcW w:w="8719" w:type="dxa"/>
            <w:vAlign w:val="center"/>
          </w:tcPr>
          <w:p w14:paraId="18CC411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是否电子标：是</w:t>
            </w:r>
          </w:p>
        </w:tc>
      </w:tr>
      <w:tr w14:paraId="1F7E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421D5C5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16</w:t>
            </w:r>
          </w:p>
        </w:tc>
        <w:tc>
          <w:tcPr>
            <w:tcW w:w="8719" w:type="dxa"/>
            <w:vAlign w:val="center"/>
          </w:tcPr>
          <w:p w14:paraId="2F05B31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本项目不接受联合体响应。</w:t>
            </w:r>
          </w:p>
        </w:tc>
      </w:tr>
      <w:tr w14:paraId="6AF8E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5" w:type="dxa"/>
            <w:vAlign w:val="center"/>
          </w:tcPr>
          <w:p w14:paraId="194F68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17</w:t>
            </w:r>
          </w:p>
        </w:tc>
        <w:tc>
          <w:tcPr>
            <w:tcW w:w="8719" w:type="dxa"/>
            <w:vAlign w:val="center"/>
          </w:tcPr>
          <w:p w14:paraId="7ED1B47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不允许提供备选方案。</w:t>
            </w:r>
          </w:p>
        </w:tc>
      </w:tr>
      <w:tr w14:paraId="51052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35" w:type="dxa"/>
            <w:vAlign w:val="center"/>
          </w:tcPr>
          <w:p w14:paraId="304F609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18</w:t>
            </w:r>
          </w:p>
        </w:tc>
        <w:tc>
          <w:tcPr>
            <w:tcW w:w="8719" w:type="dxa"/>
            <w:vAlign w:val="center"/>
          </w:tcPr>
          <w:p w14:paraId="06A5C9D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磋商报价轮次：多轮（响应文件中的报价为第一轮，召开不见面磋商会议现场为第二轮）</w:t>
            </w:r>
          </w:p>
          <w:p w14:paraId="2437FF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最后一轮报价时间：各供应商在 CA 锁上进行最后报价。</w:t>
            </w:r>
          </w:p>
        </w:tc>
      </w:tr>
      <w:tr w14:paraId="019C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35" w:type="dxa"/>
            <w:vAlign w:val="center"/>
          </w:tcPr>
          <w:p w14:paraId="3BD8DDF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19</w:t>
            </w:r>
          </w:p>
        </w:tc>
        <w:tc>
          <w:tcPr>
            <w:tcW w:w="8719" w:type="dxa"/>
            <w:vAlign w:val="center"/>
          </w:tcPr>
          <w:p w14:paraId="1FBCBF1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宋体" w:hAnsi="宋体" w:eastAsia="宋体" w:cs="宋体"/>
                <w:highlight w:val="none"/>
                <w:lang w:val="en-US" w:eastAsia="zh-CN"/>
              </w:rPr>
              <w:t xml:space="preserve"> </w:t>
            </w:r>
            <w:r>
              <w:rPr>
                <w:rFonts w:hint="eastAsia" w:ascii="宋体" w:hAnsi="宋体" w:eastAsia="宋体" w:cs="宋体"/>
                <w:highlight w:val="none"/>
              </w:rPr>
              <w:t>国办《关于促进中小企业健康发展的指导意见》、财政部</w:t>
            </w:r>
            <w:r>
              <w:rPr>
                <w:rFonts w:hint="eastAsia" w:ascii="宋体" w:hAnsi="宋体" w:eastAsia="宋体" w:cs="宋体"/>
                <w:highlight w:val="none"/>
                <w:lang w:val="en-US" w:eastAsia="zh-CN"/>
              </w:rPr>
              <w:t xml:space="preserve"> </w:t>
            </w:r>
            <w:r>
              <w:rPr>
                <w:rFonts w:hint="eastAsia" w:ascii="宋体" w:hAnsi="宋体" w:eastAsia="宋体" w:cs="宋体"/>
                <w:highlight w:val="none"/>
              </w:rPr>
              <w:t>工信部《政府采购促进中小企业发展</w:t>
            </w:r>
            <w:r>
              <w:rPr>
                <w:rFonts w:hint="eastAsia" w:ascii="宋体" w:hAnsi="宋体" w:eastAsia="宋体" w:cs="宋体"/>
                <w:highlight w:val="none"/>
                <w:lang w:val="en-US" w:eastAsia="zh-CN"/>
              </w:rPr>
              <w:t>管理</w:t>
            </w:r>
            <w:r>
              <w:rPr>
                <w:rFonts w:hint="eastAsia" w:ascii="宋体" w:hAnsi="宋体" w:eastAsia="宋体" w:cs="宋体"/>
                <w:highlight w:val="none"/>
              </w:rPr>
              <w:t>办法》（财库〔20</w:t>
            </w:r>
            <w:r>
              <w:rPr>
                <w:rFonts w:hint="eastAsia" w:ascii="宋体" w:hAnsi="宋体" w:eastAsia="宋体" w:cs="宋体"/>
                <w:highlight w:val="none"/>
                <w:lang w:val="en-US" w:eastAsia="zh-CN"/>
              </w:rPr>
              <w:t>20</w:t>
            </w:r>
            <w:r>
              <w:rPr>
                <w:rFonts w:hint="eastAsia" w:ascii="宋体" w:hAnsi="宋体" w:eastAsia="宋体" w:cs="宋体"/>
                <w:highlight w:val="none"/>
              </w:rPr>
              <w:t>〕</w:t>
            </w:r>
            <w:r>
              <w:rPr>
                <w:rFonts w:hint="eastAsia" w:ascii="宋体" w:hAnsi="宋体" w:eastAsia="宋体" w:cs="宋体"/>
                <w:highlight w:val="none"/>
                <w:lang w:val="en-US" w:eastAsia="zh-CN"/>
              </w:rPr>
              <w:t>46</w:t>
            </w:r>
            <w:r>
              <w:rPr>
                <w:rFonts w:hint="eastAsia" w:ascii="宋体" w:hAnsi="宋体" w:eastAsia="宋体" w:cs="宋体"/>
                <w:highlight w:val="none"/>
              </w:rPr>
              <w:t>号）、《陕西省中小企业政府采购信用融资办法》（陕财办采〔2018〕23号）、《陕西省财政厅关于加快推进我省中小企业政府采购信用融资工作的通知》（陕财办采〔2020〕15号）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《陕西省财政厅 中国人民银行西安分行关于深入推进政府采购信用融资业务的通知》</w:t>
            </w:r>
            <w:r>
              <w:rPr>
                <w:rFonts w:hint="eastAsia" w:ascii="宋体" w:hAnsi="宋体" w:eastAsia="宋体" w:cs="宋体"/>
                <w:highlight w:val="none"/>
              </w:rPr>
              <w:t>（陕财办采〔202</w:t>
            </w:r>
            <w:r>
              <w:rPr>
                <w:rFonts w:hint="eastAsia" w:ascii="宋体" w:hAnsi="宋体" w:eastAsia="宋体" w:cs="宋体"/>
                <w:highlight w:val="none"/>
                <w:lang w:val="en-US" w:eastAsia="zh-CN"/>
              </w:rPr>
              <w:t>3</w:t>
            </w:r>
            <w:r>
              <w:rPr>
                <w:rFonts w:hint="eastAsia" w:ascii="宋体" w:hAnsi="宋体" w:eastAsia="宋体" w:cs="宋体"/>
                <w:highlight w:val="none"/>
              </w:rPr>
              <w:t>〕5号）等有关规定，按照</w:t>
            </w:r>
            <w:r>
              <w:rPr>
                <w:rFonts w:hint="eastAsia" w:ascii="宋体" w:hAnsi="宋体" w:eastAsia="宋体" w:cs="宋体"/>
                <w:highlight w:val="none"/>
                <w:lang w:val="en-US" w:eastAsia="zh-CN"/>
              </w:rPr>
              <w:t>政府</w:t>
            </w:r>
            <w:r>
              <w:rPr>
                <w:rFonts w:hint="eastAsia" w:ascii="宋体" w:hAnsi="宋体" w:eastAsia="宋体" w:cs="宋体"/>
                <w:highlight w:val="none"/>
              </w:rPr>
              <w:t>引导、</w:t>
            </w:r>
            <w:r>
              <w:rPr>
                <w:rFonts w:hint="eastAsia" w:ascii="宋体" w:hAnsi="宋体" w:eastAsia="宋体" w:cs="宋体"/>
                <w:highlight w:val="none"/>
                <w:lang w:val="en-US" w:eastAsia="zh-CN"/>
              </w:rPr>
              <w:t>市场运作、银企</w:t>
            </w:r>
            <w:r>
              <w:rPr>
                <w:rFonts w:hint="eastAsia" w:ascii="宋体" w:hAnsi="宋体" w:eastAsia="宋体" w:cs="宋体"/>
                <w:highlight w:val="none"/>
              </w:rPr>
              <w:t>自愿、风险自担的原则，中标（成交）供应商可根据自身资金需求，登录陕西省政府采购信用融资平台（http://www.ccgp-shaanxi.gov.cn/zcdservice/zcd/shanxi/）</w:t>
            </w:r>
            <w:r>
              <w:rPr>
                <w:rFonts w:hint="eastAsia" w:ascii="宋体" w:hAnsi="宋体" w:eastAsia="宋体" w:cs="宋体"/>
                <w:highlight w:val="none"/>
                <w:lang w:val="en-US" w:eastAsia="zh-CN"/>
              </w:rPr>
              <w:t>或中征平台（https://www.crcrfsp.com）</w:t>
            </w:r>
            <w:r>
              <w:rPr>
                <w:rFonts w:hint="eastAsia" w:ascii="宋体" w:hAnsi="宋体" w:eastAsia="宋体" w:cs="宋体"/>
                <w:highlight w:val="none"/>
              </w:rPr>
              <w:t>在线申请，依法参加政府采购信用融资活动。</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1050"/>
              <w:gridCol w:w="1050"/>
              <w:gridCol w:w="1050"/>
              <w:gridCol w:w="1050"/>
              <w:gridCol w:w="1259"/>
              <w:gridCol w:w="1184"/>
              <w:gridCol w:w="1845"/>
            </w:tblGrid>
            <w:tr w14:paraId="77FCE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103" w:type="dxa"/>
                  <w:gridSpan w:val="8"/>
                  <w:tcBorders>
                    <w:top w:val="nil"/>
                    <w:left w:val="nil"/>
                    <w:bottom w:val="nil"/>
                    <w:right w:val="nil"/>
                  </w:tcBorders>
                  <w:noWrap/>
                  <w:vAlign w:val="center"/>
                </w:tcPr>
                <w:p w14:paraId="003BC0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52"/>
                      <w:szCs w:val="52"/>
                      <w:highlight w:val="none"/>
                      <w:u w:val="none"/>
                    </w:rPr>
                  </w:pPr>
                  <w:r>
                    <w:rPr>
                      <w:rFonts w:hint="eastAsia" w:ascii="宋体" w:hAnsi="宋体" w:eastAsia="宋体" w:cs="宋体"/>
                      <w:i w:val="0"/>
                      <w:iCs w:val="0"/>
                      <w:color w:val="000000"/>
                      <w:kern w:val="0"/>
                      <w:sz w:val="32"/>
                      <w:szCs w:val="32"/>
                      <w:highlight w:val="none"/>
                      <w:u w:val="none"/>
                      <w:lang w:val="en-US" w:eastAsia="zh-CN" w:bidi="ar"/>
                    </w:rPr>
                    <w:t>榆林市“政采贷”业务办理银行联系表</w:t>
                  </w:r>
                </w:p>
              </w:tc>
            </w:tr>
            <w:tr w14:paraId="36D5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08D898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C13B3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银行名称</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21355B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产品名称</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F9CE42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贷款额度</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5DDF62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贷款期限</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480239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贷款利率</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C826B3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办理时效</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C9B2D7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联系人</w:t>
                  </w:r>
                </w:p>
              </w:tc>
            </w:tr>
            <w:tr w14:paraId="77CE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63EDB3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47F8C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长安银行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9640F9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C2838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2AB78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E7EC4E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12FD4E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6C424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魏  众15109123951</w:t>
                  </w:r>
                </w:p>
              </w:tc>
            </w:tr>
            <w:tr w14:paraId="3D7FF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62442F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41F9F7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中信银行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0210F4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政采E贷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7B62C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CB229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4B68A8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3.45%起</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05D217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6AF1D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  明18992218795</w:t>
                  </w:r>
                </w:p>
              </w:tc>
            </w:tr>
            <w:tr w14:paraId="1331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1D899D7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398F8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光大银行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8323C9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57D2E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0812E8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4FAC7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7F3E3A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05D4B7B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艾思宇13509127997</w:t>
                  </w:r>
                </w:p>
              </w:tc>
            </w:tr>
            <w:tr w14:paraId="03F4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525F22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75A91C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交通银行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84F2D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秦政贷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2025F3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EB1ADF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1DFFDA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155C90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710618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  飞15291296886</w:t>
                  </w:r>
                </w:p>
              </w:tc>
            </w:tr>
            <w:tr w14:paraId="7CD0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37EECE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E87911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中国银行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7351A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7A04C5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8486DD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A0B5B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0C4B931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C5951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李  浩18691230007</w:t>
                  </w:r>
                </w:p>
              </w:tc>
            </w:tr>
            <w:tr w14:paraId="61FA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2F67C3C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66DAE5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招商银行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11F5A3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9910D5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319114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356900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3.45%起</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75B5E93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8AAB48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马  烨15596100007</w:t>
                  </w:r>
                </w:p>
              </w:tc>
            </w:tr>
            <w:tr w14:paraId="0CD4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B1057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D9363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浦发银行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0D44C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政采E贷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E27A3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AC76D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59ADC1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3.45%起</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7603C3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F71E5A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朱  君15629169158</w:t>
                  </w:r>
                </w:p>
              </w:tc>
            </w:tr>
            <w:tr w14:paraId="712A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54AD054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9D33DD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农商银行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A553F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96F26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989C11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19DCF93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3.45%-5.8%</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37BAFA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4EC5EF8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王  璐15529875056</w:t>
                  </w:r>
                </w:p>
              </w:tc>
            </w:tr>
            <w:tr w14:paraId="1C07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4EB78FB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D1E25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农业银行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37745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3DB60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46474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78388F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3.45%以上</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127E5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340115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米璐洁18966997666</w:t>
                  </w:r>
                </w:p>
              </w:tc>
            </w:tr>
            <w:tr w14:paraId="75FE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0DC374A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52C729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民生银行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BADDB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政采E贷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D22A1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01FE64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26B748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3.45%起</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B375F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13FE08E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郝双双15991225850</w:t>
                  </w:r>
                </w:p>
              </w:tc>
            </w:tr>
            <w:tr w14:paraId="4DB4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3AA5306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95F6A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兴业银行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EE322D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F81E8D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3B8336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1年期</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6CB3F7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09C45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074AD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薛万隆18709258523</w:t>
                  </w:r>
                </w:p>
              </w:tc>
            </w:tr>
            <w:tr w14:paraId="7CD0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247FBCC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8797DC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广发银行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575C1C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政采通</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429FA7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B58CA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4791456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3.45%起</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27BF215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2F6F9E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李思嘉15191820101</w:t>
                  </w:r>
                </w:p>
              </w:tc>
            </w:tr>
            <w:tr w14:paraId="26FF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33" w:type="dxa"/>
                  <w:tcBorders>
                    <w:top w:val="single" w:color="000000" w:sz="4" w:space="0"/>
                    <w:left w:val="single" w:color="000000" w:sz="4" w:space="0"/>
                    <w:bottom w:val="single" w:color="000000" w:sz="4" w:space="0"/>
                    <w:right w:val="single" w:color="000000" w:sz="4" w:space="0"/>
                  </w:tcBorders>
                  <w:noWrap/>
                  <w:vAlign w:val="center"/>
                </w:tcPr>
                <w:p w14:paraId="23FCEC2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0E6E1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建设银行</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486AA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E政通</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B0003D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4FCE90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1259" w:type="dxa"/>
                  <w:tcBorders>
                    <w:top w:val="single" w:color="000000" w:sz="4" w:space="0"/>
                    <w:left w:val="single" w:color="000000" w:sz="4" w:space="0"/>
                    <w:bottom w:val="single" w:color="000000" w:sz="4" w:space="0"/>
                    <w:right w:val="single" w:color="000000" w:sz="4" w:space="0"/>
                  </w:tcBorders>
                  <w:noWrap/>
                  <w:vAlign w:val="center"/>
                </w:tcPr>
                <w:p w14:paraId="061786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1184" w:type="dxa"/>
                  <w:tcBorders>
                    <w:top w:val="single" w:color="000000" w:sz="4" w:space="0"/>
                    <w:left w:val="single" w:color="000000" w:sz="4" w:space="0"/>
                    <w:bottom w:val="single" w:color="000000" w:sz="4" w:space="0"/>
                    <w:right w:val="single" w:color="000000" w:sz="4" w:space="0"/>
                  </w:tcBorders>
                  <w:noWrap/>
                  <w:vAlign w:val="center"/>
                </w:tcPr>
                <w:p w14:paraId="4440DF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845" w:type="dxa"/>
                  <w:tcBorders>
                    <w:top w:val="single" w:color="000000" w:sz="4" w:space="0"/>
                    <w:left w:val="single" w:color="000000" w:sz="4" w:space="0"/>
                    <w:bottom w:val="single" w:color="000000" w:sz="4" w:space="0"/>
                    <w:right w:val="single" w:color="000000" w:sz="4" w:space="0"/>
                  </w:tcBorders>
                  <w:noWrap/>
                  <w:vAlign w:val="center"/>
                </w:tcPr>
                <w:p w14:paraId="6E06937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 宇 15929397838</w:t>
                  </w:r>
                </w:p>
              </w:tc>
            </w:tr>
          </w:tbl>
          <w:p w14:paraId="36730B8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zCs w:val="24"/>
                <w:highlight w:val="none"/>
              </w:rPr>
            </w:pPr>
            <w:r>
              <w:rPr>
                <w:rFonts w:hint="eastAsia" w:ascii="宋体" w:hAnsi="宋体" w:eastAsia="宋体" w:cs="宋体"/>
                <w:szCs w:val="24"/>
                <w:highlight w:val="none"/>
                <w:lang w:val="en-US" w:eastAsia="zh-CN"/>
              </w:rPr>
              <w:t>备注：银行排名不分先后。如产品额度、期限、利率等内容发生改变，以银行解释为准。</w:t>
            </w:r>
          </w:p>
        </w:tc>
      </w:tr>
      <w:tr w14:paraId="378B5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635" w:type="dxa"/>
            <w:vAlign w:val="center"/>
          </w:tcPr>
          <w:p w14:paraId="18C9ACE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20</w:t>
            </w:r>
          </w:p>
        </w:tc>
        <w:tc>
          <w:tcPr>
            <w:tcW w:w="8719" w:type="dxa"/>
            <w:vAlign w:val="center"/>
          </w:tcPr>
          <w:p w14:paraId="42AC3D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信用承诺公示要求：</w:t>
            </w:r>
          </w:p>
          <w:p w14:paraId="1E5969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为深入贯彻信用体系建设的有关精神，根据市发改委《关于在工程招响应活 动中推行信用监管试点示范工作的通知》（榆政发改发〔2020〕329 号）和榆林市财政局《关于在政府采购活动中使用信用记录和信用报告以及开展承诺工作的通知》（榆政财采函〔2020〕9号）在工程建设和政府采购领域全面推行信用公开承诺制，进入公共资源交易平台的各方交易主体（响应单位、授权代表），均应在“信用中国（陕西榆林）”网站进行注册、登陆，自主上报信用承诺书（网址：https://credit.yl.gov.cn/），各相关交易主体注册、登陆后根据承诺事项选择相应的模板填写《信用承诺书》，并载明承诺事由。</w:t>
            </w:r>
          </w:p>
          <w:p w14:paraId="519E5D2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信用承诺操作相关事宜如下：</w:t>
            </w:r>
          </w:p>
          <w:p w14:paraId="6E465C4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（1）进入信用中国“陕西榆林”页面，点击信用承诺，右上角显示主动上报，在承诺事项选择相应的承诺事项，承诺事项的名称为原纸质版的标题名称。</w:t>
            </w:r>
          </w:p>
          <w:p w14:paraId="3A82A24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lang w:eastAsia="zh-CN"/>
              </w:rPr>
            </w:pPr>
            <w:r>
              <w:rPr>
                <w:rFonts w:hint="eastAsia" w:ascii="宋体" w:hAnsi="宋体" w:eastAsia="宋体" w:cs="宋体"/>
                <w:highlight w:val="none"/>
              </w:rPr>
              <w:t>（2）承诺时间为供应商下载磋商文件后（含当日）至响应文件递交截止时间前（不 含当日），承诺事由为“公共资源交易平台的所有活动、项目名称、项目编号”</w:t>
            </w:r>
            <w:r>
              <w:rPr>
                <w:rFonts w:hint="eastAsia" w:ascii="宋体" w:hAnsi="宋体" w:eastAsia="宋体" w:cs="宋体"/>
                <w:highlight w:val="none"/>
                <w:lang w:eastAsia="zh-CN"/>
              </w:rPr>
              <w:t>。</w:t>
            </w:r>
          </w:p>
          <w:p w14:paraId="210F0C8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lang w:eastAsia="zh-CN"/>
              </w:rPr>
            </w:pPr>
            <w:r>
              <w:rPr>
                <w:rFonts w:hint="eastAsia" w:ascii="宋体" w:hAnsi="宋体" w:eastAsia="宋体" w:cs="宋体"/>
                <w:b/>
                <w:bCs/>
                <w:highlight w:val="none"/>
              </w:rPr>
              <w:t>（3）供应商需上传以下信用承诺：供应商信用承诺书</w:t>
            </w:r>
            <w:r>
              <w:rPr>
                <w:rFonts w:hint="eastAsia" w:ascii="宋体" w:hAnsi="宋体" w:eastAsia="宋体" w:cs="宋体"/>
                <w:b/>
                <w:bCs/>
                <w:highlight w:val="none"/>
                <w:lang w:eastAsia="zh-CN"/>
              </w:rPr>
              <w:t>、信用（保证金）承诺书、榆林市政府采购服务类项目供应商信用承诺书</w:t>
            </w:r>
            <w:r>
              <w:rPr>
                <w:rFonts w:hint="eastAsia" w:ascii="宋体" w:hAnsi="宋体" w:eastAsia="宋体" w:cs="宋体"/>
                <w:b/>
                <w:bCs/>
                <w:highlight w:val="none"/>
              </w:rPr>
              <w:t>、法定代表人或委托代理人员信用承诺书</w:t>
            </w:r>
            <w:r>
              <w:rPr>
                <w:rFonts w:hint="eastAsia" w:ascii="宋体" w:hAnsi="宋体" w:eastAsia="宋体" w:cs="宋体"/>
                <w:b/>
                <w:bCs/>
                <w:highlight w:val="none"/>
                <w:lang w:eastAsia="zh-CN"/>
              </w:rPr>
              <w:t>；</w:t>
            </w:r>
            <w:r>
              <w:rPr>
                <w:rFonts w:hint="eastAsia" w:ascii="宋体" w:hAnsi="宋体" w:eastAsia="宋体" w:cs="宋体"/>
                <w:b/>
                <w:bCs/>
                <w:highlight w:val="none"/>
              </w:rPr>
              <w:t>（具体操作格式及要求详见</w:t>
            </w:r>
            <w:r>
              <w:rPr>
                <w:rFonts w:hint="eastAsia" w:ascii="宋体" w:hAnsi="宋体" w:eastAsia="宋体" w:cs="宋体"/>
                <w:b/>
                <w:bCs/>
                <w:highlight w:val="none"/>
                <w:lang w:val="en-US" w:eastAsia="zh-CN"/>
              </w:rPr>
              <w:t>竞争性磋商</w:t>
            </w:r>
            <w:r>
              <w:rPr>
                <w:rFonts w:hint="eastAsia" w:ascii="宋体" w:hAnsi="宋体" w:eastAsia="宋体" w:cs="宋体"/>
                <w:b/>
                <w:bCs/>
                <w:highlight w:val="none"/>
              </w:rPr>
              <w:t>文件）</w:t>
            </w:r>
            <w:r>
              <w:rPr>
                <w:rFonts w:hint="eastAsia" w:ascii="宋体" w:hAnsi="宋体" w:eastAsia="宋体" w:cs="宋体"/>
                <w:b/>
                <w:bCs/>
                <w:highlight w:val="none"/>
                <w:lang w:eastAsia="zh-CN"/>
              </w:rPr>
              <w:t>。</w:t>
            </w:r>
          </w:p>
          <w:p w14:paraId="34AFA9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（4）所有账号问题在政务网中咨询或拨打02987382893、029-87382894。</w:t>
            </w:r>
          </w:p>
          <w:p w14:paraId="7980D0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zCs w:val="24"/>
                <w:highlight w:val="none"/>
              </w:rPr>
            </w:pPr>
            <w:r>
              <w:rPr>
                <w:rFonts w:hint="eastAsia" w:ascii="宋体" w:hAnsi="宋体" w:eastAsia="宋体" w:cs="宋体"/>
                <w:highlight w:val="none"/>
              </w:rPr>
              <w:t>注：未按照上述要求办理，响应无效。</w:t>
            </w:r>
          </w:p>
        </w:tc>
      </w:tr>
      <w:tr w14:paraId="4B3A0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5" w:type="dxa"/>
            <w:vAlign w:val="center"/>
          </w:tcPr>
          <w:p w14:paraId="00D023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21</w:t>
            </w:r>
          </w:p>
        </w:tc>
        <w:tc>
          <w:tcPr>
            <w:tcW w:w="8719" w:type="dxa"/>
            <w:vAlign w:val="center"/>
          </w:tcPr>
          <w:p w14:paraId="330A23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特别提醒：</w:t>
            </w:r>
          </w:p>
          <w:p w14:paraId="6329F8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1、供应商须使用数字认证证书对电子化磋商响应文件进行签章、加密、递交及召开磋商会议时解密等相关磋商事宜。</w:t>
            </w:r>
          </w:p>
          <w:p w14:paraId="64DA5AF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2、制作电子响应文件 。供应商须在“全国公共资源交易中心平台（陕西省）（http://www.sxggzy jy.cn/）”的“服务指南”栏目“下载专区”中，免费下载“陕西省公共资源交易平台政府采购电子标书制作工具”及“政府采购 响应单位操作手册”，并使用该客户端制作电子响应文件，制作扩展名为“.SXSTF”的电子响应文件。</w:t>
            </w:r>
          </w:p>
          <w:p w14:paraId="6BE0CD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63360" behindDoc="1" locked="0" layoutInCell="1" allowOverlap="1">
                      <wp:simplePos x="0" y="0"/>
                      <wp:positionH relativeFrom="column">
                        <wp:posOffset>5864225</wp:posOffset>
                      </wp:positionH>
                      <wp:positionV relativeFrom="paragraph">
                        <wp:posOffset>655320</wp:posOffset>
                      </wp:positionV>
                      <wp:extent cx="180340" cy="107315"/>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0340" cy="107315"/>
                              </a:xfrm>
                              <a:prstGeom prst="rect">
                                <a:avLst/>
                              </a:prstGeom>
                              <a:noFill/>
                              <a:ln>
                                <a:noFill/>
                              </a:ln>
                            </wps:spPr>
                            <wps:txbx>
                              <w:txbxContent>
                                <w:p w14:paraId="6FF69307">
                                  <w:pPr>
                                    <w:pStyle w:val="5"/>
                                    <w:spacing w:before="20" w:line="128" w:lineRule="exact"/>
                                    <w:ind w:left="20"/>
                                    <w:rPr>
                                      <w:sz w:val="7"/>
                                      <w:szCs w:val="7"/>
                                    </w:rPr>
                                  </w:pPr>
                                  <w:r>
                                    <w:rPr>
                                      <w:spacing w:val="120"/>
                                      <w:w w:val="175"/>
                                      <w:sz w:val="7"/>
                                      <w:szCs w:val="7"/>
                                    </w:rPr>
                                    <w:t>”</w:t>
                                  </w:r>
                                </w:p>
                              </w:txbxContent>
                            </wps:txbx>
                            <wps:bodyPr lIns="0" tIns="0" rIns="0" bIns="0" upright="1"/>
                          </wps:wsp>
                        </a:graphicData>
                      </a:graphic>
                    </wp:anchor>
                  </w:drawing>
                </mc:Choice>
                <mc:Fallback>
                  <w:pict>
                    <v:shape id="文本框 9" o:spid="_x0000_s1026" o:spt="202" type="#_x0000_t202" style="position:absolute;left:0pt;margin-left:461.75pt;margin-top:51.6pt;height:8.45pt;width:14.2pt;z-index:-251653120;mso-width-relative:page;mso-height-relative:page;" filled="f" stroked="f" coordsize="21600,21600" o:gfxdata="UEsDBAoAAAAAAIdO4kAAAAAAAAAAAAAAAAAEAAAAZHJzL1BLAwQUAAAACACHTuJAxhTqZ9kAAAAL&#10;AQAADwAAAGRycy9kb3ducmV2LnhtbE2PTU/DMAyG70j8h8iTuLGknTbRrumEEJyQEF05cEwbr63W&#10;OKXJPvj3mBMc7ffR68fF7upGccY5DJ40JEsFAqn1dqBOw0f9cv8AIkRD1oyeUMM3BtiVtzeFya2/&#10;UIXnfewEl1DIjYY+ximXMrQ9OhOWfkLi7OBnZyKPcyftbC5c7kaZKrWRzgzEF3oz4VOP7XF/choe&#10;P6l6Hr7emvfqUA11nSl63Ry1vlskagsi4jX+wfCrz+pQslPjT2SDGDVk6WrNKAdqlYJgIlsnGYiG&#10;N6lKQJaF/P9D+QNQSwMEFAAAAAgAh07iQNzO15q5AQAAcQMAAA4AAABkcnMvZTJvRG9jLnhtbK1T&#10;zW4TMRC+I/UdLN+JN2kLZZVNJRQVISFAKjyA47Wzlvwnj5PdvEB5A05cuPNceQ7G3mwK5dIDF+94&#10;ZvzNfN/MLm8Ha8heRtDeNXQ+qyiRTvhWu21Dv365e3lDCSTuWm68kw09SKC3q4sXyz7UcuE7b1oZ&#10;CYI4qPvQ0C6lUDMGopOWw8wH6TCofLQ84TVuWRt5j+jWsEVVvWK9j22IXkgA9K7HID0hxucAeqW0&#10;kGsvdla6NKJGaXhCStDpAHRVulVKivRJKZCJmIYi01ROLIL2Jp9steT1NvLQaXFqgT+nhSecLNcO&#10;i56h1jxxsov6HyirRfTgVZoJb9lIpCiCLObVE23uOx5k4YJSQziLDv8PVnzcf45Etw1dUOK4xYEf&#10;v387/vh1/PlA3mR5+gA1Zt0HzEvDWz/g0kx+QGdmPaho8xf5EIyjuIezuHJIRORHN9XlFUYEhubV&#10;68v5dUZhj49DhPROekuy0dCIsyuS8v0HSGPqlJJrOX+njSnzM+4vB2JmD8udjx1mKw2b4URn49sD&#10;sjHvHSqZt2Iy4mRsJmMXot522E7hXCBxEqXv09bkUf95L4Uf/5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YU6mfZAAAACwEAAA8AAAAAAAAAAQAgAAAAIgAAAGRycy9kb3ducmV2LnhtbFBLAQIU&#10;ABQAAAAIAIdO4kDczteauQEAAHEDAAAOAAAAAAAAAAEAIAAAACgBAABkcnMvZTJvRG9jLnhtbFBL&#10;BQYAAAAABgAGAFkBAABTBQAAAAA=&#10;">
                      <v:fill on="f" focussize="0,0"/>
                      <v:stroke on="f"/>
                      <v:imagedata o:title=""/>
                      <o:lock v:ext="edit" aspectratio="f"/>
                      <v:textbox inset="0mm,0mm,0mm,0mm">
                        <w:txbxContent>
                          <w:p w14:paraId="6FF69307">
                            <w:pPr>
                              <w:pStyle w:val="5"/>
                              <w:spacing w:before="20" w:line="128" w:lineRule="exact"/>
                              <w:ind w:left="20"/>
                              <w:rPr>
                                <w:sz w:val="7"/>
                                <w:szCs w:val="7"/>
                              </w:rPr>
                            </w:pPr>
                            <w:r>
                              <w:rPr>
                                <w:spacing w:val="120"/>
                                <w:w w:val="175"/>
                                <w:sz w:val="7"/>
                                <w:szCs w:val="7"/>
                              </w:rPr>
                              <w:t>”</w:t>
                            </w:r>
                          </w:p>
                        </w:txbxContent>
                      </v:textbox>
                    </v:shape>
                  </w:pict>
                </mc:Fallback>
              </mc:AlternateContent>
            </w:r>
            <w:r>
              <w:rPr>
                <w:rFonts w:hint="eastAsia" w:ascii="宋体" w:hAnsi="宋体" w:eastAsia="宋体" w:cs="宋体"/>
                <w:highlight w:val="none"/>
              </w:rPr>
              <w:t>3、递交电子响应文件。登录陕西省公共资源交易中心平台（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"http://xxxq.sxggzyjy.cn/" </w:instrText>
            </w:r>
            <w:r>
              <w:rPr>
                <w:rFonts w:hint="eastAsia" w:ascii="宋体" w:hAnsi="宋体" w:eastAsia="宋体" w:cs="宋体"/>
                <w:highlight w:val="none"/>
              </w:rPr>
              <w:fldChar w:fldCharType="separate"/>
            </w:r>
            <w:r>
              <w:rPr>
                <w:rFonts w:hint="eastAsia" w:ascii="宋体" w:hAnsi="宋体" w:eastAsia="宋体" w:cs="宋体"/>
                <w:highlight w:val="none"/>
              </w:rPr>
              <w:t>http://xxxq.sxggzyjy.cn/</w:t>
            </w:r>
            <w:r>
              <w:rPr>
                <w:rFonts w:hint="eastAsia" w:ascii="宋体" w:hAnsi="宋体" w:eastAsia="宋体" w:cs="宋体"/>
                <w:highlight w:val="none"/>
              </w:rPr>
              <w:fldChar w:fldCharType="end"/>
            </w:r>
            <w:r>
              <w:rPr>
                <w:rFonts w:hint="eastAsia" w:ascii="宋体" w:hAnsi="宋体" w:eastAsia="宋体" w:cs="宋体"/>
                <w:highlight w:val="none"/>
              </w:rPr>
              <w:t>），选择“电子交易平台-陕西政府采购交易系统 -陕西省公共资源交易平台-供应商 ”进行登录，登录后选择“交易乙方身份进入，选择“上传磋商响应文件”菜单页面，上传加密的电子化响应文件。上传成功后，电子化平台将予以记录。</w:t>
            </w:r>
          </w:p>
          <w:p w14:paraId="163F4F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4、响应文件中所有涉及签字、盖章的，各响应单位须将所有签字盖章完成后上传。不见面开标注意事项：该项目将采取“不见面”开标的形式，供应商无须到达磋商会议现场，即可在网上直接参与活动。相关注意事项如下：</w:t>
            </w:r>
          </w:p>
          <w:p w14:paraId="713DA72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1）召开磋商会议当日，请各供应商在会议截止时间前至少提前半小时登录“不见面”开标系统登录方式有以下几种：IE浏览器输入网址： http://</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"111.20.184.126" </w:instrText>
            </w:r>
            <w:r>
              <w:rPr>
                <w:rFonts w:hint="eastAsia" w:ascii="宋体" w:hAnsi="宋体" w:eastAsia="宋体" w:cs="宋体"/>
                <w:highlight w:val="none"/>
              </w:rPr>
              <w:fldChar w:fldCharType="separate"/>
            </w:r>
            <w:r>
              <w:rPr>
                <w:rFonts w:hint="eastAsia" w:ascii="宋体" w:hAnsi="宋体" w:eastAsia="宋体" w:cs="宋体"/>
                <w:highlight w:val="none"/>
              </w:rPr>
              <w:t>111.20.184.126</w:t>
            </w:r>
            <w:r>
              <w:rPr>
                <w:rFonts w:hint="eastAsia" w:ascii="宋体" w:hAnsi="宋体" w:eastAsia="宋体" w:cs="宋体"/>
                <w:highlight w:val="none"/>
              </w:rPr>
              <w:fldChar w:fldCharType="end"/>
            </w:r>
            <w:r>
              <w:rPr>
                <w:rFonts w:hint="eastAsia" w:ascii="宋体" w:hAnsi="宋体" w:eastAsia="宋体" w:cs="宋体"/>
                <w:highlight w:val="none"/>
              </w:rPr>
              <w:t>:8084/BidOpeningHall/bidhall/dqxianyang/login；</w:t>
            </w:r>
          </w:p>
          <w:p w14:paraId="62850E6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2）在【全国公共资源交易平台（陕西省·榆林市）】网站首页点击不见面开标模块进入；</w:t>
            </w:r>
          </w:p>
          <w:p w14:paraId="06AF1D5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3）在【全国公共资源交易平台（陕西省）】网站首页点击不见面开标模块选择榆林市进入。</w:t>
            </w:r>
          </w:p>
          <w:p w14:paraId="03282CA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注：登录不见面开标系统请选择 IE11 浏览器</w:t>
            </w:r>
          </w:p>
          <w:p w14:paraId="051CFB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、供应商应按要求及时签到（签到时间为响应截止时间前1小时内，如果未签到将视为放弃响应资格），评审过程中，磋商小组成员可能会就某些问题要求供应商进行在线澄清，请供应商保持在线直到评审结束；</w:t>
            </w:r>
          </w:p>
          <w:p w14:paraId="3714807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、磋商会议进行过程中，供应商在收到工作人员“开始解密”指令后，请及时使用 CA 对电子竞争性磋商响应文件进行解密。解密时所用 CA 应与加密竞争性磋商响应文件时所用 CA 相同；注：解密时间为 30 分钟，在解密时间内供应商全部解密完成后，可提前进入会议下一阶段。</w:t>
            </w:r>
          </w:p>
          <w:p w14:paraId="1FA48BB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、相关技术问题，请咨询软件开发商：</w:t>
            </w:r>
          </w:p>
          <w:p w14:paraId="12F686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（1）技术支持热线：400-998-0000/400-928-0095</w:t>
            </w:r>
          </w:p>
          <w:p w14:paraId="7BAECE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pacing w:val="1"/>
                <w:szCs w:val="24"/>
                <w:highlight w:val="none"/>
              </w:rPr>
            </w:pPr>
            <w:r>
              <w:rPr>
                <w:rFonts w:hint="eastAsia" w:ascii="宋体" w:hAnsi="宋体" w:eastAsia="宋体" w:cs="宋体"/>
                <w:highlight w:val="none"/>
                <w:lang w:val="en-US" w:eastAsia="zh-CN"/>
              </w:rPr>
              <w:t>8</w:t>
            </w:r>
            <w:r>
              <w:rPr>
                <w:rFonts w:hint="eastAsia" w:ascii="宋体" w:hAnsi="宋体" w:eastAsia="宋体" w:cs="宋体"/>
                <w:highlight w:val="none"/>
              </w:rPr>
              <w:t>、榆林不见面开标系统操作手册下载方式：登录【全国公共资源交易平台（陕西省 ·榆林市）】网站首页选择【服务指南】-【下载专区】-点击【</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"http://yl.sxggzyjy.cn/BigFileUpLoadStorage/temp/2021-12-10/2583610f-1c5d-49b2-a314-0c1c4faeec6a/%E6%A6%86%E6%9E%97%E4%B8%8D%E8%A7%81%E9%9D%A2%E5%BC%80%E6%A0%87%E5%A4%A7%E5%8E%85%E6%93%8D%E4%BD%9C%E6%89%8B%E5%86%8C%EF%BC%88%E6%8A%95%E6%A0%87%E4%BA%BA%EF%BC%89.docx" </w:instrText>
            </w:r>
            <w:r>
              <w:rPr>
                <w:rFonts w:hint="eastAsia" w:ascii="宋体" w:hAnsi="宋体" w:eastAsia="宋体" w:cs="宋体"/>
                <w:highlight w:val="none"/>
              </w:rPr>
              <w:fldChar w:fldCharType="separate"/>
            </w:r>
            <w:r>
              <w:rPr>
                <w:rFonts w:hint="eastAsia" w:ascii="宋体" w:hAnsi="宋体" w:eastAsia="宋体" w:cs="宋体"/>
                <w:highlight w:val="none"/>
              </w:rPr>
              <w:t>榆林</w:t>
            </w:r>
            <w:r>
              <w:rPr>
                <w:rFonts w:hint="eastAsia" w:ascii="宋体" w:hAnsi="宋体" w:eastAsia="宋体" w:cs="宋体"/>
                <w:highlight w:val="none"/>
              </w:rPr>
              <w:fldChar w:fldCharType="end"/>
            </w:r>
            <w:r>
              <w:rPr>
                <w:rFonts w:hint="eastAsia" w:ascii="宋体" w:hAnsi="宋体" w:eastAsia="宋体" w:cs="宋体"/>
                <w:highlight w:val="none"/>
              </w:rPr>
              <w:t>不见面开标系统操作手册（响应人）】进行下载。</w:t>
            </w:r>
          </w:p>
        </w:tc>
      </w:tr>
      <w:tr w14:paraId="31D65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5" w:type="dxa"/>
            <w:vAlign w:val="center"/>
          </w:tcPr>
          <w:p w14:paraId="49D4BC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22</w:t>
            </w:r>
          </w:p>
        </w:tc>
        <w:tc>
          <w:tcPr>
            <w:tcW w:w="8719" w:type="dxa"/>
            <w:vAlign w:val="center"/>
          </w:tcPr>
          <w:p w14:paraId="7CF0EA4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废标条款：</w:t>
            </w:r>
          </w:p>
          <w:p w14:paraId="7FC376C6">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实质上没有响应竞争性磋商文件要求的，将按无效响应处理。供应商不得通过修正或撤销不合要求的偏离从而使其响应成为实质性响应。如发现下列情况之一的，其响应将构成非实质性响应，按无效响应处理：</w:t>
            </w:r>
          </w:p>
          <w:p w14:paraId="4FC29C7C">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1）供应商的响应报价超过采购预算或者最高限价的；</w:t>
            </w:r>
          </w:p>
          <w:p w14:paraId="40E9043F">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2）竞争性磋商响应文件未按竞争性磋商文件要求签署、盖章的；</w:t>
            </w:r>
          </w:p>
          <w:p w14:paraId="28F6A11C">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3）不具备竞争性磋商文件中规定的资格要求的，或不符合国家规定的；</w:t>
            </w:r>
          </w:p>
          <w:p w14:paraId="6DD09B1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4）响应文件无供应商鲜章、无法定代表人或授权人签章或签章人无法定代表人/单位负责人有效委托书的；</w:t>
            </w:r>
          </w:p>
          <w:p w14:paraId="5BC7AE2C">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5）竞争性磋商响应文件未按竞争性磋商文件的要求编写；</w:t>
            </w:r>
          </w:p>
          <w:p w14:paraId="03387566">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6）无响应有效期或有效期达不到竞争性磋商文件要求的；</w:t>
            </w:r>
          </w:p>
          <w:p w14:paraId="31CD3E36">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7）供应商针对同一项目递交两份或多份内容不同的竞争性磋商响应文件，未书面声明哪一份是有效的或出现选择性报价的；</w:t>
            </w:r>
          </w:p>
          <w:p w14:paraId="21205723">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8）竞争性磋商响应文件存在有缺漏项；</w:t>
            </w:r>
          </w:p>
          <w:p w14:paraId="0E1F69F3">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9）供应商有串通投标、以他人名义投标、弄虚作假、行贿等违法行为的；</w:t>
            </w:r>
          </w:p>
          <w:p w14:paraId="55A19C88">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10）竞争性磋商响应文件实质性内容不满足或未响应的（包括但不限于：交货安装期、质保期、付款方式等）；</w:t>
            </w:r>
          </w:p>
          <w:p w14:paraId="296F53CC">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11）供应商未经过正常渠道获取竞争性磋商文件，或供应商名称与获取竞争性磋商文件时登记的供应商名称不符的；</w:t>
            </w:r>
          </w:p>
          <w:p w14:paraId="20EA6FB8">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12）存在单位负责人为同一人或者存在直接控股、管理关系的不同供应商，参加本项目政府采购活动；</w:t>
            </w:r>
          </w:p>
          <w:p w14:paraId="0E2AADB1">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13）竞争性磋商响应文件含有采购人不能接受的附加条件的；</w:t>
            </w:r>
          </w:p>
          <w:p w14:paraId="008D66D0">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14）逾期提交电子竞争性磋商响应文件；</w:t>
            </w:r>
          </w:p>
          <w:p w14:paraId="39C935D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15）供应商未在响应截止时间前进行签到；</w:t>
            </w:r>
          </w:p>
          <w:p w14:paraId="195AEFD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16）提交的竞争性磋商响应文件与本项目不相符；</w:t>
            </w:r>
          </w:p>
          <w:p w14:paraId="55E7549C">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17）供应商拒绝对电子竞争性磋商响应文件进行解密；</w:t>
            </w:r>
          </w:p>
          <w:p w14:paraId="7F8E83D0">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18）未在规定的时间内对电子竞争性磋商响应文件进行解密成功的；</w:t>
            </w:r>
          </w:p>
          <w:p w14:paraId="02C13B4E">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19）供应商因未带CA锁、或所带CA锁与制作电子竞争性磋商响应文件使用的CA锁不一致、或沿用旧版编制竞争性磋商响应文件等情形，导致在规定时间内无法解密竞争性磋商响应文件；</w:t>
            </w:r>
          </w:p>
          <w:p w14:paraId="24526DF8">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20）上传的电子竞争性磋商响应文件无法打开；</w:t>
            </w:r>
          </w:p>
          <w:p w14:paraId="7A3C454F">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21）法律、法规和竞争性磋商文件规定的其他情形；</w:t>
            </w:r>
          </w:p>
          <w:p w14:paraId="79BBA53A">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22）评标委员会认为供应商的报价明显低于其他通过符合性审查供应商的报价，或者其报价有可能影响产品质量或者不能诚信履约的，应当要求其在评标现场合理的时间内提供书面说明，必要时递交相关证明材料；供应商不能证明其报价合理性的，评标委员会应当将其作为无效响应处理。</w:t>
            </w:r>
          </w:p>
          <w:p w14:paraId="5272FB1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有下列情形之一的，视为供应商串通投标，其响应无效：</w:t>
            </w:r>
          </w:p>
          <w:p w14:paraId="447AC65F">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1.不同供应商的竞争性磋商响应文件由同一单位或者个人编制；</w:t>
            </w:r>
          </w:p>
          <w:p w14:paraId="3475141E">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2.不同供应商委托同一单位或者个人办理投标事宜；</w:t>
            </w:r>
          </w:p>
          <w:p w14:paraId="442E15C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3.不同供应商的竞争性磋商响应文件载明的项目管理成员或者联系人员为同一人；</w:t>
            </w:r>
          </w:p>
          <w:p w14:paraId="6C700CCB">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4.不同供应商的竞争性磋商响应文件异常一致或者响应报价呈规律性差异；</w:t>
            </w:r>
          </w:p>
          <w:p w14:paraId="415F45AE">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5.不同供应商的竞争性磋商响应文件相互混装；</w:t>
            </w:r>
          </w:p>
          <w:p w14:paraId="4B953D59">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6.竞争性磋商响应文件的详细评审</w:t>
            </w:r>
          </w:p>
          <w:p w14:paraId="4A4533F0">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7.评标委员会将按照本须知规定，只对确定为实质性响应竞争性磋商文件要求的响应进行详细评审。</w:t>
            </w:r>
          </w:p>
          <w:p w14:paraId="6DDA3851">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8.详细评审按照第六章“评标方法”的评标方法进行。</w:t>
            </w:r>
          </w:p>
          <w:p w14:paraId="34610E75">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9.中标候选人的确定</w:t>
            </w:r>
          </w:p>
          <w:p w14:paraId="087462DD">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rPr>
                <w:rFonts w:hint="eastAsia" w:ascii="宋体" w:hAnsi="宋体" w:eastAsia="宋体" w:cs="宋体"/>
                <w:spacing w:val="5"/>
                <w:szCs w:val="24"/>
                <w:highlight w:val="none"/>
                <w:lang w:val="en-US" w:eastAsia="zh-CN"/>
              </w:rPr>
            </w:pPr>
            <w:r>
              <w:rPr>
                <w:rFonts w:hint="eastAsia" w:ascii="宋体" w:hAnsi="宋体" w:eastAsia="宋体" w:cs="宋体"/>
                <w:b/>
                <w:bCs/>
                <w:highlight w:val="none"/>
                <w:lang w:val="en-US" w:eastAsia="zh-CN"/>
              </w:rPr>
              <w:t>评标委员会完成评标后，向采购人提出书面评标报告，并推荐三名中标候选人，标明排列顺序。</w:t>
            </w:r>
          </w:p>
        </w:tc>
      </w:tr>
      <w:tr w14:paraId="3D37F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7" w:hRule="atLeast"/>
        </w:trPr>
        <w:tc>
          <w:tcPr>
            <w:tcW w:w="635" w:type="dxa"/>
            <w:vAlign w:val="center"/>
          </w:tcPr>
          <w:p w14:paraId="3C0475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3</w:t>
            </w:r>
          </w:p>
        </w:tc>
        <w:tc>
          <w:tcPr>
            <w:tcW w:w="8719" w:type="dxa"/>
            <w:vAlign w:val="center"/>
          </w:tcPr>
          <w:p w14:paraId="4714CD2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支持中小企业:</w:t>
            </w:r>
          </w:p>
          <w:p w14:paraId="2F01307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在政府采购活动中，供应商提供的货物、工程或者服务符合下列情形的，享受《办法》规定的中小企业扶持政策:</w:t>
            </w:r>
          </w:p>
          <w:p w14:paraId="051BCFC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(一)在货物采购项目中，货物由中小企业制造，即货物由中小企业生产且使用该 中小企业商号或者注册商标；</w:t>
            </w:r>
          </w:p>
          <w:p w14:paraId="315D7A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(二)在工程采购项目中，工程由中小企业承建，即工程施工单位为中小企业；</w:t>
            </w:r>
          </w:p>
          <w:p w14:paraId="3C45CE8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(三)在服务采购项目中，服务由中小企业承接，即提供服务的人员为中小企业依照《中华人民共和国民法典》订立劳动合同的从业人员。</w:t>
            </w:r>
          </w:p>
          <w:p w14:paraId="2DFEC55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（1）本项目专门面向中小企业预留份额-采购项目整体预留；</w:t>
            </w:r>
          </w:p>
          <w:p w14:paraId="542875A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（2）采购标的对应的中小企业划分标准所属行业：其他未列明行业。</w:t>
            </w:r>
          </w:p>
          <w:p w14:paraId="53AD81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（3）本项目属性：服务类</w:t>
            </w:r>
          </w:p>
          <w:p w14:paraId="795527B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szCs w:val="24"/>
                <w:highlight w:val="none"/>
              </w:rPr>
            </w:pPr>
            <w:r>
              <w:rPr>
                <w:rFonts w:hint="eastAsia" w:ascii="宋体" w:hAnsi="宋体" w:eastAsia="宋体" w:cs="宋体"/>
                <w:highlight w:val="none"/>
              </w:rPr>
              <w:t>（4）所属行业划型标准：从业人员 300 人以下的为中小微型企业。其中，从业人员100 人及以上的为中型企业；从业人员 10 人及以上的为小型企业；从业人员 10</w:t>
            </w:r>
            <w:r>
              <w:rPr>
                <w:rFonts w:hint="eastAsia" w:ascii="宋体" w:hAnsi="宋体" w:eastAsia="宋体" w:cs="宋体"/>
                <w:highlight w:val="none"/>
                <w:lang w:val="en-US" w:eastAsia="zh-CN"/>
              </w:rPr>
              <w:t xml:space="preserve"> </w:t>
            </w:r>
            <w:r>
              <w:rPr>
                <w:rFonts w:hint="eastAsia" w:ascii="宋体" w:hAnsi="宋体" w:eastAsia="宋体" w:cs="宋体"/>
                <w:highlight w:val="none"/>
              </w:rPr>
              <w:t>人以下的为微型企业。</w:t>
            </w:r>
          </w:p>
        </w:tc>
      </w:tr>
      <w:tr w14:paraId="53E2B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635" w:type="dxa"/>
            <w:vAlign w:val="center"/>
          </w:tcPr>
          <w:p w14:paraId="66EF88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4</w:t>
            </w:r>
          </w:p>
        </w:tc>
        <w:tc>
          <w:tcPr>
            <w:tcW w:w="8719" w:type="dxa"/>
            <w:vAlign w:val="center"/>
          </w:tcPr>
          <w:p w14:paraId="62AE2D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rPr>
                <w:rFonts w:hint="eastAsia" w:ascii="宋体" w:hAnsi="宋体" w:eastAsia="宋体" w:cs="宋体"/>
                <w:szCs w:val="24"/>
                <w:highlight w:val="none"/>
              </w:rPr>
            </w:pPr>
            <w:r>
              <w:rPr>
                <w:rFonts w:hint="eastAsia" w:ascii="宋体" w:hAnsi="宋体" w:eastAsia="宋体" w:cs="宋体"/>
                <w:highlight w:val="none"/>
              </w:rPr>
              <w:t>信用查询：根据《财政部关于在政府采购活动中查询及使用信用记录有关问题的通知》资格审查时对供应商信用记录进行查询。供应商存在不良行为记录的，拒绝其参加政府采购活动。</w:t>
            </w:r>
          </w:p>
        </w:tc>
      </w:tr>
    </w:tbl>
    <w:p w14:paraId="2941D7F8">
      <w:pPr>
        <w:rPr>
          <w:rFonts w:hint="eastAsia" w:ascii="宋体" w:hAnsi="宋体" w:eastAsia="宋体" w:cs="宋体"/>
          <w:sz w:val="21"/>
          <w:highlight w:val="none"/>
        </w:rPr>
      </w:pPr>
    </w:p>
    <w:p w14:paraId="31B32771">
      <w:pPr>
        <w:rPr>
          <w:rFonts w:hint="eastAsia" w:ascii="宋体" w:hAnsi="宋体" w:eastAsia="宋体" w:cs="宋体"/>
          <w:sz w:val="21"/>
          <w:szCs w:val="21"/>
          <w:highlight w:val="none"/>
        </w:rPr>
        <w:sectPr>
          <w:headerReference r:id="rId7" w:type="default"/>
          <w:footerReference r:id="rId8" w:type="default"/>
          <w:pgSz w:w="11906" w:h="16839"/>
          <w:pgMar w:top="1134" w:right="1137" w:bottom="969" w:left="1418" w:header="862" w:footer="754" w:gutter="0"/>
          <w:pgNumType w:fmt="decimal"/>
          <w:cols w:space="720" w:num="1"/>
        </w:sectPr>
      </w:pPr>
    </w:p>
    <w:p w14:paraId="5B0E0C76">
      <w:pPr>
        <w:pStyle w:val="5"/>
        <w:bidi w:val="0"/>
        <w:rPr>
          <w:rFonts w:hint="eastAsia" w:ascii="宋体" w:hAnsi="宋体" w:eastAsia="宋体" w:cs="宋体"/>
          <w:b/>
          <w:bCs/>
          <w:highlight w:val="none"/>
        </w:rPr>
      </w:pPr>
      <w:r>
        <w:rPr>
          <w:rFonts w:hint="eastAsia" w:ascii="宋体" w:hAnsi="宋体" w:eastAsia="宋体" w:cs="宋体"/>
          <w:b/>
          <w:bCs/>
          <w:highlight w:val="none"/>
        </w:rPr>
        <w:t>一、定义</w:t>
      </w:r>
    </w:p>
    <w:p w14:paraId="436B9255">
      <w:pPr>
        <w:pStyle w:val="5"/>
        <w:bidi w:val="0"/>
        <w:rPr>
          <w:rFonts w:hint="eastAsia" w:ascii="宋体" w:hAnsi="宋体" w:eastAsia="宋体" w:cs="宋体"/>
          <w:highlight w:val="none"/>
          <w:lang w:eastAsia="zh-CN"/>
        </w:rPr>
      </w:pPr>
      <w:r>
        <w:rPr>
          <w:rFonts w:hint="eastAsia" w:ascii="宋体" w:hAnsi="宋体" w:eastAsia="宋体" w:cs="宋体"/>
          <w:highlight w:val="none"/>
        </w:rPr>
        <w:t>（一）采购人：</w:t>
      </w:r>
      <w:r>
        <w:rPr>
          <w:rFonts w:hint="eastAsia" w:ascii="宋体" w:hAnsi="宋体" w:eastAsia="宋体" w:cs="宋体"/>
          <w:highlight w:val="none"/>
          <w:lang w:eastAsia="zh-CN"/>
        </w:rPr>
        <w:t>榆林市农业农村局</w:t>
      </w:r>
    </w:p>
    <w:p w14:paraId="7BE4B5F2">
      <w:pPr>
        <w:pStyle w:val="5"/>
        <w:bidi w:val="0"/>
        <w:rPr>
          <w:rFonts w:hint="eastAsia" w:ascii="宋体" w:hAnsi="宋体" w:eastAsia="宋体" w:cs="宋体"/>
          <w:highlight w:val="none"/>
        </w:rPr>
      </w:pPr>
      <w:r>
        <w:rPr>
          <w:rFonts w:hint="eastAsia" w:ascii="宋体" w:hAnsi="宋体" w:eastAsia="宋体" w:cs="宋体"/>
          <w:highlight w:val="none"/>
        </w:rPr>
        <w:t>（二）监管部门：</w:t>
      </w:r>
      <w:r>
        <w:rPr>
          <w:rFonts w:hint="eastAsia" w:ascii="宋体" w:hAnsi="宋体" w:eastAsia="宋体" w:cs="宋体"/>
          <w:highlight w:val="none"/>
          <w:lang w:val="en-US" w:eastAsia="zh-CN"/>
        </w:rPr>
        <w:t>榆林市</w:t>
      </w:r>
      <w:r>
        <w:rPr>
          <w:rFonts w:hint="eastAsia" w:ascii="宋体" w:hAnsi="宋体" w:eastAsia="宋体" w:cs="宋体"/>
          <w:highlight w:val="none"/>
        </w:rPr>
        <w:t>财政局</w:t>
      </w:r>
    </w:p>
    <w:p w14:paraId="06F86BC1">
      <w:pPr>
        <w:pStyle w:val="5"/>
        <w:bidi w:val="0"/>
        <w:rPr>
          <w:rFonts w:hint="eastAsia" w:ascii="宋体" w:hAnsi="宋体" w:eastAsia="宋体" w:cs="宋体"/>
          <w:highlight w:val="none"/>
        </w:rPr>
      </w:pPr>
      <w:r>
        <w:rPr>
          <w:rFonts w:hint="eastAsia" w:ascii="宋体" w:hAnsi="宋体" w:eastAsia="宋体" w:cs="宋体"/>
          <w:highlight w:val="none"/>
        </w:rPr>
        <w:t>（三）采购代理机构：</w:t>
      </w:r>
      <w:r>
        <w:rPr>
          <w:rFonts w:hint="eastAsia" w:ascii="宋体" w:hAnsi="宋体" w:eastAsia="宋体" w:cs="宋体"/>
          <w:highlight w:val="none"/>
          <w:lang w:eastAsia="zh-CN"/>
        </w:rPr>
        <w:t>万泰项目管理有限公司</w:t>
      </w:r>
      <w:r>
        <w:rPr>
          <w:rFonts w:hint="eastAsia" w:ascii="宋体" w:hAnsi="宋体" w:eastAsia="宋体" w:cs="宋体"/>
          <w:highlight w:val="none"/>
        </w:rPr>
        <w:t>（以下简称</w:t>
      </w:r>
      <w:r>
        <w:rPr>
          <w:rFonts w:hint="eastAsia" w:ascii="宋体" w:hAnsi="宋体" w:eastAsia="宋体" w:cs="宋体"/>
          <w:highlight w:val="none"/>
          <w:lang w:eastAsia="zh-CN"/>
        </w:rPr>
        <w:t>采购代理机构</w:t>
      </w:r>
      <w:r>
        <w:rPr>
          <w:rFonts w:hint="eastAsia" w:ascii="宋体" w:hAnsi="宋体" w:eastAsia="宋体" w:cs="宋体"/>
          <w:highlight w:val="none"/>
        </w:rPr>
        <w:t>）</w:t>
      </w:r>
    </w:p>
    <w:p w14:paraId="60C4F7C4">
      <w:pPr>
        <w:pStyle w:val="5"/>
        <w:bidi w:val="0"/>
        <w:rPr>
          <w:rFonts w:hint="eastAsia" w:ascii="宋体" w:hAnsi="宋体" w:eastAsia="宋体" w:cs="宋体"/>
          <w:highlight w:val="none"/>
        </w:rPr>
      </w:pPr>
      <w:r>
        <w:rPr>
          <w:rFonts w:hint="eastAsia" w:ascii="宋体" w:hAnsi="宋体" w:eastAsia="宋体" w:cs="宋体"/>
          <w:highlight w:val="none"/>
        </w:rPr>
        <w:t>（四）供应商：拟向采购人提供货物、工程或者服务的法人、其他组织或者自然人</w:t>
      </w:r>
    </w:p>
    <w:p w14:paraId="7049B17A">
      <w:pPr>
        <w:pStyle w:val="5"/>
        <w:bidi w:val="0"/>
        <w:rPr>
          <w:rFonts w:hint="eastAsia" w:ascii="宋体" w:hAnsi="宋体" w:eastAsia="宋体" w:cs="宋体"/>
          <w:b/>
          <w:bCs/>
          <w:highlight w:val="none"/>
        </w:rPr>
      </w:pPr>
      <w:r>
        <w:rPr>
          <w:rFonts w:hint="eastAsia" w:ascii="宋体" w:hAnsi="宋体" w:eastAsia="宋体" w:cs="宋体"/>
          <w:b/>
          <w:bCs/>
          <w:highlight w:val="none"/>
        </w:rPr>
        <w:t>二、磋商文件</w:t>
      </w:r>
    </w:p>
    <w:p w14:paraId="174BF0F4">
      <w:pPr>
        <w:pStyle w:val="5"/>
        <w:bidi w:val="0"/>
        <w:rPr>
          <w:rFonts w:hint="eastAsia" w:ascii="宋体" w:hAnsi="宋体" w:eastAsia="宋体" w:cs="宋体"/>
          <w:b/>
          <w:bCs/>
          <w:highlight w:val="none"/>
        </w:rPr>
      </w:pPr>
      <w:r>
        <w:rPr>
          <w:rFonts w:hint="eastAsia" w:ascii="宋体" w:hAnsi="宋体" w:eastAsia="宋体" w:cs="宋体"/>
          <w:b/>
          <w:bCs/>
          <w:highlight w:val="none"/>
        </w:rPr>
        <w:t>（一）磋商文件包括下列内容</w:t>
      </w:r>
    </w:p>
    <w:p w14:paraId="282131D1">
      <w:pPr>
        <w:pStyle w:val="5"/>
        <w:bidi w:val="0"/>
        <w:rPr>
          <w:rFonts w:hint="eastAsia" w:ascii="宋体" w:hAnsi="宋体" w:eastAsia="宋体" w:cs="宋体"/>
          <w:highlight w:val="none"/>
        </w:rPr>
      </w:pPr>
      <w:r>
        <w:rPr>
          <w:rFonts w:hint="eastAsia" w:ascii="宋体" w:hAnsi="宋体" w:eastAsia="宋体" w:cs="宋体"/>
          <w:highlight w:val="none"/>
        </w:rPr>
        <w:t>第一章 磋商公告</w:t>
      </w:r>
    </w:p>
    <w:p w14:paraId="5569641D">
      <w:pPr>
        <w:pStyle w:val="5"/>
        <w:bidi w:val="0"/>
        <w:rPr>
          <w:rFonts w:hint="eastAsia" w:ascii="宋体" w:hAnsi="宋体" w:eastAsia="宋体" w:cs="宋体"/>
          <w:highlight w:val="none"/>
        </w:rPr>
      </w:pPr>
      <w:r>
        <w:rPr>
          <w:rFonts w:hint="eastAsia" w:ascii="宋体" w:hAnsi="宋体" w:eastAsia="宋体" w:cs="宋体"/>
          <w:highlight w:val="none"/>
        </w:rPr>
        <w:t>第二章 供应商须知</w:t>
      </w:r>
    </w:p>
    <w:p w14:paraId="670622A0">
      <w:pPr>
        <w:pStyle w:val="5"/>
        <w:bidi w:val="0"/>
        <w:rPr>
          <w:rFonts w:hint="eastAsia" w:ascii="宋体" w:hAnsi="宋体" w:eastAsia="宋体" w:cs="宋体"/>
          <w:highlight w:val="none"/>
        </w:rPr>
      </w:pPr>
      <w:r>
        <w:rPr>
          <w:rFonts w:hint="eastAsia" w:ascii="宋体" w:hAnsi="宋体" w:eastAsia="宋体" w:cs="宋体"/>
          <w:highlight w:val="none"/>
        </w:rPr>
        <w:t>第三章 商务要求</w:t>
      </w:r>
    </w:p>
    <w:p w14:paraId="06CE41A2">
      <w:pPr>
        <w:pStyle w:val="5"/>
        <w:bidi w:val="0"/>
        <w:rPr>
          <w:rFonts w:hint="eastAsia" w:ascii="宋体" w:hAnsi="宋体" w:eastAsia="宋体" w:cs="宋体"/>
          <w:highlight w:val="none"/>
        </w:rPr>
      </w:pPr>
      <w:r>
        <w:rPr>
          <w:rFonts w:hint="eastAsia" w:ascii="宋体" w:hAnsi="宋体" w:eastAsia="宋体" w:cs="宋体"/>
          <w:highlight w:val="none"/>
        </w:rPr>
        <w:t>第四章 评审办法及标准</w:t>
      </w:r>
    </w:p>
    <w:p w14:paraId="7A9ED6FE">
      <w:pPr>
        <w:pStyle w:val="5"/>
        <w:bidi w:val="0"/>
        <w:rPr>
          <w:rFonts w:hint="eastAsia" w:ascii="宋体" w:hAnsi="宋体" w:eastAsia="宋体" w:cs="宋体"/>
          <w:highlight w:val="none"/>
          <w:lang w:eastAsia="zh-CN"/>
        </w:rPr>
      </w:pPr>
      <w:r>
        <w:rPr>
          <w:rFonts w:hint="eastAsia" w:ascii="宋体" w:hAnsi="宋体" w:eastAsia="宋体" w:cs="宋体"/>
          <w:highlight w:val="none"/>
        </w:rPr>
        <w:t>第五章 磋商内容及采购</w:t>
      </w:r>
      <w:r>
        <w:rPr>
          <w:rFonts w:hint="eastAsia" w:ascii="宋体" w:hAnsi="宋体" w:eastAsia="宋体" w:cs="宋体"/>
          <w:highlight w:val="none"/>
          <w:lang w:val="en-US" w:eastAsia="zh-CN"/>
        </w:rPr>
        <w:t>需求</w:t>
      </w:r>
    </w:p>
    <w:p w14:paraId="63C269E6">
      <w:pPr>
        <w:pStyle w:val="5"/>
        <w:bidi w:val="0"/>
        <w:rPr>
          <w:rFonts w:hint="eastAsia" w:ascii="宋体" w:hAnsi="宋体" w:eastAsia="宋体" w:cs="宋体"/>
          <w:highlight w:val="none"/>
        </w:rPr>
      </w:pPr>
      <w:r>
        <w:rPr>
          <w:rFonts w:hint="eastAsia" w:ascii="宋体" w:hAnsi="宋体" w:eastAsia="宋体" w:cs="宋体"/>
          <w:highlight w:val="none"/>
        </w:rPr>
        <w:t>第六章 合同基本条款</w:t>
      </w:r>
    </w:p>
    <w:p w14:paraId="54D2BB41">
      <w:pPr>
        <w:pStyle w:val="5"/>
        <w:bidi w:val="0"/>
        <w:rPr>
          <w:rFonts w:hint="eastAsia" w:ascii="宋体" w:hAnsi="宋体" w:eastAsia="宋体" w:cs="宋体"/>
          <w:highlight w:val="none"/>
        </w:rPr>
      </w:pPr>
      <w:r>
        <w:rPr>
          <w:rFonts w:hint="eastAsia" w:ascii="宋体" w:hAnsi="宋体" w:eastAsia="宋体" w:cs="宋体"/>
          <w:highlight w:val="none"/>
        </w:rPr>
        <w:t>第七章 响应文件构成及格式</w:t>
      </w:r>
    </w:p>
    <w:p w14:paraId="6AAE092B">
      <w:pPr>
        <w:pStyle w:val="5"/>
        <w:bidi w:val="0"/>
        <w:rPr>
          <w:rFonts w:hint="eastAsia" w:ascii="宋体" w:hAnsi="宋体" w:eastAsia="宋体" w:cs="宋体"/>
          <w:b/>
          <w:bCs/>
          <w:highlight w:val="none"/>
        </w:rPr>
      </w:pPr>
      <w:r>
        <w:rPr>
          <w:rFonts w:hint="eastAsia" w:ascii="宋体" w:hAnsi="宋体" w:eastAsia="宋体" w:cs="宋体"/>
          <w:b/>
          <w:bCs/>
          <w:highlight w:val="none"/>
        </w:rPr>
        <w:t>（二）磋商文件的检查及阅读</w:t>
      </w:r>
    </w:p>
    <w:p w14:paraId="5C58C644">
      <w:pPr>
        <w:pStyle w:val="5"/>
        <w:bidi w:val="0"/>
        <w:rPr>
          <w:rFonts w:hint="eastAsia" w:ascii="宋体" w:hAnsi="宋体" w:eastAsia="宋体" w:cs="宋体"/>
          <w:highlight w:val="none"/>
        </w:rPr>
      </w:pPr>
      <w:r>
        <w:rPr>
          <w:rFonts w:hint="eastAsia" w:ascii="宋体" w:hAnsi="宋体" w:eastAsia="宋体" w:cs="宋体"/>
          <w:highlight w:val="none"/>
        </w:rPr>
        <w:t>供应商下载磋商文件后应仔细阅读检查磋商文件中的所有内容，按照磋商文件中所列事项、条款、规范要求及格式，在响应文件中对磋商文件做出全面的响应，并按磋商文件的要求提交全部资料。</w:t>
      </w:r>
    </w:p>
    <w:p w14:paraId="25BA3A89">
      <w:pPr>
        <w:pStyle w:val="5"/>
        <w:bidi w:val="0"/>
        <w:rPr>
          <w:rFonts w:hint="eastAsia" w:ascii="宋体" w:hAnsi="宋体" w:eastAsia="宋体" w:cs="宋体"/>
          <w:highlight w:val="none"/>
        </w:rPr>
      </w:pPr>
      <w:r>
        <w:rPr>
          <w:rFonts w:hint="eastAsia" w:ascii="宋体" w:hAnsi="宋体" w:eastAsia="宋体" w:cs="宋体"/>
          <w:highlight w:val="none"/>
        </w:rPr>
        <w:t>如本项目废标后需重新组织采购的，采购代理机构将重新编制、发布新版磋商文件，供应商应按新版磋商文件重新编制响应文件。原磋商文件及响应文件失效。</w:t>
      </w:r>
    </w:p>
    <w:p w14:paraId="117699CB">
      <w:pPr>
        <w:pStyle w:val="5"/>
        <w:bidi w:val="0"/>
        <w:rPr>
          <w:rFonts w:hint="eastAsia" w:ascii="宋体" w:hAnsi="宋体" w:eastAsia="宋体" w:cs="宋体"/>
          <w:b/>
          <w:bCs/>
          <w:highlight w:val="none"/>
        </w:rPr>
      </w:pPr>
      <w:r>
        <w:rPr>
          <w:rFonts w:hint="eastAsia" w:ascii="宋体" w:hAnsi="宋体" w:eastAsia="宋体" w:cs="宋体"/>
          <w:b/>
          <w:bCs/>
          <w:highlight w:val="none"/>
        </w:rPr>
        <w:t>响应文件封面、响应函以及法定代表人授权委托书三处的项目名称、项目编号、标段（如有）应当与最新发布的磋商文件保持一致，否则将被视为无效响应文件。</w:t>
      </w:r>
    </w:p>
    <w:p w14:paraId="7C845CDC">
      <w:pPr>
        <w:pStyle w:val="5"/>
        <w:bidi w:val="0"/>
        <w:rPr>
          <w:rFonts w:hint="eastAsia" w:ascii="宋体" w:hAnsi="宋体" w:eastAsia="宋体" w:cs="宋体"/>
          <w:b/>
          <w:bCs/>
          <w:highlight w:val="none"/>
        </w:rPr>
      </w:pPr>
      <w:r>
        <w:rPr>
          <w:rFonts w:hint="eastAsia" w:ascii="宋体" w:hAnsi="宋体" w:eastAsia="宋体" w:cs="宋体"/>
          <w:b/>
          <w:bCs/>
          <w:highlight w:val="none"/>
        </w:rPr>
        <w:t>（三）磋商文件的修改、澄清</w:t>
      </w:r>
    </w:p>
    <w:p w14:paraId="77781DBE">
      <w:pPr>
        <w:pStyle w:val="5"/>
        <w:bidi w:val="0"/>
        <w:rPr>
          <w:rFonts w:hint="eastAsia" w:ascii="宋体" w:hAnsi="宋体" w:eastAsia="宋体" w:cs="宋体"/>
          <w:highlight w:val="none"/>
        </w:rPr>
      </w:pPr>
      <w:r>
        <w:rPr>
          <w:rFonts w:hint="eastAsia" w:ascii="宋体" w:hAnsi="宋体" w:eastAsia="宋体" w:cs="宋体"/>
          <w:highlight w:val="none"/>
        </w:rPr>
        <w:t>1、采购代理机构可以对已发出的磋商文件进行必要的澄清或者修改，</w:t>
      </w:r>
      <w:r>
        <w:rPr>
          <w:rFonts w:hint="eastAsia" w:ascii="宋体" w:hAnsi="宋体" w:eastAsia="宋体" w:cs="宋体"/>
          <w:b/>
          <w:bCs/>
          <w:highlight w:val="none"/>
        </w:rPr>
        <w:t>但不得改变采购标的和资格条件。</w:t>
      </w:r>
      <w:r>
        <w:rPr>
          <w:rFonts w:hint="eastAsia" w:ascii="宋体" w:hAnsi="宋体" w:eastAsia="宋体" w:cs="宋体"/>
          <w:highlight w:val="none"/>
        </w:rPr>
        <w:t>澄清或者修改应将在原公告发布媒体上发布澄清公告，其内容为磋商文件的组成部分。</w:t>
      </w:r>
    </w:p>
    <w:p w14:paraId="6D9B6AD5">
      <w:pPr>
        <w:pStyle w:val="5"/>
        <w:bidi w:val="0"/>
        <w:rPr>
          <w:rFonts w:hint="eastAsia" w:ascii="宋体" w:hAnsi="宋体" w:eastAsia="宋体" w:cs="宋体"/>
          <w:highlight w:val="none"/>
        </w:rPr>
      </w:pPr>
      <w:r>
        <w:rPr>
          <w:rFonts w:hint="eastAsia" w:ascii="宋体" w:hAnsi="宋体" w:eastAsia="宋体" w:cs="宋体"/>
          <w:highlight w:val="none"/>
        </w:rPr>
        <w:t>2、澄清或者修改的内容可能影响响应文件编制的，采购代理机构将在响应截止时间至少 5 日前，在原公告发布媒体上</w:t>
      </w:r>
      <w:r>
        <w:rPr>
          <w:rFonts w:hint="eastAsia" w:ascii="宋体" w:hAnsi="宋体" w:eastAsia="宋体" w:cs="宋体"/>
          <w:b/>
          <w:bCs/>
          <w:highlight w:val="none"/>
        </w:rPr>
        <w:t>发布更正公告</w:t>
      </w:r>
      <w:r>
        <w:rPr>
          <w:rFonts w:hint="eastAsia" w:ascii="宋体" w:hAnsi="宋体" w:eastAsia="宋体" w:cs="宋体"/>
          <w:highlight w:val="none"/>
        </w:rPr>
        <w:t>；不足 5 日，采购代理机构将顺延提交响应文件的截止时间。</w:t>
      </w:r>
    </w:p>
    <w:p w14:paraId="2F8B253A">
      <w:pPr>
        <w:pStyle w:val="5"/>
        <w:bidi w:val="0"/>
        <w:rPr>
          <w:rFonts w:hint="eastAsia" w:ascii="宋体" w:hAnsi="宋体" w:eastAsia="宋体" w:cs="宋体"/>
          <w:b/>
          <w:bCs/>
          <w:highlight w:val="none"/>
          <w:lang w:eastAsia="zh-CN"/>
        </w:rPr>
      </w:pPr>
      <w:r>
        <w:rPr>
          <w:rFonts w:hint="eastAsia" w:ascii="宋体" w:hAnsi="宋体" w:eastAsia="宋体" w:cs="宋体"/>
          <w:highlight w:val="none"/>
        </w:rPr>
        <w:t>3、各供应商在提交响应文件截止时间之前，应随时关注下列地址发布的变更公告，也可登录全国公共资源交易平台（陕西省）政府采购交易系统查看左上角的信息提醒，</w:t>
      </w:r>
      <w:r>
        <w:rPr>
          <w:rFonts w:hint="eastAsia" w:ascii="宋体" w:hAnsi="宋体" w:eastAsia="宋体" w:cs="宋体"/>
          <w:b/>
          <w:bCs/>
          <w:highlight w:val="none"/>
        </w:rPr>
        <w:t>采购代理机构不再单独通知，因供应商未及时关注所造成的一切后果由供应商自行承担</w:t>
      </w:r>
      <w:r>
        <w:rPr>
          <w:rFonts w:hint="eastAsia" w:ascii="宋体" w:hAnsi="宋体" w:eastAsia="宋体" w:cs="宋体"/>
          <w:b/>
          <w:bCs/>
          <w:highlight w:val="none"/>
          <w:lang w:eastAsia="zh-CN"/>
        </w:rPr>
        <w:t>。</w:t>
      </w:r>
    </w:p>
    <w:p w14:paraId="56963AFD">
      <w:pPr>
        <w:pStyle w:val="5"/>
        <w:bidi w:val="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 </w:instrText>
      </w:r>
      <w:r>
        <w:rPr>
          <w:rFonts w:hint="eastAsia" w:ascii="宋体" w:hAnsi="宋体" w:eastAsia="宋体" w:cs="宋体"/>
          <w:highlight w:val="none"/>
        </w:rPr>
        <w:fldChar w:fldCharType="separate"/>
      </w:r>
      <w:r>
        <w:rPr>
          <w:rFonts w:hint="eastAsia" w:ascii="宋体" w:hAnsi="宋体" w:eastAsia="宋体" w:cs="宋体"/>
          <w:highlight w:val="none"/>
        </w:rPr>
        <w:t>陕西省政府采购网</w:t>
      </w:r>
      <w:r>
        <w:rPr>
          <w:rFonts w:hint="eastAsia" w:ascii="宋体" w:hAnsi="宋体" w:eastAsia="宋体" w:cs="宋体"/>
          <w:highlight w:val="none"/>
        </w:rPr>
        <w:fldChar w:fldCharType="end"/>
      </w:r>
      <w:r>
        <w:rPr>
          <w:rFonts w:hint="eastAsia" w:ascii="宋体" w:hAnsi="宋体" w:eastAsia="宋体" w:cs="宋体"/>
          <w:highlight w:val="none"/>
        </w:rPr>
        <w:t>（www.ccgp-shaanxi.gov.cn）】中的〖首页·〉市县公告·〉更正公告】；</w:t>
      </w:r>
    </w:p>
    <w:p w14:paraId="3BA80984">
      <w:pPr>
        <w:pStyle w:val="5"/>
        <w:bidi w:val="0"/>
        <w:rPr>
          <w:rFonts w:hint="eastAsia" w:ascii="宋体" w:hAnsi="宋体" w:eastAsia="宋体" w:cs="宋体"/>
          <w:highlight w:val="none"/>
        </w:rPr>
      </w:pPr>
      <w:r>
        <w:rPr>
          <w:rFonts w:hint="eastAsia" w:ascii="宋体" w:hAnsi="宋体" w:eastAsia="宋体" w:cs="宋体"/>
          <w:highlight w:val="none"/>
        </w:rPr>
        <w:t>（2）【全国公共资源交易平台（陕西省）（http://www.sxggzy jy.cn/）】中的〖首页·〉交易大厅·〉政府采购】。</w:t>
      </w:r>
    </w:p>
    <w:p w14:paraId="3E5D7734">
      <w:pPr>
        <w:pStyle w:val="5"/>
        <w:bidi w:val="0"/>
        <w:rPr>
          <w:rFonts w:hint="eastAsia" w:ascii="宋体" w:hAnsi="宋体" w:eastAsia="宋体" w:cs="宋体"/>
          <w:b/>
          <w:bCs/>
          <w:highlight w:val="none"/>
        </w:rPr>
      </w:pPr>
      <w:r>
        <w:rPr>
          <w:rFonts w:hint="eastAsia" w:ascii="宋体" w:hAnsi="宋体" w:eastAsia="宋体" w:cs="宋体"/>
          <w:b/>
          <w:bCs/>
          <w:highlight w:val="none"/>
        </w:rPr>
        <w:t>（四）磋商文件的解释权归采购人和采购代理机构。</w:t>
      </w:r>
    </w:p>
    <w:p w14:paraId="5B597503">
      <w:pPr>
        <w:pStyle w:val="5"/>
        <w:bidi w:val="0"/>
        <w:rPr>
          <w:rFonts w:hint="eastAsia" w:ascii="宋体" w:hAnsi="宋体" w:eastAsia="宋体" w:cs="宋体"/>
          <w:b/>
          <w:bCs/>
          <w:highlight w:val="none"/>
        </w:rPr>
      </w:pPr>
      <w:r>
        <w:rPr>
          <w:rFonts w:hint="eastAsia" w:ascii="宋体" w:hAnsi="宋体" w:eastAsia="宋体" w:cs="宋体"/>
          <w:b/>
          <w:bCs/>
          <w:highlight w:val="none"/>
        </w:rPr>
        <w:t>三、响应保证金</w:t>
      </w:r>
    </w:p>
    <w:p w14:paraId="6A3B0E66">
      <w:pPr>
        <w:pStyle w:val="5"/>
        <w:bidi w:val="0"/>
        <w:rPr>
          <w:rFonts w:hint="eastAsia" w:ascii="宋体" w:hAnsi="宋体" w:eastAsia="宋体" w:cs="宋体"/>
          <w:highlight w:val="none"/>
        </w:rPr>
      </w:pPr>
      <w:r>
        <w:rPr>
          <w:rFonts w:hint="eastAsia" w:ascii="宋体" w:hAnsi="宋体" w:eastAsia="宋体" w:cs="宋体"/>
          <w:highlight w:val="none"/>
        </w:rPr>
        <w:t>（一）本项目无需递交响应保证金</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各供应商须提供</w:t>
      </w:r>
      <w:r>
        <w:rPr>
          <w:rFonts w:hint="eastAsia" w:ascii="宋体" w:hAnsi="宋体" w:eastAsia="宋体" w:cs="宋体"/>
          <w:highlight w:val="none"/>
        </w:rPr>
        <w:t>信用（保证金）承诺书。</w:t>
      </w:r>
    </w:p>
    <w:p w14:paraId="557F8BA5">
      <w:pPr>
        <w:pStyle w:val="5"/>
        <w:bidi w:val="0"/>
        <w:rPr>
          <w:rFonts w:hint="eastAsia" w:ascii="宋体" w:hAnsi="宋体" w:eastAsia="宋体" w:cs="宋体"/>
          <w:highlight w:val="none"/>
        </w:rPr>
      </w:pPr>
      <w:r>
        <w:rPr>
          <w:rFonts w:hint="eastAsia" w:ascii="宋体" w:hAnsi="宋体" w:eastAsia="宋体" w:cs="宋体"/>
          <w:highlight w:val="none"/>
        </w:rPr>
        <w:t>（二）供应商有下列情形之一的，信用将受到影响：</w:t>
      </w:r>
    </w:p>
    <w:p w14:paraId="03A9FDA7">
      <w:pPr>
        <w:pStyle w:val="5"/>
        <w:bidi w:val="0"/>
        <w:rPr>
          <w:rFonts w:hint="eastAsia" w:ascii="宋体" w:hAnsi="宋体" w:eastAsia="宋体" w:cs="宋体"/>
          <w:highlight w:val="none"/>
        </w:rPr>
      </w:pPr>
      <w:r>
        <w:rPr>
          <w:rFonts w:hint="eastAsia" w:ascii="宋体" w:hAnsi="宋体" w:eastAsia="宋体" w:cs="宋体"/>
          <w:highlight w:val="none"/>
        </w:rPr>
        <w:t>1、在响应文件中提供虚假资料的；</w:t>
      </w:r>
    </w:p>
    <w:p w14:paraId="3746B2CB">
      <w:pPr>
        <w:pStyle w:val="5"/>
        <w:bidi w:val="0"/>
        <w:rPr>
          <w:rFonts w:hint="eastAsia" w:ascii="宋体" w:hAnsi="宋体" w:eastAsia="宋体" w:cs="宋体"/>
          <w:highlight w:val="none"/>
        </w:rPr>
      </w:pPr>
      <w:r>
        <w:rPr>
          <w:rFonts w:hint="eastAsia" w:ascii="宋体" w:hAnsi="宋体" w:eastAsia="宋体" w:cs="宋体"/>
          <w:highlight w:val="none"/>
        </w:rPr>
        <w:t>2、与采购人、采购代理机构、其他供应商恶意串通的；</w:t>
      </w:r>
    </w:p>
    <w:p w14:paraId="2CB2E86E">
      <w:pPr>
        <w:pStyle w:val="5"/>
        <w:bidi w:val="0"/>
        <w:rPr>
          <w:rFonts w:hint="eastAsia" w:ascii="宋体" w:hAnsi="宋体" w:eastAsia="宋体" w:cs="宋体"/>
          <w:highlight w:val="none"/>
        </w:rPr>
      </w:pPr>
      <w:r>
        <w:rPr>
          <w:rFonts w:hint="eastAsia" w:ascii="宋体" w:hAnsi="宋体" w:eastAsia="宋体" w:cs="宋体"/>
          <w:highlight w:val="none"/>
        </w:rPr>
        <w:t>3、向采购人、采购代理机构行贿或者提供其他不正当利益的；</w:t>
      </w:r>
    </w:p>
    <w:p w14:paraId="2E609A69">
      <w:pPr>
        <w:pStyle w:val="5"/>
        <w:bidi w:val="0"/>
        <w:rPr>
          <w:rFonts w:hint="eastAsia" w:ascii="宋体" w:hAnsi="宋体" w:eastAsia="宋体" w:cs="宋体"/>
          <w:highlight w:val="none"/>
        </w:rPr>
      </w:pPr>
      <w:r>
        <w:rPr>
          <w:rFonts w:hint="eastAsia" w:ascii="宋体" w:hAnsi="宋体" w:eastAsia="宋体" w:cs="宋体"/>
          <w:highlight w:val="none"/>
        </w:rPr>
        <w:t>4、响应有效期内撤销响应文件的；</w:t>
      </w:r>
    </w:p>
    <w:p w14:paraId="61A683CA">
      <w:pPr>
        <w:pStyle w:val="5"/>
        <w:bidi w:val="0"/>
        <w:rPr>
          <w:rFonts w:hint="eastAsia" w:ascii="宋体" w:hAnsi="宋体" w:eastAsia="宋体" w:cs="宋体"/>
          <w:highlight w:val="none"/>
        </w:rPr>
      </w:pPr>
      <w:r>
        <w:rPr>
          <w:rFonts w:hint="eastAsia" w:ascii="宋体" w:hAnsi="宋体" w:eastAsia="宋体" w:cs="宋体"/>
          <w:highlight w:val="none"/>
        </w:rPr>
        <w:t>5、承诺后，无故不参加本项目采购活动的。</w:t>
      </w:r>
    </w:p>
    <w:p w14:paraId="4AFA81BC">
      <w:pPr>
        <w:pStyle w:val="5"/>
        <w:bidi w:val="0"/>
        <w:rPr>
          <w:rFonts w:hint="eastAsia" w:ascii="宋体" w:hAnsi="宋体" w:eastAsia="宋体" w:cs="宋体"/>
          <w:highlight w:val="none"/>
          <w:lang w:eastAsia="zh-CN"/>
        </w:rPr>
      </w:pPr>
      <w:r>
        <w:rPr>
          <w:rFonts w:hint="eastAsia" w:ascii="宋体" w:hAnsi="宋体" w:eastAsia="宋体" w:cs="宋体"/>
          <w:highlight w:val="none"/>
        </w:rPr>
        <w:t>6、除因不可抗力或磋商文件认可的情形以外，成交供应商不与采购人签订合同</w:t>
      </w:r>
      <w:r>
        <w:rPr>
          <w:rFonts w:hint="eastAsia" w:ascii="宋体" w:hAnsi="宋体" w:eastAsia="宋体" w:cs="宋体"/>
          <w:highlight w:val="none"/>
          <w:lang w:eastAsia="zh-CN"/>
        </w:rPr>
        <w:t>；</w:t>
      </w:r>
    </w:p>
    <w:p w14:paraId="2942100F">
      <w:pPr>
        <w:pStyle w:val="5"/>
        <w:bidi w:val="0"/>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四、响应报价</w:t>
      </w:r>
    </w:p>
    <w:p w14:paraId="66876478">
      <w:pPr>
        <w:pStyle w:val="5"/>
        <w:bidi w:val="0"/>
        <w:rPr>
          <w:rFonts w:hint="eastAsia" w:ascii="宋体" w:hAnsi="宋体" w:eastAsia="宋体" w:cs="宋体"/>
          <w:highlight w:val="none"/>
        </w:rPr>
      </w:pPr>
      <w:r>
        <w:rPr>
          <w:rFonts w:hint="eastAsia" w:ascii="宋体" w:hAnsi="宋体" w:eastAsia="宋体" w:cs="宋体"/>
          <w:highlight w:val="none"/>
        </w:rPr>
        <w:t>响应报价是供应商响应采购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确认。</w:t>
      </w:r>
    </w:p>
    <w:p w14:paraId="5F872FBB">
      <w:pPr>
        <w:pStyle w:val="5"/>
        <w:bidi w:val="0"/>
        <w:rPr>
          <w:rFonts w:hint="eastAsia" w:ascii="宋体" w:hAnsi="宋体" w:eastAsia="宋体" w:cs="宋体"/>
          <w:highlight w:val="none"/>
        </w:rPr>
      </w:pPr>
      <w:r>
        <w:rPr>
          <w:rFonts w:hint="eastAsia" w:ascii="宋体" w:hAnsi="宋体" w:eastAsia="宋体" w:cs="宋体"/>
          <w:highlight w:val="none"/>
        </w:rPr>
        <w:t>（一）不得更改</w:t>
      </w:r>
      <w:r>
        <w:rPr>
          <w:rFonts w:hint="eastAsia" w:ascii="宋体" w:hAnsi="宋体" w:eastAsia="宋体" w:cs="宋体"/>
          <w:highlight w:val="none"/>
          <w:lang w:val="en-US" w:eastAsia="zh-CN"/>
        </w:rPr>
        <w:t>工程</w:t>
      </w:r>
      <w:r>
        <w:rPr>
          <w:rFonts w:hint="eastAsia" w:ascii="宋体" w:hAnsi="宋体" w:eastAsia="宋体" w:cs="宋体"/>
          <w:highlight w:val="none"/>
        </w:rPr>
        <w:t>量清单计价表中的序号、项目编码、项目名称、计量单位、数量，必须按</w:t>
      </w:r>
      <w:r>
        <w:rPr>
          <w:rFonts w:hint="eastAsia" w:ascii="宋体" w:hAnsi="宋体" w:eastAsia="宋体" w:cs="宋体"/>
          <w:highlight w:val="none"/>
          <w:lang w:val="en-US" w:eastAsia="zh-CN"/>
        </w:rPr>
        <w:t>工程</w:t>
      </w:r>
      <w:r>
        <w:rPr>
          <w:rFonts w:hint="eastAsia" w:ascii="宋体" w:hAnsi="宋体" w:eastAsia="宋体" w:cs="宋体"/>
          <w:highlight w:val="none"/>
        </w:rPr>
        <w:t>量清单中的相应内容填写，否则视为无效响应。</w:t>
      </w:r>
    </w:p>
    <w:p w14:paraId="749E33E2">
      <w:pPr>
        <w:pStyle w:val="5"/>
        <w:bidi w:val="0"/>
        <w:rPr>
          <w:rFonts w:hint="eastAsia" w:ascii="宋体" w:hAnsi="宋体" w:eastAsia="宋体" w:cs="宋体"/>
          <w:highlight w:val="none"/>
        </w:rPr>
      </w:pPr>
      <w:r>
        <w:rPr>
          <w:rFonts w:hint="eastAsia" w:ascii="宋体" w:hAnsi="宋体" w:eastAsia="宋体" w:cs="宋体"/>
          <w:highlight w:val="none"/>
        </w:rPr>
        <w:t>（三）响应报价货币：</w:t>
      </w:r>
      <w:r>
        <w:rPr>
          <w:rFonts w:hint="eastAsia" w:ascii="宋体" w:hAnsi="宋体" w:eastAsia="宋体" w:cs="宋体"/>
          <w:b/>
          <w:bCs/>
          <w:highlight w:val="none"/>
        </w:rPr>
        <w:t>人民币</w:t>
      </w:r>
      <w:r>
        <w:rPr>
          <w:rFonts w:hint="eastAsia" w:ascii="宋体" w:hAnsi="宋体" w:eastAsia="宋体" w:cs="宋体"/>
          <w:highlight w:val="none"/>
        </w:rPr>
        <w:t>；单位：</w:t>
      </w:r>
      <w:r>
        <w:rPr>
          <w:rFonts w:hint="eastAsia" w:ascii="宋体" w:hAnsi="宋体" w:eastAsia="宋体" w:cs="宋体"/>
          <w:b/>
          <w:bCs/>
          <w:highlight w:val="none"/>
        </w:rPr>
        <w:t>元</w:t>
      </w:r>
      <w:r>
        <w:rPr>
          <w:rFonts w:hint="eastAsia" w:ascii="宋体" w:hAnsi="宋体" w:eastAsia="宋体" w:cs="宋体"/>
          <w:highlight w:val="none"/>
        </w:rPr>
        <w:t>。</w:t>
      </w:r>
    </w:p>
    <w:p w14:paraId="5CB3B51E">
      <w:pPr>
        <w:pStyle w:val="5"/>
        <w:bidi w:val="0"/>
        <w:rPr>
          <w:rFonts w:hint="eastAsia" w:ascii="宋体" w:hAnsi="宋体" w:eastAsia="宋体" w:cs="宋体"/>
          <w:highlight w:val="none"/>
        </w:rPr>
      </w:pPr>
      <w:r>
        <w:rPr>
          <w:rFonts w:hint="eastAsia" w:ascii="宋体" w:hAnsi="宋体" w:eastAsia="宋体" w:cs="宋体"/>
          <w:highlight w:val="none"/>
        </w:rPr>
        <w:t>（四）响应报价只能提交唯一报价，并且在合同履行过程中是固定不变的，任何有选择的报价将不予接受，按无效响应处理。</w:t>
      </w:r>
    </w:p>
    <w:p w14:paraId="7F82B857">
      <w:pPr>
        <w:pStyle w:val="5"/>
        <w:bidi w:val="0"/>
        <w:rPr>
          <w:rFonts w:hint="eastAsia" w:ascii="宋体" w:hAnsi="宋体" w:eastAsia="宋体" w:cs="宋体"/>
          <w:highlight w:val="none"/>
        </w:rPr>
      </w:pPr>
      <w:r>
        <w:rPr>
          <w:rFonts w:hint="eastAsia" w:ascii="宋体" w:hAnsi="宋体" w:eastAsia="宋体" w:cs="宋体"/>
          <w:highlight w:val="none"/>
        </w:rPr>
        <w:t>（五）响应报价应遵守《中华人民共和国价格法》，供应商不得以低于成本的报价参与响应。</w:t>
      </w:r>
    </w:p>
    <w:p w14:paraId="1005E7CC">
      <w:pPr>
        <w:pStyle w:val="5"/>
        <w:bidi w:val="0"/>
        <w:rPr>
          <w:rFonts w:hint="eastAsia" w:ascii="宋体" w:hAnsi="宋体" w:eastAsia="宋体" w:cs="宋体"/>
          <w:highlight w:val="none"/>
        </w:rPr>
      </w:pPr>
      <w:r>
        <w:rPr>
          <w:rFonts w:hint="eastAsia" w:ascii="宋体" w:hAnsi="宋体" w:eastAsia="宋体" w:cs="宋体"/>
          <w:highlight w:val="none"/>
        </w:rPr>
        <w:t>（六）响应文件报价出现前后不一致的，除磋商文件另有规定外，按照下列规定修正：</w:t>
      </w:r>
    </w:p>
    <w:p w14:paraId="510308BC">
      <w:pPr>
        <w:pStyle w:val="5"/>
        <w:bidi w:val="0"/>
        <w:rPr>
          <w:rFonts w:hint="eastAsia" w:ascii="宋体" w:hAnsi="宋体" w:eastAsia="宋体" w:cs="宋体"/>
          <w:highlight w:val="none"/>
        </w:rPr>
      </w:pPr>
      <w:r>
        <w:rPr>
          <w:rFonts w:hint="eastAsia" w:ascii="宋体" w:hAnsi="宋体" w:eastAsia="宋体" w:cs="宋体"/>
          <w:highlight w:val="none"/>
        </w:rPr>
        <w:t>1、响应文件中开标一览表内容与响应文件中相应内容不一致的，以开标一览表为准；</w:t>
      </w:r>
    </w:p>
    <w:p w14:paraId="512D93CF">
      <w:pPr>
        <w:pStyle w:val="5"/>
        <w:bidi w:val="0"/>
        <w:rPr>
          <w:rFonts w:hint="eastAsia" w:ascii="宋体" w:hAnsi="宋体" w:eastAsia="宋体" w:cs="宋体"/>
          <w:highlight w:val="none"/>
        </w:rPr>
      </w:pPr>
      <w:r>
        <w:rPr>
          <w:rFonts w:hint="eastAsia" w:ascii="宋体" w:hAnsi="宋体" w:eastAsia="宋体" w:cs="宋体"/>
          <w:highlight w:val="none"/>
        </w:rPr>
        <w:t>2、大写金额和小写金额不一致的，以大写金额为准；</w:t>
      </w:r>
    </w:p>
    <w:p w14:paraId="70C96DAD">
      <w:pPr>
        <w:pStyle w:val="5"/>
        <w:bidi w:val="0"/>
        <w:rPr>
          <w:rFonts w:hint="eastAsia" w:ascii="宋体" w:hAnsi="宋体" w:eastAsia="宋体" w:cs="宋体"/>
          <w:highlight w:val="none"/>
        </w:rPr>
      </w:pPr>
      <w:r>
        <w:rPr>
          <w:rFonts w:hint="eastAsia" w:ascii="宋体" w:hAnsi="宋体" w:eastAsia="宋体" w:cs="宋体"/>
          <w:highlight w:val="none"/>
        </w:rPr>
        <w:t>3、单价金额小数点或者百分比有明显错位的，以开标一览表的总价为准，并修改单价；</w:t>
      </w:r>
    </w:p>
    <w:p w14:paraId="5416478E">
      <w:pPr>
        <w:pStyle w:val="5"/>
        <w:bidi w:val="0"/>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14:paraId="070DB014">
      <w:pPr>
        <w:pStyle w:val="5"/>
        <w:bidi w:val="0"/>
        <w:rPr>
          <w:rFonts w:hint="eastAsia" w:ascii="宋体" w:hAnsi="宋体" w:eastAsia="宋体" w:cs="宋体"/>
          <w:b/>
          <w:bCs/>
          <w:highlight w:val="none"/>
        </w:rPr>
      </w:pPr>
      <w:r>
        <w:rPr>
          <w:rFonts w:hint="eastAsia" w:ascii="宋体" w:hAnsi="宋体" w:eastAsia="宋体" w:cs="宋体"/>
          <w:highlight w:val="none"/>
        </w:rPr>
        <w:t>同时出现两种以上不一致的，按照前款规定的顺序修正。</w:t>
      </w:r>
      <w:r>
        <w:rPr>
          <w:rFonts w:hint="eastAsia" w:ascii="宋体" w:hAnsi="宋体" w:eastAsia="宋体" w:cs="宋体"/>
          <w:b/>
          <w:bCs/>
          <w:highlight w:val="none"/>
        </w:rPr>
        <w:t>修正后的报价经供应商确认后产生约束力，供应商不确认的，其响应无效。</w:t>
      </w:r>
    </w:p>
    <w:p w14:paraId="772F4680">
      <w:pPr>
        <w:pStyle w:val="5"/>
        <w:bidi w:val="0"/>
        <w:rPr>
          <w:rFonts w:hint="eastAsia" w:ascii="宋体" w:hAnsi="宋体" w:eastAsia="宋体" w:cs="宋体"/>
          <w:highlight w:val="none"/>
        </w:rPr>
      </w:pPr>
      <w:r>
        <w:rPr>
          <w:rFonts w:hint="eastAsia" w:ascii="宋体" w:hAnsi="宋体" w:eastAsia="宋体" w:cs="宋体"/>
          <w:highlight w:val="none"/>
        </w:rPr>
        <w:t>（七）因供应商对磋商文件理解不透、误解、疏漏或对市场行情了解不清造成的后果和风险，均由供应商自己负责。</w:t>
      </w:r>
    </w:p>
    <w:p w14:paraId="772D2109">
      <w:pPr>
        <w:pStyle w:val="5"/>
        <w:bidi w:val="0"/>
        <w:rPr>
          <w:rFonts w:hint="eastAsia" w:ascii="宋体" w:hAnsi="宋体" w:eastAsia="宋体" w:cs="宋体"/>
          <w:b/>
          <w:bCs/>
          <w:highlight w:val="none"/>
        </w:rPr>
      </w:pPr>
      <w:r>
        <w:rPr>
          <w:rFonts w:hint="eastAsia" w:ascii="宋体" w:hAnsi="宋体" w:eastAsia="宋体" w:cs="宋体"/>
          <w:b/>
          <w:bCs/>
          <w:highlight w:val="none"/>
        </w:rPr>
        <w:t>五、响应文件</w:t>
      </w:r>
    </w:p>
    <w:p w14:paraId="2F4D2F12">
      <w:pPr>
        <w:pStyle w:val="5"/>
        <w:bidi w:val="0"/>
        <w:rPr>
          <w:rFonts w:hint="eastAsia" w:ascii="宋体" w:hAnsi="宋体" w:eastAsia="宋体" w:cs="宋体"/>
          <w:b/>
          <w:bCs/>
          <w:highlight w:val="none"/>
        </w:rPr>
      </w:pPr>
      <w:r>
        <w:rPr>
          <w:rFonts w:hint="eastAsia" w:ascii="宋体" w:hAnsi="宋体" w:eastAsia="宋体" w:cs="宋体"/>
          <w:b/>
          <w:bCs/>
          <w:highlight w:val="none"/>
        </w:rPr>
        <w:t>（一）响应文件的式样</w:t>
      </w:r>
    </w:p>
    <w:p w14:paraId="44C1F094">
      <w:pPr>
        <w:pStyle w:val="5"/>
        <w:bidi w:val="0"/>
        <w:rPr>
          <w:rFonts w:hint="eastAsia" w:ascii="宋体" w:hAnsi="宋体" w:eastAsia="宋体" w:cs="宋体"/>
          <w:highlight w:val="none"/>
        </w:rPr>
      </w:pPr>
      <w:r>
        <w:rPr>
          <w:rFonts w:hint="eastAsia" w:ascii="宋体" w:hAnsi="宋体" w:eastAsia="宋体" w:cs="宋体"/>
          <w:highlight w:val="none"/>
        </w:rPr>
        <w:t>本项目采用电子响应文件的形式。</w:t>
      </w:r>
    </w:p>
    <w:p w14:paraId="3C25E743">
      <w:pPr>
        <w:pStyle w:val="5"/>
        <w:bidi w:val="0"/>
        <w:rPr>
          <w:rFonts w:hint="eastAsia" w:ascii="宋体" w:hAnsi="宋体" w:eastAsia="宋体" w:cs="宋体"/>
          <w:highlight w:val="none"/>
        </w:rPr>
      </w:pPr>
      <w:r>
        <w:rPr>
          <w:rFonts w:hint="eastAsia" w:ascii="宋体" w:hAnsi="宋体" w:eastAsia="宋体" w:cs="宋体"/>
          <w:highlight w:val="none"/>
        </w:rPr>
        <w:t>编制电子响应文件时，应使用最新发布的电子磋商文件及专用制作工具进行编制。并使用数字认证证书（CA 锁）对电子响应文件进行签章、加密、递交及磋商会议时解密等相关采购活动事宜。</w:t>
      </w:r>
    </w:p>
    <w:p w14:paraId="34BBCBC9">
      <w:pPr>
        <w:pStyle w:val="5"/>
        <w:bidi w:val="0"/>
        <w:rPr>
          <w:rFonts w:hint="eastAsia" w:ascii="宋体" w:hAnsi="宋体" w:eastAsia="宋体" w:cs="宋体"/>
          <w:highlight w:val="none"/>
        </w:rPr>
      </w:pPr>
      <w:r>
        <w:rPr>
          <w:rFonts w:hint="eastAsia" w:ascii="宋体" w:hAnsi="宋体" w:eastAsia="宋体" w:cs="宋体"/>
          <w:highlight w:val="none"/>
        </w:rPr>
        <w:t>1、电子磋商文件下载。供应商登录全国公共资源交易平台（陕西省）网站〖首页·〉电子交易平台·〉企业端〗后，在〖磋商公告/出让公告〗模块中选择项目点击“我要投标”，参与响应活动。然后即可在〖我的项目〗中点击“项目流程&gt;交易文件下载”下载电子磋商文件。</w:t>
      </w:r>
    </w:p>
    <w:p w14:paraId="6B3E332A">
      <w:pPr>
        <w:pStyle w:val="5"/>
        <w:bidi w:val="0"/>
        <w:rPr>
          <w:rFonts w:hint="eastAsia" w:ascii="宋体" w:hAnsi="宋体" w:eastAsia="宋体" w:cs="宋体"/>
          <w:highlight w:val="none"/>
        </w:rPr>
      </w:pPr>
      <w:r>
        <w:rPr>
          <w:rFonts w:hint="eastAsia" w:ascii="宋体" w:hAnsi="宋体" w:eastAsia="宋体" w:cs="宋体"/>
          <w:highlight w:val="none"/>
        </w:rPr>
        <w:t>2、电子磋商文件需要使用专用软件打开、浏览。供应商可在全国公共资源交易平台（陕西省）网站〖首页·〉服务指南·〉下载专区〗免费下载“陕西省公共资源交易平台政府采购电子标书制作工具(V</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"8.0.0.2" </w:instrText>
      </w:r>
      <w:r>
        <w:rPr>
          <w:rFonts w:hint="eastAsia" w:ascii="宋体" w:hAnsi="宋体" w:eastAsia="宋体" w:cs="宋体"/>
          <w:highlight w:val="none"/>
        </w:rPr>
        <w:fldChar w:fldCharType="separate"/>
      </w:r>
      <w:r>
        <w:rPr>
          <w:rFonts w:hint="eastAsia" w:ascii="宋体" w:hAnsi="宋体" w:eastAsia="宋体" w:cs="宋体"/>
          <w:highlight w:val="none"/>
        </w:rPr>
        <w:t>8.0.0.2</w:t>
      </w:r>
      <w:r>
        <w:rPr>
          <w:rFonts w:hint="eastAsia" w:ascii="宋体" w:hAnsi="宋体" w:eastAsia="宋体" w:cs="宋体"/>
          <w:highlight w:val="none"/>
        </w:rPr>
        <w:fldChar w:fldCharType="end"/>
      </w:r>
      <w:r>
        <w:rPr>
          <w:rFonts w:hint="eastAsia" w:ascii="宋体" w:hAnsi="宋体" w:eastAsia="宋体" w:cs="宋体"/>
          <w:highlight w:val="none"/>
        </w:rPr>
        <w:t>)”，并升级至最新版本，使用该客户端可以打开电子磋商文件。软件操作手册详见全国公共资源交易平台（陕西省）网站〖首页·〉服务指南·〉下载专区〗中的《陕西省公共资源交易（政府采购类）响应文件制作软件操作手册》。</w:t>
      </w:r>
    </w:p>
    <w:p w14:paraId="710F2B6D">
      <w:pPr>
        <w:pStyle w:val="5"/>
        <w:bidi w:val="0"/>
        <w:rPr>
          <w:rFonts w:hint="eastAsia" w:ascii="宋体" w:hAnsi="宋体" w:eastAsia="宋体" w:cs="宋体"/>
          <w:highlight w:val="none"/>
        </w:rPr>
      </w:pPr>
      <w:r>
        <w:rPr>
          <w:rFonts w:hint="eastAsia" w:ascii="宋体" w:hAnsi="宋体" w:eastAsia="宋体" w:cs="宋体"/>
          <w:highlight w:val="none"/>
        </w:rPr>
        <w:t>3、制作电子响应文件。在编制过程中，如有技术性问题，请先翻阅操作手册，或致电软件开发商。</w:t>
      </w:r>
    </w:p>
    <w:p w14:paraId="538C5117">
      <w:pPr>
        <w:pStyle w:val="5"/>
        <w:bidi w:val="0"/>
        <w:rPr>
          <w:rFonts w:hint="eastAsia" w:ascii="宋体" w:hAnsi="宋体" w:eastAsia="宋体" w:cs="宋体"/>
          <w:highlight w:val="none"/>
        </w:rPr>
      </w:pPr>
      <w:r>
        <w:rPr>
          <w:rFonts w:hint="eastAsia" w:ascii="宋体" w:hAnsi="宋体" w:eastAsia="宋体" w:cs="宋体"/>
          <w:highlight w:val="none"/>
        </w:rPr>
        <w:t>技术支持热线：4009280095、4009980000</w:t>
      </w:r>
    </w:p>
    <w:p w14:paraId="061FF08B">
      <w:pPr>
        <w:pStyle w:val="5"/>
        <w:bidi w:val="0"/>
        <w:rPr>
          <w:rFonts w:hint="eastAsia" w:ascii="宋体" w:hAnsi="宋体" w:eastAsia="宋体" w:cs="宋体"/>
          <w:highlight w:val="none"/>
          <w:lang w:eastAsia="zh-CN"/>
        </w:rPr>
      </w:pPr>
      <w:r>
        <w:rPr>
          <w:rFonts w:hint="eastAsia" w:ascii="宋体" w:hAnsi="宋体" w:eastAsia="宋体" w:cs="宋体"/>
          <w:highlight w:val="none"/>
        </w:rPr>
        <w:t>CA 锁购买：榆林市市民大厦三楼窗口,电话：</w:t>
      </w:r>
      <w:r>
        <w:rPr>
          <w:rFonts w:hint="eastAsia" w:ascii="宋体" w:hAnsi="宋体" w:eastAsia="宋体" w:cs="宋体"/>
          <w:highlight w:val="none"/>
          <w:lang w:eastAsia="zh-CN"/>
        </w:rPr>
        <w:t>0912-3452148</w:t>
      </w:r>
    </w:p>
    <w:p w14:paraId="636A1B80">
      <w:pPr>
        <w:pStyle w:val="5"/>
        <w:bidi w:val="0"/>
        <w:rPr>
          <w:rFonts w:hint="eastAsia" w:ascii="宋体" w:hAnsi="宋体" w:eastAsia="宋体" w:cs="宋体"/>
          <w:b/>
          <w:bCs/>
          <w:highlight w:val="none"/>
        </w:rPr>
      </w:pPr>
      <w:r>
        <w:rPr>
          <w:rFonts w:hint="eastAsia" w:ascii="宋体" w:hAnsi="宋体" w:eastAsia="宋体" w:cs="宋体"/>
          <w:b/>
          <w:bCs/>
          <w:highlight w:val="none"/>
        </w:rPr>
        <w:t>（二）响应文件有效期</w:t>
      </w:r>
    </w:p>
    <w:p w14:paraId="522558EE">
      <w:pPr>
        <w:pStyle w:val="5"/>
        <w:bidi w:val="0"/>
        <w:rPr>
          <w:rFonts w:hint="eastAsia" w:ascii="宋体" w:hAnsi="宋体" w:eastAsia="宋体" w:cs="宋体"/>
          <w:highlight w:val="none"/>
        </w:rPr>
      </w:pPr>
      <w:r>
        <w:rPr>
          <w:rFonts w:hint="eastAsia" w:ascii="宋体" w:hAnsi="宋体" w:eastAsia="宋体" w:cs="宋体"/>
          <w:highlight w:val="none"/>
        </w:rPr>
        <w:t>响应文件有效期为</w:t>
      </w:r>
      <w:r>
        <w:rPr>
          <w:rFonts w:hint="eastAsia" w:ascii="宋体" w:hAnsi="宋体" w:eastAsia="宋体" w:cs="宋体"/>
          <w:b/>
          <w:bCs/>
          <w:highlight w:val="none"/>
        </w:rPr>
        <w:t>自召开磋商会议之日起90日历天</w:t>
      </w:r>
      <w:r>
        <w:rPr>
          <w:rFonts w:hint="eastAsia" w:ascii="宋体" w:hAnsi="宋体" w:eastAsia="宋体" w:cs="宋体"/>
          <w:highlight w:val="none"/>
        </w:rPr>
        <w:t>。如成交，延长至合同执行 完毕时止。</w:t>
      </w:r>
    </w:p>
    <w:p w14:paraId="7FDFCCAC">
      <w:pPr>
        <w:pStyle w:val="5"/>
        <w:bidi w:val="0"/>
        <w:rPr>
          <w:rFonts w:hint="eastAsia" w:ascii="宋体" w:hAnsi="宋体" w:eastAsia="宋体" w:cs="宋体"/>
          <w:b/>
          <w:bCs/>
          <w:highlight w:val="none"/>
        </w:rPr>
      </w:pPr>
      <w:r>
        <w:rPr>
          <w:rFonts w:hint="eastAsia" w:ascii="宋体" w:hAnsi="宋体" w:eastAsia="宋体" w:cs="宋体"/>
          <w:b/>
          <w:bCs/>
          <w:highlight w:val="none"/>
        </w:rPr>
        <w:t>（三）响应文件的签署</w:t>
      </w:r>
    </w:p>
    <w:p w14:paraId="72A18278">
      <w:pPr>
        <w:pStyle w:val="5"/>
        <w:bidi w:val="0"/>
        <w:rPr>
          <w:rFonts w:hint="eastAsia" w:ascii="宋体" w:hAnsi="宋体" w:eastAsia="宋体" w:cs="宋体"/>
          <w:highlight w:val="none"/>
        </w:rPr>
      </w:pPr>
      <w:r>
        <w:rPr>
          <w:rFonts w:hint="eastAsia" w:ascii="宋体" w:hAnsi="宋体" w:eastAsia="宋体" w:cs="宋体"/>
          <w:highlight w:val="none"/>
        </w:rPr>
        <w:t>1、响应文件加盖供应商公章，并有供应商的法定代表人或被授权人签字，不得由他人代签。</w:t>
      </w:r>
    </w:p>
    <w:p w14:paraId="32E444D2">
      <w:pPr>
        <w:pStyle w:val="5"/>
        <w:bidi w:val="0"/>
        <w:rPr>
          <w:rFonts w:hint="eastAsia" w:ascii="宋体" w:hAnsi="宋体" w:eastAsia="宋体" w:cs="宋体"/>
          <w:highlight w:val="none"/>
        </w:rPr>
      </w:pPr>
      <w:r>
        <w:rPr>
          <w:rFonts w:hint="eastAsia" w:ascii="宋体" w:hAnsi="宋体" w:eastAsia="宋体" w:cs="宋体"/>
          <w:highlight w:val="none"/>
        </w:rPr>
        <w:t>2、除供应商对错、漏处作必要修改外，响应文件不得行间插字、涂改和增删，如</w:t>
      </w:r>
    </w:p>
    <w:p w14:paraId="28A3B580">
      <w:pPr>
        <w:pStyle w:val="5"/>
        <w:bidi w:val="0"/>
        <w:rPr>
          <w:rFonts w:hint="eastAsia" w:ascii="宋体" w:hAnsi="宋体" w:eastAsia="宋体" w:cs="宋体"/>
          <w:highlight w:val="none"/>
        </w:rPr>
      </w:pPr>
      <w:r>
        <w:rPr>
          <w:rFonts w:hint="eastAsia" w:ascii="宋体" w:hAnsi="宋体" w:eastAsia="宋体" w:cs="宋体"/>
          <w:highlight w:val="none"/>
        </w:rPr>
        <w:t>有修改错、漏处，必须有供应商的法定代表人或被授权人签字。</w:t>
      </w:r>
    </w:p>
    <w:p w14:paraId="0678DE76">
      <w:pPr>
        <w:pStyle w:val="5"/>
        <w:bidi w:val="0"/>
        <w:rPr>
          <w:rFonts w:hint="eastAsia" w:ascii="宋体" w:hAnsi="宋体" w:eastAsia="宋体" w:cs="宋体"/>
          <w:highlight w:val="none"/>
        </w:rPr>
      </w:pPr>
      <w:r>
        <w:rPr>
          <w:rFonts w:hint="eastAsia" w:ascii="宋体" w:hAnsi="宋体" w:eastAsia="宋体" w:cs="宋体"/>
          <w:highlight w:val="none"/>
        </w:rPr>
        <w:t>3、响应函、法定代表人证明书、法定代表人授权委托书、供应商信用承诺书、信</w:t>
      </w:r>
    </w:p>
    <w:p w14:paraId="2DE9E984">
      <w:pPr>
        <w:pStyle w:val="5"/>
        <w:bidi w:val="0"/>
        <w:rPr>
          <w:rFonts w:hint="eastAsia" w:ascii="宋体" w:hAnsi="宋体" w:eastAsia="宋体" w:cs="宋体"/>
          <w:highlight w:val="none"/>
        </w:rPr>
      </w:pPr>
      <w:r>
        <w:rPr>
          <w:rFonts w:hint="eastAsia" w:ascii="宋体" w:hAnsi="宋体" w:eastAsia="宋体" w:cs="宋体"/>
          <w:highlight w:val="none"/>
        </w:rPr>
        <w:t>用（保证金）承诺书必须由法定代表人签字。未按上述要求签署，响应无效。</w:t>
      </w:r>
    </w:p>
    <w:p w14:paraId="08F9C5CE">
      <w:pPr>
        <w:pStyle w:val="5"/>
        <w:bidi w:val="0"/>
        <w:rPr>
          <w:rFonts w:hint="eastAsia" w:ascii="宋体" w:hAnsi="宋体" w:eastAsia="宋体" w:cs="宋体"/>
          <w:b/>
          <w:bCs/>
          <w:highlight w:val="none"/>
        </w:rPr>
      </w:pPr>
      <w:r>
        <w:rPr>
          <w:rFonts w:hint="eastAsia" w:ascii="宋体" w:hAnsi="宋体" w:eastAsia="宋体" w:cs="宋体"/>
          <w:b/>
          <w:bCs/>
          <w:highlight w:val="none"/>
        </w:rPr>
        <w:t>（四）响应文件的提交</w:t>
      </w:r>
    </w:p>
    <w:p w14:paraId="6FBFD3FE">
      <w:pPr>
        <w:pStyle w:val="5"/>
        <w:bidi w:val="0"/>
        <w:rPr>
          <w:rFonts w:hint="eastAsia" w:ascii="宋体" w:hAnsi="宋体" w:eastAsia="宋体" w:cs="宋体"/>
          <w:highlight w:val="none"/>
        </w:rPr>
      </w:pPr>
      <w:r>
        <w:rPr>
          <w:rFonts w:hint="eastAsia" w:ascii="宋体" w:hAnsi="宋体" w:eastAsia="宋体" w:cs="宋体"/>
          <w:highlight w:val="none"/>
        </w:rPr>
        <w:t>电子响应文件可于提交响应文件截止时间前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14:paraId="72EB6EE1">
      <w:pPr>
        <w:pStyle w:val="5"/>
        <w:bidi w:val="0"/>
        <w:rPr>
          <w:rFonts w:hint="eastAsia" w:ascii="宋体" w:hAnsi="宋体" w:eastAsia="宋体" w:cs="宋体"/>
          <w:b/>
          <w:bCs/>
          <w:highlight w:val="none"/>
        </w:rPr>
      </w:pPr>
      <w:r>
        <w:rPr>
          <w:rFonts w:hint="eastAsia" w:ascii="宋体" w:hAnsi="宋体" w:eastAsia="宋体" w:cs="宋体"/>
          <w:b/>
          <w:bCs/>
          <w:highlight w:val="none"/>
        </w:rPr>
        <w:t>（五）响应文件的补充、修改和撤回</w:t>
      </w:r>
    </w:p>
    <w:p w14:paraId="324574CA">
      <w:pPr>
        <w:pStyle w:val="5"/>
        <w:bidi w:val="0"/>
        <w:rPr>
          <w:rFonts w:hint="eastAsia" w:ascii="宋体" w:hAnsi="宋体" w:eastAsia="宋体" w:cs="宋体"/>
          <w:highlight w:val="none"/>
        </w:rPr>
      </w:pPr>
      <w:r>
        <w:rPr>
          <w:rFonts w:hint="eastAsia" w:ascii="宋体" w:hAnsi="宋体" w:eastAsia="宋体" w:cs="宋体"/>
          <w:highlight w:val="none"/>
        </w:rPr>
        <w:t>1、供应商在递交响应文件后，且在提交响应文件截止时间前，可以对所提交的响应文件进行补充、修改或撤回。</w:t>
      </w:r>
    </w:p>
    <w:p w14:paraId="7FF07E05">
      <w:pPr>
        <w:pStyle w:val="5"/>
        <w:bidi w:val="0"/>
        <w:rPr>
          <w:rFonts w:hint="eastAsia" w:ascii="宋体" w:hAnsi="宋体" w:eastAsia="宋体" w:cs="宋体"/>
          <w:highlight w:val="none"/>
        </w:rPr>
      </w:pPr>
      <w:r>
        <w:rPr>
          <w:rFonts w:hint="eastAsia" w:ascii="宋体" w:hAnsi="宋体" w:eastAsia="宋体" w:cs="宋体"/>
          <w:highlight w:val="none"/>
        </w:rPr>
        <w:t>2、对电子响应文件进行补充、修改的，应先从电子交易平台上撤回旧版，再重新提交新版。</w:t>
      </w:r>
    </w:p>
    <w:p w14:paraId="035C2D5F">
      <w:pPr>
        <w:pStyle w:val="5"/>
        <w:bidi w:val="0"/>
        <w:rPr>
          <w:rFonts w:hint="eastAsia" w:ascii="宋体" w:hAnsi="宋体" w:eastAsia="宋体" w:cs="宋体"/>
          <w:highlight w:val="none"/>
        </w:rPr>
      </w:pPr>
      <w:r>
        <w:rPr>
          <w:rFonts w:hint="eastAsia" w:ascii="宋体" w:hAnsi="宋体" w:eastAsia="宋体" w:cs="宋体"/>
          <w:highlight w:val="none"/>
        </w:rPr>
        <w:t>3、响应文件提交截止时间后，供应商不得对其响应文件做任何修改。</w:t>
      </w:r>
    </w:p>
    <w:p w14:paraId="4EF27B79">
      <w:pPr>
        <w:pStyle w:val="5"/>
        <w:bidi w:val="0"/>
        <w:rPr>
          <w:rFonts w:hint="eastAsia" w:ascii="宋体" w:hAnsi="宋体" w:eastAsia="宋体" w:cs="宋体"/>
          <w:highlight w:val="none"/>
        </w:rPr>
      </w:pPr>
      <w:r>
        <w:rPr>
          <w:rFonts w:hint="eastAsia" w:ascii="宋体" w:hAnsi="宋体" w:eastAsia="宋体" w:cs="宋体"/>
          <w:highlight w:val="none"/>
        </w:rPr>
        <w:t>4、供应商在提交响应文件截止时间后撤回响应文件的，信用将受到影响。</w:t>
      </w:r>
    </w:p>
    <w:p w14:paraId="62B25980">
      <w:pPr>
        <w:pStyle w:val="5"/>
        <w:bidi w:val="0"/>
        <w:rPr>
          <w:rFonts w:hint="eastAsia" w:ascii="宋体" w:hAnsi="宋体" w:eastAsia="宋体" w:cs="宋体"/>
          <w:highlight w:val="none"/>
        </w:rPr>
      </w:pPr>
      <w:r>
        <w:rPr>
          <w:rFonts w:hint="eastAsia" w:ascii="宋体" w:hAnsi="宋体" w:eastAsia="宋体" w:cs="宋体"/>
          <w:b/>
          <w:bCs/>
          <w:highlight w:val="none"/>
        </w:rPr>
        <w:t>（六）供应商出现下列情况之一的，其响应文件视为无效文件：</w:t>
      </w:r>
    </w:p>
    <w:p w14:paraId="6E56CDE4">
      <w:pPr>
        <w:pStyle w:val="5"/>
        <w:bidi w:val="0"/>
        <w:rPr>
          <w:rFonts w:hint="eastAsia" w:ascii="宋体" w:hAnsi="宋体" w:eastAsia="宋体" w:cs="宋体"/>
          <w:highlight w:val="none"/>
        </w:rPr>
      </w:pPr>
      <w:r>
        <w:rPr>
          <w:rFonts w:hint="eastAsia" w:ascii="宋体" w:hAnsi="宋体" w:eastAsia="宋体" w:cs="宋体"/>
          <w:highlight w:val="none"/>
        </w:rPr>
        <w:t>1.逾期提交电子响应文件；</w:t>
      </w:r>
    </w:p>
    <w:p w14:paraId="4CF0A091">
      <w:pPr>
        <w:pStyle w:val="5"/>
        <w:bidi w:val="0"/>
        <w:rPr>
          <w:rFonts w:hint="eastAsia" w:ascii="宋体" w:hAnsi="宋体" w:eastAsia="宋体" w:cs="宋体"/>
          <w:highlight w:val="none"/>
        </w:rPr>
      </w:pPr>
      <w:r>
        <w:rPr>
          <w:rFonts w:hint="eastAsia" w:ascii="宋体" w:hAnsi="宋体" w:eastAsia="宋体" w:cs="宋体"/>
          <w:highlight w:val="none"/>
        </w:rPr>
        <w:t>2.提交的响应文件与本项目不相符；</w:t>
      </w:r>
    </w:p>
    <w:p w14:paraId="211565F7">
      <w:pPr>
        <w:pStyle w:val="5"/>
        <w:bidi w:val="0"/>
        <w:rPr>
          <w:rFonts w:hint="eastAsia" w:ascii="宋体" w:hAnsi="宋体" w:eastAsia="宋体" w:cs="宋体"/>
          <w:highlight w:val="none"/>
        </w:rPr>
      </w:pPr>
      <w:r>
        <w:rPr>
          <w:rFonts w:hint="eastAsia" w:ascii="宋体" w:hAnsi="宋体" w:eastAsia="宋体" w:cs="宋体"/>
          <w:highlight w:val="none"/>
        </w:rPr>
        <w:t>3.响应人拒绝对电子响应文件进行解密；</w:t>
      </w:r>
    </w:p>
    <w:p w14:paraId="27692184">
      <w:pPr>
        <w:pStyle w:val="5"/>
        <w:bidi w:val="0"/>
        <w:rPr>
          <w:rFonts w:hint="eastAsia" w:ascii="宋体" w:hAnsi="宋体" w:eastAsia="宋体" w:cs="宋体"/>
          <w:highlight w:val="none"/>
        </w:rPr>
      </w:pPr>
      <w:r>
        <w:rPr>
          <w:rFonts w:hint="eastAsia" w:ascii="宋体" w:hAnsi="宋体" w:eastAsia="宋体" w:cs="宋体"/>
          <w:highlight w:val="none"/>
        </w:rPr>
        <w:t>4.因供应商自身原因（如在榆林市不见面开标大厅响应截止时间前未签到、供应商网络设备故障或沿用旧版磋商文件编制响应文件等情形），导致在规定时间内无法解密响应文件；</w:t>
      </w:r>
    </w:p>
    <w:p w14:paraId="5D93B6AD">
      <w:pPr>
        <w:pStyle w:val="5"/>
        <w:bidi w:val="0"/>
        <w:rPr>
          <w:rFonts w:hint="eastAsia" w:ascii="宋体" w:hAnsi="宋体" w:eastAsia="宋体" w:cs="宋体"/>
          <w:highlight w:val="none"/>
        </w:rPr>
      </w:pPr>
      <w:r>
        <w:rPr>
          <w:rFonts w:hint="eastAsia" w:ascii="宋体" w:hAnsi="宋体" w:eastAsia="宋体" w:cs="宋体"/>
          <w:highlight w:val="none"/>
        </w:rPr>
        <w:t>5.上传的电子响应文件无法打开；</w:t>
      </w:r>
    </w:p>
    <w:p w14:paraId="67EBF5EE">
      <w:pPr>
        <w:pStyle w:val="5"/>
        <w:bidi w:val="0"/>
        <w:rPr>
          <w:rFonts w:hint="eastAsia" w:ascii="宋体" w:hAnsi="宋体" w:eastAsia="宋体" w:cs="宋体"/>
          <w:highlight w:val="none"/>
        </w:rPr>
      </w:pPr>
      <w:r>
        <w:rPr>
          <w:rFonts w:hint="eastAsia" w:ascii="宋体" w:hAnsi="宋体" w:eastAsia="宋体" w:cs="宋体"/>
          <w:highlight w:val="none"/>
        </w:rPr>
        <w:t>6.未按照磋商文件上传各种承诺的；</w:t>
      </w:r>
    </w:p>
    <w:p w14:paraId="64D3BE98">
      <w:pPr>
        <w:pStyle w:val="5"/>
        <w:bidi w:val="0"/>
        <w:rPr>
          <w:rFonts w:hint="eastAsia" w:ascii="宋体" w:hAnsi="宋体" w:eastAsia="宋体" w:cs="宋体"/>
          <w:highlight w:val="none"/>
        </w:rPr>
      </w:pPr>
      <w:r>
        <w:rPr>
          <w:rFonts w:hint="eastAsia" w:ascii="宋体" w:hAnsi="宋体" w:eastAsia="宋体" w:cs="宋体"/>
          <w:highlight w:val="none"/>
        </w:rPr>
        <w:t>7.未按照磋商文件要求签署的。</w:t>
      </w:r>
    </w:p>
    <w:p w14:paraId="6E05943A">
      <w:pPr>
        <w:pStyle w:val="5"/>
        <w:bidi w:val="0"/>
        <w:rPr>
          <w:rFonts w:hint="eastAsia" w:ascii="宋体" w:hAnsi="宋体" w:eastAsia="宋体" w:cs="宋体"/>
          <w:b/>
          <w:bCs/>
          <w:highlight w:val="none"/>
        </w:rPr>
      </w:pPr>
      <w:r>
        <w:rPr>
          <w:rFonts w:hint="eastAsia" w:ascii="宋体" w:hAnsi="宋体" w:eastAsia="宋体" w:cs="宋体"/>
          <w:b/>
          <w:bCs/>
          <w:highlight w:val="none"/>
        </w:rPr>
        <w:t>六、组织磋商会议</w:t>
      </w:r>
    </w:p>
    <w:p w14:paraId="2A428A7E">
      <w:pPr>
        <w:pStyle w:val="5"/>
        <w:bidi w:val="0"/>
        <w:rPr>
          <w:rFonts w:hint="eastAsia" w:ascii="宋体" w:hAnsi="宋体" w:eastAsia="宋体" w:cs="宋体"/>
          <w:highlight w:val="none"/>
        </w:rPr>
      </w:pPr>
      <w:r>
        <w:rPr>
          <w:rFonts w:hint="eastAsia" w:ascii="宋体" w:hAnsi="宋体" w:eastAsia="宋体" w:cs="宋体"/>
          <w:highlight w:val="none"/>
        </w:rPr>
        <w:t>（一）采购代理机构组织采购、召开磋商会议、评审工作，整个过程受政府采购监管机构的监督、管理。</w:t>
      </w:r>
    </w:p>
    <w:p w14:paraId="727817DE">
      <w:pPr>
        <w:pStyle w:val="5"/>
        <w:bidi w:val="0"/>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highlight w:val="none"/>
          <w:lang w:eastAsia="zh-CN"/>
        </w:rPr>
        <w:t>采购代理机构</w:t>
      </w:r>
      <w:r>
        <w:rPr>
          <w:rFonts w:hint="eastAsia" w:ascii="宋体" w:hAnsi="宋体" w:eastAsia="宋体" w:cs="宋体"/>
          <w:highlight w:val="none"/>
        </w:rPr>
        <w:t>在磋商文件规定的时间和地点组织召开磋商会议，供应商必须在榆林市不见面开标大厅系统签名报到。</w:t>
      </w:r>
    </w:p>
    <w:p w14:paraId="5501F0D3">
      <w:pPr>
        <w:pStyle w:val="5"/>
        <w:bidi w:val="0"/>
        <w:rPr>
          <w:rFonts w:hint="eastAsia" w:ascii="宋体" w:hAnsi="宋体" w:eastAsia="宋体" w:cs="宋体"/>
          <w:b/>
          <w:bCs/>
          <w:highlight w:val="none"/>
        </w:rPr>
      </w:pPr>
      <w:r>
        <w:rPr>
          <w:rFonts w:hint="eastAsia" w:ascii="宋体" w:hAnsi="宋体" w:eastAsia="宋体" w:cs="宋体"/>
          <w:b/>
          <w:bCs/>
          <w:highlight w:val="none"/>
        </w:rPr>
        <w:t>供应商不足 3 家的，不得进行磋商会议。</w:t>
      </w:r>
    </w:p>
    <w:p w14:paraId="0E9D9BF1">
      <w:pPr>
        <w:pStyle w:val="5"/>
        <w:bidi w:val="0"/>
        <w:rPr>
          <w:rFonts w:hint="eastAsia" w:ascii="宋体" w:hAnsi="宋体" w:eastAsia="宋体" w:cs="宋体"/>
          <w:b/>
          <w:bCs/>
          <w:highlight w:val="none"/>
        </w:rPr>
      </w:pPr>
      <w:r>
        <w:rPr>
          <w:rFonts w:hint="eastAsia" w:ascii="宋体" w:hAnsi="宋体" w:eastAsia="宋体" w:cs="宋体"/>
          <w:b/>
          <w:bCs/>
          <w:highlight w:val="none"/>
        </w:rPr>
        <w:t>七、资格审查</w:t>
      </w:r>
    </w:p>
    <w:p w14:paraId="0A34BA63">
      <w:pPr>
        <w:pStyle w:val="5"/>
        <w:bidi w:val="0"/>
        <w:rPr>
          <w:rFonts w:hint="eastAsia" w:ascii="宋体" w:hAnsi="宋体" w:eastAsia="宋体" w:cs="宋体"/>
          <w:highlight w:val="none"/>
        </w:rPr>
      </w:pPr>
      <w:r>
        <w:rPr>
          <w:rFonts w:hint="eastAsia" w:ascii="宋体" w:hAnsi="宋体" w:eastAsia="宋体" w:cs="宋体"/>
          <w:highlight w:val="none"/>
        </w:rPr>
        <w:t>磋商开始后，由磋商小组对供应商的资格证明文件进行审查。未通过资格审查的供应商其响应文件将被视为无效。</w:t>
      </w:r>
    </w:p>
    <w:p w14:paraId="24118D88">
      <w:pPr>
        <w:pStyle w:val="5"/>
        <w:bidi w:val="0"/>
        <w:rPr>
          <w:rFonts w:hint="eastAsia" w:ascii="宋体" w:hAnsi="宋体" w:eastAsia="宋体" w:cs="宋体"/>
          <w:highlight w:val="none"/>
        </w:rPr>
      </w:pPr>
      <w:r>
        <w:rPr>
          <w:rFonts w:hint="eastAsia" w:ascii="宋体" w:hAnsi="宋体" w:eastAsia="宋体" w:cs="宋体"/>
          <w:highlight w:val="none"/>
        </w:rPr>
        <w:t>通过资格审查的供应商不足 3 家的，不得进行评审。</w:t>
      </w:r>
    </w:p>
    <w:p w14:paraId="08D6F8FF">
      <w:pPr>
        <w:pStyle w:val="5"/>
        <w:bidi w:val="0"/>
        <w:rPr>
          <w:rFonts w:hint="eastAsia" w:ascii="宋体" w:hAnsi="宋体" w:eastAsia="宋体" w:cs="宋体"/>
          <w:b/>
          <w:bCs/>
          <w:highlight w:val="none"/>
        </w:rPr>
      </w:pPr>
      <w:r>
        <w:rPr>
          <w:rFonts w:hint="eastAsia" w:ascii="宋体" w:hAnsi="宋体" w:eastAsia="宋体" w:cs="宋体"/>
          <w:b/>
          <w:bCs/>
          <w:highlight w:val="none"/>
        </w:rPr>
        <w:t>八、组织评审</w:t>
      </w:r>
    </w:p>
    <w:p w14:paraId="0F4DAFA4">
      <w:pPr>
        <w:pStyle w:val="5"/>
        <w:bidi w:val="0"/>
        <w:rPr>
          <w:rFonts w:hint="eastAsia" w:ascii="宋体" w:hAnsi="宋体" w:eastAsia="宋体" w:cs="宋体"/>
          <w:highlight w:val="none"/>
        </w:rPr>
      </w:pPr>
      <w:r>
        <w:rPr>
          <w:rFonts w:hint="eastAsia" w:ascii="宋体" w:hAnsi="宋体" w:eastAsia="宋体" w:cs="宋体"/>
          <w:b/>
          <w:bCs/>
          <w:highlight w:val="none"/>
        </w:rPr>
        <w:t>（一）采购代理机构负责组织评审工作，并履行下列职责：</w:t>
      </w:r>
    </w:p>
    <w:p w14:paraId="273ACBFF">
      <w:pPr>
        <w:pStyle w:val="5"/>
        <w:bidi w:val="0"/>
        <w:rPr>
          <w:rFonts w:hint="eastAsia" w:ascii="宋体" w:hAnsi="宋体" w:eastAsia="宋体" w:cs="宋体"/>
          <w:highlight w:val="none"/>
        </w:rPr>
      </w:pPr>
      <w:r>
        <w:rPr>
          <w:rFonts w:hint="eastAsia" w:ascii="宋体" w:hAnsi="宋体" w:eastAsia="宋体" w:cs="宋体"/>
          <w:highlight w:val="none"/>
        </w:rPr>
        <w:t>1、核对评审专家身份和采购人代表授权函，对评审专家在政府采购活动中的职责履行情况予以记录，并及时将有关违法违规行为向财政部门报告;</w:t>
      </w:r>
    </w:p>
    <w:p w14:paraId="62CD5EEC">
      <w:pPr>
        <w:pStyle w:val="5"/>
        <w:bidi w:val="0"/>
        <w:rPr>
          <w:rFonts w:hint="eastAsia" w:ascii="宋体" w:hAnsi="宋体" w:eastAsia="宋体" w:cs="宋体"/>
          <w:highlight w:val="none"/>
        </w:rPr>
      </w:pPr>
      <w:r>
        <w:rPr>
          <w:rFonts w:hint="eastAsia" w:ascii="宋体" w:hAnsi="宋体" w:eastAsia="宋体" w:cs="宋体"/>
          <w:highlight w:val="none"/>
        </w:rPr>
        <w:t>2、宣布评审纪律;</w:t>
      </w:r>
    </w:p>
    <w:p w14:paraId="0E2715A1">
      <w:pPr>
        <w:pStyle w:val="5"/>
        <w:bidi w:val="0"/>
        <w:rPr>
          <w:rFonts w:hint="eastAsia" w:ascii="宋体" w:hAnsi="宋体" w:eastAsia="宋体" w:cs="宋体"/>
          <w:highlight w:val="none"/>
        </w:rPr>
      </w:pPr>
      <w:r>
        <w:rPr>
          <w:rFonts w:hint="eastAsia" w:ascii="宋体" w:hAnsi="宋体" w:eastAsia="宋体" w:cs="宋体"/>
          <w:highlight w:val="none"/>
        </w:rPr>
        <w:t>3、公布供应商名单，告知评审专家应当回避的情形;</w:t>
      </w:r>
    </w:p>
    <w:p w14:paraId="6A30E38D">
      <w:pPr>
        <w:pStyle w:val="5"/>
        <w:bidi w:val="0"/>
        <w:rPr>
          <w:rFonts w:hint="eastAsia" w:ascii="宋体" w:hAnsi="宋体" w:eastAsia="宋体" w:cs="宋体"/>
          <w:highlight w:val="none"/>
        </w:rPr>
      </w:pPr>
      <w:r>
        <w:rPr>
          <w:rFonts w:hint="eastAsia" w:ascii="宋体" w:hAnsi="宋体" w:eastAsia="宋体" w:cs="宋体"/>
          <w:highlight w:val="none"/>
        </w:rPr>
        <w:t>4、组织磋商小组推选评审组长，采购人代表不得担任组长;</w:t>
      </w:r>
    </w:p>
    <w:p w14:paraId="40FC991B">
      <w:pPr>
        <w:pStyle w:val="5"/>
        <w:bidi w:val="0"/>
        <w:rPr>
          <w:rFonts w:hint="eastAsia" w:ascii="宋体" w:hAnsi="宋体" w:eastAsia="宋体" w:cs="宋体"/>
          <w:highlight w:val="none"/>
        </w:rPr>
      </w:pPr>
      <w:r>
        <w:rPr>
          <w:rFonts w:hint="eastAsia" w:ascii="宋体" w:hAnsi="宋体" w:eastAsia="宋体" w:cs="宋体"/>
          <w:highlight w:val="none"/>
        </w:rPr>
        <w:t>5、在评审期间采取必要的通讯管理措施，保证评审活动不受外界干扰;</w:t>
      </w:r>
    </w:p>
    <w:p w14:paraId="5FE933D4">
      <w:pPr>
        <w:pStyle w:val="5"/>
        <w:bidi w:val="0"/>
        <w:rPr>
          <w:rFonts w:hint="eastAsia" w:ascii="宋体" w:hAnsi="宋体" w:eastAsia="宋体" w:cs="宋体"/>
          <w:highlight w:val="none"/>
        </w:rPr>
      </w:pPr>
      <w:r>
        <w:rPr>
          <w:rFonts w:hint="eastAsia" w:ascii="宋体" w:hAnsi="宋体" w:eastAsia="宋体" w:cs="宋体"/>
          <w:highlight w:val="none"/>
        </w:rPr>
        <w:t>6、根据磋商小组的要求介绍政府采购相关政策法规、磋商文件;</w:t>
      </w:r>
    </w:p>
    <w:p w14:paraId="5D76564F">
      <w:pPr>
        <w:pStyle w:val="5"/>
        <w:bidi w:val="0"/>
        <w:rPr>
          <w:rFonts w:hint="eastAsia" w:ascii="宋体" w:hAnsi="宋体" w:eastAsia="宋体" w:cs="宋体"/>
          <w:highlight w:val="none"/>
        </w:rPr>
      </w:pPr>
      <w:r>
        <w:rPr>
          <w:rFonts w:hint="eastAsia" w:ascii="宋体" w:hAnsi="宋体" w:eastAsia="宋体" w:cs="宋体"/>
          <w:highlight w:val="none"/>
        </w:rPr>
        <w:t>7、维护评审秩序，监督磋商小组依照磋商文件规定的评审程序、方法和标准进行独立评审，及时制止和纠正采购人代表、评审专家的倾向性言论或者违法违规行为;</w:t>
      </w:r>
    </w:p>
    <w:p w14:paraId="26336E53">
      <w:pPr>
        <w:pStyle w:val="5"/>
        <w:bidi w:val="0"/>
        <w:rPr>
          <w:rFonts w:hint="eastAsia" w:ascii="宋体" w:hAnsi="宋体" w:eastAsia="宋体" w:cs="宋体"/>
          <w:highlight w:val="none"/>
        </w:rPr>
      </w:pPr>
      <w:r>
        <w:rPr>
          <w:rFonts w:hint="eastAsia" w:ascii="宋体" w:hAnsi="宋体" w:eastAsia="宋体" w:cs="宋体"/>
          <w:highlight w:val="none"/>
        </w:rPr>
        <w:t>8、核对评审结果；</w:t>
      </w:r>
    </w:p>
    <w:p w14:paraId="439E5985">
      <w:pPr>
        <w:pStyle w:val="5"/>
        <w:bidi w:val="0"/>
        <w:rPr>
          <w:rFonts w:hint="eastAsia" w:ascii="宋体" w:hAnsi="宋体" w:eastAsia="宋体" w:cs="宋体"/>
          <w:highlight w:val="none"/>
        </w:rPr>
      </w:pPr>
      <w:r>
        <w:rPr>
          <w:rFonts w:hint="eastAsia" w:ascii="宋体" w:hAnsi="宋体" w:eastAsia="宋体" w:cs="宋体"/>
          <w:highlight w:val="none"/>
        </w:rPr>
        <w:t>9、处理与评审有关的其他事项。</w:t>
      </w:r>
    </w:p>
    <w:p w14:paraId="546E7921">
      <w:pPr>
        <w:pStyle w:val="5"/>
        <w:bidi w:val="0"/>
        <w:rPr>
          <w:rFonts w:hint="eastAsia" w:ascii="宋体" w:hAnsi="宋体" w:eastAsia="宋体" w:cs="宋体"/>
          <w:b/>
          <w:bCs/>
          <w:highlight w:val="none"/>
        </w:rPr>
      </w:pPr>
      <w:r>
        <w:rPr>
          <w:rFonts w:hint="eastAsia" w:ascii="宋体" w:hAnsi="宋体" w:eastAsia="宋体" w:cs="宋体"/>
          <w:b/>
          <w:bCs/>
          <w:highlight w:val="none"/>
        </w:rPr>
        <w:t>（二）磋商小组负责具体评审事务，并独立履行下列职责：</w:t>
      </w:r>
    </w:p>
    <w:p w14:paraId="0EBDE4E6">
      <w:pPr>
        <w:pStyle w:val="5"/>
        <w:bidi w:val="0"/>
        <w:rPr>
          <w:rFonts w:hint="eastAsia" w:ascii="宋体" w:hAnsi="宋体" w:eastAsia="宋体" w:cs="宋体"/>
          <w:highlight w:val="none"/>
        </w:rPr>
      </w:pPr>
      <w:r>
        <w:rPr>
          <w:rFonts w:hint="eastAsia" w:ascii="宋体" w:hAnsi="宋体" w:eastAsia="宋体" w:cs="宋体"/>
          <w:highlight w:val="none"/>
        </w:rPr>
        <w:t>1、严格遵守评审工作纪律，按照客观、公正、审慎的原则，根据磋商文件规定的评审程序、评审方法和评审标准进行独立评审；</w:t>
      </w:r>
    </w:p>
    <w:p w14:paraId="1CBB2455">
      <w:pPr>
        <w:pStyle w:val="5"/>
        <w:bidi w:val="0"/>
        <w:rPr>
          <w:rFonts w:hint="eastAsia" w:ascii="宋体" w:hAnsi="宋体" w:eastAsia="宋体" w:cs="宋体"/>
          <w:highlight w:val="none"/>
        </w:rPr>
      </w:pPr>
      <w:r>
        <w:rPr>
          <w:rFonts w:hint="eastAsia" w:ascii="宋体" w:hAnsi="宋体" w:eastAsia="宋体" w:cs="宋体"/>
          <w:highlight w:val="none"/>
        </w:rPr>
        <w:t>2、发现磋商文件内容违反国家有关强制性规定或者磋商文件存在歧义、重大缺陷导致评审工作无法进行时，应当停止评审并向采购人或者采购代理机构书面说明情况；</w:t>
      </w:r>
    </w:p>
    <w:p w14:paraId="7C1D8FF0">
      <w:pPr>
        <w:pStyle w:val="5"/>
        <w:bidi w:val="0"/>
        <w:rPr>
          <w:rFonts w:hint="eastAsia" w:ascii="宋体" w:hAnsi="宋体" w:eastAsia="宋体" w:cs="宋体"/>
          <w:highlight w:val="none"/>
        </w:rPr>
      </w:pPr>
      <w:r>
        <w:rPr>
          <w:rFonts w:hint="eastAsia" w:ascii="宋体" w:hAnsi="宋体" w:eastAsia="宋体" w:cs="宋体"/>
          <w:highlight w:val="none"/>
        </w:rPr>
        <w:t>3、审查、评价响应文件是否符合磋商文件的商务、技术等实质性要求；</w:t>
      </w:r>
    </w:p>
    <w:p w14:paraId="07256B10">
      <w:pPr>
        <w:pStyle w:val="5"/>
        <w:bidi w:val="0"/>
        <w:rPr>
          <w:rFonts w:hint="eastAsia" w:ascii="宋体" w:hAnsi="宋体" w:eastAsia="宋体" w:cs="宋体"/>
          <w:highlight w:val="none"/>
        </w:rPr>
      </w:pPr>
      <w:r>
        <w:rPr>
          <w:rFonts w:hint="eastAsia" w:ascii="宋体" w:hAnsi="宋体" w:eastAsia="宋体" w:cs="宋体"/>
          <w:highlight w:val="none"/>
        </w:rPr>
        <w:t>4、要求供应商对响应文件有关事项做出澄清或者说明；</w:t>
      </w:r>
    </w:p>
    <w:p w14:paraId="56153735">
      <w:pPr>
        <w:pStyle w:val="5"/>
        <w:bidi w:val="0"/>
        <w:rPr>
          <w:rFonts w:hint="eastAsia" w:ascii="宋体" w:hAnsi="宋体" w:eastAsia="宋体" w:cs="宋体"/>
          <w:highlight w:val="none"/>
        </w:rPr>
      </w:pPr>
      <w:r>
        <w:rPr>
          <w:rFonts w:hint="eastAsia" w:ascii="宋体" w:hAnsi="宋体" w:eastAsia="宋体" w:cs="宋体"/>
          <w:highlight w:val="none"/>
        </w:rPr>
        <w:t>5、对响应文件进行比较和评价；</w:t>
      </w:r>
    </w:p>
    <w:p w14:paraId="37211B8D">
      <w:pPr>
        <w:pStyle w:val="5"/>
        <w:bidi w:val="0"/>
        <w:rPr>
          <w:rFonts w:hint="eastAsia" w:ascii="宋体" w:hAnsi="宋体" w:eastAsia="宋体" w:cs="宋体"/>
          <w:highlight w:val="none"/>
        </w:rPr>
      </w:pPr>
      <w:r>
        <w:rPr>
          <w:rFonts w:hint="eastAsia" w:ascii="宋体" w:hAnsi="宋体" w:eastAsia="宋体" w:cs="宋体"/>
          <w:highlight w:val="none"/>
        </w:rPr>
        <w:t>6、确定成交候选人名单；</w:t>
      </w:r>
    </w:p>
    <w:p w14:paraId="79DEF80D">
      <w:pPr>
        <w:pStyle w:val="5"/>
        <w:bidi w:val="0"/>
        <w:rPr>
          <w:rFonts w:hint="eastAsia" w:ascii="宋体" w:hAnsi="宋体" w:eastAsia="宋体" w:cs="宋体"/>
          <w:highlight w:val="none"/>
        </w:rPr>
      </w:pPr>
      <w:r>
        <w:rPr>
          <w:rFonts w:hint="eastAsia" w:ascii="宋体" w:hAnsi="宋体" w:eastAsia="宋体" w:cs="宋体"/>
          <w:highlight w:val="none"/>
        </w:rPr>
        <w:t>7、配合答复供应商的询问、质疑和投诉等事项,不得泄露评审文件、评审情况和在评审过程中获悉的商业秘密；</w:t>
      </w:r>
    </w:p>
    <w:p w14:paraId="16736BB9">
      <w:pPr>
        <w:pStyle w:val="5"/>
        <w:bidi w:val="0"/>
        <w:rPr>
          <w:rFonts w:hint="eastAsia" w:ascii="宋体" w:hAnsi="宋体" w:eastAsia="宋体" w:cs="宋体"/>
          <w:highlight w:val="none"/>
        </w:rPr>
      </w:pPr>
      <w:r>
        <w:rPr>
          <w:rFonts w:hint="eastAsia" w:ascii="宋体" w:hAnsi="宋体" w:eastAsia="宋体" w:cs="宋体"/>
          <w:highlight w:val="none"/>
        </w:rPr>
        <w:t>8、向采购人、采购代理机构或者有关部门报告评审中发现的违法行为。审查、评价响应文件是否符合磋商文件的商务、技术等实质性要求。</w:t>
      </w:r>
    </w:p>
    <w:p w14:paraId="3A47AC40">
      <w:pPr>
        <w:pStyle w:val="5"/>
        <w:bidi w:val="0"/>
        <w:rPr>
          <w:rFonts w:hint="eastAsia" w:ascii="宋体" w:hAnsi="宋体" w:eastAsia="宋体" w:cs="宋体"/>
          <w:highlight w:val="none"/>
        </w:rPr>
      </w:pPr>
      <w:r>
        <w:rPr>
          <w:rFonts w:hint="eastAsia" w:ascii="宋体" w:hAnsi="宋体" w:eastAsia="宋体" w:cs="宋体"/>
          <w:highlight w:val="none"/>
        </w:rPr>
        <w:t>9、编写评审报告。</w:t>
      </w:r>
    </w:p>
    <w:p w14:paraId="73D909EA">
      <w:pPr>
        <w:pStyle w:val="5"/>
        <w:bidi w:val="0"/>
        <w:rPr>
          <w:rFonts w:hint="eastAsia" w:ascii="宋体" w:hAnsi="宋体" w:eastAsia="宋体" w:cs="宋体"/>
          <w:b/>
          <w:bCs/>
          <w:highlight w:val="none"/>
        </w:rPr>
      </w:pPr>
      <w:r>
        <w:rPr>
          <w:rFonts w:hint="eastAsia" w:ascii="宋体" w:hAnsi="宋体" w:eastAsia="宋体" w:cs="宋体"/>
          <w:b/>
          <w:bCs/>
          <w:highlight w:val="none"/>
        </w:rPr>
        <w:t>（三）组建磋商小组</w:t>
      </w:r>
    </w:p>
    <w:p w14:paraId="1C97455C">
      <w:pPr>
        <w:pStyle w:val="5"/>
        <w:bidi w:val="0"/>
        <w:rPr>
          <w:rFonts w:hint="eastAsia" w:ascii="宋体" w:hAnsi="宋体" w:eastAsia="宋体" w:cs="宋体"/>
          <w:highlight w:val="none"/>
        </w:rPr>
      </w:pPr>
      <w:r>
        <w:rPr>
          <w:rFonts w:hint="eastAsia" w:ascii="宋体" w:hAnsi="宋体" w:eastAsia="宋体" w:cs="宋体"/>
          <w:highlight w:val="none"/>
        </w:rPr>
        <w:t>1、为了确保评审工作的公平、公正，依据政府采购法和政府采购相关法规、规章，成立磋商小组。</w:t>
      </w:r>
    </w:p>
    <w:p w14:paraId="2D777252">
      <w:pPr>
        <w:pStyle w:val="5"/>
        <w:bidi w:val="0"/>
        <w:rPr>
          <w:rFonts w:hint="eastAsia" w:ascii="宋体" w:hAnsi="宋体" w:eastAsia="宋体" w:cs="宋体"/>
          <w:highlight w:val="none"/>
        </w:rPr>
      </w:pPr>
      <w:r>
        <w:rPr>
          <w:rFonts w:hint="eastAsia" w:ascii="宋体" w:hAnsi="宋体" w:eastAsia="宋体" w:cs="宋体"/>
          <w:highlight w:val="none"/>
        </w:rPr>
        <w:t>评审专家对本单位的采购项目只能作为采购人代表参与评审。采购代理机构工作人员不得参加由本机构代理的政府采购项目的评审。</w:t>
      </w:r>
    </w:p>
    <w:p w14:paraId="3DA17A7E">
      <w:pPr>
        <w:pStyle w:val="5"/>
        <w:bidi w:val="0"/>
        <w:rPr>
          <w:rFonts w:hint="eastAsia" w:ascii="宋体" w:hAnsi="宋体" w:eastAsia="宋体" w:cs="宋体"/>
          <w:highlight w:val="none"/>
        </w:rPr>
      </w:pPr>
      <w:r>
        <w:rPr>
          <w:rFonts w:hint="eastAsia" w:ascii="宋体" w:hAnsi="宋体" w:eastAsia="宋体" w:cs="宋体"/>
          <w:highlight w:val="none"/>
        </w:rPr>
        <w:t>磋商小组成员名单在评审结果公告前应当保密。</w:t>
      </w:r>
    </w:p>
    <w:p w14:paraId="599A945F">
      <w:pPr>
        <w:pStyle w:val="5"/>
        <w:bidi w:val="0"/>
        <w:rPr>
          <w:rFonts w:hint="eastAsia" w:ascii="宋体" w:hAnsi="宋体" w:eastAsia="宋体" w:cs="宋体"/>
          <w:highlight w:val="none"/>
        </w:rPr>
      </w:pPr>
      <w:r>
        <w:rPr>
          <w:rFonts w:hint="eastAsia" w:ascii="宋体" w:hAnsi="宋体" w:eastAsia="宋体" w:cs="宋体"/>
          <w:highlight w:val="none"/>
        </w:rPr>
        <w:t>2、评审专家从政府采购评审专家库内相关专业的专家名单中随机抽取。对技术复杂、专业性强的采购项目，通过随机方式难以确定合适评审专家的，经主管预算单位同意，采购人可以自行选定相应专业领域的评审专家。 自行选定评审专家的，应当优先选择本单位以外的评审专家。</w:t>
      </w:r>
    </w:p>
    <w:p w14:paraId="55F1EFFC">
      <w:pPr>
        <w:pStyle w:val="5"/>
        <w:bidi w:val="0"/>
        <w:rPr>
          <w:rFonts w:hint="eastAsia" w:ascii="宋体" w:hAnsi="宋体" w:eastAsia="宋体" w:cs="宋体"/>
          <w:highlight w:val="none"/>
        </w:rPr>
      </w:pPr>
      <w:r>
        <w:rPr>
          <w:rFonts w:hint="eastAsia" w:ascii="宋体" w:hAnsi="宋体" w:eastAsia="宋体" w:cs="宋体"/>
          <w:highlight w:val="none"/>
        </w:rPr>
        <w:t>3、评审中因磋商小组成员缺席、回避或者健康等特殊原因导致磋商小组组成不符合规定的，采购代理机构应当依法补足后继续评审。被更换的磋商小组成员所做出的评审意见无效。无法及时补足磋商小组成员的，</w:t>
      </w:r>
      <w:r>
        <w:rPr>
          <w:rFonts w:hint="eastAsia" w:ascii="宋体" w:hAnsi="宋体" w:eastAsia="宋体" w:cs="宋体"/>
          <w:highlight w:val="none"/>
          <w:lang w:eastAsia="zh-CN"/>
        </w:rPr>
        <w:t>采购代理机构</w:t>
      </w:r>
      <w:r>
        <w:rPr>
          <w:rFonts w:hint="eastAsia" w:ascii="宋体" w:hAnsi="宋体" w:eastAsia="宋体" w:cs="宋体"/>
          <w:highlight w:val="none"/>
        </w:rPr>
        <w:t>应当停止评审活动，封存所 有响应文件和开标、评审资料，依法重新组建磋商小组进行评审。原磋商小组所做出的评审意见无效。</w:t>
      </w:r>
    </w:p>
    <w:p w14:paraId="00C6B4A1">
      <w:pPr>
        <w:pStyle w:val="5"/>
        <w:bidi w:val="0"/>
        <w:rPr>
          <w:rFonts w:hint="eastAsia" w:ascii="宋体" w:hAnsi="宋体" w:eastAsia="宋体" w:cs="宋体"/>
          <w:b/>
          <w:bCs/>
          <w:highlight w:val="none"/>
        </w:rPr>
      </w:pPr>
      <w:r>
        <w:rPr>
          <w:rFonts w:hint="eastAsia" w:ascii="宋体" w:hAnsi="宋体" w:eastAsia="宋体" w:cs="宋体"/>
          <w:b/>
          <w:bCs/>
          <w:highlight w:val="none"/>
        </w:rPr>
        <w:t>（四）评审方法：本次评审采用综合评分法</w:t>
      </w:r>
    </w:p>
    <w:p w14:paraId="6DEB6133">
      <w:pPr>
        <w:pStyle w:val="5"/>
        <w:bidi w:val="0"/>
        <w:rPr>
          <w:rFonts w:hint="eastAsia" w:ascii="宋体" w:hAnsi="宋体" w:eastAsia="宋体" w:cs="宋体"/>
          <w:highlight w:val="none"/>
        </w:rPr>
      </w:pPr>
      <w:r>
        <w:rPr>
          <w:rFonts w:hint="eastAsia" w:ascii="宋体" w:hAnsi="宋体" w:eastAsia="宋体" w:cs="宋体"/>
          <w:highlight w:val="none"/>
        </w:rPr>
        <w:t>采用综合评分法，是指即响应文件满足磋商文件全部实质性要求，且按照评审因素的量化指标评审得分</w:t>
      </w:r>
      <w:r>
        <w:rPr>
          <w:rFonts w:hint="eastAsia" w:ascii="宋体" w:hAnsi="宋体" w:eastAsia="宋体" w:cs="宋体"/>
          <w:highlight w:val="none"/>
          <w:lang w:val="en-US" w:eastAsia="zh-CN"/>
        </w:rPr>
        <w:t>由高到低</w:t>
      </w:r>
      <w:r>
        <w:rPr>
          <w:rFonts w:hint="eastAsia" w:ascii="宋体" w:hAnsi="宋体" w:eastAsia="宋体" w:cs="宋体"/>
          <w:highlight w:val="none"/>
        </w:rPr>
        <w:t>的供应商为成交候选人的评审方法。</w:t>
      </w:r>
    </w:p>
    <w:p w14:paraId="41509D0C">
      <w:pPr>
        <w:pStyle w:val="5"/>
        <w:bidi w:val="0"/>
        <w:rPr>
          <w:rFonts w:hint="eastAsia" w:ascii="宋体" w:hAnsi="宋体" w:eastAsia="宋体" w:cs="宋体"/>
          <w:b/>
          <w:bCs/>
          <w:highlight w:val="none"/>
        </w:rPr>
      </w:pPr>
      <w:r>
        <w:rPr>
          <w:rFonts w:hint="eastAsia" w:ascii="宋体" w:hAnsi="宋体" w:eastAsia="宋体" w:cs="宋体"/>
          <w:b/>
          <w:bCs/>
          <w:highlight w:val="none"/>
        </w:rPr>
        <w:t>（五）磋商程序</w:t>
      </w:r>
    </w:p>
    <w:p w14:paraId="20B99BB8">
      <w:pPr>
        <w:pStyle w:val="5"/>
        <w:bidi w:val="0"/>
        <w:rPr>
          <w:rFonts w:hint="eastAsia" w:ascii="宋体" w:hAnsi="宋体" w:eastAsia="宋体" w:cs="宋体"/>
          <w:highlight w:val="none"/>
        </w:rPr>
      </w:pPr>
      <w:r>
        <w:rPr>
          <w:rFonts w:hint="eastAsia" w:ascii="宋体" w:hAnsi="宋体" w:eastAsia="宋体" w:cs="宋体"/>
          <w:highlight w:val="none"/>
        </w:rPr>
        <w:t>分步评审，每一步评审不符合磋商文件要求者，不得进入下一步评审，全部评审合格的供应商，进入最后的打分，按得分由高向低排序，最后推荐成交候选供应商。</w:t>
      </w:r>
    </w:p>
    <w:p w14:paraId="22FF5EC9">
      <w:pPr>
        <w:pStyle w:val="5"/>
        <w:bidi w:val="0"/>
        <w:rPr>
          <w:rFonts w:hint="eastAsia" w:ascii="宋体" w:hAnsi="宋体" w:eastAsia="宋体" w:cs="宋体"/>
          <w:b/>
          <w:bCs/>
          <w:highlight w:val="none"/>
        </w:rPr>
      </w:pPr>
      <w:r>
        <w:rPr>
          <w:rFonts w:hint="eastAsia" w:ascii="宋体" w:hAnsi="宋体" w:eastAsia="宋体" w:cs="宋体"/>
          <w:b/>
          <w:bCs/>
          <w:highlight w:val="none"/>
        </w:rPr>
        <w:t>1、第一次磋商报价，供应商在响应文件中进行报价。</w:t>
      </w:r>
    </w:p>
    <w:p w14:paraId="3913D2C4">
      <w:pPr>
        <w:pStyle w:val="5"/>
        <w:bidi w:val="0"/>
        <w:rPr>
          <w:rFonts w:hint="eastAsia" w:ascii="宋体" w:hAnsi="宋体" w:eastAsia="宋体" w:cs="宋体"/>
          <w:b/>
          <w:bCs/>
          <w:highlight w:val="none"/>
        </w:rPr>
      </w:pPr>
      <w:r>
        <w:rPr>
          <w:rFonts w:hint="eastAsia" w:ascii="宋体" w:hAnsi="宋体" w:eastAsia="宋体" w:cs="宋体"/>
          <w:b/>
          <w:bCs/>
          <w:highlight w:val="none"/>
        </w:rPr>
        <w:t>2、磋商响应文件的符合性审查</w:t>
      </w:r>
    </w:p>
    <w:p w14:paraId="36B7A6F9">
      <w:pPr>
        <w:pStyle w:val="5"/>
        <w:bidi w:val="0"/>
        <w:rPr>
          <w:rFonts w:hint="eastAsia" w:ascii="宋体" w:hAnsi="宋体" w:eastAsia="宋体" w:cs="宋体"/>
          <w:highlight w:val="none"/>
        </w:rPr>
      </w:pPr>
      <w:r>
        <w:rPr>
          <w:rFonts w:hint="eastAsia" w:ascii="宋体" w:hAnsi="宋体" w:eastAsia="宋体" w:cs="宋体"/>
          <w:highlight w:val="none"/>
        </w:rPr>
        <w:t>磋商小组依据磋商文件的规定，对磋商响应文件的有效性、完整性和对磋商文件的响应程度进行审查，以确定是否对磋商文件的全部实质性要求做出响应。</w:t>
      </w:r>
    </w:p>
    <w:p w14:paraId="4925E7A5">
      <w:pPr>
        <w:pStyle w:val="5"/>
        <w:bidi w:val="0"/>
        <w:rPr>
          <w:rFonts w:hint="eastAsia" w:ascii="宋体" w:hAnsi="宋体" w:eastAsia="宋体" w:cs="宋体"/>
          <w:highlight w:val="none"/>
        </w:rPr>
      </w:pPr>
      <w:r>
        <w:rPr>
          <w:rFonts w:hint="eastAsia" w:ascii="宋体" w:hAnsi="宋体" w:eastAsia="宋体" w:cs="宋体"/>
          <w:highlight w:val="none"/>
        </w:rPr>
        <w:t>磋商小组要审查每份磋商响应文件是否实质上响应了磋商文件的要求。实质上没有响应磋商文件要求的响应作无效响应处理。磋商小组应告知有关供应商未通过审查的原因，供应商不得通过修正或撤销不符之处而使其成为实质上响应。</w:t>
      </w:r>
    </w:p>
    <w:p w14:paraId="55D43373">
      <w:pPr>
        <w:pStyle w:val="5"/>
        <w:bidi w:val="0"/>
        <w:rPr>
          <w:rFonts w:hint="eastAsia" w:ascii="宋体" w:hAnsi="宋体" w:eastAsia="宋体" w:cs="宋体"/>
          <w:b/>
          <w:bCs/>
          <w:highlight w:val="none"/>
        </w:rPr>
      </w:pPr>
      <w:r>
        <w:rPr>
          <w:rFonts w:hint="eastAsia" w:ascii="宋体" w:hAnsi="宋体" w:eastAsia="宋体" w:cs="宋体"/>
          <w:b/>
          <w:bCs/>
          <w:highlight w:val="none"/>
        </w:rPr>
        <w:t>3、磋商响应文件的澄清</w:t>
      </w:r>
    </w:p>
    <w:p w14:paraId="04BB02EC">
      <w:pPr>
        <w:pStyle w:val="5"/>
        <w:bidi w:val="0"/>
        <w:rPr>
          <w:rFonts w:hint="eastAsia" w:ascii="宋体" w:hAnsi="宋体" w:eastAsia="宋体" w:cs="宋体"/>
          <w:highlight w:val="none"/>
        </w:rPr>
      </w:pPr>
      <w:r>
        <w:rPr>
          <w:rFonts w:hint="eastAsia" w:ascii="宋体" w:hAnsi="宋体" w:eastAsia="宋体" w:cs="宋体"/>
          <w:highlight w:val="none"/>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14:paraId="249294C2">
      <w:pPr>
        <w:pStyle w:val="5"/>
        <w:bidi w:val="0"/>
        <w:rPr>
          <w:rFonts w:hint="eastAsia" w:ascii="宋体" w:hAnsi="宋体" w:eastAsia="宋体" w:cs="宋体"/>
          <w:highlight w:val="none"/>
        </w:rPr>
      </w:pPr>
      <w:r>
        <w:rPr>
          <w:rFonts w:hint="eastAsia" w:ascii="宋体" w:hAnsi="宋体" w:eastAsia="宋体" w:cs="宋体"/>
          <w:highlight w:val="none"/>
        </w:rPr>
        <w:t>（2）依照民法中的过失责任原则，澄清、说明或补正前磋商小组将按最不利于响应供应商的原则对磋商响应文件做出评判。</w:t>
      </w:r>
    </w:p>
    <w:p w14:paraId="1EB4CBD0">
      <w:pPr>
        <w:pStyle w:val="5"/>
        <w:bidi w:val="0"/>
        <w:rPr>
          <w:rFonts w:hint="eastAsia" w:ascii="宋体" w:hAnsi="宋体" w:eastAsia="宋体" w:cs="宋体"/>
          <w:highlight w:val="none"/>
        </w:rPr>
      </w:pPr>
      <w:r>
        <w:rPr>
          <w:rFonts w:hint="eastAsia" w:ascii="宋体" w:hAnsi="宋体" w:eastAsia="宋体" w:cs="宋体"/>
          <w:highlight w:val="none"/>
        </w:rPr>
        <w:t>（3）磋商小组要求供应商澄清、说明或者补正磋商响应文件应通过书面形式做出。供应商应当在规定的澄清时限内按磋商小组要求的方式提交，供应商的澄清、说明或者补正应当由法定代表人或其授权代表签字或者加盖公章。</w:t>
      </w:r>
    </w:p>
    <w:p w14:paraId="0CEBE7D3">
      <w:pPr>
        <w:pStyle w:val="5"/>
        <w:bidi w:val="0"/>
        <w:rPr>
          <w:rFonts w:hint="eastAsia" w:ascii="宋体" w:hAnsi="宋体" w:eastAsia="宋体" w:cs="宋体"/>
          <w:highlight w:val="none"/>
        </w:rPr>
      </w:pPr>
      <w:r>
        <w:rPr>
          <w:rFonts w:hint="eastAsia" w:ascii="宋体" w:hAnsi="宋体" w:eastAsia="宋体" w:cs="宋体"/>
          <w:highlight w:val="none"/>
        </w:rPr>
        <w:t>（4）供应商的澄清、说明或者补正不得超出磋商响应文件的范围或者改变磋商响应文件的实质性内容。澄清、说明或者补正的内容将作为合同履行的重要依据。</w:t>
      </w:r>
    </w:p>
    <w:p w14:paraId="5BB77D88">
      <w:pPr>
        <w:pStyle w:val="5"/>
        <w:bidi w:val="0"/>
        <w:rPr>
          <w:rFonts w:hint="eastAsia" w:ascii="宋体" w:hAnsi="宋体" w:eastAsia="宋体" w:cs="宋体"/>
          <w:b/>
          <w:bCs/>
          <w:highlight w:val="none"/>
        </w:rPr>
      </w:pPr>
      <w:r>
        <w:rPr>
          <w:rFonts w:hint="eastAsia" w:ascii="宋体" w:hAnsi="宋体" w:eastAsia="宋体" w:cs="宋体"/>
          <w:b/>
          <w:bCs/>
          <w:highlight w:val="none"/>
        </w:rPr>
        <w:t>4、磋商过程</w:t>
      </w:r>
      <w:bookmarkStart w:id="0" w:name="_GoBack"/>
      <w:bookmarkEnd w:id="0"/>
    </w:p>
    <w:p w14:paraId="0959902A">
      <w:pPr>
        <w:pStyle w:val="5"/>
        <w:bidi w:val="0"/>
        <w:rPr>
          <w:rFonts w:hint="eastAsia" w:ascii="宋体" w:hAnsi="宋体" w:eastAsia="宋体" w:cs="宋体"/>
          <w:highlight w:val="none"/>
        </w:rPr>
      </w:pPr>
      <w:r>
        <w:rPr>
          <w:rFonts w:hint="eastAsia" w:ascii="宋体" w:hAnsi="宋体" w:eastAsia="宋体" w:cs="宋体"/>
          <w:highlight w:val="none"/>
        </w:rPr>
        <w:t>磋商小组应在符合性评审的基础上对各供应商的响应文件认真阅读，磋商小组可根据评审需求对响应文件的采购内容等有关要求进行一对一磋商。</w:t>
      </w:r>
    </w:p>
    <w:p w14:paraId="1D6BE198">
      <w:pPr>
        <w:pStyle w:val="5"/>
        <w:bidi w:val="0"/>
        <w:rPr>
          <w:rFonts w:hint="eastAsia" w:ascii="宋体" w:hAnsi="宋体" w:eastAsia="宋体" w:cs="宋体"/>
          <w:b/>
          <w:bCs/>
          <w:highlight w:val="none"/>
        </w:rPr>
      </w:pPr>
      <w:r>
        <w:rPr>
          <w:rFonts w:hint="eastAsia" w:ascii="宋体" w:hAnsi="宋体" w:eastAsia="宋体" w:cs="宋体"/>
          <w:b/>
          <w:bCs/>
          <w:highlight w:val="none"/>
        </w:rPr>
        <w:t>请各供应商提前下载腾讯会议软件并调试正常，否则后果自负，磋商小组将在腾讯会议室与各供应商进行磋商等相关事宜，会议时间为2025年</w:t>
      </w:r>
      <w:r>
        <w:rPr>
          <w:rFonts w:hint="eastAsia" w:ascii="宋体" w:hAnsi="宋体" w:eastAsia="宋体" w:cs="宋体"/>
          <w:b/>
          <w:bCs/>
          <w:highlight w:val="none"/>
          <w:lang w:val="en-US" w:eastAsia="zh-CN"/>
        </w:rPr>
        <w:t xml:space="preserve"> 09 </w:t>
      </w:r>
      <w:r>
        <w:rPr>
          <w:rFonts w:hint="eastAsia" w:ascii="宋体" w:hAnsi="宋体" w:eastAsia="宋体" w:cs="宋体"/>
          <w:b/>
          <w:bCs/>
          <w:highlight w:val="none"/>
        </w:rPr>
        <w:t>月</w:t>
      </w:r>
      <w:r>
        <w:rPr>
          <w:rFonts w:hint="eastAsia" w:ascii="宋体" w:hAnsi="宋体" w:eastAsia="宋体" w:cs="宋体"/>
          <w:b/>
          <w:bCs/>
          <w:highlight w:val="none"/>
          <w:lang w:val="en-US" w:eastAsia="zh-CN"/>
        </w:rPr>
        <w:t xml:space="preserve"> 10 </w:t>
      </w:r>
      <w:r>
        <w:rPr>
          <w:rFonts w:hint="eastAsia" w:ascii="宋体" w:hAnsi="宋体" w:eastAsia="宋体" w:cs="宋体"/>
          <w:b/>
          <w:bCs/>
          <w:highlight w:val="none"/>
        </w:rPr>
        <w:t>日</w:t>
      </w:r>
      <w:r>
        <w:rPr>
          <w:rFonts w:hint="eastAsia" w:ascii="宋体" w:hAnsi="宋体" w:eastAsia="宋体" w:cs="宋体"/>
          <w:b/>
          <w:bCs/>
          <w:highlight w:val="none"/>
          <w:lang w:val="en-US" w:eastAsia="zh-CN"/>
        </w:rPr>
        <w:t>11</w:t>
      </w:r>
      <w:r>
        <w:rPr>
          <w:rFonts w:hint="eastAsia" w:ascii="宋体" w:hAnsi="宋体" w:eastAsia="宋体" w:cs="宋体"/>
          <w:b/>
          <w:bCs/>
          <w:highlight w:val="none"/>
        </w:rPr>
        <w:t>时30分，会议号：</w:t>
      </w:r>
      <w:r>
        <w:rPr>
          <w:rFonts w:hint="eastAsia" w:ascii="宋体" w:hAnsi="宋体" w:eastAsia="宋体" w:cs="宋体"/>
          <w:b/>
          <w:bCs/>
          <w:highlight w:val="none"/>
          <w:lang w:val="en-US" w:eastAsia="zh-CN"/>
        </w:rPr>
        <w:t>819287437</w:t>
      </w:r>
      <w:r>
        <w:rPr>
          <w:rFonts w:hint="eastAsia" w:ascii="宋体" w:hAnsi="宋体" w:eastAsia="宋体" w:cs="宋体"/>
          <w:b/>
          <w:bCs/>
          <w:highlight w:val="none"/>
        </w:rPr>
        <w:t>，会议密码：000000。（请提前下载）</w:t>
      </w:r>
    </w:p>
    <w:p w14:paraId="3D98447E">
      <w:pPr>
        <w:pStyle w:val="5"/>
        <w:bidi w:val="0"/>
        <w:rPr>
          <w:rFonts w:hint="eastAsia" w:ascii="宋体" w:hAnsi="宋体" w:eastAsia="宋体" w:cs="宋体"/>
          <w:b/>
          <w:bCs/>
          <w:highlight w:val="none"/>
        </w:rPr>
      </w:pPr>
      <w:r>
        <w:rPr>
          <w:rFonts w:hint="eastAsia" w:ascii="宋体" w:hAnsi="宋体" w:eastAsia="宋体" w:cs="宋体"/>
          <w:b/>
          <w:bCs/>
          <w:highlight w:val="none"/>
        </w:rPr>
        <w:t>5、最终报价</w:t>
      </w:r>
    </w:p>
    <w:p w14:paraId="268D271B">
      <w:pPr>
        <w:pStyle w:val="5"/>
        <w:bidi w:val="0"/>
        <w:rPr>
          <w:rFonts w:hint="eastAsia" w:ascii="宋体" w:hAnsi="宋体" w:eastAsia="宋体" w:cs="宋体"/>
          <w:highlight w:val="none"/>
        </w:rPr>
      </w:pPr>
      <w:r>
        <w:rPr>
          <w:rFonts w:hint="eastAsia" w:ascii="宋体" w:hAnsi="宋体" w:eastAsia="宋体" w:cs="宋体"/>
          <w:highlight w:val="none"/>
        </w:rPr>
        <w:t>资格性审查和符合性审查通过的供应商进入最终报价阶段。最终报价是供应商响应文件的有效组成部分。（最后报价相同时，可进行多次报价）</w:t>
      </w:r>
    </w:p>
    <w:p w14:paraId="4D218DB4">
      <w:pPr>
        <w:pStyle w:val="5"/>
        <w:bidi w:val="0"/>
        <w:rPr>
          <w:rFonts w:hint="eastAsia" w:ascii="宋体" w:hAnsi="宋体" w:eastAsia="宋体" w:cs="宋体"/>
          <w:highlight w:val="none"/>
        </w:rPr>
      </w:pPr>
      <w:r>
        <w:rPr>
          <w:rFonts w:hint="eastAsia" w:ascii="宋体" w:hAnsi="宋体" w:eastAsia="宋体" w:cs="宋体"/>
          <w:highlight w:val="none"/>
        </w:rPr>
        <w:t>供应商使用CA锁，在自带电脑上进行最终报价。对成交供应商的最终报价出现明显低于或高于同业同期市场平均价的情形时，磋商小组应当在评审意见中详细说明理由。</w:t>
      </w:r>
    </w:p>
    <w:p w14:paraId="6655E68F">
      <w:pPr>
        <w:pStyle w:val="5"/>
        <w:bidi w:val="0"/>
        <w:rPr>
          <w:rFonts w:hint="eastAsia" w:ascii="宋体" w:hAnsi="宋体" w:eastAsia="宋体" w:cs="宋体"/>
          <w:highlight w:val="none"/>
        </w:rPr>
      </w:pPr>
      <w:r>
        <w:rPr>
          <w:rFonts w:hint="eastAsia" w:ascii="宋体" w:hAnsi="宋体" w:eastAsia="宋体" w:cs="宋体"/>
          <w:highlight w:val="none"/>
        </w:rPr>
        <w:t>对小微企业（含小型、微型企业）、监狱企业、残疾人福利性单位提供的响应报价给予10%的价格扣除，用扣除后的价格参与评审排序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因本项目专门面向中小企业采购，故价格评审时不再参与价格扣除</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rPr>
        <w:t>，除此之外的其他情形均不适用本款规定。</w:t>
      </w:r>
    </w:p>
    <w:p w14:paraId="6E8CF977">
      <w:pPr>
        <w:pStyle w:val="5"/>
        <w:bidi w:val="0"/>
        <w:rPr>
          <w:rFonts w:hint="eastAsia" w:ascii="宋体" w:hAnsi="宋体" w:eastAsia="宋体" w:cs="宋体"/>
          <w:highlight w:val="none"/>
        </w:rPr>
      </w:pPr>
      <w:r>
        <w:rPr>
          <w:rFonts w:hint="eastAsia" w:ascii="宋体" w:hAnsi="宋体" w:eastAsia="宋体" w:cs="宋体"/>
          <w:highlight w:val="none"/>
        </w:rPr>
        <w:t>磋商小组应审查供应商是否具备“落实政府采购政策”的资格，如不符合相关文件要求或供应商未提供相关声明或证明材料，供应商不可以享受价格折扣优惠政策。</w:t>
      </w:r>
    </w:p>
    <w:p w14:paraId="6C25C52B">
      <w:pPr>
        <w:pStyle w:val="5"/>
        <w:bidi w:val="0"/>
        <w:rPr>
          <w:rFonts w:hint="eastAsia" w:ascii="宋体" w:hAnsi="宋体" w:eastAsia="宋体" w:cs="宋体"/>
          <w:highlight w:val="none"/>
        </w:rPr>
      </w:pPr>
      <w:r>
        <w:rPr>
          <w:rFonts w:hint="eastAsia" w:ascii="宋体" w:hAnsi="宋体" w:eastAsia="宋体" w:cs="宋体"/>
          <w:highlight w:val="none"/>
        </w:rPr>
        <w:t>供应商按照《政府采购促进中小企业发展管理办法》规定提供声明函内容不实的，属于提供虚假材料谋取中标、成交，依照《中华人民共和国政府采购法》等国家有关规定追究相应责任。适用招标投标法的政府采购工程建设项目，响应供应商按照本办法规定提供声明函内容不实的，属于弄虚作假骗取成交，依照《中华人民共和国招标投标法》等国家有关规定追究相应责任。</w:t>
      </w:r>
    </w:p>
    <w:p w14:paraId="027058A9">
      <w:pPr>
        <w:pStyle w:val="5"/>
        <w:bidi w:val="0"/>
        <w:rPr>
          <w:rFonts w:hint="eastAsia" w:ascii="宋体" w:hAnsi="宋体" w:eastAsia="宋体" w:cs="宋体"/>
          <w:b/>
          <w:bCs/>
          <w:highlight w:val="none"/>
        </w:rPr>
      </w:pPr>
      <w:r>
        <w:rPr>
          <w:rFonts w:hint="eastAsia" w:ascii="宋体" w:hAnsi="宋体" w:eastAsia="宋体" w:cs="宋体"/>
          <w:b/>
          <w:bCs/>
          <w:highlight w:val="none"/>
        </w:rPr>
        <w:t>6、综合比较与评价</w:t>
      </w:r>
    </w:p>
    <w:p w14:paraId="64151EA1">
      <w:pPr>
        <w:pStyle w:val="5"/>
        <w:bidi w:val="0"/>
        <w:rPr>
          <w:rFonts w:hint="eastAsia" w:ascii="宋体" w:hAnsi="宋体" w:eastAsia="宋体" w:cs="宋体"/>
          <w:highlight w:val="none"/>
        </w:rPr>
      </w:pPr>
      <w:r>
        <w:rPr>
          <w:rFonts w:hint="eastAsia" w:ascii="宋体" w:hAnsi="宋体" w:eastAsia="宋体" w:cs="宋体"/>
          <w:highlight w:val="none"/>
        </w:rPr>
        <w:t>磋商小组应按“评审要素及分值一览表”中规定的评审标准，对通过符合性和响应性审查的响应文件进行商务和技术评估，综合比较与评价。</w:t>
      </w:r>
    </w:p>
    <w:p w14:paraId="58C7A31C">
      <w:pPr>
        <w:pStyle w:val="5"/>
        <w:bidi w:val="0"/>
        <w:rPr>
          <w:rFonts w:hint="eastAsia" w:ascii="宋体" w:hAnsi="宋体" w:eastAsia="宋体" w:cs="宋体"/>
          <w:b/>
          <w:bCs/>
          <w:highlight w:val="none"/>
        </w:rPr>
      </w:pPr>
      <w:r>
        <w:rPr>
          <w:rFonts w:hint="eastAsia" w:ascii="宋体" w:hAnsi="宋体" w:eastAsia="宋体" w:cs="宋体"/>
          <w:b/>
          <w:bCs/>
          <w:highlight w:val="none"/>
        </w:rPr>
        <w:t>7、推荐成交候选人</w:t>
      </w:r>
    </w:p>
    <w:p w14:paraId="6DFC0975">
      <w:pPr>
        <w:pStyle w:val="5"/>
        <w:bidi w:val="0"/>
        <w:rPr>
          <w:rFonts w:hint="eastAsia" w:ascii="宋体" w:hAnsi="宋体" w:eastAsia="宋体" w:cs="宋体"/>
          <w:highlight w:val="none"/>
        </w:rPr>
      </w:pPr>
      <w:r>
        <w:rPr>
          <w:rFonts w:hint="eastAsia" w:ascii="宋体" w:hAnsi="宋体" w:eastAsia="宋体" w:cs="宋体"/>
          <w:highlight w:val="none"/>
        </w:rPr>
        <w:t>评审结果按评审后得分由高到低顺序排列。得分相同的，按响应报价由低到高顺序排列。得分且响应报价相同的并列。响应文件满足磋商文件全部实质性要求，且按照评审因素的量化指标评审得分最高的供应商为排名第一的成交候选人。</w:t>
      </w:r>
    </w:p>
    <w:p w14:paraId="728E6659">
      <w:pPr>
        <w:pStyle w:val="5"/>
        <w:bidi w:val="0"/>
        <w:rPr>
          <w:rFonts w:hint="eastAsia" w:ascii="宋体" w:hAnsi="宋体" w:eastAsia="宋体" w:cs="宋体"/>
          <w:b/>
          <w:bCs/>
          <w:highlight w:val="none"/>
        </w:rPr>
      </w:pPr>
      <w:r>
        <w:rPr>
          <w:rFonts w:hint="eastAsia" w:ascii="宋体" w:hAnsi="宋体" w:eastAsia="宋体" w:cs="宋体"/>
          <w:b/>
          <w:bCs/>
          <w:highlight w:val="none"/>
        </w:rPr>
        <w:t>8、编写评审报告</w:t>
      </w:r>
    </w:p>
    <w:p w14:paraId="306B439E">
      <w:pPr>
        <w:pStyle w:val="5"/>
        <w:bidi w:val="0"/>
        <w:rPr>
          <w:rFonts w:hint="eastAsia" w:ascii="宋体" w:hAnsi="宋体" w:eastAsia="宋体" w:cs="宋体"/>
          <w:highlight w:val="none"/>
        </w:rPr>
      </w:pPr>
      <w:r>
        <w:rPr>
          <w:rFonts w:hint="eastAsia" w:ascii="宋体" w:hAnsi="宋体" w:eastAsia="宋体" w:cs="宋体"/>
          <w:highlight w:val="none"/>
        </w:rPr>
        <w:t>（1）磋商小组应根据全体评审成员签字的原始评审记录和评审结果编写评审报告。评审报告应包括：磋商公告刊登的媒体名称、磋商会议日期和地点;供应商名单和磋商小组成员名单;评审方法和标准;开标记录和评审情况及说明，包括无效供应商名单及原因;评审结果，确定的成交候选人名单或者经采购人委托直接确定的成交人;其他需要说明的情况，包括评审过程中供应商根据磋商小组要求进行的澄清、说明或者补正，磋商小组成员的更换等。</w:t>
      </w:r>
    </w:p>
    <w:p w14:paraId="77576C92">
      <w:pPr>
        <w:pStyle w:val="5"/>
        <w:bidi w:val="0"/>
        <w:rPr>
          <w:rFonts w:hint="eastAsia" w:ascii="宋体" w:hAnsi="宋体" w:eastAsia="宋体" w:cs="宋体"/>
          <w:highlight w:val="none"/>
        </w:rPr>
      </w:pPr>
      <w:r>
        <w:rPr>
          <w:rFonts w:hint="eastAsia" w:ascii="宋体" w:hAnsi="宋体" w:eastAsia="宋体" w:cs="宋体"/>
          <w:highlight w:val="none"/>
        </w:rPr>
        <w:t>（2）磋商小组成员对需要共同认定的事项存在争议的，应当按照少数服从多数的原则做出结论。持不同意见的磋商小组成员应当在评审报告上签署不同意见及理由，否则视为同意评审报告。对拒绝说明理由的，报采购监督机构处理，并将其评审情况如实计入考核表。</w:t>
      </w:r>
    </w:p>
    <w:p w14:paraId="17C9CFD8">
      <w:pPr>
        <w:pStyle w:val="5"/>
        <w:bidi w:val="0"/>
        <w:rPr>
          <w:rFonts w:hint="eastAsia" w:ascii="宋体" w:hAnsi="宋体" w:eastAsia="宋体" w:cs="宋体"/>
          <w:b/>
          <w:bCs/>
          <w:highlight w:val="none"/>
        </w:rPr>
      </w:pPr>
      <w:r>
        <w:rPr>
          <w:rFonts w:hint="eastAsia" w:ascii="宋体" w:hAnsi="宋体" w:eastAsia="宋体" w:cs="宋体"/>
          <w:b/>
          <w:bCs/>
          <w:highlight w:val="none"/>
        </w:rPr>
        <w:t>九、无效响应情形</w:t>
      </w:r>
    </w:p>
    <w:p w14:paraId="3883932D">
      <w:pPr>
        <w:pStyle w:val="5"/>
        <w:bidi w:val="0"/>
        <w:rPr>
          <w:rFonts w:hint="eastAsia" w:ascii="宋体" w:hAnsi="宋体" w:eastAsia="宋体" w:cs="宋体"/>
          <w:b/>
          <w:bCs/>
          <w:highlight w:val="none"/>
        </w:rPr>
      </w:pPr>
      <w:r>
        <w:rPr>
          <w:rFonts w:hint="eastAsia" w:ascii="宋体" w:hAnsi="宋体" w:eastAsia="宋体" w:cs="宋体"/>
          <w:b/>
          <w:bCs/>
          <w:highlight w:val="none"/>
        </w:rPr>
        <w:t>（一）供应商存在下列情况之一的，响应无效:</w:t>
      </w:r>
    </w:p>
    <w:p w14:paraId="078DCE75">
      <w:pPr>
        <w:pStyle w:val="5"/>
        <w:bidi w:val="0"/>
        <w:rPr>
          <w:rFonts w:hint="eastAsia" w:ascii="宋体" w:hAnsi="宋体" w:eastAsia="宋体" w:cs="宋体"/>
          <w:highlight w:val="none"/>
          <w:lang w:eastAsia="zh-CN"/>
        </w:rPr>
      </w:pPr>
      <w:r>
        <w:rPr>
          <w:rFonts w:hint="eastAsia" w:ascii="宋体" w:hAnsi="宋体" w:eastAsia="宋体" w:cs="宋体"/>
          <w:highlight w:val="none"/>
        </w:rPr>
        <w:t>1、未按照磋商文件的规定提交保证金承诺书</w:t>
      </w:r>
      <w:r>
        <w:rPr>
          <w:rFonts w:hint="eastAsia" w:ascii="宋体" w:hAnsi="宋体" w:eastAsia="宋体" w:cs="宋体"/>
          <w:highlight w:val="none"/>
          <w:lang w:eastAsia="zh-CN"/>
        </w:rPr>
        <w:t>；</w:t>
      </w:r>
    </w:p>
    <w:p w14:paraId="00256601">
      <w:pPr>
        <w:pStyle w:val="5"/>
        <w:bidi w:val="0"/>
        <w:rPr>
          <w:rFonts w:hint="eastAsia" w:ascii="宋体" w:hAnsi="宋体" w:eastAsia="宋体" w:cs="宋体"/>
          <w:highlight w:val="none"/>
          <w:lang w:eastAsia="zh-CN"/>
        </w:rPr>
      </w:pPr>
      <w:r>
        <w:rPr>
          <w:rFonts w:hint="eastAsia" w:ascii="宋体" w:hAnsi="宋体" w:eastAsia="宋体" w:cs="宋体"/>
          <w:highlight w:val="none"/>
        </w:rPr>
        <w:t>2、响应文件未按磋商文件要求签署、盖章</w:t>
      </w:r>
      <w:r>
        <w:rPr>
          <w:rFonts w:hint="eastAsia" w:ascii="宋体" w:hAnsi="宋体" w:eastAsia="宋体" w:cs="宋体"/>
          <w:highlight w:val="none"/>
          <w:lang w:eastAsia="zh-CN"/>
        </w:rPr>
        <w:t>；</w:t>
      </w:r>
    </w:p>
    <w:p w14:paraId="54A380A0">
      <w:pPr>
        <w:pStyle w:val="5"/>
        <w:bidi w:val="0"/>
        <w:rPr>
          <w:rFonts w:hint="eastAsia" w:ascii="宋体" w:hAnsi="宋体" w:eastAsia="宋体" w:cs="宋体"/>
          <w:highlight w:val="none"/>
          <w:lang w:eastAsia="zh-CN"/>
        </w:rPr>
      </w:pPr>
      <w:r>
        <w:rPr>
          <w:rFonts w:hint="eastAsia" w:ascii="宋体" w:hAnsi="宋体" w:eastAsia="宋体" w:cs="宋体"/>
          <w:highlight w:val="none"/>
        </w:rPr>
        <w:t>3、不具备磋商文件中规定的资格要求</w:t>
      </w:r>
      <w:r>
        <w:rPr>
          <w:rFonts w:hint="eastAsia" w:ascii="宋体" w:hAnsi="宋体" w:eastAsia="宋体" w:cs="宋体"/>
          <w:highlight w:val="none"/>
          <w:lang w:eastAsia="zh-CN"/>
        </w:rPr>
        <w:t>；</w:t>
      </w:r>
    </w:p>
    <w:p w14:paraId="180F3228">
      <w:pPr>
        <w:pStyle w:val="5"/>
        <w:bidi w:val="0"/>
        <w:rPr>
          <w:rFonts w:hint="eastAsia" w:ascii="宋体" w:hAnsi="宋体" w:eastAsia="宋体" w:cs="宋体"/>
          <w:highlight w:val="none"/>
          <w:lang w:eastAsia="zh-CN"/>
        </w:rPr>
      </w:pPr>
      <w:r>
        <w:rPr>
          <w:rFonts w:hint="eastAsia" w:ascii="宋体" w:hAnsi="宋体" w:eastAsia="宋体" w:cs="宋体"/>
          <w:highlight w:val="none"/>
        </w:rPr>
        <w:t>4、报价超过磋商文件中规定的预算金额或者最高限价</w:t>
      </w:r>
      <w:r>
        <w:rPr>
          <w:rFonts w:hint="eastAsia" w:ascii="宋体" w:hAnsi="宋体" w:eastAsia="宋体" w:cs="宋体"/>
          <w:highlight w:val="none"/>
          <w:lang w:eastAsia="zh-CN"/>
        </w:rPr>
        <w:t>；</w:t>
      </w:r>
    </w:p>
    <w:p w14:paraId="75EF42B2">
      <w:pPr>
        <w:pStyle w:val="5"/>
        <w:bidi w:val="0"/>
        <w:rPr>
          <w:rFonts w:hint="eastAsia" w:ascii="宋体" w:hAnsi="宋体" w:eastAsia="宋体" w:cs="宋体"/>
          <w:highlight w:val="none"/>
          <w:lang w:eastAsia="zh-CN"/>
        </w:rPr>
      </w:pPr>
      <w:r>
        <w:rPr>
          <w:rFonts w:hint="eastAsia" w:ascii="宋体" w:hAnsi="宋体" w:eastAsia="宋体" w:cs="宋体"/>
          <w:highlight w:val="none"/>
        </w:rPr>
        <w:t>5、响应文件含有采购人不能接受的附加条件</w:t>
      </w:r>
      <w:r>
        <w:rPr>
          <w:rFonts w:hint="eastAsia" w:ascii="宋体" w:hAnsi="宋体" w:eastAsia="宋体" w:cs="宋体"/>
          <w:highlight w:val="none"/>
          <w:lang w:eastAsia="zh-CN"/>
        </w:rPr>
        <w:t>；</w:t>
      </w:r>
    </w:p>
    <w:p w14:paraId="2BA3D619">
      <w:pPr>
        <w:pStyle w:val="5"/>
        <w:bidi w:val="0"/>
        <w:rPr>
          <w:rFonts w:hint="eastAsia" w:ascii="宋体" w:hAnsi="宋体" w:eastAsia="宋体" w:cs="宋体"/>
          <w:highlight w:val="none"/>
        </w:rPr>
      </w:pPr>
      <w:r>
        <w:rPr>
          <w:rFonts w:hint="eastAsia" w:ascii="宋体" w:hAnsi="宋体" w:eastAsia="宋体" w:cs="宋体"/>
          <w:highlight w:val="none"/>
        </w:rPr>
        <w:t>6、有选择的报价将不予接受，按无效响应处理；</w:t>
      </w:r>
    </w:p>
    <w:p w14:paraId="294B2126">
      <w:pPr>
        <w:pStyle w:val="5"/>
        <w:bidi w:val="0"/>
        <w:rPr>
          <w:rFonts w:hint="eastAsia" w:ascii="宋体" w:hAnsi="宋体" w:eastAsia="宋体" w:cs="宋体"/>
          <w:highlight w:val="none"/>
        </w:rPr>
      </w:pPr>
      <w:r>
        <w:rPr>
          <w:rFonts w:hint="eastAsia" w:ascii="宋体" w:hAnsi="宋体" w:eastAsia="宋体" w:cs="宋体"/>
          <w:highlight w:val="none"/>
        </w:rPr>
        <w:t>7、按《政府采购货物和服务招标投标管理办法》（财政部令第 87 号）修正后的报价经供应商确认后产生约束力，供应商不确认的，其响应无效。</w:t>
      </w:r>
    </w:p>
    <w:p w14:paraId="7FA61123">
      <w:pPr>
        <w:pStyle w:val="5"/>
        <w:bidi w:val="0"/>
        <w:rPr>
          <w:rFonts w:hint="eastAsia" w:ascii="宋体" w:hAnsi="宋体" w:eastAsia="宋体" w:cs="宋体"/>
          <w:b/>
          <w:bCs/>
          <w:highlight w:val="none"/>
        </w:rPr>
      </w:pPr>
      <w:r>
        <w:rPr>
          <w:rFonts w:hint="eastAsia" w:ascii="宋体" w:hAnsi="宋体" w:eastAsia="宋体" w:cs="宋体"/>
          <w:b/>
          <w:bCs/>
          <w:highlight w:val="none"/>
        </w:rPr>
        <w:t>（二）供应商存在下列情形之一的，视为串通响应，其响应无效：</w:t>
      </w:r>
    </w:p>
    <w:p w14:paraId="64BD8C27">
      <w:pPr>
        <w:pStyle w:val="5"/>
        <w:bidi w:val="0"/>
        <w:rPr>
          <w:rFonts w:hint="eastAsia" w:ascii="宋体" w:hAnsi="宋体" w:eastAsia="宋体" w:cs="宋体"/>
          <w:highlight w:val="none"/>
        </w:rPr>
      </w:pPr>
      <w:r>
        <w:rPr>
          <w:rFonts w:hint="eastAsia" w:ascii="宋体" w:hAnsi="宋体" w:eastAsia="宋体" w:cs="宋体"/>
          <w:highlight w:val="none"/>
        </w:rPr>
        <w:t>1、不同供应商的响应文件由同一单位或者个人编制；</w:t>
      </w:r>
    </w:p>
    <w:p w14:paraId="12A26A64">
      <w:pPr>
        <w:pStyle w:val="5"/>
        <w:bidi w:val="0"/>
        <w:rPr>
          <w:rFonts w:hint="eastAsia" w:ascii="宋体" w:hAnsi="宋体" w:eastAsia="宋体" w:cs="宋体"/>
          <w:highlight w:val="none"/>
        </w:rPr>
      </w:pPr>
      <w:r>
        <w:rPr>
          <w:rFonts w:hint="eastAsia" w:ascii="宋体" w:hAnsi="宋体" w:eastAsia="宋体" w:cs="宋体"/>
          <w:highlight w:val="none"/>
        </w:rPr>
        <w:t>2、不同供应商委托同一单位或者个人办理响应事宜；</w:t>
      </w:r>
    </w:p>
    <w:p w14:paraId="2B749531">
      <w:pPr>
        <w:pStyle w:val="5"/>
        <w:bidi w:val="0"/>
        <w:rPr>
          <w:rFonts w:hint="eastAsia" w:ascii="宋体" w:hAnsi="宋体" w:eastAsia="宋体" w:cs="宋体"/>
          <w:highlight w:val="none"/>
        </w:rPr>
      </w:pPr>
      <w:r>
        <w:rPr>
          <w:rFonts w:hint="eastAsia" w:ascii="宋体" w:hAnsi="宋体" w:eastAsia="宋体" w:cs="宋体"/>
          <w:highlight w:val="none"/>
        </w:rPr>
        <w:t>3、不同供应商的响应文件载明的项目管理成员或者联系人员为同一人；</w:t>
      </w:r>
    </w:p>
    <w:p w14:paraId="07470CA3">
      <w:pPr>
        <w:pStyle w:val="5"/>
        <w:bidi w:val="0"/>
        <w:rPr>
          <w:rFonts w:hint="eastAsia" w:ascii="宋体" w:hAnsi="宋体" w:eastAsia="宋体" w:cs="宋体"/>
          <w:highlight w:val="none"/>
        </w:rPr>
      </w:pPr>
      <w:r>
        <w:rPr>
          <w:rFonts w:hint="eastAsia" w:ascii="宋体" w:hAnsi="宋体" w:eastAsia="宋体" w:cs="宋体"/>
          <w:highlight w:val="none"/>
        </w:rPr>
        <w:t>4、不同供应商的响应文件异常一致或者响应报价呈规律性差异；</w:t>
      </w:r>
    </w:p>
    <w:p w14:paraId="1888F854">
      <w:pPr>
        <w:pStyle w:val="5"/>
        <w:bidi w:val="0"/>
        <w:rPr>
          <w:rFonts w:hint="eastAsia" w:ascii="宋体" w:hAnsi="宋体" w:eastAsia="宋体" w:cs="宋体"/>
          <w:highlight w:val="none"/>
        </w:rPr>
      </w:pPr>
      <w:r>
        <w:rPr>
          <w:rFonts w:hint="eastAsia" w:ascii="宋体" w:hAnsi="宋体" w:eastAsia="宋体" w:cs="宋体"/>
          <w:highlight w:val="none"/>
        </w:rPr>
        <w:t>5、不同供应商的响应文件相互上传；</w:t>
      </w:r>
    </w:p>
    <w:p w14:paraId="252E26CB">
      <w:pPr>
        <w:pStyle w:val="5"/>
        <w:bidi w:val="0"/>
        <w:rPr>
          <w:rFonts w:hint="eastAsia" w:ascii="宋体" w:hAnsi="宋体" w:eastAsia="宋体" w:cs="宋体"/>
          <w:highlight w:val="none"/>
        </w:rPr>
      </w:pPr>
      <w:r>
        <w:rPr>
          <w:rFonts w:hint="eastAsia" w:ascii="宋体" w:hAnsi="宋体" w:eastAsia="宋体" w:cs="宋体"/>
          <w:highlight w:val="none"/>
        </w:rPr>
        <w:t>6、不同供应商的响应保证金承诺由同一单位或者个人承诺。</w:t>
      </w:r>
    </w:p>
    <w:p w14:paraId="724C9641">
      <w:pPr>
        <w:pStyle w:val="5"/>
        <w:bidi w:val="0"/>
        <w:rPr>
          <w:rFonts w:hint="eastAsia" w:ascii="宋体" w:hAnsi="宋体" w:eastAsia="宋体" w:cs="宋体"/>
          <w:b/>
          <w:bCs/>
          <w:highlight w:val="none"/>
        </w:rPr>
      </w:pPr>
      <w:r>
        <w:rPr>
          <w:rFonts w:hint="eastAsia" w:ascii="宋体" w:hAnsi="宋体" w:eastAsia="宋体" w:cs="宋体"/>
          <w:b/>
          <w:bCs/>
          <w:highlight w:val="none"/>
        </w:rPr>
        <w:t>（三）供应商不得以低于成本的报价参加本次采购项目。</w:t>
      </w:r>
    </w:p>
    <w:p w14:paraId="169B5343">
      <w:pPr>
        <w:pStyle w:val="5"/>
        <w:bidi w:val="0"/>
        <w:rPr>
          <w:rFonts w:hint="eastAsia" w:ascii="宋体" w:hAnsi="宋体" w:eastAsia="宋体" w:cs="宋体"/>
          <w:highlight w:val="none"/>
        </w:rPr>
      </w:pPr>
      <w:r>
        <w:rPr>
          <w:rFonts w:hint="eastAsia" w:ascii="宋体" w:hAnsi="宋体" w:eastAsia="宋体" w:cs="宋体"/>
          <w:highlight w:val="none"/>
        </w:rPr>
        <w:t>磋商小组认为供应商的报价明显低于其他通过符合性审查供应商的报价，有可能影响产品质量或者不能诚信履约的，应当要求其在评审现场合理的时间内提供书面说明，必要时提交相关证明材 料;供应商不能证明其报价合理性的，磋商小组应当将其作为无效响应处理。</w:t>
      </w:r>
    </w:p>
    <w:p w14:paraId="41B7E618">
      <w:pPr>
        <w:pStyle w:val="5"/>
        <w:bidi w:val="0"/>
        <w:rPr>
          <w:rFonts w:hint="eastAsia" w:ascii="宋体" w:hAnsi="宋体" w:eastAsia="宋体" w:cs="宋体"/>
          <w:b/>
          <w:bCs/>
          <w:highlight w:val="none"/>
        </w:rPr>
      </w:pPr>
      <w:r>
        <w:rPr>
          <w:rFonts w:hint="eastAsia" w:ascii="宋体" w:hAnsi="宋体" w:eastAsia="宋体" w:cs="宋体"/>
          <w:b/>
          <w:bCs/>
          <w:highlight w:val="none"/>
        </w:rPr>
        <w:t>十、成交</w:t>
      </w:r>
    </w:p>
    <w:p w14:paraId="54E0B10B">
      <w:pPr>
        <w:pStyle w:val="5"/>
        <w:bidi w:val="0"/>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highlight w:val="none"/>
          <w:lang w:eastAsia="zh-CN"/>
        </w:rPr>
        <w:t>采购代理机构</w:t>
      </w:r>
      <w:r>
        <w:rPr>
          <w:rFonts w:hint="eastAsia" w:ascii="宋体" w:hAnsi="宋体" w:eastAsia="宋体" w:cs="宋体"/>
          <w:highlight w:val="none"/>
        </w:rPr>
        <w:t>在评审工作结束后 2 个工作日内将评审报告送采购人。</w:t>
      </w:r>
    </w:p>
    <w:p w14:paraId="2228AA0D">
      <w:pPr>
        <w:pStyle w:val="5"/>
        <w:bidi w:val="0"/>
        <w:rPr>
          <w:rFonts w:hint="eastAsia" w:ascii="宋体" w:hAnsi="宋体" w:eastAsia="宋体" w:cs="宋体"/>
          <w:highlight w:val="none"/>
        </w:rPr>
      </w:pPr>
      <w:r>
        <w:rPr>
          <w:rFonts w:hint="eastAsia" w:ascii="宋体" w:hAnsi="宋体" w:eastAsia="宋体" w:cs="宋体"/>
          <w:highlight w:val="none"/>
        </w:rPr>
        <w:t>（二）采购人在收到评审报告之日起 5 个工作日内，在评审报告确定的成交候选人名单中按顺序确定成交供应商。</w:t>
      </w:r>
    </w:p>
    <w:p w14:paraId="0ED027E3">
      <w:pPr>
        <w:pStyle w:val="5"/>
        <w:bidi w:val="0"/>
        <w:rPr>
          <w:rFonts w:hint="eastAsia" w:ascii="宋体" w:hAnsi="宋体" w:eastAsia="宋体" w:cs="宋体"/>
          <w:highlight w:val="none"/>
        </w:rPr>
      </w:pPr>
      <w:r>
        <w:rPr>
          <w:rFonts w:hint="eastAsia" w:ascii="宋体" w:hAnsi="宋体" w:eastAsia="宋体" w:cs="宋体"/>
          <w:highlight w:val="none"/>
        </w:rPr>
        <w:t>采购人在收到评审报告 5 个工作日内未按评审报告推荐的成交候选人顺序确定成交供应商，又不能说明合法理由的，视同按评审报告推荐的顺序确定成交供应商，采购中心将发布成交公告。</w:t>
      </w:r>
    </w:p>
    <w:p w14:paraId="37D76DD6">
      <w:pPr>
        <w:pStyle w:val="5"/>
        <w:bidi w:val="0"/>
        <w:rPr>
          <w:rFonts w:hint="eastAsia" w:ascii="宋体" w:hAnsi="宋体" w:eastAsia="宋体" w:cs="宋体"/>
          <w:highlight w:val="none"/>
        </w:rPr>
      </w:pPr>
      <w:r>
        <w:rPr>
          <w:rFonts w:hint="eastAsia" w:ascii="宋体" w:hAnsi="宋体" w:eastAsia="宋体" w:cs="宋体"/>
          <w:highlight w:val="none"/>
        </w:rPr>
        <w:t>（三）</w:t>
      </w:r>
      <w:r>
        <w:rPr>
          <w:rFonts w:hint="eastAsia" w:ascii="宋体" w:hAnsi="宋体" w:eastAsia="宋体" w:cs="宋体"/>
          <w:highlight w:val="none"/>
          <w:lang w:eastAsia="zh-CN"/>
        </w:rPr>
        <w:t>采购代理机构</w:t>
      </w:r>
      <w:r>
        <w:rPr>
          <w:rFonts w:hint="eastAsia" w:ascii="宋体" w:hAnsi="宋体" w:eastAsia="宋体" w:cs="宋体"/>
          <w:highlight w:val="none"/>
        </w:rPr>
        <w:t>将在成交供应商确定之日起 2 个工作日内，发布媒体为【</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 </w:instrText>
      </w:r>
      <w:r>
        <w:rPr>
          <w:rFonts w:hint="eastAsia" w:ascii="宋体" w:hAnsi="宋体" w:eastAsia="宋体" w:cs="宋体"/>
          <w:highlight w:val="none"/>
        </w:rPr>
        <w:fldChar w:fldCharType="separate"/>
      </w:r>
      <w:r>
        <w:rPr>
          <w:rFonts w:hint="eastAsia" w:ascii="宋体" w:hAnsi="宋体" w:eastAsia="宋体" w:cs="宋体"/>
          <w:highlight w:val="none"/>
        </w:rPr>
        <w:t>陕西省</w:t>
      </w:r>
      <w:r>
        <w:rPr>
          <w:rFonts w:hint="eastAsia" w:ascii="宋体" w:hAnsi="宋体" w:eastAsia="宋体" w:cs="宋体"/>
          <w:highlight w:val="none"/>
        </w:rPr>
        <w:fldChar w:fldCharType="end"/>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 </w:instrText>
      </w:r>
      <w:r>
        <w:rPr>
          <w:rFonts w:hint="eastAsia" w:ascii="宋体" w:hAnsi="宋体" w:eastAsia="宋体" w:cs="宋体"/>
          <w:highlight w:val="none"/>
        </w:rPr>
        <w:fldChar w:fldCharType="separate"/>
      </w:r>
      <w:r>
        <w:rPr>
          <w:rFonts w:hint="eastAsia" w:ascii="宋体" w:hAnsi="宋体" w:eastAsia="宋体" w:cs="宋体"/>
          <w:highlight w:val="none"/>
        </w:rPr>
        <w:t>政府采购网</w:t>
      </w:r>
      <w:r>
        <w:rPr>
          <w:rFonts w:hint="eastAsia" w:ascii="宋体" w:hAnsi="宋体" w:eastAsia="宋体" w:cs="宋体"/>
          <w:highlight w:val="none"/>
        </w:rPr>
        <w:fldChar w:fldCharType="end"/>
      </w:r>
      <w:r>
        <w:rPr>
          <w:rFonts w:hint="eastAsia" w:ascii="宋体" w:hAnsi="宋体" w:eastAsia="宋体" w:cs="宋体"/>
          <w:highlight w:val="none"/>
        </w:rPr>
        <w:t>（www.ccgp-shaanxi.gov.cn）】、【全国公共资源交易平台（陕西省）（</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"http://www.sxggzyjy.cn/" </w:instrText>
      </w:r>
      <w:r>
        <w:rPr>
          <w:rFonts w:hint="eastAsia" w:ascii="宋体" w:hAnsi="宋体" w:eastAsia="宋体" w:cs="宋体"/>
          <w:highlight w:val="none"/>
        </w:rPr>
        <w:fldChar w:fldCharType="separate"/>
      </w:r>
      <w:r>
        <w:rPr>
          <w:rFonts w:hint="eastAsia" w:ascii="宋体" w:hAnsi="宋体" w:eastAsia="宋体" w:cs="宋体"/>
          <w:highlight w:val="none"/>
        </w:rPr>
        <w:t>http://www.sxggzyjy.cn/</w:t>
      </w:r>
      <w:r>
        <w:rPr>
          <w:rFonts w:hint="eastAsia" w:ascii="宋体" w:hAnsi="宋体" w:eastAsia="宋体" w:cs="宋体"/>
          <w:highlight w:val="none"/>
        </w:rPr>
        <w:fldChar w:fldCharType="end"/>
      </w:r>
      <w:r>
        <w:rPr>
          <w:rFonts w:hint="eastAsia" w:ascii="宋体" w:hAnsi="宋体" w:eastAsia="宋体" w:cs="宋体"/>
          <w:highlight w:val="none"/>
        </w:rPr>
        <w:t>）】上公告成交结果。</w:t>
      </w:r>
    </w:p>
    <w:p w14:paraId="345AFD3B">
      <w:pPr>
        <w:pStyle w:val="5"/>
        <w:bidi w:val="0"/>
        <w:rPr>
          <w:rFonts w:hint="eastAsia" w:ascii="宋体" w:hAnsi="宋体" w:eastAsia="宋体" w:cs="宋体"/>
          <w:highlight w:val="none"/>
        </w:rPr>
      </w:pPr>
      <w:r>
        <w:rPr>
          <w:rFonts w:hint="eastAsia" w:ascii="宋体" w:hAnsi="宋体" w:eastAsia="宋体" w:cs="宋体"/>
          <w:highlight w:val="none"/>
        </w:rPr>
        <w:t>成交公告期限为 1 个工作日。</w:t>
      </w:r>
    </w:p>
    <w:p w14:paraId="04EC4B78">
      <w:pPr>
        <w:pStyle w:val="5"/>
        <w:bidi w:val="0"/>
        <w:rPr>
          <w:rFonts w:hint="eastAsia" w:ascii="宋体" w:hAnsi="宋体" w:eastAsia="宋体" w:cs="宋体"/>
          <w:highlight w:val="none"/>
        </w:rPr>
      </w:pPr>
      <w:r>
        <w:rPr>
          <w:rFonts w:hint="eastAsia" w:ascii="宋体" w:hAnsi="宋体" w:eastAsia="宋体" w:cs="宋体"/>
          <w:highlight w:val="none"/>
        </w:rPr>
        <w:t>（四）在公告成交结果的同时，</w:t>
      </w:r>
      <w:r>
        <w:rPr>
          <w:rFonts w:hint="eastAsia" w:ascii="宋体" w:hAnsi="宋体" w:eastAsia="宋体" w:cs="宋体"/>
          <w:highlight w:val="none"/>
          <w:lang w:eastAsia="zh-CN"/>
        </w:rPr>
        <w:t>采购代理机构</w:t>
      </w:r>
      <w:r>
        <w:rPr>
          <w:rFonts w:hint="eastAsia" w:ascii="宋体" w:hAnsi="宋体" w:eastAsia="宋体" w:cs="宋体"/>
          <w:highlight w:val="none"/>
        </w:rPr>
        <w:t>向成交供应商发出成交通知书。</w:t>
      </w:r>
    </w:p>
    <w:p w14:paraId="4EA58304">
      <w:pPr>
        <w:pStyle w:val="5"/>
        <w:bidi w:val="0"/>
        <w:rPr>
          <w:rFonts w:hint="eastAsia" w:ascii="宋体" w:hAnsi="宋体" w:eastAsia="宋体" w:cs="宋体"/>
          <w:highlight w:val="none"/>
        </w:rPr>
      </w:pPr>
      <w:r>
        <w:rPr>
          <w:rFonts w:hint="eastAsia" w:ascii="宋体" w:hAnsi="宋体" w:eastAsia="宋体" w:cs="宋体"/>
          <w:highlight w:val="none"/>
        </w:rPr>
        <w:t>（五）成交通知书发出后，采购人不得违法改变成交结果，成交供应商无正当理由不得放弃成交。</w:t>
      </w:r>
    </w:p>
    <w:p w14:paraId="006ADA0F">
      <w:pPr>
        <w:pStyle w:val="5"/>
        <w:bidi w:val="0"/>
        <w:rPr>
          <w:rFonts w:hint="eastAsia" w:ascii="宋体" w:hAnsi="宋体" w:eastAsia="宋体" w:cs="宋体"/>
          <w:b/>
          <w:bCs/>
          <w:highlight w:val="none"/>
        </w:rPr>
      </w:pPr>
      <w:r>
        <w:rPr>
          <w:rFonts w:hint="eastAsia" w:ascii="宋体" w:hAnsi="宋体" w:eastAsia="宋体" w:cs="宋体"/>
          <w:b/>
          <w:bCs/>
          <w:highlight w:val="none"/>
        </w:rPr>
        <w:t>十一、签订政府采购合同</w:t>
      </w:r>
    </w:p>
    <w:p w14:paraId="3AD45858">
      <w:pPr>
        <w:pStyle w:val="5"/>
        <w:bidi w:val="0"/>
        <w:rPr>
          <w:rFonts w:hint="eastAsia" w:ascii="宋体" w:hAnsi="宋体" w:eastAsia="宋体" w:cs="宋体"/>
          <w:highlight w:val="none"/>
        </w:rPr>
      </w:pPr>
      <w:r>
        <w:rPr>
          <w:rFonts w:hint="eastAsia" w:ascii="宋体" w:hAnsi="宋体" w:eastAsia="宋体" w:cs="宋体"/>
          <w:highlight w:val="none"/>
        </w:rPr>
        <w:t xml:space="preserve">（一）自成交通知书发出之日起 </w:t>
      </w:r>
      <w:r>
        <w:rPr>
          <w:rFonts w:hint="eastAsia" w:ascii="宋体" w:hAnsi="宋体" w:eastAsia="宋体" w:cs="宋体"/>
          <w:highlight w:val="none"/>
          <w:lang w:val="en-US" w:eastAsia="zh-CN"/>
        </w:rPr>
        <w:t xml:space="preserve">10 </w:t>
      </w:r>
      <w:r>
        <w:rPr>
          <w:rFonts w:hint="eastAsia" w:ascii="宋体" w:hAnsi="宋体" w:eastAsia="宋体" w:cs="宋体"/>
          <w:highlight w:val="none"/>
        </w:rPr>
        <w:t>日内，采购人与成交供应商应按磋商文件和成交供应商响应文件的规定，签订书面合同。所签订的政府采购合同不得对磋商文件和成交供应商的响应文件内容作实质性修改。采购人不得向成交供应商提出任何不合理的要求作为签订合同的条件。</w:t>
      </w:r>
    </w:p>
    <w:p w14:paraId="30C244B1">
      <w:pPr>
        <w:pStyle w:val="5"/>
        <w:bidi w:val="0"/>
        <w:rPr>
          <w:rFonts w:hint="eastAsia" w:ascii="宋体" w:hAnsi="宋体" w:eastAsia="宋体" w:cs="宋体"/>
          <w:highlight w:val="none"/>
        </w:rPr>
      </w:pPr>
      <w:r>
        <w:rPr>
          <w:rFonts w:hint="eastAsia" w:ascii="宋体" w:hAnsi="宋体" w:eastAsia="宋体" w:cs="宋体"/>
          <w:highlight w:val="none"/>
        </w:rPr>
        <w:t>（二）成交供应商拒绝与采购人签订合同的，采购人可以按照评审报告推荐的成交候选人名单排序，确定下一候选人为成交供应商，也可以重新开展政府采购活动。</w:t>
      </w:r>
    </w:p>
    <w:p w14:paraId="1AD26525">
      <w:pPr>
        <w:pStyle w:val="5"/>
        <w:bidi w:val="0"/>
        <w:rPr>
          <w:rFonts w:hint="eastAsia" w:ascii="宋体" w:hAnsi="宋体" w:eastAsia="宋体" w:cs="宋体"/>
          <w:highlight w:val="none"/>
        </w:rPr>
      </w:pPr>
      <w:r>
        <w:rPr>
          <w:rFonts w:hint="eastAsia" w:ascii="宋体" w:hAnsi="宋体" w:eastAsia="宋体" w:cs="宋体"/>
          <w:highlight w:val="none"/>
        </w:rPr>
        <w:t>（三）磋商文件、成交供应商的响应文件、“成交通知书 ”及其澄清、说明文件、承诺等，均为签订采购合同的依据，作为采购合同的组成部分。</w:t>
      </w:r>
    </w:p>
    <w:p w14:paraId="202E86BD">
      <w:pPr>
        <w:pStyle w:val="5"/>
        <w:bidi w:val="0"/>
        <w:rPr>
          <w:rFonts w:hint="eastAsia" w:ascii="宋体" w:hAnsi="宋体" w:eastAsia="宋体" w:cs="宋体"/>
          <w:highlight w:val="none"/>
        </w:rPr>
      </w:pPr>
      <w:r>
        <w:rPr>
          <w:rFonts w:hint="eastAsia" w:ascii="宋体" w:hAnsi="宋体" w:eastAsia="宋体" w:cs="宋体"/>
          <w:highlight w:val="none"/>
        </w:rPr>
        <w:t>（四）政府采购合同应当包括采购人与成交供应商的名称和住所、标的、数量、质量、价款或者报酬、履行期限及地点和方式、验收要求、违约责任、解决争议的方法等内容。</w:t>
      </w:r>
    </w:p>
    <w:p w14:paraId="459160BE">
      <w:pPr>
        <w:pStyle w:val="5"/>
        <w:bidi w:val="0"/>
        <w:rPr>
          <w:rFonts w:hint="eastAsia" w:ascii="宋体" w:hAnsi="宋体" w:eastAsia="宋体" w:cs="宋体"/>
          <w:highlight w:val="none"/>
        </w:rPr>
      </w:pPr>
      <w:r>
        <w:rPr>
          <w:rFonts w:hint="eastAsia" w:ascii="宋体" w:hAnsi="宋体" w:eastAsia="宋体" w:cs="宋体"/>
          <w:highlight w:val="none"/>
        </w:rPr>
        <w:t>（五）采购人与成交供应商应当根据合同的约定依法履行合同义务。政府采购合同的履行、违约责任和解决争议的方法等适用《中华人民共和国民法典》。</w:t>
      </w:r>
    </w:p>
    <w:p w14:paraId="786021AB">
      <w:pPr>
        <w:pStyle w:val="5"/>
        <w:bidi w:val="0"/>
        <w:rPr>
          <w:rFonts w:hint="eastAsia" w:ascii="宋体" w:hAnsi="宋体" w:eastAsia="宋体" w:cs="宋体"/>
          <w:highlight w:val="none"/>
        </w:rPr>
      </w:pPr>
      <w:r>
        <w:rPr>
          <w:rFonts w:hint="eastAsia" w:ascii="宋体" w:hAnsi="宋体" w:eastAsia="宋体" w:cs="宋体"/>
          <w:highlight w:val="none"/>
        </w:rPr>
        <w:t>（六）采购人应及时对采购项目进行验收。采购人可以邀请参加本项目的其他响应供应商或者第三方机构参与验收。参与验收的响应供应商或者第三方机构的意见作为验收书的参考资料一并存档。</w:t>
      </w:r>
    </w:p>
    <w:p w14:paraId="3396B687">
      <w:pPr>
        <w:pStyle w:val="5"/>
        <w:bidi w:val="0"/>
        <w:rPr>
          <w:rFonts w:hint="eastAsia" w:ascii="宋体" w:hAnsi="宋体" w:eastAsia="宋体" w:cs="宋体"/>
          <w:highlight w:val="none"/>
        </w:rPr>
      </w:pPr>
      <w:r>
        <w:rPr>
          <w:rFonts w:hint="eastAsia" w:ascii="宋体" w:hAnsi="宋体" w:eastAsia="宋体" w:cs="宋体"/>
          <w:highlight w:val="none"/>
        </w:rPr>
        <w:t>（七）采购人应当加强对成交供应商的履约管理，并按照采购合同约定，及时向成交供应商支付采购资金。对于成交供应商违反采购合同约定的行为，采购人应当及时处理，依法追究其违约责任。</w:t>
      </w:r>
    </w:p>
    <w:p w14:paraId="57A52614">
      <w:pPr>
        <w:pStyle w:val="5"/>
        <w:bidi w:val="0"/>
        <w:rPr>
          <w:rFonts w:hint="eastAsia" w:ascii="宋体" w:hAnsi="宋体" w:eastAsia="宋体" w:cs="宋体"/>
          <w:b/>
          <w:bCs/>
          <w:highlight w:val="none"/>
        </w:rPr>
      </w:pPr>
      <w:r>
        <w:rPr>
          <w:rFonts w:hint="eastAsia" w:ascii="宋体" w:hAnsi="宋体" w:eastAsia="宋体" w:cs="宋体"/>
          <w:b/>
          <w:bCs/>
          <w:highlight w:val="none"/>
        </w:rPr>
        <w:t>十二、废标情形</w:t>
      </w:r>
    </w:p>
    <w:p w14:paraId="022366DE">
      <w:pPr>
        <w:pStyle w:val="5"/>
        <w:bidi w:val="0"/>
        <w:rPr>
          <w:rFonts w:hint="eastAsia" w:ascii="宋体" w:hAnsi="宋体" w:eastAsia="宋体" w:cs="宋体"/>
          <w:highlight w:val="none"/>
        </w:rPr>
      </w:pPr>
      <w:r>
        <w:rPr>
          <w:rFonts w:hint="eastAsia" w:ascii="宋体" w:hAnsi="宋体" w:eastAsia="宋体" w:cs="宋体"/>
          <w:highlight w:val="none"/>
        </w:rPr>
        <w:t>（一）磋商小组发现磋商文件存在歧义、重大缺陷导致评审工作无法进行，或者磋商文件内容违反国家有关强制性规定的，应当停止评审工作，与采购人或者采购中心沟通并作书面记录。采购人或者</w:t>
      </w:r>
      <w:r>
        <w:rPr>
          <w:rFonts w:hint="eastAsia" w:ascii="宋体" w:hAnsi="宋体" w:eastAsia="宋体" w:cs="宋体"/>
          <w:highlight w:val="none"/>
          <w:lang w:eastAsia="zh-CN"/>
        </w:rPr>
        <w:t>采购代理机构</w:t>
      </w:r>
      <w:r>
        <w:rPr>
          <w:rFonts w:hint="eastAsia" w:ascii="宋体" w:hAnsi="宋体" w:eastAsia="宋体" w:cs="宋体"/>
          <w:highlight w:val="none"/>
        </w:rPr>
        <w:t>确认后，应当修改磋商文件，重新组织采购活动。</w:t>
      </w:r>
    </w:p>
    <w:p w14:paraId="6296C209">
      <w:pPr>
        <w:pStyle w:val="5"/>
        <w:bidi w:val="0"/>
        <w:rPr>
          <w:rFonts w:hint="eastAsia" w:ascii="宋体" w:hAnsi="宋体" w:eastAsia="宋体" w:cs="宋体"/>
          <w:highlight w:val="none"/>
        </w:rPr>
      </w:pPr>
      <w:r>
        <w:rPr>
          <w:rFonts w:hint="eastAsia" w:ascii="宋体" w:hAnsi="宋体" w:eastAsia="宋体" w:cs="宋体"/>
          <w:highlight w:val="none"/>
        </w:rPr>
        <w:t>（二）根据《中华人民共和国政府采购法》第三十六条规定，在采购采购中，出现下列情形之一的，本项目按废标处理：</w:t>
      </w:r>
    </w:p>
    <w:p w14:paraId="46D8466E">
      <w:pPr>
        <w:pStyle w:val="5"/>
        <w:bidi w:val="0"/>
        <w:rPr>
          <w:rFonts w:hint="eastAsia" w:ascii="宋体" w:hAnsi="宋体" w:eastAsia="宋体" w:cs="宋体"/>
          <w:highlight w:val="none"/>
        </w:rPr>
      </w:pPr>
      <w:r>
        <w:rPr>
          <w:rFonts w:hint="eastAsia" w:ascii="宋体" w:hAnsi="宋体" w:eastAsia="宋体" w:cs="宋体"/>
          <w:highlight w:val="none"/>
        </w:rPr>
        <w:t>1、出现影响采购公正的违法、违规行为；</w:t>
      </w:r>
    </w:p>
    <w:p w14:paraId="639D3960">
      <w:pPr>
        <w:pStyle w:val="5"/>
        <w:bidi w:val="0"/>
        <w:rPr>
          <w:rFonts w:hint="eastAsia" w:ascii="宋体" w:hAnsi="宋体" w:eastAsia="宋体" w:cs="宋体"/>
          <w:highlight w:val="none"/>
        </w:rPr>
      </w:pPr>
      <w:r>
        <w:rPr>
          <w:rFonts w:hint="eastAsia" w:ascii="宋体" w:hAnsi="宋体" w:eastAsia="宋体" w:cs="宋体"/>
          <w:highlight w:val="none"/>
        </w:rPr>
        <w:t>2、供应商的报价均超过了采购预算，采购人不能支付；</w:t>
      </w:r>
    </w:p>
    <w:p w14:paraId="7C8D1776">
      <w:pPr>
        <w:pStyle w:val="5"/>
        <w:bidi w:val="0"/>
        <w:rPr>
          <w:rFonts w:hint="eastAsia" w:ascii="宋体" w:hAnsi="宋体" w:eastAsia="宋体" w:cs="宋体"/>
          <w:highlight w:val="none"/>
        </w:rPr>
      </w:pPr>
      <w:r>
        <w:rPr>
          <w:rFonts w:hint="eastAsia" w:ascii="宋体" w:hAnsi="宋体" w:eastAsia="宋体" w:cs="宋体"/>
          <w:highlight w:val="none"/>
        </w:rPr>
        <w:t>3、因重大变故，采购任务取消。废标后，由</w:t>
      </w:r>
      <w:r>
        <w:rPr>
          <w:rFonts w:hint="eastAsia" w:ascii="宋体" w:hAnsi="宋体" w:eastAsia="宋体" w:cs="宋体"/>
          <w:highlight w:val="none"/>
          <w:lang w:eastAsia="zh-CN"/>
        </w:rPr>
        <w:t>采购代理机构</w:t>
      </w:r>
      <w:r>
        <w:rPr>
          <w:rFonts w:hint="eastAsia" w:ascii="宋体" w:hAnsi="宋体" w:eastAsia="宋体" w:cs="宋体"/>
          <w:highlight w:val="none"/>
        </w:rPr>
        <w:t>发布废标公告。</w:t>
      </w:r>
    </w:p>
    <w:p w14:paraId="229B5375">
      <w:pPr>
        <w:pStyle w:val="5"/>
        <w:bidi w:val="0"/>
        <w:rPr>
          <w:rFonts w:hint="eastAsia" w:ascii="宋体" w:hAnsi="宋体" w:eastAsia="宋体" w:cs="宋体"/>
          <w:highlight w:val="none"/>
        </w:rPr>
      </w:pPr>
      <w:r>
        <w:rPr>
          <w:rFonts w:hint="eastAsia" w:ascii="宋体" w:hAnsi="宋体" w:eastAsia="宋体" w:cs="宋体"/>
          <w:highlight w:val="none"/>
        </w:rPr>
        <w:t>十三、供应商注意事项</w:t>
      </w:r>
    </w:p>
    <w:p w14:paraId="32BAD852">
      <w:pPr>
        <w:pStyle w:val="5"/>
        <w:bidi w:val="0"/>
        <w:rPr>
          <w:rFonts w:hint="eastAsia" w:ascii="宋体" w:hAnsi="宋体" w:eastAsia="宋体" w:cs="宋体"/>
          <w:b/>
          <w:bCs/>
          <w:highlight w:val="none"/>
        </w:rPr>
      </w:pPr>
      <w:r>
        <w:rPr>
          <w:rFonts w:hint="eastAsia" w:ascii="宋体" w:hAnsi="宋体" w:eastAsia="宋体" w:cs="宋体"/>
          <w:b/>
          <w:bCs/>
          <w:highlight w:val="none"/>
        </w:rPr>
        <w:t>（一）询问</w:t>
      </w:r>
    </w:p>
    <w:p w14:paraId="1F28C9B5">
      <w:pPr>
        <w:pStyle w:val="5"/>
        <w:bidi w:val="0"/>
        <w:rPr>
          <w:rFonts w:hint="eastAsia" w:ascii="宋体" w:hAnsi="宋体" w:eastAsia="宋体" w:cs="宋体"/>
          <w:highlight w:val="none"/>
        </w:rPr>
      </w:pPr>
      <w:r>
        <w:rPr>
          <w:rFonts w:hint="eastAsia" w:ascii="宋体" w:hAnsi="宋体" w:eastAsia="宋体" w:cs="宋体"/>
          <w:highlight w:val="none"/>
        </w:rPr>
        <w:t>供应商对政府采购活动事项有疑问的，可以向采购人提出询问，采购人应当及时作出答复，但答复的内容不得涉及商业秘密。</w:t>
      </w:r>
    </w:p>
    <w:p w14:paraId="0B24F40F">
      <w:pPr>
        <w:pStyle w:val="5"/>
        <w:bidi w:val="0"/>
        <w:rPr>
          <w:rFonts w:hint="eastAsia" w:ascii="宋体" w:hAnsi="宋体" w:eastAsia="宋体" w:cs="宋体"/>
          <w:b/>
          <w:bCs/>
          <w:highlight w:val="none"/>
        </w:rPr>
      </w:pPr>
      <w:r>
        <w:rPr>
          <w:rFonts w:hint="eastAsia" w:ascii="宋体" w:hAnsi="宋体" w:eastAsia="宋体" w:cs="宋体"/>
          <w:b/>
          <w:bCs/>
          <w:highlight w:val="none"/>
        </w:rPr>
        <w:t>（二）质疑和投诉</w:t>
      </w:r>
    </w:p>
    <w:p w14:paraId="2DFB8E89">
      <w:pPr>
        <w:pStyle w:val="5"/>
        <w:bidi w:val="0"/>
        <w:rPr>
          <w:rFonts w:hint="eastAsia" w:ascii="宋体" w:hAnsi="宋体" w:eastAsia="宋体" w:cs="宋体"/>
          <w:highlight w:val="none"/>
        </w:rPr>
      </w:pPr>
      <w:r>
        <w:rPr>
          <w:rFonts w:hint="eastAsia" w:ascii="宋体" w:hAnsi="宋体" w:eastAsia="宋体" w:cs="宋体"/>
          <w:highlight w:val="none"/>
        </w:rPr>
        <w:t>供应商如果认为磋商文件中涉及的采购需求（包括供应商资格条件、评审要素及分值设置、采购内容和要求、合同条款等）使自身的合法权益受到损害，应当在磋商文件公告期限届满之日起 7 个工作日内，以书面形式向采购人提出质疑；</w:t>
      </w:r>
    </w:p>
    <w:p w14:paraId="21B68AF5">
      <w:pPr>
        <w:pStyle w:val="5"/>
        <w:bidi w:val="0"/>
        <w:rPr>
          <w:rFonts w:hint="eastAsia" w:ascii="宋体" w:hAnsi="宋体" w:eastAsia="宋体" w:cs="宋体"/>
          <w:highlight w:val="none"/>
        </w:rPr>
      </w:pPr>
      <w:r>
        <w:rPr>
          <w:rFonts w:hint="eastAsia" w:ascii="宋体" w:hAnsi="宋体" w:eastAsia="宋体" w:cs="宋体"/>
          <w:highlight w:val="none"/>
        </w:rPr>
        <w:t>供应商如果认为采购程序、采购过程或者成交结果使自身的合法权益受到损害，可以在知道或应知其权益受到损害之日起</w:t>
      </w:r>
      <w:r>
        <w:rPr>
          <w:rFonts w:hint="eastAsia" w:ascii="宋体" w:hAnsi="宋体" w:eastAsia="宋体" w:cs="宋体"/>
          <w:highlight w:val="none"/>
          <w:lang w:val="en-US" w:eastAsia="zh-CN"/>
        </w:rPr>
        <w:t xml:space="preserve"> </w:t>
      </w:r>
      <w:r>
        <w:rPr>
          <w:rFonts w:hint="eastAsia" w:ascii="宋体" w:hAnsi="宋体" w:eastAsia="宋体" w:cs="宋体"/>
          <w:highlight w:val="none"/>
        </w:rPr>
        <w:t>7</w:t>
      </w:r>
      <w:r>
        <w:rPr>
          <w:rFonts w:hint="eastAsia" w:ascii="宋体" w:hAnsi="宋体" w:eastAsia="宋体" w:cs="宋体"/>
          <w:highlight w:val="none"/>
          <w:lang w:val="en-US" w:eastAsia="zh-CN"/>
        </w:rPr>
        <w:t xml:space="preserve"> </w:t>
      </w:r>
      <w:r>
        <w:rPr>
          <w:rFonts w:hint="eastAsia" w:ascii="宋体" w:hAnsi="宋体" w:eastAsia="宋体" w:cs="宋体"/>
          <w:highlight w:val="none"/>
        </w:rPr>
        <w:t>个工作日内，以书面形式向采购代理机构提出质疑。</w:t>
      </w:r>
    </w:p>
    <w:p w14:paraId="78412453">
      <w:pPr>
        <w:pStyle w:val="5"/>
        <w:bidi w:val="0"/>
        <w:rPr>
          <w:rFonts w:hint="eastAsia" w:ascii="宋体" w:hAnsi="宋体" w:eastAsia="宋体" w:cs="宋体"/>
          <w:highlight w:val="none"/>
        </w:rPr>
      </w:pPr>
      <w:r>
        <w:rPr>
          <w:rFonts w:hint="eastAsia" w:ascii="宋体" w:hAnsi="宋体" w:eastAsia="宋体" w:cs="宋体"/>
          <w:highlight w:val="none"/>
        </w:rPr>
        <w:t>采购人、采购代理机构在收到书面质疑后 7 个工作日内做出答复，并以书面形式通知质疑人和其他有关供应商。</w:t>
      </w:r>
    </w:p>
    <w:p w14:paraId="52CC0674">
      <w:pPr>
        <w:pStyle w:val="5"/>
        <w:bidi w:val="0"/>
        <w:rPr>
          <w:rFonts w:hint="eastAsia" w:ascii="宋体" w:hAnsi="宋体" w:eastAsia="宋体" w:cs="宋体"/>
          <w:highlight w:val="none"/>
        </w:rPr>
      </w:pPr>
      <w:r>
        <w:rPr>
          <w:rFonts w:hint="eastAsia" w:ascii="宋体" w:hAnsi="宋体" w:eastAsia="宋体" w:cs="宋体"/>
          <w:highlight w:val="none"/>
        </w:rPr>
        <w:t>1、供应商提出质疑应当提交质疑函和必要的证明材料，并按财政部《质疑函范本》给定的格式进行填写，范本下载详见【财政部国库司（ gks.mof.gov.cn）】网站〖首页•〉政府采购管理〗栏目中的《政府采购供应商质疑函范本》。</w:t>
      </w:r>
    </w:p>
    <w:p w14:paraId="5AB3890A">
      <w:pPr>
        <w:pStyle w:val="5"/>
        <w:bidi w:val="0"/>
        <w:rPr>
          <w:rFonts w:hint="eastAsia" w:ascii="宋体" w:hAnsi="宋体" w:eastAsia="宋体" w:cs="宋体"/>
          <w:highlight w:val="none"/>
        </w:rPr>
      </w:pPr>
      <w:r>
        <w:rPr>
          <w:rFonts w:hint="eastAsia" w:ascii="宋体" w:hAnsi="宋体" w:eastAsia="宋体" w:cs="宋体"/>
          <w:highlight w:val="none"/>
        </w:rPr>
        <w:t>《政府采购供应商质疑函范本》链接地址：</w:t>
      </w:r>
    </w:p>
    <w:p w14:paraId="52F46653">
      <w:pPr>
        <w:pStyle w:val="5"/>
        <w:bidi w:val="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"http://gks.mof.gov.cn/ztztz/zhengfucaigouguanli/201802/t20180201_28045" </w:instrText>
      </w:r>
      <w:r>
        <w:rPr>
          <w:rFonts w:hint="eastAsia" w:ascii="宋体" w:hAnsi="宋体" w:eastAsia="宋体" w:cs="宋体"/>
          <w:highlight w:val="none"/>
        </w:rPr>
        <w:fldChar w:fldCharType="separate"/>
      </w:r>
      <w:r>
        <w:rPr>
          <w:rFonts w:hint="eastAsia" w:ascii="宋体" w:hAnsi="宋体" w:eastAsia="宋体" w:cs="宋体"/>
          <w:highlight w:val="none"/>
        </w:rPr>
        <w:t>http://gks.mof.gov.cn/ztztz/zhengfucaigouguanli/201802/t20180201_28045</w:t>
      </w:r>
      <w:r>
        <w:rPr>
          <w:rFonts w:hint="eastAsia" w:ascii="宋体" w:hAnsi="宋体" w:eastAsia="宋体" w:cs="宋体"/>
          <w:highlight w:val="none"/>
        </w:rPr>
        <w:fldChar w:fldCharType="end"/>
      </w:r>
      <w:r>
        <w:rPr>
          <w:rFonts w:hint="eastAsia" w:ascii="宋体" w:hAnsi="宋体" w:eastAsia="宋体" w:cs="宋体"/>
          <w:highlight w:val="none"/>
        </w:rPr>
        <w:t xml:space="preserve"> 89.htm</w:t>
      </w:r>
    </w:p>
    <w:p w14:paraId="16CCA493">
      <w:pPr>
        <w:pStyle w:val="5"/>
        <w:bidi w:val="0"/>
        <w:rPr>
          <w:rFonts w:hint="eastAsia" w:ascii="宋体" w:hAnsi="宋体" w:eastAsia="宋体" w:cs="宋体"/>
          <w:highlight w:val="none"/>
        </w:rPr>
      </w:pPr>
      <w:r>
        <w:rPr>
          <w:rFonts w:hint="eastAsia" w:ascii="宋体" w:hAnsi="宋体" w:eastAsia="宋体" w:cs="宋体"/>
          <w:highlight w:val="none"/>
        </w:rPr>
        <w:t>2、质疑人为自然人的，应当由本人在《质疑函》上签字；质疑人为法人或者其他组织的，应当由法定代表人、主要负责人，或者其授权代表在《质疑函》上签字或者盖章，并加盖公章。授权代表办理质疑事项时，除提交《质疑函》外，还应当提交《授权委托书》及授权代表的有效身份证明，《授权委托书》应当载明委托代理的具体权限和事项。</w:t>
      </w:r>
    </w:p>
    <w:p w14:paraId="364D8C9C">
      <w:pPr>
        <w:pStyle w:val="5"/>
        <w:bidi w:val="0"/>
        <w:rPr>
          <w:rFonts w:hint="eastAsia" w:ascii="宋体" w:hAnsi="宋体" w:eastAsia="宋体" w:cs="宋体"/>
          <w:highlight w:val="none"/>
          <w:lang w:eastAsia="zh-CN"/>
        </w:rPr>
      </w:pPr>
      <w:r>
        <w:rPr>
          <w:rFonts w:hint="eastAsia" w:ascii="宋体" w:hAnsi="宋体" w:eastAsia="宋体" w:cs="宋体"/>
          <w:highlight w:val="none"/>
        </w:rPr>
        <w:t>在法定质疑期内，针对同一采购程序环节的质疑应当一次性提出</w:t>
      </w:r>
      <w:r>
        <w:rPr>
          <w:rFonts w:hint="eastAsia" w:ascii="宋体" w:hAnsi="宋体" w:eastAsia="宋体" w:cs="宋体"/>
          <w:highlight w:val="none"/>
          <w:lang w:eastAsia="zh-CN"/>
        </w:rPr>
        <w:t>。</w:t>
      </w:r>
    </w:p>
    <w:p w14:paraId="736E9B62">
      <w:pPr>
        <w:pStyle w:val="5"/>
        <w:bidi w:val="0"/>
        <w:rPr>
          <w:rFonts w:hint="eastAsia" w:ascii="宋体" w:hAnsi="宋体" w:eastAsia="宋体" w:cs="宋体"/>
          <w:highlight w:val="none"/>
        </w:rPr>
      </w:pPr>
      <w:r>
        <w:rPr>
          <w:rFonts w:hint="eastAsia" w:ascii="宋体" w:hAnsi="宋体" w:eastAsia="宋体" w:cs="宋体"/>
          <w:highlight w:val="none"/>
        </w:rPr>
        <w:t>3、有下列情形之一的，属于无效质疑，采购人、采购代理机构不予受理：</w:t>
      </w:r>
    </w:p>
    <w:p w14:paraId="7D33B27D">
      <w:pPr>
        <w:pStyle w:val="5"/>
        <w:bidi w:val="0"/>
        <w:rPr>
          <w:rFonts w:hint="eastAsia" w:ascii="宋体" w:hAnsi="宋体" w:eastAsia="宋体" w:cs="宋体"/>
          <w:highlight w:val="none"/>
        </w:rPr>
      </w:pPr>
      <w:r>
        <w:rPr>
          <w:rFonts w:hint="eastAsia" w:ascii="宋体" w:hAnsi="宋体" w:eastAsia="宋体" w:cs="宋体"/>
          <w:highlight w:val="none"/>
        </w:rPr>
        <w:t>（1）质疑人不是参与本次采购项目的供应商或潜在供应商；</w:t>
      </w:r>
    </w:p>
    <w:p w14:paraId="12DA5099">
      <w:pPr>
        <w:pStyle w:val="5"/>
        <w:bidi w:val="0"/>
        <w:rPr>
          <w:rFonts w:hint="eastAsia" w:ascii="宋体" w:hAnsi="宋体" w:eastAsia="宋体" w:cs="宋体"/>
          <w:highlight w:val="none"/>
        </w:rPr>
      </w:pPr>
      <w:r>
        <w:rPr>
          <w:rFonts w:hint="eastAsia" w:ascii="宋体" w:hAnsi="宋体" w:eastAsia="宋体" w:cs="宋体"/>
          <w:highlight w:val="none"/>
        </w:rPr>
        <w:t>（2）质疑人与质疑事项不存在利害关系的；</w:t>
      </w:r>
    </w:p>
    <w:p w14:paraId="5BE8A494">
      <w:pPr>
        <w:pStyle w:val="5"/>
        <w:bidi w:val="0"/>
        <w:rPr>
          <w:rFonts w:hint="eastAsia" w:ascii="宋体" w:hAnsi="宋体" w:eastAsia="宋体" w:cs="宋体"/>
          <w:highlight w:val="none"/>
        </w:rPr>
      </w:pPr>
      <w:r>
        <w:rPr>
          <w:rFonts w:hint="eastAsia" w:ascii="宋体" w:hAnsi="宋体" w:eastAsia="宋体" w:cs="宋体"/>
          <w:highlight w:val="none"/>
        </w:rPr>
        <w:t>（3）未在法定期限内提出质疑的；</w:t>
      </w:r>
    </w:p>
    <w:p w14:paraId="7F395840">
      <w:pPr>
        <w:pStyle w:val="5"/>
        <w:bidi w:val="0"/>
        <w:rPr>
          <w:rFonts w:hint="eastAsia" w:ascii="宋体" w:hAnsi="宋体" w:eastAsia="宋体" w:cs="宋体"/>
          <w:highlight w:val="none"/>
        </w:rPr>
      </w:pPr>
      <w:r>
        <w:rPr>
          <w:rFonts w:hint="eastAsia" w:ascii="宋体" w:hAnsi="宋体" w:eastAsia="宋体" w:cs="宋体"/>
          <w:highlight w:val="none"/>
        </w:rPr>
        <w:t>（4）质疑未以书面形式提出，或《质疑函》主要内容构成不完整的，或缺乏必要的证明材料及证明材料不完整的；</w:t>
      </w:r>
    </w:p>
    <w:p w14:paraId="0506CDAB">
      <w:pPr>
        <w:pStyle w:val="5"/>
        <w:bidi w:val="0"/>
        <w:rPr>
          <w:rFonts w:hint="eastAsia" w:ascii="宋体" w:hAnsi="宋体" w:eastAsia="宋体" w:cs="宋体"/>
          <w:highlight w:val="none"/>
        </w:rPr>
      </w:pPr>
      <w:r>
        <w:rPr>
          <w:rFonts w:hint="eastAsia" w:ascii="宋体" w:hAnsi="宋体" w:eastAsia="宋体" w:cs="宋体"/>
          <w:highlight w:val="none"/>
        </w:rPr>
        <w:t>（5）《质疑函》没有合法有效的签字、盖章或授权的；</w:t>
      </w:r>
    </w:p>
    <w:p w14:paraId="09208A15">
      <w:pPr>
        <w:pStyle w:val="5"/>
        <w:bidi w:val="0"/>
        <w:rPr>
          <w:rFonts w:hint="eastAsia" w:ascii="宋体" w:hAnsi="宋体" w:eastAsia="宋体" w:cs="宋体"/>
          <w:highlight w:val="none"/>
        </w:rPr>
      </w:pPr>
      <w:r>
        <w:rPr>
          <w:rFonts w:hint="eastAsia" w:ascii="宋体" w:hAnsi="宋体" w:eastAsia="宋体" w:cs="宋体"/>
          <w:highlight w:val="none"/>
        </w:rPr>
        <w:t>（6）以非法手段取得证据、材料的；</w:t>
      </w:r>
    </w:p>
    <w:p w14:paraId="1638B74C">
      <w:pPr>
        <w:pStyle w:val="5"/>
        <w:bidi w:val="0"/>
        <w:rPr>
          <w:rFonts w:hint="eastAsia" w:ascii="宋体" w:hAnsi="宋体" w:eastAsia="宋体" w:cs="宋体"/>
          <w:highlight w:val="none"/>
        </w:rPr>
      </w:pPr>
      <w:r>
        <w:rPr>
          <w:rFonts w:hint="eastAsia" w:ascii="宋体" w:hAnsi="宋体" w:eastAsia="宋体" w:cs="宋体"/>
          <w:highlight w:val="none"/>
        </w:rPr>
        <w:t>（7）质疑答复后，同一质疑人就同一事项再次提出质疑的；</w:t>
      </w:r>
    </w:p>
    <w:p w14:paraId="247606ED">
      <w:pPr>
        <w:pStyle w:val="5"/>
        <w:bidi w:val="0"/>
        <w:rPr>
          <w:rFonts w:hint="eastAsia" w:ascii="宋体" w:hAnsi="宋体" w:eastAsia="宋体" w:cs="宋体"/>
          <w:highlight w:val="none"/>
        </w:rPr>
      </w:pPr>
      <w:r>
        <w:rPr>
          <w:rFonts w:hint="eastAsia" w:ascii="宋体" w:hAnsi="宋体" w:eastAsia="宋体" w:cs="宋体"/>
          <w:highlight w:val="none"/>
        </w:rPr>
        <w:t>4、质疑人对采购代理机构或采购人的答复不满意，以及采购人、采购代理机构未在规定时间内做出答复的，可以在答复期满后 15 个工作日内向靖边县财政局提出投诉。</w:t>
      </w:r>
    </w:p>
    <w:p w14:paraId="2EE05A31">
      <w:pPr>
        <w:pStyle w:val="5"/>
        <w:bidi w:val="0"/>
        <w:rPr>
          <w:rFonts w:hint="eastAsia" w:ascii="宋体" w:hAnsi="宋体" w:eastAsia="宋体" w:cs="宋体"/>
          <w:highlight w:val="none"/>
        </w:rPr>
      </w:pPr>
      <w:r>
        <w:rPr>
          <w:rFonts w:hint="eastAsia" w:ascii="宋体" w:hAnsi="宋体" w:eastAsia="宋体" w:cs="宋体"/>
          <w:highlight w:val="none"/>
        </w:rPr>
        <w:t>5、供应商投诉的事项不得超出已质疑事项的范围。</w:t>
      </w:r>
    </w:p>
    <w:p w14:paraId="62013130">
      <w:pPr>
        <w:pStyle w:val="5"/>
        <w:bidi w:val="0"/>
        <w:rPr>
          <w:rFonts w:hint="eastAsia" w:ascii="宋体" w:hAnsi="宋体" w:eastAsia="宋体" w:cs="宋体"/>
          <w:highlight w:val="none"/>
        </w:rPr>
      </w:pPr>
      <w:r>
        <w:rPr>
          <w:rFonts w:hint="eastAsia" w:ascii="宋体" w:hAnsi="宋体" w:eastAsia="宋体" w:cs="宋体"/>
          <w:highlight w:val="none"/>
        </w:rPr>
        <w:t>6、对捏造事实、提供虚假材料进行质疑、投诉的行为予以严肃处理。</w:t>
      </w:r>
    </w:p>
    <w:p w14:paraId="2D5688B3">
      <w:pPr>
        <w:pStyle w:val="5"/>
        <w:bidi w:val="0"/>
        <w:rPr>
          <w:rFonts w:hint="eastAsia" w:ascii="宋体" w:hAnsi="宋体" w:eastAsia="宋体" w:cs="宋体"/>
          <w:highlight w:val="none"/>
        </w:rPr>
      </w:pPr>
      <w:r>
        <w:rPr>
          <w:rFonts w:hint="eastAsia" w:ascii="宋体" w:hAnsi="宋体" w:eastAsia="宋体" w:cs="宋体"/>
          <w:highlight w:val="none"/>
        </w:rPr>
        <w:t>①《中华人民共和国政府采购法》《中华人民共和国政府采购法实施条例》《政府采购质疑和投诉办法》等法律法规的规定，供应商质疑、投诉应当有明确的请求和必要的证明材料。</w:t>
      </w:r>
    </w:p>
    <w:p w14:paraId="5595AC86">
      <w:pPr>
        <w:pStyle w:val="5"/>
        <w:bidi w:val="0"/>
        <w:rPr>
          <w:rFonts w:hint="eastAsia" w:ascii="宋体" w:hAnsi="宋体" w:eastAsia="宋体" w:cs="宋体"/>
          <w:highlight w:val="none"/>
        </w:rPr>
      </w:pPr>
      <w:r>
        <w:rPr>
          <w:rFonts w:hint="eastAsia" w:ascii="宋体" w:hAnsi="宋体" w:eastAsia="宋体" w:cs="宋体"/>
          <w:highlight w:val="none"/>
        </w:rPr>
        <w:t>②投诉人在全国范围内十二个月内三次以上投诉查无实据的，由财政部门列入不良行为记录名单。</w:t>
      </w:r>
    </w:p>
    <w:p w14:paraId="35AA643F">
      <w:pPr>
        <w:pStyle w:val="5"/>
        <w:bidi w:val="0"/>
        <w:rPr>
          <w:rFonts w:hint="eastAsia" w:ascii="宋体" w:hAnsi="宋体" w:eastAsia="宋体" w:cs="宋体"/>
          <w:highlight w:val="none"/>
        </w:rPr>
      </w:pPr>
      <w:r>
        <w:rPr>
          <w:rFonts w:hint="eastAsia" w:ascii="宋体" w:hAnsi="宋体" w:eastAsia="宋体" w:cs="宋体"/>
          <w:highlight w:val="none"/>
        </w:rPr>
        <w:t>③捏造事实、提供虚假材料或者以非法手段取得证明材料的投诉将被驳回，并将提出投诉的供应商列入不良行为记录名单，禁止其一至三年内参加政府采购活动。</w:t>
      </w:r>
    </w:p>
    <w:p w14:paraId="77C9C643">
      <w:pPr>
        <w:pStyle w:val="5"/>
        <w:bidi w:val="0"/>
        <w:rPr>
          <w:rFonts w:hint="eastAsia" w:ascii="宋体" w:hAnsi="宋体" w:eastAsia="宋体" w:cs="宋体"/>
          <w:highlight w:val="none"/>
        </w:rPr>
      </w:pPr>
      <w:r>
        <w:rPr>
          <w:rFonts w:hint="eastAsia" w:ascii="宋体" w:hAnsi="宋体" w:eastAsia="宋体" w:cs="宋体"/>
          <w:highlight w:val="none"/>
        </w:rPr>
        <w:t>7、依法严惩捏造事实诬告陷害、诽谤他人的行为。</w:t>
      </w:r>
    </w:p>
    <w:p w14:paraId="6D5A110D">
      <w:pPr>
        <w:pStyle w:val="5"/>
        <w:bidi w:val="0"/>
        <w:rPr>
          <w:rFonts w:hint="eastAsia" w:ascii="宋体" w:hAnsi="宋体" w:eastAsia="宋体" w:cs="宋体"/>
          <w:highlight w:val="none"/>
        </w:rPr>
      </w:pPr>
      <w:r>
        <w:rPr>
          <w:rFonts w:hint="eastAsia" w:ascii="宋体" w:hAnsi="宋体" w:eastAsia="宋体" w:cs="宋体"/>
          <w:highlight w:val="none"/>
        </w:rPr>
        <w:t>①《中华人民共和国刑法》第 243 条【诬告陷害罪】捏造事实诬告陷害他人，意图使他人受刑事追究，情节严重的，处三年以下有期徒刑、拘役或者管制；造成严重后果的，处三年以上十年以下有期徒刑。</w:t>
      </w:r>
    </w:p>
    <w:p w14:paraId="4EA2DBB1">
      <w:pPr>
        <w:pStyle w:val="5"/>
        <w:bidi w:val="0"/>
        <w:rPr>
          <w:rFonts w:hint="eastAsia" w:ascii="宋体" w:hAnsi="宋体" w:eastAsia="宋体" w:cs="宋体"/>
          <w:highlight w:val="none"/>
        </w:rPr>
      </w:pPr>
      <w:r>
        <w:rPr>
          <w:rFonts w:hint="eastAsia" w:ascii="宋体" w:hAnsi="宋体" w:eastAsia="宋体" w:cs="宋体"/>
          <w:highlight w:val="none"/>
        </w:rPr>
        <w:t>②《中华人民共和国刑法》第 246 条【侮辱罪、诽谤罪】以暴力或者其他方法公然侮辱他人或者捏造事实诽谤他人，情节严重的，处三年以下有期徒刑、拘役、管制或者剥夺政治权利。</w:t>
      </w:r>
    </w:p>
    <w:p w14:paraId="42350420">
      <w:pPr>
        <w:pStyle w:val="5"/>
        <w:bidi w:val="0"/>
        <w:rPr>
          <w:rFonts w:hint="eastAsia" w:ascii="宋体" w:hAnsi="宋体" w:eastAsia="宋体" w:cs="宋体"/>
          <w:highlight w:val="none"/>
        </w:rPr>
      </w:pPr>
      <w:r>
        <w:rPr>
          <w:rFonts w:hint="eastAsia" w:ascii="宋体" w:hAnsi="宋体" w:eastAsia="宋体" w:cs="宋体"/>
          <w:highlight w:val="none"/>
        </w:rPr>
        <w:t>8、质疑函递交地址：</w:t>
      </w:r>
    </w:p>
    <w:p w14:paraId="3D79A798">
      <w:pPr>
        <w:pStyle w:val="5"/>
        <w:bidi w:val="0"/>
        <w:rPr>
          <w:rFonts w:hint="eastAsia" w:ascii="宋体" w:hAnsi="宋体" w:eastAsia="宋体" w:cs="宋体"/>
          <w:highlight w:val="none"/>
        </w:rPr>
      </w:pPr>
      <w:r>
        <w:rPr>
          <w:rFonts w:hint="eastAsia" w:ascii="宋体" w:hAnsi="宋体" w:eastAsia="宋体" w:cs="宋体"/>
          <w:highlight w:val="none"/>
        </w:rPr>
        <w:t>采购代理机构：</w:t>
      </w:r>
      <w:r>
        <w:rPr>
          <w:rFonts w:hint="eastAsia" w:ascii="宋体" w:hAnsi="宋体" w:eastAsia="宋体" w:cs="宋体"/>
          <w:highlight w:val="none"/>
          <w:lang w:eastAsia="zh-CN"/>
        </w:rPr>
        <w:t>万泰项目管理有限公司</w:t>
      </w:r>
      <w:r>
        <w:rPr>
          <w:rFonts w:hint="eastAsia" w:ascii="宋体" w:hAnsi="宋体" w:eastAsia="宋体" w:cs="宋体"/>
          <w:highlight w:val="none"/>
        </w:rPr>
        <w:t xml:space="preserve">   联系电话：029-85328601</w:t>
      </w:r>
    </w:p>
    <w:p w14:paraId="06C4D24A">
      <w:pPr>
        <w:pStyle w:val="5"/>
        <w:bidi w:val="0"/>
        <w:rPr>
          <w:rFonts w:hint="eastAsia" w:ascii="宋体" w:hAnsi="宋体" w:eastAsia="宋体" w:cs="宋体"/>
          <w:b/>
          <w:bCs/>
          <w:highlight w:val="none"/>
        </w:rPr>
      </w:pPr>
      <w:r>
        <w:rPr>
          <w:rFonts w:hint="eastAsia" w:ascii="宋体" w:hAnsi="宋体" w:eastAsia="宋体" w:cs="宋体"/>
          <w:b/>
          <w:bCs/>
          <w:highlight w:val="none"/>
        </w:rPr>
        <w:t>（三）关于信用记录的查询和使用</w:t>
      </w:r>
    </w:p>
    <w:p w14:paraId="1AFC38CF">
      <w:pPr>
        <w:pStyle w:val="5"/>
        <w:bidi w:val="0"/>
        <w:rPr>
          <w:rFonts w:hint="eastAsia" w:ascii="宋体" w:hAnsi="宋体" w:eastAsia="宋体" w:cs="宋体"/>
          <w:highlight w:val="none"/>
        </w:rPr>
      </w:pPr>
      <w:r>
        <w:rPr>
          <w:rFonts w:hint="eastAsia" w:ascii="宋体" w:hAnsi="宋体" w:eastAsia="宋体" w:cs="宋体"/>
          <w:highlight w:val="none"/>
        </w:rPr>
        <w:t>1、在资格审查阶段通过【</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Fonts w:hint="eastAsia" w:ascii="宋体" w:hAnsi="宋体" w:eastAsia="宋体" w:cs="宋体"/>
          <w:highlight w:val="none"/>
        </w:rPr>
        <w:t>信用中国</w:t>
      </w:r>
      <w:r>
        <w:rPr>
          <w:rFonts w:hint="eastAsia" w:ascii="宋体" w:hAnsi="宋体" w:eastAsia="宋体" w:cs="宋体"/>
          <w:highlight w:val="none"/>
        </w:rPr>
        <w:fldChar w:fldCharType="end"/>
      </w:r>
      <w:r>
        <w:rPr>
          <w:rFonts w:hint="eastAsia" w:ascii="宋体" w:hAnsi="宋体" w:eastAsia="宋体" w:cs="宋体"/>
          <w:highlight w:val="none"/>
        </w:rPr>
        <w:t>（www.creditchina.gov.cn）】、【</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"http://www.ccgp.gov.cn/cr/list" </w:instrText>
      </w:r>
      <w:r>
        <w:rPr>
          <w:rFonts w:hint="eastAsia" w:ascii="宋体" w:hAnsi="宋体" w:eastAsia="宋体" w:cs="宋体"/>
          <w:highlight w:val="none"/>
        </w:rPr>
        <w:fldChar w:fldCharType="separate"/>
      </w:r>
      <w:r>
        <w:rPr>
          <w:rFonts w:hint="eastAsia" w:ascii="宋体" w:hAnsi="宋体" w:eastAsia="宋体" w:cs="宋体"/>
          <w:highlight w:val="none"/>
        </w:rPr>
        <w:t>中国政府</w:t>
      </w:r>
      <w:r>
        <w:rPr>
          <w:rFonts w:hint="eastAsia" w:ascii="宋体" w:hAnsi="宋体" w:eastAsia="宋体" w:cs="宋体"/>
          <w:highlight w:val="none"/>
        </w:rPr>
        <w:fldChar w:fldCharType="end"/>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"http://www.ccgp.gov.cn/cr/list" </w:instrText>
      </w:r>
      <w:r>
        <w:rPr>
          <w:rFonts w:hint="eastAsia" w:ascii="宋体" w:hAnsi="宋体" w:eastAsia="宋体" w:cs="宋体"/>
          <w:highlight w:val="none"/>
        </w:rPr>
        <w:fldChar w:fldCharType="separate"/>
      </w:r>
      <w:r>
        <w:rPr>
          <w:rFonts w:hint="eastAsia" w:ascii="宋体" w:hAnsi="宋体" w:eastAsia="宋体" w:cs="宋体"/>
          <w:highlight w:val="none"/>
        </w:rPr>
        <w:t>采购网</w:t>
      </w:r>
      <w:r>
        <w:rPr>
          <w:rFonts w:hint="eastAsia" w:ascii="宋体" w:hAnsi="宋体" w:eastAsia="宋体" w:cs="宋体"/>
          <w:highlight w:val="none"/>
        </w:rPr>
        <w:fldChar w:fldCharType="end"/>
      </w:r>
      <w:r>
        <w:rPr>
          <w:rFonts w:hint="eastAsia" w:ascii="宋体" w:hAnsi="宋体" w:eastAsia="宋体" w:cs="宋体"/>
          <w:highlight w:val="none"/>
        </w:rPr>
        <w:t>（www.ccgp.gov.cn）】网站对供应商的信用情况进行甄别。对列入失信被执行人、重大税收违法</w:t>
      </w:r>
      <w:r>
        <w:rPr>
          <w:rFonts w:hint="eastAsia" w:ascii="宋体" w:hAnsi="宋体" w:eastAsia="宋体" w:cs="宋体"/>
          <w:highlight w:val="none"/>
          <w:lang w:val="en-US" w:eastAsia="zh-CN"/>
        </w:rPr>
        <w:t>失信主体</w:t>
      </w:r>
      <w:r>
        <w:rPr>
          <w:rFonts w:hint="eastAsia" w:ascii="宋体" w:hAnsi="宋体" w:eastAsia="宋体" w:cs="宋体"/>
          <w:highlight w:val="none"/>
        </w:rPr>
        <w:t>、政府采购严重违法失信行为记录名单及其他不符合《中华人民共和国政府采购法》第二十二条规定条件的供应商，拒绝其参本次响应活动。</w:t>
      </w:r>
    </w:p>
    <w:p w14:paraId="1EC3DD30">
      <w:pPr>
        <w:pStyle w:val="5"/>
        <w:bidi w:val="0"/>
        <w:rPr>
          <w:rFonts w:hint="eastAsia" w:ascii="宋体" w:hAnsi="宋体" w:eastAsia="宋体" w:cs="宋体"/>
          <w:highlight w:val="none"/>
        </w:rPr>
      </w:pPr>
      <w:r>
        <w:rPr>
          <w:rFonts w:hint="eastAsia" w:ascii="宋体" w:hAnsi="宋体" w:eastAsia="宋体" w:cs="宋体"/>
          <w:highlight w:val="none"/>
        </w:rPr>
        <w:t>2、供应商在参加政府采购活动前 3 年内因违法经营被禁止在一定期限内参加政府采购活动，期限届满的，可以参加政府采购活动的，但供应商应提供相关证明材料。</w:t>
      </w:r>
    </w:p>
    <w:p w14:paraId="2DED147F">
      <w:pPr>
        <w:pStyle w:val="5"/>
        <w:bidi w:val="0"/>
        <w:rPr>
          <w:rFonts w:hint="eastAsia" w:ascii="宋体" w:hAnsi="宋体" w:eastAsia="宋体" w:cs="宋体"/>
          <w:highlight w:val="none"/>
        </w:rPr>
      </w:pPr>
      <w:r>
        <w:rPr>
          <w:rFonts w:hint="eastAsia" w:ascii="宋体" w:hAnsi="宋体" w:eastAsia="宋体" w:cs="宋体"/>
          <w:highlight w:val="none"/>
        </w:rPr>
        <w:t>3、供应商信用记录查询的时间段为“磋商公告发布之日（含当日）至提交响应文件截止之日（不含当日）”。供应商未如实填报“供应商书面声明函 ”的，视为“供应商提供虚假材料谋取中标、成交的”行为，拒绝其参本次响应活动。</w:t>
      </w:r>
    </w:p>
    <w:p w14:paraId="767B0309">
      <w:pPr>
        <w:pStyle w:val="5"/>
        <w:bidi w:val="0"/>
        <w:rPr>
          <w:rFonts w:hint="eastAsia" w:ascii="宋体" w:hAnsi="宋体" w:eastAsia="宋体" w:cs="宋体"/>
          <w:b/>
          <w:bCs/>
          <w:highlight w:val="none"/>
        </w:rPr>
      </w:pPr>
      <w:r>
        <w:rPr>
          <w:rFonts w:hint="eastAsia" w:ascii="宋体" w:hAnsi="宋体" w:eastAsia="宋体" w:cs="宋体"/>
          <w:b/>
          <w:bCs/>
          <w:highlight w:val="none"/>
        </w:rPr>
        <w:t>（四）执行优惠政策</w:t>
      </w:r>
    </w:p>
    <w:p w14:paraId="19B9A48A">
      <w:pPr>
        <w:pStyle w:val="5"/>
        <w:bidi w:val="0"/>
        <w:rPr>
          <w:rFonts w:hint="eastAsia" w:ascii="宋体" w:hAnsi="宋体" w:eastAsia="宋体" w:cs="宋体"/>
          <w:highlight w:val="none"/>
        </w:rPr>
      </w:pPr>
      <w:r>
        <w:rPr>
          <w:rFonts w:hint="eastAsia" w:ascii="宋体" w:hAnsi="宋体" w:eastAsia="宋体" w:cs="宋体"/>
          <w:highlight w:val="none"/>
        </w:rPr>
        <w:t>对于小微企业（含小型、微型企业）、监狱企业、残疾人福利性单位参与本次响应，以及节能产品、环保产品的采购，执行国务院办公厅以及国家部委有关文件。</w:t>
      </w:r>
    </w:p>
    <w:p w14:paraId="699C393E">
      <w:pPr>
        <w:pStyle w:val="5"/>
        <w:bidi w:val="0"/>
        <w:rPr>
          <w:rFonts w:hint="eastAsia" w:ascii="宋体" w:hAnsi="宋体" w:eastAsia="宋体" w:cs="宋体"/>
          <w:highlight w:val="none"/>
        </w:rPr>
      </w:pPr>
      <w:r>
        <w:rPr>
          <w:rFonts w:hint="eastAsia" w:ascii="宋体" w:hAnsi="宋体" w:eastAsia="宋体" w:cs="宋体"/>
          <w:highlight w:val="none"/>
        </w:rPr>
        <w:t>1、《政府采购促进中小企业发展管理办法》（财库〔2020〕46号）、《关于政府采购支持监狱企业发展有关问题的通知》（财库〔2014〕68号）以及《关于促进残疾人就业政府采购政策的通知》（财库〔2017〕141号）。</w:t>
      </w:r>
    </w:p>
    <w:p w14:paraId="761DE450">
      <w:pPr>
        <w:pStyle w:val="5"/>
        <w:bidi w:val="0"/>
        <w:rPr>
          <w:rFonts w:hint="eastAsia" w:ascii="宋体" w:hAnsi="宋体" w:eastAsia="宋体" w:cs="宋体"/>
          <w:szCs w:val="24"/>
          <w:highlight w:val="none"/>
        </w:rPr>
      </w:pPr>
      <w:r>
        <w:rPr>
          <w:rFonts w:hint="eastAsia" w:ascii="宋体" w:hAnsi="宋体" w:eastAsia="宋体" w:cs="宋体"/>
          <w:highlight w:val="none"/>
        </w:rPr>
        <w:t>2、国务院办公厅《关于建立政府强制采购节能产品制度的通知》（国办发〔2007〕51号）、财政部、国家发改委、生态环境部、市场监管总局联合印发《关于调整优化节能产品、环境标志产品政府采购执行机制的通知》（财库〔2019〕9号）。</w:t>
      </w:r>
    </w:p>
    <w:p w14:paraId="17526E83">
      <w:pPr>
        <w:pStyle w:val="5"/>
        <w:bidi w:val="0"/>
        <w:rPr>
          <w:rFonts w:hint="eastAsia" w:ascii="宋体" w:hAnsi="宋体" w:eastAsia="宋体" w:cs="宋体"/>
          <w:b/>
          <w:bCs/>
          <w:highlight w:val="none"/>
        </w:rPr>
      </w:pPr>
      <w:r>
        <w:rPr>
          <w:rFonts w:hint="eastAsia" w:ascii="宋体" w:hAnsi="宋体" w:eastAsia="宋体" w:cs="宋体"/>
          <w:b/>
          <w:bCs/>
          <w:highlight w:val="none"/>
        </w:rPr>
        <w:t>（五）关于知识产权与保密事项</w:t>
      </w:r>
    </w:p>
    <w:p w14:paraId="7362B6D9">
      <w:pPr>
        <w:pStyle w:val="5"/>
        <w:bidi w:val="0"/>
        <w:rPr>
          <w:rFonts w:hint="eastAsia" w:ascii="宋体" w:hAnsi="宋体" w:eastAsia="宋体" w:cs="宋体"/>
          <w:highlight w:val="none"/>
        </w:rPr>
      </w:pPr>
      <w:r>
        <w:rPr>
          <w:rFonts w:hint="eastAsia" w:ascii="宋体" w:hAnsi="宋体" w:eastAsia="宋体" w:cs="宋体"/>
          <w:highlight w:val="none"/>
        </w:rPr>
        <w:t>1、所有涉及知识产权的产品及设计，供应商必须确保采购人拥有其合法的、不受限制的无偿使用权，并免受任何侵权诉讼或索偿，否则，由此产生的一切经济损失和法律责任由供应商承担。</w:t>
      </w:r>
    </w:p>
    <w:p w14:paraId="5820C636">
      <w:pPr>
        <w:pStyle w:val="5"/>
        <w:bidi w:val="0"/>
        <w:rPr>
          <w:rFonts w:hint="eastAsia" w:ascii="宋体" w:hAnsi="宋体" w:eastAsia="宋体" w:cs="宋体"/>
          <w:highlight w:val="none"/>
        </w:rPr>
      </w:pPr>
      <w:r>
        <w:rPr>
          <w:rFonts w:hint="eastAsia" w:ascii="宋体" w:hAnsi="宋体" w:eastAsia="宋体" w:cs="宋体"/>
          <w:highlight w:val="none"/>
        </w:rPr>
        <w:t>2、由采购人向供应商提供的所有资料，供应商不得向第三方透露或将其用于本次响应以外的任何用途。磋商会议后，若采购人有要求，供应商须归还采购人认为需保密的文件和资料，并销毁所有相应的备份文件及资料。</w:t>
      </w:r>
    </w:p>
    <w:p w14:paraId="0A048F97">
      <w:pPr>
        <w:pStyle w:val="5"/>
        <w:bidi w:val="0"/>
        <w:rPr>
          <w:rFonts w:hint="eastAsia" w:ascii="宋体" w:hAnsi="宋体" w:eastAsia="宋体" w:cs="宋体"/>
          <w:b/>
          <w:bCs/>
          <w:highlight w:val="none"/>
        </w:rPr>
      </w:pPr>
      <w:r>
        <w:rPr>
          <w:rFonts w:hint="eastAsia" w:ascii="宋体" w:hAnsi="宋体" w:eastAsia="宋体" w:cs="宋体"/>
          <w:b/>
          <w:bCs/>
          <w:highlight w:val="none"/>
        </w:rPr>
        <w:t>（六）政采贷业务</w:t>
      </w:r>
    </w:p>
    <w:p w14:paraId="4F777B23">
      <w:pPr>
        <w:pStyle w:val="5"/>
        <w:bidi w:val="0"/>
        <w:rPr>
          <w:rFonts w:hint="eastAsia" w:ascii="宋体" w:hAnsi="宋体" w:eastAsia="宋体" w:cs="宋体"/>
          <w:szCs w:val="24"/>
          <w:highlight w:val="none"/>
        </w:rPr>
      </w:pPr>
      <w:r>
        <w:rPr>
          <w:rFonts w:hint="eastAsia" w:ascii="宋体" w:hAnsi="宋体" w:eastAsia="宋体" w:cs="宋体"/>
          <w:highlight w:val="none"/>
        </w:rPr>
        <w:t>为了进一步推动金融支持政策更好适应市场主体的需要，扎实落实国务院关于支持中小企业发展的政策措施，积极发挥政府采购政策功能，有效缓解中小企业融资难、融资贵问题，根据中办</w:t>
      </w:r>
      <w:r>
        <w:rPr>
          <w:rFonts w:hint="eastAsia" w:ascii="宋体" w:hAnsi="宋体" w:eastAsia="宋体" w:cs="宋体"/>
          <w:highlight w:val="none"/>
          <w:lang w:val="en-US" w:eastAsia="zh-CN"/>
        </w:rPr>
        <w:t xml:space="preserve"> </w:t>
      </w:r>
      <w:r>
        <w:rPr>
          <w:rFonts w:hint="eastAsia" w:ascii="宋体" w:hAnsi="宋体" w:eastAsia="宋体" w:cs="宋体"/>
          <w:highlight w:val="none"/>
        </w:rPr>
        <w:t>国办《关于促进中小企业健康发展的指导意见》、财政部工信部《政府采购促进中小企业发展</w:t>
      </w:r>
      <w:r>
        <w:rPr>
          <w:rFonts w:hint="eastAsia" w:ascii="宋体" w:hAnsi="宋体" w:eastAsia="宋体" w:cs="宋体"/>
          <w:highlight w:val="none"/>
          <w:lang w:val="en-US" w:eastAsia="zh-CN"/>
        </w:rPr>
        <w:t>管理</w:t>
      </w:r>
      <w:r>
        <w:rPr>
          <w:rFonts w:hint="eastAsia" w:ascii="宋体" w:hAnsi="宋体" w:eastAsia="宋体" w:cs="宋体"/>
          <w:highlight w:val="none"/>
        </w:rPr>
        <w:t>办法》（财库〔20</w:t>
      </w:r>
      <w:r>
        <w:rPr>
          <w:rFonts w:hint="eastAsia" w:ascii="宋体" w:hAnsi="宋体" w:eastAsia="宋体" w:cs="宋体"/>
          <w:highlight w:val="none"/>
          <w:lang w:val="en-US" w:eastAsia="zh-CN"/>
        </w:rPr>
        <w:t>20</w:t>
      </w:r>
      <w:r>
        <w:rPr>
          <w:rFonts w:hint="eastAsia" w:ascii="宋体" w:hAnsi="宋体" w:eastAsia="宋体" w:cs="宋体"/>
          <w:highlight w:val="none"/>
        </w:rPr>
        <w:t>〕</w:t>
      </w:r>
      <w:r>
        <w:rPr>
          <w:rFonts w:hint="eastAsia" w:ascii="宋体" w:hAnsi="宋体" w:eastAsia="宋体" w:cs="宋体"/>
          <w:highlight w:val="none"/>
          <w:lang w:val="en-US" w:eastAsia="zh-CN"/>
        </w:rPr>
        <w:t>46</w:t>
      </w:r>
      <w:r>
        <w:rPr>
          <w:rFonts w:hint="eastAsia" w:ascii="宋体" w:hAnsi="宋体" w:eastAsia="宋体" w:cs="宋体"/>
          <w:highlight w:val="none"/>
        </w:rPr>
        <w:t>号）、《陕西省中小企业政府采购信用融资办法》（陕财办采〔2018〕23号）、《陕西省财政厅关于加快推进我省中小企业政府采购信用融资工作的通知》（陕财办采〔2020〕15号）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《陕西省财政厅中国人民银行西安分行关于深入推进政府采购信用融资业务的通知》</w:t>
      </w:r>
      <w:r>
        <w:rPr>
          <w:rFonts w:hint="eastAsia" w:ascii="宋体" w:hAnsi="宋体" w:eastAsia="宋体" w:cs="宋体"/>
          <w:highlight w:val="none"/>
        </w:rPr>
        <w:t>（陕财办采〔202</w:t>
      </w:r>
      <w:r>
        <w:rPr>
          <w:rFonts w:hint="eastAsia" w:ascii="宋体" w:hAnsi="宋体" w:eastAsia="宋体" w:cs="宋体"/>
          <w:highlight w:val="none"/>
          <w:lang w:val="en-US" w:eastAsia="zh-CN"/>
        </w:rPr>
        <w:t>3</w:t>
      </w:r>
      <w:r>
        <w:rPr>
          <w:rFonts w:hint="eastAsia" w:ascii="宋体" w:hAnsi="宋体" w:eastAsia="宋体" w:cs="宋体"/>
          <w:highlight w:val="none"/>
        </w:rPr>
        <w:t>〕5号）等有关规定，按照</w:t>
      </w:r>
      <w:r>
        <w:rPr>
          <w:rFonts w:hint="eastAsia" w:ascii="宋体" w:hAnsi="宋体" w:eastAsia="宋体" w:cs="宋体"/>
          <w:highlight w:val="none"/>
          <w:lang w:val="en-US" w:eastAsia="zh-CN"/>
        </w:rPr>
        <w:t>政府</w:t>
      </w:r>
      <w:r>
        <w:rPr>
          <w:rFonts w:hint="eastAsia" w:ascii="宋体" w:hAnsi="宋体" w:eastAsia="宋体" w:cs="宋体"/>
          <w:highlight w:val="none"/>
        </w:rPr>
        <w:t>引导、</w:t>
      </w:r>
      <w:r>
        <w:rPr>
          <w:rFonts w:hint="eastAsia" w:ascii="宋体" w:hAnsi="宋体" w:eastAsia="宋体" w:cs="宋体"/>
          <w:highlight w:val="none"/>
          <w:lang w:val="en-US" w:eastAsia="zh-CN"/>
        </w:rPr>
        <w:t>市场运作、银企</w:t>
      </w:r>
      <w:r>
        <w:rPr>
          <w:rFonts w:hint="eastAsia" w:ascii="宋体" w:hAnsi="宋体" w:eastAsia="宋体" w:cs="宋体"/>
          <w:highlight w:val="none"/>
        </w:rPr>
        <w:t>自愿、风险自担的原则，中标（成交）供应商可根据自身资金需求，登录陕西省政府采购信用融资平台（http://www.ccgp-shaanxi.gov.cn/zcdservice/zcd/shanxi/）</w:t>
      </w:r>
      <w:r>
        <w:rPr>
          <w:rFonts w:hint="eastAsia" w:ascii="宋体" w:hAnsi="宋体" w:eastAsia="宋体" w:cs="宋体"/>
          <w:highlight w:val="none"/>
          <w:lang w:val="en-US" w:eastAsia="zh-CN"/>
        </w:rPr>
        <w:t>或中征平台（https://www.crcrfsp.com）</w:t>
      </w:r>
      <w:r>
        <w:rPr>
          <w:rFonts w:hint="eastAsia" w:ascii="宋体" w:hAnsi="宋体" w:eastAsia="宋体" w:cs="宋体"/>
          <w:highlight w:val="none"/>
        </w:rPr>
        <w:t>在线申请，依法参加政府采购信用融资活动。</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1056"/>
        <w:gridCol w:w="1056"/>
        <w:gridCol w:w="1056"/>
        <w:gridCol w:w="1056"/>
        <w:gridCol w:w="1266"/>
        <w:gridCol w:w="1181"/>
        <w:gridCol w:w="2001"/>
      </w:tblGrid>
      <w:tr w14:paraId="244D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00" w:type="pct"/>
            <w:gridSpan w:val="8"/>
            <w:tcBorders>
              <w:top w:val="nil"/>
              <w:left w:val="nil"/>
              <w:bottom w:val="nil"/>
              <w:right w:val="nil"/>
            </w:tcBorders>
            <w:noWrap/>
            <w:vAlign w:val="center"/>
          </w:tcPr>
          <w:p w14:paraId="0A878A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52"/>
                <w:szCs w:val="52"/>
                <w:highlight w:val="none"/>
                <w:u w:val="none"/>
              </w:rPr>
            </w:pPr>
            <w:r>
              <w:rPr>
                <w:rFonts w:hint="eastAsia" w:ascii="宋体" w:hAnsi="宋体" w:eastAsia="宋体" w:cs="宋体"/>
                <w:i w:val="0"/>
                <w:iCs w:val="0"/>
                <w:color w:val="000000"/>
                <w:kern w:val="0"/>
                <w:sz w:val="32"/>
                <w:szCs w:val="32"/>
                <w:highlight w:val="none"/>
                <w:u w:val="none"/>
                <w:lang w:val="en-US" w:eastAsia="zh-CN" w:bidi="ar"/>
              </w:rPr>
              <w:t>榆林市“政采贷”业务办理银行联系表</w:t>
            </w:r>
          </w:p>
        </w:tc>
      </w:tr>
      <w:tr w14:paraId="7C13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502A0D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4EE6A9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银行名称</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DE2B33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产品名称</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A6A5CA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贷款额度</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DB770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贷款期限</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B7BF41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贷款利率</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217520F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办理时效</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44BCAB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联系人</w:t>
            </w:r>
          </w:p>
        </w:tc>
      </w:tr>
      <w:tr w14:paraId="62A7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162E45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5C8133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长安银行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CBCB11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87349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3C53CD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0F7125E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68C7CC0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519DE13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魏  众15109123951</w:t>
            </w:r>
          </w:p>
        </w:tc>
      </w:tr>
      <w:tr w14:paraId="39F7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5E7C76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4D9968B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中信银行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AD0A9A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政采E贷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45A4CCD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E8069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A7C553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3.45%起</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5069CFC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36D0A89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  明18992218795</w:t>
            </w:r>
          </w:p>
        </w:tc>
      </w:tr>
      <w:tr w14:paraId="5AA8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611549B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4492D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光大银行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15C5A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16C6B12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EA1796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6B4B528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76C5A1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32FF2EE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艾思宇13509127997</w:t>
            </w:r>
          </w:p>
        </w:tc>
      </w:tr>
      <w:tr w14:paraId="5C9A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776D72F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45FC58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交通银行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C791C9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秦政贷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136DEC3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4998EA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BBCDB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5F6CAA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4EBE30B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  飞15291296886</w:t>
            </w:r>
          </w:p>
        </w:tc>
      </w:tr>
      <w:tr w14:paraId="2887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569939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F9B4A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中国银行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EEC805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85C14B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D4DB7D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680666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3C42A91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0"/>
            <w:vAlign w:val="center"/>
          </w:tcPr>
          <w:p w14:paraId="00DB83B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李  浩18691230007</w:t>
            </w:r>
          </w:p>
        </w:tc>
      </w:tr>
      <w:tr w14:paraId="0E10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7C94E7F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D4E14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招商银行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2AC276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062016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189DBE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60A31AA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3.45%起</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238DA1C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4ADEE4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马  烨15596100007</w:t>
            </w:r>
          </w:p>
        </w:tc>
      </w:tr>
      <w:tr w14:paraId="23B9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51B1FD6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B7CAC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浦发银行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15C82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政采E贷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9B0AC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FC241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7F780DC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3.45%起</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36B61E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2815DE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朱  君15629169158</w:t>
            </w:r>
          </w:p>
        </w:tc>
      </w:tr>
      <w:tr w14:paraId="081C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4D3F1FF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55EB04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农商银行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DD27E6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488CA47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6D773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5A2E789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3.45%-5.8%</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6A16130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2A6E30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王  璐15529875056</w:t>
            </w:r>
          </w:p>
        </w:tc>
      </w:tr>
      <w:tr w14:paraId="5A88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04F3B2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F75E0C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农业银行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95847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1DB83C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90BBB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2D8970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3.45%以上</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4AA9BB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7FC7157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米璐洁18966997666</w:t>
            </w:r>
          </w:p>
        </w:tc>
      </w:tr>
      <w:tr w14:paraId="3C44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299AD6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A8967C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民生银行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6372AF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政采E贷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17718FA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4FA8E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40B32D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3.45%起</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0D94F7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5BE0C10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郝双双15991225850</w:t>
            </w:r>
          </w:p>
        </w:tc>
      </w:tr>
      <w:tr w14:paraId="3F25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2DB30E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C4238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兴业银行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42A2D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政采贷</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078DB9E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C90946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1年期</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7308C04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7BFBC1A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1BAC88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薛万隆18709258523</w:t>
            </w:r>
          </w:p>
        </w:tc>
      </w:tr>
      <w:tr w14:paraId="343F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15C29C5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1C7AB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广发银行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EA6E9A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政采通</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5F5080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164250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25A3ED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3.45%起</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2719D77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5A0CD2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李思嘉15191820101</w:t>
            </w:r>
          </w:p>
        </w:tc>
      </w:tr>
      <w:tr w14:paraId="09F3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346" w:type="pct"/>
            <w:tcBorders>
              <w:top w:val="single" w:color="000000" w:sz="4" w:space="0"/>
              <w:left w:val="single" w:color="000000" w:sz="4" w:space="0"/>
              <w:bottom w:val="single" w:color="000000" w:sz="4" w:space="0"/>
              <w:right w:val="single" w:color="000000" w:sz="4" w:space="0"/>
            </w:tcBorders>
            <w:noWrap/>
            <w:vAlign w:val="center"/>
          </w:tcPr>
          <w:p w14:paraId="70B0980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67F92D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建设银行</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7F630E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E政通</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3D10CC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1000万元</w:t>
            </w:r>
          </w:p>
        </w:tc>
        <w:tc>
          <w:tcPr>
            <w:tcW w:w="575" w:type="pct"/>
            <w:tcBorders>
              <w:top w:val="single" w:color="000000" w:sz="4" w:space="0"/>
              <w:left w:val="single" w:color="000000" w:sz="4" w:space="0"/>
              <w:bottom w:val="single" w:color="000000" w:sz="4" w:space="0"/>
              <w:right w:val="single" w:color="000000" w:sz="4" w:space="0"/>
            </w:tcBorders>
            <w:noWrap/>
            <w:vAlign w:val="center"/>
          </w:tcPr>
          <w:p w14:paraId="20E73A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1年</w:t>
            </w:r>
          </w:p>
        </w:tc>
        <w:tc>
          <w:tcPr>
            <w:tcW w:w="689" w:type="pct"/>
            <w:tcBorders>
              <w:top w:val="single" w:color="000000" w:sz="4" w:space="0"/>
              <w:left w:val="single" w:color="000000" w:sz="4" w:space="0"/>
              <w:bottom w:val="single" w:color="000000" w:sz="4" w:space="0"/>
              <w:right w:val="single" w:color="000000" w:sz="4" w:space="0"/>
            </w:tcBorders>
            <w:noWrap/>
            <w:vAlign w:val="center"/>
          </w:tcPr>
          <w:p w14:paraId="3298D7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376EA27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72小时</w:t>
            </w:r>
          </w:p>
        </w:tc>
        <w:tc>
          <w:tcPr>
            <w:tcW w:w="1013" w:type="pct"/>
            <w:tcBorders>
              <w:top w:val="single" w:color="000000" w:sz="4" w:space="0"/>
              <w:left w:val="single" w:color="000000" w:sz="4" w:space="0"/>
              <w:bottom w:val="single" w:color="000000" w:sz="4" w:space="0"/>
              <w:right w:val="single" w:color="000000" w:sz="4" w:space="0"/>
            </w:tcBorders>
            <w:noWrap/>
            <w:vAlign w:val="center"/>
          </w:tcPr>
          <w:p w14:paraId="49DF052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 宇 15929397838</w:t>
            </w:r>
          </w:p>
        </w:tc>
      </w:tr>
    </w:tbl>
    <w:p w14:paraId="7F20D1B1">
      <w:pPr>
        <w:pStyle w:val="5"/>
        <w:bidi w:val="0"/>
        <w:rPr>
          <w:rFonts w:hint="eastAsia" w:ascii="宋体" w:hAnsi="宋体" w:eastAsia="宋体" w:cs="宋体"/>
          <w:b/>
          <w:bCs/>
          <w:highlight w:val="none"/>
        </w:rPr>
      </w:pPr>
      <w:r>
        <w:rPr>
          <w:rFonts w:hint="eastAsia" w:ascii="宋体" w:hAnsi="宋体" w:eastAsia="宋体" w:cs="宋体"/>
          <w:b w:val="0"/>
          <w:bCs w:val="0"/>
          <w:highlight w:val="none"/>
          <w:lang w:val="en-US" w:eastAsia="zh-CN"/>
        </w:rPr>
        <w:t>备注：银行排名不分先后。如产品额度、期限、利率等内容发生改变，以银行解释为准。</w:t>
      </w:r>
    </w:p>
    <w:p w14:paraId="03A83E16">
      <w:pPr>
        <w:pStyle w:val="5"/>
        <w:bidi w:val="0"/>
        <w:rPr>
          <w:rFonts w:hint="eastAsia" w:ascii="宋体" w:hAnsi="宋体" w:eastAsia="宋体" w:cs="宋体"/>
          <w:szCs w:val="24"/>
          <w:highlight w:val="none"/>
        </w:rPr>
      </w:pPr>
      <w:r>
        <w:rPr>
          <w:rFonts w:hint="eastAsia" w:ascii="宋体" w:hAnsi="宋体" w:eastAsia="宋体" w:cs="宋体"/>
          <w:b/>
          <w:bCs/>
          <w:highlight w:val="none"/>
        </w:rPr>
        <w:t>（七）供应商的响应费用自理</w:t>
      </w:r>
    </w:p>
    <w:p w14:paraId="135BE5D6">
      <w:pPr>
        <w:rPr>
          <w:rFonts w:hint="eastAsia" w:ascii="宋体" w:hAnsi="宋体" w:eastAsia="宋体" w:cs="宋体"/>
          <w:b/>
          <w:bCs/>
          <w:highlight w:val="none"/>
        </w:rPr>
      </w:pPr>
      <w:r>
        <w:rPr>
          <w:rFonts w:hint="eastAsia" w:ascii="宋体" w:hAnsi="宋体" w:eastAsia="宋体" w:cs="宋体"/>
          <w:b/>
          <w:bCs/>
          <w:highlight w:val="none"/>
        </w:rPr>
        <w:br w:type="page"/>
      </w:r>
    </w:p>
    <w:p w14:paraId="6D1BC0BA">
      <w:pPr>
        <w:pStyle w:val="2"/>
        <w:bidi w:val="0"/>
        <w:rPr>
          <w:rFonts w:hint="eastAsia" w:ascii="宋体" w:hAnsi="宋体" w:eastAsia="宋体" w:cs="宋体"/>
          <w:highlight w:val="none"/>
        </w:rPr>
      </w:pPr>
      <w:r>
        <w:rPr>
          <w:rFonts w:hint="eastAsia" w:ascii="宋体" w:hAnsi="宋体" w:eastAsia="宋体" w:cs="宋体"/>
          <w:b/>
          <w:bCs/>
          <w:highlight w:val="none"/>
        </w:rPr>
        <w:t>第三章</w:t>
      </w:r>
      <w:r>
        <w:rPr>
          <w:rFonts w:hint="eastAsia" w:ascii="宋体" w:hAnsi="宋体" w:eastAsia="宋体" w:cs="宋体"/>
          <w:spacing w:val="25"/>
          <w:highlight w:val="none"/>
        </w:rPr>
        <w:t xml:space="preserve"> </w:t>
      </w:r>
      <w:r>
        <w:rPr>
          <w:rFonts w:hint="eastAsia" w:ascii="宋体" w:hAnsi="宋体" w:eastAsia="宋体" w:cs="宋体"/>
          <w:b/>
          <w:bCs/>
          <w:highlight w:val="none"/>
        </w:rPr>
        <w:t>商务要求</w:t>
      </w:r>
    </w:p>
    <w:tbl>
      <w:tblPr>
        <w:tblStyle w:val="12"/>
        <w:tblW w:w="907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1"/>
        <w:gridCol w:w="8134"/>
        <w:gridCol w:w="1"/>
      </w:tblGrid>
      <w:tr w14:paraId="16AAB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36" w:type="dxa"/>
            <w:gridSpan w:val="2"/>
            <w:tcBorders>
              <w:top w:val="single" w:color="000000" w:sz="8" w:space="0"/>
              <w:left w:val="single" w:color="000000" w:sz="8" w:space="0"/>
            </w:tcBorders>
            <w:vAlign w:val="top"/>
          </w:tcPr>
          <w:p w14:paraId="692334CC">
            <w:pPr>
              <w:pStyle w:val="5"/>
              <w:bidi w:val="0"/>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条款号</w:t>
            </w:r>
          </w:p>
        </w:tc>
        <w:tc>
          <w:tcPr>
            <w:tcW w:w="8135" w:type="dxa"/>
            <w:gridSpan w:val="2"/>
            <w:tcBorders>
              <w:top w:val="single" w:color="000000" w:sz="8" w:space="0"/>
              <w:right w:val="single" w:color="000000" w:sz="8" w:space="0"/>
            </w:tcBorders>
            <w:vAlign w:val="top"/>
          </w:tcPr>
          <w:p w14:paraId="2D2DBE71">
            <w:pPr>
              <w:pStyle w:val="5"/>
              <w:bidi w:val="0"/>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内容</w:t>
            </w:r>
          </w:p>
        </w:tc>
      </w:tr>
      <w:tr w14:paraId="3315D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936" w:type="dxa"/>
            <w:gridSpan w:val="2"/>
            <w:tcBorders>
              <w:left w:val="single" w:color="000000" w:sz="8" w:space="0"/>
            </w:tcBorders>
            <w:vAlign w:val="center"/>
          </w:tcPr>
          <w:p w14:paraId="36D3A163">
            <w:pPr>
              <w:pStyle w:val="5"/>
              <w:bidi w:val="0"/>
              <w:jc w:val="both"/>
              <w:rPr>
                <w:rFonts w:hint="eastAsia" w:ascii="宋体" w:hAnsi="宋体" w:eastAsia="宋体" w:cs="宋体"/>
                <w:highlight w:val="none"/>
              </w:rPr>
            </w:pPr>
            <w:r>
              <w:rPr>
                <w:rFonts w:hint="eastAsia" w:ascii="宋体" w:hAnsi="宋体" w:eastAsia="宋体" w:cs="宋体"/>
                <w:highlight w:val="none"/>
              </w:rPr>
              <w:t>1</w:t>
            </w:r>
          </w:p>
        </w:tc>
        <w:tc>
          <w:tcPr>
            <w:tcW w:w="8135" w:type="dxa"/>
            <w:gridSpan w:val="2"/>
            <w:tcBorders>
              <w:right w:val="single" w:color="000000" w:sz="8" w:space="0"/>
            </w:tcBorders>
            <w:vAlign w:val="center"/>
          </w:tcPr>
          <w:p w14:paraId="082E5CC6">
            <w:pPr>
              <w:pStyle w:val="5"/>
              <w:bidi w:val="0"/>
              <w:ind w:left="0" w:leftChars="0" w:firstLine="0" w:firstLineChars="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榆林市农业农村局</w:t>
            </w:r>
          </w:p>
          <w:p w14:paraId="05157433">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地址：陕西省榆林市榆阳区榆林大道158号</w:t>
            </w:r>
          </w:p>
          <w:p w14:paraId="494E8BF1">
            <w:pPr>
              <w:pStyle w:val="5"/>
              <w:bidi w:val="0"/>
              <w:ind w:left="0" w:leftChars="0" w:firstLine="0" w:firstLineChars="0"/>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榆林市农业农村局采购2023年度高标准农田建设项目市级验收服务项目</w:t>
            </w:r>
          </w:p>
        </w:tc>
      </w:tr>
      <w:tr w14:paraId="0BCE6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36" w:type="dxa"/>
            <w:gridSpan w:val="2"/>
            <w:tcBorders>
              <w:left w:val="single" w:color="000000" w:sz="8" w:space="0"/>
            </w:tcBorders>
            <w:vAlign w:val="center"/>
          </w:tcPr>
          <w:p w14:paraId="56216205">
            <w:pPr>
              <w:pStyle w:val="5"/>
              <w:bidi w:val="0"/>
              <w:jc w:val="both"/>
              <w:rPr>
                <w:rFonts w:hint="eastAsia" w:ascii="宋体" w:hAnsi="宋体" w:eastAsia="宋体" w:cs="宋体"/>
                <w:highlight w:val="none"/>
              </w:rPr>
            </w:pPr>
            <w:r>
              <w:rPr>
                <w:rFonts w:hint="eastAsia" w:ascii="宋体" w:hAnsi="宋体" w:eastAsia="宋体" w:cs="宋体"/>
                <w:highlight w:val="none"/>
              </w:rPr>
              <w:t>2</w:t>
            </w:r>
          </w:p>
        </w:tc>
        <w:tc>
          <w:tcPr>
            <w:tcW w:w="8135" w:type="dxa"/>
            <w:gridSpan w:val="2"/>
            <w:tcBorders>
              <w:right w:val="single" w:color="000000" w:sz="8" w:space="0"/>
            </w:tcBorders>
            <w:vAlign w:val="center"/>
          </w:tcPr>
          <w:p w14:paraId="74AABFDA">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服务地点：采购人指定地点。</w:t>
            </w:r>
          </w:p>
        </w:tc>
      </w:tr>
      <w:tr w14:paraId="4CCB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36" w:type="dxa"/>
            <w:gridSpan w:val="2"/>
            <w:tcBorders>
              <w:left w:val="single" w:color="000000" w:sz="8" w:space="0"/>
            </w:tcBorders>
            <w:vAlign w:val="center"/>
          </w:tcPr>
          <w:p w14:paraId="5C1DB3B9">
            <w:pPr>
              <w:pStyle w:val="5"/>
              <w:bidi w:val="0"/>
              <w:jc w:val="both"/>
              <w:rPr>
                <w:rFonts w:hint="eastAsia" w:ascii="宋体" w:hAnsi="宋体" w:eastAsia="宋体" w:cs="宋体"/>
                <w:highlight w:val="none"/>
              </w:rPr>
            </w:pPr>
            <w:r>
              <w:rPr>
                <w:rFonts w:hint="eastAsia" w:ascii="宋体" w:hAnsi="宋体" w:eastAsia="宋体" w:cs="宋体"/>
                <w:highlight w:val="none"/>
              </w:rPr>
              <w:t>3</w:t>
            </w:r>
          </w:p>
        </w:tc>
        <w:tc>
          <w:tcPr>
            <w:tcW w:w="8135" w:type="dxa"/>
            <w:gridSpan w:val="2"/>
            <w:tcBorders>
              <w:right w:val="single" w:color="000000" w:sz="8" w:space="0"/>
            </w:tcBorders>
            <w:vAlign w:val="center"/>
          </w:tcPr>
          <w:p w14:paraId="00C577AF">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服务期：进场后</w:t>
            </w:r>
            <w:r>
              <w:rPr>
                <w:rFonts w:hint="eastAsia" w:ascii="宋体" w:hAnsi="宋体" w:eastAsia="宋体" w:cs="宋体"/>
                <w:highlight w:val="none"/>
                <w:lang w:val="en-US" w:eastAsia="zh-CN"/>
              </w:rPr>
              <w:t>90</w:t>
            </w:r>
            <w:r>
              <w:rPr>
                <w:rFonts w:hint="eastAsia" w:ascii="宋体" w:hAnsi="宋体" w:eastAsia="宋体" w:cs="宋体"/>
                <w:highlight w:val="none"/>
              </w:rPr>
              <w:t>天内提交成果。</w:t>
            </w:r>
          </w:p>
        </w:tc>
      </w:tr>
      <w:tr w14:paraId="2EA24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4" w:hRule="atLeast"/>
        </w:trPr>
        <w:tc>
          <w:tcPr>
            <w:tcW w:w="936" w:type="dxa"/>
            <w:gridSpan w:val="2"/>
            <w:tcBorders>
              <w:left w:val="single" w:color="000000" w:sz="8" w:space="0"/>
            </w:tcBorders>
            <w:vAlign w:val="center"/>
          </w:tcPr>
          <w:p w14:paraId="68FCA699">
            <w:pPr>
              <w:pStyle w:val="5"/>
              <w:bidi w:val="0"/>
              <w:jc w:val="both"/>
              <w:rPr>
                <w:rFonts w:hint="eastAsia" w:ascii="宋体" w:hAnsi="宋体" w:eastAsia="宋体" w:cs="宋体"/>
                <w:highlight w:val="none"/>
              </w:rPr>
            </w:pPr>
            <w:r>
              <w:rPr>
                <w:rFonts w:hint="eastAsia" w:ascii="宋体" w:hAnsi="宋体" w:eastAsia="宋体" w:cs="宋体"/>
                <w:highlight w:val="none"/>
              </w:rPr>
              <w:t>4</w:t>
            </w:r>
          </w:p>
        </w:tc>
        <w:tc>
          <w:tcPr>
            <w:tcW w:w="8135" w:type="dxa"/>
            <w:gridSpan w:val="2"/>
            <w:tcBorders>
              <w:right w:val="single" w:color="000000" w:sz="8" w:space="0"/>
            </w:tcBorders>
            <w:vAlign w:val="center"/>
          </w:tcPr>
          <w:p w14:paraId="28597924">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1.磋商报价</w:t>
            </w:r>
          </w:p>
          <w:p w14:paraId="4DE39511">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1.1 所有报价均以人民币报价。</w:t>
            </w:r>
          </w:p>
          <w:p w14:paraId="1716D406">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1.2磋商报价：磋商报价是供应商响应采购项目要求的全部工作内容的价格体 现，包括完成采购内容所需的直接费、间接费、利润、税金及其它相关的一 切费用。供应商在报价时应充分考虑所有可能发生的费用，磋商文件未列明，而供应商认为应当计取的费用均应列入报价中。报价时不论是否计取，采购人均按已计取对待。</w:t>
            </w:r>
          </w:p>
          <w:p w14:paraId="7CCC673A">
            <w:pPr>
              <w:pStyle w:val="5"/>
              <w:bidi w:val="0"/>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rPr>
              <w:t>2.付款方式：</w:t>
            </w:r>
            <w:r>
              <w:rPr>
                <w:rFonts w:hint="eastAsia" w:ascii="宋体" w:hAnsi="宋体" w:eastAsia="宋体" w:cs="宋体"/>
                <w:highlight w:val="none"/>
                <w:lang w:val="en-US" w:eastAsia="zh-CN"/>
              </w:rPr>
              <w:t>根据陕西省财政厅下发的《关于进一步加大政府采购支持中小企业力度的通知》（陕财办采〔2022〕5号）第四条的相关要求，本项目采用按工程验收进度支付第三方市级验收服务费用。</w:t>
            </w:r>
          </w:p>
          <w:p w14:paraId="2874CB3F">
            <w:pPr>
              <w:pStyle w:val="5"/>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left"/>
              <w:textAlignment w:val="baseline"/>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）在合同签订后，乙方开展验收工作10日内（以进场时间为准），甲方向乙方支付合同总金额的40%作为预付款。</w:t>
            </w:r>
          </w:p>
          <w:p w14:paraId="4E7BADA2">
            <w:pPr>
              <w:pStyle w:val="5"/>
              <w:bidi w:val="0"/>
              <w:ind w:left="0" w:leftChars="0" w:firstLine="0" w:firstLineChars="0"/>
              <w:jc w:val="left"/>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）乙方完成竣工验收并提交正式的竣工验收报告，且通过相关部门的审核备案后，在10个工作日内，甲方向乙方支付合同剩余款项。</w:t>
            </w:r>
          </w:p>
        </w:tc>
      </w:tr>
      <w:tr w14:paraId="676DE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936" w:type="dxa"/>
            <w:gridSpan w:val="2"/>
            <w:tcBorders>
              <w:left w:val="single" w:color="000000" w:sz="8" w:space="0"/>
            </w:tcBorders>
            <w:vAlign w:val="center"/>
          </w:tcPr>
          <w:p w14:paraId="2B024CFA">
            <w:pPr>
              <w:pStyle w:val="5"/>
              <w:bidi w:val="0"/>
              <w:jc w:val="both"/>
              <w:rPr>
                <w:rFonts w:hint="eastAsia" w:ascii="宋体" w:hAnsi="宋体" w:eastAsia="宋体" w:cs="宋体"/>
                <w:highlight w:val="none"/>
              </w:rPr>
            </w:pPr>
            <w:r>
              <w:rPr>
                <w:rFonts w:hint="eastAsia" w:ascii="宋体" w:hAnsi="宋体" w:eastAsia="宋体" w:cs="宋体"/>
                <w:highlight w:val="none"/>
              </w:rPr>
              <w:t>5</w:t>
            </w:r>
          </w:p>
        </w:tc>
        <w:tc>
          <w:tcPr>
            <w:tcW w:w="8135" w:type="dxa"/>
            <w:gridSpan w:val="2"/>
            <w:tcBorders>
              <w:right w:val="single" w:color="000000" w:sz="8" w:space="0"/>
            </w:tcBorders>
            <w:vAlign w:val="center"/>
          </w:tcPr>
          <w:p w14:paraId="47EDDF79">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质量</w:t>
            </w:r>
            <w:r>
              <w:rPr>
                <w:rFonts w:hint="eastAsia" w:ascii="宋体" w:hAnsi="宋体" w:eastAsia="宋体" w:cs="宋体"/>
                <w:highlight w:val="none"/>
                <w:lang w:val="en-US" w:eastAsia="zh-CN"/>
              </w:rPr>
              <w:t>标准</w:t>
            </w:r>
            <w:r>
              <w:rPr>
                <w:rFonts w:hint="eastAsia" w:ascii="宋体" w:hAnsi="宋体" w:eastAsia="宋体" w:cs="宋体"/>
                <w:highlight w:val="none"/>
              </w:rPr>
              <w:t>：</w:t>
            </w:r>
          </w:p>
          <w:p w14:paraId="3BE52C61">
            <w:pPr>
              <w:pStyle w:val="5"/>
              <w:bidi w:val="0"/>
              <w:ind w:left="0" w:leftChars="0" w:firstLine="0" w:firstLineChars="0"/>
              <w:jc w:val="left"/>
              <w:rPr>
                <w:rFonts w:hint="eastAsia" w:ascii="宋体" w:hAnsi="宋体" w:eastAsia="宋体" w:cs="宋体"/>
                <w:highlight w:val="none"/>
                <w:lang w:eastAsia="zh-CN"/>
              </w:rPr>
            </w:pPr>
            <w:r>
              <w:rPr>
                <w:rFonts w:hint="eastAsia" w:ascii="宋体" w:hAnsi="宋体" w:eastAsia="宋体" w:cs="宋体"/>
                <w:highlight w:val="none"/>
                <w:lang w:eastAsia="zh-CN"/>
              </w:rPr>
              <w:t>按照采购人需求实施、达到国家规范的行业合格标准。</w:t>
            </w:r>
          </w:p>
        </w:tc>
      </w:tr>
      <w:tr w14:paraId="3D6DA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936" w:type="dxa"/>
            <w:gridSpan w:val="2"/>
            <w:tcBorders>
              <w:left w:val="single" w:color="000000" w:sz="8" w:space="0"/>
            </w:tcBorders>
            <w:vAlign w:val="center"/>
          </w:tcPr>
          <w:p w14:paraId="595F5EC0">
            <w:pPr>
              <w:pStyle w:val="5"/>
              <w:bidi w:val="0"/>
              <w:jc w:val="both"/>
              <w:rPr>
                <w:rFonts w:hint="eastAsia" w:ascii="宋体" w:hAnsi="宋体" w:eastAsia="宋体" w:cs="宋体"/>
                <w:highlight w:val="none"/>
                <w:lang w:eastAsia="zh-CN"/>
              </w:rPr>
            </w:pPr>
            <w:r>
              <w:rPr>
                <w:rFonts w:hint="eastAsia" w:ascii="宋体" w:hAnsi="宋体" w:eastAsia="宋体" w:cs="宋体"/>
                <w:highlight w:val="none"/>
                <w:lang w:val="en-US" w:eastAsia="zh-CN"/>
              </w:rPr>
              <w:t>6</w:t>
            </w:r>
          </w:p>
        </w:tc>
        <w:tc>
          <w:tcPr>
            <w:tcW w:w="8135" w:type="dxa"/>
            <w:gridSpan w:val="2"/>
            <w:tcBorders>
              <w:right w:val="single" w:color="000000" w:sz="8" w:space="0"/>
            </w:tcBorders>
            <w:vAlign w:val="center"/>
          </w:tcPr>
          <w:p w14:paraId="4AD90C78">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验收：</w:t>
            </w:r>
          </w:p>
          <w:p w14:paraId="545A5FB0">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由采购人和</w:t>
            </w:r>
            <w:r>
              <w:rPr>
                <w:rFonts w:hint="eastAsia" w:ascii="宋体" w:hAnsi="宋体" w:eastAsia="宋体" w:cs="宋体"/>
                <w:highlight w:val="none"/>
                <w:lang w:eastAsia="zh-CN"/>
              </w:rPr>
              <w:t>供应商</w:t>
            </w:r>
            <w:r>
              <w:rPr>
                <w:rFonts w:hint="eastAsia" w:ascii="宋体" w:hAnsi="宋体" w:eastAsia="宋体" w:cs="宋体"/>
                <w:highlight w:val="none"/>
              </w:rPr>
              <w:t>共同对项目整体进行验收。其内容对其服务技术指标以及服务质量是否达到现行国家有关验收规范“合格”标准进行逐项检查。</w:t>
            </w:r>
          </w:p>
          <w:p w14:paraId="16F81997">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lang w:val="zh-CN" w:eastAsia="zh-CN"/>
              </w:rPr>
              <w:t>1.</w:t>
            </w:r>
            <w:r>
              <w:rPr>
                <w:rFonts w:hint="eastAsia" w:ascii="宋体" w:hAnsi="宋体" w:eastAsia="宋体" w:cs="宋体"/>
                <w:highlight w:val="none"/>
              </w:rPr>
              <w:t>如验收过程中发现</w:t>
            </w:r>
            <w:r>
              <w:rPr>
                <w:rFonts w:hint="eastAsia" w:ascii="宋体" w:hAnsi="宋体" w:eastAsia="宋体" w:cs="宋体"/>
                <w:highlight w:val="none"/>
                <w:lang w:eastAsia="zh-CN"/>
              </w:rPr>
              <w:t>供应商</w:t>
            </w:r>
            <w:r>
              <w:rPr>
                <w:rFonts w:hint="eastAsia" w:ascii="宋体" w:hAnsi="宋体" w:eastAsia="宋体" w:cs="宋体"/>
                <w:highlight w:val="none"/>
              </w:rPr>
              <w:t>提供的服务与其</w:t>
            </w:r>
            <w:r>
              <w:rPr>
                <w:rFonts w:hint="eastAsia" w:ascii="宋体" w:hAnsi="宋体" w:eastAsia="宋体" w:cs="宋体"/>
                <w:highlight w:val="none"/>
                <w:lang w:val="en-US" w:eastAsia="zh-CN"/>
              </w:rPr>
              <w:t>响应</w:t>
            </w:r>
            <w:r>
              <w:rPr>
                <w:rFonts w:hint="eastAsia" w:ascii="宋体" w:hAnsi="宋体" w:eastAsia="宋体" w:cs="宋体"/>
                <w:highlight w:val="none"/>
              </w:rPr>
              <w:t>时提供的内容不一致的，招标人有权单方面取消合同，</w:t>
            </w:r>
            <w:r>
              <w:rPr>
                <w:rFonts w:hint="eastAsia" w:ascii="宋体" w:hAnsi="宋体" w:eastAsia="宋体" w:cs="宋体"/>
                <w:highlight w:val="none"/>
                <w:lang w:eastAsia="zh-CN"/>
              </w:rPr>
              <w:t>供应商</w:t>
            </w:r>
            <w:r>
              <w:rPr>
                <w:rFonts w:hint="eastAsia" w:ascii="宋体" w:hAnsi="宋体" w:eastAsia="宋体" w:cs="宋体"/>
                <w:highlight w:val="none"/>
              </w:rPr>
              <w:t>应承担一切违约责任并赔偿采购人相应的损失。</w:t>
            </w:r>
          </w:p>
          <w:p w14:paraId="7C98092B">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lang w:val="zh-CN" w:eastAsia="zh-CN"/>
              </w:rPr>
              <w:t>2.</w:t>
            </w:r>
            <w:r>
              <w:rPr>
                <w:rFonts w:hint="eastAsia" w:ascii="宋体" w:hAnsi="宋体" w:eastAsia="宋体" w:cs="宋体"/>
                <w:highlight w:val="none"/>
              </w:rPr>
              <w:t>验收标准：按竞争性</w:t>
            </w:r>
            <w:r>
              <w:rPr>
                <w:rFonts w:hint="eastAsia" w:ascii="宋体" w:hAnsi="宋体" w:eastAsia="宋体" w:cs="宋体"/>
                <w:highlight w:val="none"/>
                <w:lang w:eastAsia="zh-CN"/>
              </w:rPr>
              <w:t>竞争性磋商文件</w:t>
            </w:r>
            <w:r>
              <w:rPr>
                <w:rFonts w:hint="eastAsia" w:ascii="宋体" w:hAnsi="宋体" w:eastAsia="宋体" w:cs="宋体"/>
                <w:highlight w:val="none"/>
              </w:rPr>
              <w:t>、</w:t>
            </w:r>
            <w:r>
              <w:rPr>
                <w:rFonts w:hint="eastAsia" w:ascii="宋体" w:hAnsi="宋体" w:eastAsia="宋体" w:cs="宋体"/>
                <w:highlight w:val="none"/>
                <w:lang w:eastAsia="zh-CN"/>
              </w:rPr>
              <w:t>磋商响应文件</w:t>
            </w:r>
            <w:r>
              <w:rPr>
                <w:rFonts w:hint="eastAsia" w:ascii="宋体" w:hAnsi="宋体" w:eastAsia="宋体" w:cs="宋体"/>
                <w:highlight w:val="none"/>
              </w:rPr>
              <w:t>及澄清函等技术指标进行验收各项指标均应符合验收标准及要求。</w:t>
            </w:r>
          </w:p>
          <w:p w14:paraId="390C6B91">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lang w:val="zh-CN" w:eastAsia="zh-CN"/>
              </w:rPr>
              <w:t>3.</w:t>
            </w:r>
            <w:r>
              <w:rPr>
                <w:rFonts w:hint="eastAsia" w:ascii="宋体" w:hAnsi="宋体" w:eastAsia="宋体" w:cs="宋体"/>
                <w:highlight w:val="none"/>
              </w:rPr>
              <w:t>验收合格后，填写验收单，双方签字生效。</w:t>
            </w:r>
          </w:p>
          <w:p w14:paraId="29FCF5DA">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lang w:val="zh-CN" w:eastAsia="zh-CN"/>
              </w:rPr>
              <w:t>4.</w:t>
            </w:r>
            <w:r>
              <w:rPr>
                <w:rFonts w:hint="eastAsia" w:ascii="宋体" w:hAnsi="宋体" w:eastAsia="宋体" w:cs="宋体"/>
                <w:highlight w:val="none"/>
                <w:lang w:val="en-US" w:eastAsia="zh-CN"/>
              </w:rPr>
              <w:t>验收依据：</w:t>
            </w:r>
          </w:p>
          <w:p w14:paraId="098C93D3">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合同文本；</w:t>
            </w:r>
          </w:p>
          <w:p w14:paraId="5A7D468F">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lang w:eastAsia="zh-CN"/>
              </w:rPr>
              <w:t>磋商响应文件</w:t>
            </w:r>
            <w:r>
              <w:rPr>
                <w:rFonts w:hint="eastAsia" w:ascii="宋体" w:hAnsi="宋体" w:eastAsia="宋体" w:cs="宋体"/>
                <w:highlight w:val="none"/>
              </w:rPr>
              <w:t>及澄清函、竞争性</w:t>
            </w:r>
            <w:r>
              <w:rPr>
                <w:rFonts w:hint="eastAsia" w:ascii="宋体" w:hAnsi="宋体" w:eastAsia="宋体" w:cs="宋体"/>
                <w:highlight w:val="none"/>
                <w:lang w:eastAsia="zh-CN"/>
              </w:rPr>
              <w:t>竞争性磋商文件</w:t>
            </w:r>
            <w:r>
              <w:rPr>
                <w:rFonts w:hint="eastAsia" w:ascii="宋体" w:hAnsi="宋体" w:eastAsia="宋体" w:cs="宋体"/>
                <w:highlight w:val="none"/>
              </w:rPr>
              <w:t>；</w:t>
            </w:r>
          </w:p>
          <w:p w14:paraId="54500644">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国家和行业制定的相应的标准和规范。</w:t>
            </w:r>
          </w:p>
        </w:tc>
      </w:tr>
      <w:tr w14:paraId="38D3F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2764" w:hRule="atLeast"/>
        </w:trPr>
        <w:tc>
          <w:tcPr>
            <w:tcW w:w="935" w:type="dxa"/>
            <w:vAlign w:val="center"/>
          </w:tcPr>
          <w:p w14:paraId="242DF231">
            <w:pPr>
              <w:pStyle w:val="5"/>
              <w:bidi w:val="0"/>
              <w:jc w:val="both"/>
              <w:rPr>
                <w:rFonts w:hint="eastAsia" w:ascii="宋体" w:hAnsi="宋体" w:eastAsia="宋体" w:cs="宋体"/>
                <w:highlight w:val="none"/>
                <w:lang w:eastAsia="zh-CN"/>
              </w:rPr>
            </w:pPr>
            <w:r>
              <w:rPr>
                <w:rFonts w:hint="eastAsia" w:ascii="宋体" w:hAnsi="宋体" w:eastAsia="宋体" w:cs="宋体"/>
                <w:highlight w:val="none"/>
                <w:lang w:val="en-US" w:eastAsia="zh-CN"/>
              </w:rPr>
              <w:t>7</w:t>
            </w:r>
          </w:p>
        </w:tc>
        <w:tc>
          <w:tcPr>
            <w:tcW w:w="8135" w:type="dxa"/>
            <w:gridSpan w:val="2"/>
            <w:vAlign w:val="center"/>
          </w:tcPr>
          <w:p w14:paraId="1CC83214">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违约责任：</w:t>
            </w:r>
          </w:p>
          <w:p w14:paraId="2621989A">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1、按《中华人民共和国民法典》中的相关条款执行。</w:t>
            </w:r>
          </w:p>
          <w:p w14:paraId="47867841">
            <w:pPr>
              <w:pStyle w:val="5"/>
              <w:bidi w:val="0"/>
              <w:ind w:left="0" w:leftChars="0" w:firstLine="0" w:firstLineChars="0"/>
              <w:jc w:val="left"/>
              <w:rPr>
                <w:rFonts w:hint="eastAsia" w:ascii="宋体" w:hAnsi="宋体" w:eastAsia="宋体" w:cs="宋体"/>
                <w:highlight w:val="none"/>
              </w:rPr>
            </w:pPr>
            <w:r>
              <w:rPr>
                <w:rFonts w:hint="eastAsia" w:ascii="宋体" w:hAnsi="宋体" w:eastAsia="宋体" w:cs="宋体"/>
                <w:highlight w:val="none"/>
              </w:rPr>
              <w:t>2、未按合同要求提供服务或服务质量不能满足技术要求，采购人有权终止合同，并对供方违约行为进行追究，同时按照《中华人民共和国政府采购法》的有关规定进行处罚。</w:t>
            </w:r>
          </w:p>
        </w:tc>
      </w:tr>
    </w:tbl>
    <w:p w14:paraId="33A42184">
      <w:pPr>
        <w:rPr>
          <w:rFonts w:hint="eastAsia" w:ascii="宋体" w:hAnsi="宋体" w:eastAsia="宋体" w:cs="宋体"/>
          <w:sz w:val="21"/>
          <w:highlight w:val="none"/>
        </w:rPr>
      </w:pPr>
    </w:p>
    <w:p w14:paraId="677EEDB4">
      <w:pPr>
        <w:rPr>
          <w:rFonts w:hint="eastAsia" w:ascii="宋体" w:hAnsi="宋体" w:eastAsia="宋体" w:cs="宋体"/>
          <w:sz w:val="21"/>
          <w:szCs w:val="21"/>
          <w:highlight w:val="none"/>
        </w:rPr>
        <w:sectPr>
          <w:headerReference r:id="rId9" w:type="default"/>
          <w:footerReference r:id="rId10" w:type="default"/>
          <w:pgSz w:w="11906" w:h="16839"/>
          <w:pgMar w:top="1134" w:right="1397" w:bottom="969" w:left="1418" w:header="862" w:footer="754" w:gutter="0"/>
          <w:pgNumType w:fmt="decimal"/>
          <w:cols w:space="720" w:num="1"/>
        </w:sectPr>
      </w:pPr>
    </w:p>
    <w:p w14:paraId="4A5F3508">
      <w:pPr>
        <w:pStyle w:val="2"/>
        <w:bidi w:val="0"/>
        <w:rPr>
          <w:rFonts w:hint="eastAsia" w:ascii="宋体" w:hAnsi="宋体" w:eastAsia="宋体" w:cs="宋体"/>
          <w:highlight w:val="none"/>
        </w:rPr>
      </w:pPr>
      <w:r>
        <w:rPr>
          <w:rFonts w:hint="eastAsia" w:ascii="宋体" w:hAnsi="宋体" w:eastAsia="宋体" w:cs="宋体"/>
          <w:b/>
          <w:bCs/>
          <w:spacing w:val="4"/>
          <w:highlight w:val="none"/>
        </w:rPr>
        <w:t>第四章</w:t>
      </w:r>
      <w:r>
        <w:rPr>
          <w:rFonts w:hint="eastAsia" w:ascii="宋体" w:hAnsi="宋体" w:eastAsia="宋体" w:cs="宋体"/>
          <w:spacing w:val="23"/>
          <w:highlight w:val="none"/>
        </w:rPr>
        <w:t xml:space="preserve"> </w:t>
      </w:r>
      <w:r>
        <w:rPr>
          <w:rFonts w:hint="eastAsia" w:ascii="宋体" w:hAnsi="宋体" w:eastAsia="宋体" w:cs="宋体"/>
          <w:b/>
          <w:bCs/>
          <w:spacing w:val="4"/>
          <w:highlight w:val="none"/>
        </w:rPr>
        <w:t>评审办法及标准</w:t>
      </w:r>
    </w:p>
    <w:p w14:paraId="68902ADE">
      <w:pPr>
        <w:pStyle w:val="5"/>
        <w:bidi w:val="0"/>
        <w:rPr>
          <w:rFonts w:hint="eastAsia" w:ascii="宋体" w:hAnsi="宋体" w:eastAsia="宋体" w:cs="宋体"/>
          <w:b/>
          <w:bCs/>
          <w:highlight w:val="none"/>
          <w:lang w:val="en-US" w:eastAsia="zh-CN"/>
        </w:rPr>
      </w:pPr>
      <w:r>
        <w:rPr>
          <w:rFonts w:hint="eastAsia" w:ascii="宋体" w:hAnsi="宋体" w:eastAsia="宋体" w:cs="宋体"/>
          <w:b/>
          <w:bCs/>
          <w:highlight w:val="none"/>
        </w:rPr>
        <w:t>一、</w:t>
      </w:r>
      <w:r>
        <w:rPr>
          <w:rFonts w:hint="eastAsia" w:ascii="宋体" w:hAnsi="宋体" w:eastAsia="宋体" w:cs="宋体"/>
          <w:b/>
          <w:bCs/>
          <w:highlight w:val="none"/>
          <w:lang w:val="en-US" w:eastAsia="zh-CN"/>
        </w:rPr>
        <w:t>资格性审查</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497"/>
        <w:gridCol w:w="5940"/>
      </w:tblGrid>
      <w:tr w14:paraId="3DEA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5" w:type="pct"/>
            <w:vAlign w:val="center"/>
          </w:tcPr>
          <w:p w14:paraId="0DF6068D">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1345" w:type="pct"/>
            <w:vAlign w:val="center"/>
          </w:tcPr>
          <w:p w14:paraId="3AC253B5">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评审因素</w:t>
            </w:r>
          </w:p>
        </w:tc>
        <w:tc>
          <w:tcPr>
            <w:tcW w:w="3198" w:type="pct"/>
            <w:vAlign w:val="center"/>
          </w:tcPr>
          <w:p w14:paraId="4327A117">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评审标准</w:t>
            </w:r>
          </w:p>
        </w:tc>
      </w:tr>
      <w:tr w14:paraId="45ED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58577F53">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1345" w:type="pct"/>
            <w:vAlign w:val="center"/>
          </w:tcPr>
          <w:p w14:paraId="5F4180C9">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有效的主体资格证明</w:t>
            </w:r>
          </w:p>
        </w:tc>
        <w:tc>
          <w:tcPr>
            <w:tcW w:w="3198" w:type="pct"/>
            <w:vAlign w:val="center"/>
          </w:tcPr>
          <w:p w14:paraId="1F28E619">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具有独立承担民事责任能力的法人、其他组织或自然人，并出具合法有效的营业执照或事业单位法人证书等国家规定的相关证明，自然人参与的提供其身份证明；</w:t>
            </w:r>
          </w:p>
        </w:tc>
      </w:tr>
      <w:tr w14:paraId="2C07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36121531">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1345" w:type="pct"/>
            <w:vAlign w:val="center"/>
          </w:tcPr>
          <w:p w14:paraId="6AC0A507">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财务状况报告</w:t>
            </w:r>
          </w:p>
        </w:tc>
        <w:tc>
          <w:tcPr>
            <w:tcW w:w="3198" w:type="pct"/>
            <w:vAlign w:val="center"/>
          </w:tcPr>
          <w:p w14:paraId="44DF11F9">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提供 2024 年度完整的赋码财务审计报告；成立时间至提交 响应文件截止时间不足一年的可提供成立后其基本存款账户出具的资信证明；</w:t>
            </w:r>
          </w:p>
        </w:tc>
      </w:tr>
      <w:tr w14:paraId="4C7C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51BDA66F">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1345" w:type="pct"/>
            <w:vAlign w:val="center"/>
          </w:tcPr>
          <w:p w14:paraId="61EE65AC">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社会保障资金缴纳证明</w:t>
            </w:r>
          </w:p>
        </w:tc>
        <w:tc>
          <w:tcPr>
            <w:tcW w:w="3198" w:type="pct"/>
            <w:vAlign w:val="center"/>
          </w:tcPr>
          <w:p w14:paraId="37624B04">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提供 2024年 8 月至今至少 1 个月已缴纳的社会保障资金缴存单据或社保机构开具的社会保险参保缴费情况证明，依法不需要缴纳社会保障资金的单位应提供相关证明材料；</w:t>
            </w:r>
          </w:p>
        </w:tc>
      </w:tr>
      <w:tr w14:paraId="4DDC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0E0176B1">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1345" w:type="pct"/>
            <w:vAlign w:val="center"/>
          </w:tcPr>
          <w:p w14:paraId="32C8DB05">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税收缴纳证明</w:t>
            </w:r>
          </w:p>
        </w:tc>
        <w:tc>
          <w:tcPr>
            <w:tcW w:w="3198" w:type="pct"/>
            <w:vAlign w:val="center"/>
          </w:tcPr>
          <w:p w14:paraId="52680EEA">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提供 2024 年 8 月至今至少 1 个月已缴纳的纳税证明（银行缴费凭证）或完税证明，依法免税的单位应提供相关证明材料；</w:t>
            </w:r>
          </w:p>
        </w:tc>
      </w:tr>
      <w:tr w14:paraId="24DA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5CC9C36D">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1345" w:type="pct"/>
            <w:vAlign w:val="center"/>
          </w:tcPr>
          <w:p w14:paraId="0D29761D">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书面声明</w:t>
            </w:r>
          </w:p>
        </w:tc>
        <w:tc>
          <w:tcPr>
            <w:tcW w:w="3198" w:type="pct"/>
            <w:vAlign w:val="center"/>
          </w:tcPr>
          <w:p w14:paraId="0B4129F9">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参加本次政府采购活动前三年内在经营活动中没有重大违法记录声明函；</w:t>
            </w:r>
          </w:p>
        </w:tc>
      </w:tr>
      <w:tr w14:paraId="1113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43D9D100">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1345" w:type="pct"/>
            <w:vAlign w:val="center"/>
          </w:tcPr>
          <w:p w14:paraId="351392D2">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提供具有履行合同所必需的设备和专业技术能力的承诺函</w:t>
            </w:r>
          </w:p>
        </w:tc>
        <w:tc>
          <w:tcPr>
            <w:tcW w:w="3198" w:type="pct"/>
            <w:vAlign w:val="center"/>
          </w:tcPr>
          <w:p w14:paraId="5FC8A854">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提供具有履行合同所必需的设备和专业技术能力的承诺函；</w:t>
            </w:r>
          </w:p>
        </w:tc>
      </w:tr>
      <w:tr w14:paraId="69D0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51378569">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w:t>
            </w:r>
          </w:p>
        </w:tc>
        <w:tc>
          <w:tcPr>
            <w:tcW w:w="1345" w:type="pct"/>
            <w:shd w:val="clear" w:color="auto" w:fill="auto"/>
            <w:vAlign w:val="center"/>
          </w:tcPr>
          <w:p w14:paraId="550D4A95">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法定代表人身份证明或法定代表人授权书</w:t>
            </w:r>
          </w:p>
        </w:tc>
        <w:tc>
          <w:tcPr>
            <w:tcW w:w="3198" w:type="pct"/>
            <w:shd w:val="clear" w:color="auto" w:fill="auto"/>
            <w:vAlign w:val="center"/>
          </w:tcPr>
          <w:p w14:paraId="146D26AA">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法定代表人直接参加响应，须出具法定代表人身份证明；法定代表人授权代表参加响应，须出具法定代表人授权书；</w:t>
            </w:r>
          </w:p>
        </w:tc>
      </w:tr>
      <w:tr w14:paraId="2C1F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7CA2B35A">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1345" w:type="pct"/>
            <w:vAlign w:val="center"/>
          </w:tcPr>
          <w:p w14:paraId="0D5D39EF">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企业资质</w:t>
            </w:r>
          </w:p>
        </w:tc>
        <w:tc>
          <w:tcPr>
            <w:tcW w:w="3198" w:type="pct"/>
            <w:vAlign w:val="center"/>
          </w:tcPr>
          <w:p w14:paraId="60EED3EC">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供应商须具备有效的行业行政主管部门颁发的测绘乙级及以上资质；</w:t>
            </w:r>
          </w:p>
        </w:tc>
      </w:tr>
      <w:tr w14:paraId="676D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07085554">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1345" w:type="pct"/>
            <w:vAlign w:val="center"/>
          </w:tcPr>
          <w:p w14:paraId="38B61F14">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项目负责人</w:t>
            </w:r>
          </w:p>
        </w:tc>
        <w:tc>
          <w:tcPr>
            <w:tcW w:w="3198" w:type="pct"/>
            <w:vAlign w:val="center"/>
          </w:tcPr>
          <w:p w14:paraId="08C4B391">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本项目拟派项目负责人须具备相关专业中级及以上职称；</w:t>
            </w:r>
          </w:p>
        </w:tc>
      </w:tr>
      <w:tr w14:paraId="005B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5" w:type="pct"/>
            <w:vAlign w:val="center"/>
          </w:tcPr>
          <w:p w14:paraId="24CC2A18">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10</w:t>
            </w:r>
          </w:p>
        </w:tc>
        <w:tc>
          <w:tcPr>
            <w:tcW w:w="1345" w:type="pct"/>
            <w:vAlign w:val="center"/>
          </w:tcPr>
          <w:p w14:paraId="66DCE414">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信用承诺</w:t>
            </w:r>
          </w:p>
        </w:tc>
        <w:tc>
          <w:tcPr>
            <w:tcW w:w="3198" w:type="pct"/>
            <w:vAlign w:val="center"/>
          </w:tcPr>
          <w:p w14:paraId="56468DBD">
            <w:pPr>
              <w:pStyle w:val="5"/>
              <w:widowControl w:val="0"/>
              <w:bidi w:val="0"/>
              <w:ind w:left="0" w:leftChars="0"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rPr>
              <w:t>自主上报信用承诺书：</w:t>
            </w:r>
            <w:r>
              <w:rPr>
                <w:rFonts w:hint="eastAsia" w:ascii="宋体" w:hAnsi="宋体" w:eastAsia="宋体" w:cs="宋体"/>
                <w:highlight w:val="none"/>
                <w:lang w:eastAsia="zh-CN"/>
              </w:rPr>
              <w:t>供应商</w:t>
            </w:r>
            <w:r>
              <w:rPr>
                <w:rFonts w:hint="eastAsia" w:ascii="宋体" w:hAnsi="宋体" w:eastAsia="宋体" w:cs="宋体"/>
                <w:highlight w:val="none"/>
              </w:rPr>
              <w:t>及委托代理人员应在“信用中国（陕西榆林）”网站(www.ylcredit.gov.cn)进行注册、登录、自主上报信用承诺书，包括：供应商信用承诺书</w:t>
            </w:r>
            <w:r>
              <w:rPr>
                <w:rFonts w:hint="eastAsia" w:ascii="宋体" w:hAnsi="宋体" w:eastAsia="宋体" w:cs="宋体"/>
                <w:highlight w:val="none"/>
                <w:lang w:eastAsia="zh-CN"/>
              </w:rPr>
              <w:t>、信用（保证金）承诺书、榆林市政府采购服务类项目供应商信用承诺书</w:t>
            </w:r>
            <w:r>
              <w:rPr>
                <w:rFonts w:hint="eastAsia" w:ascii="宋体" w:hAnsi="宋体" w:eastAsia="宋体" w:cs="宋体"/>
                <w:highlight w:val="none"/>
              </w:rPr>
              <w:t>、法定代表人或委托代理人员信用承诺书</w:t>
            </w:r>
            <w:r>
              <w:rPr>
                <w:rFonts w:hint="eastAsia" w:ascii="宋体" w:hAnsi="宋体" w:eastAsia="宋体" w:cs="宋体"/>
                <w:highlight w:val="none"/>
                <w:lang w:eastAsia="zh-CN"/>
              </w:rPr>
              <w:t>；</w:t>
            </w:r>
            <w:r>
              <w:rPr>
                <w:rFonts w:hint="eastAsia" w:ascii="宋体" w:hAnsi="宋体" w:eastAsia="宋体" w:cs="宋体"/>
                <w:highlight w:val="none"/>
              </w:rPr>
              <w:t>（具体操作格式及要求详见</w:t>
            </w:r>
            <w:r>
              <w:rPr>
                <w:rFonts w:hint="eastAsia" w:ascii="宋体" w:hAnsi="宋体" w:eastAsia="宋体" w:cs="宋体"/>
                <w:highlight w:val="none"/>
                <w:lang w:val="en-US" w:eastAsia="zh-CN"/>
              </w:rPr>
              <w:t>竞争性磋商</w:t>
            </w:r>
            <w:r>
              <w:rPr>
                <w:rFonts w:hint="eastAsia" w:ascii="宋体" w:hAnsi="宋体" w:eastAsia="宋体" w:cs="宋体"/>
                <w:highlight w:val="none"/>
              </w:rPr>
              <w:t>文件）</w:t>
            </w:r>
          </w:p>
        </w:tc>
      </w:tr>
      <w:tr w14:paraId="1DDE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5" w:type="pct"/>
            <w:vAlign w:val="center"/>
          </w:tcPr>
          <w:p w14:paraId="185B8A9F">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11</w:t>
            </w:r>
          </w:p>
        </w:tc>
        <w:tc>
          <w:tcPr>
            <w:tcW w:w="1345" w:type="pct"/>
            <w:vAlign w:val="center"/>
          </w:tcPr>
          <w:p w14:paraId="36BDA442">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信用截图</w:t>
            </w:r>
          </w:p>
        </w:tc>
        <w:tc>
          <w:tcPr>
            <w:tcW w:w="3198" w:type="pct"/>
            <w:vAlign w:val="center"/>
          </w:tcPr>
          <w:p w14:paraId="6280341B">
            <w:pPr>
              <w:pStyle w:val="5"/>
              <w:widowControl w:val="0"/>
              <w:bidi w:val="0"/>
              <w:ind w:left="0" w:leftChars="0"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不得被列入“中国执行信息公开网”（http://zxgk.court.gov.cn）失信被执行人，不得被列入“信用中国”网站（www.creditchina.gov.cn）重大税收违法失信主体，不得被列入“中国政府采购网”（www.ccgp.gov.cn）政府采购严重违法失信行为记录名单；（处罚期限届满的除外，如相关失信记录已失效，供应商需提供相关证明资料），须提供中国执行信息公开网、信用中国及中国政府采购网相应查询结果的网站截图；</w:t>
            </w:r>
          </w:p>
        </w:tc>
      </w:tr>
      <w:tr w14:paraId="5804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5" w:type="pct"/>
            <w:vAlign w:val="center"/>
          </w:tcPr>
          <w:p w14:paraId="7B98D640">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w:t>
            </w:r>
          </w:p>
        </w:tc>
        <w:tc>
          <w:tcPr>
            <w:tcW w:w="1345" w:type="pct"/>
            <w:shd w:val="clear" w:color="auto" w:fill="auto"/>
            <w:vAlign w:val="center"/>
          </w:tcPr>
          <w:p w14:paraId="6C6BE021">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中小企业声明函</w:t>
            </w:r>
          </w:p>
        </w:tc>
        <w:tc>
          <w:tcPr>
            <w:tcW w:w="3198" w:type="pct"/>
            <w:shd w:val="clear" w:color="auto" w:fill="auto"/>
            <w:vAlign w:val="center"/>
          </w:tcPr>
          <w:p w14:paraId="406DB6BB">
            <w:pPr>
              <w:pStyle w:val="5"/>
              <w:widowControl w:val="0"/>
              <w:bidi w:val="0"/>
              <w:ind w:left="0" w:leftChars="0"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本项目专门面向中小企业，供应商应填写中小企业（监狱企业）声明函并对其真实性负责；</w:t>
            </w:r>
          </w:p>
        </w:tc>
      </w:tr>
      <w:tr w14:paraId="4112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5" w:type="pct"/>
            <w:vAlign w:val="center"/>
          </w:tcPr>
          <w:p w14:paraId="431AB638">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13</w:t>
            </w:r>
          </w:p>
        </w:tc>
        <w:tc>
          <w:tcPr>
            <w:tcW w:w="1345" w:type="pct"/>
            <w:shd w:val="clear" w:color="auto" w:fill="auto"/>
            <w:vAlign w:val="center"/>
          </w:tcPr>
          <w:p w14:paraId="37C509A5">
            <w:pPr>
              <w:pStyle w:val="5"/>
              <w:widowControl w:val="0"/>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非联合体承诺</w:t>
            </w:r>
          </w:p>
        </w:tc>
        <w:tc>
          <w:tcPr>
            <w:tcW w:w="3198" w:type="pct"/>
            <w:shd w:val="clear" w:color="auto" w:fill="auto"/>
            <w:vAlign w:val="center"/>
          </w:tcPr>
          <w:p w14:paraId="5B1226C5">
            <w:pPr>
              <w:pStyle w:val="5"/>
              <w:widowControl w:val="0"/>
              <w:bidi w:val="0"/>
              <w:ind w:left="0" w:leftChars="0" w:firstLine="0" w:firstLineChars="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本项目不接受联合体投标、不允许分包、转包，单位负责人为同一人或者存在直接控股、管理关系的不同供应商，不得参加同一合同项下的政府采购活动。</w:t>
            </w:r>
          </w:p>
        </w:tc>
      </w:tr>
      <w:tr w14:paraId="1851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000" w:type="pct"/>
            <w:gridSpan w:val="3"/>
            <w:vAlign w:val="center"/>
          </w:tcPr>
          <w:p w14:paraId="2852224E">
            <w:pPr>
              <w:pStyle w:val="5"/>
              <w:widowControl w:val="0"/>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 以上资质均需提供复印件，如有资质证明文件提供电子证照的，电子资质证书应包含验证二维码、颁发机构电子签章，且必须为近期下载打印件，以上内容有一项不合格，则评审结果为不合格且不通过。</w:t>
            </w:r>
          </w:p>
        </w:tc>
      </w:tr>
    </w:tbl>
    <w:p w14:paraId="0ABE8641">
      <w:pPr>
        <w:rPr>
          <w:rFonts w:hint="eastAsia" w:ascii="宋体" w:hAnsi="宋体" w:eastAsia="宋体" w:cs="宋体"/>
          <w:b/>
          <w:bCs/>
          <w:spacing w:val="-3"/>
          <w:sz w:val="28"/>
          <w:szCs w:val="28"/>
          <w:highlight w:val="none"/>
          <w:lang w:val="en-US" w:eastAsia="zh-CN"/>
        </w:rPr>
      </w:pPr>
      <w:r>
        <w:rPr>
          <w:rFonts w:hint="eastAsia" w:ascii="宋体" w:hAnsi="宋体" w:eastAsia="宋体" w:cs="宋体"/>
          <w:b/>
          <w:bCs/>
          <w:spacing w:val="-3"/>
          <w:sz w:val="28"/>
          <w:szCs w:val="28"/>
          <w:highlight w:val="none"/>
          <w:lang w:val="en-US" w:eastAsia="zh-CN"/>
        </w:rPr>
        <w:br w:type="page"/>
      </w:r>
    </w:p>
    <w:p w14:paraId="4147E6E3">
      <w:pPr>
        <w:pStyle w:val="5"/>
        <w:bidi w:val="0"/>
        <w:ind w:firstLine="51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二、符合性审查</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35"/>
        <w:gridCol w:w="6258"/>
      </w:tblGrid>
      <w:tr w14:paraId="1CE8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73" w:type="pct"/>
            <w:vAlign w:val="center"/>
          </w:tcPr>
          <w:p w14:paraId="0309086C">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1257" w:type="pct"/>
            <w:vAlign w:val="center"/>
          </w:tcPr>
          <w:p w14:paraId="5C5BEA83">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评审因素</w:t>
            </w:r>
          </w:p>
        </w:tc>
        <w:tc>
          <w:tcPr>
            <w:tcW w:w="3369" w:type="pct"/>
            <w:vAlign w:val="center"/>
          </w:tcPr>
          <w:p w14:paraId="6CE65589">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评审标准</w:t>
            </w:r>
          </w:p>
        </w:tc>
      </w:tr>
      <w:tr w14:paraId="7338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2BFEA0F7">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1257" w:type="pct"/>
            <w:vAlign w:val="center"/>
          </w:tcPr>
          <w:p w14:paraId="552B0825">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供应商名称</w:t>
            </w:r>
          </w:p>
        </w:tc>
        <w:tc>
          <w:tcPr>
            <w:tcW w:w="3369" w:type="pct"/>
            <w:vAlign w:val="center"/>
          </w:tcPr>
          <w:p w14:paraId="71B76E96">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与营业执照等证明材料一致</w:t>
            </w:r>
          </w:p>
        </w:tc>
      </w:tr>
      <w:tr w14:paraId="0BCC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373" w:type="pct"/>
            <w:vAlign w:val="center"/>
          </w:tcPr>
          <w:p w14:paraId="20C78EFA">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1257" w:type="pct"/>
            <w:vAlign w:val="center"/>
          </w:tcPr>
          <w:p w14:paraId="77D967E3">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签字盖章</w:t>
            </w:r>
          </w:p>
        </w:tc>
        <w:tc>
          <w:tcPr>
            <w:tcW w:w="3369" w:type="pct"/>
            <w:vAlign w:val="center"/>
          </w:tcPr>
          <w:p w14:paraId="5DF9D171">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有法定代表人（单位负责人）或其委托代理人签字或盖章并加盖单位公章。由法定代表人（单位负责人）签字或盖章的，应附法定代表人（单位负责人）身份证明，由代理人签字或盖章的，应附授权委托书，身份证明或授权委托书应符合第七章“响应文件构成及格式 ”的规定</w:t>
            </w:r>
          </w:p>
        </w:tc>
      </w:tr>
      <w:tr w14:paraId="33EB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59757EAD">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1257" w:type="pct"/>
            <w:vAlign w:val="center"/>
          </w:tcPr>
          <w:p w14:paraId="707520EC">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响应文件组成</w:t>
            </w:r>
          </w:p>
        </w:tc>
        <w:tc>
          <w:tcPr>
            <w:tcW w:w="3369" w:type="pct"/>
            <w:vAlign w:val="center"/>
          </w:tcPr>
          <w:p w14:paraId="6032CB64">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符合第七章“响应文件构成及格式 ”的要求</w:t>
            </w:r>
          </w:p>
        </w:tc>
      </w:tr>
      <w:tr w14:paraId="1C2B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76FD0EC0">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1257" w:type="pct"/>
            <w:vAlign w:val="center"/>
          </w:tcPr>
          <w:p w14:paraId="517EDA9C">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磋商有效期</w:t>
            </w:r>
          </w:p>
        </w:tc>
        <w:tc>
          <w:tcPr>
            <w:tcW w:w="3369" w:type="pct"/>
            <w:vAlign w:val="center"/>
          </w:tcPr>
          <w:p w14:paraId="1AECEEF9">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符合竞争性磋商文件要求</w:t>
            </w:r>
          </w:p>
        </w:tc>
      </w:tr>
      <w:tr w14:paraId="71DA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73EB9806">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1257" w:type="pct"/>
            <w:vAlign w:val="center"/>
          </w:tcPr>
          <w:p w14:paraId="786F5E26">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响应报价</w:t>
            </w:r>
          </w:p>
        </w:tc>
        <w:tc>
          <w:tcPr>
            <w:tcW w:w="3369" w:type="pct"/>
            <w:vAlign w:val="center"/>
          </w:tcPr>
          <w:p w14:paraId="2B3787A5">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符合竞争性磋商文件要求</w:t>
            </w:r>
          </w:p>
        </w:tc>
      </w:tr>
      <w:tr w14:paraId="277E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5E6DA32A">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1257" w:type="pct"/>
            <w:vAlign w:val="center"/>
          </w:tcPr>
          <w:p w14:paraId="674C9DDF">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服务期限</w:t>
            </w:r>
          </w:p>
        </w:tc>
        <w:tc>
          <w:tcPr>
            <w:tcW w:w="3369" w:type="pct"/>
            <w:vAlign w:val="center"/>
          </w:tcPr>
          <w:p w14:paraId="7FAFE933">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符合竞争性磋商文件要求</w:t>
            </w:r>
          </w:p>
        </w:tc>
      </w:tr>
      <w:tr w14:paraId="7C4F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705A6F12">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w:t>
            </w:r>
          </w:p>
        </w:tc>
        <w:tc>
          <w:tcPr>
            <w:tcW w:w="1257" w:type="pct"/>
            <w:vAlign w:val="center"/>
          </w:tcPr>
          <w:p w14:paraId="4C465FCC">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质量标准</w:t>
            </w:r>
          </w:p>
        </w:tc>
        <w:tc>
          <w:tcPr>
            <w:tcW w:w="3369" w:type="pct"/>
            <w:vAlign w:val="center"/>
          </w:tcPr>
          <w:p w14:paraId="24BE0C66">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按照采购人需求实施、达到国家规范的行业合格标准 </w:t>
            </w:r>
          </w:p>
        </w:tc>
      </w:tr>
      <w:tr w14:paraId="2439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73" w:type="pct"/>
            <w:vAlign w:val="center"/>
          </w:tcPr>
          <w:p w14:paraId="7E02D29A">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1257" w:type="pct"/>
            <w:vAlign w:val="center"/>
          </w:tcPr>
          <w:p w14:paraId="7A759302">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响应内容</w:t>
            </w:r>
          </w:p>
        </w:tc>
        <w:tc>
          <w:tcPr>
            <w:tcW w:w="3369" w:type="pct"/>
            <w:vAlign w:val="center"/>
          </w:tcPr>
          <w:p w14:paraId="6A072601">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符合竞争性磋商文件要求</w:t>
            </w:r>
          </w:p>
        </w:tc>
      </w:tr>
      <w:tr w14:paraId="6C87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73" w:type="pct"/>
            <w:vAlign w:val="center"/>
          </w:tcPr>
          <w:p w14:paraId="4A28CB84">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1257" w:type="pct"/>
            <w:vAlign w:val="center"/>
          </w:tcPr>
          <w:p w14:paraId="5878EB94">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w:t>
            </w:r>
          </w:p>
        </w:tc>
        <w:tc>
          <w:tcPr>
            <w:tcW w:w="3369" w:type="pct"/>
            <w:vAlign w:val="center"/>
          </w:tcPr>
          <w:p w14:paraId="648B6C45">
            <w:pPr>
              <w:pStyle w:val="5"/>
              <w:widowControl w:val="0"/>
              <w:bidi w:val="0"/>
              <w:ind w:left="0" w:leftChars="0"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符合竞争性磋商文件中的其他符合性要求</w:t>
            </w:r>
          </w:p>
        </w:tc>
      </w:tr>
    </w:tbl>
    <w:p w14:paraId="4979B214">
      <w:pPr>
        <w:pStyle w:val="5"/>
        <w:spacing w:before="284" w:line="222" w:lineRule="auto"/>
        <w:ind w:left="513"/>
        <w:rPr>
          <w:rFonts w:hint="eastAsia" w:ascii="宋体" w:hAnsi="宋体" w:eastAsia="宋体" w:cs="宋体"/>
          <w:sz w:val="24"/>
          <w:szCs w:val="24"/>
          <w:highlight w:val="none"/>
        </w:rPr>
      </w:pPr>
    </w:p>
    <w:p w14:paraId="2F20FC72">
      <w:pPr>
        <w:spacing w:line="222" w:lineRule="auto"/>
        <w:rPr>
          <w:rFonts w:hint="eastAsia" w:ascii="宋体" w:hAnsi="宋体" w:eastAsia="宋体" w:cs="宋体"/>
          <w:sz w:val="24"/>
          <w:szCs w:val="24"/>
          <w:highlight w:val="none"/>
        </w:rPr>
        <w:sectPr>
          <w:headerReference r:id="rId11" w:type="default"/>
          <w:footerReference r:id="rId12" w:type="default"/>
          <w:pgSz w:w="11906" w:h="16839"/>
          <w:pgMar w:top="1134" w:right="1417" w:bottom="969" w:left="1418" w:header="862" w:footer="754" w:gutter="0"/>
          <w:pgNumType w:fmt="decimal"/>
          <w:cols w:space="720" w:num="1"/>
        </w:sectPr>
      </w:pPr>
    </w:p>
    <w:p w14:paraId="49A57161">
      <w:pPr>
        <w:spacing w:line="242" w:lineRule="auto"/>
        <w:rPr>
          <w:rFonts w:hint="eastAsia" w:ascii="宋体" w:hAnsi="宋体" w:eastAsia="宋体" w:cs="宋体"/>
          <w:sz w:val="21"/>
          <w:highlight w:val="none"/>
        </w:rPr>
      </w:pPr>
    </w:p>
    <w:p w14:paraId="7BE12276">
      <w:pPr>
        <w:pStyle w:val="5"/>
        <w:bidi w:val="0"/>
        <w:rPr>
          <w:rFonts w:hint="eastAsia" w:ascii="宋体" w:hAnsi="宋体" w:eastAsia="宋体" w:cs="宋体"/>
          <w:b/>
          <w:bCs/>
          <w:highlight w:val="none"/>
        </w:rPr>
      </w:pPr>
      <w:r>
        <w:rPr>
          <w:rFonts w:hint="eastAsia" w:ascii="宋体" w:hAnsi="宋体" w:eastAsia="宋体" w:cs="宋体"/>
          <w:b/>
          <w:bCs/>
          <w:highlight w:val="none"/>
          <w:lang w:val="en-US" w:eastAsia="zh-CN"/>
        </w:rPr>
        <w:t>三</w:t>
      </w:r>
      <w:r>
        <w:rPr>
          <w:rFonts w:hint="eastAsia" w:ascii="宋体" w:hAnsi="宋体" w:eastAsia="宋体" w:cs="宋体"/>
          <w:b/>
          <w:bCs/>
          <w:highlight w:val="none"/>
        </w:rPr>
        <w:t>、综合比较与评价</w:t>
      </w:r>
    </w:p>
    <w:p w14:paraId="605366DD">
      <w:pPr>
        <w:pStyle w:val="5"/>
        <w:spacing w:before="63" w:line="222" w:lineRule="auto"/>
        <w:ind w:left="3329"/>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评审要素及分值一览表</w:t>
      </w:r>
    </w:p>
    <w:p w14:paraId="51606F8A">
      <w:pPr>
        <w:spacing w:before="161"/>
        <w:rPr>
          <w:rFonts w:hint="eastAsia" w:ascii="宋体" w:hAnsi="宋体" w:eastAsia="宋体" w:cs="宋体"/>
          <w:highlight w:val="none"/>
        </w:rPr>
      </w:pPr>
    </w:p>
    <w:tbl>
      <w:tblPr>
        <w:tblStyle w:val="12"/>
        <w:tblW w:w="886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1"/>
        <w:gridCol w:w="1047"/>
        <w:gridCol w:w="5671"/>
        <w:gridCol w:w="1288"/>
      </w:tblGrid>
      <w:tr w14:paraId="6EF7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1908" w:type="dxa"/>
            <w:gridSpan w:val="2"/>
            <w:vAlign w:val="top"/>
          </w:tcPr>
          <w:p w14:paraId="3AE61AD3">
            <w:pPr>
              <w:keepNext w:val="0"/>
              <w:keepLines w:val="0"/>
              <w:pageBreakBefore w:val="0"/>
              <w:widowControl/>
              <w:kinsoku w:val="0"/>
              <w:wordWrap/>
              <w:overflowPunct/>
              <w:topLinePunct w:val="0"/>
              <w:autoSpaceDE w:val="0"/>
              <w:autoSpaceDN w:val="0"/>
              <w:bidi w:val="0"/>
              <w:adjustRightInd w:val="0"/>
              <w:snapToGrid w:val="0"/>
              <w:spacing w:before="143" w:line="312" w:lineRule="auto"/>
              <w:ind w:left="48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评审内容</w:t>
            </w:r>
          </w:p>
        </w:tc>
        <w:tc>
          <w:tcPr>
            <w:tcW w:w="5671" w:type="dxa"/>
            <w:vAlign w:val="top"/>
          </w:tcPr>
          <w:p w14:paraId="0CE3C72A">
            <w:pPr>
              <w:keepNext w:val="0"/>
              <w:keepLines w:val="0"/>
              <w:pageBreakBefore w:val="0"/>
              <w:widowControl/>
              <w:kinsoku w:val="0"/>
              <w:wordWrap/>
              <w:overflowPunct/>
              <w:topLinePunct w:val="0"/>
              <w:autoSpaceDE w:val="0"/>
              <w:autoSpaceDN w:val="0"/>
              <w:bidi w:val="0"/>
              <w:adjustRightInd w:val="0"/>
              <w:snapToGrid w:val="0"/>
              <w:spacing w:before="256" w:line="312" w:lineRule="auto"/>
              <w:ind w:left="1999"/>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评审原则与标准</w:t>
            </w:r>
          </w:p>
        </w:tc>
        <w:tc>
          <w:tcPr>
            <w:tcW w:w="1288" w:type="dxa"/>
            <w:vAlign w:val="top"/>
          </w:tcPr>
          <w:p w14:paraId="72853F8F">
            <w:pPr>
              <w:keepNext w:val="0"/>
              <w:keepLines w:val="0"/>
              <w:pageBreakBefore w:val="0"/>
              <w:widowControl/>
              <w:kinsoku w:val="0"/>
              <w:wordWrap/>
              <w:overflowPunct/>
              <w:topLinePunct w:val="0"/>
              <w:autoSpaceDE w:val="0"/>
              <w:autoSpaceDN w:val="0"/>
              <w:bidi w:val="0"/>
              <w:adjustRightInd w:val="0"/>
              <w:snapToGrid w:val="0"/>
              <w:spacing w:before="144" w:line="312" w:lineRule="auto"/>
              <w:ind w:left="414"/>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备注</w:t>
            </w:r>
          </w:p>
        </w:tc>
      </w:tr>
      <w:tr w14:paraId="1DA4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2" w:hRule="atLeast"/>
        </w:trPr>
        <w:tc>
          <w:tcPr>
            <w:tcW w:w="861" w:type="dxa"/>
            <w:vAlign w:val="center"/>
          </w:tcPr>
          <w:p w14:paraId="745BED04">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right="109" w:hanging="6"/>
              <w:jc w:val="center"/>
              <w:textAlignment w:val="baseline"/>
              <w:rPr>
                <w:rFonts w:hint="eastAsia" w:ascii="宋体" w:hAnsi="宋体" w:eastAsia="宋体" w:cs="宋体"/>
                <w:spacing w:val="-19"/>
                <w:sz w:val="24"/>
                <w:szCs w:val="24"/>
                <w:highlight w:val="none"/>
              </w:rPr>
            </w:pPr>
            <w:r>
              <w:rPr>
                <w:rFonts w:hint="eastAsia" w:ascii="宋体" w:hAnsi="宋体" w:eastAsia="宋体" w:cs="宋体"/>
                <w:spacing w:val="-19"/>
                <w:sz w:val="24"/>
                <w:szCs w:val="24"/>
                <w:highlight w:val="none"/>
              </w:rPr>
              <w:t>响应</w:t>
            </w:r>
          </w:p>
          <w:p w14:paraId="3F57A389">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right="109" w:hanging="6"/>
              <w:jc w:val="center"/>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报价</w:t>
            </w:r>
          </w:p>
        </w:tc>
        <w:tc>
          <w:tcPr>
            <w:tcW w:w="1047" w:type="dxa"/>
            <w:vAlign w:val="center"/>
          </w:tcPr>
          <w:p w14:paraId="692EDC49">
            <w:pPr>
              <w:keepNext w:val="0"/>
              <w:keepLines w:val="0"/>
              <w:pageBreakBefore w:val="0"/>
              <w:widowControl/>
              <w:kinsoku w:val="0"/>
              <w:wordWrap/>
              <w:overflowPunct/>
              <w:topLinePunct w:val="0"/>
              <w:autoSpaceDE w:val="0"/>
              <w:autoSpaceDN w:val="0"/>
              <w:bidi w:val="0"/>
              <w:adjustRightInd w:val="0"/>
              <w:snapToGrid w:val="0"/>
              <w:spacing w:before="78" w:line="312" w:lineRule="auto"/>
              <w:ind w:left="258"/>
              <w:jc w:val="center"/>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val="en-US" w:eastAsia="zh-CN"/>
              </w:rPr>
              <w:t>1</w:t>
            </w:r>
            <w:r>
              <w:rPr>
                <w:rFonts w:hint="eastAsia" w:ascii="宋体" w:hAnsi="宋体" w:eastAsia="宋体" w:cs="宋体"/>
                <w:spacing w:val="-5"/>
                <w:sz w:val="24"/>
                <w:szCs w:val="24"/>
                <w:highlight w:val="none"/>
              </w:rPr>
              <w:t>0分</w:t>
            </w:r>
          </w:p>
        </w:tc>
        <w:tc>
          <w:tcPr>
            <w:tcW w:w="5671" w:type="dxa"/>
            <w:vAlign w:val="top"/>
          </w:tcPr>
          <w:p w14:paraId="217DBC10">
            <w:pPr>
              <w:keepNext w:val="0"/>
              <w:keepLines w:val="0"/>
              <w:pageBreakBefore w:val="0"/>
              <w:widowControl/>
              <w:kinsoku w:val="0"/>
              <w:wordWrap/>
              <w:overflowPunct/>
              <w:topLinePunct w:val="0"/>
              <w:autoSpaceDE w:val="0"/>
              <w:autoSpaceDN w:val="0"/>
              <w:bidi w:val="0"/>
              <w:adjustRightInd w:val="0"/>
              <w:snapToGrid w:val="0"/>
              <w:spacing w:before="111" w:line="312" w:lineRule="auto"/>
              <w:ind w:left="120" w:right="107" w:firstLine="9"/>
              <w:jc w:val="both"/>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1、按照财政部《关于加强政府采购货物和服务项目</w:t>
            </w:r>
            <w:r>
              <w:rPr>
                <w:rFonts w:hint="eastAsia" w:ascii="宋体" w:hAnsi="宋体" w:eastAsia="宋体" w:cs="宋体"/>
                <w:spacing w:val="-2"/>
                <w:sz w:val="24"/>
                <w:szCs w:val="24"/>
                <w:highlight w:val="none"/>
              </w:rPr>
              <w:t>价格评审管理的通知》（财库[2007]2</w:t>
            </w:r>
            <w:r>
              <w:rPr>
                <w:rFonts w:hint="eastAsia" w:ascii="宋体" w:hAnsi="宋体" w:eastAsia="宋体" w:cs="宋体"/>
                <w:spacing w:val="-31"/>
                <w:sz w:val="24"/>
                <w:szCs w:val="24"/>
                <w:highlight w:val="none"/>
              </w:rPr>
              <w:t xml:space="preserve"> </w:t>
            </w:r>
            <w:r>
              <w:rPr>
                <w:rFonts w:hint="eastAsia" w:ascii="宋体" w:hAnsi="宋体" w:eastAsia="宋体" w:cs="宋体"/>
                <w:spacing w:val="-2"/>
                <w:sz w:val="24"/>
                <w:szCs w:val="24"/>
                <w:highlight w:val="none"/>
              </w:rPr>
              <w:t>号）的有关规</w:t>
            </w:r>
            <w:r>
              <w:rPr>
                <w:rFonts w:hint="eastAsia" w:ascii="宋体" w:hAnsi="宋体" w:eastAsia="宋体" w:cs="宋体"/>
                <w:spacing w:val="2"/>
                <w:sz w:val="24"/>
                <w:szCs w:val="24"/>
                <w:highlight w:val="none"/>
              </w:rPr>
              <w:t>定：价格分采用低价优先法计算，即满足磋商文件要求且响应报价最低的报价为评标基准价，其价格分为满分。其他响应单位的价格分统一按照下列公</w:t>
            </w:r>
            <w:r>
              <w:rPr>
                <w:rFonts w:hint="eastAsia" w:ascii="宋体" w:hAnsi="宋体" w:eastAsia="宋体" w:cs="宋体"/>
                <w:spacing w:val="-3"/>
                <w:sz w:val="24"/>
                <w:szCs w:val="24"/>
                <w:highlight w:val="none"/>
              </w:rPr>
              <w:t>式计算：</w:t>
            </w:r>
          </w:p>
          <w:p w14:paraId="7CAAFB4F">
            <w:pPr>
              <w:keepNext w:val="0"/>
              <w:keepLines w:val="0"/>
              <w:pageBreakBefore w:val="0"/>
              <w:widowControl/>
              <w:kinsoku w:val="0"/>
              <w:wordWrap/>
              <w:overflowPunct/>
              <w:topLinePunct w:val="0"/>
              <w:autoSpaceDE w:val="0"/>
              <w:autoSpaceDN w:val="0"/>
              <w:bidi w:val="0"/>
              <w:adjustRightInd w:val="0"/>
              <w:snapToGrid w:val="0"/>
              <w:spacing w:before="39" w:line="312" w:lineRule="auto"/>
              <w:ind w:left="118" w:right="208" w:firstLine="8"/>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响应报价得分=（评审基准价/</w:t>
            </w:r>
            <w:r>
              <w:rPr>
                <w:rFonts w:hint="eastAsia" w:ascii="宋体" w:hAnsi="宋体" w:eastAsia="宋体" w:cs="宋体"/>
                <w:sz w:val="24"/>
                <w:szCs w:val="24"/>
                <w:highlight w:val="none"/>
                <w:lang w:val="en-US" w:eastAsia="zh-CN"/>
              </w:rPr>
              <w:t>最终</w:t>
            </w:r>
            <w:r>
              <w:rPr>
                <w:rFonts w:hint="eastAsia" w:ascii="宋体" w:hAnsi="宋体" w:eastAsia="宋体" w:cs="宋体"/>
                <w:sz w:val="24"/>
                <w:szCs w:val="24"/>
                <w:highlight w:val="none"/>
              </w:rPr>
              <w:t>响应报价）</w:t>
            </w:r>
            <w:r>
              <w:rPr>
                <w:rFonts w:hint="eastAsia" w:ascii="宋体" w:hAnsi="宋体" w:eastAsia="宋体" w:cs="宋体"/>
                <w:spacing w:val="-68"/>
                <w:sz w:val="24"/>
                <w:szCs w:val="24"/>
                <w:highlight w:val="none"/>
              </w:rPr>
              <w:t xml:space="preserve"> </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价格权</w:t>
            </w:r>
            <w:r>
              <w:rPr>
                <w:rFonts w:hint="eastAsia" w:ascii="宋体" w:hAnsi="宋体" w:eastAsia="宋体" w:cs="宋体"/>
                <w:spacing w:val="-8"/>
                <w:sz w:val="24"/>
                <w:szCs w:val="24"/>
                <w:highlight w:val="none"/>
              </w:rPr>
              <w:t>值（即</w:t>
            </w:r>
            <w:r>
              <w:rPr>
                <w:rFonts w:hint="eastAsia" w:ascii="宋体" w:hAnsi="宋体" w:eastAsia="宋体" w:cs="宋体"/>
                <w:spacing w:val="-42"/>
                <w:sz w:val="24"/>
                <w:szCs w:val="24"/>
                <w:highlight w:val="none"/>
              </w:rPr>
              <w:t xml:space="preserve"> </w:t>
            </w:r>
            <w:r>
              <w:rPr>
                <w:rFonts w:hint="eastAsia" w:ascii="宋体" w:hAnsi="宋体" w:eastAsia="宋体" w:cs="宋体"/>
                <w:spacing w:val="-8"/>
                <w:sz w:val="24"/>
                <w:szCs w:val="24"/>
                <w:highlight w:val="none"/>
                <w:lang w:val="en-US" w:eastAsia="zh-CN"/>
              </w:rPr>
              <w:t>1</w:t>
            </w:r>
            <w:r>
              <w:rPr>
                <w:rFonts w:hint="eastAsia" w:ascii="宋体" w:hAnsi="宋体" w:eastAsia="宋体" w:cs="宋体"/>
                <w:spacing w:val="-8"/>
                <w:sz w:val="24"/>
                <w:szCs w:val="24"/>
                <w:highlight w:val="none"/>
              </w:rPr>
              <w:t>0%）</w:t>
            </w:r>
            <w:r>
              <w:rPr>
                <w:rFonts w:hint="eastAsia" w:ascii="宋体" w:hAnsi="宋体" w:eastAsia="宋体" w:cs="宋体"/>
                <w:spacing w:val="-71"/>
                <w:sz w:val="24"/>
                <w:szCs w:val="24"/>
                <w:highlight w:val="none"/>
              </w:rPr>
              <w:t xml:space="preserve"> </w:t>
            </w:r>
            <w:r>
              <w:rPr>
                <w:rFonts w:hint="eastAsia" w:ascii="宋体" w:hAnsi="宋体" w:eastAsia="宋体" w:cs="宋体"/>
                <w:spacing w:val="-8"/>
                <w:sz w:val="24"/>
                <w:szCs w:val="24"/>
                <w:highlight w:val="none"/>
              </w:rPr>
              <w:t>×</w:t>
            </w:r>
            <w:r>
              <w:rPr>
                <w:rFonts w:hint="eastAsia" w:ascii="宋体" w:hAnsi="宋体" w:eastAsia="宋体" w:cs="宋体"/>
                <w:spacing w:val="-89"/>
                <w:sz w:val="24"/>
                <w:szCs w:val="24"/>
                <w:highlight w:val="none"/>
              </w:rPr>
              <w:t xml:space="preserve"> </w:t>
            </w:r>
            <w:r>
              <w:rPr>
                <w:rFonts w:hint="eastAsia" w:ascii="宋体" w:hAnsi="宋体" w:eastAsia="宋体" w:cs="宋体"/>
                <w:spacing w:val="-8"/>
                <w:sz w:val="24"/>
                <w:szCs w:val="24"/>
                <w:highlight w:val="none"/>
              </w:rPr>
              <w:t>100</w:t>
            </w:r>
          </w:p>
          <w:p w14:paraId="4F3A442E">
            <w:pPr>
              <w:keepNext w:val="0"/>
              <w:keepLines w:val="0"/>
              <w:pageBreakBefore w:val="0"/>
              <w:widowControl/>
              <w:kinsoku w:val="0"/>
              <w:wordWrap/>
              <w:overflowPunct/>
              <w:topLinePunct w:val="0"/>
              <w:autoSpaceDE w:val="0"/>
              <w:autoSpaceDN w:val="0"/>
              <w:bidi w:val="0"/>
              <w:adjustRightInd w:val="0"/>
              <w:snapToGrid w:val="0"/>
              <w:spacing w:before="33" w:line="312" w:lineRule="auto"/>
              <w:ind w:left="125" w:right="39" w:hanging="11"/>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spacing w:val="2"/>
                <w:sz w:val="24"/>
                <w:szCs w:val="24"/>
                <w:highlight w:val="none"/>
                <w:lang w:val="en-US" w:eastAsia="zh-CN"/>
              </w:rPr>
              <w:t>因本项目专门面向中小企业采购，故价格评审时不再参与价格扣除</w:t>
            </w:r>
            <w:r>
              <w:rPr>
                <w:rFonts w:hint="eastAsia" w:ascii="宋体" w:hAnsi="宋体" w:eastAsia="宋体" w:cs="宋体"/>
                <w:spacing w:val="1"/>
                <w:sz w:val="24"/>
                <w:szCs w:val="24"/>
                <w:highlight w:val="none"/>
              </w:rPr>
              <w:t>。</w:t>
            </w:r>
          </w:p>
        </w:tc>
        <w:tc>
          <w:tcPr>
            <w:tcW w:w="1288" w:type="dxa"/>
            <w:vAlign w:val="center"/>
          </w:tcPr>
          <w:p w14:paraId="3279D937">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1</w:t>
            </w:r>
            <w:r>
              <w:rPr>
                <w:rFonts w:hint="eastAsia" w:ascii="宋体" w:hAnsi="宋体" w:eastAsia="宋体" w:cs="宋体"/>
                <w:spacing w:val="-7"/>
                <w:sz w:val="24"/>
                <w:szCs w:val="24"/>
                <w:highlight w:val="none"/>
              </w:rPr>
              <w:t>0分）</w:t>
            </w:r>
          </w:p>
        </w:tc>
      </w:tr>
      <w:tr w14:paraId="0B54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7" w:hRule="atLeast"/>
        </w:trPr>
        <w:tc>
          <w:tcPr>
            <w:tcW w:w="861" w:type="dxa"/>
            <w:vMerge w:val="restart"/>
            <w:vAlign w:val="center"/>
          </w:tcPr>
          <w:p w14:paraId="72F8D3E7">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right="109" w:hanging="6"/>
              <w:jc w:val="center"/>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服务</w:t>
            </w:r>
            <w:r>
              <w:rPr>
                <w:rFonts w:hint="eastAsia" w:ascii="宋体" w:hAnsi="宋体" w:eastAsia="宋体" w:cs="宋体"/>
                <w:spacing w:val="-11"/>
                <w:sz w:val="24"/>
                <w:szCs w:val="24"/>
                <w:highlight w:val="none"/>
              </w:rPr>
              <w:t>方案</w:t>
            </w:r>
          </w:p>
        </w:tc>
        <w:tc>
          <w:tcPr>
            <w:tcW w:w="1047" w:type="dxa"/>
            <w:vMerge w:val="restart"/>
            <w:vAlign w:val="center"/>
          </w:tcPr>
          <w:p w14:paraId="142C1DB2">
            <w:pPr>
              <w:keepNext w:val="0"/>
              <w:keepLines w:val="0"/>
              <w:pageBreakBefore w:val="0"/>
              <w:widowControl/>
              <w:kinsoku w:val="0"/>
              <w:wordWrap/>
              <w:overflowPunct/>
              <w:topLinePunct w:val="0"/>
              <w:autoSpaceDE w:val="0"/>
              <w:autoSpaceDN w:val="0"/>
              <w:bidi w:val="0"/>
              <w:adjustRightInd w:val="0"/>
              <w:snapToGrid w:val="0"/>
              <w:spacing w:before="78" w:line="312" w:lineRule="auto"/>
              <w:ind w:left="258"/>
              <w:jc w:val="center"/>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val="en-US" w:eastAsia="zh-CN"/>
              </w:rPr>
              <w:t>60</w:t>
            </w:r>
            <w:r>
              <w:rPr>
                <w:rFonts w:hint="eastAsia" w:ascii="宋体" w:hAnsi="宋体" w:eastAsia="宋体" w:cs="宋体"/>
                <w:spacing w:val="-5"/>
                <w:sz w:val="24"/>
                <w:szCs w:val="24"/>
                <w:highlight w:val="none"/>
              </w:rPr>
              <w:t>分</w:t>
            </w:r>
          </w:p>
        </w:tc>
        <w:tc>
          <w:tcPr>
            <w:tcW w:w="5671" w:type="dxa"/>
            <w:vAlign w:val="top"/>
          </w:tcPr>
          <w:p w14:paraId="316F35E8">
            <w:pPr>
              <w:keepNext w:val="0"/>
              <w:keepLines w:val="0"/>
              <w:pageBreakBefore w:val="0"/>
              <w:widowControl/>
              <w:kinsoku w:val="0"/>
              <w:wordWrap/>
              <w:overflowPunct/>
              <w:topLinePunct w:val="0"/>
              <w:autoSpaceDE w:val="0"/>
              <w:autoSpaceDN w:val="0"/>
              <w:bidi w:val="0"/>
              <w:adjustRightInd w:val="0"/>
              <w:snapToGrid w:val="0"/>
              <w:spacing w:before="116" w:line="312" w:lineRule="auto"/>
              <w:ind w:left="117" w:right="107" w:firstLine="12"/>
              <w:jc w:val="both"/>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val="en-US" w:eastAsia="zh-CN"/>
              </w:rPr>
              <w:t>项目分析。</w:t>
            </w:r>
            <w:r>
              <w:rPr>
                <w:rFonts w:hint="eastAsia" w:ascii="宋体" w:hAnsi="宋体" w:eastAsia="宋体" w:cs="宋体"/>
                <w:spacing w:val="-1"/>
                <w:sz w:val="24"/>
                <w:szCs w:val="24"/>
                <w:highlight w:val="none"/>
              </w:rPr>
              <w:t>供应商对本项目的实施背景、工作目的、目标及</w:t>
            </w:r>
            <w:r>
              <w:rPr>
                <w:rFonts w:hint="eastAsia" w:ascii="宋体" w:hAnsi="宋体" w:eastAsia="宋体" w:cs="宋体"/>
                <w:spacing w:val="2"/>
                <w:sz w:val="24"/>
                <w:szCs w:val="24"/>
                <w:highlight w:val="none"/>
              </w:rPr>
              <w:t>内容</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分析</w:t>
            </w:r>
            <w:r>
              <w:rPr>
                <w:rFonts w:hint="eastAsia" w:ascii="宋体" w:hAnsi="宋体" w:eastAsia="宋体" w:cs="宋体"/>
                <w:spacing w:val="2"/>
                <w:sz w:val="24"/>
                <w:szCs w:val="24"/>
                <w:highlight w:val="none"/>
              </w:rPr>
              <w:t>解读到位、理解全面、深入，得</w:t>
            </w: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rPr>
              <w:t>分；对本项目的实施背景、工作目的、目标及</w:t>
            </w:r>
            <w:r>
              <w:rPr>
                <w:rFonts w:hint="eastAsia" w:ascii="宋体" w:hAnsi="宋体" w:eastAsia="宋体" w:cs="宋体"/>
                <w:spacing w:val="1"/>
                <w:sz w:val="24"/>
                <w:szCs w:val="24"/>
                <w:highlight w:val="none"/>
              </w:rPr>
              <w:t>内容有一定的</w:t>
            </w:r>
            <w:r>
              <w:rPr>
                <w:rFonts w:hint="eastAsia" w:ascii="宋体" w:hAnsi="宋体" w:eastAsia="宋体" w:cs="宋体"/>
                <w:spacing w:val="1"/>
                <w:sz w:val="24"/>
                <w:szCs w:val="24"/>
                <w:highlight w:val="none"/>
                <w:lang w:val="en-US" w:eastAsia="zh-CN"/>
              </w:rPr>
              <w:t>分析</w:t>
            </w:r>
            <w:r>
              <w:rPr>
                <w:rFonts w:hint="eastAsia" w:ascii="宋体" w:hAnsi="宋体" w:eastAsia="宋体" w:cs="宋体"/>
                <w:spacing w:val="1"/>
                <w:sz w:val="24"/>
                <w:szCs w:val="24"/>
                <w:highlight w:val="none"/>
              </w:rPr>
              <w:t>理解，得</w:t>
            </w: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rPr>
              <w:t>分；对本</w:t>
            </w:r>
            <w:r>
              <w:rPr>
                <w:rFonts w:hint="eastAsia" w:ascii="宋体" w:hAnsi="宋体" w:eastAsia="宋体" w:cs="宋体"/>
                <w:spacing w:val="-1"/>
                <w:sz w:val="24"/>
                <w:szCs w:val="24"/>
                <w:highlight w:val="none"/>
              </w:rPr>
              <w:t>项目的实施背景、工作目的、目标及内容</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分析</w:t>
            </w:r>
            <w:r>
              <w:rPr>
                <w:rFonts w:hint="eastAsia" w:ascii="宋体" w:hAnsi="宋体" w:eastAsia="宋体" w:cs="宋体"/>
                <w:spacing w:val="-1"/>
                <w:sz w:val="24"/>
                <w:szCs w:val="24"/>
                <w:highlight w:val="none"/>
              </w:rPr>
              <w:t>理解不全</w:t>
            </w:r>
            <w:r>
              <w:rPr>
                <w:rFonts w:hint="eastAsia" w:ascii="宋体" w:hAnsi="宋体" w:eastAsia="宋体" w:cs="宋体"/>
                <w:spacing w:val="-6"/>
                <w:sz w:val="24"/>
                <w:szCs w:val="24"/>
                <w:highlight w:val="none"/>
              </w:rPr>
              <w:t>面</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得</w:t>
            </w:r>
            <w:r>
              <w:rPr>
                <w:rFonts w:hint="eastAsia" w:ascii="宋体" w:hAnsi="宋体" w:eastAsia="宋体" w:cs="宋体"/>
                <w:spacing w:val="-6"/>
                <w:sz w:val="24"/>
                <w:szCs w:val="24"/>
                <w:highlight w:val="none"/>
                <w:lang w:val="en-US" w:eastAsia="zh-CN"/>
              </w:rPr>
              <w:t>5</w:t>
            </w:r>
            <w:r>
              <w:rPr>
                <w:rFonts w:hint="eastAsia" w:ascii="宋体" w:hAnsi="宋体" w:eastAsia="宋体" w:cs="宋体"/>
                <w:spacing w:val="-6"/>
                <w:sz w:val="24"/>
                <w:szCs w:val="24"/>
                <w:highlight w:val="none"/>
              </w:rPr>
              <w:t>分</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lang w:val="en-US" w:eastAsia="zh-CN"/>
              </w:rPr>
              <w:t>无分析，得0分</w:t>
            </w:r>
            <w:r>
              <w:rPr>
                <w:rFonts w:hint="eastAsia" w:ascii="宋体" w:hAnsi="宋体" w:eastAsia="宋体" w:cs="宋体"/>
                <w:spacing w:val="-6"/>
                <w:sz w:val="24"/>
                <w:szCs w:val="24"/>
                <w:highlight w:val="none"/>
              </w:rPr>
              <w:t>。</w:t>
            </w:r>
          </w:p>
        </w:tc>
        <w:tc>
          <w:tcPr>
            <w:tcW w:w="1288" w:type="dxa"/>
            <w:vAlign w:val="center"/>
          </w:tcPr>
          <w:p w14:paraId="675600B8">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w:t>
            </w:r>
            <w:r>
              <w:rPr>
                <w:rFonts w:hint="eastAsia" w:ascii="宋体" w:hAnsi="宋体" w:eastAsia="宋体" w:cs="宋体"/>
                <w:spacing w:val="-8"/>
                <w:sz w:val="24"/>
                <w:szCs w:val="24"/>
                <w:highlight w:val="none"/>
                <w:lang w:val="en-US" w:eastAsia="zh-CN"/>
              </w:rPr>
              <w:t>15</w:t>
            </w:r>
            <w:r>
              <w:rPr>
                <w:rFonts w:hint="eastAsia" w:ascii="宋体" w:hAnsi="宋体" w:eastAsia="宋体" w:cs="宋体"/>
                <w:spacing w:val="-8"/>
                <w:sz w:val="24"/>
                <w:szCs w:val="24"/>
                <w:highlight w:val="none"/>
              </w:rPr>
              <w:t>分）</w:t>
            </w:r>
          </w:p>
        </w:tc>
      </w:tr>
      <w:tr w14:paraId="4B19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4" w:hRule="atLeast"/>
        </w:trPr>
        <w:tc>
          <w:tcPr>
            <w:tcW w:w="861" w:type="dxa"/>
            <w:vMerge w:val="continue"/>
            <w:vAlign w:val="top"/>
          </w:tcPr>
          <w:p w14:paraId="05A045FF">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highlight w:val="none"/>
              </w:rPr>
            </w:pPr>
          </w:p>
        </w:tc>
        <w:tc>
          <w:tcPr>
            <w:tcW w:w="1047" w:type="dxa"/>
            <w:vMerge w:val="continue"/>
            <w:vAlign w:val="top"/>
          </w:tcPr>
          <w:p w14:paraId="38B1B2F9">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highlight w:val="none"/>
              </w:rPr>
            </w:pPr>
          </w:p>
        </w:tc>
        <w:tc>
          <w:tcPr>
            <w:tcW w:w="5671" w:type="dxa"/>
            <w:vAlign w:val="top"/>
          </w:tcPr>
          <w:p w14:paraId="7E094AB6">
            <w:pPr>
              <w:keepNext w:val="0"/>
              <w:keepLines w:val="0"/>
              <w:pageBreakBefore w:val="0"/>
              <w:widowControl/>
              <w:kinsoku w:val="0"/>
              <w:wordWrap/>
              <w:overflowPunct/>
              <w:topLinePunct w:val="0"/>
              <w:autoSpaceDE w:val="0"/>
              <w:autoSpaceDN w:val="0"/>
              <w:bidi w:val="0"/>
              <w:adjustRightInd w:val="0"/>
              <w:snapToGrid w:val="0"/>
              <w:spacing w:before="115" w:line="312" w:lineRule="auto"/>
              <w:ind w:left="117" w:right="42" w:hanging="3"/>
              <w:jc w:val="both"/>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2.针对本项目重点难点分析及解决方案。正确识别</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本项目重点难点，分析全面具体透彻，解决对策针</w:t>
            </w:r>
            <w:r>
              <w:rPr>
                <w:rFonts w:hint="eastAsia" w:ascii="宋体" w:hAnsi="宋体" w:eastAsia="宋体" w:cs="宋体"/>
                <w:spacing w:val="5"/>
                <w:sz w:val="24"/>
                <w:szCs w:val="24"/>
                <w:highlight w:val="none"/>
              </w:rPr>
              <w:t xml:space="preserve">  </w:t>
            </w:r>
            <w:r>
              <w:rPr>
                <w:rFonts w:hint="eastAsia" w:ascii="宋体" w:hAnsi="宋体" w:eastAsia="宋体" w:cs="宋体"/>
                <w:sz w:val="24"/>
                <w:szCs w:val="24"/>
                <w:highlight w:val="none"/>
              </w:rPr>
              <w:t>对性强的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得15分；重点难点分析较全面，</w:t>
            </w:r>
            <w:r>
              <w:rPr>
                <w:rFonts w:hint="eastAsia" w:ascii="宋体" w:hAnsi="宋体" w:eastAsia="宋体" w:cs="宋体"/>
                <w:sz w:val="24"/>
                <w:szCs w:val="24"/>
                <w:highlight w:val="none"/>
                <w:lang w:val="en-US" w:eastAsia="zh-CN"/>
              </w:rPr>
              <w:t>较</w:t>
            </w:r>
            <w:r>
              <w:rPr>
                <w:rFonts w:hint="eastAsia" w:ascii="宋体" w:hAnsi="宋体" w:eastAsia="宋体" w:cs="宋体"/>
                <w:spacing w:val="-1"/>
                <w:sz w:val="24"/>
                <w:szCs w:val="24"/>
                <w:highlight w:val="none"/>
              </w:rPr>
              <w:t>具体和透彻，解决对策较合理可行的</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得1</w:t>
            </w:r>
            <w:r>
              <w:rPr>
                <w:rFonts w:hint="eastAsia" w:ascii="宋体" w:hAnsi="宋体" w:eastAsia="宋体" w:cs="宋体"/>
                <w:spacing w:val="-1"/>
                <w:sz w:val="24"/>
                <w:szCs w:val="24"/>
                <w:highlight w:val="none"/>
                <w:lang w:val="en-US" w:eastAsia="zh-CN"/>
              </w:rPr>
              <w:t>0</w:t>
            </w:r>
            <w:r>
              <w:rPr>
                <w:rFonts w:hint="eastAsia" w:ascii="宋体" w:hAnsi="宋体" w:eastAsia="宋体" w:cs="宋体"/>
                <w:spacing w:val="-1"/>
                <w:sz w:val="24"/>
                <w:szCs w:val="24"/>
                <w:highlight w:val="none"/>
              </w:rPr>
              <w:t>分；</w:t>
            </w:r>
            <w:r>
              <w:rPr>
                <w:rFonts w:hint="eastAsia" w:ascii="宋体" w:hAnsi="宋体" w:eastAsia="宋体" w:cs="宋体"/>
                <w:spacing w:val="2"/>
                <w:sz w:val="24"/>
                <w:szCs w:val="24"/>
                <w:highlight w:val="none"/>
              </w:rPr>
              <w:t>重点难点分析</w:t>
            </w:r>
            <w:r>
              <w:rPr>
                <w:rFonts w:hint="eastAsia" w:ascii="宋体" w:hAnsi="宋体" w:eastAsia="宋体" w:cs="宋体"/>
                <w:spacing w:val="2"/>
                <w:sz w:val="24"/>
                <w:szCs w:val="24"/>
                <w:highlight w:val="none"/>
                <w:lang w:val="en-US" w:eastAsia="zh-CN"/>
              </w:rPr>
              <w:t>基本</w:t>
            </w:r>
            <w:r>
              <w:rPr>
                <w:rFonts w:hint="eastAsia" w:ascii="宋体" w:hAnsi="宋体" w:eastAsia="宋体" w:cs="宋体"/>
                <w:spacing w:val="2"/>
                <w:sz w:val="24"/>
                <w:szCs w:val="24"/>
                <w:highlight w:val="none"/>
              </w:rPr>
              <w:t>全面，</w:t>
            </w:r>
            <w:r>
              <w:rPr>
                <w:rFonts w:hint="eastAsia" w:ascii="宋体" w:hAnsi="宋体" w:eastAsia="宋体" w:cs="宋体"/>
                <w:spacing w:val="2"/>
                <w:sz w:val="24"/>
                <w:szCs w:val="24"/>
                <w:highlight w:val="none"/>
                <w:lang w:val="en-US" w:eastAsia="zh-CN"/>
              </w:rPr>
              <w:t>基本</w:t>
            </w:r>
            <w:r>
              <w:rPr>
                <w:rFonts w:hint="eastAsia" w:ascii="宋体" w:hAnsi="宋体" w:eastAsia="宋体" w:cs="宋体"/>
                <w:spacing w:val="2"/>
                <w:sz w:val="24"/>
                <w:szCs w:val="24"/>
                <w:highlight w:val="none"/>
              </w:rPr>
              <w:t>具体和透彻，解决对策</w:t>
            </w:r>
            <w:r>
              <w:rPr>
                <w:rFonts w:hint="eastAsia" w:ascii="宋体" w:hAnsi="宋体" w:eastAsia="宋体" w:cs="宋体"/>
                <w:spacing w:val="2"/>
                <w:sz w:val="24"/>
                <w:szCs w:val="24"/>
                <w:highlight w:val="none"/>
                <w:lang w:val="en-US" w:eastAsia="zh-CN"/>
              </w:rPr>
              <w:t>基本</w:t>
            </w:r>
            <w:r>
              <w:rPr>
                <w:rFonts w:hint="eastAsia" w:ascii="宋体" w:hAnsi="宋体" w:eastAsia="宋体" w:cs="宋体"/>
                <w:spacing w:val="2"/>
                <w:sz w:val="24"/>
                <w:szCs w:val="24"/>
                <w:highlight w:val="none"/>
              </w:rPr>
              <w:t>合</w:t>
            </w:r>
            <w:r>
              <w:rPr>
                <w:rFonts w:hint="eastAsia" w:ascii="宋体" w:hAnsi="宋体" w:eastAsia="宋体" w:cs="宋体"/>
                <w:spacing w:val="1"/>
                <w:sz w:val="24"/>
                <w:szCs w:val="24"/>
                <w:highlight w:val="none"/>
              </w:rPr>
              <w:t>理</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得</w:t>
            </w:r>
            <w:r>
              <w:rPr>
                <w:rFonts w:hint="eastAsia" w:ascii="宋体" w:hAnsi="宋体" w:eastAsia="宋体" w:cs="宋体"/>
                <w:spacing w:val="1"/>
                <w:sz w:val="24"/>
                <w:szCs w:val="24"/>
                <w:highlight w:val="none"/>
                <w:lang w:val="en-US" w:eastAsia="zh-CN"/>
              </w:rPr>
              <w:t>7</w:t>
            </w:r>
            <w:r>
              <w:rPr>
                <w:rFonts w:hint="eastAsia" w:ascii="宋体" w:hAnsi="宋体" w:eastAsia="宋体" w:cs="宋体"/>
                <w:spacing w:val="1"/>
                <w:sz w:val="24"/>
                <w:szCs w:val="24"/>
                <w:highlight w:val="none"/>
              </w:rPr>
              <w:t>分；重点难点分析不全面，不够具体和透彻，解决对策不合理</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得4分；无重难点分</w:t>
            </w:r>
            <w:r>
              <w:rPr>
                <w:rFonts w:hint="eastAsia" w:ascii="宋体" w:hAnsi="宋体" w:eastAsia="宋体" w:cs="宋体"/>
                <w:spacing w:val="-1"/>
                <w:sz w:val="24"/>
                <w:szCs w:val="24"/>
                <w:highlight w:val="none"/>
              </w:rPr>
              <w:t>析及解决方案的</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得0分。</w:t>
            </w:r>
          </w:p>
        </w:tc>
        <w:tc>
          <w:tcPr>
            <w:tcW w:w="1288" w:type="dxa"/>
            <w:vAlign w:val="center"/>
          </w:tcPr>
          <w:p w14:paraId="2D3E6C32">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（15分）</w:t>
            </w:r>
          </w:p>
        </w:tc>
      </w:tr>
      <w:tr w14:paraId="2E0B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861" w:type="dxa"/>
            <w:vMerge w:val="continue"/>
            <w:vAlign w:val="top"/>
          </w:tcPr>
          <w:p w14:paraId="1F4EE6C8">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highlight w:val="none"/>
              </w:rPr>
            </w:pPr>
          </w:p>
        </w:tc>
        <w:tc>
          <w:tcPr>
            <w:tcW w:w="1047" w:type="dxa"/>
            <w:vMerge w:val="continue"/>
            <w:vAlign w:val="top"/>
          </w:tcPr>
          <w:p w14:paraId="2E834C56">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highlight w:val="none"/>
              </w:rPr>
            </w:pPr>
          </w:p>
        </w:tc>
        <w:tc>
          <w:tcPr>
            <w:tcW w:w="5671" w:type="dxa"/>
            <w:vAlign w:val="top"/>
          </w:tcPr>
          <w:p w14:paraId="7FB79364">
            <w:pPr>
              <w:keepNext w:val="0"/>
              <w:keepLines w:val="0"/>
              <w:pageBreakBefore w:val="0"/>
              <w:widowControl/>
              <w:kinsoku w:val="0"/>
              <w:wordWrap/>
              <w:overflowPunct/>
              <w:topLinePunct w:val="0"/>
              <w:autoSpaceDE w:val="0"/>
              <w:autoSpaceDN w:val="0"/>
              <w:bidi w:val="0"/>
              <w:adjustRightInd w:val="0"/>
              <w:snapToGrid w:val="0"/>
              <w:spacing w:before="118" w:line="312" w:lineRule="auto"/>
              <w:ind w:left="116" w:right="39"/>
              <w:jc w:val="both"/>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w:t>
            </w:r>
            <w:r>
              <w:rPr>
                <w:rFonts w:hint="eastAsia" w:ascii="宋体" w:hAnsi="宋体" w:eastAsia="宋体" w:cs="宋体"/>
                <w:spacing w:val="2"/>
                <w:sz w:val="24"/>
                <w:szCs w:val="24"/>
                <w:highlight w:val="none"/>
                <w:lang w:val="en-US" w:eastAsia="zh-CN"/>
              </w:rPr>
              <w:t>实施方案。</w:t>
            </w:r>
            <w:r>
              <w:rPr>
                <w:rFonts w:hint="eastAsia" w:ascii="宋体" w:hAnsi="宋体" w:eastAsia="宋体" w:cs="宋体"/>
                <w:spacing w:val="2"/>
                <w:sz w:val="24"/>
                <w:szCs w:val="24"/>
                <w:highlight w:val="none"/>
              </w:rPr>
              <w:t>针对采购人提出的各项服务内容提供具体详细可</w:t>
            </w:r>
            <w:r>
              <w:rPr>
                <w:rFonts w:hint="eastAsia" w:ascii="宋体" w:hAnsi="宋体" w:eastAsia="宋体" w:cs="宋体"/>
                <w:spacing w:val="-1"/>
                <w:sz w:val="24"/>
                <w:szCs w:val="24"/>
                <w:highlight w:val="none"/>
              </w:rPr>
              <w:t>行的实施方案，方案总体思路清晰，涵盖内容全面，</w:t>
            </w:r>
            <w:r>
              <w:rPr>
                <w:rFonts w:hint="eastAsia" w:ascii="宋体" w:hAnsi="宋体" w:eastAsia="宋体" w:cs="宋体"/>
                <w:spacing w:val="-1"/>
                <w:sz w:val="24"/>
                <w:szCs w:val="24"/>
                <w:highlight w:val="none"/>
                <w:lang w:val="en-US" w:eastAsia="zh-CN"/>
              </w:rPr>
              <w:t>符合</w:t>
            </w:r>
            <w:r>
              <w:rPr>
                <w:rFonts w:hint="eastAsia" w:ascii="宋体" w:hAnsi="宋体" w:eastAsia="宋体" w:cs="宋体"/>
                <w:spacing w:val="-1"/>
                <w:sz w:val="24"/>
                <w:szCs w:val="24"/>
                <w:highlight w:val="none"/>
              </w:rPr>
              <w:t>项目需求，对现状把握精准，开展项目的方法</w:t>
            </w:r>
            <w:r>
              <w:rPr>
                <w:rFonts w:hint="eastAsia" w:ascii="宋体" w:hAnsi="宋体" w:eastAsia="宋体" w:cs="宋体"/>
                <w:spacing w:val="-1"/>
                <w:sz w:val="24"/>
                <w:szCs w:val="24"/>
                <w:highlight w:val="none"/>
                <w:lang w:eastAsia="zh-CN"/>
              </w:rPr>
              <w:t>、</w:t>
            </w:r>
            <w:r>
              <w:rPr>
                <w:rFonts w:hint="eastAsia" w:ascii="宋体" w:hAnsi="宋体" w:eastAsia="宋体" w:cs="宋体"/>
                <w:sz w:val="24"/>
                <w:szCs w:val="24"/>
                <w:highlight w:val="none"/>
              </w:rPr>
              <w:t>流程思路可行、合理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得15分；方案总体思</w:t>
            </w:r>
            <w:r>
              <w:rPr>
                <w:rFonts w:hint="eastAsia" w:ascii="宋体" w:hAnsi="宋体" w:eastAsia="宋体" w:cs="宋体"/>
                <w:spacing w:val="2"/>
                <w:sz w:val="24"/>
                <w:szCs w:val="24"/>
                <w:highlight w:val="none"/>
              </w:rPr>
              <w:t>路较清晰，涵盖内容较全面，</w:t>
            </w:r>
            <w:r>
              <w:rPr>
                <w:rFonts w:hint="eastAsia" w:ascii="宋体" w:hAnsi="宋体" w:eastAsia="宋体" w:cs="宋体"/>
                <w:spacing w:val="2"/>
                <w:sz w:val="24"/>
                <w:szCs w:val="24"/>
                <w:highlight w:val="none"/>
                <w:lang w:val="en-US" w:eastAsia="zh-CN"/>
              </w:rPr>
              <w:t>较</w:t>
            </w:r>
            <w:r>
              <w:rPr>
                <w:rFonts w:hint="eastAsia" w:ascii="宋体" w:hAnsi="宋体" w:eastAsia="宋体" w:cs="宋体"/>
                <w:spacing w:val="2"/>
                <w:sz w:val="24"/>
                <w:szCs w:val="24"/>
                <w:highlight w:val="none"/>
              </w:rPr>
              <w:t>符合项目需求的</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得1</w:t>
            </w:r>
            <w:r>
              <w:rPr>
                <w:rFonts w:hint="eastAsia" w:ascii="宋体" w:hAnsi="宋体" w:eastAsia="宋体" w:cs="宋体"/>
                <w:spacing w:val="2"/>
                <w:sz w:val="24"/>
                <w:szCs w:val="24"/>
                <w:highlight w:val="none"/>
                <w:lang w:val="en-US" w:eastAsia="zh-CN"/>
              </w:rPr>
              <w:t>0</w:t>
            </w:r>
            <w:r>
              <w:rPr>
                <w:rFonts w:hint="eastAsia" w:ascii="宋体" w:hAnsi="宋体" w:eastAsia="宋体" w:cs="宋体"/>
                <w:spacing w:val="2"/>
                <w:sz w:val="24"/>
                <w:szCs w:val="24"/>
                <w:highlight w:val="none"/>
              </w:rPr>
              <w:t>分；方案总体思路</w:t>
            </w:r>
            <w:r>
              <w:rPr>
                <w:rFonts w:hint="eastAsia" w:ascii="宋体" w:hAnsi="宋体" w:eastAsia="宋体" w:cs="宋体"/>
                <w:spacing w:val="2"/>
                <w:sz w:val="24"/>
                <w:szCs w:val="24"/>
                <w:highlight w:val="none"/>
                <w:lang w:val="en-US" w:eastAsia="zh-CN"/>
              </w:rPr>
              <w:t>基本</w:t>
            </w:r>
            <w:r>
              <w:rPr>
                <w:rFonts w:hint="eastAsia" w:ascii="宋体" w:hAnsi="宋体" w:eastAsia="宋体" w:cs="宋体"/>
                <w:spacing w:val="2"/>
                <w:sz w:val="24"/>
                <w:szCs w:val="24"/>
                <w:highlight w:val="none"/>
              </w:rPr>
              <w:t>清晰，涵盖内容</w:t>
            </w:r>
            <w:r>
              <w:rPr>
                <w:rFonts w:hint="eastAsia" w:ascii="宋体" w:hAnsi="宋体" w:eastAsia="宋体" w:cs="宋体"/>
                <w:spacing w:val="1"/>
                <w:sz w:val="24"/>
                <w:szCs w:val="24"/>
                <w:highlight w:val="none"/>
                <w:lang w:val="en-US" w:eastAsia="zh-CN"/>
              </w:rPr>
              <w:t>基本</w:t>
            </w:r>
            <w:r>
              <w:rPr>
                <w:rFonts w:hint="eastAsia" w:ascii="宋体" w:hAnsi="宋体" w:eastAsia="宋体" w:cs="宋体"/>
                <w:spacing w:val="1"/>
                <w:sz w:val="24"/>
                <w:szCs w:val="24"/>
                <w:highlight w:val="none"/>
              </w:rPr>
              <w:t>全面，</w:t>
            </w:r>
            <w:r>
              <w:rPr>
                <w:rFonts w:hint="eastAsia" w:ascii="宋体" w:hAnsi="宋体" w:eastAsia="宋体" w:cs="宋体"/>
                <w:spacing w:val="1"/>
                <w:sz w:val="24"/>
                <w:szCs w:val="24"/>
                <w:highlight w:val="none"/>
                <w:lang w:val="en-US" w:eastAsia="zh-CN"/>
              </w:rPr>
              <w:t>基本</w:t>
            </w:r>
            <w:r>
              <w:rPr>
                <w:rFonts w:hint="eastAsia" w:ascii="宋体" w:hAnsi="宋体" w:eastAsia="宋体" w:cs="宋体"/>
                <w:spacing w:val="1"/>
                <w:sz w:val="24"/>
                <w:szCs w:val="24"/>
                <w:highlight w:val="none"/>
              </w:rPr>
              <w:t>符合项目需求的</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得</w:t>
            </w:r>
            <w:r>
              <w:rPr>
                <w:rFonts w:hint="eastAsia" w:ascii="宋体" w:hAnsi="宋体" w:eastAsia="宋体" w:cs="宋体"/>
                <w:spacing w:val="1"/>
                <w:sz w:val="24"/>
                <w:szCs w:val="24"/>
                <w:highlight w:val="none"/>
                <w:lang w:val="en-US" w:eastAsia="zh-CN"/>
              </w:rPr>
              <w:t>7</w:t>
            </w:r>
            <w:r>
              <w:rPr>
                <w:rFonts w:hint="eastAsia" w:ascii="宋体" w:hAnsi="宋体" w:eastAsia="宋体" w:cs="宋体"/>
                <w:spacing w:val="1"/>
                <w:sz w:val="24"/>
                <w:szCs w:val="24"/>
                <w:highlight w:val="none"/>
              </w:rPr>
              <w:t>分；方案总</w:t>
            </w:r>
            <w:r>
              <w:rPr>
                <w:rFonts w:hint="eastAsia" w:ascii="宋体" w:hAnsi="宋体" w:eastAsia="宋体" w:cs="宋体"/>
                <w:spacing w:val="2"/>
                <w:sz w:val="24"/>
                <w:szCs w:val="24"/>
                <w:highlight w:val="none"/>
              </w:rPr>
              <w:t>体思路不清晰，涵盖内容不全面，不符合项目需求</w:t>
            </w:r>
            <w:r>
              <w:rPr>
                <w:rFonts w:hint="eastAsia" w:ascii="宋体" w:hAnsi="宋体" w:eastAsia="宋体" w:cs="宋体"/>
                <w:spacing w:val="-3"/>
                <w:sz w:val="24"/>
                <w:szCs w:val="24"/>
                <w:highlight w:val="none"/>
              </w:rPr>
              <w:t>的</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得</w:t>
            </w:r>
            <w:r>
              <w:rPr>
                <w:rFonts w:hint="eastAsia" w:ascii="宋体" w:hAnsi="宋体" w:eastAsia="宋体" w:cs="宋体"/>
                <w:spacing w:val="-3"/>
                <w:sz w:val="24"/>
                <w:szCs w:val="24"/>
                <w:highlight w:val="none"/>
                <w:lang w:val="en-US" w:eastAsia="zh-CN"/>
              </w:rPr>
              <w:t>3</w:t>
            </w:r>
            <w:r>
              <w:rPr>
                <w:rFonts w:hint="eastAsia" w:ascii="宋体" w:hAnsi="宋体" w:eastAsia="宋体" w:cs="宋体"/>
                <w:spacing w:val="-3"/>
                <w:sz w:val="24"/>
                <w:szCs w:val="24"/>
                <w:highlight w:val="none"/>
              </w:rPr>
              <w:t>分；无方案</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得0分。</w:t>
            </w:r>
          </w:p>
        </w:tc>
        <w:tc>
          <w:tcPr>
            <w:tcW w:w="1288" w:type="dxa"/>
            <w:vAlign w:val="center"/>
          </w:tcPr>
          <w:p w14:paraId="3D905D33">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（15分）</w:t>
            </w:r>
          </w:p>
        </w:tc>
      </w:tr>
      <w:tr w14:paraId="1A67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4" w:hRule="atLeast"/>
        </w:trPr>
        <w:tc>
          <w:tcPr>
            <w:tcW w:w="861" w:type="dxa"/>
            <w:vMerge w:val="continue"/>
            <w:vAlign w:val="top"/>
          </w:tcPr>
          <w:p w14:paraId="244E6F28">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highlight w:val="none"/>
              </w:rPr>
            </w:pPr>
          </w:p>
        </w:tc>
        <w:tc>
          <w:tcPr>
            <w:tcW w:w="1047" w:type="dxa"/>
            <w:vMerge w:val="continue"/>
            <w:vAlign w:val="top"/>
          </w:tcPr>
          <w:p w14:paraId="01F67BDE">
            <w:pPr>
              <w:pStyle w:val="1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highlight w:val="none"/>
              </w:rPr>
            </w:pPr>
          </w:p>
        </w:tc>
        <w:tc>
          <w:tcPr>
            <w:tcW w:w="5671" w:type="dxa"/>
            <w:vAlign w:val="top"/>
          </w:tcPr>
          <w:p w14:paraId="7B972E56">
            <w:pPr>
              <w:keepNext w:val="0"/>
              <w:keepLines w:val="0"/>
              <w:pageBreakBefore w:val="0"/>
              <w:widowControl/>
              <w:kinsoku w:val="0"/>
              <w:wordWrap/>
              <w:overflowPunct/>
              <w:topLinePunct w:val="0"/>
              <w:autoSpaceDE w:val="0"/>
              <w:autoSpaceDN w:val="0"/>
              <w:bidi w:val="0"/>
              <w:adjustRightInd w:val="0"/>
              <w:snapToGrid w:val="0"/>
              <w:spacing w:before="116" w:line="312" w:lineRule="auto"/>
              <w:ind w:left="117" w:right="107" w:firstLine="12"/>
              <w:jc w:val="both"/>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项目实施进度计划控制措施</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进度计划控制措施科学合理，能充分体现工作效率及工作效果，确保工作优质、高效、如期完成</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得1</w:t>
            </w: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rPr>
              <w:t>分；项目实施进度计划控制措施较科学合理，较体现工作效率及工作效果</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得</w:t>
            </w:r>
            <w:r>
              <w:rPr>
                <w:rFonts w:hint="eastAsia" w:ascii="宋体" w:hAnsi="宋体" w:eastAsia="宋体" w:cs="宋体"/>
                <w:spacing w:val="-1"/>
                <w:sz w:val="24"/>
                <w:szCs w:val="24"/>
                <w:highlight w:val="none"/>
                <w:lang w:val="en-US" w:eastAsia="zh-CN"/>
              </w:rPr>
              <w:t>10</w:t>
            </w:r>
            <w:r>
              <w:rPr>
                <w:rFonts w:hint="eastAsia" w:ascii="宋体" w:hAnsi="宋体" w:eastAsia="宋体" w:cs="宋体"/>
                <w:spacing w:val="-1"/>
                <w:sz w:val="24"/>
                <w:szCs w:val="24"/>
                <w:highlight w:val="none"/>
              </w:rPr>
              <w:t>分；项目实施进度计划控制措施</w:t>
            </w:r>
            <w:r>
              <w:rPr>
                <w:rFonts w:hint="eastAsia" w:ascii="宋体" w:hAnsi="宋体" w:eastAsia="宋体" w:cs="宋体"/>
                <w:spacing w:val="-1"/>
                <w:sz w:val="24"/>
                <w:szCs w:val="24"/>
                <w:highlight w:val="none"/>
                <w:lang w:val="en-US" w:eastAsia="zh-CN"/>
              </w:rPr>
              <w:t>基本</w:t>
            </w:r>
            <w:r>
              <w:rPr>
                <w:rFonts w:hint="eastAsia" w:ascii="宋体" w:hAnsi="宋体" w:eastAsia="宋体" w:cs="宋体"/>
                <w:spacing w:val="-1"/>
                <w:sz w:val="24"/>
                <w:szCs w:val="24"/>
                <w:highlight w:val="none"/>
              </w:rPr>
              <w:t>科学合理</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基本能</w:t>
            </w:r>
            <w:r>
              <w:rPr>
                <w:rFonts w:hint="eastAsia" w:ascii="宋体" w:hAnsi="宋体" w:eastAsia="宋体" w:cs="宋体"/>
                <w:spacing w:val="-1"/>
                <w:sz w:val="24"/>
                <w:szCs w:val="24"/>
                <w:highlight w:val="none"/>
              </w:rPr>
              <w:t>体现工作效率及工作效果</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得5分</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无进度计划控制措施</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得</w:t>
            </w:r>
            <w:r>
              <w:rPr>
                <w:rFonts w:hint="eastAsia" w:ascii="宋体" w:hAnsi="宋体" w:eastAsia="宋体" w:cs="宋体"/>
                <w:spacing w:val="-1"/>
                <w:sz w:val="24"/>
                <w:szCs w:val="24"/>
                <w:highlight w:val="none"/>
                <w:lang w:val="en-US" w:eastAsia="zh-CN"/>
              </w:rPr>
              <w:t>0</w:t>
            </w:r>
            <w:r>
              <w:rPr>
                <w:rFonts w:hint="eastAsia" w:ascii="宋体" w:hAnsi="宋体" w:eastAsia="宋体" w:cs="宋体"/>
                <w:spacing w:val="-1"/>
                <w:sz w:val="24"/>
                <w:szCs w:val="24"/>
                <w:highlight w:val="none"/>
              </w:rPr>
              <w:t>分；</w:t>
            </w:r>
          </w:p>
        </w:tc>
        <w:tc>
          <w:tcPr>
            <w:tcW w:w="1288" w:type="dxa"/>
            <w:vAlign w:val="center"/>
          </w:tcPr>
          <w:p w14:paraId="5C78D2C8">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w:t>
            </w:r>
            <w:r>
              <w:rPr>
                <w:rFonts w:hint="eastAsia" w:ascii="宋体" w:hAnsi="宋体" w:eastAsia="宋体" w:cs="宋体"/>
                <w:spacing w:val="-8"/>
                <w:sz w:val="24"/>
                <w:szCs w:val="24"/>
                <w:highlight w:val="none"/>
                <w:lang w:val="en-US" w:eastAsia="zh-CN"/>
              </w:rPr>
              <w:t>5</w:t>
            </w:r>
            <w:r>
              <w:rPr>
                <w:rFonts w:hint="eastAsia" w:ascii="宋体" w:hAnsi="宋体" w:eastAsia="宋体" w:cs="宋体"/>
                <w:spacing w:val="-8"/>
                <w:sz w:val="24"/>
                <w:szCs w:val="24"/>
                <w:highlight w:val="none"/>
              </w:rPr>
              <w:t>分）</w:t>
            </w:r>
          </w:p>
        </w:tc>
      </w:tr>
      <w:tr w14:paraId="0748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861" w:type="dxa"/>
            <w:vAlign w:val="center"/>
          </w:tcPr>
          <w:p w14:paraId="2501C05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right="109" w:hanging="6"/>
              <w:jc w:val="center"/>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类似项目业绩</w:t>
            </w:r>
          </w:p>
        </w:tc>
        <w:tc>
          <w:tcPr>
            <w:tcW w:w="1047" w:type="dxa"/>
            <w:vAlign w:val="center"/>
          </w:tcPr>
          <w:p w14:paraId="60639721">
            <w:pPr>
              <w:keepNext w:val="0"/>
              <w:keepLines w:val="0"/>
              <w:pageBreakBefore w:val="0"/>
              <w:widowControl/>
              <w:kinsoku w:val="0"/>
              <w:wordWrap/>
              <w:overflowPunct/>
              <w:topLinePunct w:val="0"/>
              <w:autoSpaceDE w:val="0"/>
              <w:autoSpaceDN w:val="0"/>
              <w:bidi w:val="0"/>
              <w:adjustRightInd w:val="0"/>
              <w:snapToGrid w:val="0"/>
              <w:spacing w:before="78" w:line="312" w:lineRule="auto"/>
              <w:ind w:left="287"/>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shd w:val="clear"/>
              </w:rPr>
              <w:t>5分</w:t>
            </w:r>
          </w:p>
        </w:tc>
        <w:tc>
          <w:tcPr>
            <w:tcW w:w="5671" w:type="dxa"/>
            <w:vAlign w:val="top"/>
          </w:tcPr>
          <w:p w14:paraId="7F63E637">
            <w:pPr>
              <w:keepNext w:val="0"/>
              <w:keepLines w:val="0"/>
              <w:pageBreakBefore w:val="0"/>
              <w:widowControl/>
              <w:kinsoku w:val="0"/>
              <w:wordWrap/>
              <w:overflowPunct/>
              <w:topLinePunct w:val="0"/>
              <w:autoSpaceDE w:val="0"/>
              <w:autoSpaceDN w:val="0"/>
              <w:bidi w:val="0"/>
              <w:adjustRightInd w:val="0"/>
              <w:snapToGrid w:val="0"/>
              <w:spacing w:before="116" w:line="312" w:lineRule="auto"/>
              <w:ind w:left="119" w:right="108" w:firstLine="11"/>
              <w:jc w:val="both"/>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提供</w:t>
            </w:r>
            <w:r>
              <w:rPr>
                <w:rFonts w:hint="eastAsia" w:ascii="宋体" w:hAnsi="宋体" w:eastAsia="宋体" w:cs="宋体"/>
                <w:spacing w:val="-1"/>
                <w:sz w:val="24"/>
                <w:szCs w:val="24"/>
                <w:highlight w:val="none"/>
              </w:rPr>
              <w:t>202</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年1月1日至今完成的类似项目业绩：每有一个类似项目业绩得</w:t>
            </w:r>
            <w:r>
              <w:rPr>
                <w:rFonts w:hint="eastAsia" w:ascii="宋体" w:hAnsi="宋体" w:eastAsia="宋体" w:cs="宋体"/>
                <w:spacing w:val="-1"/>
                <w:sz w:val="24"/>
                <w:szCs w:val="24"/>
                <w:highlight w:val="none"/>
                <w:lang w:val="en-US" w:eastAsia="zh-CN"/>
              </w:rPr>
              <w:t>2.5</w:t>
            </w:r>
            <w:r>
              <w:rPr>
                <w:rFonts w:hint="eastAsia" w:ascii="宋体" w:hAnsi="宋体" w:eastAsia="宋体" w:cs="宋体"/>
                <w:spacing w:val="-1"/>
                <w:sz w:val="24"/>
                <w:szCs w:val="24"/>
                <w:highlight w:val="none"/>
              </w:rPr>
              <w:t>分,最高5分。</w:t>
            </w:r>
          </w:p>
          <w:p w14:paraId="3A84B0C5">
            <w:pPr>
              <w:keepNext w:val="0"/>
              <w:keepLines w:val="0"/>
              <w:pageBreakBefore w:val="0"/>
              <w:widowControl/>
              <w:kinsoku w:val="0"/>
              <w:wordWrap/>
              <w:overflowPunct/>
              <w:topLinePunct w:val="0"/>
              <w:autoSpaceDE w:val="0"/>
              <w:autoSpaceDN w:val="0"/>
              <w:bidi w:val="0"/>
              <w:adjustRightInd w:val="0"/>
              <w:snapToGrid w:val="0"/>
              <w:spacing w:before="116" w:line="312" w:lineRule="auto"/>
              <w:ind w:left="119" w:right="108" w:firstLine="11"/>
              <w:jc w:val="both"/>
              <w:textAlignment w:val="baseline"/>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rPr>
              <w:t>注：以成交通知书或</w:t>
            </w:r>
            <w:r>
              <w:rPr>
                <w:rFonts w:hint="eastAsia" w:ascii="宋体" w:hAnsi="宋体" w:eastAsia="宋体" w:cs="宋体"/>
                <w:spacing w:val="-1"/>
                <w:sz w:val="24"/>
                <w:szCs w:val="24"/>
                <w:highlight w:val="none"/>
                <w:lang w:val="en-US" w:eastAsia="zh-CN"/>
              </w:rPr>
              <w:t>完整版签字盖章</w:t>
            </w:r>
            <w:r>
              <w:rPr>
                <w:rFonts w:hint="eastAsia" w:ascii="宋体" w:hAnsi="宋体" w:eastAsia="宋体" w:cs="宋体"/>
                <w:spacing w:val="-1"/>
                <w:sz w:val="24"/>
                <w:szCs w:val="24"/>
                <w:highlight w:val="none"/>
              </w:rPr>
              <w:t>合同为准</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时间以合同签订时间为准</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，响应文件中附成交通知书或合同复印件并加盖企业公章。</w:t>
            </w:r>
          </w:p>
        </w:tc>
        <w:tc>
          <w:tcPr>
            <w:tcW w:w="1288" w:type="dxa"/>
            <w:vAlign w:val="center"/>
          </w:tcPr>
          <w:p w14:paraId="5F9F9D20">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（5分）</w:t>
            </w:r>
          </w:p>
        </w:tc>
      </w:tr>
      <w:tr w14:paraId="5390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2" w:hRule="atLeast"/>
        </w:trPr>
        <w:tc>
          <w:tcPr>
            <w:tcW w:w="861" w:type="dxa"/>
            <w:shd w:val="clear" w:color="auto" w:fill="auto"/>
            <w:vAlign w:val="center"/>
          </w:tcPr>
          <w:p w14:paraId="24AF405A">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2" w:right="107" w:hanging="8"/>
              <w:jc w:val="center"/>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项目团队人员配置</w:t>
            </w:r>
          </w:p>
        </w:tc>
        <w:tc>
          <w:tcPr>
            <w:tcW w:w="1047" w:type="dxa"/>
            <w:shd w:val="clear" w:color="auto" w:fill="auto"/>
            <w:vAlign w:val="center"/>
          </w:tcPr>
          <w:p w14:paraId="11A39AEE">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2" w:right="107" w:hanging="8"/>
              <w:jc w:val="center"/>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6分</w:t>
            </w:r>
          </w:p>
        </w:tc>
        <w:tc>
          <w:tcPr>
            <w:tcW w:w="5671" w:type="dxa"/>
            <w:shd w:val="clear" w:color="auto" w:fill="auto"/>
            <w:vAlign w:val="center"/>
          </w:tcPr>
          <w:p w14:paraId="102E40C3">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2" w:right="107" w:hanging="8"/>
              <w:jc w:val="both"/>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en-US"/>
              </w:rPr>
              <w:t>拟任本合同的项目组成人员编制人员数量满足工作需要，结构合理、专业工种配套齐全，提供职称证书。除项目负责人外，每提供1名相关专业高级职称人员得2分，每提供1名相关专业中级职称人员得1分，中级以下职称不得分，此项累计最多得</w:t>
            </w:r>
            <w:r>
              <w:rPr>
                <w:rFonts w:hint="eastAsia" w:ascii="宋体" w:hAnsi="宋体" w:eastAsia="宋体" w:cs="宋体"/>
                <w:spacing w:val="-4"/>
                <w:sz w:val="24"/>
                <w:szCs w:val="24"/>
                <w:highlight w:val="none"/>
                <w:lang w:val="en-US" w:eastAsia="zh-CN"/>
              </w:rPr>
              <w:t>6</w:t>
            </w:r>
            <w:r>
              <w:rPr>
                <w:rFonts w:hint="eastAsia" w:ascii="宋体" w:hAnsi="宋体" w:eastAsia="宋体" w:cs="宋体"/>
                <w:spacing w:val="-4"/>
                <w:sz w:val="24"/>
                <w:szCs w:val="24"/>
                <w:highlight w:val="none"/>
                <w:lang w:val="en-US" w:eastAsia="en-US"/>
              </w:rPr>
              <w:t>分</w:t>
            </w:r>
            <w:r>
              <w:rPr>
                <w:rFonts w:hint="eastAsia" w:ascii="宋体" w:hAnsi="宋体" w:eastAsia="宋体" w:cs="宋体"/>
                <w:spacing w:val="-4"/>
                <w:sz w:val="24"/>
                <w:szCs w:val="24"/>
                <w:highlight w:val="none"/>
                <w:lang w:val="en-US" w:eastAsia="zh-CN"/>
              </w:rPr>
              <w:t>。</w:t>
            </w:r>
          </w:p>
        </w:tc>
        <w:tc>
          <w:tcPr>
            <w:tcW w:w="1288" w:type="dxa"/>
            <w:vAlign w:val="center"/>
          </w:tcPr>
          <w:p w14:paraId="78C9D42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lang w:val="en-US" w:eastAsia="zh-CN"/>
              </w:rPr>
              <w:t>6</w:t>
            </w:r>
            <w:r>
              <w:rPr>
                <w:rFonts w:hint="eastAsia" w:ascii="宋体" w:hAnsi="宋体" w:eastAsia="宋体" w:cs="宋体"/>
                <w:spacing w:val="-10"/>
                <w:sz w:val="24"/>
                <w:szCs w:val="24"/>
                <w:highlight w:val="none"/>
              </w:rPr>
              <w:t>分）</w:t>
            </w:r>
          </w:p>
        </w:tc>
      </w:tr>
      <w:tr w14:paraId="3BD1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861" w:type="dxa"/>
            <w:vAlign w:val="center"/>
          </w:tcPr>
          <w:p w14:paraId="340F4B6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right="109" w:hanging="6"/>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19"/>
                <w:sz w:val="24"/>
                <w:szCs w:val="24"/>
                <w:highlight w:val="none"/>
              </w:rPr>
              <w:t>服务保证措施</w:t>
            </w:r>
          </w:p>
        </w:tc>
        <w:tc>
          <w:tcPr>
            <w:tcW w:w="1047" w:type="dxa"/>
            <w:vAlign w:val="center"/>
          </w:tcPr>
          <w:p w14:paraId="49FC8E19">
            <w:pPr>
              <w:keepNext w:val="0"/>
              <w:keepLines w:val="0"/>
              <w:pageBreakBefore w:val="0"/>
              <w:widowControl/>
              <w:kinsoku w:val="0"/>
              <w:wordWrap/>
              <w:overflowPunct/>
              <w:topLinePunct w:val="0"/>
              <w:autoSpaceDE w:val="0"/>
              <w:autoSpaceDN w:val="0"/>
              <w:bidi w:val="0"/>
              <w:adjustRightInd w:val="0"/>
              <w:snapToGrid w:val="0"/>
              <w:spacing w:before="78" w:line="312" w:lineRule="auto"/>
              <w:ind w:left="130"/>
              <w:jc w:val="center"/>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lang w:val="en-US" w:eastAsia="zh-CN"/>
              </w:rPr>
              <w:t>8</w:t>
            </w:r>
            <w:r>
              <w:rPr>
                <w:rFonts w:hint="eastAsia" w:ascii="宋体" w:hAnsi="宋体" w:eastAsia="宋体" w:cs="宋体"/>
                <w:spacing w:val="-9"/>
                <w:sz w:val="24"/>
                <w:szCs w:val="24"/>
                <w:highlight w:val="none"/>
              </w:rPr>
              <w:t>分</w:t>
            </w:r>
          </w:p>
        </w:tc>
        <w:tc>
          <w:tcPr>
            <w:tcW w:w="5671" w:type="dxa"/>
            <w:vAlign w:val="top"/>
          </w:tcPr>
          <w:p w14:paraId="7275DD68">
            <w:pPr>
              <w:keepNext w:val="0"/>
              <w:keepLines w:val="0"/>
              <w:pageBreakBefore w:val="0"/>
              <w:widowControl/>
              <w:kinsoku w:val="0"/>
              <w:wordWrap/>
              <w:overflowPunct/>
              <w:topLinePunct w:val="0"/>
              <w:autoSpaceDE w:val="0"/>
              <w:autoSpaceDN w:val="0"/>
              <w:bidi w:val="0"/>
              <w:adjustRightInd w:val="0"/>
              <w:snapToGrid w:val="0"/>
              <w:spacing w:before="115" w:line="312" w:lineRule="auto"/>
              <w:ind w:left="117" w:right="42" w:hanging="3"/>
              <w:jc w:val="both"/>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该项目供应商在合同履行过程中为采购人提供的各项服务</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从成果质量、服务、对后期的指导服务等方面</w:t>
            </w:r>
            <w:r>
              <w:rPr>
                <w:rFonts w:hint="eastAsia" w:ascii="宋体" w:hAnsi="宋体" w:eastAsia="宋体" w:cs="宋体"/>
                <w:spacing w:val="2"/>
                <w:sz w:val="24"/>
                <w:szCs w:val="24"/>
                <w:highlight w:val="none"/>
                <w:lang w:val="en-US" w:eastAsia="zh-CN"/>
              </w:rPr>
              <w:t>提供</w:t>
            </w:r>
            <w:r>
              <w:rPr>
                <w:rFonts w:hint="eastAsia" w:ascii="宋体" w:hAnsi="宋体" w:eastAsia="宋体" w:cs="宋体"/>
                <w:spacing w:val="2"/>
                <w:sz w:val="24"/>
                <w:szCs w:val="24"/>
                <w:highlight w:val="none"/>
              </w:rPr>
              <w:t>保证措施，依据服务承诺的可行性、合理性进行综合对比评分</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完全</w:t>
            </w:r>
            <w:r>
              <w:rPr>
                <w:rFonts w:hint="eastAsia" w:ascii="宋体" w:hAnsi="宋体" w:eastAsia="宋体" w:cs="宋体"/>
                <w:spacing w:val="2"/>
                <w:sz w:val="24"/>
                <w:szCs w:val="24"/>
                <w:highlight w:val="none"/>
                <w:lang w:val="en-US" w:eastAsia="zh-CN"/>
              </w:rPr>
              <w:t>合理</w:t>
            </w:r>
            <w:r>
              <w:rPr>
                <w:rFonts w:hint="eastAsia" w:ascii="宋体" w:hAnsi="宋体" w:eastAsia="宋体" w:cs="宋体"/>
                <w:spacing w:val="2"/>
                <w:sz w:val="24"/>
                <w:szCs w:val="24"/>
                <w:highlight w:val="none"/>
              </w:rPr>
              <w:t>且逐条详细说明的</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得</w:t>
            </w:r>
            <w:r>
              <w:rPr>
                <w:rFonts w:hint="eastAsia" w:ascii="宋体" w:hAnsi="宋体" w:eastAsia="宋体" w:cs="宋体"/>
                <w:spacing w:val="2"/>
                <w:sz w:val="24"/>
                <w:szCs w:val="24"/>
                <w:highlight w:val="none"/>
                <w:lang w:val="en-US" w:eastAsia="zh-CN"/>
              </w:rPr>
              <w:t>8</w:t>
            </w:r>
            <w:r>
              <w:rPr>
                <w:rFonts w:hint="eastAsia" w:ascii="宋体" w:hAnsi="宋体" w:eastAsia="宋体" w:cs="宋体"/>
                <w:spacing w:val="2"/>
                <w:sz w:val="24"/>
                <w:szCs w:val="24"/>
                <w:highlight w:val="none"/>
              </w:rPr>
              <w:t>分，基本</w:t>
            </w:r>
            <w:r>
              <w:rPr>
                <w:rFonts w:hint="eastAsia" w:ascii="宋体" w:hAnsi="宋体" w:eastAsia="宋体" w:cs="宋体"/>
                <w:spacing w:val="2"/>
                <w:sz w:val="24"/>
                <w:szCs w:val="24"/>
                <w:highlight w:val="none"/>
                <w:lang w:val="en-US" w:eastAsia="zh-CN"/>
              </w:rPr>
              <w:t>合理且</w:t>
            </w:r>
            <w:r>
              <w:rPr>
                <w:rFonts w:hint="eastAsia" w:ascii="宋体" w:hAnsi="宋体" w:eastAsia="宋体" w:cs="宋体"/>
                <w:spacing w:val="2"/>
                <w:sz w:val="24"/>
                <w:szCs w:val="24"/>
                <w:highlight w:val="none"/>
              </w:rPr>
              <w:t>逐条详细说明的</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得4分，</w:t>
            </w:r>
            <w:r>
              <w:rPr>
                <w:rFonts w:hint="eastAsia" w:ascii="宋体" w:hAnsi="宋体" w:eastAsia="宋体" w:cs="宋体"/>
                <w:spacing w:val="2"/>
                <w:sz w:val="24"/>
                <w:szCs w:val="24"/>
                <w:highlight w:val="none"/>
                <w:lang w:val="en-US" w:eastAsia="zh-CN"/>
              </w:rPr>
              <w:t>未提供</w:t>
            </w:r>
            <w:r>
              <w:rPr>
                <w:rFonts w:hint="eastAsia" w:ascii="宋体" w:hAnsi="宋体" w:eastAsia="宋体" w:cs="宋体"/>
                <w:spacing w:val="2"/>
                <w:sz w:val="24"/>
                <w:szCs w:val="24"/>
                <w:highlight w:val="none"/>
              </w:rPr>
              <w:t>的</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得</w:t>
            </w:r>
            <w:r>
              <w:rPr>
                <w:rFonts w:hint="eastAsia" w:ascii="宋体" w:hAnsi="宋体" w:eastAsia="宋体" w:cs="宋体"/>
                <w:spacing w:val="2"/>
                <w:sz w:val="24"/>
                <w:szCs w:val="24"/>
                <w:highlight w:val="none"/>
                <w:lang w:val="en-US" w:eastAsia="zh-CN"/>
              </w:rPr>
              <w:t>0</w:t>
            </w:r>
            <w:r>
              <w:rPr>
                <w:rFonts w:hint="eastAsia" w:ascii="宋体" w:hAnsi="宋体" w:eastAsia="宋体" w:cs="宋体"/>
                <w:spacing w:val="2"/>
                <w:sz w:val="24"/>
                <w:szCs w:val="24"/>
                <w:highlight w:val="none"/>
              </w:rPr>
              <w:t>分。</w:t>
            </w:r>
          </w:p>
        </w:tc>
        <w:tc>
          <w:tcPr>
            <w:tcW w:w="1288" w:type="dxa"/>
            <w:vAlign w:val="center"/>
          </w:tcPr>
          <w:p w14:paraId="627E2CC0">
            <w:pPr>
              <w:keepNext w:val="0"/>
              <w:keepLines w:val="0"/>
              <w:pageBreakBefore w:val="0"/>
              <w:widowControl/>
              <w:kinsoku w:val="0"/>
              <w:wordWrap/>
              <w:overflowPunct/>
              <w:topLinePunct w:val="0"/>
              <w:autoSpaceDE w:val="0"/>
              <w:autoSpaceDN w:val="0"/>
              <w:bidi w:val="0"/>
              <w:adjustRightInd w:val="0"/>
              <w:snapToGrid w:val="0"/>
              <w:spacing w:before="78" w:line="312" w:lineRule="auto"/>
              <w:ind w:left="159"/>
              <w:jc w:val="center"/>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w:t>
            </w:r>
            <w:r>
              <w:rPr>
                <w:rFonts w:hint="eastAsia" w:ascii="宋体" w:hAnsi="宋体" w:eastAsia="宋体" w:cs="宋体"/>
                <w:spacing w:val="-13"/>
                <w:sz w:val="24"/>
                <w:szCs w:val="24"/>
                <w:highlight w:val="none"/>
                <w:lang w:val="en-US" w:eastAsia="zh-CN"/>
              </w:rPr>
              <w:t>8</w:t>
            </w:r>
            <w:r>
              <w:rPr>
                <w:rFonts w:hint="eastAsia" w:ascii="宋体" w:hAnsi="宋体" w:eastAsia="宋体" w:cs="宋体"/>
                <w:spacing w:val="-13"/>
                <w:sz w:val="24"/>
                <w:szCs w:val="24"/>
                <w:highlight w:val="none"/>
              </w:rPr>
              <w:t>分)</w:t>
            </w:r>
          </w:p>
        </w:tc>
      </w:tr>
      <w:tr w14:paraId="293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61" w:type="dxa"/>
            <w:vAlign w:val="center"/>
          </w:tcPr>
          <w:p w14:paraId="459FB8F0">
            <w:pPr>
              <w:keepNext w:val="0"/>
              <w:keepLines w:val="0"/>
              <w:pageBreakBefore w:val="0"/>
              <w:widowControl/>
              <w:kinsoku w:val="0"/>
              <w:wordWrap/>
              <w:overflowPunct/>
              <w:topLinePunct w:val="0"/>
              <w:autoSpaceDE w:val="0"/>
              <w:autoSpaceDN w:val="0"/>
              <w:bidi w:val="0"/>
              <w:adjustRightInd w:val="0"/>
              <w:snapToGrid w:val="0"/>
              <w:spacing w:before="78" w:line="312" w:lineRule="auto"/>
              <w:ind w:left="200" w:right="188"/>
              <w:jc w:val="center"/>
              <w:textAlignment w:val="baseline"/>
              <w:rPr>
                <w:rFonts w:hint="eastAsia" w:ascii="宋体" w:hAnsi="宋体" w:eastAsia="宋体" w:cs="宋体"/>
                <w:spacing w:val="-19"/>
                <w:sz w:val="24"/>
                <w:szCs w:val="24"/>
                <w:highlight w:val="none"/>
              </w:rPr>
            </w:pPr>
            <w:r>
              <w:rPr>
                <w:rFonts w:hint="eastAsia" w:ascii="宋体" w:hAnsi="宋体" w:eastAsia="宋体" w:cs="宋体"/>
                <w:spacing w:val="-19"/>
                <w:sz w:val="24"/>
                <w:szCs w:val="24"/>
                <w:highlight w:val="none"/>
                <w:lang w:val="en-US" w:eastAsia="zh-CN"/>
              </w:rPr>
              <w:t>应急预案</w:t>
            </w:r>
          </w:p>
        </w:tc>
        <w:tc>
          <w:tcPr>
            <w:tcW w:w="1047" w:type="dxa"/>
            <w:vAlign w:val="center"/>
          </w:tcPr>
          <w:p w14:paraId="6E1550F8">
            <w:pPr>
              <w:keepNext w:val="0"/>
              <w:keepLines w:val="0"/>
              <w:pageBreakBefore w:val="0"/>
              <w:widowControl/>
              <w:kinsoku w:val="0"/>
              <w:wordWrap/>
              <w:overflowPunct/>
              <w:topLinePunct w:val="0"/>
              <w:autoSpaceDE w:val="0"/>
              <w:autoSpaceDN w:val="0"/>
              <w:bidi w:val="0"/>
              <w:adjustRightInd w:val="0"/>
              <w:snapToGrid w:val="0"/>
              <w:spacing w:before="78" w:line="312" w:lineRule="auto"/>
              <w:ind w:left="117"/>
              <w:jc w:val="center"/>
              <w:textAlignment w:val="baseline"/>
              <w:rPr>
                <w:rFonts w:hint="default"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6分</w:t>
            </w:r>
          </w:p>
        </w:tc>
        <w:tc>
          <w:tcPr>
            <w:tcW w:w="5671" w:type="dxa"/>
            <w:vAlign w:val="top"/>
          </w:tcPr>
          <w:p w14:paraId="44FD4E63">
            <w:pPr>
              <w:keepNext w:val="0"/>
              <w:keepLines w:val="0"/>
              <w:pageBreakBefore w:val="0"/>
              <w:widowControl/>
              <w:kinsoku w:val="0"/>
              <w:wordWrap/>
              <w:overflowPunct/>
              <w:topLinePunct w:val="0"/>
              <w:autoSpaceDE w:val="0"/>
              <w:autoSpaceDN w:val="0"/>
              <w:bidi w:val="0"/>
              <w:adjustRightInd w:val="0"/>
              <w:snapToGrid w:val="0"/>
              <w:spacing w:before="115" w:line="312" w:lineRule="auto"/>
              <w:ind w:left="117" w:right="42" w:hanging="3"/>
              <w:jc w:val="both"/>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根据项目实施过程中可能出现的突发情况和风险，制定相应</w:t>
            </w:r>
            <w:r>
              <w:rPr>
                <w:rFonts w:hint="eastAsia" w:ascii="宋体" w:hAnsi="宋体" w:eastAsia="宋体" w:cs="宋体"/>
                <w:spacing w:val="2"/>
                <w:sz w:val="24"/>
                <w:szCs w:val="24"/>
                <w:highlight w:val="none"/>
                <w:lang w:val="en-US" w:eastAsia="zh-CN"/>
              </w:rPr>
              <w:t>的</w:t>
            </w:r>
            <w:r>
              <w:rPr>
                <w:rFonts w:hint="eastAsia" w:ascii="宋体" w:hAnsi="宋体" w:eastAsia="宋体" w:cs="宋体"/>
                <w:spacing w:val="2"/>
                <w:sz w:val="24"/>
                <w:szCs w:val="24"/>
                <w:highlight w:val="none"/>
              </w:rPr>
              <w:t>应急预案及处置措施。预案预想情况周全，防范措施得力，解决问题方案操作性强</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得</w:t>
            </w:r>
            <w:r>
              <w:rPr>
                <w:rFonts w:hint="eastAsia" w:ascii="宋体" w:hAnsi="宋体" w:eastAsia="宋体" w:cs="宋体"/>
                <w:spacing w:val="2"/>
                <w:sz w:val="24"/>
                <w:szCs w:val="24"/>
                <w:highlight w:val="none"/>
                <w:lang w:val="en-US" w:eastAsia="zh-CN"/>
              </w:rPr>
              <w:t>6分</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预案预想情况</w:t>
            </w:r>
            <w:r>
              <w:rPr>
                <w:rFonts w:hint="eastAsia" w:ascii="宋体" w:hAnsi="宋体" w:eastAsia="宋体" w:cs="宋体"/>
                <w:spacing w:val="2"/>
                <w:sz w:val="24"/>
                <w:szCs w:val="24"/>
                <w:highlight w:val="none"/>
                <w:lang w:val="en-US" w:eastAsia="zh-CN"/>
              </w:rPr>
              <w:t>基本</w:t>
            </w:r>
            <w:r>
              <w:rPr>
                <w:rFonts w:hint="eastAsia" w:ascii="宋体" w:hAnsi="宋体" w:eastAsia="宋体" w:cs="宋体"/>
                <w:spacing w:val="2"/>
                <w:sz w:val="24"/>
                <w:szCs w:val="24"/>
                <w:highlight w:val="none"/>
              </w:rPr>
              <w:t>周全，防范措施</w:t>
            </w:r>
            <w:r>
              <w:rPr>
                <w:rFonts w:hint="eastAsia" w:ascii="宋体" w:hAnsi="宋体" w:eastAsia="宋体" w:cs="宋体"/>
                <w:spacing w:val="2"/>
                <w:sz w:val="24"/>
                <w:szCs w:val="24"/>
                <w:highlight w:val="none"/>
                <w:lang w:val="en-US" w:eastAsia="zh-CN"/>
              </w:rPr>
              <w:t>基本</w:t>
            </w:r>
            <w:r>
              <w:rPr>
                <w:rFonts w:hint="eastAsia" w:ascii="宋体" w:hAnsi="宋体" w:eastAsia="宋体" w:cs="宋体"/>
                <w:spacing w:val="2"/>
                <w:sz w:val="24"/>
                <w:szCs w:val="24"/>
                <w:highlight w:val="none"/>
              </w:rPr>
              <w:t>得力，解决问题方案操作性</w:t>
            </w:r>
            <w:r>
              <w:rPr>
                <w:rFonts w:hint="eastAsia" w:ascii="宋体" w:hAnsi="宋体" w:eastAsia="宋体" w:cs="宋体"/>
                <w:spacing w:val="2"/>
                <w:sz w:val="24"/>
                <w:szCs w:val="24"/>
                <w:highlight w:val="none"/>
                <w:lang w:val="en-US" w:eastAsia="zh-CN"/>
              </w:rPr>
              <w:t>基本可行</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得</w:t>
            </w: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分</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未提供的，得0分</w:t>
            </w:r>
            <w:r>
              <w:rPr>
                <w:rFonts w:hint="eastAsia" w:ascii="宋体" w:hAnsi="宋体" w:eastAsia="宋体" w:cs="宋体"/>
                <w:spacing w:val="2"/>
                <w:sz w:val="24"/>
                <w:szCs w:val="24"/>
                <w:highlight w:val="none"/>
              </w:rPr>
              <w:t>。</w:t>
            </w:r>
          </w:p>
        </w:tc>
        <w:tc>
          <w:tcPr>
            <w:tcW w:w="1288" w:type="dxa"/>
            <w:vAlign w:val="center"/>
          </w:tcPr>
          <w:p w14:paraId="0A2F242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pacing w:val="-10"/>
                <w:sz w:val="24"/>
                <w:szCs w:val="24"/>
                <w:highlight w:val="none"/>
              </w:rPr>
            </w:pPr>
            <w:r>
              <w:rPr>
                <w:rFonts w:hint="eastAsia" w:ascii="宋体" w:hAnsi="宋体" w:eastAsia="宋体" w:cs="宋体"/>
                <w:spacing w:val="-13"/>
                <w:sz w:val="24"/>
                <w:szCs w:val="24"/>
                <w:highlight w:val="none"/>
              </w:rPr>
              <w:t>(</w:t>
            </w:r>
            <w:r>
              <w:rPr>
                <w:rFonts w:hint="eastAsia" w:ascii="宋体" w:hAnsi="宋体" w:eastAsia="宋体" w:cs="宋体"/>
                <w:spacing w:val="-13"/>
                <w:sz w:val="24"/>
                <w:szCs w:val="24"/>
                <w:highlight w:val="none"/>
                <w:lang w:val="en-US" w:eastAsia="zh-CN"/>
              </w:rPr>
              <w:t>6</w:t>
            </w:r>
            <w:r>
              <w:rPr>
                <w:rFonts w:hint="eastAsia" w:ascii="宋体" w:hAnsi="宋体" w:eastAsia="宋体" w:cs="宋体"/>
                <w:spacing w:val="-13"/>
                <w:sz w:val="24"/>
                <w:szCs w:val="24"/>
                <w:highlight w:val="none"/>
              </w:rPr>
              <w:t>分)</w:t>
            </w:r>
          </w:p>
        </w:tc>
      </w:tr>
      <w:tr w14:paraId="65D6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861" w:type="dxa"/>
            <w:vAlign w:val="center"/>
          </w:tcPr>
          <w:p w14:paraId="0FF785A3">
            <w:pPr>
              <w:keepNext w:val="0"/>
              <w:keepLines w:val="0"/>
              <w:pageBreakBefore w:val="0"/>
              <w:widowControl/>
              <w:kinsoku w:val="0"/>
              <w:wordWrap/>
              <w:overflowPunct/>
              <w:topLinePunct w:val="0"/>
              <w:autoSpaceDE w:val="0"/>
              <w:autoSpaceDN w:val="0"/>
              <w:bidi w:val="0"/>
              <w:adjustRightInd w:val="0"/>
              <w:snapToGrid w:val="0"/>
              <w:spacing w:before="78" w:line="312" w:lineRule="auto"/>
              <w:ind w:left="200" w:right="188"/>
              <w:jc w:val="center"/>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服务</w:t>
            </w:r>
            <w:r>
              <w:rPr>
                <w:rFonts w:hint="eastAsia" w:ascii="宋体" w:hAnsi="宋体" w:eastAsia="宋体" w:cs="宋体"/>
                <w:spacing w:val="-7"/>
                <w:sz w:val="24"/>
                <w:szCs w:val="24"/>
                <w:highlight w:val="none"/>
              </w:rPr>
              <w:t>承</w:t>
            </w:r>
            <w:r>
              <w:rPr>
                <w:rFonts w:hint="eastAsia" w:ascii="宋体" w:hAnsi="宋体" w:eastAsia="宋体" w:cs="宋体"/>
                <w:spacing w:val="-19"/>
                <w:sz w:val="24"/>
                <w:szCs w:val="24"/>
                <w:highlight w:val="none"/>
              </w:rPr>
              <w:t>诺</w:t>
            </w:r>
          </w:p>
        </w:tc>
        <w:tc>
          <w:tcPr>
            <w:tcW w:w="1047" w:type="dxa"/>
            <w:vAlign w:val="center"/>
          </w:tcPr>
          <w:p w14:paraId="3B5311E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17"/>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5分</w:t>
            </w:r>
          </w:p>
        </w:tc>
        <w:tc>
          <w:tcPr>
            <w:tcW w:w="5671" w:type="dxa"/>
            <w:vAlign w:val="top"/>
          </w:tcPr>
          <w:p w14:paraId="7003B1F2">
            <w:pPr>
              <w:keepNext w:val="0"/>
              <w:keepLines w:val="0"/>
              <w:pageBreakBefore w:val="0"/>
              <w:widowControl/>
              <w:kinsoku w:val="0"/>
              <w:wordWrap/>
              <w:overflowPunct/>
              <w:topLinePunct w:val="0"/>
              <w:autoSpaceDE w:val="0"/>
              <w:autoSpaceDN w:val="0"/>
              <w:bidi w:val="0"/>
              <w:adjustRightInd w:val="0"/>
              <w:snapToGrid w:val="0"/>
              <w:spacing w:before="115" w:line="312" w:lineRule="auto"/>
              <w:ind w:left="117" w:right="42" w:hanging="3"/>
              <w:jc w:val="both"/>
              <w:textAlignment w:val="baseline"/>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完全承诺磋商文件和合同条款的要求</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对交付时间内质量、人员到位情况、后期服务的响应时间及配合程度等做出实质性承诺，</w:t>
            </w:r>
            <w:r>
              <w:rPr>
                <w:rFonts w:hint="eastAsia" w:ascii="宋体" w:hAnsi="宋体" w:eastAsia="宋体" w:cs="宋体"/>
                <w:spacing w:val="2"/>
                <w:sz w:val="24"/>
                <w:szCs w:val="24"/>
                <w:highlight w:val="none"/>
                <w:lang w:val="en-US" w:eastAsia="zh-CN"/>
              </w:rPr>
              <w:t>得5分。对</w:t>
            </w:r>
            <w:r>
              <w:rPr>
                <w:rFonts w:hint="eastAsia" w:ascii="宋体" w:hAnsi="宋体" w:eastAsia="宋体" w:cs="宋体"/>
                <w:spacing w:val="2"/>
                <w:sz w:val="24"/>
                <w:szCs w:val="24"/>
                <w:highlight w:val="none"/>
              </w:rPr>
              <w:t>交付时间内质量、人员到位情况、后期服务的响应时间及配合程度等承诺</w:t>
            </w:r>
            <w:r>
              <w:rPr>
                <w:rFonts w:hint="eastAsia" w:ascii="宋体" w:hAnsi="宋体" w:eastAsia="宋体" w:cs="宋体"/>
                <w:spacing w:val="2"/>
                <w:sz w:val="24"/>
                <w:szCs w:val="24"/>
                <w:highlight w:val="none"/>
                <w:lang w:val="en-US" w:eastAsia="zh-CN"/>
              </w:rPr>
              <w:t>不到位，得3分，未承诺的得0分</w:t>
            </w:r>
            <w:r>
              <w:rPr>
                <w:rFonts w:hint="eastAsia" w:ascii="宋体" w:hAnsi="宋体" w:eastAsia="宋体" w:cs="宋体"/>
                <w:spacing w:val="2"/>
                <w:sz w:val="24"/>
                <w:szCs w:val="24"/>
                <w:highlight w:val="none"/>
              </w:rPr>
              <w:t>。</w:t>
            </w:r>
          </w:p>
        </w:tc>
        <w:tc>
          <w:tcPr>
            <w:tcW w:w="1288" w:type="dxa"/>
            <w:vAlign w:val="center"/>
          </w:tcPr>
          <w:p w14:paraId="1424E29B">
            <w:pPr>
              <w:keepNext w:val="0"/>
              <w:keepLines w:val="0"/>
              <w:pageBreakBefore w:val="0"/>
              <w:widowControl/>
              <w:kinsoku w:val="0"/>
              <w:wordWrap/>
              <w:overflowPunct/>
              <w:topLinePunct w:val="0"/>
              <w:autoSpaceDE w:val="0"/>
              <w:autoSpaceDN w:val="0"/>
              <w:bidi w:val="0"/>
              <w:adjustRightInd w:val="0"/>
              <w:snapToGrid w:val="0"/>
              <w:spacing w:before="78" w:line="312" w:lineRule="auto"/>
              <w:ind w:left="129"/>
              <w:jc w:val="center"/>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（5分）</w:t>
            </w:r>
          </w:p>
        </w:tc>
      </w:tr>
    </w:tbl>
    <w:p w14:paraId="41AA3CE0">
      <w:pPr>
        <w:rPr>
          <w:rFonts w:hint="eastAsia" w:ascii="宋体" w:hAnsi="宋体" w:eastAsia="宋体" w:cs="宋体"/>
          <w:sz w:val="21"/>
          <w:highlight w:val="none"/>
        </w:rPr>
      </w:pPr>
    </w:p>
    <w:p w14:paraId="127317F3">
      <w:pPr>
        <w:rPr>
          <w:rFonts w:hint="eastAsia" w:ascii="宋体" w:hAnsi="宋体" w:eastAsia="宋体" w:cs="宋体"/>
          <w:sz w:val="21"/>
          <w:szCs w:val="21"/>
          <w:highlight w:val="none"/>
        </w:rPr>
        <w:sectPr>
          <w:footerReference r:id="rId13" w:type="default"/>
          <w:pgSz w:w="11906" w:h="16839"/>
          <w:pgMar w:top="1134" w:right="1417" w:bottom="969" w:left="1418" w:header="862" w:footer="754" w:gutter="0"/>
          <w:pgNumType w:fmt="decimal"/>
          <w:cols w:space="720" w:num="1"/>
        </w:sectPr>
      </w:pPr>
    </w:p>
    <w:p w14:paraId="10BED2F0">
      <w:pPr>
        <w:pStyle w:val="2"/>
        <w:bidi w:val="0"/>
        <w:rPr>
          <w:rFonts w:hint="eastAsia" w:ascii="宋体" w:hAnsi="宋体" w:eastAsia="宋体" w:cs="宋体"/>
          <w:highlight w:val="none"/>
        </w:rPr>
      </w:pPr>
      <w:r>
        <w:rPr>
          <w:rFonts w:hint="eastAsia" w:ascii="宋体" w:hAnsi="宋体" w:eastAsia="宋体" w:cs="宋体"/>
          <w:b/>
          <w:bCs/>
          <w:spacing w:val="8"/>
          <w:highlight w:val="none"/>
        </w:rPr>
        <w:t>第五章</w:t>
      </w:r>
      <w:r>
        <w:rPr>
          <w:rFonts w:hint="eastAsia" w:ascii="宋体" w:hAnsi="宋体" w:eastAsia="宋体" w:cs="宋体"/>
          <w:spacing w:val="8"/>
          <w:highlight w:val="none"/>
        </w:rPr>
        <w:t xml:space="preserve"> </w:t>
      </w:r>
      <w:r>
        <w:rPr>
          <w:rFonts w:hint="eastAsia" w:ascii="宋体" w:hAnsi="宋体" w:eastAsia="宋体" w:cs="宋体"/>
          <w:b/>
          <w:bCs/>
          <w:spacing w:val="8"/>
          <w:highlight w:val="none"/>
        </w:rPr>
        <w:t>磋商内容及采购需求</w:t>
      </w:r>
    </w:p>
    <w:p w14:paraId="2ADAF17A">
      <w:pPr>
        <w:pStyle w:val="5"/>
        <w:bidi w:val="0"/>
        <w:rPr>
          <w:rFonts w:hint="eastAsia" w:ascii="宋体" w:hAnsi="宋体" w:eastAsia="宋体" w:cs="宋体"/>
          <w:highlight w:val="none"/>
        </w:rPr>
      </w:pPr>
      <w:r>
        <w:rPr>
          <w:rFonts w:hint="eastAsia" w:ascii="宋体" w:hAnsi="宋体" w:eastAsia="宋体" w:cs="宋体"/>
          <w:highlight w:val="none"/>
        </w:rPr>
        <w:t>本次采购项目为</w:t>
      </w:r>
      <w:r>
        <w:rPr>
          <w:rFonts w:hint="eastAsia" w:ascii="宋体" w:hAnsi="宋体" w:eastAsia="宋体" w:cs="宋体"/>
          <w:highlight w:val="none"/>
          <w:lang w:eastAsia="zh-CN"/>
        </w:rPr>
        <w:t>榆林市农业农村局采购2023年度高标准农田建设项目市级验收服务项目</w:t>
      </w:r>
      <w:r>
        <w:rPr>
          <w:rFonts w:hint="eastAsia" w:ascii="宋体" w:hAnsi="宋体" w:eastAsia="宋体" w:cs="宋体"/>
          <w:highlight w:val="none"/>
        </w:rPr>
        <w:t>，供应商必须对本项目进行整体响应，只对其中一部分内容进行的响应都被视为无效响应。响应报价应遵守《中华人民共和国价格法》，供应商不得以低于成本的报价参与响应。</w:t>
      </w:r>
    </w:p>
    <w:p w14:paraId="76D392A9">
      <w:pPr>
        <w:pStyle w:val="5"/>
        <w:bidi w:val="0"/>
        <w:rPr>
          <w:rFonts w:hint="eastAsia" w:ascii="宋体" w:hAnsi="宋体" w:eastAsia="宋体" w:cs="宋体"/>
          <w:highlight w:val="none"/>
          <w:lang w:eastAsia="zh-CN"/>
        </w:rPr>
      </w:pPr>
      <w:r>
        <w:rPr>
          <w:rFonts w:hint="eastAsia" w:ascii="宋体" w:hAnsi="宋体" w:eastAsia="宋体" w:cs="宋体"/>
          <w:highlight w:val="none"/>
          <w:lang w:eastAsia="zh-CN"/>
        </w:rPr>
        <w:t>按照陕西省农业农村厅印发《关于陕西省农田建设项目验收办法(试行)的通知》(陕农发〔2020】112号)要求，委托第三方机构开展2023年度高标准农田建设项目市级验收。主要包括查验项目完成、工程质量、资金管理、档案资料、上图入库、耕地质量、工程管护、项目效益等情况，具体包括以下内容:</w:t>
      </w:r>
    </w:p>
    <w:p w14:paraId="7099A03B">
      <w:pPr>
        <w:pStyle w:val="5"/>
        <w:bidi w:val="0"/>
        <w:rPr>
          <w:rFonts w:hint="eastAsia" w:ascii="宋体" w:hAnsi="宋体" w:eastAsia="宋体" w:cs="宋体"/>
          <w:highlight w:val="none"/>
          <w:lang w:eastAsia="zh-CN"/>
        </w:rPr>
      </w:pPr>
      <w:r>
        <w:rPr>
          <w:rFonts w:hint="eastAsia" w:ascii="宋体" w:hAnsi="宋体" w:eastAsia="宋体" w:cs="宋体"/>
          <w:highlight w:val="none"/>
          <w:lang w:eastAsia="zh-CN"/>
        </w:rPr>
        <w:t>1.项目实施方案批复内容或项目调整变更批复内容的完成情况。</w:t>
      </w:r>
    </w:p>
    <w:p w14:paraId="6B9A6C3D">
      <w:pPr>
        <w:pStyle w:val="5"/>
        <w:bidi w:val="0"/>
        <w:rPr>
          <w:rFonts w:hint="eastAsia" w:ascii="宋体" w:hAnsi="宋体" w:eastAsia="宋体" w:cs="宋体"/>
          <w:highlight w:val="none"/>
          <w:lang w:eastAsia="zh-CN"/>
        </w:rPr>
      </w:pPr>
      <w:r>
        <w:rPr>
          <w:rFonts w:hint="eastAsia" w:ascii="宋体" w:hAnsi="宋体" w:eastAsia="宋体" w:cs="宋体"/>
          <w:highlight w:val="none"/>
          <w:lang w:eastAsia="zh-CN"/>
        </w:rPr>
        <w:t>2.各级财政资金和自筹资金到位情况。</w:t>
      </w:r>
    </w:p>
    <w:p w14:paraId="0E9F6DF3">
      <w:pPr>
        <w:pStyle w:val="5"/>
        <w:bidi w:val="0"/>
        <w:rPr>
          <w:rFonts w:hint="eastAsia" w:ascii="宋体" w:hAnsi="宋体" w:eastAsia="宋体" w:cs="宋体"/>
          <w:highlight w:val="none"/>
          <w:lang w:eastAsia="zh-CN"/>
        </w:rPr>
      </w:pPr>
      <w:r>
        <w:rPr>
          <w:rFonts w:hint="eastAsia" w:ascii="宋体" w:hAnsi="宋体" w:eastAsia="宋体" w:cs="宋体"/>
          <w:highlight w:val="none"/>
          <w:lang w:eastAsia="zh-CN"/>
        </w:rPr>
        <w:t>3.资金使用规范情况:包括项目财务票据、专人管理、入账手续及支出凭证完整性等。</w:t>
      </w:r>
    </w:p>
    <w:p w14:paraId="5BFE9DC4">
      <w:pPr>
        <w:pStyle w:val="5"/>
        <w:bidi w:val="0"/>
        <w:rPr>
          <w:rFonts w:hint="eastAsia" w:ascii="宋体" w:hAnsi="宋体" w:eastAsia="宋体" w:cs="宋体"/>
          <w:highlight w:val="none"/>
          <w:lang w:eastAsia="zh-CN"/>
        </w:rPr>
      </w:pPr>
      <w:r>
        <w:rPr>
          <w:rFonts w:hint="eastAsia" w:ascii="宋体" w:hAnsi="宋体" w:eastAsia="宋体" w:cs="宋体"/>
          <w:highlight w:val="none"/>
          <w:lang w:eastAsia="zh-CN"/>
        </w:rPr>
        <w:t>4.项目管理情况:包括法人责任履行、招投标管理、合同管理、施工管理、监理工作和档案管理等。</w:t>
      </w:r>
    </w:p>
    <w:p w14:paraId="64EBF040">
      <w:pPr>
        <w:pStyle w:val="5"/>
        <w:bidi w:val="0"/>
        <w:rPr>
          <w:rFonts w:hint="eastAsia" w:ascii="宋体" w:hAnsi="宋体" w:eastAsia="宋体" w:cs="宋体"/>
          <w:highlight w:val="none"/>
          <w:lang w:eastAsia="zh-CN"/>
        </w:rPr>
      </w:pPr>
      <w:r>
        <w:rPr>
          <w:rFonts w:hint="eastAsia" w:ascii="宋体" w:hAnsi="宋体" w:eastAsia="宋体" w:cs="宋体"/>
          <w:highlight w:val="none"/>
          <w:lang w:eastAsia="zh-CN"/>
        </w:rPr>
        <w:t>5.项目建设情况:包括现场查验工程设施的数量和质量、耕地质量、农机作业通行条件等，并对单项验收、初步验收等相关材料进行核查。</w:t>
      </w:r>
    </w:p>
    <w:p w14:paraId="44A6F9D0">
      <w:pPr>
        <w:pStyle w:val="5"/>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6.项目区群众对项目建设的满意程度。</w:t>
      </w:r>
    </w:p>
    <w:p w14:paraId="44537F27">
      <w:pPr>
        <w:pStyle w:val="5"/>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7.项目信息备案、地块空间坐标上图入库等情况。</w:t>
      </w:r>
    </w:p>
    <w:p w14:paraId="4EC37CA6">
      <w:pPr>
        <w:pStyle w:val="5"/>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8.其他需要验收的内容。</w:t>
      </w:r>
    </w:p>
    <w:p w14:paraId="1BAB8F8F">
      <w:pPr>
        <w:pStyle w:val="5"/>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以上内容按照每亩总验收规模为29万亩，总验收费用为85万元，具体工程量清单见附件</w:t>
      </w:r>
      <w:r>
        <w:rPr>
          <w:rFonts w:hint="eastAsia" w:ascii="宋体" w:hAnsi="宋体" w:eastAsia="宋体" w:cs="宋体"/>
          <w:highlight w:val="none"/>
          <w:lang w:val="en-US" w:eastAsia="zh-CN"/>
        </w:rPr>
        <w:t>。</w:t>
      </w:r>
    </w:p>
    <w:p w14:paraId="55230862">
      <w:pPr>
        <w:pStyle w:val="5"/>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附件:2023年度高标准农田建设项目市级验收工程量清单</w:t>
      </w:r>
    </w:p>
    <w:p w14:paraId="301F28D0">
      <w:pPr>
        <w:rPr>
          <w:rFonts w:hint="eastAsia" w:ascii="宋体" w:hAnsi="宋体" w:eastAsia="宋体" w:cs="宋体"/>
          <w:sz w:val="21"/>
          <w:highlight w:val="none"/>
        </w:rPr>
      </w:pPr>
      <w:r>
        <w:rPr>
          <w:rFonts w:hint="eastAsia" w:ascii="宋体" w:hAnsi="宋体" w:eastAsia="宋体" w:cs="宋体"/>
          <w:sz w:val="21"/>
          <w:highlight w:val="none"/>
        </w:rPr>
        <w:br w:type="page"/>
      </w:r>
    </w:p>
    <w:p w14:paraId="479656DB">
      <w:pPr>
        <w:spacing w:line="246" w:lineRule="auto"/>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drawing>
          <wp:inline distT="0" distB="0" distL="114300" distR="114300">
            <wp:extent cx="5758815" cy="7806690"/>
            <wp:effectExtent l="0" t="0" r="13335" b="3810"/>
            <wp:docPr id="37" name="图片 37" descr="ecc7cdeb27fba2956d04688eb27b1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cc7cdeb27fba2956d04688eb27b11e0"/>
                    <pic:cNvPicPr>
                      <a:picLocks noChangeAspect="1"/>
                    </pic:cNvPicPr>
                  </pic:nvPicPr>
                  <pic:blipFill>
                    <a:blip r:embed="rId69"/>
                    <a:stretch>
                      <a:fillRect/>
                    </a:stretch>
                  </pic:blipFill>
                  <pic:spPr>
                    <a:xfrm>
                      <a:off x="0" y="0"/>
                      <a:ext cx="5758815" cy="7806690"/>
                    </a:xfrm>
                    <a:prstGeom prst="rect">
                      <a:avLst/>
                    </a:prstGeom>
                  </pic:spPr>
                </pic:pic>
              </a:graphicData>
            </a:graphic>
          </wp:inline>
        </w:drawing>
      </w:r>
    </w:p>
    <w:p w14:paraId="2805D3AE">
      <w:pPr>
        <w:rPr>
          <w:rFonts w:hint="eastAsia" w:ascii="宋体" w:hAnsi="宋体" w:eastAsia="宋体" w:cs="宋体"/>
          <w:b/>
          <w:bCs/>
          <w:spacing w:val="2"/>
          <w:highlight w:val="none"/>
        </w:rPr>
      </w:pPr>
      <w:r>
        <w:rPr>
          <w:rFonts w:hint="eastAsia" w:ascii="宋体" w:hAnsi="宋体" w:eastAsia="宋体" w:cs="宋体"/>
          <w:b/>
          <w:bCs/>
          <w:spacing w:val="2"/>
          <w:highlight w:val="none"/>
        </w:rPr>
        <w:br w:type="page"/>
      </w:r>
    </w:p>
    <w:p w14:paraId="072C1AA7">
      <w:pPr>
        <w:pStyle w:val="2"/>
        <w:bidi w:val="0"/>
        <w:rPr>
          <w:rFonts w:hint="eastAsia" w:ascii="宋体" w:hAnsi="宋体" w:eastAsia="宋体" w:cs="宋体"/>
          <w:highlight w:val="none"/>
        </w:rPr>
      </w:pPr>
      <w:r>
        <w:rPr>
          <w:rFonts w:hint="eastAsia" w:ascii="宋体" w:hAnsi="宋体" w:eastAsia="宋体" w:cs="宋体"/>
          <w:b/>
          <w:bCs/>
          <w:spacing w:val="2"/>
          <w:highlight w:val="none"/>
        </w:rPr>
        <w:t>第六章</w:t>
      </w:r>
      <w:r>
        <w:rPr>
          <w:rFonts w:hint="eastAsia" w:ascii="宋体" w:hAnsi="宋体" w:eastAsia="宋体" w:cs="宋体"/>
          <w:spacing w:val="28"/>
          <w:highlight w:val="none"/>
        </w:rPr>
        <w:t xml:space="preserve"> </w:t>
      </w:r>
      <w:r>
        <w:rPr>
          <w:rFonts w:hint="eastAsia" w:ascii="宋体" w:hAnsi="宋体" w:eastAsia="宋体" w:cs="宋体"/>
          <w:b/>
          <w:bCs/>
          <w:spacing w:val="2"/>
          <w:highlight w:val="none"/>
        </w:rPr>
        <w:t>合同基本条款</w:t>
      </w:r>
    </w:p>
    <w:p w14:paraId="4CD82656">
      <w:pPr>
        <w:keepNext w:val="0"/>
        <w:keepLines w:val="0"/>
        <w:pageBreakBefore w:val="0"/>
        <w:widowControl w:val="0"/>
        <w:tabs>
          <w:tab w:val="left" w:pos="1108"/>
        </w:tabs>
        <w:kinsoku/>
        <w:wordWrap/>
        <w:overflowPunct/>
        <w:topLinePunct w:val="0"/>
        <w:autoSpaceDE/>
        <w:autoSpaceDN/>
        <w:bidi w:val="0"/>
        <w:adjustRightInd/>
        <w:snapToGrid/>
        <w:spacing w:line="600" w:lineRule="exact"/>
        <w:jc w:val="center"/>
        <w:textAlignment w:val="auto"/>
        <w:rPr>
          <w:rFonts w:hint="eastAsia" w:ascii="宋体" w:hAnsi="宋体" w:eastAsia="宋体" w:cs="宋体"/>
          <w:spacing w:val="0"/>
          <w:w w:val="100"/>
          <w:sz w:val="24"/>
          <w:szCs w:val="24"/>
          <w:highlight w:val="none"/>
          <w:lang w:val="en-US" w:eastAsia="zh-CN"/>
        </w:rPr>
      </w:pPr>
    </w:p>
    <w:p w14:paraId="6A16368A">
      <w:pPr>
        <w:keepNext w:val="0"/>
        <w:keepLines w:val="0"/>
        <w:pageBreakBefore w:val="0"/>
        <w:widowControl w:val="0"/>
        <w:tabs>
          <w:tab w:val="left" w:pos="1108"/>
        </w:tabs>
        <w:kinsoku/>
        <w:wordWrap/>
        <w:overflowPunct/>
        <w:topLinePunct w:val="0"/>
        <w:autoSpaceDE/>
        <w:autoSpaceDN/>
        <w:bidi w:val="0"/>
        <w:adjustRightInd/>
        <w:snapToGrid/>
        <w:spacing w:line="600" w:lineRule="exact"/>
        <w:jc w:val="center"/>
        <w:textAlignment w:val="auto"/>
        <w:rPr>
          <w:rFonts w:hint="eastAsia" w:ascii="宋体" w:hAnsi="宋体" w:eastAsia="宋体" w:cs="宋体"/>
          <w:spacing w:val="0"/>
          <w:w w:val="100"/>
          <w:sz w:val="24"/>
          <w:szCs w:val="24"/>
          <w:highlight w:val="none"/>
          <w:lang w:val="en-US" w:eastAsia="zh-CN"/>
        </w:rPr>
      </w:pPr>
    </w:p>
    <w:p w14:paraId="3FC702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val="en-US" w:eastAsia="zh-CN"/>
        </w:rPr>
        <w:t>榆林市2</w:t>
      </w:r>
      <w:r>
        <w:rPr>
          <w:rFonts w:hint="eastAsia" w:ascii="宋体" w:hAnsi="宋体" w:eastAsia="宋体" w:cs="宋体"/>
          <w:b/>
          <w:bCs/>
          <w:sz w:val="44"/>
          <w:szCs w:val="44"/>
          <w:highlight w:val="none"/>
        </w:rPr>
        <w:t>023年高标准农田建设项目</w:t>
      </w:r>
    </w:p>
    <w:p w14:paraId="1ECF04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val="en-US" w:eastAsia="zh-CN"/>
        </w:rPr>
        <w:t>市级</w:t>
      </w:r>
      <w:r>
        <w:rPr>
          <w:rFonts w:hint="eastAsia" w:ascii="宋体" w:hAnsi="宋体" w:eastAsia="宋体" w:cs="宋体"/>
          <w:b/>
          <w:bCs/>
          <w:sz w:val="44"/>
          <w:szCs w:val="44"/>
          <w:highlight w:val="none"/>
        </w:rPr>
        <w:t>验收服务合同</w:t>
      </w:r>
    </w:p>
    <w:p w14:paraId="1B80CA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（采购编号：             ）</w:t>
      </w:r>
    </w:p>
    <w:p w14:paraId="2E7E0C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rPr>
      </w:pPr>
    </w:p>
    <w:p w14:paraId="5F3F3E1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C445ED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甲方（委托方）：</w:t>
      </w:r>
      <w:r>
        <w:rPr>
          <w:rFonts w:hint="eastAsia" w:ascii="宋体" w:hAnsi="宋体" w:eastAsia="宋体" w:cs="宋体"/>
          <w:sz w:val="24"/>
          <w:szCs w:val="24"/>
          <w:highlight w:val="none"/>
          <w:u w:val="single"/>
          <w:lang w:val="en-US" w:eastAsia="zh-CN"/>
        </w:rPr>
        <w:t xml:space="preserve">   榆林市农业农村局  </w:t>
      </w:r>
    </w:p>
    <w:p w14:paraId="3E55AB9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统一社会信用代码：__________________</w:t>
      </w:r>
    </w:p>
    <w:p w14:paraId="0280619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地址：__________________</w:t>
      </w:r>
    </w:p>
    <w:p w14:paraId="696726C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联系人：__________________</w:t>
      </w:r>
    </w:p>
    <w:p w14:paraId="6140531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联系电话：__________________</w:t>
      </w:r>
    </w:p>
    <w:p w14:paraId="0A4CEA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3BFD7D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乙方（受托方）：__________________</w:t>
      </w:r>
    </w:p>
    <w:p w14:paraId="0DE3265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统一社会信用代码：__________________</w:t>
      </w:r>
    </w:p>
    <w:p w14:paraId="3B90787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地址：__________________</w:t>
      </w:r>
    </w:p>
    <w:p w14:paraId="48DC390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联系人：__________________</w:t>
      </w:r>
    </w:p>
    <w:p w14:paraId="024E57F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联系电话：__________________</w:t>
      </w:r>
    </w:p>
    <w:p w14:paraId="39FE12F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63C5DE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根据《中华人民共和国民法典》及其他相关法律法规的规定，在平等、自愿、公平、诚实信用的基础上，甲乙双方就榆林市2023年高标准农田建设项目</w:t>
      </w:r>
      <w:r>
        <w:rPr>
          <w:rFonts w:hint="eastAsia" w:ascii="宋体" w:hAnsi="宋体" w:eastAsia="宋体" w:cs="宋体"/>
          <w:sz w:val="24"/>
          <w:szCs w:val="24"/>
          <w:highlight w:val="none"/>
          <w:lang w:val="en-US" w:eastAsia="zh-CN"/>
        </w:rPr>
        <w:t>市级</w:t>
      </w:r>
      <w:r>
        <w:rPr>
          <w:rFonts w:hint="eastAsia" w:ascii="宋体" w:hAnsi="宋体" w:eastAsia="宋体" w:cs="宋体"/>
          <w:sz w:val="24"/>
          <w:szCs w:val="24"/>
          <w:highlight w:val="none"/>
        </w:rPr>
        <w:t>验收第三方服务事宜，经友好协商，达成如下协议：</w:t>
      </w:r>
    </w:p>
    <w:p w14:paraId="35F2337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一、服务内容</w:t>
      </w:r>
    </w:p>
    <w:p w14:paraId="62D47B2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1.项目概况：2023年高标准农田建设项目位于</w:t>
      </w:r>
      <w:r>
        <w:rPr>
          <w:rFonts w:hint="eastAsia" w:ascii="宋体" w:hAnsi="宋体" w:eastAsia="宋体" w:cs="宋体"/>
          <w:sz w:val="24"/>
          <w:szCs w:val="24"/>
          <w:highlight w:val="none"/>
          <w:lang w:val="en-US" w:eastAsia="zh-CN"/>
        </w:rPr>
        <w:t>榆林市</w:t>
      </w:r>
      <w:r>
        <w:rPr>
          <w:rFonts w:hint="eastAsia" w:ascii="宋体" w:hAnsi="宋体" w:eastAsia="宋体" w:cs="宋体"/>
          <w:sz w:val="24"/>
          <w:szCs w:val="24"/>
          <w:highlight w:val="none"/>
        </w:rPr>
        <w:t>，建设规模为</w:t>
      </w:r>
      <w:r>
        <w:rPr>
          <w:rFonts w:hint="eastAsia" w:ascii="宋体" w:hAnsi="宋体" w:eastAsia="宋体" w:cs="宋体"/>
          <w:sz w:val="24"/>
          <w:szCs w:val="24"/>
          <w:highlight w:val="none"/>
          <w:lang w:val="en-US" w:eastAsia="zh-CN"/>
        </w:rPr>
        <w:t>29万</w:t>
      </w:r>
      <w:r>
        <w:rPr>
          <w:rFonts w:hint="eastAsia" w:ascii="宋体" w:hAnsi="宋体" w:eastAsia="宋体" w:cs="宋体"/>
          <w:sz w:val="24"/>
          <w:szCs w:val="24"/>
          <w:highlight w:val="none"/>
        </w:rPr>
        <w:t>亩，项目涵盖土地平整、灌溉与排水、田间道路、农田防护与生态环境保持等工程内容。</w:t>
      </w:r>
    </w:p>
    <w:p w14:paraId="6174528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2.服务范围：乙方负责对2023年高标准农田建设项目进行全面的竣工验收服务，包括但不限于工程质量验收、工程量复核、竣工资料审查、耕地质量评定、出具竣工验收报告等工作。具体如下：</w:t>
      </w:r>
    </w:p>
    <w:p w14:paraId="1F9A82D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工程质量验收：依据国家和地方有关高标准农田建设的标准、规范以及项目设计文件，对项目的各项工程进行实地检查和质量检测，判定工程质量是否合格。</w:t>
      </w:r>
    </w:p>
    <w:p w14:paraId="202B174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工程量复核：对项目实施过程中的各项工程量进行现场测量和核对，确保工程量的准确性，与施工单位提交的工程量清单进行对比分析，发现差异及时查明原因并记录。</w:t>
      </w:r>
    </w:p>
    <w:p w14:paraId="6E60103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竣工资料审查：审查施工单位、监理单位等提交的竣工资料，包括但不限于施工图纸、设计变更文件、工程签证、材料检验报告、施工记录、监理日志等，确保资料的完整性、真实性和规范性。</w:t>
      </w:r>
    </w:p>
    <w:p w14:paraId="3ECFFA6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耕地质量评定：按照相关标准和方法，对项目区内的耕地质量进行评定，检测土壤肥力、酸碱度、有机质含量等指标，出具耕地质量评定报告。</w:t>
      </w:r>
    </w:p>
    <w:p w14:paraId="68E975D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出具竣工验收报告：根据验收工作的开展情况，综合各方面的验收结果，编制详细、准确的竣工验收报告，报告内容应包括项目基本情况、验收依据、验收内容、验收过程、验收结果、存在问题及整改建议等。</w:t>
      </w:r>
    </w:p>
    <w:p w14:paraId="14AA96D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二、服务期限</w:t>
      </w:r>
    </w:p>
    <w:p w14:paraId="293BB43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1.本合同服务期：进场后</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天内提交成果。乙方应在服务期限内完成所有验收工作，并向甲方提交正式的竣工验收报告。</w:t>
      </w:r>
    </w:p>
    <w:p w14:paraId="10AD3AC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2.如遇不可抗力或其他不可预见、不可避免的因素导致服务期限需要延长，乙方应在事件发生后的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个工作日内书面通知甲方，并提供相关证明文件。经甲方书面同意后，服务期限相应顺延。</w:t>
      </w:r>
    </w:p>
    <w:p w14:paraId="5F95A38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三、服务费用及支付方式</w:t>
      </w:r>
    </w:p>
    <w:p w14:paraId="7859150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费用：本项目竣工验收第三方服务费用为人民币______元（大写：______元整）。此费用为固定总价，除本合同另有约定外，不因任何因素而调整，包括但不限于乙方完成服务所需的人工、设备、材料、交通、食宿、税费等一切费用。</w:t>
      </w:r>
    </w:p>
    <w:p w14:paraId="0E4064D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2.支付方式：甲方按照以下方式向乙方支付服务费用：</w:t>
      </w:r>
    </w:p>
    <w:p w14:paraId="082CD5F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在合同签订后，乙方</w:t>
      </w:r>
      <w:r>
        <w:rPr>
          <w:rFonts w:hint="eastAsia" w:ascii="宋体" w:hAnsi="宋体" w:eastAsia="宋体" w:cs="宋体"/>
          <w:sz w:val="24"/>
          <w:szCs w:val="24"/>
          <w:highlight w:val="none"/>
          <w:lang w:val="en-US" w:eastAsia="zh-CN"/>
        </w:rPr>
        <w:t>开展验收工作10日内（以进场时间为准），甲方向乙方</w:t>
      </w:r>
      <w:r>
        <w:rPr>
          <w:rFonts w:hint="eastAsia" w:ascii="宋体" w:hAnsi="宋体" w:eastAsia="宋体" w:cs="宋体"/>
          <w:sz w:val="24"/>
          <w:szCs w:val="24"/>
          <w:highlight w:val="none"/>
        </w:rPr>
        <w:t>支付合同总金额的</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%作为预付款，即人民币______元（大写：______元整）。</w:t>
      </w:r>
    </w:p>
    <w:p w14:paraId="275D876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val="en-US" w:eastAsia="zh-CN"/>
        </w:rPr>
        <w:t>完成竣工验收并</w:t>
      </w:r>
      <w:r>
        <w:rPr>
          <w:rFonts w:hint="eastAsia" w:ascii="宋体" w:hAnsi="宋体" w:eastAsia="宋体" w:cs="宋体"/>
          <w:sz w:val="24"/>
          <w:szCs w:val="24"/>
          <w:highlight w:val="none"/>
        </w:rPr>
        <w:t>提交正式的竣工验收报告，且通过相关部门的审核备案后，在</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个工作日内，甲方向乙方支付合同剩余款项，即人民币______元（大写：______元整）。</w:t>
      </w:r>
    </w:p>
    <w:p w14:paraId="24D4DFA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3.支付账户：乙方应在本合同签订后的</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个工作日内，向甲方提供其合法有效的银行账户信息，包括开户银行名称、账户名称、账号等。甲方按照本合同约定支付服务费用时，应将款项支付至乙方提供的上述账户。若乙方账户信息发生变更，应提前</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个工作日书面通知甲方，否则由此造成的一切后果由乙方承担。</w:t>
      </w:r>
    </w:p>
    <w:p w14:paraId="1D05E30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四、双方权利与义务</w:t>
      </w:r>
    </w:p>
    <w:p w14:paraId="212263E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（一）甲方权利与义务</w:t>
      </w:r>
    </w:p>
    <w:p w14:paraId="492B7D9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1.权利：有权对乙方的服务工作进行监督和检查，提出合理的意见和建议；对乙方提交的验收报告进行审核，如发现问题有权要求乙方进行整改。</w:t>
      </w:r>
    </w:p>
    <w:p w14:paraId="295AB95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义务：按照本合同约定向乙方提供开展验收工作所需的项目相关资料，包括但不限于项目立项文件、设计图纸、施工承包合同、监理合同、工程变更文件等；为乙方的验收工作提供必要的协助，协调项目相关各方配合乙方开展工作；按照本合同约定及时向乙方支付服务费用。</w:t>
      </w:r>
    </w:p>
    <w:p w14:paraId="6AE396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（二）乙方权利与义务</w:t>
      </w:r>
    </w:p>
    <w:p w14:paraId="7092702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1.权利：有权要求甲方按照本合同约定提供项目相关资料和协助；按照本合同约定收取服务费用。</w:t>
      </w:r>
    </w:p>
    <w:p w14:paraId="206946F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义务：乙方应具备相应的资质和能力，按照国家和地方有关高标准农田建设竣工验收的标准、规范以及本合同约定的服务内容和要求，组织专业技术人员认真、负责地开展验收工作，确保验收结果的真实性、准确性和公正性；在服务过程中，应遵守国家和地方有关法律法规以及行业规范，不得损害甲方及其他相关方的合法权益；及时向甲方汇报验收工作进展情况，如遇重大问题或需要甲方协调解决的事项，应及时书面通知甲方；对在服务过程中知悉的甲方商业秘密、技术秘密等予以保密，未经甲方书面同意，不得向任何第三方披露；按照甲方要求的格式和内容，及时、准确地向甲方提交验收报告及相关资料，并确保资料的完整性和规范性。</w:t>
      </w:r>
    </w:p>
    <w:p w14:paraId="6DEB736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五、验收标准及验收方式</w:t>
      </w:r>
    </w:p>
    <w:p w14:paraId="67CD812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1.验收标准：本项目竣工验收以国家和地方有关高标准农田建设的标准、规范以及项目设计文件为依据，包括但不限于《高标准农田建设通则》（GB/T 30600-2024）、《灌溉与排水工程设计标准》（GB 50288-2018）、《公路工程质量检验评定标准》（JTG F80/1-2017）等相关国家标准和行业规范。</w:t>
      </w:r>
    </w:p>
    <w:p w14:paraId="6E5007AB">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验收方式：乙方完成验收工作后，应向甲方提交竣工验收报告及相关资料。甲方收到报告和资料后，组织相关部门和专家对乙方的验收工作进行审核。审核方式包括资料审查、现场抽查等。如审核发现问题，乙方应按照甲方要求进行整改，直至通过验收。</w:t>
      </w:r>
    </w:p>
    <w:p w14:paraId="5E7AD6B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成果的交付与验收</w:t>
      </w:r>
    </w:p>
    <w:p w14:paraId="52E2F73B">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双方确定，按以下标准和方式对</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提交的</w:t>
      </w:r>
      <w:r>
        <w:rPr>
          <w:rFonts w:hint="eastAsia" w:ascii="宋体" w:hAnsi="宋体" w:eastAsia="宋体" w:cs="宋体"/>
          <w:sz w:val="24"/>
          <w:szCs w:val="24"/>
          <w:highlight w:val="none"/>
          <w:lang w:eastAsia="zh-CN"/>
        </w:rPr>
        <w:t>验收</w:t>
      </w:r>
      <w:r>
        <w:rPr>
          <w:rFonts w:hint="eastAsia" w:ascii="宋体" w:hAnsi="宋体" w:eastAsia="宋体" w:cs="宋体"/>
          <w:sz w:val="24"/>
          <w:szCs w:val="24"/>
          <w:highlight w:val="none"/>
        </w:rPr>
        <w:t>成果进行验收:</w:t>
      </w:r>
    </w:p>
    <w:p w14:paraId="24BE9EE3">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.交付内容</w:t>
      </w:r>
    </w:p>
    <w:p w14:paraId="735D9A1C">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val="en-US" w:eastAsia="zh-CN"/>
        </w:rPr>
        <w:t>验收</w:t>
      </w:r>
      <w:r>
        <w:rPr>
          <w:rFonts w:hint="eastAsia" w:ascii="宋体" w:hAnsi="宋体" w:eastAsia="宋体" w:cs="宋体"/>
          <w:sz w:val="24"/>
          <w:szCs w:val="24"/>
          <w:highlight w:val="none"/>
        </w:rPr>
        <w:t>成果的形式：在项目工程全面竣工验收的基础上编制工程验收报告、绘制工程验收图等市级验收意见资料。</w:t>
      </w:r>
    </w:p>
    <w:p w14:paraId="3CD27A9F">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交付的形式、时间及地点</w:t>
      </w:r>
    </w:p>
    <w:p w14:paraId="43E42988">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en-US" w:eastAsia="zh-CN"/>
        </w:rPr>
        <w:t>竣工验收</w:t>
      </w:r>
      <w:r>
        <w:rPr>
          <w:rFonts w:hint="eastAsia" w:ascii="宋体" w:hAnsi="宋体" w:eastAsia="宋体" w:cs="宋体"/>
          <w:sz w:val="24"/>
          <w:szCs w:val="24"/>
          <w:highlight w:val="none"/>
        </w:rPr>
        <w:t>报告作为</w:t>
      </w:r>
      <w:r>
        <w:rPr>
          <w:rFonts w:hint="eastAsia" w:ascii="宋体" w:hAnsi="宋体" w:eastAsia="宋体" w:cs="宋体"/>
          <w:sz w:val="24"/>
          <w:szCs w:val="24"/>
          <w:highlight w:val="none"/>
          <w:lang w:val="en-US" w:eastAsia="zh-CN"/>
        </w:rPr>
        <w:t>验收</w:t>
      </w:r>
      <w:r>
        <w:rPr>
          <w:rFonts w:hint="eastAsia" w:ascii="宋体" w:hAnsi="宋体" w:eastAsia="宋体" w:cs="宋体"/>
          <w:sz w:val="24"/>
          <w:szCs w:val="24"/>
          <w:highlight w:val="none"/>
        </w:rPr>
        <w:t>成果，时间及地点为:</w:t>
      </w:r>
    </w:p>
    <w:p w14:paraId="33A4C846">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p>
    <w:p w14:paraId="413A9C45">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榆林市农业农村局</w:t>
      </w:r>
      <w:r>
        <w:rPr>
          <w:rFonts w:hint="eastAsia" w:ascii="宋体" w:hAnsi="宋体" w:eastAsia="宋体" w:cs="宋体"/>
          <w:sz w:val="24"/>
          <w:szCs w:val="24"/>
          <w:highlight w:val="none"/>
          <w:lang w:eastAsia="zh-CN"/>
        </w:rPr>
        <w:t>。</w:t>
      </w:r>
    </w:p>
    <w:p w14:paraId="11EA4EF6">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成果验收</w:t>
      </w:r>
    </w:p>
    <w:p w14:paraId="12303B71">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）验收</w:t>
      </w:r>
      <w:r>
        <w:rPr>
          <w:rFonts w:hint="eastAsia" w:ascii="宋体" w:hAnsi="宋体" w:eastAsia="宋体" w:cs="宋体"/>
          <w:sz w:val="24"/>
          <w:szCs w:val="24"/>
          <w:highlight w:val="none"/>
        </w:rPr>
        <w:t>成果的验收标准：</w:t>
      </w:r>
      <w:r>
        <w:rPr>
          <w:rFonts w:hint="eastAsia" w:ascii="宋体" w:hAnsi="宋体" w:eastAsia="宋体" w:cs="宋体"/>
          <w:sz w:val="24"/>
          <w:szCs w:val="24"/>
          <w:highlight w:val="none"/>
          <w:u w:val="single"/>
        </w:rPr>
        <w:t>达到</w:t>
      </w:r>
      <w:r>
        <w:rPr>
          <w:rFonts w:hint="eastAsia" w:ascii="宋体" w:hAnsi="宋体" w:eastAsia="宋体" w:cs="宋体"/>
          <w:sz w:val="24"/>
          <w:szCs w:val="24"/>
          <w:highlight w:val="none"/>
          <w:u w:val="single"/>
          <w:lang w:val="en-US" w:eastAsia="zh-CN"/>
        </w:rPr>
        <w:t>甲方</w:t>
      </w:r>
      <w:r>
        <w:rPr>
          <w:rFonts w:hint="eastAsia" w:ascii="宋体" w:hAnsi="宋体" w:eastAsia="宋体" w:cs="宋体"/>
          <w:sz w:val="24"/>
          <w:szCs w:val="24"/>
          <w:highlight w:val="none"/>
          <w:u w:val="single"/>
        </w:rPr>
        <w:t>要求 。</w:t>
      </w:r>
    </w:p>
    <w:p w14:paraId="1002ED43">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验收</w:t>
      </w:r>
      <w:r>
        <w:rPr>
          <w:rFonts w:hint="eastAsia" w:ascii="宋体" w:hAnsi="宋体" w:eastAsia="宋体" w:cs="宋体"/>
          <w:sz w:val="24"/>
          <w:szCs w:val="24"/>
          <w:highlight w:val="none"/>
        </w:rPr>
        <w:t>成果的验收方法：</w:t>
      </w:r>
      <w:r>
        <w:rPr>
          <w:rFonts w:hint="eastAsia" w:ascii="宋体" w:hAnsi="宋体" w:eastAsia="宋体" w:cs="宋体"/>
          <w:sz w:val="24"/>
          <w:szCs w:val="24"/>
          <w:highlight w:val="none"/>
          <w:u w:val="single"/>
        </w:rPr>
        <w:t>由</w:t>
      </w:r>
      <w:r>
        <w:rPr>
          <w:rFonts w:hint="eastAsia" w:ascii="宋体" w:hAnsi="宋体" w:eastAsia="宋体" w:cs="宋体"/>
          <w:sz w:val="24"/>
          <w:szCs w:val="24"/>
          <w:highlight w:val="none"/>
          <w:u w:val="single"/>
          <w:lang w:val="en-US" w:eastAsia="zh-CN"/>
        </w:rPr>
        <w:t>甲方</w:t>
      </w:r>
      <w:r>
        <w:rPr>
          <w:rFonts w:hint="eastAsia" w:ascii="宋体" w:hAnsi="宋体" w:eastAsia="宋体" w:cs="宋体"/>
          <w:sz w:val="24"/>
          <w:szCs w:val="24"/>
          <w:highlight w:val="none"/>
          <w:u w:val="single"/>
        </w:rPr>
        <w:t>进行验收。</w:t>
      </w:r>
    </w:p>
    <w:p w14:paraId="21465FD5">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（3）验收的时间和地点：</w:t>
      </w:r>
      <w:r>
        <w:rPr>
          <w:rFonts w:hint="eastAsia" w:ascii="宋体" w:hAnsi="宋体" w:eastAsia="宋体" w:cs="宋体"/>
          <w:sz w:val="24"/>
          <w:szCs w:val="24"/>
          <w:highlight w:val="none"/>
          <w:u w:val="single"/>
        </w:rPr>
        <w:t>双方协商。</w:t>
      </w:r>
    </w:p>
    <w:p w14:paraId="54F9C733">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在合同约定的验收期内仍不具备验收条件的或验收不合格的，经</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同意可以给予</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日的宽限期进行完善和修正。在宽限期内验收合格的，不视为违约；宽限期满仍不具备验收条件或验收不合格的，按“违约责任 ”处理。</w:t>
      </w:r>
    </w:p>
    <w:p w14:paraId="02F0D6A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、违约责任</w:t>
      </w:r>
    </w:p>
    <w:p w14:paraId="3E3D0D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1.若甲方未按照本合同约定向乙方支付服务费用，每逾期一日，应按照未支付金额的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%向乙方支付违约金；逾期超过</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日的，乙方有权解除合同，并要求甲方支付已完成工作的服务费用及相应违约金，同时承担乙方因此遭受的损失。</w:t>
      </w:r>
    </w:p>
    <w:p w14:paraId="765CBA2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2.若乙方未按照本合同约定的服务期限完成验收工作或提交验收报告，每逾期一日，应按照合同总金额的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%向甲方支付违约金；逾期超过</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日的，甲方有权解除合同，乙方应退还甲方已支付的预付款，并按照合同总金额的</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%向甲方支付违约金，同时承担甲方因此遭受的损失。</w:t>
      </w:r>
    </w:p>
    <w:p w14:paraId="1A43060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3.若乙方提供的验收报告存在虚假内容或验收结果严重失实，乙方应承担因此给甲方及其他相关方造成的全部损失，并按照合同总金额的</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%向甲方支付违约金，甲方有权解除合同。</w:t>
      </w:r>
    </w:p>
    <w:p w14:paraId="7D38016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4.任何一方违反本合同约定的保密义务，应向对方支付违约金人民币</w:t>
      </w:r>
      <w:r>
        <w:rPr>
          <w:rFonts w:hint="eastAsia" w:ascii="宋体" w:hAnsi="宋体" w:eastAsia="宋体" w:cs="宋体"/>
          <w:sz w:val="24"/>
          <w:szCs w:val="24"/>
          <w:highlight w:val="none"/>
          <w:lang w:val="en-US" w:eastAsia="zh-CN"/>
        </w:rPr>
        <w:t>100000</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lang w:val="en-US" w:eastAsia="zh-CN"/>
        </w:rPr>
        <w:t>拾万</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rPr>
        <w:t>整）；如给对方造成损失的，还应承担赔偿责任。</w:t>
      </w:r>
    </w:p>
    <w:p w14:paraId="04EE61D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5.若因不可抗力导致一方无法履行本合同义务的，不承担违约责任，但应在不可抗力事件发生后的</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个工作日内书面通知对方，并提供相关证明文件。在不可抗力事件影响消除后的合理时间内，双方应协商恢复合同的履行。</w:t>
      </w:r>
    </w:p>
    <w:p w14:paraId="40FDA01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、争议解决</w:t>
      </w:r>
    </w:p>
    <w:p w14:paraId="168C5FD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本合同在履行过程中如发生争议，双方应首先友好协商解决；协商不成的，任何一方均有权向合同签订地有管辖权的人民法院提起诉讼。</w:t>
      </w:r>
    </w:p>
    <w:p w14:paraId="16EB36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、其他条款</w:t>
      </w:r>
    </w:p>
    <w:p w14:paraId="72675EF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1.本合同自双方签字（或盖章）之日起生效。本合同一式</w:t>
      </w:r>
      <w:r>
        <w:rPr>
          <w:rFonts w:hint="eastAsia" w:ascii="宋体" w:hAnsi="宋体" w:eastAsia="宋体" w:cs="宋体"/>
          <w:sz w:val="24"/>
          <w:szCs w:val="24"/>
          <w:highlight w:val="none"/>
          <w:lang w:val="en-US" w:eastAsia="zh-CN"/>
        </w:rPr>
        <w:t>肆</w:t>
      </w:r>
      <w:r>
        <w:rPr>
          <w:rFonts w:hint="eastAsia" w:ascii="宋体" w:hAnsi="宋体" w:eastAsia="宋体" w:cs="宋体"/>
          <w:sz w:val="24"/>
          <w:szCs w:val="24"/>
          <w:highlight w:val="none"/>
        </w:rPr>
        <w:t>份，甲乙双方各执</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份，具有同等法律效力。</w:t>
      </w:r>
    </w:p>
    <w:p w14:paraId="741A57F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2.本合同未尽事宜，双方可另行协商补充，并以书面形式作为本合同的附件，与本合同具有同等法律效力。补充协议内容与本合同不一致的，以补充协议为准 。</w:t>
      </w:r>
    </w:p>
    <w:p w14:paraId="44AFD32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E711D8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甲方（盖章）：__________________</w:t>
      </w:r>
    </w:p>
    <w:p w14:paraId="70101B3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法定代表人或授权代表（签字）：__________________</w:t>
      </w:r>
    </w:p>
    <w:p w14:paraId="4C5EE73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签订日期：______年____月____日</w:t>
      </w:r>
    </w:p>
    <w:p w14:paraId="47E3CE2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p>
    <w:p w14:paraId="6DFABE5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乙方（盖章）：__________________</w:t>
      </w:r>
    </w:p>
    <w:p w14:paraId="2EB09C9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法定代表人或授权代表（签字）：__________________</w:t>
      </w:r>
    </w:p>
    <w:p w14:paraId="2B1DC69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签订日期：______年____月____日</w:t>
      </w:r>
    </w:p>
    <w:p w14:paraId="60E9E59D">
      <w:pPr>
        <w:pStyle w:val="2"/>
        <w:bidi w:val="0"/>
        <w:rPr>
          <w:rFonts w:hint="eastAsia" w:ascii="宋体" w:hAnsi="宋体" w:eastAsia="宋体" w:cs="宋体"/>
          <w:highlight w:val="none"/>
        </w:rPr>
      </w:pPr>
      <w:r>
        <w:rPr>
          <w:rFonts w:hint="eastAsia" w:ascii="宋体" w:hAnsi="宋体" w:eastAsia="宋体" w:cs="宋体"/>
          <w:b/>
          <w:bCs/>
          <w:spacing w:val="5"/>
          <w:highlight w:val="none"/>
        </w:rPr>
        <w:t>第七章</w:t>
      </w:r>
      <w:r>
        <w:rPr>
          <w:rFonts w:hint="eastAsia" w:ascii="宋体" w:hAnsi="宋体" w:eastAsia="宋体" w:cs="宋体"/>
          <w:spacing w:val="25"/>
          <w:highlight w:val="none"/>
        </w:rPr>
        <w:t xml:space="preserve"> </w:t>
      </w:r>
      <w:r>
        <w:rPr>
          <w:rFonts w:hint="eastAsia" w:ascii="宋体" w:hAnsi="宋体" w:eastAsia="宋体" w:cs="宋体"/>
          <w:b/>
          <w:bCs/>
          <w:spacing w:val="5"/>
          <w:highlight w:val="none"/>
        </w:rPr>
        <w:t>响应文件构成及格式</w:t>
      </w:r>
    </w:p>
    <w:tbl>
      <w:tblPr>
        <w:tblStyle w:val="12"/>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077"/>
      </w:tblGrid>
      <w:tr w14:paraId="1B02B50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49" w:hRule="atLeast"/>
        </w:trPr>
        <w:tc>
          <w:tcPr>
            <w:tcW w:w="5000" w:type="pct"/>
            <w:vAlign w:val="top"/>
          </w:tcPr>
          <w:p w14:paraId="75B17B69">
            <w:pPr>
              <w:pStyle w:val="5"/>
              <w:bidi w:val="0"/>
              <w:rPr>
                <w:rFonts w:hint="eastAsia" w:ascii="宋体" w:hAnsi="宋体" w:eastAsia="宋体" w:cs="宋体"/>
                <w:highlight w:val="none"/>
              </w:rPr>
            </w:pPr>
            <w:r>
              <w:rPr>
                <w:rFonts w:hint="eastAsia" w:ascii="宋体" w:hAnsi="宋体" w:eastAsia="宋体" w:cs="宋体"/>
                <w:highlight w:val="none"/>
              </w:rPr>
              <w:t>注释：</w:t>
            </w:r>
          </w:p>
          <w:p w14:paraId="6954A7D2">
            <w:pPr>
              <w:pStyle w:val="5"/>
              <w:bidi w:val="0"/>
              <w:rPr>
                <w:rFonts w:hint="eastAsia" w:ascii="宋体" w:hAnsi="宋体" w:eastAsia="宋体" w:cs="宋体"/>
                <w:highlight w:val="none"/>
              </w:rPr>
            </w:pPr>
            <w:r>
              <w:rPr>
                <w:rFonts w:hint="eastAsia" w:ascii="宋体" w:hAnsi="宋体" w:eastAsia="宋体" w:cs="宋体"/>
                <w:highlight w:val="none"/>
              </w:rPr>
              <w:t>1、本章分为三部分，是为方便供应商制作响应文件设计。第一、二部分应按要求或给定格式填报。</w:t>
            </w:r>
          </w:p>
          <w:p w14:paraId="182107CD">
            <w:pPr>
              <w:pStyle w:val="5"/>
              <w:bidi w:val="0"/>
              <w:rPr>
                <w:rFonts w:hint="eastAsia" w:ascii="宋体" w:hAnsi="宋体" w:eastAsia="宋体" w:cs="宋体"/>
                <w:szCs w:val="24"/>
                <w:highlight w:val="none"/>
              </w:rPr>
            </w:pPr>
            <w:r>
              <w:rPr>
                <w:rFonts w:hint="eastAsia" w:ascii="宋体" w:hAnsi="宋体" w:eastAsia="宋体" w:cs="宋体"/>
                <w:highlight w:val="none"/>
              </w:rPr>
              <w:t>2、第三部分</w:t>
            </w:r>
            <w:r>
              <w:rPr>
                <w:rFonts w:hint="eastAsia" w:ascii="宋体" w:hAnsi="宋体" w:eastAsia="宋体" w:cs="宋体"/>
                <w:highlight w:val="none"/>
                <w:lang w:val="en-US" w:eastAsia="zh-CN"/>
              </w:rPr>
              <w:t>服务</w:t>
            </w:r>
            <w:r>
              <w:rPr>
                <w:rFonts w:hint="eastAsia" w:ascii="宋体" w:hAnsi="宋体" w:eastAsia="宋体" w:cs="宋体"/>
                <w:highlight w:val="none"/>
              </w:rPr>
              <w:t>方案格式仅供参考，供应商应根据项目特点，结合本次采购要求，对有关表格进行补充或修改，但不得对实质性文件的相关条款做出变动。</w:t>
            </w:r>
          </w:p>
        </w:tc>
      </w:tr>
    </w:tbl>
    <w:p w14:paraId="1A0D908D">
      <w:pPr>
        <w:rPr>
          <w:rFonts w:hint="eastAsia" w:ascii="宋体" w:hAnsi="宋体" w:eastAsia="宋体" w:cs="宋体"/>
          <w:sz w:val="21"/>
          <w:highlight w:val="none"/>
        </w:rPr>
      </w:pPr>
    </w:p>
    <w:p w14:paraId="2CC2CA28">
      <w:pPr>
        <w:rPr>
          <w:rFonts w:hint="eastAsia" w:ascii="宋体" w:hAnsi="宋体" w:eastAsia="宋体" w:cs="宋体"/>
          <w:sz w:val="21"/>
          <w:szCs w:val="21"/>
          <w:highlight w:val="none"/>
        </w:rPr>
        <w:sectPr>
          <w:headerReference r:id="rId14" w:type="default"/>
          <w:footerReference r:id="rId15" w:type="default"/>
          <w:pgSz w:w="11906" w:h="16839"/>
          <w:pgMar w:top="1134" w:right="1417" w:bottom="969" w:left="1418" w:header="862" w:footer="754" w:gutter="0"/>
          <w:pgNumType w:fmt="decimal"/>
          <w:cols w:space="720" w:num="1"/>
        </w:sectPr>
      </w:pPr>
    </w:p>
    <w:p w14:paraId="2BA37E3D">
      <w:pPr>
        <w:pStyle w:val="5"/>
        <w:spacing w:before="101" w:line="229" w:lineRule="auto"/>
        <w:ind w:left="0" w:leftChars="0" w:firstLine="0" w:firstLineChars="0"/>
        <w:rPr>
          <w:rFonts w:hint="eastAsia" w:ascii="宋体" w:hAnsi="宋体" w:eastAsia="宋体" w:cs="宋体"/>
          <w:highlight w:val="none"/>
        </w:rPr>
      </w:pPr>
      <w:r>
        <w:rPr>
          <w:rFonts w:hint="eastAsia" w:ascii="宋体" w:hAnsi="宋体" w:eastAsia="宋体" w:cs="宋体"/>
          <w:b/>
          <w:bCs/>
          <w:spacing w:val="6"/>
          <w:highlight w:val="none"/>
        </w:rPr>
        <w:t>项目编号：</w:t>
      </w:r>
      <w:r>
        <w:rPr>
          <w:rFonts w:hint="eastAsia" w:ascii="宋体" w:hAnsi="宋体" w:eastAsia="宋体" w:cs="宋体"/>
          <w:highlight w:val="none"/>
          <w:u w:val="none" w:color="auto"/>
        </w:rPr>
        <w:t xml:space="preserve">            </w:t>
      </w:r>
    </w:p>
    <w:p w14:paraId="7CED746C">
      <w:pPr>
        <w:pStyle w:val="5"/>
        <w:bidi w:val="0"/>
        <w:rPr>
          <w:rFonts w:hint="eastAsia" w:ascii="宋体" w:hAnsi="宋体" w:eastAsia="宋体" w:cs="宋体"/>
          <w:highlight w:val="none"/>
        </w:rPr>
      </w:pPr>
    </w:p>
    <w:p w14:paraId="159EA483">
      <w:pPr>
        <w:pStyle w:val="5"/>
        <w:bidi w:val="0"/>
        <w:rPr>
          <w:rFonts w:hint="eastAsia" w:ascii="宋体" w:hAnsi="宋体" w:eastAsia="宋体" w:cs="宋体"/>
          <w:highlight w:val="none"/>
        </w:rPr>
      </w:pPr>
    </w:p>
    <w:p w14:paraId="78D41148">
      <w:pPr>
        <w:pStyle w:val="5"/>
        <w:bidi w:val="0"/>
        <w:rPr>
          <w:rFonts w:hint="eastAsia" w:ascii="宋体" w:hAnsi="宋体" w:eastAsia="宋体" w:cs="宋体"/>
          <w:highlight w:val="none"/>
        </w:rPr>
      </w:pPr>
    </w:p>
    <w:p w14:paraId="170176F1">
      <w:pPr>
        <w:pStyle w:val="5"/>
        <w:bidi w:val="0"/>
        <w:rPr>
          <w:rFonts w:hint="eastAsia" w:ascii="宋体" w:hAnsi="宋体" w:eastAsia="宋体" w:cs="宋体"/>
          <w:highlight w:val="none"/>
        </w:rPr>
      </w:pPr>
    </w:p>
    <w:p w14:paraId="606444F9">
      <w:pPr>
        <w:pStyle w:val="5"/>
        <w:bidi w:val="0"/>
        <w:rPr>
          <w:rFonts w:hint="eastAsia" w:ascii="宋体" w:hAnsi="宋体" w:eastAsia="宋体" w:cs="宋体"/>
          <w:highlight w:val="none"/>
        </w:rPr>
      </w:pPr>
    </w:p>
    <w:p w14:paraId="2D3453F2">
      <w:pPr>
        <w:pStyle w:val="5"/>
        <w:bidi w:val="0"/>
        <w:rPr>
          <w:rFonts w:hint="eastAsia" w:ascii="宋体" w:hAnsi="宋体" w:eastAsia="宋体" w:cs="宋体"/>
          <w:highlight w:val="none"/>
        </w:rPr>
      </w:pPr>
    </w:p>
    <w:p w14:paraId="1707DBAA">
      <w:pPr>
        <w:pStyle w:val="5"/>
        <w:bidi w:val="0"/>
        <w:rPr>
          <w:rFonts w:hint="eastAsia" w:ascii="宋体" w:hAnsi="宋体" w:eastAsia="宋体" w:cs="宋体"/>
          <w:highlight w:val="none"/>
        </w:rPr>
      </w:pPr>
    </w:p>
    <w:p w14:paraId="46FF8AC9">
      <w:pPr>
        <w:pStyle w:val="5"/>
        <w:tabs>
          <w:tab w:val="left" w:pos="6090"/>
        </w:tabs>
        <w:spacing w:before="140" w:line="226" w:lineRule="auto"/>
        <w:ind w:left="1195"/>
        <w:rPr>
          <w:rFonts w:hint="eastAsia" w:ascii="宋体" w:hAnsi="宋体" w:eastAsia="宋体" w:cs="宋体"/>
          <w:sz w:val="43"/>
          <w:szCs w:val="43"/>
          <w:highlight w:val="none"/>
        </w:rPr>
      </w:pPr>
      <w:r>
        <w:rPr>
          <w:rFonts w:hint="eastAsia" w:ascii="宋体" w:hAnsi="宋体" w:eastAsia="宋体" w:cs="宋体"/>
          <w:sz w:val="43"/>
          <w:szCs w:val="43"/>
          <w:highlight w:val="none"/>
          <w:u w:val="single" w:color="auto"/>
        </w:rPr>
        <w:tab/>
      </w:r>
      <w:r>
        <w:rPr>
          <w:rFonts w:hint="eastAsia" w:ascii="宋体" w:hAnsi="宋体" w:eastAsia="宋体" w:cs="宋体"/>
          <w:spacing w:val="-180"/>
          <w:sz w:val="43"/>
          <w:szCs w:val="43"/>
          <w:highlight w:val="none"/>
        </w:rPr>
        <w:t xml:space="preserve"> </w:t>
      </w:r>
      <w:r>
        <w:rPr>
          <w:rFonts w:hint="eastAsia" w:ascii="宋体" w:hAnsi="宋体" w:eastAsia="宋体" w:cs="宋体"/>
          <w:b/>
          <w:bCs/>
          <w:sz w:val="43"/>
          <w:szCs w:val="43"/>
          <w:highlight w:val="none"/>
        </w:rPr>
        <w:t>项目</w:t>
      </w:r>
    </w:p>
    <w:p w14:paraId="081AD31B">
      <w:pPr>
        <w:pStyle w:val="5"/>
        <w:bidi w:val="0"/>
        <w:rPr>
          <w:rFonts w:hint="eastAsia" w:ascii="宋体" w:hAnsi="宋体" w:eastAsia="宋体" w:cs="宋体"/>
          <w:highlight w:val="none"/>
        </w:rPr>
      </w:pPr>
    </w:p>
    <w:p w14:paraId="6555C773">
      <w:pPr>
        <w:pStyle w:val="5"/>
        <w:bidi w:val="0"/>
        <w:rPr>
          <w:rFonts w:hint="eastAsia" w:ascii="宋体" w:hAnsi="宋体" w:eastAsia="宋体" w:cs="宋体"/>
          <w:highlight w:val="none"/>
        </w:rPr>
      </w:pPr>
    </w:p>
    <w:p w14:paraId="5214B40D">
      <w:pPr>
        <w:pStyle w:val="5"/>
        <w:bidi w:val="0"/>
        <w:rPr>
          <w:rFonts w:hint="eastAsia" w:ascii="宋体" w:hAnsi="宋体" w:eastAsia="宋体" w:cs="宋体"/>
          <w:highlight w:val="none"/>
        </w:rPr>
      </w:pPr>
    </w:p>
    <w:p w14:paraId="23E75C2F">
      <w:pPr>
        <w:pStyle w:val="5"/>
        <w:spacing w:before="169" w:line="223" w:lineRule="auto"/>
        <w:ind w:left="0" w:leftChars="0" w:firstLine="0" w:firstLineChars="0"/>
        <w:jc w:val="center"/>
        <w:rPr>
          <w:rFonts w:hint="eastAsia" w:ascii="宋体" w:hAnsi="宋体" w:eastAsia="宋体" w:cs="宋体"/>
          <w:sz w:val="52"/>
          <w:szCs w:val="52"/>
          <w:highlight w:val="none"/>
        </w:rPr>
      </w:pPr>
      <w:r>
        <w:rPr>
          <w:rFonts w:hint="eastAsia" w:ascii="宋体" w:hAnsi="宋体" w:eastAsia="宋体" w:cs="宋体"/>
          <w:b/>
          <w:bCs/>
          <w:spacing w:val="-35"/>
          <w:sz w:val="52"/>
          <w:szCs w:val="52"/>
          <w:highlight w:val="none"/>
        </w:rPr>
        <w:t>响</w:t>
      </w:r>
      <w:r>
        <w:rPr>
          <w:rFonts w:hint="eastAsia" w:ascii="宋体" w:hAnsi="宋体" w:eastAsia="宋体" w:cs="宋体"/>
          <w:spacing w:val="82"/>
          <w:sz w:val="52"/>
          <w:szCs w:val="52"/>
          <w:highlight w:val="none"/>
        </w:rPr>
        <w:t xml:space="preserve">  </w:t>
      </w:r>
      <w:r>
        <w:rPr>
          <w:rFonts w:hint="eastAsia" w:ascii="宋体" w:hAnsi="宋体" w:eastAsia="宋体" w:cs="宋体"/>
          <w:b/>
          <w:bCs/>
          <w:spacing w:val="-35"/>
          <w:sz w:val="52"/>
          <w:szCs w:val="52"/>
          <w:highlight w:val="none"/>
        </w:rPr>
        <w:t>应</w:t>
      </w:r>
      <w:r>
        <w:rPr>
          <w:rFonts w:hint="eastAsia" w:ascii="宋体" w:hAnsi="宋体" w:eastAsia="宋体" w:cs="宋体"/>
          <w:spacing w:val="82"/>
          <w:sz w:val="52"/>
          <w:szCs w:val="52"/>
          <w:highlight w:val="none"/>
        </w:rPr>
        <w:t xml:space="preserve">  </w:t>
      </w:r>
      <w:r>
        <w:rPr>
          <w:rFonts w:hint="eastAsia" w:ascii="宋体" w:hAnsi="宋体" w:eastAsia="宋体" w:cs="宋体"/>
          <w:b/>
          <w:bCs/>
          <w:spacing w:val="-35"/>
          <w:sz w:val="52"/>
          <w:szCs w:val="52"/>
          <w:highlight w:val="none"/>
        </w:rPr>
        <w:t>文</w:t>
      </w:r>
      <w:r>
        <w:rPr>
          <w:rFonts w:hint="eastAsia" w:ascii="宋体" w:hAnsi="宋体" w:eastAsia="宋体" w:cs="宋体"/>
          <w:spacing w:val="83"/>
          <w:sz w:val="52"/>
          <w:szCs w:val="52"/>
          <w:highlight w:val="none"/>
        </w:rPr>
        <w:t xml:space="preserve">  </w:t>
      </w:r>
      <w:r>
        <w:rPr>
          <w:rFonts w:hint="eastAsia" w:ascii="宋体" w:hAnsi="宋体" w:eastAsia="宋体" w:cs="宋体"/>
          <w:b/>
          <w:bCs/>
          <w:spacing w:val="-35"/>
          <w:sz w:val="52"/>
          <w:szCs w:val="52"/>
          <w:highlight w:val="none"/>
        </w:rPr>
        <w:t>件</w:t>
      </w:r>
    </w:p>
    <w:p w14:paraId="3CB1CA14">
      <w:pPr>
        <w:pStyle w:val="5"/>
        <w:bidi w:val="0"/>
        <w:rPr>
          <w:rFonts w:hint="eastAsia" w:ascii="宋体" w:hAnsi="宋体" w:eastAsia="宋体" w:cs="宋体"/>
          <w:highlight w:val="none"/>
        </w:rPr>
      </w:pPr>
    </w:p>
    <w:p w14:paraId="619A8B52">
      <w:pPr>
        <w:pStyle w:val="5"/>
        <w:bidi w:val="0"/>
        <w:rPr>
          <w:rFonts w:hint="eastAsia" w:ascii="宋体" w:hAnsi="宋体" w:eastAsia="宋体" w:cs="宋体"/>
          <w:highlight w:val="none"/>
        </w:rPr>
      </w:pPr>
    </w:p>
    <w:p w14:paraId="171D2AF5">
      <w:pPr>
        <w:pStyle w:val="5"/>
        <w:bidi w:val="0"/>
        <w:rPr>
          <w:rFonts w:hint="eastAsia" w:ascii="宋体" w:hAnsi="宋体" w:eastAsia="宋体" w:cs="宋体"/>
          <w:highlight w:val="none"/>
        </w:rPr>
      </w:pPr>
    </w:p>
    <w:p w14:paraId="0649CC4E">
      <w:pPr>
        <w:pStyle w:val="5"/>
        <w:bidi w:val="0"/>
        <w:rPr>
          <w:rFonts w:hint="eastAsia" w:ascii="宋体" w:hAnsi="宋体" w:eastAsia="宋体" w:cs="宋体"/>
          <w:highlight w:val="none"/>
        </w:rPr>
      </w:pPr>
    </w:p>
    <w:p w14:paraId="2701EC36">
      <w:pPr>
        <w:pStyle w:val="5"/>
        <w:bidi w:val="0"/>
        <w:rPr>
          <w:rFonts w:hint="eastAsia" w:ascii="宋体" w:hAnsi="宋体" w:eastAsia="宋体" w:cs="宋体"/>
          <w:highlight w:val="none"/>
        </w:rPr>
      </w:pPr>
    </w:p>
    <w:p w14:paraId="3313AA6B">
      <w:pPr>
        <w:pStyle w:val="5"/>
        <w:bidi w:val="0"/>
        <w:rPr>
          <w:rFonts w:hint="eastAsia" w:ascii="宋体" w:hAnsi="宋体" w:eastAsia="宋体" w:cs="宋体"/>
          <w:highlight w:val="none"/>
        </w:rPr>
      </w:pPr>
    </w:p>
    <w:p w14:paraId="24884990">
      <w:pPr>
        <w:pStyle w:val="5"/>
        <w:bidi w:val="0"/>
        <w:rPr>
          <w:rFonts w:hint="eastAsia" w:ascii="宋体" w:hAnsi="宋体" w:eastAsia="宋体" w:cs="宋体"/>
          <w:highlight w:val="none"/>
        </w:rPr>
      </w:pPr>
    </w:p>
    <w:p w14:paraId="543B73D4">
      <w:pPr>
        <w:pStyle w:val="5"/>
        <w:bidi w:val="0"/>
        <w:rPr>
          <w:rFonts w:hint="eastAsia" w:ascii="宋体" w:hAnsi="宋体" w:eastAsia="宋体" w:cs="宋体"/>
          <w:highlight w:val="none"/>
        </w:rPr>
      </w:pPr>
    </w:p>
    <w:p w14:paraId="13ADE611">
      <w:pPr>
        <w:pStyle w:val="5"/>
        <w:bidi w:val="0"/>
        <w:rPr>
          <w:rFonts w:hint="eastAsia" w:ascii="宋体" w:hAnsi="宋体" w:eastAsia="宋体" w:cs="宋体"/>
          <w:highlight w:val="none"/>
        </w:rPr>
      </w:pPr>
    </w:p>
    <w:p w14:paraId="3480ECA6">
      <w:pPr>
        <w:pStyle w:val="5"/>
        <w:bidi w:val="0"/>
        <w:rPr>
          <w:rFonts w:hint="eastAsia" w:ascii="宋体" w:hAnsi="宋体" w:eastAsia="宋体" w:cs="宋体"/>
          <w:highlight w:val="none"/>
        </w:rPr>
      </w:pPr>
    </w:p>
    <w:p w14:paraId="55403EB7">
      <w:pPr>
        <w:pStyle w:val="5"/>
        <w:bidi w:val="0"/>
        <w:rPr>
          <w:rFonts w:hint="eastAsia" w:ascii="宋体" w:hAnsi="宋体" w:eastAsia="宋体" w:cs="宋体"/>
          <w:highlight w:val="none"/>
        </w:rPr>
      </w:pPr>
    </w:p>
    <w:p w14:paraId="19BE6986">
      <w:pPr>
        <w:pStyle w:val="5"/>
        <w:bidi w:val="0"/>
        <w:ind w:left="0" w:leftChars="0" w:firstLine="1680" w:firstLineChars="700"/>
        <w:jc w:val="both"/>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14:paraId="29E3BB06">
      <w:pPr>
        <w:pStyle w:val="5"/>
        <w:bidi w:val="0"/>
        <w:rPr>
          <w:rFonts w:hint="eastAsia" w:ascii="宋体" w:hAnsi="宋体" w:eastAsia="宋体" w:cs="宋体"/>
          <w:highlight w:val="none"/>
        </w:rPr>
      </w:pPr>
    </w:p>
    <w:p w14:paraId="33E7A913">
      <w:pPr>
        <w:pStyle w:val="5"/>
        <w:bidi w:val="0"/>
        <w:ind w:left="0" w:leftChars="0" w:firstLine="1680" w:firstLineChars="700"/>
        <w:rPr>
          <w:rFonts w:hint="eastAsia" w:ascii="宋体" w:hAnsi="宋体" w:eastAsia="宋体" w:cs="宋体"/>
          <w:highlight w:val="none"/>
        </w:rPr>
      </w:pPr>
      <w:r>
        <w:rPr>
          <w:rFonts w:hint="eastAsia" w:ascii="宋体" w:hAnsi="宋体" w:eastAsia="宋体" w:cs="宋体"/>
          <w:highlight w:val="none"/>
        </w:rPr>
        <w:t>签       字：</w:t>
      </w:r>
      <w:r>
        <w:rPr>
          <w:rFonts w:hint="eastAsia" w:ascii="宋体" w:hAnsi="宋体" w:eastAsia="宋体" w:cs="宋体"/>
          <w:highlight w:val="none"/>
          <w:u w:val="single"/>
        </w:rPr>
        <w:t xml:space="preserve">                               </w:t>
      </w:r>
    </w:p>
    <w:p w14:paraId="2F973149">
      <w:pPr>
        <w:pStyle w:val="5"/>
        <w:bidi w:val="0"/>
        <w:rPr>
          <w:rFonts w:hint="eastAsia" w:ascii="宋体" w:hAnsi="宋体" w:eastAsia="宋体" w:cs="宋体"/>
          <w:highlight w:val="none"/>
        </w:rPr>
      </w:pPr>
    </w:p>
    <w:p w14:paraId="4A19CCE5">
      <w:pPr>
        <w:pStyle w:val="5"/>
        <w:bidi w:val="0"/>
        <w:ind w:left="0" w:leftChars="0" w:firstLine="1680" w:firstLineChars="700"/>
        <w:rPr>
          <w:rFonts w:hint="eastAsia" w:ascii="宋体" w:hAnsi="宋体" w:eastAsia="宋体" w:cs="宋体"/>
          <w:highlight w:val="none"/>
        </w:rPr>
      </w:pPr>
      <w:r>
        <w:rPr>
          <w:rFonts w:hint="eastAsia" w:ascii="宋体" w:hAnsi="宋体" w:eastAsia="宋体" w:cs="宋体"/>
          <w:highlight w:val="none"/>
        </w:rPr>
        <w:t>时      间：</w:t>
      </w:r>
      <w:r>
        <w:rPr>
          <w:rFonts w:hint="eastAsia" w:ascii="宋体" w:hAnsi="宋体" w:eastAsia="宋体" w:cs="宋体"/>
          <w:highlight w:val="none"/>
          <w:u w:val="single"/>
        </w:rPr>
        <w:t xml:space="preserve">                             </w:t>
      </w:r>
    </w:p>
    <w:p w14:paraId="3C786720">
      <w:pPr>
        <w:spacing w:line="229" w:lineRule="auto"/>
        <w:rPr>
          <w:rFonts w:hint="eastAsia" w:ascii="宋体" w:hAnsi="宋体" w:eastAsia="宋体" w:cs="宋体"/>
          <w:highlight w:val="none"/>
        </w:rPr>
      </w:pPr>
    </w:p>
    <w:p w14:paraId="526B0C0D">
      <w:pPr>
        <w:spacing w:line="229" w:lineRule="auto"/>
        <w:rPr>
          <w:rFonts w:hint="eastAsia" w:ascii="宋体" w:hAnsi="宋体" w:eastAsia="宋体" w:cs="宋体"/>
          <w:highlight w:val="none"/>
        </w:rPr>
        <w:sectPr>
          <w:footerReference r:id="rId16" w:type="default"/>
          <w:pgSz w:w="11906" w:h="16839"/>
          <w:pgMar w:top="1134" w:right="1417" w:bottom="969" w:left="1418" w:header="862" w:footer="754" w:gutter="0"/>
          <w:pgNumType w:fmt="decimal"/>
          <w:cols w:space="720" w:num="1"/>
        </w:sectPr>
      </w:pPr>
    </w:p>
    <w:p w14:paraId="346A99C3">
      <w:pPr>
        <w:spacing w:line="365" w:lineRule="auto"/>
        <w:rPr>
          <w:rFonts w:hint="eastAsia" w:ascii="宋体" w:hAnsi="宋体" w:eastAsia="宋体" w:cs="宋体"/>
          <w:sz w:val="21"/>
          <w:highlight w:val="none"/>
        </w:rPr>
      </w:pPr>
    </w:p>
    <w:p w14:paraId="33AE95F5">
      <w:pPr>
        <w:pStyle w:val="5"/>
        <w:bidi w:val="0"/>
        <w:jc w:val="center"/>
        <w:rPr>
          <w:rFonts w:hint="eastAsia" w:ascii="宋体" w:hAnsi="宋体" w:eastAsia="宋体" w:cs="宋体"/>
          <w:b/>
          <w:bCs/>
          <w:sz w:val="40"/>
          <w:szCs w:val="44"/>
          <w:highlight w:val="none"/>
        </w:rPr>
      </w:pPr>
      <w:r>
        <w:rPr>
          <w:rFonts w:hint="eastAsia" w:ascii="宋体" w:hAnsi="宋体" w:eastAsia="宋体" w:cs="宋体"/>
          <w:b/>
          <w:bCs/>
          <w:sz w:val="40"/>
          <w:szCs w:val="44"/>
          <w:highlight w:val="none"/>
        </w:rPr>
        <w:t>目     录</w:t>
      </w:r>
    </w:p>
    <w:p w14:paraId="05E2D237">
      <w:pPr>
        <w:pStyle w:val="5"/>
        <w:bidi w:val="0"/>
        <w:jc w:val="center"/>
        <w:rPr>
          <w:rFonts w:hint="eastAsia" w:ascii="宋体" w:hAnsi="宋体" w:eastAsia="宋体" w:cs="宋体"/>
          <w:highlight w:val="none"/>
        </w:rPr>
      </w:pPr>
      <w:r>
        <w:rPr>
          <w:rFonts w:hint="eastAsia" w:ascii="宋体" w:hAnsi="宋体" w:eastAsia="宋体" w:cs="宋体"/>
          <w:highlight w:val="none"/>
        </w:rPr>
        <w:t>（此页引用目录）</w:t>
      </w:r>
    </w:p>
    <w:p w14:paraId="1D64277B">
      <w:pPr>
        <w:rPr>
          <w:rFonts w:hint="eastAsia" w:ascii="宋体" w:hAnsi="宋体" w:eastAsia="宋体" w:cs="宋体"/>
          <w:highlight w:val="none"/>
        </w:rPr>
      </w:pPr>
    </w:p>
    <w:p w14:paraId="464D89A6">
      <w:pPr>
        <w:spacing w:line="222" w:lineRule="auto"/>
        <w:rPr>
          <w:rFonts w:hint="eastAsia" w:ascii="宋体" w:hAnsi="宋体" w:eastAsia="宋体" w:cs="宋体"/>
          <w:sz w:val="30"/>
          <w:szCs w:val="30"/>
          <w:highlight w:val="none"/>
        </w:rPr>
        <w:sectPr>
          <w:footerReference r:id="rId17" w:type="default"/>
          <w:pgSz w:w="11906" w:h="16839"/>
          <w:pgMar w:top="1134" w:right="1417" w:bottom="969" w:left="1418" w:header="862" w:footer="754" w:gutter="0"/>
          <w:pgNumType w:fmt="decimal"/>
          <w:cols w:space="720" w:num="1"/>
        </w:sectPr>
      </w:pPr>
    </w:p>
    <w:p w14:paraId="2252FF52">
      <w:pPr>
        <w:pStyle w:val="5"/>
        <w:spacing w:before="101" w:line="228" w:lineRule="auto"/>
        <w:ind w:left="0" w:leftChars="0" w:firstLine="0" w:firstLineChars="0"/>
        <w:jc w:val="center"/>
        <w:rPr>
          <w:rFonts w:hint="eastAsia" w:ascii="宋体" w:hAnsi="宋体" w:eastAsia="宋体" w:cs="宋体"/>
          <w:b/>
          <w:bCs/>
          <w:sz w:val="32"/>
          <w:szCs w:val="32"/>
          <w:highlight w:val="none"/>
        </w:rPr>
      </w:pPr>
      <w:r>
        <w:rPr>
          <w:rFonts w:hint="eastAsia" w:ascii="宋体" w:hAnsi="宋体" w:eastAsia="宋体" w:cs="宋体"/>
          <w:b/>
          <w:bCs/>
          <w:spacing w:val="5"/>
          <w:sz w:val="32"/>
          <w:szCs w:val="32"/>
          <w:highlight w:val="none"/>
        </w:rPr>
        <w:t>第一部分 资格证明文件</w:t>
      </w:r>
    </w:p>
    <w:p w14:paraId="27273FD8">
      <w:pPr>
        <w:spacing w:line="243" w:lineRule="auto"/>
        <w:rPr>
          <w:rFonts w:hint="eastAsia" w:ascii="宋体" w:hAnsi="宋体" w:eastAsia="宋体" w:cs="宋体"/>
          <w:sz w:val="21"/>
          <w:highlight w:val="none"/>
        </w:rPr>
      </w:pPr>
    </w:p>
    <w:p w14:paraId="4B75A554">
      <w:pPr>
        <w:pStyle w:val="5"/>
        <w:bidi w:val="0"/>
        <w:rPr>
          <w:rFonts w:hint="eastAsia" w:ascii="宋体" w:hAnsi="宋体" w:eastAsia="宋体" w:cs="宋体"/>
          <w:highlight w:val="none"/>
        </w:rPr>
      </w:pPr>
      <w:r>
        <w:rPr>
          <w:rFonts w:hint="eastAsia" w:ascii="宋体" w:hAnsi="宋体" w:eastAsia="宋体" w:cs="宋体"/>
          <w:highlight w:val="none"/>
        </w:rPr>
        <w:t>供应商按以下要求逐一提供全部资料，缺少其中任何一项，其响应文件将被视为 无效文件。其中，法定代表人授权委托书、供应商信用承诺书应按下文给定格式填写， 否则按无效处理。特别说明，法定代表人亲自参加响应的，可不提供法定代表人授权 委托书，但须提供法定代表人证明书及其本人身份证（正反面）复印件。</w:t>
      </w:r>
    </w:p>
    <w:p w14:paraId="18091735">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（1）具有独立承担民事责任能力的法人、其他组织或自然人，并出具合法有效的营业执照或事业单位法人证书等国家规定的相关证明，自然人参与的提供其身份证明；</w:t>
      </w:r>
    </w:p>
    <w:p w14:paraId="094CF0D5">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（2）财务状况报告：提供 2024 年度完整的赋码财务审计报告；成立时间至提交 响应文件截止时间不足一年的可提供成立后其基本存款账户出具的资信证明；</w:t>
      </w:r>
    </w:p>
    <w:p w14:paraId="3FB71C35">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（3）社会保障资金缴纳证明：提供 2024年 8 月至今至少 1 个月已缴纳的社会保障资金缴存单据或社保机构开具的社会保险参保缴费情况证明，依法不需要缴纳社会保障资金的单位应提供相关证明材料；</w:t>
      </w:r>
    </w:p>
    <w:p w14:paraId="5D60BCBE">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（4）税收缴纳证明：提供 2024 年 8 月至今至少 1 个月已缴纳的纳税证明（银行缴费凭证）或完税证明，依法免税的单位应提供相关证明材料；</w:t>
      </w:r>
    </w:p>
    <w:p w14:paraId="1F698380">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（5）书面声明：参加本次政府采购活动前三年内在经营活动中没有重大违法记录声明函；</w:t>
      </w:r>
    </w:p>
    <w:p w14:paraId="25A00942">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（6）提供具有履行合同所必需的设备和专业技术能力的承诺函；</w:t>
      </w:r>
    </w:p>
    <w:p w14:paraId="4DBAA6C9">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（7）法定代表人直接参加响应，须出具法定代表人身份证明；法定代表人授权代表参加响应，须出具法定代表人授权书；</w:t>
      </w:r>
    </w:p>
    <w:p w14:paraId="1B301093">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（8）供应商须具备有效的行业行政主管部门颁发的测绘乙级及以上资质；</w:t>
      </w:r>
    </w:p>
    <w:p w14:paraId="147AC92E">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（9）本项目拟派项目负责人须具备相关专业中级及以上职称；</w:t>
      </w:r>
    </w:p>
    <w:p w14:paraId="20899A2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10</w:t>
      </w:r>
      <w:r>
        <w:rPr>
          <w:rFonts w:hint="eastAsia" w:ascii="宋体" w:hAnsi="宋体" w:eastAsia="宋体" w:cs="宋体"/>
          <w:highlight w:val="none"/>
          <w:lang w:eastAsia="zh-CN"/>
        </w:rPr>
        <w:t>）</w:t>
      </w:r>
      <w:r>
        <w:rPr>
          <w:rFonts w:hint="eastAsia" w:ascii="宋体" w:hAnsi="宋体" w:eastAsia="宋体" w:cs="宋体"/>
          <w:highlight w:val="none"/>
        </w:rPr>
        <w:t>自主上报信用承诺书：</w:t>
      </w:r>
      <w:r>
        <w:rPr>
          <w:rFonts w:hint="eastAsia" w:ascii="宋体" w:hAnsi="宋体" w:eastAsia="宋体" w:cs="宋体"/>
          <w:highlight w:val="none"/>
          <w:lang w:eastAsia="zh-CN"/>
        </w:rPr>
        <w:t>供应商</w:t>
      </w:r>
      <w:r>
        <w:rPr>
          <w:rFonts w:hint="eastAsia" w:ascii="宋体" w:hAnsi="宋体" w:eastAsia="宋体" w:cs="宋体"/>
          <w:highlight w:val="none"/>
        </w:rPr>
        <w:t>及委托代理人员应在“信用中国（陕西榆林）”网站(www.ylcredit.gov.cn)进行注册、登录、自主上报信用承诺书，包括：供应商信用承诺书</w:t>
      </w:r>
      <w:r>
        <w:rPr>
          <w:rFonts w:hint="eastAsia" w:ascii="宋体" w:hAnsi="宋体" w:eastAsia="宋体" w:cs="宋体"/>
          <w:highlight w:val="none"/>
          <w:lang w:eastAsia="zh-CN"/>
        </w:rPr>
        <w:t>、信用（保证金）承诺书、榆林市政府采购服务类项目供应商信用承诺书</w:t>
      </w:r>
      <w:r>
        <w:rPr>
          <w:rFonts w:hint="eastAsia" w:ascii="宋体" w:hAnsi="宋体" w:eastAsia="宋体" w:cs="宋体"/>
          <w:highlight w:val="none"/>
        </w:rPr>
        <w:t>、法定代表人或委托代理人员信用承诺书</w:t>
      </w:r>
      <w:r>
        <w:rPr>
          <w:rFonts w:hint="eastAsia" w:ascii="宋体" w:hAnsi="宋体" w:eastAsia="宋体" w:cs="宋体"/>
          <w:highlight w:val="none"/>
          <w:lang w:eastAsia="zh-CN"/>
        </w:rPr>
        <w:t>；</w:t>
      </w:r>
      <w:r>
        <w:rPr>
          <w:rFonts w:hint="eastAsia" w:ascii="宋体" w:hAnsi="宋体" w:eastAsia="宋体" w:cs="宋体"/>
          <w:highlight w:val="none"/>
        </w:rPr>
        <w:t>（具体操作格式及要求详见</w:t>
      </w:r>
      <w:r>
        <w:rPr>
          <w:rFonts w:hint="eastAsia" w:ascii="宋体" w:hAnsi="宋体" w:eastAsia="宋体" w:cs="宋体"/>
          <w:highlight w:val="none"/>
          <w:lang w:val="en-US" w:eastAsia="zh-CN"/>
        </w:rPr>
        <w:t>竞争性磋商</w:t>
      </w:r>
      <w:r>
        <w:rPr>
          <w:rFonts w:hint="eastAsia" w:ascii="宋体" w:hAnsi="宋体" w:eastAsia="宋体" w:cs="宋体"/>
          <w:highlight w:val="none"/>
        </w:rPr>
        <w:t>文件）</w:t>
      </w:r>
    </w:p>
    <w:p w14:paraId="1C0FA0C5">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11</w:t>
      </w:r>
      <w:r>
        <w:rPr>
          <w:rFonts w:hint="eastAsia" w:ascii="宋体" w:hAnsi="宋体" w:eastAsia="宋体" w:cs="宋体"/>
          <w:highlight w:val="none"/>
          <w:lang w:eastAsia="zh-CN"/>
        </w:rPr>
        <w:t>）供应商</w:t>
      </w:r>
      <w:r>
        <w:rPr>
          <w:rFonts w:hint="eastAsia" w:ascii="宋体" w:hAnsi="宋体" w:eastAsia="宋体" w:cs="宋体"/>
          <w:highlight w:val="none"/>
        </w:rPr>
        <w:t>不得被列入“中国执行信息公开网”（http://zxgk.court.gov.cn）失信被执行人，不得被列入“信用中国”网站（www.creditchina.gov.cn）重大税收违法失信主体，不得被列入“中国政府采购网”（www.ccgp.gov.cn）政府采购严重违法失信行为记录名单；（处罚期限届满的除外，如相关失信记录已失效，</w:t>
      </w:r>
      <w:r>
        <w:rPr>
          <w:rFonts w:hint="eastAsia" w:ascii="宋体" w:hAnsi="宋体" w:eastAsia="宋体" w:cs="宋体"/>
          <w:highlight w:val="none"/>
          <w:lang w:eastAsia="zh-CN"/>
        </w:rPr>
        <w:t>供应商</w:t>
      </w:r>
      <w:r>
        <w:rPr>
          <w:rFonts w:hint="eastAsia" w:ascii="宋体" w:hAnsi="宋体" w:eastAsia="宋体" w:cs="宋体"/>
          <w:highlight w:val="none"/>
        </w:rPr>
        <w:t>需提供相关证明资料），须提供中国执行信息公开网、信用中国及中国政府采购网相应查询结果的网站截图；</w:t>
      </w:r>
    </w:p>
    <w:p w14:paraId="6CD96073">
      <w:pPr>
        <w:pStyle w:val="5"/>
        <w:bidi w:val="0"/>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12</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本项目专门面向中小企业，供应商应填写中小企业（监狱企业）声明函并对其真实性负责；</w:t>
      </w:r>
    </w:p>
    <w:p w14:paraId="027F16F7">
      <w:pPr>
        <w:pStyle w:val="5"/>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（13）本项目不接受联合体投标、不允许分包、转包，单位负责人为同一人或者存在直接控股、管理关系的不同供应商，不得参加同一合同项下的政府采购活动（提供承诺书）。</w:t>
      </w:r>
    </w:p>
    <w:p w14:paraId="3C1C6621">
      <w:pPr>
        <w:rPr>
          <w:rFonts w:hint="eastAsia" w:ascii="宋体" w:hAnsi="宋体" w:eastAsia="宋体" w:cs="宋体"/>
          <w:highlight w:val="none"/>
          <w:lang w:val="en-US" w:eastAsia="zh-CN"/>
        </w:rPr>
      </w:pPr>
    </w:p>
    <w:p w14:paraId="6660C698">
      <w:pPr>
        <w:rPr>
          <w:rFonts w:hint="eastAsia" w:ascii="宋体" w:hAnsi="宋体" w:eastAsia="宋体" w:cs="宋体"/>
          <w:highlight w:val="none"/>
          <w:lang w:val="en-US" w:eastAsia="zh-CN"/>
        </w:rPr>
        <w:sectPr>
          <w:headerReference r:id="rId18" w:type="default"/>
          <w:footerReference r:id="rId19" w:type="default"/>
          <w:pgSz w:w="11906" w:h="16839"/>
          <w:pgMar w:top="1134" w:right="1359" w:bottom="969" w:left="1418" w:header="862" w:footer="754" w:gutter="0"/>
          <w:pgNumType w:fmt="decimal"/>
          <w:cols w:space="720" w:num="1"/>
        </w:sectPr>
      </w:pPr>
    </w:p>
    <w:p w14:paraId="25648CDF">
      <w:pPr>
        <w:spacing w:line="325" w:lineRule="auto"/>
        <w:rPr>
          <w:rFonts w:hint="eastAsia" w:ascii="宋体" w:hAnsi="宋体" w:eastAsia="宋体" w:cs="宋体"/>
          <w:sz w:val="21"/>
          <w:highlight w:val="none"/>
        </w:rPr>
      </w:pPr>
    </w:p>
    <w:p w14:paraId="3CB01495">
      <w:pPr>
        <w:pStyle w:val="5"/>
        <w:bidi w:val="0"/>
        <w:ind w:left="0" w:leftChars="0" w:firstLine="0" w:firstLineChars="0"/>
        <w:jc w:val="center"/>
        <w:rPr>
          <w:rFonts w:hint="eastAsia" w:ascii="宋体" w:hAnsi="宋体" w:eastAsia="宋体" w:cs="宋体"/>
          <w:szCs w:val="30"/>
          <w:highlight w:val="none"/>
        </w:rPr>
      </w:pPr>
      <w:r>
        <w:rPr>
          <w:rFonts w:hint="eastAsia" w:ascii="宋体" w:hAnsi="宋体" w:eastAsia="宋体" w:cs="宋体"/>
          <w:b/>
          <w:bCs/>
          <w:sz w:val="28"/>
          <w:szCs w:val="32"/>
          <w:highlight w:val="none"/>
        </w:rPr>
        <w:t>参加本次政府采购活动前三年内在经营活动中没有重大违法记录声明函</w:t>
      </w:r>
    </w:p>
    <w:p w14:paraId="6C256D56">
      <w:pPr>
        <w:pStyle w:val="5"/>
        <w:keepNext w:val="0"/>
        <w:keepLines w:val="0"/>
        <w:pageBreakBefore w:val="0"/>
        <w:widowControl/>
        <w:kinsoku w:val="0"/>
        <w:wordWrap/>
        <w:overflowPunct/>
        <w:topLinePunct w:val="0"/>
        <w:autoSpaceDE w:val="0"/>
        <w:autoSpaceDN w:val="0"/>
        <w:bidi w:val="0"/>
        <w:adjustRightInd w:val="0"/>
        <w:snapToGrid w:val="0"/>
        <w:spacing w:before="100" w:line="360" w:lineRule="auto"/>
        <w:ind w:left="0" w:leftChars="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采购人名称：</w:t>
      </w:r>
    </w:p>
    <w:p w14:paraId="1FEA8CE7">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我方作为项目名称</w:t>
      </w:r>
      <w:r>
        <w:rPr>
          <w:rFonts w:hint="eastAsia" w:ascii="宋体" w:hAnsi="宋体" w:eastAsia="宋体" w:cs="宋体"/>
          <w:highlight w:val="none"/>
          <w:u w:val="single"/>
        </w:rPr>
        <w:t xml:space="preserve">       </w:t>
      </w:r>
      <w:r>
        <w:rPr>
          <w:rFonts w:hint="eastAsia" w:ascii="宋体" w:hAnsi="宋体" w:eastAsia="宋体" w:cs="宋体"/>
          <w:highlight w:val="none"/>
        </w:rPr>
        <w:t>（项目编号：</w:t>
      </w:r>
      <w:r>
        <w:rPr>
          <w:rFonts w:hint="eastAsia" w:ascii="宋体" w:hAnsi="宋体" w:eastAsia="宋体" w:cs="宋体"/>
          <w:highlight w:val="none"/>
          <w:u w:val="single"/>
        </w:rPr>
        <w:t xml:space="preserve">     </w:t>
      </w:r>
      <w:r>
        <w:rPr>
          <w:rFonts w:hint="eastAsia" w:ascii="宋体" w:hAnsi="宋体" w:eastAsia="宋体" w:cs="宋体"/>
          <w:highlight w:val="none"/>
        </w:rPr>
        <w:t>）的响应供应商，在此郑重声明：</w:t>
      </w:r>
    </w:p>
    <w:p w14:paraId="10100A07">
      <w:pPr>
        <w:pStyle w:val="5"/>
        <w:bidi w:val="0"/>
        <w:rPr>
          <w:rFonts w:hint="eastAsia" w:ascii="宋体" w:hAnsi="宋体" w:eastAsia="宋体" w:cs="宋体"/>
          <w:highlight w:val="none"/>
        </w:rPr>
      </w:pPr>
      <w:r>
        <w:rPr>
          <w:rFonts w:hint="eastAsia" w:ascii="宋体" w:hAnsi="宋体" w:eastAsia="宋体" w:cs="宋体"/>
          <w:highlight w:val="none"/>
        </w:rPr>
        <w:t>1、在参加本次政府采购活动前 3 年内的经营活动中</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（填“没有 ”或“有 ”） 重大违法记录。响应供应商在参加政府采购活动前 3 年内因违法经营被禁止在一定期限内参加政府采购活动，期限届满的，可以参加政府采购活动，但应提供期限届满的 证明材料。</w:t>
      </w:r>
    </w:p>
    <w:p w14:paraId="0F6A272A">
      <w:pPr>
        <w:pStyle w:val="5"/>
        <w:bidi w:val="0"/>
        <w:rPr>
          <w:rFonts w:hint="eastAsia" w:ascii="宋体" w:hAnsi="宋体" w:eastAsia="宋体" w:cs="宋体"/>
          <w:highlight w:val="none"/>
        </w:rPr>
      </w:pPr>
      <w:r>
        <w:rPr>
          <w:rFonts w:hint="eastAsia" w:ascii="宋体" w:hAnsi="宋体" w:eastAsia="宋体" w:cs="宋体"/>
          <w:highlight w:val="none"/>
        </w:rPr>
        <w:t>2、我方</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填“未被列入 ”或“被列入 ”）失信被执行人名单。</w:t>
      </w:r>
    </w:p>
    <w:p w14:paraId="21AF4B9D">
      <w:pPr>
        <w:pStyle w:val="5"/>
        <w:bidi w:val="0"/>
        <w:rPr>
          <w:rFonts w:hint="eastAsia" w:ascii="宋体" w:hAnsi="宋体" w:eastAsia="宋体" w:cs="宋体"/>
          <w:highlight w:val="none"/>
        </w:rPr>
      </w:pPr>
      <w:r>
        <w:rPr>
          <w:rFonts w:hint="eastAsia" w:ascii="宋体" w:hAnsi="宋体" w:eastAsia="宋体" w:cs="宋体"/>
          <w:highlight w:val="none"/>
        </w:rPr>
        <w:t>3、我方</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（填“未被列入 ”或“被列入 ”）重大税收违法案件当事人名单。</w:t>
      </w:r>
    </w:p>
    <w:p w14:paraId="3A523E97">
      <w:pPr>
        <w:pStyle w:val="5"/>
        <w:bidi w:val="0"/>
        <w:rPr>
          <w:rFonts w:hint="eastAsia" w:ascii="宋体" w:hAnsi="宋体" w:eastAsia="宋体" w:cs="宋体"/>
          <w:highlight w:val="none"/>
        </w:rPr>
      </w:pPr>
      <w:r>
        <w:rPr>
          <w:rFonts w:hint="eastAsia" w:ascii="宋体" w:hAnsi="宋体" w:eastAsia="宋体" w:cs="宋体"/>
          <w:highlight w:val="none"/>
        </w:rPr>
        <w:t>4、我方</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（填“未被列入 ”或“被列入 ”）政府采购严重违法失信行为记录 名单。</w:t>
      </w:r>
    </w:p>
    <w:p w14:paraId="066EA4DA">
      <w:pPr>
        <w:pStyle w:val="5"/>
        <w:bidi w:val="0"/>
        <w:rPr>
          <w:rFonts w:hint="eastAsia" w:ascii="宋体" w:hAnsi="宋体" w:eastAsia="宋体" w:cs="宋体"/>
          <w:highlight w:val="none"/>
        </w:rPr>
      </w:pPr>
      <w:r>
        <w:rPr>
          <w:rFonts w:hint="eastAsia" w:ascii="宋体" w:hAnsi="宋体" w:eastAsia="宋体" w:cs="宋体"/>
          <w:highlight w:val="none"/>
        </w:rPr>
        <w:t>如有不实，我方将无条件地退出本项目的采购活动，并遵照《中华人民共和国政 府采购法》有关“提供虚假材料的规定 ”接受处罚。</w:t>
      </w:r>
    </w:p>
    <w:p w14:paraId="5C8C5905">
      <w:pPr>
        <w:pStyle w:val="5"/>
        <w:bidi w:val="0"/>
        <w:rPr>
          <w:rFonts w:hint="eastAsia" w:ascii="宋体" w:hAnsi="宋体" w:eastAsia="宋体" w:cs="宋体"/>
          <w:highlight w:val="none"/>
        </w:rPr>
      </w:pPr>
      <w:r>
        <w:rPr>
          <w:rFonts w:hint="eastAsia" w:ascii="宋体" w:hAnsi="宋体" w:eastAsia="宋体" w:cs="宋体"/>
          <w:highlight w:val="none"/>
        </w:rPr>
        <w:t>特此声明。</w:t>
      </w:r>
    </w:p>
    <w:p w14:paraId="6A8D1473">
      <w:pPr>
        <w:pStyle w:val="5"/>
        <w:bidi w:val="0"/>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lang w:val="en-US" w:eastAsia="zh-CN"/>
        </w:rPr>
        <w:t xml:space="preserve">           </w:t>
      </w:r>
      <w:r>
        <w:rPr>
          <w:rFonts w:hint="eastAsia" w:ascii="宋体" w:hAnsi="宋体" w:eastAsia="宋体" w:cs="宋体"/>
          <w:highlight w:val="none"/>
        </w:rPr>
        <w:t>名称（盖章）</w:t>
      </w:r>
    </w:p>
    <w:p w14:paraId="416E6F1B">
      <w:pPr>
        <w:pStyle w:val="5"/>
        <w:bidi w:val="0"/>
        <w:rPr>
          <w:rFonts w:hint="eastAsia" w:ascii="宋体" w:hAnsi="宋体" w:eastAsia="宋体" w:cs="宋体"/>
          <w:highlight w:val="none"/>
          <w:lang w:val="en-US" w:eastAsia="zh-CN"/>
        </w:rPr>
      </w:pPr>
      <w:r>
        <w:rPr>
          <w:rFonts w:hint="eastAsia" w:ascii="宋体" w:hAnsi="宋体" w:eastAsia="宋体" w:cs="宋体"/>
          <w:highlight w:val="none"/>
        </w:rPr>
        <w:t>法定代表人或授权代表（签字）：</w:t>
      </w:r>
      <w:r>
        <w:rPr>
          <w:rFonts w:hint="eastAsia" w:ascii="宋体" w:hAnsi="宋体" w:eastAsia="宋体" w:cs="宋体"/>
          <w:highlight w:val="none"/>
          <w:lang w:val="en-US" w:eastAsia="zh-CN"/>
        </w:rPr>
        <w:t xml:space="preserve">             </w:t>
      </w:r>
    </w:p>
    <w:p w14:paraId="32B17009">
      <w:pPr>
        <w:pStyle w:val="5"/>
        <w:bidi w:val="0"/>
        <w:rPr>
          <w:rFonts w:hint="eastAsia" w:ascii="宋体" w:hAnsi="宋体" w:eastAsia="宋体" w:cs="宋体"/>
          <w:highlight w:val="none"/>
        </w:rPr>
      </w:pPr>
      <w:r>
        <w:rPr>
          <w:rFonts w:hint="eastAsia" w:ascii="宋体" w:hAnsi="宋体" w:eastAsia="宋体" w:cs="宋体"/>
          <w:highlight w:val="none"/>
        </w:rPr>
        <w:t xml:space="preserve">日期：    年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月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日</w:t>
      </w:r>
    </w:p>
    <w:p w14:paraId="146C93D1">
      <w:pPr>
        <w:spacing w:line="472" w:lineRule="auto"/>
        <w:rPr>
          <w:rFonts w:hint="eastAsia" w:ascii="宋体" w:hAnsi="宋体" w:eastAsia="宋体" w:cs="宋体"/>
          <w:sz w:val="21"/>
          <w:highlight w:val="none"/>
        </w:rPr>
      </w:pPr>
    </w:p>
    <w:p w14:paraId="4F7EDA52">
      <w:pPr>
        <w:rPr>
          <w:rFonts w:hint="eastAsia" w:ascii="宋体" w:hAnsi="宋体" w:eastAsia="宋体" w:cs="宋体"/>
          <w:highlight w:val="none"/>
        </w:rPr>
      </w:pPr>
    </w:p>
    <w:p w14:paraId="51B1282E">
      <w:pPr>
        <w:spacing w:line="223" w:lineRule="auto"/>
        <w:rPr>
          <w:rFonts w:hint="eastAsia" w:ascii="宋体" w:hAnsi="宋体" w:eastAsia="宋体" w:cs="宋体"/>
          <w:sz w:val="28"/>
          <w:szCs w:val="28"/>
          <w:highlight w:val="none"/>
        </w:rPr>
        <w:sectPr>
          <w:headerReference r:id="rId20" w:type="default"/>
          <w:footerReference r:id="rId21" w:type="default"/>
          <w:pgSz w:w="11906" w:h="16839"/>
          <w:pgMar w:top="1134" w:right="1383" w:bottom="969" w:left="1418" w:header="862" w:footer="754" w:gutter="0"/>
          <w:pgNumType w:fmt="decimal"/>
          <w:cols w:space="720" w:num="1"/>
        </w:sectPr>
      </w:pPr>
    </w:p>
    <w:p w14:paraId="380A8DE6">
      <w:pPr>
        <w:pStyle w:val="5"/>
        <w:bidi w:val="0"/>
        <w:ind w:left="0" w:leftChars="0" w:firstLine="0" w:firstLineChars="0"/>
        <w:jc w:val="cente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供应商信用承诺书</w:t>
      </w:r>
    </w:p>
    <w:p w14:paraId="626339C2">
      <w:pPr>
        <w:spacing w:line="256" w:lineRule="auto"/>
        <w:rPr>
          <w:rFonts w:hint="eastAsia" w:ascii="宋体" w:hAnsi="宋体" w:eastAsia="宋体" w:cs="宋体"/>
          <w:sz w:val="21"/>
          <w:highlight w:val="none"/>
        </w:rPr>
      </w:pPr>
    </w:p>
    <w:p w14:paraId="25284825">
      <w:pPr>
        <w:spacing w:line="256" w:lineRule="auto"/>
        <w:rPr>
          <w:rFonts w:hint="eastAsia" w:ascii="宋体" w:hAnsi="宋体" w:eastAsia="宋体" w:cs="宋体"/>
          <w:sz w:val="21"/>
          <w:highlight w:val="none"/>
        </w:rPr>
      </w:pPr>
    </w:p>
    <w:p w14:paraId="6F50CC50">
      <w:pPr>
        <w:pStyle w:val="5"/>
        <w:bidi w:val="0"/>
        <w:rPr>
          <w:rFonts w:hint="eastAsia" w:ascii="宋体" w:hAnsi="宋体" w:eastAsia="宋体" w:cs="宋体"/>
          <w:highlight w:val="none"/>
        </w:rPr>
      </w:pPr>
      <w:r>
        <w:rPr>
          <w:rFonts w:hint="eastAsia" w:ascii="宋体" w:hAnsi="宋体" w:eastAsia="宋体" w:cs="宋体"/>
          <w:highlight w:val="none"/>
        </w:rPr>
        <w:t>供应商：</w:t>
      </w:r>
    </w:p>
    <w:p w14:paraId="0739FB54">
      <w:pPr>
        <w:pStyle w:val="5"/>
        <w:bidi w:val="0"/>
        <w:rPr>
          <w:rFonts w:hint="eastAsia" w:ascii="宋体" w:hAnsi="宋体" w:eastAsia="宋体" w:cs="宋体"/>
          <w:highlight w:val="none"/>
        </w:rPr>
      </w:pPr>
      <w:r>
        <w:rPr>
          <w:rFonts w:hint="eastAsia" w:ascii="宋体" w:hAnsi="宋体" w:eastAsia="宋体" w:cs="宋体"/>
          <w:highlight w:val="none"/>
        </w:rPr>
        <w:t>统一社会信用代码：</w:t>
      </w:r>
    </w:p>
    <w:p w14:paraId="76748547">
      <w:pPr>
        <w:pStyle w:val="5"/>
        <w:bidi w:val="0"/>
        <w:rPr>
          <w:rFonts w:hint="eastAsia" w:ascii="宋体" w:hAnsi="宋体" w:eastAsia="宋体" w:cs="宋体"/>
          <w:highlight w:val="none"/>
        </w:rPr>
      </w:pPr>
      <w:r>
        <w:rPr>
          <w:rFonts w:hint="eastAsia" w:ascii="宋体" w:hAnsi="宋体" w:eastAsia="宋体" w:cs="宋体"/>
          <w:highlight w:val="none"/>
        </w:rPr>
        <w:t>法人代表：</w:t>
      </w:r>
    </w:p>
    <w:p w14:paraId="57BA0F1B">
      <w:pPr>
        <w:pStyle w:val="5"/>
        <w:bidi w:val="0"/>
        <w:rPr>
          <w:rFonts w:hint="eastAsia" w:ascii="宋体" w:hAnsi="宋体" w:eastAsia="宋体" w:cs="宋体"/>
          <w:highlight w:val="none"/>
        </w:rPr>
      </w:pPr>
      <w:r>
        <w:rPr>
          <w:rFonts w:hint="eastAsia" w:ascii="宋体" w:hAnsi="宋体" w:eastAsia="宋体" w:cs="宋体"/>
          <w:highlight w:val="none"/>
        </w:rPr>
        <w:t>承诺有效期限：   年   月   日 至   年   月   日</w:t>
      </w:r>
    </w:p>
    <w:p w14:paraId="24C81667">
      <w:pPr>
        <w:pStyle w:val="5"/>
        <w:bidi w:val="0"/>
        <w:rPr>
          <w:rFonts w:hint="eastAsia" w:ascii="宋体" w:hAnsi="宋体" w:eastAsia="宋体" w:cs="宋体"/>
          <w:highlight w:val="none"/>
        </w:rPr>
      </w:pPr>
      <w:r>
        <w:rPr>
          <w:rFonts w:hint="eastAsia" w:ascii="宋体" w:hAnsi="宋体" w:eastAsia="宋体" w:cs="宋体"/>
          <w:highlight w:val="none"/>
        </w:rPr>
        <w:t>在                            项目政府采购活动中，我公司（单位）郑重作</w:t>
      </w:r>
    </w:p>
    <w:p w14:paraId="2D8218A1">
      <w:pPr>
        <w:pStyle w:val="5"/>
        <w:bidi w:val="0"/>
        <w:rPr>
          <w:rFonts w:hint="eastAsia" w:ascii="宋体" w:hAnsi="宋体" w:eastAsia="宋体" w:cs="宋体"/>
          <w:highlight w:val="none"/>
        </w:rPr>
      </w:pPr>
      <w:r>
        <w:rPr>
          <w:rFonts w:hint="eastAsia" w:ascii="宋体" w:hAnsi="宋体" w:eastAsia="宋体" w:cs="宋体"/>
          <w:highlight w:val="none"/>
        </w:rPr>
        <w:t>出以下信用承诺：</w:t>
      </w:r>
    </w:p>
    <w:p w14:paraId="7F9D70F4">
      <w:pPr>
        <w:pStyle w:val="5"/>
        <w:bidi w:val="0"/>
        <w:rPr>
          <w:rFonts w:hint="eastAsia" w:ascii="宋体" w:hAnsi="宋体" w:eastAsia="宋体" w:cs="宋体"/>
          <w:highlight w:val="none"/>
        </w:rPr>
      </w:pPr>
      <w:r>
        <w:rPr>
          <w:rFonts w:hint="eastAsia" w:ascii="宋体" w:hAnsi="宋体" w:eastAsia="宋体" w:cs="宋体"/>
          <w:highlight w:val="none"/>
        </w:rPr>
        <w:t>（一）能严格遵守法律法规、职业道德和行业规范，具有独立承担民事责任的能力；符合依法依规应当具备的相关资质（资格）条件；具有独立承担成交项目的履约能力；具有良好的商业信誉和健全的财务会计制度；有依法缴纳税收和社会保障资金的良好记录；无法律法规规定禁止开展从业活动情形。所递交文件资料合法、真实、准确、完整、有效。</w:t>
      </w:r>
    </w:p>
    <w:p w14:paraId="56C1E6AB">
      <w:pPr>
        <w:pStyle w:val="5"/>
        <w:bidi w:val="0"/>
        <w:rPr>
          <w:rFonts w:hint="eastAsia" w:ascii="宋体" w:hAnsi="宋体" w:eastAsia="宋体" w:cs="宋体"/>
          <w:highlight w:val="none"/>
        </w:rPr>
      </w:pPr>
      <w:r>
        <w:rPr>
          <w:rFonts w:hint="eastAsia" w:ascii="宋体" w:hAnsi="宋体" w:eastAsia="宋体" w:cs="宋体"/>
          <w:highlight w:val="none"/>
        </w:rPr>
        <w:t>（二）不得有以下违法违规行为：1.围标串标；以他人名义或者其他方式弄虚作假响应；出让出租资格、资质证书供他人响应；恶意竞标、强揽工程；以暴力、威胁、利诱等手段阻止或者控制其他潜在供应商参与采购活动。2.向采购监督部门、交易中心、采购人采购代理机构、磋商小组及其成员等当事主体赠送财物。3.响应截止后至成交人确定前，修改或者撤销响应文件。4.在被确定为成交人后无正当理由：不按照磋商文件和响应文件与采购人签订合同；在签订合同时向采购人提出附加条件、或者改变响应文件的实质性内容；放弃成交。5.政府采购法律规定的其它违法违规行为。</w:t>
      </w:r>
    </w:p>
    <w:p w14:paraId="78DFD063">
      <w:pPr>
        <w:pStyle w:val="5"/>
        <w:bidi w:val="0"/>
        <w:rPr>
          <w:rFonts w:hint="eastAsia" w:ascii="宋体" w:hAnsi="宋体" w:eastAsia="宋体" w:cs="宋体"/>
          <w:highlight w:val="none"/>
        </w:rPr>
      </w:pPr>
      <w:r>
        <w:rPr>
          <w:rFonts w:hint="eastAsia" w:ascii="宋体" w:hAnsi="宋体" w:eastAsia="宋体" w:cs="宋体"/>
          <w:highlight w:val="none"/>
        </w:rPr>
        <w:t>（三）自愿接受采购监督部门和有关行政监督部门的依法检查。</w:t>
      </w:r>
    </w:p>
    <w:p w14:paraId="11495D89">
      <w:pPr>
        <w:pStyle w:val="5"/>
        <w:bidi w:val="0"/>
        <w:rPr>
          <w:rFonts w:hint="eastAsia" w:ascii="宋体" w:hAnsi="宋体" w:eastAsia="宋体" w:cs="宋体"/>
          <w:highlight w:val="none"/>
        </w:rPr>
      </w:pPr>
      <w:r>
        <w:rPr>
          <w:rFonts w:hint="eastAsia" w:ascii="宋体" w:hAnsi="宋体" w:eastAsia="宋体" w:cs="宋体"/>
          <w:highlight w:val="none"/>
        </w:rPr>
        <w:t>（四）同意将此信用承诺纳入陕西省公共信用信息平台和榆林市公共信用信息共平台，并上网公示，接受社会监督。</w:t>
      </w:r>
    </w:p>
    <w:p w14:paraId="6ED206EA">
      <w:pPr>
        <w:pStyle w:val="5"/>
        <w:bidi w:val="0"/>
        <w:rPr>
          <w:rFonts w:hint="eastAsia" w:ascii="宋体" w:hAnsi="宋体" w:eastAsia="宋体" w:cs="宋体"/>
          <w:highlight w:val="none"/>
        </w:rPr>
      </w:pPr>
      <w:r>
        <w:rPr>
          <w:rFonts w:hint="eastAsia" w:ascii="宋体" w:hAnsi="宋体" w:eastAsia="宋体" w:cs="宋体"/>
          <w:highlight w:val="none"/>
        </w:rPr>
        <w:t>（五）若我公司（单位）及相关参与人员违背以上承诺事项，即被视为失信企（法人），依据《关于对公共资源交易领域严重失信主体开展联合惩戒的备忘录》(发改法规［2018] 457 号）， 自愿接受失信联合惩戒和依法给予的行政处罚（处理），并依法承担赔偿责任和刑事责任。</w:t>
      </w:r>
    </w:p>
    <w:p w14:paraId="3D7AB7A9">
      <w:pPr>
        <w:spacing w:line="404" w:lineRule="auto"/>
        <w:rPr>
          <w:rFonts w:hint="eastAsia" w:ascii="宋体" w:hAnsi="宋体" w:eastAsia="宋体" w:cs="宋体"/>
          <w:sz w:val="21"/>
          <w:highlight w:val="none"/>
        </w:rPr>
      </w:pPr>
    </w:p>
    <w:p w14:paraId="2E31AD61">
      <w:pPr>
        <w:spacing w:line="404" w:lineRule="auto"/>
        <w:rPr>
          <w:rFonts w:hint="eastAsia" w:ascii="宋体" w:hAnsi="宋体" w:eastAsia="宋体" w:cs="宋体"/>
          <w:sz w:val="21"/>
          <w:highlight w:val="none"/>
        </w:rPr>
      </w:pPr>
    </w:p>
    <w:p w14:paraId="67398B79">
      <w:pPr>
        <w:spacing w:line="404" w:lineRule="auto"/>
        <w:rPr>
          <w:rFonts w:hint="eastAsia" w:ascii="宋体" w:hAnsi="宋体" w:eastAsia="宋体" w:cs="宋体"/>
          <w:sz w:val="21"/>
          <w:highlight w:val="none"/>
        </w:rPr>
      </w:pPr>
    </w:p>
    <w:p w14:paraId="3E5EBB20">
      <w:pPr>
        <w:pStyle w:val="5"/>
        <w:bidi w:val="0"/>
        <w:rPr>
          <w:rFonts w:hint="eastAsia" w:ascii="宋体" w:hAnsi="宋体" w:eastAsia="宋体" w:cs="宋体"/>
          <w:highlight w:val="none"/>
        </w:rPr>
      </w:pPr>
      <w:r>
        <w:rPr>
          <w:rFonts w:hint="eastAsia" w:ascii="宋体" w:hAnsi="宋体" w:eastAsia="宋体" w:cs="宋体"/>
          <w:szCs w:val="24"/>
          <w:highlight w:val="none"/>
        </w:rPr>
        <w:t>法</w:t>
      </w:r>
      <w:r>
        <w:rPr>
          <w:rFonts w:hint="eastAsia" w:ascii="宋体" w:hAnsi="宋体" w:eastAsia="宋体" w:cs="宋体"/>
          <w:highlight w:val="none"/>
        </w:rPr>
        <w:t xml:space="preserve">定代表人（签字）：                   </w:t>
      </w:r>
    </w:p>
    <w:p w14:paraId="6EDA9B08">
      <w:pPr>
        <w:pStyle w:val="5"/>
        <w:bidi w:val="0"/>
        <w:rPr>
          <w:rFonts w:hint="eastAsia" w:ascii="宋体" w:hAnsi="宋体" w:eastAsia="宋体" w:cs="宋体"/>
          <w:highlight w:val="none"/>
        </w:rPr>
      </w:pPr>
      <w:r>
        <w:rPr>
          <w:rFonts w:hint="eastAsia" w:ascii="宋体" w:hAnsi="宋体" w:eastAsia="宋体" w:cs="宋体"/>
          <w:highlight w:val="none"/>
        </w:rPr>
        <w:t>供应商（盖章）：</w:t>
      </w:r>
    </w:p>
    <w:p w14:paraId="13321EB6">
      <w:pPr>
        <w:pStyle w:val="5"/>
        <w:bidi w:val="0"/>
        <w:rPr>
          <w:rFonts w:hint="eastAsia" w:ascii="宋体" w:hAnsi="宋体" w:eastAsia="宋体" w:cs="宋体"/>
          <w:highlight w:val="none"/>
        </w:rPr>
      </w:pPr>
      <w:r>
        <w:rPr>
          <w:rFonts w:hint="eastAsia" w:ascii="宋体" w:hAnsi="宋体" w:eastAsia="宋体" w:cs="宋体"/>
          <w:highlight w:val="none"/>
        </w:rPr>
        <w:t>承诺时间：      年    月     日</w:t>
      </w:r>
    </w:p>
    <w:p w14:paraId="23617C4F">
      <w:pPr>
        <w:pStyle w:val="5"/>
        <w:bidi w:val="0"/>
        <w:rPr>
          <w:rFonts w:hint="eastAsia" w:ascii="宋体" w:hAnsi="宋体" w:eastAsia="宋体" w:cs="宋体"/>
          <w:highlight w:val="none"/>
        </w:rPr>
      </w:pPr>
      <w:r>
        <w:rPr>
          <w:rFonts w:hint="eastAsia" w:ascii="宋体" w:hAnsi="宋体" w:eastAsia="宋体" w:cs="宋体"/>
          <w:highlight w:val="none"/>
        </w:rPr>
        <w:t>注：本承诺自递交磋商响应文件截止之日起 1年。</w:t>
      </w:r>
    </w:p>
    <w:p w14:paraId="0E22E606">
      <w:pPr>
        <w:spacing w:line="222" w:lineRule="auto"/>
        <w:rPr>
          <w:rFonts w:hint="eastAsia" w:ascii="宋体" w:hAnsi="宋体" w:eastAsia="宋体" w:cs="宋体"/>
          <w:sz w:val="24"/>
          <w:szCs w:val="24"/>
          <w:highlight w:val="none"/>
        </w:rPr>
        <w:sectPr>
          <w:headerReference r:id="rId22" w:type="default"/>
          <w:footerReference r:id="rId23" w:type="default"/>
          <w:pgSz w:w="11906" w:h="16839"/>
          <w:pgMar w:top="1134" w:right="1417" w:bottom="969" w:left="1418" w:header="862" w:footer="754" w:gutter="0"/>
          <w:pgNumType w:fmt="decimal"/>
          <w:cols w:space="720" w:num="1"/>
        </w:sectPr>
      </w:pPr>
    </w:p>
    <w:p w14:paraId="5FE432EF">
      <w:pPr>
        <w:pStyle w:val="5"/>
        <w:bidi w:val="0"/>
        <w:ind w:left="0" w:leftChars="0" w:firstLine="0" w:firstLineChars="0"/>
        <w:jc w:val="cente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信用（保证金）承诺书</w:t>
      </w:r>
    </w:p>
    <w:p w14:paraId="40D4402E">
      <w:pPr>
        <w:pStyle w:val="5"/>
        <w:tabs>
          <w:tab w:val="left" w:pos="158"/>
        </w:tabs>
        <w:spacing w:before="316" w:line="225"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8"/>
          <w:szCs w:val="28"/>
          <w:highlight w:val="none"/>
          <w:u w:val="single" w:color="auto"/>
          <w:lang w:val="en-US" w:eastAsia="zh-CN"/>
        </w:rPr>
        <w:t xml:space="preserve">          </w:t>
      </w:r>
      <w:r>
        <w:rPr>
          <w:rFonts w:hint="eastAsia" w:ascii="宋体" w:hAnsi="宋体" w:eastAsia="宋体" w:cs="宋体"/>
          <w:b/>
          <w:bCs/>
          <w:spacing w:val="-22"/>
          <w:sz w:val="28"/>
          <w:szCs w:val="28"/>
          <w:highlight w:val="none"/>
          <w:u w:val="single" w:color="auto"/>
        </w:rPr>
        <w:t>（</w:t>
      </w:r>
      <w:r>
        <w:rPr>
          <w:rFonts w:hint="eastAsia" w:ascii="宋体" w:hAnsi="宋体" w:eastAsia="宋体" w:cs="宋体"/>
          <w:b/>
          <w:bCs/>
          <w:spacing w:val="-22"/>
          <w:sz w:val="24"/>
          <w:szCs w:val="24"/>
          <w:highlight w:val="none"/>
          <w:u w:val="single" w:color="auto"/>
        </w:rPr>
        <w:t>代理机构名称</w:t>
      </w:r>
      <w:r>
        <w:rPr>
          <w:rFonts w:hint="eastAsia" w:ascii="宋体" w:hAnsi="宋体" w:eastAsia="宋体" w:cs="宋体"/>
          <w:b/>
          <w:bCs/>
          <w:spacing w:val="-2"/>
          <w:sz w:val="24"/>
          <w:szCs w:val="24"/>
          <w:highlight w:val="none"/>
          <w:u w:val="single" w:color="auto"/>
        </w:rPr>
        <w:t>）</w:t>
      </w:r>
      <w:r>
        <w:rPr>
          <w:rFonts w:hint="eastAsia" w:ascii="宋体" w:hAnsi="宋体" w:eastAsia="宋体" w:cs="宋体"/>
          <w:b/>
          <w:bCs/>
          <w:spacing w:val="-2"/>
          <w:sz w:val="24"/>
          <w:szCs w:val="24"/>
          <w:highlight w:val="none"/>
        </w:rPr>
        <w:t>：</w:t>
      </w:r>
    </w:p>
    <w:p w14:paraId="10584E0F">
      <w:pPr>
        <w:pStyle w:val="5"/>
        <w:bidi w:val="0"/>
        <w:rPr>
          <w:rFonts w:hint="eastAsia" w:ascii="宋体" w:hAnsi="宋体" w:eastAsia="宋体" w:cs="宋体"/>
          <w:highlight w:val="none"/>
        </w:rPr>
      </w:pPr>
      <w:r>
        <w:rPr>
          <w:rFonts w:hint="eastAsia" w:ascii="宋体" w:hAnsi="宋体" w:eastAsia="宋体" w:cs="宋体"/>
          <w:highlight w:val="none"/>
        </w:rPr>
        <w:t>项目名称：</w:t>
      </w:r>
    </w:p>
    <w:p w14:paraId="0D5B1B41">
      <w:pPr>
        <w:pStyle w:val="5"/>
        <w:bidi w:val="0"/>
        <w:rPr>
          <w:rFonts w:hint="eastAsia" w:ascii="宋体" w:hAnsi="宋体" w:eastAsia="宋体" w:cs="宋体"/>
          <w:highlight w:val="none"/>
        </w:rPr>
      </w:pPr>
      <w:r>
        <w:rPr>
          <w:rFonts w:hint="eastAsia" w:ascii="宋体" w:hAnsi="宋体" w:eastAsia="宋体" w:cs="宋体"/>
          <w:highlight w:val="none"/>
        </w:rPr>
        <w:t xml:space="preserve">统一社会信用代码：                         </w:t>
      </w:r>
    </w:p>
    <w:p w14:paraId="42DB5D5B">
      <w:pPr>
        <w:pStyle w:val="5"/>
        <w:bidi w:val="0"/>
        <w:rPr>
          <w:rFonts w:hint="eastAsia" w:ascii="宋体" w:hAnsi="宋体" w:eastAsia="宋体" w:cs="宋体"/>
          <w:szCs w:val="24"/>
          <w:highlight w:val="none"/>
        </w:rPr>
      </w:pPr>
      <w:r>
        <w:rPr>
          <w:rFonts w:hint="eastAsia" w:ascii="宋体" w:hAnsi="宋体" w:eastAsia="宋体" w:cs="宋体"/>
          <w:highlight w:val="none"/>
        </w:rPr>
        <w:t>法定代表人：</w:t>
      </w:r>
    </w:p>
    <w:p w14:paraId="19DF58CD">
      <w:pPr>
        <w:pStyle w:val="5"/>
        <w:bidi w:val="0"/>
        <w:rPr>
          <w:rFonts w:hint="eastAsia" w:ascii="宋体" w:hAnsi="宋体" w:eastAsia="宋体" w:cs="宋体"/>
          <w:szCs w:val="24"/>
          <w:highlight w:val="none"/>
        </w:rPr>
      </w:pPr>
      <w:r>
        <w:rPr>
          <w:rFonts w:hint="eastAsia" w:ascii="宋体" w:hAnsi="宋体" w:eastAsia="宋体" w:cs="宋体"/>
          <w:highlight w:val="none"/>
        </w:rPr>
        <w:t xml:space="preserve">承诺有效期限：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年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月  </w:t>
      </w:r>
      <w:r>
        <w:rPr>
          <w:rFonts w:hint="eastAsia" w:ascii="宋体" w:hAnsi="宋体" w:eastAsia="宋体" w:cs="宋体"/>
          <w:highlight w:val="none"/>
          <w:lang w:val="en-US" w:eastAsia="zh-CN"/>
        </w:rPr>
        <w:t xml:space="preserve"> </w:t>
      </w:r>
      <w:r>
        <w:rPr>
          <w:rFonts w:hint="eastAsia" w:ascii="宋体" w:hAnsi="宋体" w:eastAsia="宋体" w:cs="宋体"/>
          <w:highlight w:val="none"/>
        </w:rPr>
        <w:t>日至   年   月   日</w:t>
      </w:r>
    </w:p>
    <w:p w14:paraId="04AED4FD">
      <w:pPr>
        <w:pStyle w:val="5"/>
        <w:bidi w:val="0"/>
        <w:rPr>
          <w:rFonts w:hint="eastAsia" w:ascii="宋体" w:hAnsi="宋体" w:eastAsia="宋体" w:cs="宋体"/>
          <w:highlight w:val="none"/>
        </w:rPr>
      </w:pPr>
      <w:r>
        <w:rPr>
          <w:rFonts w:hint="eastAsia" w:ascii="宋体" w:hAnsi="宋体" w:eastAsia="宋体" w:cs="宋体"/>
          <w:highlight w:val="none"/>
        </w:rPr>
        <w:t>在本</w:t>
      </w:r>
      <w:r>
        <w:rPr>
          <w:rFonts w:hint="eastAsia" w:ascii="宋体" w:hAnsi="宋体" w:eastAsia="宋体" w:cs="宋体"/>
          <w:highlight w:val="none"/>
          <w:u w:val="single"/>
        </w:rPr>
        <w:t xml:space="preserve">                                    </w:t>
      </w:r>
      <w:r>
        <w:rPr>
          <w:rFonts w:hint="eastAsia" w:ascii="宋体" w:hAnsi="宋体" w:eastAsia="宋体" w:cs="宋体"/>
          <w:highlight w:val="none"/>
        </w:rPr>
        <w:t>采购活动中，我公司（单位） 自愿作出以下响应承诺：</w:t>
      </w:r>
    </w:p>
    <w:p w14:paraId="5AD3CA1D">
      <w:pPr>
        <w:pStyle w:val="5"/>
        <w:bidi w:val="0"/>
        <w:rPr>
          <w:rFonts w:hint="eastAsia" w:ascii="宋体" w:hAnsi="宋体" w:eastAsia="宋体" w:cs="宋体"/>
          <w:highlight w:val="none"/>
        </w:rPr>
      </w:pPr>
      <w:r>
        <w:rPr>
          <w:rFonts w:hint="eastAsia" w:ascii="宋体" w:hAnsi="宋体" w:eastAsia="宋体" w:cs="宋体"/>
          <w:highlight w:val="none"/>
        </w:rPr>
        <w:t>（一）能严格遵守法律法规、职业道德和行业规范。</w:t>
      </w:r>
    </w:p>
    <w:p w14:paraId="61763ED2">
      <w:pPr>
        <w:pStyle w:val="5"/>
        <w:bidi w:val="0"/>
        <w:rPr>
          <w:rFonts w:hint="eastAsia" w:ascii="宋体" w:hAnsi="宋体" w:eastAsia="宋体" w:cs="宋体"/>
          <w:highlight w:val="none"/>
        </w:rPr>
      </w:pPr>
      <w:r>
        <w:rPr>
          <w:rFonts w:hint="eastAsia" w:ascii="宋体" w:hAnsi="宋体" w:eastAsia="宋体" w:cs="宋体"/>
          <w:highlight w:val="none"/>
        </w:rPr>
        <w:t>（二）不得有以下违法违规行为：1.围标串标；以他人名义或者其他方式弄虚作假 磋商；出让出租资格、资质证书供他人磋商；恶意竞标；以暴力、威胁、利诱等手段 阻止或者控制其他潜在参与采购活动。2. 向监督部门、交易中心、采购人、采购代理 机构、评审委员会及其成员等当事主体赠送财物。3.磋商会议截止后至成交人确定前， 修改或者撤销响应文件。4.在被确定为成交人后无正当理由：不按照磋商文件和响应 文件与采购人签订合同；在签订合同时向采购人提出附加条件、或者改变响应文件的 实质性内容；放弃成交；5.采购法规定的其它违法违规行为。</w:t>
      </w:r>
    </w:p>
    <w:p w14:paraId="16648A26">
      <w:pPr>
        <w:pStyle w:val="5"/>
        <w:bidi w:val="0"/>
        <w:rPr>
          <w:rFonts w:hint="eastAsia" w:ascii="宋体" w:hAnsi="宋体" w:eastAsia="宋体" w:cs="宋体"/>
          <w:highlight w:val="none"/>
        </w:rPr>
      </w:pPr>
      <w:r>
        <w:rPr>
          <w:rFonts w:hint="eastAsia" w:ascii="宋体" w:hAnsi="宋体" w:eastAsia="宋体" w:cs="宋体"/>
          <w:highlight w:val="none"/>
        </w:rPr>
        <w:t>（三）若我公司（单位）及相关参与人员违背以上承诺事项，即被视为失信企业（法 人），依据《关于对公共资源交易领域严重失信主体开展联合惩戒的备忘录》（发改 法规〔2018〕457 号）， 自愿接受 1 至 3 年内限制参与公共资源交易活动。</w:t>
      </w:r>
    </w:p>
    <w:p w14:paraId="4AA7E0E9">
      <w:pPr>
        <w:spacing w:line="242" w:lineRule="auto"/>
        <w:rPr>
          <w:rFonts w:hint="eastAsia" w:ascii="宋体" w:hAnsi="宋体" w:eastAsia="宋体" w:cs="宋体"/>
          <w:sz w:val="21"/>
          <w:highlight w:val="none"/>
        </w:rPr>
      </w:pPr>
    </w:p>
    <w:p w14:paraId="42583269">
      <w:pPr>
        <w:pStyle w:val="5"/>
        <w:bidi w:val="0"/>
        <w:rPr>
          <w:rFonts w:hint="eastAsia" w:ascii="宋体" w:hAnsi="宋体" w:eastAsia="宋体" w:cs="宋体"/>
          <w:highlight w:val="none"/>
        </w:rPr>
      </w:pPr>
      <w:r>
        <w:rPr>
          <w:rFonts w:hint="eastAsia" w:ascii="宋体" w:hAnsi="宋体" w:eastAsia="宋体" w:cs="宋体"/>
          <w:highlight w:val="none"/>
        </w:rPr>
        <w:t xml:space="preserve">法定代表人（签字）：                            </w:t>
      </w:r>
    </w:p>
    <w:p w14:paraId="5B00E116">
      <w:pPr>
        <w:pStyle w:val="5"/>
        <w:bidi w:val="0"/>
        <w:rPr>
          <w:rFonts w:hint="eastAsia" w:ascii="宋体" w:hAnsi="宋体" w:eastAsia="宋体" w:cs="宋体"/>
          <w:highlight w:val="none"/>
        </w:rPr>
      </w:pPr>
    </w:p>
    <w:p w14:paraId="65DC689A">
      <w:pPr>
        <w:pStyle w:val="5"/>
        <w:bidi w:val="0"/>
        <w:rPr>
          <w:rFonts w:hint="eastAsia" w:ascii="宋体" w:hAnsi="宋体" w:eastAsia="宋体" w:cs="宋体"/>
          <w:highlight w:val="none"/>
        </w:rPr>
      </w:pPr>
      <w:r>
        <w:rPr>
          <w:rFonts w:hint="eastAsia" w:ascii="宋体" w:hAnsi="宋体" w:eastAsia="宋体" w:cs="宋体"/>
          <w:highlight w:val="none"/>
        </w:rPr>
        <w:t>供应商（盖章）：</w:t>
      </w:r>
    </w:p>
    <w:p w14:paraId="02B9A991">
      <w:pPr>
        <w:pStyle w:val="5"/>
        <w:bidi w:val="0"/>
        <w:rPr>
          <w:rFonts w:hint="eastAsia" w:ascii="宋体" w:hAnsi="宋体" w:eastAsia="宋体" w:cs="宋体"/>
          <w:highlight w:val="none"/>
        </w:rPr>
      </w:pPr>
    </w:p>
    <w:p w14:paraId="49C27653">
      <w:pPr>
        <w:pStyle w:val="5"/>
        <w:bidi w:val="0"/>
        <w:rPr>
          <w:rFonts w:hint="eastAsia" w:ascii="宋体" w:hAnsi="宋体" w:eastAsia="宋体" w:cs="宋体"/>
          <w:highlight w:val="none"/>
        </w:rPr>
      </w:pPr>
      <w:r>
        <w:rPr>
          <w:rFonts w:hint="eastAsia" w:ascii="宋体" w:hAnsi="宋体" w:eastAsia="宋体" w:cs="宋体"/>
          <w:highlight w:val="none"/>
        </w:rPr>
        <w:t>承诺时间：      年     月     日</w:t>
      </w:r>
    </w:p>
    <w:p w14:paraId="717E49F2">
      <w:pPr>
        <w:spacing w:line="257" w:lineRule="auto"/>
        <w:rPr>
          <w:rFonts w:hint="eastAsia" w:ascii="宋体" w:hAnsi="宋体" w:eastAsia="宋体" w:cs="宋体"/>
          <w:sz w:val="21"/>
          <w:highlight w:val="none"/>
        </w:rPr>
      </w:pPr>
    </w:p>
    <w:p w14:paraId="3506318E">
      <w:pPr>
        <w:spacing w:line="258" w:lineRule="auto"/>
        <w:rPr>
          <w:rFonts w:hint="eastAsia" w:ascii="宋体" w:hAnsi="宋体" w:eastAsia="宋体" w:cs="宋体"/>
          <w:sz w:val="21"/>
          <w:highlight w:val="none"/>
        </w:rPr>
      </w:pPr>
    </w:p>
    <w:p w14:paraId="3049758F">
      <w:pPr>
        <w:pStyle w:val="5"/>
        <w:bidi w:val="0"/>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说明：本承诺书效力和作用等同响应保证金，其有效期与磋商</w:t>
      </w:r>
      <w:r>
        <w:rPr>
          <w:rFonts w:hint="eastAsia" w:ascii="宋体" w:hAnsi="宋体" w:eastAsia="宋体" w:cs="宋体"/>
          <w:spacing w:val="2"/>
          <w:sz w:val="24"/>
          <w:szCs w:val="24"/>
          <w:highlight w:val="none"/>
        </w:rPr>
        <w:t>响应有效期一致。</w:t>
      </w:r>
    </w:p>
    <w:p w14:paraId="6C1AA937">
      <w:pPr>
        <w:rPr>
          <w:rFonts w:hint="eastAsia" w:ascii="宋体" w:hAnsi="宋体" w:eastAsia="宋体" w:cs="宋体"/>
          <w:highlight w:val="none"/>
        </w:rPr>
      </w:pPr>
    </w:p>
    <w:p w14:paraId="562D3067">
      <w:pPr>
        <w:spacing w:line="220" w:lineRule="auto"/>
        <w:rPr>
          <w:rFonts w:hint="eastAsia" w:ascii="宋体" w:hAnsi="宋体" w:eastAsia="宋体" w:cs="宋体"/>
          <w:sz w:val="24"/>
          <w:szCs w:val="24"/>
          <w:highlight w:val="none"/>
        </w:rPr>
        <w:sectPr>
          <w:headerReference r:id="rId24" w:type="default"/>
          <w:footerReference r:id="rId25" w:type="default"/>
          <w:pgSz w:w="11906" w:h="16839"/>
          <w:pgMar w:top="1134" w:right="1352" w:bottom="969" w:left="1418" w:header="862" w:footer="754" w:gutter="0"/>
          <w:pgNumType w:fmt="decimal"/>
          <w:cols w:space="720" w:num="1"/>
        </w:sectPr>
      </w:pPr>
    </w:p>
    <w:p w14:paraId="6DE9E1FC">
      <w:pPr>
        <w:spacing w:line="413" w:lineRule="auto"/>
        <w:rPr>
          <w:rFonts w:hint="eastAsia" w:ascii="宋体" w:hAnsi="宋体" w:eastAsia="宋体" w:cs="宋体"/>
          <w:sz w:val="21"/>
          <w:highlight w:val="none"/>
        </w:rPr>
      </w:pPr>
    </w:p>
    <w:p w14:paraId="16C0ED05">
      <w:pPr>
        <w:pStyle w:val="5"/>
        <w:bidi w:val="0"/>
        <w:ind w:left="0" w:leftChars="0" w:firstLine="0" w:firstLineChars="0"/>
        <w:jc w:val="cente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榆林市政府采购服务类项目供应商信用承诺书</w:t>
      </w:r>
    </w:p>
    <w:p w14:paraId="149F9870">
      <w:pPr>
        <w:spacing w:line="285" w:lineRule="auto"/>
        <w:rPr>
          <w:rFonts w:hint="eastAsia" w:ascii="宋体" w:hAnsi="宋体" w:eastAsia="宋体" w:cs="宋体"/>
          <w:sz w:val="21"/>
          <w:highlight w:val="none"/>
        </w:rPr>
      </w:pPr>
    </w:p>
    <w:p w14:paraId="0B592621">
      <w:pPr>
        <w:pStyle w:val="5"/>
        <w:bidi w:val="0"/>
        <w:rPr>
          <w:rFonts w:hint="eastAsia" w:ascii="宋体" w:hAnsi="宋体" w:eastAsia="宋体" w:cs="宋体"/>
          <w:highlight w:val="none"/>
        </w:rPr>
      </w:pPr>
      <w:r>
        <w:rPr>
          <w:rFonts w:hint="eastAsia" w:ascii="宋体" w:hAnsi="宋体" w:eastAsia="宋体" w:cs="宋体"/>
          <w:highlight w:val="none"/>
        </w:rPr>
        <w:t>市场主体名称：</w:t>
      </w:r>
      <w:r>
        <w:rPr>
          <w:rFonts w:hint="eastAsia" w:ascii="宋体" w:hAnsi="宋体" w:eastAsia="宋体" w:cs="宋体"/>
          <w:highlight w:val="none"/>
          <w:u w:val="single"/>
        </w:rPr>
        <w:t xml:space="preserve">                          </w:t>
      </w:r>
    </w:p>
    <w:p w14:paraId="340A51B3">
      <w:pPr>
        <w:pStyle w:val="5"/>
        <w:bidi w:val="0"/>
        <w:rPr>
          <w:rFonts w:hint="eastAsia" w:ascii="宋体" w:hAnsi="宋体" w:eastAsia="宋体" w:cs="宋体"/>
          <w:highlight w:val="none"/>
        </w:rPr>
      </w:pPr>
      <w:r>
        <w:rPr>
          <w:rFonts w:hint="eastAsia" w:ascii="宋体" w:hAnsi="宋体" w:eastAsia="宋体" w:cs="宋体"/>
          <w:highlight w:val="none"/>
        </w:rPr>
        <w:t>证件类型：统一社会信用代码</w:t>
      </w:r>
    </w:p>
    <w:p w14:paraId="0D5DEB45">
      <w:pPr>
        <w:pStyle w:val="5"/>
        <w:bidi w:val="0"/>
        <w:rPr>
          <w:rFonts w:hint="eastAsia" w:ascii="宋体" w:hAnsi="宋体" w:eastAsia="宋体" w:cs="宋体"/>
          <w:highlight w:val="none"/>
        </w:rPr>
      </w:pPr>
      <w:r>
        <w:rPr>
          <w:rFonts w:hint="eastAsia" w:ascii="宋体" w:hAnsi="宋体" w:eastAsia="宋体" w:cs="宋体"/>
          <w:highlight w:val="none"/>
        </w:rPr>
        <w:t>证件号码：</w:t>
      </w:r>
      <w:r>
        <w:rPr>
          <w:rFonts w:hint="eastAsia" w:ascii="宋体" w:hAnsi="宋体" w:eastAsia="宋体" w:cs="宋体"/>
          <w:highlight w:val="none"/>
          <w:u w:val="single"/>
        </w:rPr>
        <w:t xml:space="preserve">                              </w:t>
      </w:r>
    </w:p>
    <w:p w14:paraId="04898AB4">
      <w:pPr>
        <w:pStyle w:val="5"/>
        <w:bidi w:val="0"/>
        <w:rPr>
          <w:rFonts w:hint="eastAsia" w:ascii="宋体" w:hAnsi="宋体" w:eastAsia="宋体" w:cs="宋体"/>
          <w:highlight w:val="none"/>
        </w:rPr>
      </w:pPr>
      <w:r>
        <w:rPr>
          <w:rFonts w:hint="eastAsia" w:ascii="宋体" w:hAnsi="宋体" w:eastAsia="宋体" w:cs="宋体"/>
          <w:highlight w:val="none"/>
        </w:rPr>
        <w:t>法人代表：</w:t>
      </w:r>
      <w:r>
        <w:rPr>
          <w:rFonts w:hint="eastAsia" w:ascii="宋体" w:hAnsi="宋体" w:eastAsia="宋体" w:cs="宋体"/>
          <w:highlight w:val="none"/>
          <w:u w:val="single"/>
        </w:rPr>
        <w:t xml:space="preserve">                              </w:t>
      </w:r>
    </w:p>
    <w:p w14:paraId="574245A2">
      <w:pPr>
        <w:pStyle w:val="5"/>
        <w:bidi w:val="0"/>
        <w:rPr>
          <w:rFonts w:hint="eastAsia" w:ascii="宋体" w:hAnsi="宋体" w:eastAsia="宋体" w:cs="宋体"/>
          <w:highlight w:val="none"/>
        </w:rPr>
      </w:pPr>
      <w:r>
        <w:rPr>
          <w:rFonts w:hint="eastAsia" w:ascii="宋体" w:hAnsi="宋体" w:eastAsia="宋体" w:cs="宋体"/>
          <w:highlight w:val="none"/>
        </w:rPr>
        <w:t>承诺有效期限：    年    月    日—      年     月    日</w:t>
      </w:r>
    </w:p>
    <w:p w14:paraId="406C443A">
      <w:pPr>
        <w:pStyle w:val="5"/>
        <w:bidi w:val="0"/>
        <w:rPr>
          <w:rFonts w:hint="eastAsia" w:ascii="宋体" w:hAnsi="宋体" w:eastAsia="宋体" w:cs="宋体"/>
          <w:highlight w:val="none"/>
        </w:rPr>
      </w:pPr>
      <w:r>
        <w:rPr>
          <w:rFonts w:hint="eastAsia" w:ascii="宋体" w:hAnsi="宋体" w:eastAsia="宋体" w:cs="宋体"/>
          <w:highlight w:val="none"/>
        </w:rPr>
        <w:t>承诺内容：</w:t>
      </w:r>
    </w:p>
    <w:p w14:paraId="4A67976A">
      <w:pPr>
        <w:pStyle w:val="5"/>
        <w:bidi w:val="0"/>
        <w:rPr>
          <w:rFonts w:hint="eastAsia" w:ascii="宋体" w:hAnsi="宋体" w:eastAsia="宋体" w:cs="宋体"/>
          <w:highlight w:val="none"/>
        </w:rPr>
      </w:pPr>
      <w:r>
        <w:rPr>
          <w:rFonts w:hint="eastAsia" w:ascii="宋体" w:hAnsi="宋体" w:eastAsia="宋体" w:cs="宋体"/>
          <w:highlight w:val="none"/>
        </w:rPr>
        <w:t>为维护公开、公平、公正的政府采购市场秩序，树立诚实守信的政府采购供应商 形象，本单位自愿做出以下承诺：</w:t>
      </w:r>
    </w:p>
    <w:p w14:paraId="501877DB">
      <w:pPr>
        <w:pStyle w:val="5"/>
        <w:bidi w:val="0"/>
        <w:rPr>
          <w:rFonts w:hint="eastAsia" w:ascii="宋体" w:hAnsi="宋体" w:eastAsia="宋体" w:cs="宋体"/>
          <w:highlight w:val="none"/>
        </w:rPr>
      </w:pPr>
      <w:r>
        <w:rPr>
          <w:rFonts w:hint="eastAsia" w:ascii="宋体" w:hAnsi="宋体" w:eastAsia="宋体" w:cs="宋体"/>
          <w:highlight w:val="none"/>
        </w:rPr>
        <w:t>一、承诺本单位严格遵守国家法律、法规和规章，全面履行应尽的责任和义务， 全面做到履约守信，具备《中华人民共和国政府采购法》第二十二条第一款规定的条 件;</w:t>
      </w:r>
    </w:p>
    <w:p w14:paraId="1084C237">
      <w:pPr>
        <w:pStyle w:val="5"/>
        <w:bidi w:val="0"/>
        <w:rPr>
          <w:rFonts w:hint="eastAsia" w:ascii="宋体" w:hAnsi="宋体" w:eastAsia="宋体" w:cs="宋体"/>
          <w:highlight w:val="none"/>
        </w:rPr>
      </w:pPr>
      <w:r>
        <w:rPr>
          <w:rFonts w:hint="eastAsia" w:ascii="宋体" w:hAnsi="宋体" w:eastAsia="宋体" w:cs="宋体"/>
          <w:highlight w:val="none"/>
        </w:rPr>
        <w:t>二、承诺本单位提供给注册登记部门、行业管理部门、司法部门、行业组织以及 在政府采购活动中提交的所有资料均合法、真实、有效，无任何伪造、修改、虚假成 份，并对所提供资料的真实性负责；</w:t>
      </w:r>
    </w:p>
    <w:p w14:paraId="08EF786A">
      <w:pPr>
        <w:pStyle w:val="5"/>
        <w:bidi w:val="0"/>
        <w:rPr>
          <w:rFonts w:hint="eastAsia" w:ascii="宋体" w:hAnsi="宋体" w:eastAsia="宋体" w:cs="宋体"/>
          <w:highlight w:val="none"/>
        </w:rPr>
      </w:pPr>
      <w:r>
        <w:rPr>
          <w:rFonts w:hint="eastAsia" w:ascii="宋体" w:hAnsi="宋体" w:eastAsia="宋体" w:cs="宋体"/>
          <w:highlight w:val="none"/>
        </w:rPr>
        <w:t>三、承诺本单位严格依法开展生产经营活动，主动接受行业监管， 自愿接受依法 开展的日常检查；违法失信经营后将自愿接受约束和惩戒，并依法承担相应责任；</w:t>
      </w:r>
    </w:p>
    <w:p w14:paraId="599D4962">
      <w:pPr>
        <w:pStyle w:val="5"/>
        <w:bidi w:val="0"/>
        <w:rPr>
          <w:rFonts w:hint="eastAsia" w:ascii="宋体" w:hAnsi="宋体" w:eastAsia="宋体" w:cs="宋体"/>
          <w:highlight w:val="none"/>
        </w:rPr>
      </w:pPr>
      <w:r>
        <w:rPr>
          <w:rFonts w:hint="eastAsia" w:ascii="宋体" w:hAnsi="宋体" w:eastAsia="宋体" w:cs="宋体"/>
          <w:highlight w:val="none"/>
        </w:rPr>
        <w:t>四、承诺本单位自觉接受行政管理部门、行业组织、社会公众、新闻舆论的监督；</w:t>
      </w:r>
    </w:p>
    <w:p w14:paraId="63DDC40D">
      <w:pPr>
        <w:pStyle w:val="5"/>
        <w:bidi w:val="0"/>
        <w:rPr>
          <w:rFonts w:hint="eastAsia" w:ascii="宋体" w:hAnsi="宋体" w:eastAsia="宋体" w:cs="宋体"/>
          <w:highlight w:val="none"/>
        </w:rPr>
      </w:pPr>
      <w:r>
        <w:rPr>
          <w:rFonts w:hint="eastAsia" w:ascii="宋体" w:hAnsi="宋体" w:eastAsia="宋体" w:cs="宋体"/>
          <w:highlight w:val="none"/>
        </w:rPr>
        <w:t>五、承诺本单位自我约束、 自我管理，重合同、守信用，不制假售假、商标侵权、虚假宣传、违约毁约、恶意逃债、偷税漏税、价格欺诈、垄断和不正当竞争，维护经营者、消费者的合法权益；</w:t>
      </w:r>
    </w:p>
    <w:p w14:paraId="4CF6DD4B">
      <w:pPr>
        <w:pStyle w:val="5"/>
        <w:bidi w:val="0"/>
        <w:rPr>
          <w:rFonts w:hint="eastAsia" w:ascii="宋体" w:hAnsi="宋体" w:eastAsia="宋体" w:cs="宋体"/>
          <w:highlight w:val="none"/>
        </w:rPr>
      </w:pPr>
      <w:r>
        <w:rPr>
          <w:rFonts w:hint="eastAsia" w:ascii="宋体" w:hAnsi="宋体" w:eastAsia="宋体" w:cs="宋体"/>
          <w:highlight w:val="none"/>
        </w:rPr>
        <w:t>六、承诺本单位提出政府采购质疑和投诉坚持依法依规、诚实信用原则，在全国 范围 12 个月内没有三次以上查无实据的政府采购投诉；</w:t>
      </w:r>
    </w:p>
    <w:p w14:paraId="2D4F87A1">
      <w:pPr>
        <w:pStyle w:val="5"/>
        <w:bidi w:val="0"/>
        <w:rPr>
          <w:rFonts w:hint="eastAsia" w:ascii="宋体" w:hAnsi="宋体" w:eastAsia="宋体" w:cs="宋体"/>
          <w:highlight w:val="none"/>
        </w:rPr>
      </w:pPr>
      <w:r>
        <w:rPr>
          <w:rFonts w:hint="eastAsia" w:ascii="宋体" w:hAnsi="宋体" w:eastAsia="宋体" w:cs="宋体"/>
          <w:highlight w:val="none"/>
        </w:rPr>
        <w:t>七、根据政府采购相关法律法规的规定需要作出的其他承诺：</w:t>
      </w:r>
      <w:r>
        <w:rPr>
          <w:rFonts w:hint="eastAsia" w:ascii="宋体" w:hAnsi="宋体" w:eastAsia="宋体" w:cs="宋体"/>
          <w:highlight w:val="none"/>
          <w:u w:val="single"/>
        </w:rPr>
        <w:t xml:space="preserve">             </w:t>
      </w:r>
    </w:p>
    <w:p w14:paraId="361A2B82">
      <w:pPr>
        <w:pStyle w:val="5"/>
        <w:bidi w:val="0"/>
        <w:rPr>
          <w:rFonts w:hint="eastAsia" w:ascii="宋体" w:hAnsi="宋体" w:eastAsia="宋体" w:cs="宋体"/>
          <w:highlight w:val="none"/>
        </w:rPr>
      </w:pPr>
      <w:r>
        <w:rPr>
          <w:rFonts w:hint="eastAsia" w:ascii="宋体" w:hAnsi="宋体" w:eastAsia="宋体" w:cs="宋体"/>
          <w:highlight w:val="none"/>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4494B8D2">
      <w:pPr>
        <w:pStyle w:val="5"/>
        <w:bidi w:val="0"/>
        <w:rPr>
          <w:rFonts w:hint="eastAsia" w:ascii="宋体" w:hAnsi="宋体" w:eastAsia="宋体" w:cs="宋体"/>
          <w:highlight w:val="none"/>
        </w:rPr>
      </w:pPr>
    </w:p>
    <w:p w14:paraId="79FE9810">
      <w:pPr>
        <w:pStyle w:val="5"/>
        <w:bidi w:val="0"/>
        <w:rPr>
          <w:rFonts w:hint="eastAsia" w:ascii="宋体" w:hAnsi="宋体" w:eastAsia="宋体" w:cs="宋体"/>
          <w:highlight w:val="none"/>
        </w:rPr>
      </w:pPr>
      <w:r>
        <w:rPr>
          <w:rFonts w:hint="eastAsia" w:ascii="宋体" w:hAnsi="宋体" w:eastAsia="宋体" w:cs="宋体"/>
          <w:highlight w:val="none"/>
        </w:rPr>
        <w:t>承诺单位（盖章）：</w:t>
      </w:r>
    </w:p>
    <w:p w14:paraId="702768D0">
      <w:pPr>
        <w:pStyle w:val="5"/>
        <w:bidi w:val="0"/>
        <w:rPr>
          <w:rFonts w:hint="eastAsia" w:ascii="宋体" w:hAnsi="宋体" w:eastAsia="宋体" w:cs="宋体"/>
          <w:highlight w:val="none"/>
        </w:rPr>
      </w:pPr>
      <w:r>
        <w:rPr>
          <w:rFonts w:hint="eastAsia" w:ascii="宋体" w:hAnsi="宋体" w:eastAsia="宋体" w:cs="宋体"/>
          <w:highlight w:val="none"/>
        </w:rPr>
        <w:t>承诺人（签字）：</w:t>
      </w:r>
    </w:p>
    <w:p w14:paraId="2D7E6ED2">
      <w:pPr>
        <w:pStyle w:val="5"/>
        <w:bidi w:val="0"/>
        <w:rPr>
          <w:rFonts w:hint="eastAsia" w:ascii="宋体" w:hAnsi="宋体" w:eastAsia="宋体" w:cs="宋体"/>
          <w:highlight w:val="none"/>
        </w:rPr>
      </w:pPr>
      <w:r>
        <w:rPr>
          <w:rFonts w:hint="eastAsia" w:ascii="宋体" w:hAnsi="宋体" w:eastAsia="宋体" w:cs="宋体"/>
          <w:highlight w:val="none"/>
        </w:rPr>
        <w:t>法定代表人（负责人）身份证号：</w:t>
      </w:r>
    </w:p>
    <w:p w14:paraId="0EF0D9E0">
      <w:pPr>
        <w:pStyle w:val="5"/>
        <w:bidi w:val="0"/>
        <w:rPr>
          <w:rFonts w:hint="eastAsia" w:ascii="宋体" w:hAnsi="宋体" w:eastAsia="宋体" w:cs="宋体"/>
          <w:highlight w:val="none"/>
        </w:rPr>
      </w:pPr>
      <w:r>
        <w:rPr>
          <w:rFonts w:hint="eastAsia" w:ascii="宋体" w:hAnsi="宋体" w:eastAsia="宋体" w:cs="宋体"/>
          <w:highlight w:val="none"/>
        </w:rPr>
        <w:t>承诺日期：</w:t>
      </w:r>
    </w:p>
    <w:p w14:paraId="09DC8A26">
      <w:pPr>
        <w:pStyle w:val="5"/>
        <w:bidi w:val="0"/>
        <w:rPr>
          <w:rFonts w:hint="eastAsia" w:ascii="宋体" w:hAnsi="宋体" w:eastAsia="宋体" w:cs="宋体"/>
          <w:szCs w:val="24"/>
          <w:highlight w:val="none"/>
        </w:rPr>
      </w:pPr>
      <w:r>
        <w:rPr>
          <w:rFonts w:hint="eastAsia" w:ascii="宋体" w:hAnsi="宋体" w:eastAsia="宋体" w:cs="宋体"/>
          <w:highlight w:val="none"/>
        </w:rPr>
        <w:t>备注：法定代表人或负责人、主体名称发生变更的应当重新做出承诺；</w:t>
      </w:r>
    </w:p>
    <w:p w14:paraId="7E9CA5D0">
      <w:pPr>
        <w:spacing w:line="220" w:lineRule="auto"/>
        <w:rPr>
          <w:rFonts w:hint="eastAsia" w:ascii="宋体" w:hAnsi="宋体" w:eastAsia="宋体" w:cs="宋体"/>
          <w:sz w:val="24"/>
          <w:szCs w:val="24"/>
          <w:highlight w:val="none"/>
        </w:rPr>
      </w:pPr>
    </w:p>
    <w:p w14:paraId="35DEA53A">
      <w:pPr>
        <w:spacing w:line="220" w:lineRule="auto"/>
        <w:rPr>
          <w:rFonts w:hint="eastAsia" w:ascii="宋体" w:hAnsi="宋体" w:eastAsia="宋体" w:cs="宋体"/>
          <w:sz w:val="24"/>
          <w:szCs w:val="24"/>
          <w:highlight w:val="none"/>
        </w:rPr>
        <w:sectPr>
          <w:headerReference r:id="rId26" w:type="default"/>
          <w:footerReference r:id="rId27" w:type="default"/>
          <w:pgSz w:w="11906" w:h="16839"/>
          <w:pgMar w:top="1134" w:right="1417" w:bottom="969" w:left="1418" w:header="862" w:footer="754" w:gutter="0"/>
          <w:pgNumType w:fmt="decimal"/>
          <w:cols w:space="720" w:num="1"/>
        </w:sectPr>
      </w:pPr>
    </w:p>
    <w:p w14:paraId="55BBF23C">
      <w:pPr>
        <w:pStyle w:val="5"/>
        <w:bidi w:val="0"/>
        <w:ind w:left="0" w:leftChars="0" w:firstLine="0" w:firstLineChars="0"/>
        <w:jc w:val="cente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法定代表人或委托代理人员信用承诺书</w:t>
      </w:r>
    </w:p>
    <w:p w14:paraId="409EC052">
      <w:pPr>
        <w:pStyle w:val="5"/>
        <w:bidi w:val="0"/>
        <w:rPr>
          <w:rFonts w:hint="eastAsia" w:ascii="宋体" w:hAnsi="宋体" w:eastAsia="宋体" w:cs="宋体"/>
          <w:highlight w:val="none"/>
        </w:rPr>
      </w:pPr>
      <w:r>
        <w:rPr>
          <w:rFonts w:hint="eastAsia" w:ascii="宋体" w:hAnsi="宋体" w:eastAsia="宋体" w:cs="宋体"/>
          <w:highlight w:val="none"/>
        </w:rPr>
        <w:t>在</w:t>
      </w:r>
      <w:r>
        <w:rPr>
          <w:rFonts w:hint="eastAsia" w:ascii="宋体" w:hAnsi="宋体" w:eastAsia="宋体" w:cs="宋体"/>
          <w:highlight w:val="none"/>
          <w:u w:val="single"/>
        </w:rPr>
        <w:t xml:space="preserve">                                         </w:t>
      </w:r>
      <w:r>
        <w:rPr>
          <w:rFonts w:hint="eastAsia" w:ascii="宋体" w:hAnsi="宋体" w:eastAsia="宋体" w:cs="宋体"/>
          <w:highlight w:val="none"/>
        </w:rPr>
        <w:t>项目采购活动中，我个人郑重作 出以下信用承诺：</w:t>
      </w:r>
    </w:p>
    <w:p w14:paraId="0328D65F">
      <w:pPr>
        <w:pStyle w:val="5"/>
        <w:bidi w:val="0"/>
        <w:rPr>
          <w:rFonts w:hint="eastAsia" w:ascii="宋体" w:hAnsi="宋体" w:eastAsia="宋体" w:cs="宋体"/>
          <w:highlight w:val="none"/>
        </w:rPr>
      </w:pPr>
      <w:r>
        <w:rPr>
          <w:rFonts w:hint="eastAsia" w:ascii="宋体" w:hAnsi="宋体" w:eastAsia="宋体" w:cs="宋体"/>
          <w:highlight w:val="none"/>
        </w:rPr>
        <w:t>(一)能严格遵守法律法规、职业道德和行业规范，具有独立承担民事责任的能力；无法律法规规定禁止开展从业活动情形。我所递交的文件资料合法、真实、准确、完整、有效，无弄虚作假等情形。</w:t>
      </w:r>
    </w:p>
    <w:p w14:paraId="55255B9B">
      <w:pPr>
        <w:pStyle w:val="5"/>
        <w:bidi w:val="0"/>
        <w:rPr>
          <w:rFonts w:hint="eastAsia" w:ascii="宋体" w:hAnsi="宋体" w:eastAsia="宋体" w:cs="宋体"/>
          <w:highlight w:val="none"/>
        </w:rPr>
      </w:pPr>
      <w:r>
        <w:rPr>
          <w:rFonts w:hint="eastAsia" w:ascii="宋体" w:hAnsi="宋体" w:eastAsia="宋体" w:cs="宋体"/>
          <w:highlight w:val="none"/>
        </w:rPr>
        <w:t>(二)不得有以下违法违规行为：1.围标串标；以他人名义或者其他方式弄虚作假响应；出让出租资格、资质证书供他人响应；恶意竞标、强揽工程；以暴力、威胁、利诱等手段阻止或者控制其他潜在供应商参与采购活动。2.向采购监督部门、采购人、采购代理机构、评审委员会及其成员等当事主体赠送财物。3.响应截止后至成交人确定前，修改或者撤销响应文件。4.在被确定为成交供应商后无正当理由：不按照磋商文件和响应文件与采购人签订合同；在签订合同时 向采购人提出附加条件、或者改变响应文件的实质性内容；放弃成交；不按照磋 商文件的规定提交履约保证金承诺。5.政府采购法规定的其它违法违规行为。</w:t>
      </w:r>
    </w:p>
    <w:p w14:paraId="5C224FF7">
      <w:pPr>
        <w:pStyle w:val="5"/>
        <w:bidi w:val="0"/>
        <w:rPr>
          <w:rFonts w:hint="eastAsia" w:ascii="宋体" w:hAnsi="宋体" w:eastAsia="宋体" w:cs="宋体"/>
          <w:highlight w:val="none"/>
        </w:rPr>
      </w:pPr>
      <w:r>
        <w:rPr>
          <w:rFonts w:hint="eastAsia" w:ascii="宋体" w:hAnsi="宋体" w:eastAsia="宋体" w:cs="宋体"/>
          <w:highlight w:val="none"/>
        </w:rPr>
        <w:t>(三)自愿接受采购监督部门和有关行政监督部门的依法检查。</w:t>
      </w:r>
    </w:p>
    <w:p w14:paraId="345C07C6">
      <w:pPr>
        <w:pStyle w:val="5"/>
        <w:bidi w:val="0"/>
        <w:rPr>
          <w:rFonts w:hint="eastAsia" w:ascii="宋体" w:hAnsi="宋体" w:eastAsia="宋体" w:cs="宋体"/>
          <w:highlight w:val="none"/>
        </w:rPr>
      </w:pPr>
      <w:r>
        <w:rPr>
          <w:rFonts w:hint="eastAsia" w:ascii="宋体" w:hAnsi="宋体" w:eastAsia="宋体" w:cs="宋体"/>
          <w:highlight w:val="none"/>
        </w:rPr>
        <w:t>(四)同意将此信用承诺纳入陕西省公共信用信息平台和榆林市公共信用信息共享平台，并接受社会监督。</w:t>
      </w:r>
    </w:p>
    <w:p w14:paraId="33BA4D54">
      <w:pPr>
        <w:pStyle w:val="5"/>
        <w:bidi w:val="0"/>
        <w:rPr>
          <w:rFonts w:hint="eastAsia" w:ascii="宋体" w:hAnsi="宋体" w:eastAsia="宋体" w:cs="宋体"/>
          <w:sz w:val="24"/>
          <w:szCs w:val="24"/>
          <w:highlight w:val="none"/>
        </w:rPr>
      </w:pPr>
      <w:r>
        <w:rPr>
          <w:rFonts w:hint="eastAsia" w:ascii="宋体" w:hAnsi="宋体" w:eastAsia="宋体" w:cs="宋体"/>
          <w:highlight w:val="none"/>
        </w:rPr>
        <w:t>(五)若我违背以上承诺事项，即被视为失信人，依据《关于对公共资源交易领域严重失信主体开展联合惩戒的备忘录》(发改法规［2018] 457 号），自愿</w:t>
      </w:r>
      <w:r>
        <w:rPr>
          <w:rFonts w:hint="eastAsia" w:ascii="宋体" w:hAnsi="宋体" w:eastAsia="宋体" w:cs="宋体"/>
          <w:spacing w:val="-1"/>
          <w:sz w:val="24"/>
          <w:szCs w:val="24"/>
          <w:highlight w:val="none"/>
        </w:rPr>
        <w:t>接受失信联合惩戒和依法给予的行政处罚（处理</w:t>
      </w:r>
      <w:r>
        <w:rPr>
          <w:rFonts w:hint="eastAsia" w:ascii="宋体" w:hAnsi="宋体" w:eastAsia="宋体" w:cs="宋体"/>
          <w:spacing w:val="-20"/>
          <w:sz w:val="24"/>
          <w:szCs w:val="24"/>
          <w:highlight w:val="none"/>
        </w:rPr>
        <w:t>），</w:t>
      </w:r>
      <w:r>
        <w:rPr>
          <w:rFonts w:hint="eastAsia" w:ascii="宋体" w:hAnsi="宋体" w:eastAsia="宋体" w:cs="宋体"/>
          <w:spacing w:val="-37"/>
          <w:sz w:val="24"/>
          <w:szCs w:val="24"/>
          <w:highlight w:val="none"/>
        </w:rPr>
        <w:t xml:space="preserve"> </w:t>
      </w:r>
      <w:r>
        <w:rPr>
          <w:rFonts w:hint="eastAsia" w:ascii="宋体" w:hAnsi="宋体" w:eastAsia="宋体" w:cs="宋体"/>
          <w:spacing w:val="-1"/>
          <w:sz w:val="24"/>
          <w:szCs w:val="24"/>
          <w:highlight w:val="none"/>
        </w:rPr>
        <w:t>并依法承担赔偿责任和刑事责任。</w:t>
      </w:r>
    </w:p>
    <w:p w14:paraId="5431B6DA">
      <w:pPr>
        <w:spacing w:line="389" w:lineRule="auto"/>
        <w:rPr>
          <w:rFonts w:hint="eastAsia" w:ascii="宋体" w:hAnsi="宋体" w:eastAsia="宋体" w:cs="宋体"/>
          <w:sz w:val="21"/>
          <w:highlight w:val="none"/>
        </w:rPr>
      </w:pPr>
    </w:p>
    <w:p w14:paraId="2D069863">
      <w:pPr>
        <w:pStyle w:val="5"/>
        <w:bidi w:val="0"/>
        <w:rPr>
          <w:rFonts w:hint="eastAsia" w:ascii="宋体" w:hAnsi="宋体" w:eastAsia="宋体" w:cs="宋体"/>
          <w:highlight w:val="none"/>
        </w:rPr>
      </w:pPr>
      <w:r>
        <w:rPr>
          <w:rFonts w:hint="eastAsia" w:ascii="宋体" w:hAnsi="宋体" w:eastAsia="宋体" w:cs="宋体"/>
          <w:highlight w:val="none"/>
        </w:rPr>
        <w:t>承诺有效期限：</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日至</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533665AF">
      <w:pPr>
        <w:pStyle w:val="5"/>
        <w:bidi w:val="0"/>
        <w:rPr>
          <w:rFonts w:hint="eastAsia" w:ascii="宋体" w:hAnsi="宋体" w:eastAsia="宋体" w:cs="宋体"/>
          <w:highlight w:val="none"/>
        </w:rPr>
      </w:pPr>
    </w:p>
    <w:p w14:paraId="2C4044B1">
      <w:pPr>
        <w:pStyle w:val="5"/>
        <w:bidi w:val="0"/>
        <w:rPr>
          <w:rFonts w:hint="eastAsia" w:ascii="宋体" w:hAnsi="宋体" w:eastAsia="宋体" w:cs="宋体"/>
          <w:highlight w:val="none"/>
        </w:rPr>
      </w:pPr>
      <w:r>
        <w:rPr>
          <w:rFonts w:hint="eastAsia" w:ascii="宋体" w:hAnsi="宋体" w:eastAsia="宋体" w:cs="宋体"/>
          <w:highlight w:val="none"/>
        </w:rPr>
        <w:t xml:space="preserve">委托代理人员（签字）：                   </w:t>
      </w:r>
    </w:p>
    <w:p w14:paraId="4AC228D5">
      <w:pPr>
        <w:pStyle w:val="5"/>
        <w:bidi w:val="0"/>
        <w:rPr>
          <w:rFonts w:hint="eastAsia" w:ascii="宋体" w:hAnsi="宋体" w:eastAsia="宋体" w:cs="宋体"/>
          <w:highlight w:val="none"/>
        </w:rPr>
      </w:pPr>
    </w:p>
    <w:p w14:paraId="4879C1E5">
      <w:pPr>
        <w:pStyle w:val="5"/>
        <w:bidi w:val="0"/>
        <w:rPr>
          <w:rFonts w:hint="eastAsia" w:ascii="宋体" w:hAnsi="宋体" w:eastAsia="宋体" w:cs="宋体"/>
          <w:highlight w:val="none"/>
        </w:rPr>
      </w:pPr>
      <w:r>
        <w:rPr>
          <w:rFonts w:hint="eastAsia" w:ascii="宋体" w:hAnsi="宋体" w:eastAsia="宋体" w:cs="宋体"/>
          <w:highlight w:val="none"/>
        </w:rPr>
        <w:t>供应商（盖章）：</w:t>
      </w:r>
    </w:p>
    <w:p w14:paraId="7F8145C3">
      <w:pPr>
        <w:pStyle w:val="5"/>
        <w:bidi w:val="0"/>
        <w:rPr>
          <w:rFonts w:hint="eastAsia" w:ascii="宋体" w:hAnsi="宋体" w:eastAsia="宋体" w:cs="宋体"/>
          <w:highlight w:val="none"/>
        </w:rPr>
      </w:pPr>
    </w:p>
    <w:p w14:paraId="20B50E8A">
      <w:pPr>
        <w:pStyle w:val="5"/>
        <w:bidi w:val="0"/>
        <w:rPr>
          <w:rFonts w:hint="eastAsia" w:ascii="宋体" w:hAnsi="宋体" w:eastAsia="宋体" w:cs="宋体"/>
          <w:highlight w:val="none"/>
        </w:rPr>
      </w:pPr>
      <w:r>
        <w:rPr>
          <w:rFonts w:hint="eastAsia" w:ascii="宋体" w:hAnsi="宋体" w:eastAsia="宋体" w:cs="宋体"/>
          <w:highlight w:val="none"/>
        </w:rPr>
        <w:t>承诺时间：     年    月    日</w:t>
      </w:r>
    </w:p>
    <w:p w14:paraId="6463B71A">
      <w:pPr>
        <w:pStyle w:val="5"/>
        <w:bidi w:val="0"/>
        <w:rPr>
          <w:rFonts w:hint="eastAsia" w:ascii="宋体" w:hAnsi="宋体" w:eastAsia="宋体" w:cs="宋体"/>
          <w:highlight w:val="none"/>
        </w:rPr>
      </w:pPr>
    </w:p>
    <w:p w14:paraId="1F39FE1A">
      <w:pPr>
        <w:pStyle w:val="5"/>
        <w:bidi w:val="0"/>
        <w:rPr>
          <w:rFonts w:hint="eastAsia" w:ascii="宋体" w:hAnsi="宋体" w:eastAsia="宋体" w:cs="宋体"/>
          <w:szCs w:val="24"/>
          <w:highlight w:val="none"/>
        </w:rPr>
      </w:pPr>
      <w:r>
        <w:rPr>
          <w:rFonts w:hint="eastAsia" w:ascii="宋体" w:hAnsi="宋体" w:eastAsia="宋体" w:cs="宋体"/>
          <w:highlight w:val="none"/>
        </w:rPr>
        <w:t>注：本承诺自递交磋商响应文件截止之日起 1年。</w:t>
      </w:r>
    </w:p>
    <w:p w14:paraId="38F02232">
      <w:pPr>
        <w:spacing w:line="421" w:lineRule="auto"/>
        <w:rPr>
          <w:rFonts w:hint="eastAsia" w:ascii="宋体" w:hAnsi="宋体" w:eastAsia="宋体" w:cs="宋体"/>
          <w:sz w:val="24"/>
          <w:szCs w:val="24"/>
          <w:highlight w:val="none"/>
        </w:rPr>
        <w:sectPr>
          <w:headerReference r:id="rId28" w:type="default"/>
          <w:footerReference r:id="rId29" w:type="default"/>
          <w:pgSz w:w="11906" w:h="16839"/>
          <w:pgMar w:top="1134" w:right="1342" w:bottom="969" w:left="1418" w:header="862" w:footer="754" w:gutter="0"/>
          <w:pgNumType w:fmt="decimal"/>
          <w:cols w:space="720" w:num="1"/>
        </w:sectPr>
      </w:pPr>
    </w:p>
    <w:p w14:paraId="1B60402B">
      <w:pPr>
        <w:pStyle w:val="5"/>
        <w:bidi w:val="0"/>
        <w:ind w:left="0" w:leftChars="0" w:firstLine="0" w:firstLineChars="0"/>
        <w:jc w:val="cente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供应商参加政府采购活动承诺书</w:t>
      </w:r>
    </w:p>
    <w:p w14:paraId="339B8B3C">
      <w:pPr>
        <w:pStyle w:val="5"/>
        <w:bidi w:val="0"/>
        <w:rPr>
          <w:rFonts w:hint="eastAsia" w:ascii="宋体" w:hAnsi="宋体" w:eastAsia="宋体" w:cs="宋体"/>
          <w:sz w:val="21"/>
          <w:highlight w:val="none"/>
        </w:rPr>
      </w:pPr>
      <w:r>
        <w:rPr>
          <w:rFonts w:hint="eastAsia" w:ascii="宋体" w:hAnsi="宋体" w:eastAsia="宋体" w:cs="宋体"/>
          <w:highlight w:val="none"/>
        </w:rPr>
        <w:t>未签署下列承诺书的，其责任由供应商自行承担。</w:t>
      </w:r>
    </w:p>
    <w:p w14:paraId="41629C52">
      <w:pPr>
        <w:pStyle w:val="5"/>
        <w:bidi w:val="0"/>
        <w:rPr>
          <w:rFonts w:hint="eastAsia" w:ascii="宋体" w:hAnsi="宋体" w:eastAsia="宋体" w:cs="宋体"/>
          <w:b/>
          <w:bCs/>
          <w:highlight w:val="none"/>
        </w:rPr>
      </w:pPr>
      <w:r>
        <w:rPr>
          <w:rFonts w:hint="eastAsia" w:ascii="宋体" w:hAnsi="宋体" w:eastAsia="宋体" w:cs="宋体"/>
          <w:b/>
          <w:bCs/>
          <w:highlight w:val="none"/>
        </w:rPr>
        <w:t>（一）质量安全责任承诺书</w:t>
      </w:r>
    </w:p>
    <w:p w14:paraId="5356754F">
      <w:pPr>
        <w:pStyle w:val="5"/>
        <w:bidi w:val="0"/>
        <w:rPr>
          <w:rFonts w:hint="eastAsia" w:ascii="宋体" w:hAnsi="宋体" w:eastAsia="宋体" w:cs="宋体"/>
          <w:highlight w:val="none"/>
        </w:rPr>
      </w:pPr>
      <w:r>
        <w:rPr>
          <w:rFonts w:hint="eastAsia" w:ascii="宋体" w:hAnsi="宋体" w:eastAsia="宋体" w:cs="宋体"/>
          <w:highlight w:val="none"/>
        </w:rPr>
        <w:t>为保证本采购项目顺利进行，作为供应商，现郑重承诺：</w:t>
      </w:r>
    </w:p>
    <w:p w14:paraId="5F401A3D">
      <w:pPr>
        <w:pStyle w:val="5"/>
        <w:bidi w:val="0"/>
        <w:rPr>
          <w:rFonts w:hint="eastAsia" w:ascii="宋体" w:hAnsi="宋体" w:eastAsia="宋体" w:cs="宋体"/>
          <w:highlight w:val="none"/>
        </w:rPr>
      </w:pPr>
      <w:r>
        <w:rPr>
          <w:rFonts w:hint="eastAsia" w:ascii="宋体" w:hAnsi="宋体" w:eastAsia="宋体" w:cs="宋体"/>
          <w:highlight w:val="none"/>
        </w:rPr>
        <w:t>1、我方响应服务均完全符合国家现行标准和要求。</w:t>
      </w:r>
    </w:p>
    <w:p w14:paraId="1E641CF9">
      <w:pPr>
        <w:pStyle w:val="5"/>
        <w:bidi w:val="0"/>
        <w:rPr>
          <w:rFonts w:hint="eastAsia" w:ascii="宋体" w:hAnsi="宋体" w:eastAsia="宋体" w:cs="宋体"/>
          <w:highlight w:val="none"/>
        </w:rPr>
      </w:pPr>
      <w:r>
        <w:rPr>
          <w:rFonts w:hint="eastAsia" w:ascii="宋体" w:hAnsi="宋体" w:eastAsia="宋体" w:cs="宋体"/>
          <w:highlight w:val="none"/>
        </w:rPr>
        <w:t>2、我方将严格按照国家现行相关服务标准及规范，在规定的时限内，保质、保量 完成项目全部内容，并向采购人合格交付。</w:t>
      </w:r>
    </w:p>
    <w:p w14:paraId="6950417A">
      <w:pPr>
        <w:pStyle w:val="5"/>
        <w:bidi w:val="0"/>
        <w:rPr>
          <w:rFonts w:hint="eastAsia" w:ascii="宋体" w:hAnsi="宋体" w:eastAsia="宋体" w:cs="宋体"/>
          <w:highlight w:val="none"/>
        </w:rPr>
      </w:pPr>
      <w:r>
        <w:rPr>
          <w:rFonts w:hint="eastAsia" w:ascii="宋体" w:hAnsi="宋体" w:eastAsia="宋体" w:cs="宋体"/>
          <w:highlight w:val="none"/>
        </w:rPr>
        <w:t>3、对于承接该项目过程中产生的任何安全事故，我方承担全部责任。</w:t>
      </w:r>
    </w:p>
    <w:p w14:paraId="6FBA61AC">
      <w:pPr>
        <w:pStyle w:val="5"/>
        <w:bidi w:val="0"/>
        <w:rPr>
          <w:rFonts w:hint="eastAsia" w:ascii="宋体" w:hAnsi="宋体" w:eastAsia="宋体" w:cs="宋体"/>
          <w:szCs w:val="24"/>
          <w:highlight w:val="none"/>
        </w:rPr>
      </w:pPr>
      <w:r>
        <w:rPr>
          <w:rFonts w:hint="eastAsia" w:ascii="宋体" w:hAnsi="宋体" w:eastAsia="宋体" w:cs="宋体"/>
          <w:highlight w:val="none"/>
        </w:rPr>
        <w:t>4、我方提供的服务符合现行的国家、行业、地区、企业标准及要求，标准不一致 的，以更为严格的为准，我方对提供的服务的质量、安全、环保等承担全部责任</w:t>
      </w:r>
      <w:r>
        <w:rPr>
          <w:rFonts w:hint="eastAsia" w:ascii="宋体" w:hAnsi="宋体" w:eastAsia="宋体" w:cs="宋体"/>
          <w:spacing w:val="2"/>
          <w:szCs w:val="24"/>
          <w:highlight w:val="none"/>
        </w:rPr>
        <w:t>。</w:t>
      </w:r>
    </w:p>
    <w:p w14:paraId="10BC0B39">
      <w:pPr>
        <w:spacing w:line="292" w:lineRule="auto"/>
        <w:rPr>
          <w:rFonts w:hint="eastAsia" w:ascii="宋体" w:hAnsi="宋体" w:eastAsia="宋体" w:cs="宋体"/>
          <w:sz w:val="21"/>
          <w:highlight w:val="none"/>
        </w:rPr>
      </w:pPr>
    </w:p>
    <w:p w14:paraId="6F5F24DD">
      <w:pPr>
        <w:spacing w:line="293" w:lineRule="auto"/>
        <w:rPr>
          <w:rFonts w:hint="eastAsia" w:ascii="宋体" w:hAnsi="宋体" w:eastAsia="宋体" w:cs="宋体"/>
          <w:sz w:val="21"/>
          <w:highlight w:val="none"/>
        </w:rPr>
      </w:pPr>
    </w:p>
    <w:p w14:paraId="646B466B">
      <w:pPr>
        <w:pStyle w:val="5"/>
        <w:bidi w:val="0"/>
        <w:rPr>
          <w:rFonts w:hint="eastAsia" w:ascii="宋体" w:hAnsi="宋体" w:eastAsia="宋体" w:cs="宋体"/>
          <w:highlight w:val="none"/>
        </w:rPr>
      </w:pPr>
      <w:r>
        <w:rPr>
          <w:rFonts w:hint="eastAsia" w:ascii="宋体" w:hAnsi="宋体" w:eastAsia="宋体" w:cs="宋体"/>
          <w:highlight w:val="none"/>
        </w:rPr>
        <w:t>供应商公章：</w:t>
      </w:r>
      <w:r>
        <w:rPr>
          <w:rFonts w:hint="eastAsia" w:ascii="宋体" w:hAnsi="宋体" w:eastAsia="宋体" w:cs="宋体"/>
          <w:highlight w:val="none"/>
          <w:u w:val="single"/>
        </w:rPr>
        <w:t xml:space="preserve">                                     </w:t>
      </w:r>
    </w:p>
    <w:p w14:paraId="5DFCC09D">
      <w:pPr>
        <w:pStyle w:val="5"/>
        <w:bidi w:val="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p>
    <w:p w14:paraId="08C0CD31">
      <w:pPr>
        <w:spacing w:line="419" w:lineRule="auto"/>
        <w:rPr>
          <w:rFonts w:hint="eastAsia" w:ascii="宋体" w:hAnsi="宋体" w:eastAsia="宋体" w:cs="宋体"/>
          <w:sz w:val="24"/>
          <w:szCs w:val="24"/>
          <w:highlight w:val="none"/>
        </w:rPr>
      </w:pPr>
    </w:p>
    <w:p w14:paraId="3F2C7727">
      <w:pPr>
        <w:spacing w:line="419" w:lineRule="auto"/>
        <w:rPr>
          <w:rFonts w:hint="eastAsia" w:ascii="宋体" w:hAnsi="宋体" w:eastAsia="宋体" w:cs="宋体"/>
          <w:sz w:val="24"/>
          <w:szCs w:val="24"/>
          <w:highlight w:val="none"/>
        </w:rPr>
        <w:sectPr>
          <w:headerReference r:id="rId30" w:type="default"/>
          <w:footerReference r:id="rId31" w:type="default"/>
          <w:pgSz w:w="11906" w:h="16839"/>
          <w:pgMar w:top="1134" w:right="1417" w:bottom="969" w:left="1418" w:header="862" w:footer="754" w:gutter="0"/>
          <w:pgNumType w:fmt="decimal"/>
          <w:cols w:space="720" w:num="1"/>
        </w:sectPr>
      </w:pPr>
    </w:p>
    <w:p w14:paraId="2FB4C9F8">
      <w:pPr>
        <w:pStyle w:val="5"/>
        <w:bidi w:val="0"/>
        <w:ind w:firstLine="510"/>
        <w:rPr>
          <w:rFonts w:hint="eastAsia" w:ascii="宋体" w:hAnsi="宋体" w:eastAsia="宋体" w:cs="宋体"/>
          <w:b/>
          <w:bCs/>
          <w:highlight w:val="none"/>
        </w:rPr>
      </w:pPr>
      <w:r>
        <w:rPr>
          <w:rFonts w:hint="eastAsia" w:ascii="宋体" w:hAnsi="宋体" w:eastAsia="宋体" w:cs="宋体"/>
          <w:b/>
          <w:bCs/>
          <w:highlight w:val="none"/>
        </w:rPr>
        <w:t>（二）拒绝政府采购领域商业贿赂承诺书</w:t>
      </w:r>
    </w:p>
    <w:p w14:paraId="05B591BD">
      <w:pPr>
        <w:pStyle w:val="5"/>
        <w:bidi w:val="0"/>
        <w:rPr>
          <w:rFonts w:hint="eastAsia" w:ascii="宋体" w:hAnsi="宋体" w:eastAsia="宋体" w:cs="宋体"/>
          <w:highlight w:val="none"/>
        </w:rPr>
      </w:pPr>
      <w:r>
        <w:rPr>
          <w:rFonts w:hint="eastAsia" w:ascii="宋体" w:hAnsi="宋体" w:eastAsia="宋体" w:cs="宋体"/>
          <w:highlight w:val="none"/>
        </w:rPr>
        <w:t>（执行陕财办采管[2006]21 号文件）</w:t>
      </w:r>
    </w:p>
    <w:p w14:paraId="715BCB9E">
      <w:pPr>
        <w:pStyle w:val="5"/>
        <w:bidi w:val="0"/>
        <w:rPr>
          <w:rFonts w:hint="eastAsia" w:ascii="宋体" w:hAnsi="宋体" w:eastAsia="宋体" w:cs="宋体"/>
          <w:highlight w:val="none"/>
        </w:rPr>
      </w:pPr>
      <w:r>
        <w:rPr>
          <w:rFonts w:hint="eastAsia" w:ascii="宋体" w:hAnsi="宋体" w:eastAsia="宋体" w:cs="宋体"/>
          <w:highlight w:val="none"/>
        </w:rPr>
        <w:t>为响应党中央、国务院关于治理政府采购领域商业贿赂行为的号召，我公司在此庄严承诺：</w:t>
      </w:r>
    </w:p>
    <w:p w14:paraId="62C8A3A1">
      <w:pPr>
        <w:pStyle w:val="5"/>
        <w:bidi w:val="0"/>
        <w:rPr>
          <w:rFonts w:hint="eastAsia" w:ascii="宋体" w:hAnsi="宋体" w:eastAsia="宋体" w:cs="宋体"/>
          <w:highlight w:val="none"/>
        </w:rPr>
      </w:pPr>
      <w:r>
        <w:rPr>
          <w:rFonts w:hint="eastAsia" w:ascii="宋体" w:hAnsi="宋体" w:eastAsia="宋体" w:cs="宋体"/>
          <w:highlight w:val="none"/>
        </w:rPr>
        <w:t>1、在参与政府采购活动中遵纪守法、诚信经营、公平竞标。</w:t>
      </w:r>
    </w:p>
    <w:p w14:paraId="7B90F1F9">
      <w:pPr>
        <w:pStyle w:val="5"/>
        <w:bidi w:val="0"/>
        <w:rPr>
          <w:rFonts w:hint="eastAsia" w:ascii="宋体" w:hAnsi="宋体" w:eastAsia="宋体" w:cs="宋体"/>
          <w:highlight w:val="none"/>
        </w:rPr>
      </w:pPr>
      <w:r>
        <w:rPr>
          <w:rFonts w:hint="eastAsia" w:ascii="宋体" w:hAnsi="宋体" w:eastAsia="宋体" w:cs="宋体"/>
          <w:highlight w:val="none"/>
        </w:rPr>
        <w:t>2、不向政府采购人、采购代理机构和政府采购评审专家进行任何形式的商业贿赂 以谋取交易机会。</w:t>
      </w:r>
    </w:p>
    <w:p w14:paraId="0A696D7D">
      <w:pPr>
        <w:pStyle w:val="5"/>
        <w:bidi w:val="0"/>
        <w:rPr>
          <w:rFonts w:hint="eastAsia" w:ascii="宋体" w:hAnsi="宋体" w:eastAsia="宋体" w:cs="宋体"/>
          <w:highlight w:val="none"/>
        </w:rPr>
      </w:pPr>
      <w:r>
        <w:rPr>
          <w:rFonts w:hint="eastAsia" w:ascii="宋体" w:hAnsi="宋体" w:eastAsia="宋体" w:cs="宋体"/>
          <w:highlight w:val="none"/>
        </w:rPr>
        <w:t>3、不向政府采购代理机构和采购人提供虚假资质文件或采用虚假应标方式参与政 府采购市场竞争并谋取中标、成交。</w:t>
      </w:r>
    </w:p>
    <w:p w14:paraId="7B87180A">
      <w:pPr>
        <w:pStyle w:val="5"/>
        <w:bidi w:val="0"/>
        <w:rPr>
          <w:rFonts w:hint="eastAsia" w:ascii="宋体" w:hAnsi="宋体" w:eastAsia="宋体" w:cs="宋体"/>
          <w:highlight w:val="none"/>
        </w:rPr>
      </w:pPr>
      <w:r>
        <w:rPr>
          <w:rFonts w:hint="eastAsia" w:ascii="宋体" w:hAnsi="宋体" w:eastAsia="宋体" w:cs="宋体"/>
          <w:highlight w:val="none"/>
        </w:rPr>
        <w:t>4、不采取“ 围标、陪标 ”等商业欺诈手段获得政府采购定单。</w:t>
      </w:r>
    </w:p>
    <w:p w14:paraId="1F01A2FD">
      <w:pPr>
        <w:pStyle w:val="5"/>
        <w:bidi w:val="0"/>
        <w:rPr>
          <w:rFonts w:hint="eastAsia" w:ascii="宋体" w:hAnsi="宋体" w:eastAsia="宋体" w:cs="宋体"/>
          <w:highlight w:val="none"/>
        </w:rPr>
      </w:pPr>
      <w:r>
        <w:rPr>
          <w:rFonts w:hint="eastAsia" w:ascii="宋体" w:hAnsi="宋体" w:eastAsia="宋体" w:cs="宋体"/>
          <w:highlight w:val="none"/>
        </w:rPr>
        <w:t>5、不采取不正当手段诋毁、排挤其他供应商。</w:t>
      </w:r>
    </w:p>
    <w:p w14:paraId="36E318EE">
      <w:pPr>
        <w:pStyle w:val="5"/>
        <w:bidi w:val="0"/>
        <w:rPr>
          <w:rFonts w:hint="eastAsia" w:ascii="宋体" w:hAnsi="宋体" w:eastAsia="宋体" w:cs="宋体"/>
          <w:highlight w:val="none"/>
        </w:rPr>
      </w:pPr>
      <w:r>
        <w:rPr>
          <w:rFonts w:hint="eastAsia" w:ascii="宋体" w:hAnsi="宋体" w:eastAsia="宋体" w:cs="宋体"/>
          <w:highlight w:val="none"/>
        </w:rPr>
        <w:t>6、不在提供商品和服务时“偷梁换柱、以次充好 ”损害采购人的合法权益。</w:t>
      </w:r>
    </w:p>
    <w:p w14:paraId="0E99AA09">
      <w:pPr>
        <w:pStyle w:val="5"/>
        <w:bidi w:val="0"/>
        <w:rPr>
          <w:rFonts w:hint="eastAsia" w:ascii="宋体" w:hAnsi="宋体" w:eastAsia="宋体" w:cs="宋体"/>
          <w:highlight w:val="none"/>
        </w:rPr>
      </w:pPr>
      <w:r>
        <w:rPr>
          <w:rFonts w:hint="eastAsia" w:ascii="宋体" w:hAnsi="宋体" w:eastAsia="宋体" w:cs="宋体"/>
          <w:highlight w:val="none"/>
        </w:rPr>
        <w:t>7、不与采购人、采购代理机构政府采购评审专家或其它供应商恶意串通，进行质 疑和投诉，维护政府采购市场秩序。</w:t>
      </w:r>
    </w:p>
    <w:p w14:paraId="1AAAB63B">
      <w:pPr>
        <w:pStyle w:val="5"/>
        <w:bidi w:val="0"/>
        <w:rPr>
          <w:rFonts w:hint="eastAsia" w:ascii="宋体" w:hAnsi="宋体" w:eastAsia="宋体" w:cs="宋体"/>
          <w:highlight w:val="none"/>
        </w:rPr>
      </w:pPr>
      <w:r>
        <w:rPr>
          <w:rFonts w:hint="eastAsia" w:ascii="宋体" w:hAnsi="宋体" w:eastAsia="宋体" w:cs="宋体"/>
          <w:highlight w:val="none"/>
        </w:rPr>
        <w:t>8、尊重和接受政府采购监督管理部门的监督和政府采购代理机构采购采购要求， 承担因违约行为给采购人造成的损失。</w:t>
      </w:r>
    </w:p>
    <w:p w14:paraId="08BBFA2D">
      <w:pPr>
        <w:pStyle w:val="5"/>
        <w:bidi w:val="0"/>
        <w:rPr>
          <w:rFonts w:hint="eastAsia" w:ascii="宋体" w:hAnsi="宋体" w:eastAsia="宋体" w:cs="宋体"/>
          <w:highlight w:val="none"/>
        </w:rPr>
      </w:pPr>
      <w:r>
        <w:rPr>
          <w:rFonts w:hint="eastAsia" w:ascii="宋体" w:hAnsi="宋体" w:eastAsia="宋体" w:cs="宋体"/>
          <w:highlight w:val="none"/>
        </w:rPr>
        <w:t>9、不发生其他有悖于政府采购公开、公平、公正和诚信原则的行为。</w:t>
      </w:r>
    </w:p>
    <w:p w14:paraId="33F59952">
      <w:pPr>
        <w:spacing w:line="270" w:lineRule="auto"/>
        <w:rPr>
          <w:rFonts w:hint="eastAsia" w:ascii="宋体" w:hAnsi="宋体" w:eastAsia="宋体" w:cs="宋体"/>
          <w:sz w:val="21"/>
          <w:highlight w:val="none"/>
        </w:rPr>
      </w:pPr>
    </w:p>
    <w:p w14:paraId="3EFF5362">
      <w:pPr>
        <w:spacing w:line="270" w:lineRule="auto"/>
        <w:rPr>
          <w:rFonts w:hint="eastAsia" w:ascii="宋体" w:hAnsi="宋体" w:eastAsia="宋体" w:cs="宋体"/>
          <w:sz w:val="21"/>
          <w:highlight w:val="none"/>
        </w:rPr>
      </w:pPr>
    </w:p>
    <w:p w14:paraId="02826411">
      <w:pPr>
        <w:spacing w:line="271" w:lineRule="auto"/>
        <w:rPr>
          <w:rFonts w:hint="eastAsia" w:ascii="宋体" w:hAnsi="宋体" w:eastAsia="宋体" w:cs="宋体"/>
          <w:sz w:val="21"/>
          <w:highlight w:val="none"/>
        </w:rPr>
      </w:pPr>
    </w:p>
    <w:p w14:paraId="64256736">
      <w:pPr>
        <w:spacing w:line="271" w:lineRule="auto"/>
        <w:rPr>
          <w:rFonts w:hint="eastAsia" w:ascii="宋体" w:hAnsi="宋体" w:eastAsia="宋体" w:cs="宋体"/>
          <w:sz w:val="21"/>
          <w:highlight w:val="none"/>
        </w:rPr>
      </w:pPr>
    </w:p>
    <w:p w14:paraId="3CCC2B7E">
      <w:pPr>
        <w:pStyle w:val="5"/>
        <w:bidi w:val="0"/>
        <w:ind w:firstLine="3120" w:firstLineChars="1300"/>
        <w:rPr>
          <w:rFonts w:hint="eastAsia" w:ascii="宋体" w:hAnsi="宋体" w:eastAsia="宋体" w:cs="宋体"/>
          <w:highlight w:val="none"/>
        </w:rPr>
      </w:pPr>
      <w:r>
        <w:rPr>
          <w:rFonts w:hint="eastAsia" w:ascii="宋体" w:hAnsi="宋体" w:eastAsia="宋体" w:cs="宋体"/>
          <w:highlight w:val="none"/>
        </w:rPr>
        <w:t>供应商公章：</w:t>
      </w:r>
      <w:r>
        <w:rPr>
          <w:rFonts w:hint="eastAsia" w:ascii="宋体" w:hAnsi="宋体" w:eastAsia="宋体" w:cs="宋体"/>
          <w:highlight w:val="none"/>
          <w:u w:val="single"/>
        </w:rPr>
        <w:t xml:space="preserve">                                     </w:t>
      </w:r>
    </w:p>
    <w:p w14:paraId="30C3C062">
      <w:pPr>
        <w:pStyle w:val="5"/>
        <w:bidi w:val="0"/>
        <w:ind w:firstLine="3120" w:firstLineChars="1300"/>
        <w:rPr>
          <w:rFonts w:hint="eastAsia" w:ascii="宋体" w:hAnsi="宋体" w:eastAsia="宋体" w:cs="宋体"/>
          <w:highlight w:val="none"/>
        </w:rPr>
      </w:pPr>
      <w:r>
        <w:rPr>
          <w:rFonts w:hint="eastAsia" w:ascii="宋体" w:hAnsi="宋体" w:eastAsia="宋体" w:cs="宋体"/>
          <w:highlight w:val="none"/>
        </w:rPr>
        <w:t>日</w:t>
      </w:r>
      <w:r>
        <w:rPr>
          <w:rFonts w:hint="eastAsia" w:ascii="宋体" w:hAnsi="宋体" w:eastAsia="宋体" w:cs="宋体"/>
          <w:highlight w:val="none"/>
          <w:lang w:val="en-US" w:eastAsia="zh-CN"/>
        </w:rPr>
        <w:t xml:space="preserve"> </w:t>
      </w:r>
      <w:r>
        <w:rPr>
          <w:rFonts w:hint="eastAsia" w:ascii="宋体" w:hAnsi="宋体" w:eastAsia="宋体" w:cs="宋体"/>
          <w:highlight w:val="none"/>
        </w:rPr>
        <w:t>期</w:t>
      </w:r>
      <w:r>
        <w:rPr>
          <w:rFonts w:hint="eastAsia" w:ascii="宋体" w:hAnsi="宋体" w:eastAsia="宋体" w:cs="宋体"/>
          <w:highlight w:val="none"/>
          <w:lang w:eastAsia="zh-CN"/>
        </w:rPr>
        <w:t>：</w:t>
      </w:r>
      <w:r>
        <w:rPr>
          <w:rFonts w:hint="eastAsia" w:ascii="宋体" w:hAnsi="宋体" w:eastAsia="宋体" w:cs="宋体"/>
          <w:highlight w:val="none"/>
          <w:u w:val="single"/>
        </w:rPr>
        <w:t xml:space="preserve">                              </w:t>
      </w:r>
    </w:p>
    <w:p w14:paraId="4FF513E9">
      <w:pPr>
        <w:spacing w:line="223" w:lineRule="auto"/>
        <w:rPr>
          <w:rFonts w:hint="eastAsia" w:ascii="宋体" w:hAnsi="宋体" w:eastAsia="宋体" w:cs="宋体"/>
          <w:sz w:val="24"/>
          <w:szCs w:val="24"/>
          <w:highlight w:val="none"/>
        </w:rPr>
      </w:pPr>
    </w:p>
    <w:p w14:paraId="206D35AF">
      <w:pPr>
        <w:spacing w:line="223" w:lineRule="auto"/>
        <w:rPr>
          <w:rFonts w:hint="eastAsia" w:ascii="宋体" w:hAnsi="宋体" w:eastAsia="宋体" w:cs="宋体"/>
          <w:sz w:val="24"/>
          <w:szCs w:val="24"/>
          <w:highlight w:val="none"/>
        </w:rPr>
        <w:sectPr>
          <w:headerReference r:id="rId32" w:type="default"/>
          <w:footerReference r:id="rId33" w:type="default"/>
          <w:pgSz w:w="11906" w:h="16839"/>
          <w:pgMar w:top="1134" w:right="1417" w:bottom="969" w:left="1418" w:header="862" w:footer="754" w:gutter="0"/>
          <w:pgNumType w:fmt="decimal"/>
          <w:cols w:space="720" w:num="1"/>
        </w:sectPr>
      </w:pPr>
    </w:p>
    <w:p w14:paraId="401EF834">
      <w:pPr>
        <w:pStyle w:val="5"/>
        <w:spacing w:before="97" w:line="222" w:lineRule="auto"/>
        <w:ind w:left="0" w:leftChars="0" w:firstLine="0" w:firstLineChars="0"/>
        <w:jc w:val="center"/>
        <w:rPr>
          <w:rFonts w:hint="eastAsia" w:ascii="宋体" w:hAnsi="宋体" w:eastAsia="宋体" w:cs="宋体"/>
          <w:sz w:val="30"/>
          <w:szCs w:val="30"/>
          <w:highlight w:val="none"/>
        </w:rPr>
      </w:pPr>
      <w:r>
        <w:rPr>
          <w:rFonts w:hint="eastAsia" w:ascii="宋体" w:hAnsi="宋体" w:eastAsia="宋体" w:cs="宋体"/>
          <w:b/>
          <w:bCs/>
          <w:spacing w:val="-3"/>
          <w:sz w:val="30"/>
          <w:szCs w:val="30"/>
          <w:highlight w:val="none"/>
        </w:rPr>
        <w:t>法定代表人身份证明书</w:t>
      </w:r>
    </w:p>
    <w:p w14:paraId="71836D39">
      <w:pPr>
        <w:spacing w:line="168" w:lineRule="exact"/>
        <w:rPr>
          <w:rFonts w:hint="eastAsia" w:ascii="宋体" w:hAnsi="宋体" w:eastAsia="宋体" w:cs="宋体"/>
          <w:highlight w:val="none"/>
        </w:rPr>
      </w:pPr>
    </w:p>
    <w:tbl>
      <w:tblPr>
        <w:tblStyle w:val="1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341"/>
        <w:gridCol w:w="1782"/>
        <w:gridCol w:w="176"/>
        <w:gridCol w:w="2060"/>
        <w:gridCol w:w="2066"/>
      </w:tblGrid>
      <w:tr w14:paraId="07845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290" w:type="dxa"/>
            <w:gridSpan w:val="6"/>
            <w:vAlign w:val="top"/>
          </w:tcPr>
          <w:p w14:paraId="1110D50A">
            <w:pPr>
              <w:spacing w:before="188" w:line="221" w:lineRule="auto"/>
              <w:ind w:left="12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致</w:t>
            </w:r>
            <w:r>
              <w:rPr>
                <w:rFonts w:hint="eastAsia" w:ascii="宋体" w:hAnsi="宋体" w:eastAsia="宋体" w:cs="宋体"/>
                <w:spacing w:val="-1"/>
                <w:sz w:val="24"/>
                <w:szCs w:val="24"/>
                <w:highlight w:val="none"/>
                <w:u w:val="single" w:color="auto"/>
              </w:rPr>
              <w:t>采购人名称</w:t>
            </w:r>
            <w:r>
              <w:rPr>
                <w:rFonts w:hint="eastAsia" w:ascii="宋体" w:hAnsi="宋体" w:eastAsia="宋体" w:cs="宋体"/>
                <w:spacing w:val="-1"/>
                <w:sz w:val="24"/>
                <w:szCs w:val="24"/>
                <w:highlight w:val="none"/>
              </w:rPr>
              <w:t>：</w:t>
            </w:r>
          </w:p>
        </w:tc>
      </w:tr>
      <w:tr w14:paraId="38EDD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65" w:type="dxa"/>
            <w:vMerge w:val="restart"/>
            <w:tcBorders>
              <w:bottom w:val="nil"/>
            </w:tcBorders>
            <w:textDirection w:val="tbRlV"/>
            <w:vAlign w:val="top"/>
          </w:tcPr>
          <w:p w14:paraId="12E56792">
            <w:pPr>
              <w:spacing w:before="310" w:line="201" w:lineRule="auto"/>
              <w:ind w:left="37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企</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业</w:t>
            </w:r>
            <w:r>
              <w:rPr>
                <w:rFonts w:hint="eastAsia" w:ascii="宋体" w:hAnsi="宋体" w:eastAsia="宋体" w:cs="宋体"/>
                <w:spacing w:val="12"/>
                <w:sz w:val="24"/>
                <w:szCs w:val="24"/>
                <w:highlight w:val="none"/>
              </w:rPr>
              <w:t xml:space="preserve">   </w:t>
            </w:r>
            <w:r>
              <w:rPr>
                <w:rFonts w:hint="eastAsia" w:ascii="宋体" w:hAnsi="宋体" w:eastAsia="宋体" w:cs="宋体"/>
                <w:spacing w:val="5"/>
                <w:sz w:val="24"/>
                <w:szCs w:val="24"/>
                <w:highlight w:val="none"/>
              </w:rPr>
              <w:t>信</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息</w:t>
            </w:r>
          </w:p>
        </w:tc>
        <w:tc>
          <w:tcPr>
            <w:tcW w:w="2341" w:type="dxa"/>
            <w:vAlign w:val="top"/>
          </w:tcPr>
          <w:p w14:paraId="1A8140BC">
            <w:pPr>
              <w:spacing w:before="176" w:line="221" w:lineRule="auto"/>
              <w:ind w:left="69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企业名称</w:t>
            </w:r>
          </w:p>
        </w:tc>
        <w:tc>
          <w:tcPr>
            <w:tcW w:w="6084" w:type="dxa"/>
            <w:gridSpan w:val="4"/>
            <w:vAlign w:val="top"/>
          </w:tcPr>
          <w:p w14:paraId="430A764A">
            <w:pPr>
              <w:pStyle w:val="13"/>
              <w:rPr>
                <w:rFonts w:hint="eastAsia" w:ascii="宋体" w:hAnsi="宋体" w:eastAsia="宋体" w:cs="宋体"/>
                <w:highlight w:val="none"/>
              </w:rPr>
            </w:pPr>
          </w:p>
        </w:tc>
      </w:tr>
      <w:tr w14:paraId="641DD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5" w:type="dxa"/>
            <w:vMerge w:val="continue"/>
            <w:tcBorders>
              <w:top w:val="nil"/>
              <w:bottom w:val="nil"/>
            </w:tcBorders>
            <w:textDirection w:val="tbRlV"/>
            <w:vAlign w:val="top"/>
          </w:tcPr>
          <w:p w14:paraId="597538BF">
            <w:pPr>
              <w:pStyle w:val="13"/>
              <w:rPr>
                <w:rFonts w:hint="eastAsia" w:ascii="宋体" w:hAnsi="宋体" w:eastAsia="宋体" w:cs="宋体"/>
                <w:highlight w:val="none"/>
              </w:rPr>
            </w:pPr>
          </w:p>
        </w:tc>
        <w:tc>
          <w:tcPr>
            <w:tcW w:w="2341" w:type="dxa"/>
            <w:vAlign w:val="top"/>
          </w:tcPr>
          <w:p w14:paraId="6403F09B">
            <w:pPr>
              <w:spacing w:before="176" w:line="227" w:lineRule="auto"/>
              <w:ind w:left="70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法定地址</w:t>
            </w:r>
          </w:p>
        </w:tc>
        <w:tc>
          <w:tcPr>
            <w:tcW w:w="6084" w:type="dxa"/>
            <w:gridSpan w:val="4"/>
            <w:vAlign w:val="top"/>
          </w:tcPr>
          <w:p w14:paraId="5C69CF65">
            <w:pPr>
              <w:pStyle w:val="13"/>
              <w:rPr>
                <w:rFonts w:hint="eastAsia" w:ascii="宋体" w:hAnsi="宋体" w:eastAsia="宋体" w:cs="宋体"/>
                <w:highlight w:val="none"/>
              </w:rPr>
            </w:pPr>
          </w:p>
        </w:tc>
      </w:tr>
      <w:tr w14:paraId="6D341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65" w:type="dxa"/>
            <w:vMerge w:val="continue"/>
            <w:tcBorders>
              <w:top w:val="nil"/>
              <w:bottom w:val="nil"/>
            </w:tcBorders>
            <w:textDirection w:val="tbRlV"/>
            <w:vAlign w:val="top"/>
          </w:tcPr>
          <w:p w14:paraId="589A7F4D">
            <w:pPr>
              <w:pStyle w:val="13"/>
              <w:rPr>
                <w:rFonts w:hint="eastAsia" w:ascii="宋体" w:hAnsi="宋体" w:eastAsia="宋体" w:cs="宋体"/>
                <w:highlight w:val="none"/>
              </w:rPr>
            </w:pPr>
          </w:p>
        </w:tc>
        <w:tc>
          <w:tcPr>
            <w:tcW w:w="2341" w:type="dxa"/>
            <w:vAlign w:val="top"/>
          </w:tcPr>
          <w:p w14:paraId="3D8311F1">
            <w:pPr>
              <w:spacing w:before="175" w:line="222" w:lineRule="auto"/>
              <w:ind w:left="714"/>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邮政编码</w:t>
            </w:r>
          </w:p>
        </w:tc>
        <w:tc>
          <w:tcPr>
            <w:tcW w:w="6084" w:type="dxa"/>
            <w:gridSpan w:val="4"/>
            <w:vAlign w:val="top"/>
          </w:tcPr>
          <w:p w14:paraId="114FF2AC">
            <w:pPr>
              <w:pStyle w:val="13"/>
              <w:rPr>
                <w:rFonts w:hint="eastAsia" w:ascii="宋体" w:hAnsi="宋体" w:eastAsia="宋体" w:cs="宋体"/>
                <w:highlight w:val="none"/>
              </w:rPr>
            </w:pPr>
          </w:p>
        </w:tc>
      </w:tr>
      <w:tr w14:paraId="5C1D7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5" w:type="dxa"/>
            <w:vMerge w:val="continue"/>
            <w:tcBorders>
              <w:top w:val="nil"/>
              <w:bottom w:val="nil"/>
            </w:tcBorders>
            <w:textDirection w:val="tbRlV"/>
            <w:vAlign w:val="top"/>
          </w:tcPr>
          <w:p w14:paraId="763C891A">
            <w:pPr>
              <w:pStyle w:val="13"/>
              <w:rPr>
                <w:rFonts w:hint="eastAsia" w:ascii="宋体" w:hAnsi="宋体" w:eastAsia="宋体" w:cs="宋体"/>
                <w:highlight w:val="none"/>
              </w:rPr>
            </w:pPr>
          </w:p>
        </w:tc>
        <w:tc>
          <w:tcPr>
            <w:tcW w:w="2341" w:type="dxa"/>
            <w:vAlign w:val="top"/>
          </w:tcPr>
          <w:p w14:paraId="63B24311">
            <w:pPr>
              <w:spacing w:before="179" w:line="222" w:lineRule="auto"/>
              <w:ind w:left="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登记机关</w:t>
            </w:r>
          </w:p>
        </w:tc>
        <w:tc>
          <w:tcPr>
            <w:tcW w:w="6084" w:type="dxa"/>
            <w:gridSpan w:val="4"/>
            <w:vAlign w:val="top"/>
          </w:tcPr>
          <w:p w14:paraId="774AC15F">
            <w:pPr>
              <w:pStyle w:val="13"/>
              <w:rPr>
                <w:rFonts w:hint="eastAsia" w:ascii="宋体" w:hAnsi="宋体" w:eastAsia="宋体" w:cs="宋体"/>
                <w:highlight w:val="none"/>
              </w:rPr>
            </w:pPr>
          </w:p>
        </w:tc>
      </w:tr>
      <w:tr w14:paraId="5017F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5" w:type="dxa"/>
            <w:vMerge w:val="continue"/>
            <w:tcBorders>
              <w:top w:val="nil"/>
            </w:tcBorders>
            <w:textDirection w:val="tbRlV"/>
            <w:vAlign w:val="top"/>
          </w:tcPr>
          <w:p w14:paraId="25E85603">
            <w:pPr>
              <w:pStyle w:val="13"/>
              <w:rPr>
                <w:rFonts w:hint="eastAsia" w:ascii="宋体" w:hAnsi="宋体" w:eastAsia="宋体" w:cs="宋体"/>
                <w:highlight w:val="none"/>
              </w:rPr>
            </w:pPr>
          </w:p>
        </w:tc>
        <w:tc>
          <w:tcPr>
            <w:tcW w:w="2341" w:type="dxa"/>
            <w:vAlign w:val="top"/>
          </w:tcPr>
          <w:p w14:paraId="203800B2">
            <w:pPr>
              <w:spacing w:before="179" w:line="222" w:lineRule="auto"/>
              <w:ind w:left="214"/>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6084" w:type="dxa"/>
            <w:gridSpan w:val="4"/>
            <w:vAlign w:val="top"/>
          </w:tcPr>
          <w:p w14:paraId="47A8DA25">
            <w:pPr>
              <w:pStyle w:val="13"/>
              <w:rPr>
                <w:rFonts w:hint="eastAsia" w:ascii="宋体" w:hAnsi="宋体" w:eastAsia="宋体" w:cs="宋体"/>
                <w:highlight w:val="none"/>
              </w:rPr>
            </w:pPr>
          </w:p>
        </w:tc>
      </w:tr>
      <w:tr w14:paraId="69CEE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5" w:type="dxa"/>
            <w:vMerge w:val="restart"/>
            <w:tcBorders>
              <w:bottom w:val="nil"/>
            </w:tcBorders>
            <w:vAlign w:val="top"/>
          </w:tcPr>
          <w:p w14:paraId="5BB292E5">
            <w:pPr>
              <w:pStyle w:val="13"/>
              <w:spacing w:line="356" w:lineRule="auto"/>
              <w:rPr>
                <w:rFonts w:hint="eastAsia" w:ascii="宋体" w:hAnsi="宋体" w:eastAsia="宋体" w:cs="宋体"/>
                <w:highlight w:val="none"/>
              </w:rPr>
            </w:pPr>
          </w:p>
          <w:p w14:paraId="64ECBCB2">
            <w:pPr>
              <w:spacing w:before="78"/>
              <w:ind w:left="208" w:right="190" w:firstLine="2"/>
              <w:jc w:val="both"/>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法定</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代表</w:t>
            </w:r>
            <w:r>
              <w:rPr>
                <w:rFonts w:hint="eastAsia" w:ascii="宋体" w:hAnsi="宋体" w:eastAsia="宋体" w:cs="宋体"/>
                <w:sz w:val="24"/>
                <w:szCs w:val="24"/>
                <w:highlight w:val="none"/>
              </w:rPr>
              <w:t xml:space="preserve"> </w:t>
            </w:r>
            <w:r>
              <w:rPr>
                <w:rFonts w:hint="eastAsia" w:ascii="宋体" w:hAnsi="宋体" w:eastAsia="宋体" w:cs="宋体"/>
                <w:spacing w:val="41"/>
                <w:w w:val="125"/>
                <w:sz w:val="24"/>
                <w:szCs w:val="24"/>
                <w:highlight w:val="none"/>
              </w:rPr>
              <w:t>人</w:t>
            </w:r>
          </w:p>
        </w:tc>
        <w:tc>
          <w:tcPr>
            <w:tcW w:w="2341" w:type="dxa"/>
            <w:vAlign w:val="top"/>
          </w:tcPr>
          <w:p w14:paraId="12FF14C0">
            <w:pPr>
              <w:spacing w:before="178" w:line="224" w:lineRule="auto"/>
              <w:ind w:left="93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姓名</w:t>
            </w:r>
          </w:p>
        </w:tc>
        <w:tc>
          <w:tcPr>
            <w:tcW w:w="1958" w:type="dxa"/>
            <w:gridSpan w:val="2"/>
            <w:vAlign w:val="top"/>
          </w:tcPr>
          <w:p w14:paraId="54174F28">
            <w:pPr>
              <w:pStyle w:val="13"/>
              <w:rPr>
                <w:rFonts w:hint="eastAsia" w:ascii="宋体" w:hAnsi="宋体" w:eastAsia="宋体" w:cs="宋体"/>
                <w:highlight w:val="none"/>
              </w:rPr>
            </w:pPr>
          </w:p>
        </w:tc>
        <w:tc>
          <w:tcPr>
            <w:tcW w:w="2060" w:type="dxa"/>
            <w:vAlign w:val="top"/>
          </w:tcPr>
          <w:p w14:paraId="09C49C8F">
            <w:pPr>
              <w:spacing w:before="178" w:line="220" w:lineRule="auto"/>
              <w:ind w:left="805"/>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性别</w:t>
            </w:r>
          </w:p>
        </w:tc>
        <w:tc>
          <w:tcPr>
            <w:tcW w:w="2066" w:type="dxa"/>
            <w:vAlign w:val="top"/>
          </w:tcPr>
          <w:p w14:paraId="14D2ACDB">
            <w:pPr>
              <w:pStyle w:val="13"/>
              <w:rPr>
                <w:rFonts w:hint="eastAsia" w:ascii="宋体" w:hAnsi="宋体" w:eastAsia="宋体" w:cs="宋体"/>
                <w:highlight w:val="none"/>
              </w:rPr>
            </w:pPr>
          </w:p>
        </w:tc>
      </w:tr>
      <w:tr w14:paraId="577CE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5" w:type="dxa"/>
            <w:vMerge w:val="continue"/>
            <w:tcBorders>
              <w:top w:val="nil"/>
              <w:bottom w:val="nil"/>
            </w:tcBorders>
            <w:vAlign w:val="top"/>
          </w:tcPr>
          <w:p w14:paraId="26B9BA3D">
            <w:pPr>
              <w:pStyle w:val="13"/>
              <w:rPr>
                <w:rFonts w:hint="eastAsia" w:ascii="宋体" w:hAnsi="宋体" w:eastAsia="宋体" w:cs="宋体"/>
                <w:highlight w:val="none"/>
              </w:rPr>
            </w:pPr>
          </w:p>
        </w:tc>
        <w:tc>
          <w:tcPr>
            <w:tcW w:w="2341" w:type="dxa"/>
            <w:vAlign w:val="top"/>
          </w:tcPr>
          <w:p w14:paraId="5EC83A93">
            <w:pPr>
              <w:spacing w:before="177" w:line="223" w:lineRule="auto"/>
              <w:ind w:left="938"/>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职务</w:t>
            </w:r>
          </w:p>
        </w:tc>
        <w:tc>
          <w:tcPr>
            <w:tcW w:w="1958" w:type="dxa"/>
            <w:gridSpan w:val="2"/>
            <w:vAlign w:val="top"/>
          </w:tcPr>
          <w:p w14:paraId="3624A198">
            <w:pPr>
              <w:pStyle w:val="13"/>
              <w:rPr>
                <w:rFonts w:hint="eastAsia" w:ascii="宋体" w:hAnsi="宋体" w:eastAsia="宋体" w:cs="宋体"/>
                <w:highlight w:val="none"/>
              </w:rPr>
            </w:pPr>
          </w:p>
        </w:tc>
        <w:tc>
          <w:tcPr>
            <w:tcW w:w="2060" w:type="dxa"/>
            <w:vAlign w:val="top"/>
          </w:tcPr>
          <w:p w14:paraId="3D7DF9A4">
            <w:pPr>
              <w:spacing w:before="177" w:line="223" w:lineRule="auto"/>
              <w:ind w:left="55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联系电话</w:t>
            </w:r>
          </w:p>
        </w:tc>
        <w:tc>
          <w:tcPr>
            <w:tcW w:w="2066" w:type="dxa"/>
            <w:vAlign w:val="top"/>
          </w:tcPr>
          <w:p w14:paraId="15B4717B">
            <w:pPr>
              <w:pStyle w:val="13"/>
              <w:rPr>
                <w:rFonts w:hint="eastAsia" w:ascii="宋体" w:hAnsi="宋体" w:eastAsia="宋体" w:cs="宋体"/>
                <w:highlight w:val="none"/>
              </w:rPr>
            </w:pPr>
          </w:p>
        </w:tc>
      </w:tr>
      <w:tr w14:paraId="277B8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5" w:type="dxa"/>
            <w:vMerge w:val="continue"/>
            <w:tcBorders>
              <w:top w:val="nil"/>
            </w:tcBorders>
            <w:vAlign w:val="top"/>
          </w:tcPr>
          <w:p w14:paraId="5FBBFE24">
            <w:pPr>
              <w:pStyle w:val="13"/>
              <w:rPr>
                <w:rFonts w:hint="eastAsia" w:ascii="宋体" w:hAnsi="宋体" w:eastAsia="宋体" w:cs="宋体"/>
                <w:highlight w:val="none"/>
              </w:rPr>
            </w:pPr>
          </w:p>
        </w:tc>
        <w:tc>
          <w:tcPr>
            <w:tcW w:w="2341" w:type="dxa"/>
            <w:vAlign w:val="top"/>
          </w:tcPr>
          <w:p w14:paraId="4121BCB9">
            <w:pPr>
              <w:spacing w:before="179" w:line="223" w:lineRule="auto"/>
              <w:ind w:left="941"/>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传真</w:t>
            </w:r>
          </w:p>
        </w:tc>
        <w:tc>
          <w:tcPr>
            <w:tcW w:w="6084" w:type="dxa"/>
            <w:gridSpan w:val="4"/>
            <w:vAlign w:val="top"/>
          </w:tcPr>
          <w:p w14:paraId="24D5EC69">
            <w:pPr>
              <w:pStyle w:val="13"/>
              <w:rPr>
                <w:rFonts w:hint="eastAsia" w:ascii="宋体" w:hAnsi="宋体" w:eastAsia="宋体" w:cs="宋体"/>
                <w:highlight w:val="none"/>
              </w:rPr>
            </w:pPr>
          </w:p>
        </w:tc>
      </w:tr>
      <w:tr w14:paraId="0C3A3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865" w:type="dxa"/>
            <w:vMerge w:val="restart"/>
            <w:tcBorders>
              <w:bottom w:val="nil"/>
            </w:tcBorders>
            <w:vAlign w:val="top"/>
          </w:tcPr>
          <w:p w14:paraId="69560E3C">
            <w:pPr>
              <w:pStyle w:val="13"/>
              <w:spacing w:line="242" w:lineRule="auto"/>
              <w:rPr>
                <w:rFonts w:hint="eastAsia" w:ascii="宋体" w:hAnsi="宋体" w:eastAsia="宋体" w:cs="宋体"/>
                <w:highlight w:val="none"/>
              </w:rPr>
            </w:pPr>
          </w:p>
          <w:p w14:paraId="43968393">
            <w:pPr>
              <w:pStyle w:val="13"/>
              <w:spacing w:line="242" w:lineRule="auto"/>
              <w:rPr>
                <w:rFonts w:hint="eastAsia" w:ascii="宋体" w:hAnsi="宋体" w:eastAsia="宋体" w:cs="宋体"/>
                <w:highlight w:val="none"/>
              </w:rPr>
            </w:pPr>
          </w:p>
          <w:p w14:paraId="0B3A6123">
            <w:pPr>
              <w:pStyle w:val="13"/>
              <w:spacing w:line="243" w:lineRule="auto"/>
              <w:rPr>
                <w:rFonts w:hint="eastAsia" w:ascii="宋体" w:hAnsi="宋体" w:eastAsia="宋体" w:cs="宋体"/>
                <w:highlight w:val="none"/>
              </w:rPr>
            </w:pPr>
          </w:p>
          <w:p w14:paraId="3BD5ABC4">
            <w:pPr>
              <w:pStyle w:val="13"/>
              <w:spacing w:line="243" w:lineRule="auto"/>
              <w:rPr>
                <w:rFonts w:hint="eastAsia" w:ascii="宋体" w:hAnsi="宋体" w:eastAsia="宋体" w:cs="宋体"/>
                <w:highlight w:val="none"/>
              </w:rPr>
            </w:pPr>
          </w:p>
          <w:p w14:paraId="451DCC76">
            <w:pPr>
              <w:pStyle w:val="13"/>
              <w:spacing w:line="243" w:lineRule="auto"/>
              <w:rPr>
                <w:rFonts w:hint="eastAsia" w:ascii="宋体" w:hAnsi="宋体" w:eastAsia="宋体" w:cs="宋体"/>
                <w:highlight w:val="none"/>
              </w:rPr>
            </w:pPr>
          </w:p>
          <w:p w14:paraId="1A6DAEEF">
            <w:pPr>
              <w:pStyle w:val="13"/>
              <w:spacing w:line="243" w:lineRule="auto"/>
              <w:rPr>
                <w:rFonts w:hint="eastAsia" w:ascii="宋体" w:hAnsi="宋体" w:eastAsia="宋体" w:cs="宋体"/>
                <w:highlight w:val="none"/>
              </w:rPr>
            </w:pPr>
          </w:p>
          <w:p w14:paraId="78B3BD36">
            <w:pPr>
              <w:spacing w:before="78" w:line="242" w:lineRule="auto"/>
              <w:ind w:left="203" w:right="190" w:firstLine="7"/>
              <w:jc w:val="both"/>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法定</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代表</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人身</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份证</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复印</w:t>
            </w:r>
            <w:r>
              <w:rPr>
                <w:rFonts w:hint="eastAsia" w:ascii="宋体" w:hAnsi="宋体" w:eastAsia="宋体" w:cs="宋体"/>
                <w:sz w:val="24"/>
                <w:szCs w:val="24"/>
                <w:highlight w:val="none"/>
              </w:rPr>
              <w:t xml:space="preserve"> </w:t>
            </w:r>
            <w:r>
              <w:rPr>
                <w:rFonts w:hint="eastAsia" w:ascii="宋体" w:hAnsi="宋体" w:eastAsia="宋体" w:cs="宋体"/>
                <w:spacing w:val="46"/>
                <w:w w:val="125"/>
                <w:sz w:val="24"/>
                <w:szCs w:val="24"/>
                <w:highlight w:val="none"/>
              </w:rPr>
              <w:t>件</w:t>
            </w:r>
          </w:p>
        </w:tc>
        <w:tc>
          <w:tcPr>
            <w:tcW w:w="4123" w:type="dxa"/>
            <w:gridSpan w:val="2"/>
            <w:vMerge w:val="restart"/>
            <w:tcBorders>
              <w:bottom w:val="nil"/>
            </w:tcBorders>
            <w:vAlign w:val="top"/>
          </w:tcPr>
          <w:p w14:paraId="15B0226E">
            <w:pPr>
              <w:pStyle w:val="13"/>
              <w:spacing w:line="250" w:lineRule="auto"/>
              <w:rPr>
                <w:rFonts w:hint="eastAsia" w:ascii="宋体" w:hAnsi="宋体" w:eastAsia="宋体" w:cs="宋体"/>
                <w:highlight w:val="none"/>
              </w:rPr>
            </w:pPr>
          </w:p>
          <w:p w14:paraId="096110C8">
            <w:pPr>
              <w:pStyle w:val="13"/>
              <w:spacing w:line="250" w:lineRule="auto"/>
              <w:rPr>
                <w:rFonts w:hint="eastAsia" w:ascii="宋体" w:hAnsi="宋体" w:eastAsia="宋体" w:cs="宋体"/>
                <w:highlight w:val="none"/>
              </w:rPr>
            </w:pPr>
          </w:p>
          <w:p w14:paraId="618C1CE7">
            <w:pPr>
              <w:pStyle w:val="13"/>
              <w:spacing w:line="250" w:lineRule="auto"/>
              <w:rPr>
                <w:rFonts w:hint="eastAsia" w:ascii="宋体" w:hAnsi="宋体" w:eastAsia="宋体" w:cs="宋体"/>
                <w:highlight w:val="none"/>
              </w:rPr>
            </w:pPr>
          </w:p>
          <w:p w14:paraId="0C1CD64F">
            <w:pPr>
              <w:pStyle w:val="13"/>
              <w:spacing w:line="250" w:lineRule="auto"/>
              <w:rPr>
                <w:rFonts w:hint="eastAsia" w:ascii="宋体" w:hAnsi="宋体" w:eastAsia="宋体" w:cs="宋体"/>
                <w:highlight w:val="none"/>
              </w:rPr>
            </w:pPr>
          </w:p>
          <w:p w14:paraId="27704D1F">
            <w:pPr>
              <w:pStyle w:val="13"/>
              <w:spacing w:line="250" w:lineRule="auto"/>
              <w:rPr>
                <w:rFonts w:hint="eastAsia" w:ascii="宋体" w:hAnsi="宋体" w:eastAsia="宋体" w:cs="宋体"/>
                <w:highlight w:val="none"/>
              </w:rPr>
            </w:pPr>
          </w:p>
          <w:p w14:paraId="3A404F17">
            <w:pPr>
              <w:pStyle w:val="13"/>
              <w:spacing w:line="250" w:lineRule="auto"/>
              <w:rPr>
                <w:rFonts w:hint="eastAsia" w:ascii="宋体" w:hAnsi="宋体" w:eastAsia="宋体" w:cs="宋体"/>
                <w:highlight w:val="none"/>
              </w:rPr>
            </w:pPr>
          </w:p>
          <w:p w14:paraId="281E30FF">
            <w:pPr>
              <w:pStyle w:val="13"/>
              <w:spacing w:line="250" w:lineRule="auto"/>
              <w:rPr>
                <w:rFonts w:hint="eastAsia" w:ascii="宋体" w:hAnsi="宋体" w:eastAsia="宋体" w:cs="宋体"/>
                <w:highlight w:val="none"/>
              </w:rPr>
            </w:pPr>
          </w:p>
          <w:p w14:paraId="7DE5AD27">
            <w:pPr>
              <w:pStyle w:val="13"/>
              <w:spacing w:line="250" w:lineRule="auto"/>
              <w:rPr>
                <w:rFonts w:hint="eastAsia" w:ascii="宋体" w:hAnsi="宋体" w:eastAsia="宋体" w:cs="宋体"/>
                <w:highlight w:val="none"/>
              </w:rPr>
            </w:pPr>
          </w:p>
          <w:p w14:paraId="21C2B364">
            <w:pPr>
              <w:pStyle w:val="13"/>
              <w:spacing w:line="250" w:lineRule="auto"/>
              <w:rPr>
                <w:rFonts w:hint="eastAsia" w:ascii="宋体" w:hAnsi="宋体" w:eastAsia="宋体" w:cs="宋体"/>
                <w:highlight w:val="none"/>
              </w:rPr>
            </w:pPr>
          </w:p>
          <w:p w14:paraId="4E005940">
            <w:pPr>
              <w:spacing w:before="78" w:line="222" w:lineRule="auto"/>
              <w:ind w:left="1104"/>
              <w:rPr>
                <w:rFonts w:hint="eastAsia" w:ascii="宋体" w:hAnsi="宋体" w:eastAsia="宋体" w:cs="宋体"/>
                <w:sz w:val="24"/>
                <w:szCs w:val="24"/>
                <w:highlight w:val="none"/>
              </w:rPr>
            </w:pPr>
            <w:r>
              <w:rPr>
                <w:rFonts w:hint="eastAsia" w:ascii="宋体" w:hAnsi="宋体" w:eastAsia="宋体" w:cs="宋体"/>
                <w:sz w:val="24"/>
                <w:szCs w:val="24"/>
                <w:highlight w:val="none"/>
              </w:rPr>
              <w:t>（正反面粘贴处）</w:t>
            </w:r>
          </w:p>
        </w:tc>
        <w:tc>
          <w:tcPr>
            <w:tcW w:w="4302" w:type="dxa"/>
            <w:gridSpan w:val="3"/>
            <w:vAlign w:val="top"/>
          </w:tcPr>
          <w:p w14:paraId="2CB189ED">
            <w:pPr>
              <w:pStyle w:val="13"/>
              <w:spacing w:line="245" w:lineRule="auto"/>
              <w:rPr>
                <w:rFonts w:hint="eastAsia" w:ascii="宋体" w:hAnsi="宋体" w:eastAsia="宋体" w:cs="宋体"/>
                <w:highlight w:val="none"/>
              </w:rPr>
            </w:pPr>
          </w:p>
          <w:p w14:paraId="4F0E1146">
            <w:pPr>
              <w:pStyle w:val="13"/>
              <w:spacing w:line="245" w:lineRule="auto"/>
              <w:rPr>
                <w:rFonts w:hint="eastAsia" w:ascii="宋体" w:hAnsi="宋体" w:eastAsia="宋体" w:cs="宋体"/>
                <w:highlight w:val="none"/>
              </w:rPr>
            </w:pPr>
          </w:p>
          <w:p w14:paraId="7D61982C">
            <w:pPr>
              <w:pStyle w:val="13"/>
              <w:spacing w:line="245" w:lineRule="auto"/>
              <w:rPr>
                <w:rFonts w:hint="eastAsia" w:ascii="宋体" w:hAnsi="宋体" w:eastAsia="宋体" w:cs="宋体"/>
                <w:highlight w:val="none"/>
              </w:rPr>
            </w:pPr>
          </w:p>
          <w:p w14:paraId="00DC5C89">
            <w:pPr>
              <w:pStyle w:val="13"/>
              <w:spacing w:line="246" w:lineRule="auto"/>
              <w:rPr>
                <w:rFonts w:hint="eastAsia" w:ascii="宋体" w:hAnsi="宋体" w:eastAsia="宋体" w:cs="宋体"/>
                <w:highlight w:val="none"/>
              </w:rPr>
            </w:pPr>
          </w:p>
          <w:p w14:paraId="2F1E0EE3">
            <w:pPr>
              <w:spacing w:before="78" w:line="223"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p>
        </w:tc>
      </w:tr>
      <w:tr w14:paraId="4BB7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trPr>
        <w:tc>
          <w:tcPr>
            <w:tcW w:w="865" w:type="dxa"/>
            <w:vMerge w:val="continue"/>
            <w:tcBorders>
              <w:top w:val="nil"/>
            </w:tcBorders>
            <w:vAlign w:val="top"/>
          </w:tcPr>
          <w:p w14:paraId="5D70716B">
            <w:pPr>
              <w:pStyle w:val="13"/>
              <w:rPr>
                <w:rFonts w:hint="eastAsia" w:ascii="宋体" w:hAnsi="宋体" w:eastAsia="宋体" w:cs="宋体"/>
                <w:highlight w:val="none"/>
              </w:rPr>
            </w:pPr>
          </w:p>
        </w:tc>
        <w:tc>
          <w:tcPr>
            <w:tcW w:w="4123" w:type="dxa"/>
            <w:gridSpan w:val="2"/>
            <w:vMerge w:val="continue"/>
            <w:tcBorders>
              <w:top w:val="nil"/>
            </w:tcBorders>
            <w:vAlign w:val="top"/>
          </w:tcPr>
          <w:p w14:paraId="718EBD1B">
            <w:pPr>
              <w:pStyle w:val="13"/>
              <w:rPr>
                <w:rFonts w:hint="eastAsia" w:ascii="宋体" w:hAnsi="宋体" w:eastAsia="宋体" w:cs="宋体"/>
                <w:highlight w:val="none"/>
              </w:rPr>
            </w:pPr>
          </w:p>
        </w:tc>
        <w:tc>
          <w:tcPr>
            <w:tcW w:w="4302" w:type="dxa"/>
            <w:gridSpan w:val="3"/>
            <w:vAlign w:val="top"/>
          </w:tcPr>
          <w:p w14:paraId="3FF7335A">
            <w:pPr>
              <w:pStyle w:val="13"/>
              <w:spacing w:line="304" w:lineRule="auto"/>
              <w:rPr>
                <w:rFonts w:hint="eastAsia" w:ascii="宋体" w:hAnsi="宋体" w:eastAsia="宋体" w:cs="宋体"/>
                <w:highlight w:val="none"/>
              </w:rPr>
            </w:pPr>
          </w:p>
          <w:p w14:paraId="11597AE7">
            <w:pPr>
              <w:pStyle w:val="13"/>
              <w:spacing w:line="305" w:lineRule="auto"/>
              <w:rPr>
                <w:rFonts w:hint="eastAsia" w:ascii="宋体" w:hAnsi="宋体" w:eastAsia="宋体" w:cs="宋体"/>
                <w:highlight w:val="none"/>
              </w:rPr>
            </w:pPr>
          </w:p>
          <w:p w14:paraId="163F7570">
            <w:pPr>
              <w:spacing w:before="78" w:line="222" w:lineRule="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（公章）</w:t>
            </w:r>
          </w:p>
          <w:p w14:paraId="113D5358">
            <w:pPr>
              <w:pStyle w:val="13"/>
              <w:spacing w:line="303" w:lineRule="auto"/>
              <w:rPr>
                <w:rFonts w:hint="eastAsia" w:ascii="宋体" w:hAnsi="宋体" w:eastAsia="宋体" w:cs="宋体"/>
                <w:highlight w:val="none"/>
              </w:rPr>
            </w:pPr>
          </w:p>
          <w:p w14:paraId="1246105F">
            <w:pPr>
              <w:pStyle w:val="13"/>
              <w:spacing w:line="303" w:lineRule="auto"/>
              <w:rPr>
                <w:rFonts w:hint="eastAsia" w:ascii="宋体" w:hAnsi="宋体" w:eastAsia="宋体" w:cs="宋体"/>
                <w:highlight w:val="none"/>
              </w:rPr>
            </w:pPr>
          </w:p>
          <w:p w14:paraId="018F111E">
            <w:pPr>
              <w:pStyle w:val="13"/>
              <w:spacing w:line="303" w:lineRule="auto"/>
              <w:rPr>
                <w:rFonts w:hint="eastAsia" w:ascii="宋体" w:hAnsi="宋体" w:eastAsia="宋体" w:cs="宋体"/>
                <w:highlight w:val="none"/>
              </w:rPr>
            </w:pPr>
          </w:p>
          <w:p w14:paraId="24A5E86A">
            <w:pPr>
              <w:spacing w:before="78" w:line="202" w:lineRule="auto"/>
              <w:ind w:left="2993"/>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年</w:t>
            </w:r>
            <w:r>
              <w:rPr>
                <w:rFonts w:hint="eastAsia" w:ascii="宋体" w:hAnsi="宋体" w:eastAsia="宋体" w:cs="宋体"/>
                <w:spacing w:val="15"/>
                <w:sz w:val="24"/>
                <w:szCs w:val="24"/>
                <w:highlight w:val="none"/>
              </w:rPr>
              <w:t xml:space="preserve">  </w:t>
            </w:r>
            <w:r>
              <w:rPr>
                <w:rFonts w:hint="eastAsia" w:ascii="宋体" w:hAnsi="宋体" w:eastAsia="宋体" w:cs="宋体"/>
                <w:spacing w:val="-16"/>
                <w:sz w:val="24"/>
                <w:szCs w:val="24"/>
                <w:highlight w:val="none"/>
              </w:rPr>
              <w:t>月</w:t>
            </w:r>
            <w:r>
              <w:rPr>
                <w:rFonts w:hint="eastAsia" w:ascii="宋体" w:hAnsi="宋体" w:eastAsia="宋体" w:cs="宋体"/>
                <w:spacing w:val="37"/>
                <w:sz w:val="24"/>
                <w:szCs w:val="24"/>
                <w:highlight w:val="none"/>
              </w:rPr>
              <w:t xml:space="preserve">  </w:t>
            </w:r>
            <w:r>
              <w:rPr>
                <w:rFonts w:hint="eastAsia" w:ascii="宋体" w:hAnsi="宋体" w:eastAsia="宋体" w:cs="宋体"/>
                <w:spacing w:val="-16"/>
                <w:sz w:val="24"/>
                <w:szCs w:val="24"/>
                <w:highlight w:val="none"/>
              </w:rPr>
              <w:t>日</w:t>
            </w:r>
          </w:p>
        </w:tc>
      </w:tr>
    </w:tbl>
    <w:p w14:paraId="67BE72D8">
      <w:pPr>
        <w:pStyle w:val="5"/>
        <w:bidi w:val="0"/>
        <w:rPr>
          <w:rFonts w:hint="eastAsia" w:ascii="宋体" w:hAnsi="宋体" w:eastAsia="宋体" w:cs="宋体"/>
          <w:szCs w:val="20"/>
          <w:highlight w:val="none"/>
        </w:rPr>
      </w:pPr>
    </w:p>
    <w:p w14:paraId="055FE0FA">
      <w:pPr>
        <w:spacing w:line="230" w:lineRule="auto"/>
        <w:rPr>
          <w:rFonts w:hint="eastAsia" w:ascii="宋体" w:hAnsi="宋体" w:eastAsia="宋体" w:cs="宋体"/>
          <w:sz w:val="20"/>
          <w:szCs w:val="20"/>
          <w:highlight w:val="none"/>
        </w:rPr>
        <w:sectPr>
          <w:headerReference r:id="rId34" w:type="default"/>
          <w:footerReference r:id="rId35" w:type="default"/>
          <w:pgSz w:w="11906" w:h="16839"/>
          <w:pgMar w:top="1134" w:right="1305" w:bottom="969" w:left="1305" w:header="862" w:footer="754" w:gutter="0"/>
          <w:pgNumType w:fmt="decimal"/>
          <w:cols w:space="720" w:num="1"/>
        </w:sectPr>
      </w:pPr>
    </w:p>
    <w:p w14:paraId="6B6FA4F0">
      <w:pPr>
        <w:pStyle w:val="5"/>
        <w:spacing w:before="97" w:line="222" w:lineRule="auto"/>
        <w:ind w:left="0" w:leftChars="0" w:firstLine="0" w:firstLineChars="0"/>
        <w:jc w:val="center"/>
        <w:rPr>
          <w:rFonts w:hint="eastAsia" w:ascii="宋体" w:hAnsi="宋体" w:eastAsia="宋体" w:cs="宋体"/>
          <w:b/>
          <w:bCs/>
          <w:spacing w:val="-3"/>
          <w:sz w:val="30"/>
          <w:szCs w:val="30"/>
          <w:highlight w:val="none"/>
        </w:rPr>
      </w:pPr>
      <w:r>
        <w:rPr>
          <w:rFonts w:hint="eastAsia" w:ascii="宋体" w:hAnsi="宋体" w:eastAsia="宋体" w:cs="宋体"/>
          <w:b/>
          <w:bCs/>
          <w:spacing w:val="-3"/>
          <w:sz w:val="30"/>
          <w:szCs w:val="30"/>
          <w:highlight w:val="none"/>
        </w:rPr>
        <w:t>法定代表人授权书</w:t>
      </w:r>
    </w:p>
    <w:p w14:paraId="50E8A65A">
      <w:pPr>
        <w:pStyle w:val="5"/>
        <w:keepNext w:val="0"/>
        <w:keepLines w:val="0"/>
        <w:pageBreakBefore w:val="0"/>
        <w:widowControl/>
        <w:kinsoku w:val="0"/>
        <w:wordWrap/>
        <w:overflowPunct/>
        <w:topLinePunct w:val="0"/>
        <w:autoSpaceDE w:val="0"/>
        <w:autoSpaceDN w:val="0"/>
        <w:bidi w:val="0"/>
        <w:adjustRightInd w:val="0"/>
        <w:snapToGrid w:val="0"/>
        <w:spacing w:before="160" w:line="360" w:lineRule="auto"/>
        <w:ind w:left="0" w:leftChars="0" w:firstLine="0" w:firstLineChars="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采购人名称：</w:t>
      </w:r>
    </w:p>
    <w:p w14:paraId="131F6526">
      <w:pPr>
        <w:pStyle w:val="5"/>
        <w:keepNext w:val="0"/>
        <w:keepLines w:val="0"/>
        <w:pageBreakBefore w:val="0"/>
        <w:widowControl/>
        <w:kinsoku w:val="0"/>
        <w:wordWrap/>
        <w:overflowPunct/>
        <w:topLinePunct w:val="0"/>
        <w:autoSpaceDE w:val="0"/>
        <w:autoSpaceDN w:val="0"/>
        <w:bidi w:val="0"/>
        <w:adjustRightInd w:val="0"/>
        <w:snapToGrid w:val="0"/>
        <w:spacing w:before="211" w:line="360" w:lineRule="auto"/>
        <w:ind w:left="18" w:right="2" w:firstLine="486"/>
        <w:jc w:val="both"/>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本授权书声明：注册于（</w:t>
      </w:r>
      <w:r>
        <w:rPr>
          <w:rFonts w:hint="eastAsia" w:ascii="宋体" w:hAnsi="宋体" w:eastAsia="宋体" w:cs="宋体"/>
          <w:spacing w:val="67"/>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发证机关名称名称）之（委托单位全称） </w:t>
      </w:r>
      <w:r>
        <w:rPr>
          <w:rFonts w:hint="eastAsia" w:ascii="宋体" w:hAnsi="宋体" w:eastAsia="宋体" w:cs="宋体"/>
          <w:spacing w:val="-90"/>
          <w:sz w:val="24"/>
          <w:szCs w:val="24"/>
          <w:highlight w:val="none"/>
        </w:rPr>
        <w:t xml:space="preserve"> </w:t>
      </w:r>
      <w:r>
        <w:rPr>
          <w:rFonts w:hint="eastAsia" w:ascii="宋体" w:hAnsi="宋体" w:eastAsia="宋体" w:cs="宋体"/>
          <w:spacing w:val="1"/>
          <w:sz w:val="24"/>
          <w:szCs w:val="24"/>
          <w:highlight w:val="none"/>
        </w:rPr>
        <w:t>的法定代表</w:t>
      </w:r>
      <w:r>
        <w:rPr>
          <w:rFonts w:hint="eastAsia" w:ascii="宋体" w:hAnsi="宋体" w:eastAsia="宋体" w:cs="宋体"/>
          <w:spacing w:val="5"/>
          <w:sz w:val="24"/>
          <w:szCs w:val="24"/>
          <w:highlight w:val="none"/>
        </w:rPr>
        <w:t>人</w:t>
      </w:r>
      <w:r>
        <w:rPr>
          <w:rFonts w:hint="eastAsia" w:ascii="宋体" w:hAnsi="宋体" w:eastAsia="宋体" w:cs="宋体"/>
          <w:spacing w:val="5"/>
          <w:sz w:val="24"/>
          <w:szCs w:val="24"/>
          <w:highlight w:val="none"/>
          <w:u w:val="single" w:color="auto"/>
        </w:rPr>
        <w:t>（姓名、性别）</w:t>
      </w:r>
      <w:r>
        <w:rPr>
          <w:rFonts w:hint="eastAsia" w:ascii="宋体" w:hAnsi="宋体" w:eastAsia="宋体" w:cs="宋体"/>
          <w:spacing w:val="5"/>
          <w:sz w:val="24"/>
          <w:szCs w:val="24"/>
          <w:highlight w:val="none"/>
        </w:rPr>
        <w:t>授权本公司的</w:t>
      </w:r>
      <w:r>
        <w:rPr>
          <w:rFonts w:hint="eastAsia" w:ascii="宋体" w:hAnsi="宋体" w:eastAsia="宋体" w:cs="宋体"/>
          <w:spacing w:val="5"/>
          <w:sz w:val="24"/>
          <w:szCs w:val="24"/>
          <w:highlight w:val="none"/>
          <w:u w:val="single" w:color="auto"/>
        </w:rPr>
        <w:t>（被授权人姓</w:t>
      </w:r>
      <w:r>
        <w:rPr>
          <w:rFonts w:hint="eastAsia" w:ascii="宋体" w:hAnsi="宋体" w:eastAsia="宋体" w:cs="宋体"/>
          <w:spacing w:val="4"/>
          <w:sz w:val="24"/>
          <w:szCs w:val="24"/>
          <w:highlight w:val="none"/>
          <w:u w:val="single" w:color="auto"/>
        </w:rPr>
        <w:t>名、性别、职务）</w:t>
      </w:r>
      <w:r>
        <w:rPr>
          <w:rFonts w:hint="eastAsia" w:ascii="宋体" w:hAnsi="宋体" w:eastAsia="宋体" w:cs="宋体"/>
          <w:spacing w:val="4"/>
          <w:sz w:val="24"/>
          <w:szCs w:val="24"/>
          <w:highlight w:val="none"/>
        </w:rPr>
        <w:t>为合法代理人，就贵</w:t>
      </w:r>
      <w:r>
        <w:rPr>
          <w:rFonts w:hint="eastAsia" w:ascii="宋体" w:hAnsi="宋体" w:eastAsia="宋体" w:cs="宋体"/>
          <w:spacing w:val="1"/>
          <w:sz w:val="24"/>
          <w:szCs w:val="24"/>
          <w:highlight w:val="none"/>
        </w:rPr>
        <w:t>方组织的有关</w:t>
      </w:r>
      <w:r>
        <w:rPr>
          <w:rFonts w:hint="eastAsia" w:ascii="宋体" w:hAnsi="宋体" w:eastAsia="宋体" w:cs="宋体"/>
          <w:spacing w:val="1"/>
          <w:sz w:val="24"/>
          <w:szCs w:val="24"/>
          <w:highlight w:val="none"/>
          <w:u w:val="single" w:color="auto"/>
        </w:rPr>
        <w:t>（采购项目名称</w:t>
      </w:r>
      <w:r>
        <w:rPr>
          <w:rFonts w:hint="eastAsia" w:ascii="宋体" w:hAnsi="宋体" w:eastAsia="宋体" w:cs="宋体"/>
          <w:spacing w:val="-11"/>
          <w:sz w:val="24"/>
          <w:szCs w:val="24"/>
          <w:highlight w:val="none"/>
          <w:u w:val="single" w:color="auto"/>
        </w:rPr>
        <w:t>）</w:t>
      </w:r>
      <w:r>
        <w:rPr>
          <w:rFonts w:hint="eastAsia" w:ascii="宋体" w:hAnsi="宋体" w:eastAsia="宋体" w:cs="宋体"/>
          <w:spacing w:val="-11"/>
          <w:sz w:val="24"/>
          <w:szCs w:val="24"/>
          <w:highlight w:val="none"/>
        </w:rPr>
        <w:t>（</w:t>
      </w:r>
      <w:r>
        <w:rPr>
          <w:rFonts w:hint="eastAsia" w:ascii="宋体" w:hAnsi="宋体" w:eastAsia="宋体" w:cs="宋体"/>
          <w:spacing w:val="1"/>
          <w:sz w:val="24"/>
          <w:szCs w:val="24"/>
          <w:highlight w:val="none"/>
        </w:rPr>
        <w:t>项目编号</w:t>
      </w:r>
      <w:r>
        <w:rPr>
          <w:rFonts w:hint="eastAsia" w:ascii="宋体" w:hAnsi="宋体" w:eastAsia="宋体" w:cs="宋体"/>
          <w:spacing w:val="-11"/>
          <w:sz w:val="24"/>
          <w:szCs w:val="24"/>
          <w:highlight w:val="none"/>
        </w:rPr>
        <w:t>：</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70"/>
          <w:sz w:val="24"/>
          <w:szCs w:val="24"/>
          <w:highlight w:val="none"/>
        </w:rPr>
        <w:t xml:space="preserve"> </w:t>
      </w:r>
      <w:r>
        <w:rPr>
          <w:rFonts w:hint="eastAsia" w:ascii="宋体" w:hAnsi="宋体" w:eastAsia="宋体" w:cs="宋体"/>
          <w:spacing w:val="-11"/>
          <w:sz w:val="24"/>
          <w:szCs w:val="24"/>
          <w:highlight w:val="none"/>
        </w:rPr>
        <w:t>）</w:t>
      </w:r>
      <w:r>
        <w:rPr>
          <w:rFonts w:hint="eastAsia" w:ascii="宋体" w:hAnsi="宋体" w:eastAsia="宋体" w:cs="宋体"/>
          <w:spacing w:val="1"/>
          <w:sz w:val="24"/>
          <w:szCs w:val="24"/>
          <w:highlight w:val="none"/>
        </w:rPr>
        <w:t>的响应、洽谈、执</w:t>
      </w:r>
      <w:r>
        <w:rPr>
          <w:rFonts w:hint="eastAsia" w:ascii="宋体" w:hAnsi="宋体" w:eastAsia="宋体" w:cs="宋体"/>
          <w:spacing w:val="5"/>
          <w:sz w:val="24"/>
          <w:szCs w:val="24"/>
          <w:highlight w:val="none"/>
        </w:rPr>
        <w:t>行等具体事务，签署全部有关文件、文书、协</w:t>
      </w:r>
      <w:r>
        <w:rPr>
          <w:rFonts w:hint="eastAsia" w:ascii="宋体" w:hAnsi="宋体" w:eastAsia="宋体" w:cs="宋体"/>
          <w:spacing w:val="4"/>
          <w:sz w:val="24"/>
          <w:szCs w:val="24"/>
          <w:highlight w:val="none"/>
        </w:rPr>
        <w:t>议、合同，本公司对被授权人在本项目</w:t>
      </w:r>
      <w:r>
        <w:rPr>
          <w:rFonts w:hint="eastAsia" w:ascii="宋体" w:hAnsi="宋体" w:eastAsia="宋体" w:cs="宋体"/>
          <w:spacing w:val="2"/>
          <w:sz w:val="24"/>
          <w:szCs w:val="24"/>
          <w:highlight w:val="none"/>
        </w:rPr>
        <w:t>中的签名承担全部法律责任。本授权书自磋商会议之日起计算有效期为</w:t>
      </w:r>
      <w:r>
        <w:rPr>
          <w:rFonts w:hint="eastAsia" w:ascii="宋体" w:hAnsi="宋体" w:eastAsia="宋体" w:cs="宋体"/>
          <w:spacing w:val="-116"/>
          <w:sz w:val="24"/>
          <w:szCs w:val="24"/>
          <w:highlight w:val="none"/>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0"/>
          <w:sz w:val="24"/>
          <w:szCs w:val="24"/>
          <w:highlight w:val="none"/>
        </w:rPr>
        <w:t xml:space="preserve"> </w:t>
      </w:r>
      <w:r>
        <w:rPr>
          <w:rFonts w:hint="eastAsia" w:ascii="宋体" w:hAnsi="宋体" w:eastAsia="宋体" w:cs="宋体"/>
          <w:spacing w:val="2"/>
          <w:sz w:val="24"/>
          <w:szCs w:val="24"/>
          <w:highlight w:val="none"/>
        </w:rPr>
        <w:t>天。</w:t>
      </w:r>
    </w:p>
    <w:p w14:paraId="4E2E4265">
      <w:pPr>
        <w:pStyle w:val="5"/>
        <w:keepNext w:val="0"/>
        <w:keepLines w:val="0"/>
        <w:pageBreakBefore w:val="0"/>
        <w:widowControl/>
        <w:kinsoku w:val="0"/>
        <w:wordWrap/>
        <w:overflowPunct/>
        <w:topLinePunct w:val="0"/>
        <w:autoSpaceDE w:val="0"/>
        <w:autoSpaceDN w:val="0"/>
        <w:bidi w:val="0"/>
        <w:adjustRightInd w:val="0"/>
        <w:snapToGrid w:val="0"/>
        <w:spacing w:before="37" w:line="360" w:lineRule="auto"/>
        <w:ind w:left="25"/>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委托单位</w:t>
      </w:r>
      <w:r>
        <w:rPr>
          <w:rFonts w:hint="eastAsia" w:ascii="宋体" w:hAnsi="宋体" w:eastAsia="宋体" w:cs="宋体"/>
          <w:spacing w:val="-5"/>
          <w:sz w:val="24"/>
          <w:szCs w:val="24"/>
          <w:highlight w:val="none"/>
        </w:rPr>
        <w:t>：</w:t>
      </w:r>
      <w:r>
        <w:rPr>
          <w:rFonts w:hint="eastAsia" w:ascii="宋体" w:hAnsi="宋体" w:eastAsia="宋体" w:cs="宋体"/>
          <w:spacing w:val="4"/>
          <w:sz w:val="24"/>
          <w:szCs w:val="24"/>
          <w:highlight w:val="none"/>
        </w:rPr>
        <w:t xml:space="preserve">    </w:t>
      </w:r>
      <w:r>
        <w:rPr>
          <w:rFonts w:hint="eastAsia" w:ascii="宋体" w:hAnsi="宋体" w:eastAsia="宋体" w:cs="宋体"/>
          <w:spacing w:val="-5"/>
          <w:sz w:val="24"/>
          <w:szCs w:val="24"/>
          <w:highlight w:val="none"/>
        </w:rPr>
        <w:t>（</w:t>
      </w:r>
      <w:r>
        <w:rPr>
          <w:rFonts w:hint="eastAsia" w:ascii="宋体" w:hAnsi="宋体" w:eastAsia="宋体" w:cs="宋体"/>
          <w:spacing w:val="2"/>
          <w:sz w:val="24"/>
          <w:szCs w:val="24"/>
          <w:highlight w:val="none"/>
        </w:rPr>
        <w:t>公章）                      法定代表人（签字</w:t>
      </w:r>
      <w:r>
        <w:rPr>
          <w:rFonts w:hint="eastAsia" w:ascii="宋体" w:hAnsi="宋体" w:eastAsia="宋体" w:cs="宋体"/>
          <w:spacing w:val="-5"/>
          <w:sz w:val="24"/>
          <w:szCs w:val="24"/>
          <w:highlight w:val="none"/>
        </w:rPr>
        <w:t>）：</w:t>
      </w:r>
    </w:p>
    <w:p w14:paraId="6DF99D12">
      <w:pPr>
        <w:pStyle w:val="5"/>
        <w:keepNext w:val="0"/>
        <w:keepLines w:val="0"/>
        <w:pageBreakBefore w:val="0"/>
        <w:widowControl/>
        <w:kinsoku w:val="0"/>
        <w:wordWrap/>
        <w:overflowPunct/>
        <w:topLinePunct w:val="0"/>
        <w:autoSpaceDE w:val="0"/>
        <w:autoSpaceDN w:val="0"/>
        <w:bidi w:val="0"/>
        <w:adjustRightInd w:val="0"/>
        <w:snapToGrid w:val="0"/>
        <w:spacing w:before="212" w:line="360" w:lineRule="auto"/>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签发日期：</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98"/>
          <w:sz w:val="24"/>
          <w:szCs w:val="24"/>
          <w:highlight w:val="none"/>
        </w:rPr>
        <w:t xml:space="preserve"> </w:t>
      </w:r>
      <w:r>
        <w:rPr>
          <w:rFonts w:hint="eastAsia" w:ascii="宋体" w:hAnsi="宋体" w:eastAsia="宋体" w:cs="宋体"/>
          <w:spacing w:val="-7"/>
          <w:sz w:val="24"/>
          <w:szCs w:val="24"/>
          <w:highlight w:val="none"/>
        </w:rPr>
        <w:t>年</w:t>
      </w:r>
      <w:r>
        <w:rPr>
          <w:rFonts w:hint="eastAsia" w:ascii="宋体" w:hAnsi="宋体" w:eastAsia="宋体" w:cs="宋体"/>
          <w:spacing w:val="-118"/>
          <w:sz w:val="24"/>
          <w:szCs w:val="24"/>
          <w:highlight w:val="none"/>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89"/>
          <w:sz w:val="24"/>
          <w:szCs w:val="24"/>
          <w:highlight w:val="none"/>
        </w:rPr>
        <w:t xml:space="preserve"> </w:t>
      </w:r>
      <w:r>
        <w:rPr>
          <w:rFonts w:hint="eastAsia" w:ascii="宋体" w:hAnsi="宋体" w:eastAsia="宋体" w:cs="宋体"/>
          <w:spacing w:val="-7"/>
          <w:sz w:val="24"/>
          <w:szCs w:val="24"/>
          <w:highlight w:val="none"/>
        </w:rPr>
        <w:t>月</w:t>
      </w:r>
      <w:r>
        <w:rPr>
          <w:rFonts w:hint="eastAsia" w:ascii="宋体" w:hAnsi="宋体" w:eastAsia="宋体" w:cs="宋体"/>
          <w:spacing w:val="-118"/>
          <w:sz w:val="24"/>
          <w:szCs w:val="24"/>
          <w:highlight w:val="none"/>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50"/>
          <w:sz w:val="24"/>
          <w:szCs w:val="24"/>
          <w:highlight w:val="none"/>
        </w:rPr>
        <w:t xml:space="preserve"> </w:t>
      </w:r>
      <w:r>
        <w:rPr>
          <w:rFonts w:hint="eastAsia" w:ascii="宋体" w:hAnsi="宋体" w:eastAsia="宋体" w:cs="宋体"/>
          <w:spacing w:val="-7"/>
          <w:sz w:val="24"/>
          <w:szCs w:val="24"/>
          <w:highlight w:val="none"/>
        </w:rPr>
        <w:t>日</w:t>
      </w:r>
    </w:p>
    <w:p w14:paraId="7FEF08B1">
      <w:pPr>
        <w:pStyle w:val="5"/>
        <w:keepNext w:val="0"/>
        <w:keepLines w:val="0"/>
        <w:pageBreakBefore w:val="0"/>
        <w:widowControl/>
        <w:kinsoku w:val="0"/>
        <w:wordWrap/>
        <w:overflowPunct/>
        <w:topLinePunct w:val="0"/>
        <w:autoSpaceDE w:val="0"/>
        <w:autoSpaceDN w:val="0"/>
        <w:bidi w:val="0"/>
        <w:adjustRightInd w:val="0"/>
        <w:snapToGrid w:val="0"/>
        <w:spacing w:before="212"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附：被授权人（签字</w:t>
      </w:r>
      <w:r>
        <w:rPr>
          <w:rFonts w:hint="eastAsia" w:ascii="宋体" w:hAnsi="宋体" w:eastAsia="宋体" w:cs="宋体"/>
          <w:spacing w:val="6"/>
          <w:sz w:val="24"/>
          <w:szCs w:val="24"/>
          <w:highlight w:val="none"/>
        </w:rPr>
        <w:t>）：</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93"/>
          <w:sz w:val="24"/>
          <w:szCs w:val="24"/>
          <w:highlight w:val="non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04"/>
          <w:sz w:val="24"/>
          <w:szCs w:val="24"/>
          <w:highlight w:val="none"/>
        </w:rPr>
        <w:t xml:space="preserve"> </w:t>
      </w:r>
      <w:r>
        <w:rPr>
          <w:rFonts w:hint="eastAsia" w:ascii="宋体" w:hAnsi="宋体" w:eastAsia="宋体" w:cs="宋体"/>
          <w:sz w:val="24"/>
          <w:szCs w:val="24"/>
          <w:highlight w:val="none"/>
        </w:rPr>
        <w:t>职</w:t>
      </w:r>
      <w:r>
        <w:rPr>
          <w:rFonts w:hint="eastAsia" w:ascii="宋体" w:hAnsi="宋体" w:eastAsia="宋体" w:cs="宋体"/>
          <w:spacing w:val="-1"/>
          <w:sz w:val="24"/>
          <w:szCs w:val="24"/>
          <w:highlight w:val="none"/>
        </w:rPr>
        <w:t>务：</w:t>
      </w:r>
      <w:r>
        <w:rPr>
          <w:rFonts w:hint="eastAsia" w:ascii="宋体" w:hAnsi="宋体" w:eastAsia="宋体" w:cs="宋体"/>
          <w:sz w:val="24"/>
          <w:szCs w:val="24"/>
          <w:highlight w:val="none"/>
          <w:u w:val="single" w:color="auto"/>
        </w:rPr>
        <w:t xml:space="preserve">           </w:t>
      </w:r>
    </w:p>
    <w:p w14:paraId="4DF72FE1">
      <w:pPr>
        <w:pStyle w:val="5"/>
        <w:keepNext w:val="0"/>
        <w:keepLines w:val="0"/>
        <w:pageBreakBefore w:val="0"/>
        <w:widowControl/>
        <w:kinsoku w:val="0"/>
        <w:wordWrap/>
        <w:overflowPunct/>
        <w:topLinePunct w:val="0"/>
        <w:autoSpaceDE w:val="0"/>
        <w:autoSpaceDN w:val="0"/>
        <w:bidi w:val="0"/>
        <w:adjustRightInd w:val="0"/>
        <w:snapToGrid w:val="0"/>
        <w:spacing w:before="212" w:line="360" w:lineRule="auto"/>
        <w:ind w:right="305"/>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联系地址：</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rPr>
        <w:t xml:space="preserve"> </w:t>
      </w:r>
    </w:p>
    <w:p w14:paraId="35E21C8F">
      <w:pPr>
        <w:pStyle w:val="5"/>
        <w:keepNext w:val="0"/>
        <w:keepLines w:val="0"/>
        <w:pageBreakBefore w:val="0"/>
        <w:widowControl/>
        <w:kinsoku w:val="0"/>
        <w:wordWrap/>
        <w:overflowPunct/>
        <w:topLinePunct w:val="0"/>
        <w:autoSpaceDE w:val="0"/>
        <w:autoSpaceDN w:val="0"/>
        <w:bidi w:val="0"/>
        <w:adjustRightInd w:val="0"/>
        <w:snapToGrid w:val="0"/>
        <w:spacing w:before="212" w:line="360" w:lineRule="auto"/>
        <w:ind w:right="305"/>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联系电话：</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88"/>
          <w:sz w:val="24"/>
          <w:szCs w:val="24"/>
          <w:highlight w:val="none"/>
        </w:rPr>
        <w:t xml:space="preserve"> </w:t>
      </w:r>
      <w:r>
        <w:rPr>
          <w:rFonts w:hint="eastAsia" w:ascii="宋体" w:hAnsi="宋体" w:eastAsia="宋体" w:cs="宋体"/>
          <w:spacing w:val="-1"/>
          <w:sz w:val="24"/>
          <w:szCs w:val="24"/>
          <w:highlight w:val="none"/>
        </w:rPr>
        <w:t>传真：</w:t>
      </w:r>
      <w:r>
        <w:rPr>
          <w:rFonts w:hint="eastAsia" w:ascii="宋体" w:hAnsi="宋体" w:eastAsia="宋体" w:cs="宋体"/>
          <w:spacing w:val="-1"/>
          <w:sz w:val="24"/>
          <w:szCs w:val="24"/>
          <w:highlight w:val="none"/>
          <w:u w:val="single" w:color="auto"/>
        </w:rPr>
        <w:t xml:space="preserve">                               </w:t>
      </w:r>
    </w:p>
    <w:p w14:paraId="335350A2">
      <w:pPr>
        <w:pStyle w:val="5"/>
        <w:keepNext w:val="0"/>
        <w:keepLines w:val="0"/>
        <w:pageBreakBefore w:val="0"/>
        <w:widowControl/>
        <w:kinsoku w:val="0"/>
        <w:wordWrap/>
        <w:overflowPunct/>
        <w:topLinePunct w:val="0"/>
        <w:autoSpaceDE w:val="0"/>
        <w:autoSpaceDN w:val="0"/>
        <w:bidi w:val="0"/>
        <w:adjustRightInd w:val="0"/>
        <w:snapToGrid w:val="0"/>
        <w:spacing w:before="40" w:line="360" w:lineRule="auto"/>
        <w:ind w:left="2829"/>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法定代表人/被授权人身份证复印件</w:t>
      </w:r>
    </w:p>
    <w:p w14:paraId="6D730B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tbl>
      <w:tblPr>
        <w:tblStyle w:val="12"/>
        <w:tblW w:w="8430" w:type="dxa"/>
        <w:tblInd w:w="3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15"/>
        <w:gridCol w:w="4215"/>
      </w:tblGrid>
      <w:tr w14:paraId="041BC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4215" w:type="dxa"/>
            <w:shd w:val="clear" w:color="auto" w:fill="E0E0E0"/>
            <w:vAlign w:val="top"/>
          </w:tcPr>
          <w:p w14:paraId="660D861B">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0E60CD9F">
            <w:pPr>
              <w:keepNext w:val="0"/>
              <w:keepLines w:val="0"/>
              <w:pageBreakBefore w:val="0"/>
              <w:widowControl/>
              <w:kinsoku w:val="0"/>
              <w:wordWrap/>
              <w:overflowPunct/>
              <w:topLinePunct w:val="0"/>
              <w:autoSpaceDE w:val="0"/>
              <w:autoSpaceDN w:val="0"/>
              <w:bidi w:val="0"/>
              <w:adjustRightInd w:val="0"/>
              <w:snapToGrid w:val="0"/>
              <w:spacing w:before="78" w:line="360" w:lineRule="auto"/>
              <w:ind w:left="1878" w:right="161" w:hanging="1697"/>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法定代表人身份证复印件</w:t>
            </w:r>
            <w:r>
              <w:rPr>
                <w:rFonts w:hint="eastAsia" w:ascii="宋体" w:hAnsi="宋体" w:eastAsia="宋体" w:cs="宋体"/>
                <w:spacing w:val="1"/>
                <w:sz w:val="24"/>
                <w:szCs w:val="24"/>
                <w:highlight w:val="none"/>
                <w:lang w:val="en-US" w:eastAsia="zh-CN"/>
              </w:rPr>
              <w:t>国徽</w:t>
            </w:r>
            <w:r>
              <w:rPr>
                <w:rFonts w:hint="eastAsia" w:ascii="宋体" w:hAnsi="宋体" w:eastAsia="宋体" w:cs="宋体"/>
                <w:spacing w:val="1"/>
                <w:sz w:val="24"/>
                <w:szCs w:val="24"/>
                <w:highlight w:val="none"/>
              </w:rPr>
              <w:t>面（粘贴</w:t>
            </w:r>
            <w:r>
              <w:rPr>
                <w:rFonts w:hint="eastAsia" w:ascii="宋体" w:hAnsi="宋体" w:eastAsia="宋体" w:cs="宋体"/>
                <w:spacing w:val="-9"/>
                <w:sz w:val="24"/>
                <w:szCs w:val="24"/>
                <w:highlight w:val="none"/>
              </w:rPr>
              <w:t>处）</w:t>
            </w:r>
          </w:p>
        </w:tc>
        <w:tc>
          <w:tcPr>
            <w:tcW w:w="4215" w:type="dxa"/>
            <w:shd w:val="clear" w:color="auto" w:fill="E0E0E0"/>
            <w:vAlign w:val="top"/>
          </w:tcPr>
          <w:p w14:paraId="73E29982">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7E63C2B7">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53D2946F">
            <w:pPr>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被授权人身份证复印件</w:t>
            </w:r>
            <w:r>
              <w:rPr>
                <w:rFonts w:hint="eastAsia" w:ascii="宋体" w:hAnsi="宋体" w:eastAsia="宋体" w:cs="宋体"/>
                <w:spacing w:val="1"/>
                <w:sz w:val="24"/>
                <w:szCs w:val="24"/>
                <w:highlight w:val="none"/>
                <w:lang w:val="en-US" w:eastAsia="zh-CN"/>
              </w:rPr>
              <w:t>国徽</w:t>
            </w:r>
            <w:r>
              <w:rPr>
                <w:rFonts w:hint="eastAsia" w:ascii="宋体" w:hAnsi="宋体" w:eastAsia="宋体" w:cs="宋体"/>
                <w:spacing w:val="-1"/>
                <w:sz w:val="24"/>
                <w:szCs w:val="24"/>
                <w:highlight w:val="none"/>
              </w:rPr>
              <w:t>面（粘贴处）</w:t>
            </w:r>
          </w:p>
        </w:tc>
      </w:tr>
      <w:tr w14:paraId="23943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4215" w:type="dxa"/>
            <w:shd w:val="clear" w:color="auto" w:fill="E0E0E0"/>
            <w:vAlign w:val="top"/>
          </w:tcPr>
          <w:p w14:paraId="4D19283F">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3B884D6E">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6287B0DB">
            <w:pPr>
              <w:keepNext w:val="0"/>
              <w:keepLines w:val="0"/>
              <w:pageBreakBefore w:val="0"/>
              <w:widowControl/>
              <w:kinsoku w:val="0"/>
              <w:wordWrap/>
              <w:overflowPunct/>
              <w:topLinePunct w:val="0"/>
              <w:autoSpaceDE w:val="0"/>
              <w:autoSpaceDN w:val="0"/>
              <w:bidi w:val="0"/>
              <w:adjustRightInd w:val="0"/>
              <w:snapToGrid w:val="0"/>
              <w:spacing w:before="78" w:line="360" w:lineRule="auto"/>
              <w:ind w:left="1758" w:right="161" w:hanging="1577"/>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法定代表人身份证复印件</w:t>
            </w:r>
            <w:r>
              <w:rPr>
                <w:rFonts w:hint="eastAsia" w:ascii="宋体" w:hAnsi="宋体" w:eastAsia="宋体" w:cs="宋体"/>
                <w:spacing w:val="1"/>
                <w:sz w:val="24"/>
                <w:szCs w:val="24"/>
                <w:highlight w:val="none"/>
                <w:lang w:val="en-US" w:eastAsia="zh-CN"/>
              </w:rPr>
              <w:t>人像</w:t>
            </w:r>
            <w:r>
              <w:rPr>
                <w:rFonts w:hint="eastAsia" w:ascii="宋体" w:hAnsi="宋体" w:eastAsia="宋体" w:cs="宋体"/>
                <w:spacing w:val="1"/>
                <w:sz w:val="24"/>
                <w:szCs w:val="24"/>
                <w:highlight w:val="none"/>
              </w:rPr>
              <w:t>面（粘</w:t>
            </w:r>
            <w:r>
              <w:rPr>
                <w:rFonts w:hint="eastAsia" w:ascii="宋体" w:hAnsi="宋体" w:eastAsia="宋体" w:cs="宋体"/>
                <w:spacing w:val="-6"/>
                <w:sz w:val="24"/>
                <w:szCs w:val="24"/>
                <w:highlight w:val="none"/>
              </w:rPr>
              <w:t>贴处）</w:t>
            </w:r>
          </w:p>
        </w:tc>
        <w:tc>
          <w:tcPr>
            <w:tcW w:w="4215" w:type="dxa"/>
            <w:shd w:val="clear" w:color="auto" w:fill="E0E0E0"/>
            <w:vAlign w:val="top"/>
          </w:tcPr>
          <w:p w14:paraId="47E45455">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54DDD8FF">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p>
          <w:p w14:paraId="1D5373F5">
            <w:pPr>
              <w:keepNext w:val="0"/>
              <w:keepLines w:val="0"/>
              <w:pageBreakBefore w:val="0"/>
              <w:widowControl/>
              <w:kinsoku w:val="0"/>
              <w:wordWrap/>
              <w:overflowPunct/>
              <w:topLinePunct w:val="0"/>
              <w:autoSpaceDE w:val="0"/>
              <w:autoSpaceDN w:val="0"/>
              <w:bidi w:val="0"/>
              <w:adjustRightInd w:val="0"/>
              <w:snapToGrid w:val="0"/>
              <w:spacing w:before="78" w:line="360" w:lineRule="auto"/>
              <w:ind w:right="111"/>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被授权人身份证复印件</w:t>
            </w:r>
            <w:r>
              <w:rPr>
                <w:rFonts w:hint="eastAsia" w:ascii="宋体" w:hAnsi="宋体" w:eastAsia="宋体" w:cs="宋体"/>
                <w:spacing w:val="8"/>
                <w:sz w:val="24"/>
                <w:szCs w:val="24"/>
                <w:highlight w:val="none"/>
                <w:lang w:val="en-US" w:eastAsia="zh-CN"/>
              </w:rPr>
              <w:t>人像</w:t>
            </w:r>
            <w:r>
              <w:rPr>
                <w:rFonts w:hint="eastAsia" w:ascii="宋体" w:hAnsi="宋体" w:eastAsia="宋体" w:cs="宋体"/>
                <w:spacing w:val="8"/>
                <w:sz w:val="24"/>
                <w:szCs w:val="24"/>
                <w:highlight w:val="none"/>
              </w:rPr>
              <w:t>面（粘贴</w:t>
            </w:r>
            <w:r>
              <w:rPr>
                <w:rFonts w:hint="eastAsia" w:ascii="宋体" w:hAnsi="宋体" w:eastAsia="宋体" w:cs="宋体"/>
                <w:spacing w:val="-9"/>
                <w:sz w:val="24"/>
                <w:szCs w:val="24"/>
                <w:highlight w:val="none"/>
              </w:rPr>
              <w:t>处）</w:t>
            </w:r>
          </w:p>
        </w:tc>
      </w:tr>
    </w:tbl>
    <w:p w14:paraId="5B8383D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说明：</w:t>
      </w:r>
    </w:p>
    <w:p w14:paraId="78E7B96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1.本授权书有效期自磋商会议召开之日计算不得少于90日历天。</w:t>
      </w:r>
    </w:p>
    <w:p w14:paraId="58D1593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highlight w:val="none"/>
        </w:rPr>
        <w:t>授权书内容填写要明确，文字要工整清楚，涂改无效。</w:t>
      </w:r>
    </w:p>
    <w:p w14:paraId="7DBF81FE">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法定代表人亲自参加响应的，无需提供该委托授权书，但须提供法定代表人本人身份证（正反面）复印件。</w:t>
      </w:r>
    </w:p>
    <w:p w14:paraId="394C6ECC">
      <w:pPr>
        <w:rPr>
          <w:rFonts w:hint="eastAsia" w:ascii="宋体" w:hAnsi="宋体" w:eastAsia="宋体" w:cs="宋体"/>
          <w:highlight w:val="none"/>
        </w:rPr>
      </w:pPr>
    </w:p>
    <w:p w14:paraId="76C407E8">
      <w:pPr>
        <w:spacing w:line="222" w:lineRule="auto"/>
        <w:rPr>
          <w:rFonts w:hint="eastAsia" w:ascii="宋体" w:hAnsi="宋体" w:eastAsia="宋体" w:cs="宋体"/>
          <w:sz w:val="24"/>
          <w:szCs w:val="24"/>
          <w:highlight w:val="none"/>
        </w:rPr>
        <w:sectPr>
          <w:headerReference r:id="rId36" w:type="default"/>
          <w:footerReference r:id="rId37" w:type="default"/>
          <w:pgSz w:w="11906" w:h="16839"/>
          <w:pgMar w:top="1134" w:right="1417" w:bottom="969" w:left="1418" w:header="862" w:footer="754" w:gutter="0"/>
          <w:pgNumType w:fmt="decimal"/>
          <w:cols w:space="720" w:num="1"/>
        </w:sectPr>
      </w:pPr>
    </w:p>
    <w:p w14:paraId="37063128">
      <w:pPr>
        <w:pStyle w:val="5"/>
        <w:spacing w:before="101" w:line="226" w:lineRule="auto"/>
        <w:ind w:left="0" w:leftChars="0" w:firstLine="0" w:firstLineChars="0"/>
        <w:jc w:val="center"/>
        <w:rPr>
          <w:rFonts w:hint="eastAsia" w:ascii="宋体" w:hAnsi="宋体" w:eastAsia="宋体" w:cs="宋体"/>
          <w:sz w:val="32"/>
          <w:szCs w:val="32"/>
          <w:highlight w:val="none"/>
        </w:rPr>
      </w:pPr>
      <w:r>
        <w:rPr>
          <w:rFonts w:hint="eastAsia" w:ascii="宋体" w:hAnsi="宋体" w:eastAsia="宋体" w:cs="宋体"/>
          <w:b/>
          <w:bCs/>
          <w:spacing w:val="4"/>
          <w:sz w:val="32"/>
          <w:szCs w:val="32"/>
          <w:highlight w:val="none"/>
        </w:rPr>
        <w:t>第二部分</w:t>
      </w:r>
      <w:r>
        <w:rPr>
          <w:rFonts w:hint="eastAsia" w:ascii="宋体" w:hAnsi="宋体" w:eastAsia="宋体" w:cs="宋体"/>
          <w:spacing w:val="46"/>
          <w:sz w:val="32"/>
          <w:szCs w:val="32"/>
          <w:highlight w:val="none"/>
        </w:rPr>
        <w:t xml:space="preserve"> </w:t>
      </w:r>
      <w:r>
        <w:rPr>
          <w:rFonts w:hint="eastAsia" w:ascii="宋体" w:hAnsi="宋体" w:eastAsia="宋体" w:cs="宋体"/>
          <w:b/>
          <w:bCs/>
          <w:spacing w:val="4"/>
          <w:sz w:val="32"/>
          <w:szCs w:val="32"/>
          <w:highlight w:val="none"/>
        </w:rPr>
        <w:t>符合性证明文件</w:t>
      </w:r>
    </w:p>
    <w:p w14:paraId="45282102">
      <w:pPr>
        <w:spacing w:line="456" w:lineRule="auto"/>
        <w:rPr>
          <w:rFonts w:hint="eastAsia" w:ascii="宋体" w:hAnsi="宋体" w:eastAsia="宋体" w:cs="宋体"/>
          <w:sz w:val="21"/>
          <w:highlight w:val="none"/>
        </w:rPr>
      </w:pPr>
    </w:p>
    <w:p w14:paraId="5CFACF54">
      <w:pPr>
        <w:pStyle w:val="5"/>
        <w:spacing w:before="97" w:line="222" w:lineRule="auto"/>
        <w:ind w:left="2931"/>
        <w:rPr>
          <w:rFonts w:hint="eastAsia" w:ascii="宋体" w:hAnsi="宋体" w:eastAsia="宋体" w:cs="宋体"/>
          <w:b/>
          <w:bCs/>
          <w:spacing w:val="-4"/>
          <w:sz w:val="30"/>
          <w:szCs w:val="30"/>
          <w:highlight w:val="none"/>
          <w:lang w:val="en-US" w:eastAsia="zh-CN"/>
        </w:rPr>
      </w:pPr>
      <w:r>
        <w:rPr>
          <w:rFonts w:hint="eastAsia" w:ascii="宋体" w:hAnsi="宋体" w:eastAsia="宋体" w:cs="宋体"/>
          <w:b/>
          <w:bCs/>
          <w:spacing w:val="-4"/>
          <w:sz w:val="30"/>
          <w:szCs w:val="30"/>
          <w:highlight w:val="none"/>
          <w:lang w:val="en-US" w:eastAsia="zh-CN"/>
        </w:rPr>
        <w:t>一、响应函</w:t>
      </w:r>
    </w:p>
    <w:p w14:paraId="15F6F2FC">
      <w:pPr>
        <w:spacing w:line="377" w:lineRule="auto"/>
        <w:rPr>
          <w:rFonts w:hint="eastAsia" w:ascii="宋体" w:hAnsi="宋体" w:eastAsia="宋体" w:cs="宋体"/>
          <w:sz w:val="21"/>
          <w:highlight w:val="none"/>
        </w:rPr>
      </w:pPr>
    </w:p>
    <w:p w14:paraId="1DBA1100">
      <w:pPr>
        <w:pStyle w:val="5"/>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致</w:t>
      </w:r>
      <w:r>
        <w:rPr>
          <w:rFonts w:hint="eastAsia" w:ascii="宋体" w:hAnsi="宋体" w:eastAsia="宋体" w:cs="宋体"/>
          <w:spacing w:val="-29"/>
          <w:sz w:val="24"/>
          <w:szCs w:val="24"/>
          <w:highlight w:val="none"/>
        </w:rPr>
        <w:t>：</w:t>
      </w:r>
      <w:r>
        <w:rPr>
          <w:rFonts w:hint="eastAsia" w:ascii="宋体" w:hAnsi="宋体" w:eastAsia="宋体" w:cs="宋体"/>
          <w:spacing w:val="-29"/>
          <w:sz w:val="24"/>
          <w:szCs w:val="24"/>
          <w:highlight w:val="none"/>
          <w:u w:val="single" w:color="auto"/>
        </w:rPr>
        <w:t>（</w:t>
      </w:r>
      <w:r>
        <w:rPr>
          <w:rFonts w:hint="eastAsia" w:ascii="宋体" w:hAnsi="宋体" w:eastAsia="宋体" w:cs="宋体"/>
          <w:spacing w:val="2"/>
          <w:sz w:val="24"/>
          <w:szCs w:val="24"/>
          <w:highlight w:val="none"/>
          <w:u w:val="single" w:color="auto"/>
        </w:rPr>
        <w:t>采购人）</w:t>
      </w:r>
      <w:r>
        <w:rPr>
          <w:rFonts w:hint="eastAsia" w:ascii="宋体" w:hAnsi="宋体" w:eastAsia="宋体" w:cs="宋体"/>
          <w:sz w:val="24"/>
          <w:szCs w:val="24"/>
          <w:highlight w:val="none"/>
          <w:u w:val="single" w:color="auto"/>
        </w:rPr>
        <w:t xml:space="preserve">               </w:t>
      </w:r>
    </w:p>
    <w:p w14:paraId="1F82D771">
      <w:pPr>
        <w:pStyle w:val="5"/>
        <w:bidi w:val="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1、根据你方发布的</w:t>
      </w:r>
      <w:r>
        <w:rPr>
          <w:rFonts w:hint="eastAsia" w:ascii="宋体" w:hAnsi="宋体" w:eastAsia="宋体" w:cs="宋体"/>
          <w:spacing w:val="-112"/>
          <w:sz w:val="24"/>
          <w:szCs w:val="24"/>
          <w:highlight w:val="none"/>
        </w:rPr>
        <w:t xml:space="preserve"> </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5"/>
          <w:sz w:val="24"/>
          <w:szCs w:val="24"/>
          <w:highlight w:val="none"/>
          <w:u w:val="single" w:color="auto"/>
          <w:lang w:val="en-US" w:eastAsia="zh-CN"/>
        </w:rPr>
        <w:t xml:space="preserve">    </w:t>
      </w:r>
      <w:r>
        <w:rPr>
          <w:rFonts w:hint="eastAsia" w:ascii="宋体" w:hAnsi="宋体" w:eastAsia="宋体" w:cs="宋体"/>
          <w:spacing w:val="5"/>
          <w:sz w:val="24"/>
          <w:szCs w:val="24"/>
          <w:highlight w:val="none"/>
          <w:u w:val="single" w:color="auto"/>
        </w:rPr>
        <w:t>（项目名称</w:t>
      </w:r>
      <w:r>
        <w:rPr>
          <w:rFonts w:hint="eastAsia" w:ascii="宋体" w:hAnsi="宋体" w:eastAsia="宋体" w:cs="宋体"/>
          <w:spacing w:val="-13"/>
          <w:sz w:val="24"/>
          <w:szCs w:val="24"/>
          <w:highlight w:val="none"/>
          <w:u w:val="single" w:color="auto"/>
        </w:rPr>
        <w:t>）（</w:t>
      </w:r>
      <w:r>
        <w:rPr>
          <w:rFonts w:hint="eastAsia" w:ascii="宋体" w:hAnsi="宋体" w:eastAsia="宋体" w:cs="宋体"/>
          <w:spacing w:val="5"/>
          <w:sz w:val="24"/>
          <w:szCs w:val="24"/>
          <w:highlight w:val="none"/>
          <w:u w:val="single" w:color="auto"/>
        </w:rPr>
        <w:t>项目编号）</w:t>
      </w:r>
      <w:r>
        <w:rPr>
          <w:rFonts w:hint="eastAsia" w:ascii="宋体" w:hAnsi="宋体" w:eastAsia="宋体" w:cs="宋体"/>
          <w:spacing w:val="5"/>
          <w:sz w:val="24"/>
          <w:szCs w:val="24"/>
          <w:highlight w:val="none"/>
        </w:rPr>
        <w:t>竞争性磋商文件，经踏研究上述竞争性磋商文件的响应须知、合同条款、服</w:t>
      </w:r>
      <w:r>
        <w:rPr>
          <w:rFonts w:hint="eastAsia" w:ascii="宋体" w:hAnsi="宋体" w:eastAsia="宋体" w:cs="宋体"/>
          <w:spacing w:val="4"/>
          <w:sz w:val="24"/>
          <w:szCs w:val="24"/>
          <w:highlight w:val="none"/>
        </w:rPr>
        <w:t>务量清单及其他有关文件后，我方愿以磋</w:t>
      </w:r>
      <w:r>
        <w:rPr>
          <w:rFonts w:hint="eastAsia" w:ascii="宋体" w:hAnsi="宋体" w:eastAsia="宋体" w:cs="宋体"/>
          <w:spacing w:val="3"/>
          <w:sz w:val="24"/>
          <w:szCs w:val="24"/>
          <w:highlight w:val="none"/>
        </w:rPr>
        <w:t>商报价为：人民币大写：</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3"/>
          <w:sz w:val="24"/>
          <w:szCs w:val="24"/>
          <w:highlight w:val="none"/>
        </w:rPr>
        <w:t>元</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小写：</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3"/>
          <w:sz w:val="24"/>
          <w:szCs w:val="24"/>
          <w:highlight w:val="none"/>
        </w:rPr>
        <w:t>元的磋商报价承接上述</w:t>
      </w:r>
      <w:r>
        <w:rPr>
          <w:rFonts w:hint="eastAsia" w:ascii="宋体" w:hAnsi="宋体" w:eastAsia="宋体" w:cs="宋体"/>
          <w:spacing w:val="2"/>
          <w:sz w:val="24"/>
          <w:szCs w:val="24"/>
          <w:highlight w:val="none"/>
        </w:rPr>
        <w:t>服务项目，</w:t>
      </w:r>
      <w:r>
        <w:rPr>
          <w:rFonts w:hint="eastAsia" w:ascii="宋体" w:hAnsi="宋体" w:eastAsia="宋体" w:cs="宋体"/>
          <w:sz w:val="24"/>
          <w:szCs w:val="24"/>
          <w:highlight w:val="none"/>
        </w:rPr>
        <w:t>并承担相应责任。</w:t>
      </w:r>
    </w:p>
    <w:p w14:paraId="795916D5">
      <w:pPr>
        <w:pStyle w:val="5"/>
        <w:bidi w:val="0"/>
        <w:rPr>
          <w:rFonts w:hint="eastAsia" w:ascii="宋体" w:hAnsi="宋体" w:eastAsia="宋体" w:cs="宋体"/>
          <w:highlight w:val="none"/>
        </w:rPr>
      </w:pPr>
      <w:r>
        <w:rPr>
          <w:rFonts w:hint="eastAsia" w:ascii="宋体" w:hAnsi="宋体" w:eastAsia="宋体" w:cs="宋体"/>
          <w:highlight w:val="none"/>
        </w:rPr>
        <w:t>2、我方一旦成交，保证达到竞争性磋商文件规定的验收合格标准。</w:t>
      </w:r>
    </w:p>
    <w:p w14:paraId="1C184332">
      <w:pPr>
        <w:pStyle w:val="5"/>
        <w:bidi w:val="0"/>
        <w:rPr>
          <w:rFonts w:hint="eastAsia" w:ascii="宋体" w:hAnsi="宋体" w:eastAsia="宋体" w:cs="宋体"/>
          <w:highlight w:val="none"/>
        </w:rPr>
      </w:pPr>
      <w:r>
        <w:rPr>
          <w:rFonts w:hint="eastAsia" w:ascii="宋体" w:hAnsi="宋体" w:eastAsia="宋体" w:cs="宋体"/>
          <w:highlight w:val="none"/>
        </w:rPr>
        <w:t>3、我方已详细审核全部竞争性磋商文件，包括有关附件。</w:t>
      </w:r>
    </w:p>
    <w:p w14:paraId="74F583BF">
      <w:pPr>
        <w:pStyle w:val="5"/>
        <w:bidi w:val="0"/>
        <w:rPr>
          <w:rFonts w:hint="eastAsia" w:ascii="宋体" w:hAnsi="宋体" w:eastAsia="宋体" w:cs="宋体"/>
          <w:szCs w:val="24"/>
          <w:highlight w:val="none"/>
        </w:rPr>
      </w:pPr>
      <w:r>
        <w:rPr>
          <w:rFonts w:hint="eastAsia" w:ascii="宋体" w:hAnsi="宋体" w:eastAsia="宋体" w:cs="宋体"/>
          <w:highlight w:val="none"/>
        </w:rPr>
        <w:t>4、我方保证上述磋商报价不低于我单位服务的成本价。</w:t>
      </w:r>
    </w:p>
    <w:p w14:paraId="19BA27F6">
      <w:pPr>
        <w:pStyle w:val="5"/>
        <w:bidi w:val="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5、若我方成交，我方保证按合同协议中规定的服务期</w:t>
      </w:r>
      <w:r>
        <w:rPr>
          <w:rFonts w:hint="eastAsia" w:ascii="宋体" w:hAnsi="宋体" w:eastAsia="宋体" w:cs="宋体"/>
          <w:spacing w:val="-113"/>
          <w:sz w:val="24"/>
          <w:szCs w:val="24"/>
          <w:highlight w:val="none"/>
        </w:rPr>
        <w:t xml:space="preserve"> </w:t>
      </w:r>
      <w:r>
        <w:rPr>
          <w:rFonts w:hint="eastAsia" w:ascii="宋体" w:hAnsi="宋体" w:eastAsia="宋体" w:cs="宋体"/>
          <w:spacing w:val="-113"/>
          <w:sz w:val="24"/>
          <w:szCs w:val="24"/>
          <w:highlight w:val="none"/>
          <w:lang w:eastAsia="zh-CN"/>
        </w:rPr>
        <w:t>：</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3"/>
          <w:sz w:val="24"/>
          <w:szCs w:val="24"/>
          <w:highlight w:val="none"/>
          <w:u w:val="single" w:color="auto"/>
          <w:lang w:val="en-US" w:eastAsia="zh-CN"/>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
          <w:sz w:val="24"/>
          <w:szCs w:val="24"/>
          <w:highlight w:val="none"/>
        </w:rPr>
        <w:t>，质量</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pacing w:val="-1"/>
          <w:sz w:val="24"/>
          <w:szCs w:val="24"/>
          <w:highlight w:val="none"/>
        </w:rPr>
        <w:t>。</w:t>
      </w:r>
    </w:p>
    <w:p w14:paraId="5D05111F">
      <w:pPr>
        <w:pStyle w:val="5"/>
        <w:bidi w:val="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6、在合同协议书正式签署生效之前，你方的成交通知书和本磋商响应文件将构成</w:t>
      </w:r>
      <w:r>
        <w:rPr>
          <w:rFonts w:hint="eastAsia" w:ascii="宋体" w:hAnsi="宋体" w:eastAsia="宋体" w:cs="宋体"/>
          <w:spacing w:val="12"/>
          <w:sz w:val="24"/>
          <w:szCs w:val="24"/>
          <w:highlight w:val="none"/>
        </w:rPr>
        <w:t xml:space="preserve"> </w:t>
      </w:r>
      <w:r>
        <w:rPr>
          <w:rFonts w:hint="eastAsia" w:ascii="宋体" w:hAnsi="宋体" w:eastAsia="宋体" w:cs="宋体"/>
          <w:spacing w:val="2"/>
          <w:sz w:val="24"/>
          <w:szCs w:val="24"/>
          <w:highlight w:val="none"/>
        </w:rPr>
        <w:t>我们约束双方之间共同遵守的文件，对双方具有约束力。</w:t>
      </w:r>
    </w:p>
    <w:p w14:paraId="39BAEBDF">
      <w:pPr>
        <w:pStyle w:val="5"/>
        <w:bidi w:val="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7、我方已在信用中国（陕西榆林）网站中作出了保证</w:t>
      </w:r>
      <w:r>
        <w:rPr>
          <w:rFonts w:hint="eastAsia" w:ascii="宋体" w:hAnsi="宋体" w:eastAsia="宋体" w:cs="宋体"/>
          <w:sz w:val="24"/>
          <w:szCs w:val="24"/>
          <w:highlight w:val="none"/>
        </w:rPr>
        <w:t>金承诺。</w:t>
      </w:r>
    </w:p>
    <w:p w14:paraId="749B3F05">
      <w:pPr>
        <w:pStyle w:val="5"/>
        <w:bidi w:val="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8、其他：</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1FBBC7C8">
      <w:pPr>
        <w:pStyle w:val="5"/>
        <w:bidi w:val="0"/>
        <w:rPr>
          <w:rFonts w:hint="eastAsia" w:ascii="宋体" w:hAnsi="宋体" w:eastAsia="宋体" w:cs="宋体"/>
          <w:sz w:val="24"/>
          <w:szCs w:val="24"/>
          <w:highlight w:val="none"/>
        </w:rPr>
      </w:pPr>
      <w:r>
        <w:rPr>
          <w:rFonts w:hint="eastAsia" w:ascii="宋体" w:hAnsi="宋体" w:eastAsia="宋体" w:cs="宋体"/>
          <w:highlight w:val="none"/>
        </w:rPr>
        <w:t>9、我方理解你方不负担我们的任何响应费用，我方不要求你方对未成交原因作出</w:t>
      </w:r>
      <w:r>
        <w:rPr>
          <w:rFonts w:hint="eastAsia" w:ascii="宋体" w:hAnsi="宋体" w:eastAsia="宋体" w:cs="宋体"/>
          <w:spacing w:val="2"/>
          <w:sz w:val="24"/>
          <w:szCs w:val="24"/>
          <w:highlight w:val="none"/>
        </w:rPr>
        <w:t>任何解释，也不退回磋商响应文件。</w:t>
      </w:r>
    </w:p>
    <w:p w14:paraId="4E3215BC">
      <w:pPr>
        <w:pStyle w:val="5"/>
        <w:bidi w:val="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10、我方的响应文件在召开磋商会议之日起</w:t>
      </w:r>
      <w:r>
        <w:rPr>
          <w:rFonts w:hint="eastAsia" w:ascii="宋体" w:hAnsi="宋体" w:eastAsia="宋体" w:cs="宋体"/>
          <w:spacing w:val="-103"/>
          <w:sz w:val="24"/>
          <w:szCs w:val="24"/>
          <w:highlight w:val="none"/>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z w:val="24"/>
          <w:szCs w:val="24"/>
          <w:highlight w:val="none"/>
        </w:rPr>
        <w:t>日历天</w:t>
      </w:r>
      <w:r>
        <w:rPr>
          <w:rFonts w:hint="eastAsia" w:ascii="宋体" w:hAnsi="宋体" w:eastAsia="宋体" w:cs="宋体"/>
          <w:spacing w:val="-3"/>
          <w:sz w:val="24"/>
          <w:szCs w:val="24"/>
          <w:highlight w:val="none"/>
        </w:rPr>
        <w:t>内有效，如成交，延</w:t>
      </w:r>
      <w:r>
        <w:rPr>
          <w:rFonts w:hint="eastAsia" w:ascii="宋体" w:hAnsi="宋体" w:eastAsia="宋体" w:cs="宋体"/>
          <w:spacing w:val="1"/>
          <w:sz w:val="24"/>
          <w:szCs w:val="24"/>
          <w:highlight w:val="none"/>
        </w:rPr>
        <w:t>长至合同执行完毕时止。</w:t>
      </w:r>
    </w:p>
    <w:p w14:paraId="02CAEFBF">
      <w:pPr>
        <w:pStyle w:val="5"/>
        <w:bidi w:val="0"/>
        <w:rPr>
          <w:rFonts w:hint="eastAsia" w:ascii="宋体" w:hAnsi="宋体" w:eastAsia="宋体" w:cs="宋体"/>
          <w:highlight w:val="none"/>
        </w:rPr>
      </w:pPr>
      <w:r>
        <w:rPr>
          <w:rFonts w:hint="eastAsia" w:ascii="宋体" w:hAnsi="宋体" w:eastAsia="宋体" w:cs="宋体"/>
          <w:highlight w:val="none"/>
        </w:rPr>
        <w:t>11、所有关于此次采购活动的函电，请按下列地址联系：</w:t>
      </w:r>
    </w:p>
    <w:p w14:paraId="5B4FF14D">
      <w:pPr>
        <w:pStyle w:val="5"/>
        <w:bidi w:val="0"/>
        <w:rPr>
          <w:rFonts w:hint="eastAsia" w:ascii="宋体" w:hAnsi="宋体" w:eastAsia="宋体" w:cs="宋体"/>
          <w:highlight w:val="none"/>
        </w:rPr>
      </w:pPr>
    </w:p>
    <w:p w14:paraId="63253F7C">
      <w:pPr>
        <w:pStyle w:val="5"/>
        <w:bidi w:val="0"/>
        <w:rPr>
          <w:rFonts w:hint="eastAsia" w:ascii="宋体" w:hAnsi="宋体" w:eastAsia="宋体" w:cs="宋体"/>
          <w:highlight w:val="none"/>
        </w:rPr>
      </w:pPr>
    </w:p>
    <w:p w14:paraId="026FD168">
      <w:pPr>
        <w:pStyle w:val="5"/>
        <w:bidi w:val="0"/>
        <w:rPr>
          <w:rFonts w:hint="eastAsia" w:ascii="宋体" w:hAnsi="宋体" w:eastAsia="宋体" w:cs="宋体"/>
          <w:highlight w:val="none"/>
        </w:rPr>
      </w:pPr>
    </w:p>
    <w:p w14:paraId="7EBE1022">
      <w:pPr>
        <w:pStyle w:val="5"/>
        <w:bidi w:val="0"/>
        <w:rPr>
          <w:rFonts w:hint="eastAsia" w:ascii="宋体" w:hAnsi="宋体" w:eastAsia="宋体" w:cs="宋体"/>
          <w:highlight w:val="none"/>
        </w:rPr>
      </w:pPr>
      <w:r>
        <w:rPr>
          <w:rFonts w:hint="eastAsia" w:ascii="宋体" w:hAnsi="宋体" w:eastAsia="宋体" w:cs="宋体"/>
          <w:highlight w:val="none"/>
        </w:rPr>
        <w:t>供 应 商：</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14:paraId="75CD84A1">
      <w:pPr>
        <w:pStyle w:val="5"/>
        <w:bidi w:val="0"/>
        <w:rPr>
          <w:rFonts w:hint="eastAsia" w:ascii="宋体" w:hAnsi="宋体" w:eastAsia="宋体" w:cs="宋体"/>
          <w:highlight w:val="none"/>
        </w:rPr>
      </w:pPr>
      <w:r>
        <w:rPr>
          <w:rFonts w:hint="eastAsia" w:ascii="宋体" w:hAnsi="宋体" w:eastAsia="宋体" w:cs="宋体"/>
          <w:highlight w:val="none"/>
        </w:rPr>
        <w:t>单位地址：</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14:paraId="50D3156A">
      <w:pPr>
        <w:pStyle w:val="5"/>
        <w:bidi w:val="0"/>
        <w:rPr>
          <w:rFonts w:hint="eastAsia" w:ascii="宋体" w:hAnsi="宋体" w:eastAsia="宋体" w:cs="宋体"/>
          <w:highlight w:val="none"/>
        </w:rPr>
      </w:pP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14:paraId="2D380E7C">
      <w:pPr>
        <w:pStyle w:val="5"/>
        <w:bidi w:val="0"/>
        <w:rPr>
          <w:rFonts w:hint="eastAsia" w:ascii="宋体" w:hAnsi="宋体" w:eastAsia="宋体" w:cs="宋体"/>
          <w:highlight w:val="none"/>
        </w:rPr>
      </w:pPr>
      <w:r>
        <w:rPr>
          <w:rFonts w:hint="eastAsia" w:ascii="宋体" w:hAnsi="宋体" w:eastAsia="宋体" w:cs="宋体"/>
          <w:highlight w:val="none"/>
        </w:rPr>
        <w:t>邮政编码：</w:t>
      </w:r>
      <w:r>
        <w:rPr>
          <w:rFonts w:hint="eastAsia" w:ascii="宋体" w:hAnsi="宋体" w:eastAsia="宋体" w:cs="宋体"/>
          <w:highlight w:val="none"/>
          <w:u w:val="single"/>
        </w:rPr>
        <w:t xml:space="preserve">             </w:t>
      </w:r>
    </w:p>
    <w:p w14:paraId="0BB2D2D9">
      <w:pPr>
        <w:pStyle w:val="5"/>
        <w:bidi w:val="0"/>
        <w:rPr>
          <w:rFonts w:hint="eastAsia" w:ascii="宋体" w:hAnsi="宋体" w:eastAsia="宋体" w:cs="宋体"/>
          <w:highlight w:val="none"/>
        </w:rPr>
      </w:pPr>
      <w:r>
        <w:rPr>
          <w:rFonts w:hint="eastAsia" w:ascii="宋体" w:hAnsi="宋体" w:eastAsia="宋体" w:cs="宋体"/>
          <w:highlight w:val="none"/>
        </w:rPr>
        <w:t>电话：</w:t>
      </w:r>
      <w:r>
        <w:rPr>
          <w:rFonts w:hint="eastAsia" w:ascii="宋体" w:hAnsi="宋体" w:eastAsia="宋体" w:cs="宋体"/>
          <w:highlight w:val="none"/>
          <w:u w:val="single"/>
        </w:rPr>
        <w:t xml:space="preserve">            </w:t>
      </w:r>
    </w:p>
    <w:p w14:paraId="2687C1E8">
      <w:pPr>
        <w:pStyle w:val="5"/>
        <w:bidi w:val="0"/>
        <w:rPr>
          <w:rFonts w:hint="eastAsia" w:ascii="宋体" w:hAnsi="宋体" w:eastAsia="宋体" w:cs="宋体"/>
          <w:highlight w:val="none"/>
        </w:rPr>
      </w:pPr>
      <w:r>
        <w:rPr>
          <w:rFonts w:hint="eastAsia" w:ascii="宋体" w:hAnsi="宋体" w:eastAsia="宋体" w:cs="宋体"/>
          <w:highlight w:val="none"/>
        </w:rPr>
        <w:t>传真：</w:t>
      </w:r>
      <w:r>
        <w:rPr>
          <w:rFonts w:hint="eastAsia" w:ascii="宋体" w:hAnsi="宋体" w:eastAsia="宋体" w:cs="宋体"/>
          <w:highlight w:val="none"/>
          <w:u w:val="single"/>
        </w:rPr>
        <w:t xml:space="preserve">          </w:t>
      </w:r>
    </w:p>
    <w:p w14:paraId="4DBE8325">
      <w:pPr>
        <w:pStyle w:val="5"/>
        <w:bidi w:val="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67E6187B">
      <w:pPr>
        <w:spacing w:line="290" w:lineRule="auto"/>
        <w:rPr>
          <w:rFonts w:hint="eastAsia" w:ascii="宋体" w:hAnsi="宋体" w:eastAsia="宋体" w:cs="宋体"/>
          <w:sz w:val="21"/>
          <w:highlight w:val="none"/>
        </w:rPr>
      </w:pPr>
    </w:p>
    <w:p w14:paraId="44AC2E20">
      <w:pPr>
        <w:spacing w:line="290" w:lineRule="auto"/>
        <w:rPr>
          <w:rFonts w:hint="eastAsia" w:ascii="宋体" w:hAnsi="宋体" w:eastAsia="宋体" w:cs="宋体"/>
          <w:sz w:val="21"/>
          <w:highlight w:val="none"/>
        </w:rPr>
      </w:pPr>
    </w:p>
    <w:p w14:paraId="65CB9471">
      <w:pPr>
        <w:spacing w:line="291" w:lineRule="auto"/>
        <w:rPr>
          <w:rFonts w:hint="eastAsia" w:ascii="宋体" w:hAnsi="宋体" w:eastAsia="宋体" w:cs="宋体"/>
          <w:sz w:val="21"/>
          <w:highlight w:val="none"/>
        </w:rPr>
      </w:pPr>
    </w:p>
    <w:p w14:paraId="451EBEC0">
      <w:pPr>
        <w:spacing w:line="291" w:lineRule="auto"/>
        <w:rPr>
          <w:rFonts w:hint="eastAsia" w:ascii="宋体" w:hAnsi="宋体" w:eastAsia="宋体" w:cs="宋体"/>
          <w:sz w:val="21"/>
          <w:highlight w:val="none"/>
        </w:rPr>
      </w:pPr>
    </w:p>
    <w:p w14:paraId="261248E2">
      <w:pPr>
        <w:pStyle w:val="5"/>
        <w:bidi w:val="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备注：除可填报项目外，对本响应函的任何实</w:t>
      </w:r>
      <w:r>
        <w:rPr>
          <w:rFonts w:hint="eastAsia" w:ascii="宋体" w:hAnsi="宋体" w:eastAsia="宋体" w:cs="宋体"/>
          <w:spacing w:val="4"/>
          <w:sz w:val="24"/>
          <w:szCs w:val="24"/>
          <w:highlight w:val="none"/>
        </w:rPr>
        <w:t>质性内容修改将被视为非实质性</w:t>
      </w:r>
      <w:r>
        <w:rPr>
          <w:rFonts w:hint="eastAsia" w:ascii="宋体" w:hAnsi="宋体" w:eastAsia="宋体" w:cs="宋体"/>
          <w:spacing w:val="3"/>
          <w:sz w:val="24"/>
          <w:szCs w:val="24"/>
          <w:highlight w:val="none"/>
        </w:rPr>
        <w:t>响应，在评审时将其视为无效响应。</w:t>
      </w:r>
    </w:p>
    <w:p w14:paraId="5FFDF796">
      <w:pPr>
        <w:spacing w:line="219" w:lineRule="auto"/>
        <w:rPr>
          <w:rFonts w:hint="eastAsia" w:ascii="宋体" w:hAnsi="宋体" w:eastAsia="宋体" w:cs="宋体"/>
          <w:sz w:val="24"/>
          <w:szCs w:val="24"/>
          <w:highlight w:val="none"/>
        </w:rPr>
        <w:sectPr>
          <w:footerReference r:id="rId38" w:type="default"/>
          <w:pgSz w:w="11906" w:h="16839"/>
          <w:pgMar w:top="1134" w:right="1417" w:bottom="969" w:left="1418" w:header="862" w:footer="754" w:gutter="0"/>
          <w:pgNumType w:fmt="decimal"/>
          <w:cols w:space="720" w:num="1"/>
        </w:sectPr>
      </w:pPr>
    </w:p>
    <w:p w14:paraId="6CEDB0DA">
      <w:pPr>
        <w:spacing w:line="288" w:lineRule="auto"/>
        <w:rPr>
          <w:rFonts w:hint="eastAsia" w:ascii="宋体" w:hAnsi="宋体" w:eastAsia="宋体" w:cs="宋体"/>
          <w:sz w:val="21"/>
          <w:highlight w:val="none"/>
        </w:rPr>
      </w:pPr>
    </w:p>
    <w:p w14:paraId="021A70B7">
      <w:pPr>
        <w:spacing w:line="289" w:lineRule="auto"/>
        <w:rPr>
          <w:rFonts w:hint="eastAsia" w:ascii="宋体" w:hAnsi="宋体" w:eastAsia="宋体" w:cs="宋体"/>
          <w:sz w:val="21"/>
          <w:highlight w:val="none"/>
        </w:rPr>
      </w:pPr>
    </w:p>
    <w:p w14:paraId="1DB32E39">
      <w:pPr>
        <w:pStyle w:val="5"/>
        <w:spacing w:before="97" w:line="222" w:lineRule="auto"/>
        <w:ind w:left="2931"/>
        <w:rPr>
          <w:rFonts w:hint="eastAsia" w:ascii="宋体" w:hAnsi="宋体" w:eastAsia="宋体" w:cs="宋体"/>
          <w:sz w:val="30"/>
          <w:szCs w:val="30"/>
          <w:highlight w:val="none"/>
        </w:rPr>
      </w:pPr>
      <w:r>
        <w:rPr>
          <w:rFonts w:hint="eastAsia" w:ascii="宋体" w:hAnsi="宋体" w:eastAsia="宋体" w:cs="宋体"/>
          <w:b/>
          <w:bCs/>
          <w:spacing w:val="-4"/>
          <w:sz w:val="30"/>
          <w:szCs w:val="30"/>
          <w:highlight w:val="none"/>
        </w:rPr>
        <w:t>二、一次报价表</w:t>
      </w:r>
    </w:p>
    <w:p w14:paraId="7C81C886">
      <w:pPr>
        <w:spacing w:before="30"/>
        <w:rPr>
          <w:rFonts w:hint="eastAsia" w:ascii="宋体" w:hAnsi="宋体" w:eastAsia="宋体" w:cs="宋体"/>
          <w:highlight w:val="none"/>
        </w:rPr>
      </w:pPr>
    </w:p>
    <w:p w14:paraId="2CDF02B5">
      <w:pPr>
        <w:spacing w:before="30"/>
        <w:rPr>
          <w:rFonts w:hint="eastAsia" w:ascii="宋体" w:hAnsi="宋体" w:eastAsia="宋体" w:cs="宋体"/>
          <w:highlight w:val="none"/>
        </w:rPr>
      </w:pPr>
    </w:p>
    <w:p w14:paraId="24528E20">
      <w:pPr>
        <w:spacing w:before="29"/>
        <w:rPr>
          <w:rFonts w:hint="eastAsia" w:ascii="宋体" w:hAnsi="宋体" w:eastAsia="宋体" w:cs="宋体"/>
          <w:highlight w:val="none"/>
        </w:rPr>
      </w:pPr>
    </w:p>
    <w:tbl>
      <w:tblPr>
        <w:tblStyle w:val="12"/>
        <w:tblW w:w="9016"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0"/>
        <w:gridCol w:w="6405"/>
        <w:gridCol w:w="41"/>
      </w:tblGrid>
      <w:tr w14:paraId="0BAC0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570" w:type="dxa"/>
            <w:vAlign w:val="top"/>
          </w:tcPr>
          <w:p w14:paraId="4E2F5951">
            <w:pPr>
              <w:spacing w:before="301" w:line="221" w:lineRule="auto"/>
              <w:ind w:left="596"/>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采购项目名称</w:t>
            </w:r>
          </w:p>
        </w:tc>
        <w:tc>
          <w:tcPr>
            <w:tcW w:w="6446" w:type="dxa"/>
            <w:gridSpan w:val="2"/>
            <w:vAlign w:val="top"/>
          </w:tcPr>
          <w:p w14:paraId="1B63906F">
            <w:pPr>
              <w:pStyle w:val="13"/>
              <w:rPr>
                <w:rFonts w:hint="eastAsia" w:ascii="宋体" w:hAnsi="宋体" w:eastAsia="宋体" w:cs="宋体"/>
                <w:highlight w:val="none"/>
              </w:rPr>
            </w:pPr>
          </w:p>
        </w:tc>
      </w:tr>
      <w:tr w14:paraId="7201C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570" w:type="dxa"/>
            <w:vAlign w:val="top"/>
          </w:tcPr>
          <w:p w14:paraId="5EBC8112">
            <w:pPr>
              <w:spacing w:before="264" w:line="222" w:lineRule="auto"/>
              <w:ind w:left="596"/>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采购项目编号</w:t>
            </w:r>
          </w:p>
        </w:tc>
        <w:tc>
          <w:tcPr>
            <w:tcW w:w="6446" w:type="dxa"/>
            <w:gridSpan w:val="2"/>
            <w:vAlign w:val="top"/>
          </w:tcPr>
          <w:p w14:paraId="2DA4AADB">
            <w:pPr>
              <w:pStyle w:val="13"/>
              <w:rPr>
                <w:rFonts w:hint="eastAsia" w:ascii="宋体" w:hAnsi="宋体" w:eastAsia="宋体" w:cs="宋体"/>
                <w:highlight w:val="none"/>
              </w:rPr>
            </w:pPr>
          </w:p>
        </w:tc>
      </w:tr>
      <w:tr w14:paraId="5E5AE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2570" w:type="dxa"/>
            <w:vAlign w:val="top"/>
          </w:tcPr>
          <w:p w14:paraId="107745F6">
            <w:pPr>
              <w:spacing w:before="265" w:line="377" w:lineRule="auto"/>
              <w:ind w:left="628" w:right="767" w:hanging="33"/>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供应商名称</w:t>
            </w:r>
            <w:r>
              <w:rPr>
                <w:rFonts w:hint="eastAsia" w:ascii="宋体" w:hAnsi="宋体" w:eastAsia="宋体" w:cs="宋体"/>
                <w:spacing w:val="1"/>
                <w:sz w:val="24"/>
                <w:szCs w:val="24"/>
                <w:highlight w:val="none"/>
              </w:rPr>
              <w:t xml:space="preserve"> </w:t>
            </w:r>
            <w:r>
              <w:rPr>
                <w:rFonts w:hint="eastAsia" w:ascii="宋体" w:hAnsi="宋体" w:eastAsia="宋体" w:cs="宋体"/>
                <w:b/>
                <w:bCs/>
                <w:spacing w:val="-8"/>
                <w:sz w:val="24"/>
                <w:szCs w:val="24"/>
                <w:highlight w:val="none"/>
              </w:rPr>
              <w:t>(单位名称)</w:t>
            </w:r>
          </w:p>
        </w:tc>
        <w:tc>
          <w:tcPr>
            <w:tcW w:w="6446" w:type="dxa"/>
            <w:gridSpan w:val="2"/>
            <w:vAlign w:val="top"/>
          </w:tcPr>
          <w:p w14:paraId="3A19730B">
            <w:pPr>
              <w:pStyle w:val="13"/>
              <w:rPr>
                <w:rFonts w:hint="eastAsia" w:ascii="宋体" w:hAnsi="宋体" w:eastAsia="宋体" w:cs="宋体"/>
                <w:highlight w:val="none"/>
              </w:rPr>
            </w:pPr>
          </w:p>
        </w:tc>
      </w:tr>
      <w:tr w14:paraId="7A67D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2570" w:type="dxa"/>
            <w:vAlign w:val="top"/>
          </w:tcPr>
          <w:p w14:paraId="4BDD1428">
            <w:pPr>
              <w:pStyle w:val="13"/>
              <w:spacing w:line="251" w:lineRule="auto"/>
              <w:rPr>
                <w:rFonts w:hint="eastAsia" w:ascii="宋体" w:hAnsi="宋体" w:eastAsia="宋体" w:cs="宋体"/>
                <w:highlight w:val="none"/>
              </w:rPr>
            </w:pPr>
          </w:p>
          <w:p w14:paraId="0C7C42A4">
            <w:pPr>
              <w:pStyle w:val="13"/>
              <w:spacing w:line="252" w:lineRule="auto"/>
              <w:rPr>
                <w:rFonts w:hint="eastAsia" w:ascii="宋体" w:hAnsi="宋体" w:eastAsia="宋体" w:cs="宋体"/>
                <w:highlight w:val="none"/>
              </w:rPr>
            </w:pPr>
          </w:p>
          <w:p w14:paraId="3C116CF4">
            <w:pPr>
              <w:pStyle w:val="13"/>
              <w:spacing w:line="252" w:lineRule="auto"/>
              <w:rPr>
                <w:rFonts w:hint="eastAsia" w:ascii="宋体" w:hAnsi="宋体" w:eastAsia="宋体" w:cs="宋体"/>
                <w:highlight w:val="none"/>
              </w:rPr>
            </w:pPr>
          </w:p>
          <w:p w14:paraId="6A3BF93F">
            <w:pPr>
              <w:spacing w:before="78" w:line="222" w:lineRule="auto"/>
              <w:ind w:left="840"/>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一次报价</w:t>
            </w:r>
          </w:p>
        </w:tc>
        <w:tc>
          <w:tcPr>
            <w:tcW w:w="6405" w:type="dxa"/>
            <w:vAlign w:val="top"/>
          </w:tcPr>
          <w:p w14:paraId="028D6523">
            <w:pPr>
              <w:spacing w:before="265" w:line="426" w:lineRule="auto"/>
              <w:ind w:left="585" w:right="1087"/>
              <w:jc w:val="right"/>
              <w:rPr>
                <w:rFonts w:hint="eastAsia" w:ascii="宋体" w:hAnsi="宋体" w:eastAsia="宋体" w:cs="宋体"/>
                <w:sz w:val="24"/>
                <w:szCs w:val="24"/>
                <w:highlight w:val="none"/>
              </w:rPr>
            </w:pPr>
            <w:r>
              <w:rPr>
                <w:rStyle w:val="15"/>
                <w:rFonts w:hint="eastAsia" w:ascii="宋体" w:hAnsi="宋体" w:eastAsia="宋体" w:cs="宋体"/>
                <w:b/>
                <w:bCs/>
                <w:highlight w:val="none"/>
              </w:rPr>
              <w:t>人</w:t>
            </w:r>
            <w:r>
              <w:rPr>
                <w:rFonts w:hint="eastAsia" w:ascii="宋体" w:hAnsi="宋体" w:eastAsia="宋体" w:cs="宋体"/>
                <w:b/>
                <w:bCs/>
                <w:spacing w:val="-4"/>
                <w:sz w:val="24"/>
                <w:szCs w:val="24"/>
                <w:highlight w:val="none"/>
              </w:rPr>
              <w:t>民币（大写</w:t>
            </w:r>
            <w:r>
              <w:rPr>
                <w:rFonts w:hint="eastAsia" w:ascii="宋体" w:hAnsi="宋体" w:eastAsia="宋体" w:cs="宋体"/>
                <w:b/>
                <w:bCs/>
                <w:spacing w:val="3"/>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95"/>
                <w:sz w:val="24"/>
                <w:szCs w:val="24"/>
                <w:highlight w:val="none"/>
              </w:rPr>
              <w:t xml:space="preserve"> </w:t>
            </w:r>
            <w:r>
              <w:rPr>
                <w:rFonts w:hint="eastAsia" w:ascii="宋体" w:hAnsi="宋体" w:eastAsia="宋体" w:cs="宋体"/>
                <w:b/>
                <w:bCs/>
                <w:spacing w:val="-4"/>
                <w:sz w:val="24"/>
                <w:szCs w:val="24"/>
                <w:highlight w:val="none"/>
              </w:rPr>
              <w:t>元</w:t>
            </w:r>
            <w:r>
              <w:rPr>
                <w:rFonts w:hint="eastAsia" w:ascii="宋体" w:hAnsi="宋体" w:eastAsia="宋体" w:cs="宋体"/>
                <w:sz w:val="24"/>
                <w:szCs w:val="24"/>
                <w:highlight w:val="none"/>
              </w:rPr>
              <w:t xml:space="preserve">   </w:t>
            </w:r>
            <w:r>
              <w:rPr>
                <w:rFonts w:hint="eastAsia" w:ascii="宋体" w:hAnsi="宋体" w:eastAsia="宋体" w:cs="宋体"/>
                <w:b/>
                <w:bCs/>
                <w:spacing w:val="-16"/>
                <w:sz w:val="24"/>
                <w:szCs w:val="24"/>
                <w:highlight w:val="none"/>
              </w:rPr>
              <w:t>（小写￥</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16"/>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98"/>
                <w:sz w:val="24"/>
                <w:szCs w:val="24"/>
                <w:highlight w:val="none"/>
              </w:rPr>
              <w:t xml:space="preserve"> </w:t>
            </w:r>
            <w:r>
              <w:rPr>
                <w:rFonts w:hint="eastAsia" w:ascii="宋体" w:hAnsi="宋体" w:eastAsia="宋体" w:cs="宋体"/>
                <w:b/>
                <w:bCs/>
                <w:spacing w:val="-16"/>
                <w:sz w:val="24"/>
                <w:szCs w:val="24"/>
                <w:highlight w:val="none"/>
              </w:rPr>
              <w:t>元）</w:t>
            </w:r>
          </w:p>
        </w:tc>
        <w:tc>
          <w:tcPr>
            <w:tcW w:w="41" w:type="dxa"/>
            <w:vAlign w:val="top"/>
          </w:tcPr>
          <w:p w14:paraId="6DB989C0">
            <w:pPr>
              <w:pStyle w:val="13"/>
              <w:rPr>
                <w:rFonts w:hint="eastAsia" w:ascii="宋体" w:hAnsi="宋体" w:eastAsia="宋体" w:cs="宋体"/>
                <w:highlight w:val="none"/>
              </w:rPr>
            </w:pPr>
          </w:p>
        </w:tc>
      </w:tr>
      <w:tr w14:paraId="6B978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570" w:type="dxa"/>
            <w:vAlign w:val="top"/>
          </w:tcPr>
          <w:p w14:paraId="3DDC43D7">
            <w:pPr>
              <w:spacing w:before="270" w:line="222" w:lineRule="auto"/>
              <w:ind w:left="752"/>
              <w:rPr>
                <w:rFonts w:hint="eastAsia" w:ascii="宋体" w:hAnsi="宋体" w:eastAsia="宋体" w:cs="宋体"/>
                <w:sz w:val="24"/>
                <w:szCs w:val="24"/>
                <w:highlight w:val="none"/>
              </w:rPr>
            </w:pPr>
            <w:r>
              <w:rPr>
                <w:rFonts w:hint="eastAsia" w:ascii="宋体" w:hAnsi="宋体" w:eastAsia="宋体" w:cs="宋体"/>
                <w:b/>
                <w:bCs/>
                <w:spacing w:val="-16"/>
                <w:sz w:val="24"/>
                <w:szCs w:val="24"/>
                <w:highlight w:val="none"/>
              </w:rPr>
              <w:t>服</w:t>
            </w:r>
            <w:r>
              <w:rPr>
                <w:rFonts w:hint="eastAsia" w:ascii="宋体" w:hAnsi="宋体" w:eastAsia="宋体" w:cs="宋体"/>
                <w:spacing w:val="29"/>
                <w:sz w:val="24"/>
                <w:szCs w:val="24"/>
                <w:highlight w:val="none"/>
              </w:rPr>
              <w:t xml:space="preserve"> </w:t>
            </w:r>
            <w:r>
              <w:rPr>
                <w:rFonts w:hint="eastAsia" w:ascii="宋体" w:hAnsi="宋体" w:eastAsia="宋体" w:cs="宋体"/>
                <w:b/>
                <w:bCs/>
                <w:spacing w:val="-16"/>
                <w:sz w:val="24"/>
                <w:szCs w:val="24"/>
                <w:highlight w:val="none"/>
              </w:rPr>
              <w:t>务</w:t>
            </w:r>
            <w:r>
              <w:rPr>
                <w:rFonts w:hint="eastAsia" w:ascii="宋体" w:hAnsi="宋体" w:eastAsia="宋体" w:cs="宋体"/>
                <w:spacing w:val="23"/>
                <w:sz w:val="24"/>
                <w:szCs w:val="24"/>
                <w:highlight w:val="none"/>
              </w:rPr>
              <w:t xml:space="preserve"> </w:t>
            </w:r>
            <w:r>
              <w:rPr>
                <w:rFonts w:hint="eastAsia" w:ascii="宋体" w:hAnsi="宋体" w:eastAsia="宋体" w:cs="宋体"/>
                <w:b/>
                <w:bCs/>
                <w:spacing w:val="-16"/>
                <w:sz w:val="24"/>
                <w:szCs w:val="24"/>
                <w:highlight w:val="none"/>
              </w:rPr>
              <w:t>期</w:t>
            </w:r>
          </w:p>
        </w:tc>
        <w:tc>
          <w:tcPr>
            <w:tcW w:w="6446" w:type="dxa"/>
            <w:gridSpan w:val="2"/>
            <w:vAlign w:val="top"/>
          </w:tcPr>
          <w:p w14:paraId="7D290B90">
            <w:pPr>
              <w:pStyle w:val="13"/>
              <w:rPr>
                <w:rFonts w:hint="eastAsia" w:ascii="宋体" w:hAnsi="宋体" w:eastAsia="宋体" w:cs="宋体"/>
                <w:highlight w:val="none"/>
              </w:rPr>
            </w:pPr>
          </w:p>
        </w:tc>
      </w:tr>
      <w:tr w14:paraId="1FB23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570" w:type="dxa"/>
            <w:vAlign w:val="top"/>
          </w:tcPr>
          <w:p w14:paraId="16EDFEC0">
            <w:pPr>
              <w:spacing w:before="270" w:line="222" w:lineRule="auto"/>
              <w:ind w:left="758"/>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质量标准</w:t>
            </w:r>
          </w:p>
        </w:tc>
        <w:tc>
          <w:tcPr>
            <w:tcW w:w="6446" w:type="dxa"/>
            <w:gridSpan w:val="2"/>
            <w:vAlign w:val="top"/>
          </w:tcPr>
          <w:p w14:paraId="5CAE4E47">
            <w:pPr>
              <w:pStyle w:val="13"/>
              <w:rPr>
                <w:rFonts w:hint="eastAsia" w:ascii="宋体" w:hAnsi="宋体" w:eastAsia="宋体" w:cs="宋体"/>
                <w:highlight w:val="none"/>
              </w:rPr>
            </w:pPr>
          </w:p>
        </w:tc>
      </w:tr>
      <w:tr w14:paraId="266AF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570" w:type="dxa"/>
            <w:vAlign w:val="top"/>
          </w:tcPr>
          <w:p w14:paraId="14E83151">
            <w:pPr>
              <w:spacing w:before="287" w:line="222" w:lineRule="auto"/>
              <w:ind w:left="754"/>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其他声明</w:t>
            </w:r>
          </w:p>
        </w:tc>
        <w:tc>
          <w:tcPr>
            <w:tcW w:w="6446" w:type="dxa"/>
            <w:gridSpan w:val="2"/>
            <w:vAlign w:val="top"/>
          </w:tcPr>
          <w:p w14:paraId="725B10A9">
            <w:pPr>
              <w:pStyle w:val="13"/>
              <w:rPr>
                <w:rFonts w:hint="eastAsia" w:ascii="宋体" w:hAnsi="宋体" w:eastAsia="宋体" w:cs="宋体"/>
                <w:highlight w:val="none"/>
              </w:rPr>
            </w:pPr>
          </w:p>
        </w:tc>
      </w:tr>
    </w:tbl>
    <w:p w14:paraId="76B283B4">
      <w:pPr>
        <w:spacing w:line="264" w:lineRule="auto"/>
        <w:rPr>
          <w:rFonts w:hint="eastAsia" w:ascii="宋体" w:hAnsi="宋体" w:eastAsia="宋体" w:cs="宋体"/>
          <w:sz w:val="21"/>
          <w:highlight w:val="none"/>
        </w:rPr>
      </w:pPr>
    </w:p>
    <w:p w14:paraId="40FED7DC">
      <w:pPr>
        <w:spacing w:line="264" w:lineRule="auto"/>
        <w:rPr>
          <w:rFonts w:hint="eastAsia" w:ascii="宋体" w:hAnsi="宋体" w:eastAsia="宋体" w:cs="宋体"/>
          <w:sz w:val="21"/>
          <w:highlight w:val="none"/>
        </w:rPr>
      </w:pPr>
    </w:p>
    <w:p w14:paraId="064591DB">
      <w:pPr>
        <w:pStyle w:val="5"/>
        <w:bidi w:val="0"/>
        <w:rPr>
          <w:rFonts w:hint="eastAsia" w:ascii="宋体" w:hAnsi="宋体" w:eastAsia="宋体" w:cs="宋体"/>
          <w:sz w:val="24"/>
          <w:szCs w:val="24"/>
          <w:highlight w:val="none"/>
          <w:u w:val="single" w:color="auto"/>
        </w:rPr>
      </w:pPr>
      <w:r>
        <w:rPr>
          <w:rFonts w:hint="eastAsia" w:ascii="宋体" w:hAnsi="宋体" w:eastAsia="宋体" w:cs="宋体"/>
          <w:spacing w:val="-4"/>
          <w:sz w:val="24"/>
          <w:szCs w:val="24"/>
          <w:highlight w:val="none"/>
        </w:rPr>
        <w:t>供应商公章：</w:t>
      </w:r>
      <w:r>
        <w:rPr>
          <w:rFonts w:hint="eastAsia" w:ascii="宋体" w:hAnsi="宋体" w:eastAsia="宋体" w:cs="宋体"/>
          <w:sz w:val="24"/>
          <w:szCs w:val="24"/>
          <w:highlight w:val="none"/>
          <w:u w:val="single" w:color="auto"/>
        </w:rPr>
        <w:t xml:space="preserve">                                     </w:t>
      </w:r>
    </w:p>
    <w:p w14:paraId="4977EA5A">
      <w:pPr>
        <w:pStyle w:val="5"/>
        <w:bidi w:val="0"/>
        <w:rPr>
          <w:rFonts w:hint="eastAsia" w:ascii="宋体" w:hAnsi="宋体" w:eastAsia="宋体" w:cs="宋体"/>
          <w:spacing w:val="13"/>
          <w:sz w:val="24"/>
          <w:szCs w:val="24"/>
          <w:highlight w:val="none"/>
        </w:rPr>
      </w:pPr>
      <w:r>
        <w:rPr>
          <w:rFonts w:hint="eastAsia" w:ascii="宋体" w:hAnsi="宋体" w:eastAsia="宋体" w:cs="宋体"/>
          <w:spacing w:val="1"/>
          <w:sz w:val="24"/>
          <w:szCs w:val="24"/>
          <w:highlight w:val="none"/>
        </w:rPr>
        <w:t>法定代表人或被授权人（签字</w:t>
      </w:r>
      <w:r>
        <w:rPr>
          <w:rFonts w:hint="eastAsia" w:ascii="宋体" w:hAnsi="宋体" w:eastAsia="宋体" w:cs="宋体"/>
          <w:spacing w:val="6"/>
          <w:sz w:val="24"/>
          <w:szCs w:val="24"/>
          <w:highlight w:val="none"/>
        </w:rPr>
        <w:t>）：</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3"/>
          <w:sz w:val="24"/>
          <w:szCs w:val="24"/>
          <w:highlight w:val="none"/>
        </w:rPr>
        <w:t xml:space="preserve"> </w:t>
      </w:r>
    </w:p>
    <w:p w14:paraId="0B543E4A">
      <w:pPr>
        <w:pStyle w:val="5"/>
        <w:bidi w:val="0"/>
        <w:ind w:firstLine="390" w:firstLineChars="300"/>
        <w:rPr>
          <w:rFonts w:hint="eastAsia" w:ascii="宋体" w:hAnsi="宋体" w:eastAsia="宋体" w:cs="宋体"/>
          <w:sz w:val="24"/>
          <w:szCs w:val="24"/>
          <w:highlight w:val="none"/>
        </w:rPr>
      </w:pPr>
      <w:r>
        <w:rPr>
          <w:rFonts w:hint="eastAsia" w:ascii="宋体" w:hAnsi="宋体" w:eastAsia="宋体" w:cs="宋体"/>
          <w:spacing w:val="-55"/>
          <w:sz w:val="24"/>
          <w:szCs w:val="24"/>
          <w:highlight w:val="none"/>
        </w:rPr>
        <w:t>日期：</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 xml:space="preserve"> </w:t>
      </w:r>
    </w:p>
    <w:p w14:paraId="464E4081">
      <w:pPr>
        <w:spacing w:line="419" w:lineRule="auto"/>
        <w:rPr>
          <w:rFonts w:hint="eastAsia" w:ascii="宋体" w:hAnsi="宋体" w:eastAsia="宋体" w:cs="宋体"/>
          <w:sz w:val="24"/>
          <w:szCs w:val="24"/>
          <w:highlight w:val="none"/>
        </w:rPr>
        <w:sectPr>
          <w:footerReference r:id="rId39" w:type="default"/>
          <w:pgSz w:w="11906" w:h="16839"/>
          <w:pgMar w:top="1134" w:right="1417" w:bottom="969" w:left="1418" w:header="862" w:footer="754" w:gutter="0"/>
          <w:pgNumType w:fmt="decimal"/>
          <w:cols w:space="720" w:num="1"/>
        </w:sectPr>
      </w:pPr>
    </w:p>
    <w:p w14:paraId="67B31B30">
      <w:pPr>
        <w:spacing w:line="306" w:lineRule="auto"/>
        <w:rPr>
          <w:rFonts w:hint="eastAsia" w:ascii="宋体" w:hAnsi="宋体" w:eastAsia="宋体" w:cs="宋体"/>
          <w:sz w:val="21"/>
          <w:highlight w:val="none"/>
        </w:rPr>
      </w:pPr>
    </w:p>
    <w:p w14:paraId="160A2738">
      <w:pPr>
        <w:pStyle w:val="5"/>
        <w:spacing w:before="97" w:line="222" w:lineRule="auto"/>
        <w:ind w:left="2931"/>
        <w:rPr>
          <w:rFonts w:hint="eastAsia" w:ascii="宋体" w:hAnsi="宋体" w:eastAsia="宋体" w:cs="宋体"/>
          <w:b/>
          <w:bCs/>
          <w:spacing w:val="-4"/>
          <w:sz w:val="30"/>
          <w:szCs w:val="30"/>
          <w:highlight w:val="none"/>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rPr>
        <w:t>、技术服务偏差表</w:t>
      </w:r>
    </w:p>
    <w:p w14:paraId="7453F0F5">
      <w:pPr>
        <w:pStyle w:val="5"/>
        <w:spacing w:before="140" w:line="336" w:lineRule="auto"/>
        <w:ind w:left="0" w:leftChars="0" w:right="4739" w:firstLine="0" w:firstLineChars="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采购项目名称：</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4"/>
          <w:sz w:val="24"/>
          <w:szCs w:val="24"/>
          <w:highlight w:val="none"/>
        </w:rPr>
        <w:t xml:space="preserve"> </w:t>
      </w:r>
      <w:r>
        <w:rPr>
          <w:rFonts w:hint="eastAsia" w:ascii="宋体" w:hAnsi="宋体" w:eastAsia="宋体" w:cs="宋体"/>
          <w:spacing w:val="-1"/>
          <w:sz w:val="24"/>
          <w:szCs w:val="24"/>
          <w:highlight w:val="none"/>
        </w:rPr>
        <w:t>采购项目编号：</w:t>
      </w:r>
      <w:r>
        <w:rPr>
          <w:rFonts w:hint="eastAsia" w:ascii="宋体" w:hAnsi="宋体" w:eastAsia="宋体" w:cs="宋体"/>
          <w:sz w:val="24"/>
          <w:szCs w:val="24"/>
          <w:highlight w:val="none"/>
          <w:u w:val="single" w:color="auto"/>
        </w:rPr>
        <w:t xml:space="preserve">                       </w:t>
      </w:r>
    </w:p>
    <w:tbl>
      <w:tblPr>
        <w:tblStyle w:val="12"/>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2914"/>
        <w:gridCol w:w="3377"/>
        <w:gridCol w:w="1089"/>
        <w:gridCol w:w="958"/>
      </w:tblGrid>
      <w:tr w14:paraId="02363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08" w:type="dxa"/>
            <w:vAlign w:val="center"/>
          </w:tcPr>
          <w:p w14:paraId="21DC0493">
            <w:pPr>
              <w:spacing w:before="78" w:line="222" w:lineRule="auto"/>
              <w:ind w:left="183"/>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序号</w:t>
            </w:r>
          </w:p>
        </w:tc>
        <w:tc>
          <w:tcPr>
            <w:tcW w:w="2914" w:type="dxa"/>
            <w:vAlign w:val="center"/>
          </w:tcPr>
          <w:p w14:paraId="40F70E00">
            <w:pPr>
              <w:spacing w:before="78" w:line="222" w:lineRule="auto"/>
              <w:ind w:left="815"/>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磋商文件要求</w:t>
            </w:r>
          </w:p>
        </w:tc>
        <w:tc>
          <w:tcPr>
            <w:tcW w:w="3377" w:type="dxa"/>
            <w:vAlign w:val="center"/>
          </w:tcPr>
          <w:p w14:paraId="7BF5D196">
            <w:pPr>
              <w:spacing w:before="78" w:line="222" w:lineRule="auto"/>
              <w:ind w:left="1053"/>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响应文件响应</w:t>
            </w:r>
          </w:p>
        </w:tc>
        <w:tc>
          <w:tcPr>
            <w:tcW w:w="1089" w:type="dxa"/>
            <w:vAlign w:val="center"/>
          </w:tcPr>
          <w:p w14:paraId="736FE0B7">
            <w:pPr>
              <w:spacing w:before="78" w:line="222" w:lineRule="auto"/>
              <w:ind w:left="19"/>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偏离程度</w:t>
            </w:r>
          </w:p>
        </w:tc>
        <w:tc>
          <w:tcPr>
            <w:tcW w:w="958" w:type="dxa"/>
            <w:vAlign w:val="center"/>
          </w:tcPr>
          <w:p w14:paraId="5E5CB26B">
            <w:pPr>
              <w:spacing w:before="78" w:line="224" w:lineRule="auto"/>
              <w:ind w:left="267"/>
              <w:jc w:val="left"/>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说明</w:t>
            </w:r>
          </w:p>
        </w:tc>
      </w:tr>
      <w:tr w14:paraId="058B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8" w:type="dxa"/>
            <w:vAlign w:val="top"/>
          </w:tcPr>
          <w:p w14:paraId="04D02C30">
            <w:pPr>
              <w:pStyle w:val="13"/>
              <w:jc w:val="center"/>
              <w:rPr>
                <w:rFonts w:hint="eastAsia" w:ascii="宋体" w:hAnsi="宋体" w:eastAsia="宋体" w:cs="宋体"/>
                <w:highlight w:val="none"/>
              </w:rPr>
            </w:pPr>
          </w:p>
        </w:tc>
        <w:tc>
          <w:tcPr>
            <w:tcW w:w="2914" w:type="dxa"/>
            <w:vAlign w:val="top"/>
          </w:tcPr>
          <w:p w14:paraId="1DF4D696">
            <w:pPr>
              <w:pStyle w:val="13"/>
              <w:jc w:val="center"/>
              <w:rPr>
                <w:rFonts w:hint="eastAsia" w:ascii="宋体" w:hAnsi="宋体" w:eastAsia="宋体" w:cs="宋体"/>
                <w:highlight w:val="none"/>
              </w:rPr>
            </w:pPr>
          </w:p>
        </w:tc>
        <w:tc>
          <w:tcPr>
            <w:tcW w:w="3377" w:type="dxa"/>
            <w:vAlign w:val="top"/>
          </w:tcPr>
          <w:p w14:paraId="28EA25A1">
            <w:pPr>
              <w:pStyle w:val="13"/>
              <w:jc w:val="center"/>
              <w:rPr>
                <w:rFonts w:hint="eastAsia" w:ascii="宋体" w:hAnsi="宋体" w:eastAsia="宋体" w:cs="宋体"/>
                <w:highlight w:val="none"/>
              </w:rPr>
            </w:pPr>
          </w:p>
        </w:tc>
        <w:tc>
          <w:tcPr>
            <w:tcW w:w="1089" w:type="dxa"/>
            <w:vAlign w:val="top"/>
          </w:tcPr>
          <w:p w14:paraId="4480E734">
            <w:pPr>
              <w:pStyle w:val="13"/>
              <w:jc w:val="center"/>
              <w:rPr>
                <w:rFonts w:hint="eastAsia" w:ascii="宋体" w:hAnsi="宋体" w:eastAsia="宋体" w:cs="宋体"/>
                <w:highlight w:val="none"/>
              </w:rPr>
            </w:pPr>
          </w:p>
        </w:tc>
        <w:tc>
          <w:tcPr>
            <w:tcW w:w="958" w:type="dxa"/>
            <w:vAlign w:val="top"/>
          </w:tcPr>
          <w:p w14:paraId="609EA711">
            <w:pPr>
              <w:pStyle w:val="13"/>
              <w:jc w:val="center"/>
              <w:rPr>
                <w:rFonts w:hint="eastAsia" w:ascii="宋体" w:hAnsi="宋体" w:eastAsia="宋体" w:cs="宋体"/>
                <w:highlight w:val="none"/>
              </w:rPr>
            </w:pPr>
          </w:p>
        </w:tc>
      </w:tr>
      <w:tr w14:paraId="55DBA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8" w:type="dxa"/>
            <w:vAlign w:val="top"/>
          </w:tcPr>
          <w:p w14:paraId="09579A82">
            <w:pPr>
              <w:pStyle w:val="13"/>
              <w:jc w:val="center"/>
              <w:rPr>
                <w:rFonts w:hint="eastAsia" w:ascii="宋体" w:hAnsi="宋体" w:eastAsia="宋体" w:cs="宋体"/>
                <w:highlight w:val="none"/>
              </w:rPr>
            </w:pPr>
          </w:p>
        </w:tc>
        <w:tc>
          <w:tcPr>
            <w:tcW w:w="2914" w:type="dxa"/>
            <w:vAlign w:val="top"/>
          </w:tcPr>
          <w:p w14:paraId="497687AF">
            <w:pPr>
              <w:pStyle w:val="13"/>
              <w:jc w:val="center"/>
              <w:rPr>
                <w:rFonts w:hint="eastAsia" w:ascii="宋体" w:hAnsi="宋体" w:eastAsia="宋体" w:cs="宋体"/>
                <w:highlight w:val="none"/>
              </w:rPr>
            </w:pPr>
          </w:p>
        </w:tc>
        <w:tc>
          <w:tcPr>
            <w:tcW w:w="3377" w:type="dxa"/>
            <w:vAlign w:val="top"/>
          </w:tcPr>
          <w:p w14:paraId="56EB9FBD">
            <w:pPr>
              <w:pStyle w:val="13"/>
              <w:jc w:val="center"/>
              <w:rPr>
                <w:rFonts w:hint="eastAsia" w:ascii="宋体" w:hAnsi="宋体" w:eastAsia="宋体" w:cs="宋体"/>
                <w:highlight w:val="none"/>
              </w:rPr>
            </w:pPr>
          </w:p>
        </w:tc>
        <w:tc>
          <w:tcPr>
            <w:tcW w:w="1089" w:type="dxa"/>
            <w:vAlign w:val="top"/>
          </w:tcPr>
          <w:p w14:paraId="23EB199B">
            <w:pPr>
              <w:pStyle w:val="13"/>
              <w:jc w:val="center"/>
              <w:rPr>
                <w:rFonts w:hint="eastAsia" w:ascii="宋体" w:hAnsi="宋体" w:eastAsia="宋体" w:cs="宋体"/>
                <w:highlight w:val="none"/>
              </w:rPr>
            </w:pPr>
          </w:p>
        </w:tc>
        <w:tc>
          <w:tcPr>
            <w:tcW w:w="958" w:type="dxa"/>
            <w:vAlign w:val="top"/>
          </w:tcPr>
          <w:p w14:paraId="37F7D176">
            <w:pPr>
              <w:pStyle w:val="13"/>
              <w:jc w:val="center"/>
              <w:rPr>
                <w:rFonts w:hint="eastAsia" w:ascii="宋体" w:hAnsi="宋体" w:eastAsia="宋体" w:cs="宋体"/>
                <w:highlight w:val="none"/>
              </w:rPr>
            </w:pPr>
          </w:p>
        </w:tc>
      </w:tr>
      <w:tr w14:paraId="2574D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08" w:type="dxa"/>
            <w:vAlign w:val="top"/>
          </w:tcPr>
          <w:p w14:paraId="060212F9">
            <w:pPr>
              <w:pStyle w:val="13"/>
              <w:jc w:val="center"/>
              <w:rPr>
                <w:rFonts w:hint="eastAsia" w:ascii="宋体" w:hAnsi="宋体" w:eastAsia="宋体" w:cs="宋体"/>
                <w:highlight w:val="none"/>
              </w:rPr>
            </w:pPr>
          </w:p>
        </w:tc>
        <w:tc>
          <w:tcPr>
            <w:tcW w:w="2914" w:type="dxa"/>
            <w:vAlign w:val="top"/>
          </w:tcPr>
          <w:p w14:paraId="5E73B62A">
            <w:pPr>
              <w:pStyle w:val="13"/>
              <w:jc w:val="center"/>
              <w:rPr>
                <w:rFonts w:hint="eastAsia" w:ascii="宋体" w:hAnsi="宋体" w:eastAsia="宋体" w:cs="宋体"/>
                <w:highlight w:val="none"/>
              </w:rPr>
            </w:pPr>
          </w:p>
        </w:tc>
        <w:tc>
          <w:tcPr>
            <w:tcW w:w="3377" w:type="dxa"/>
            <w:vAlign w:val="top"/>
          </w:tcPr>
          <w:p w14:paraId="6F1F0756">
            <w:pPr>
              <w:pStyle w:val="13"/>
              <w:jc w:val="center"/>
              <w:rPr>
                <w:rFonts w:hint="eastAsia" w:ascii="宋体" w:hAnsi="宋体" w:eastAsia="宋体" w:cs="宋体"/>
                <w:highlight w:val="none"/>
              </w:rPr>
            </w:pPr>
          </w:p>
        </w:tc>
        <w:tc>
          <w:tcPr>
            <w:tcW w:w="1089" w:type="dxa"/>
            <w:vAlign w:val="top"/>
          </w:tcPr>
          <w:p w14:paraId="7F615CAB">
            <w:pPr>
              <w:pStyle w:val="13"/>
              <w:jc w:val="center"/>
              <w:rPr>
                <w:rFonts w:hint="eastAsia" w:ascii="宋体" w:hAnsi="宋体" w:eastAsia="宋体" w:cs="宋体"/>
                <w:highlight w:val="none"/>
              </w:rPr>
            </w:pPr>
          </w:p>
        </w:tc>
        <w:tc>
          <w:tcPr>
            <w:tcW w:w="958" w:type="dxa"/>
            <w:vAlign w:val="top"/>
          </w:tcPr>
          <w:p w14:paraId="16C046AB">
            <w:pPr>
              <w:pStyle w:val="13"/>
              <w:jc w:val="center"/>
              <w:rPr>
                <w:rFonts w:hint="eastAsia" w:ascii="宋体" w:hAnsi="宋体" w:eastAsia="宋体" w:cs="宋体"/>
                <w:highlight w:val="none"/>
              </w:rPr>
            </w:pPr>
          </w:p>
        </w:tc>
      </w:tr>
      <w:tr w14:paraId="1EA8A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08" w:type="dxa"/>
            <w:vAlign w:val="top"/>
          </w:tcPr>
          <w:p w14:paraId="1991B031">
            <w:pPr>
              <w:pStyle w:val="13"/>
              <w:jc w:val="center"/>
              <w:rPr>
                <w:rFonts w:hint="eastAsia" w:ascii="宋体" w:hAnsi="宋体" w:eastAsia="宋体" w:cs="宋体"/>
                <w:highlight w:val="none"/>
              </w:rPr>
            </w:pPr>
          </w:p>
        </w:tc>
        <w:tc>
          <w:tcPr>
            <w:tcW w:w="2914" w:type="dxa"/>
            <w:vAlign w:val="top"/>
          </w:tcPr>
          <w:p w14:paraId="3A267E36">
            <w:pPr>
              <w:pStyle w:val="13"/>
              <w:jc w:val="center"/>
              <w:rPr>
                <w:rFonts w:hint="eastAsia" w:ascii="宋体" w:hAnsi="宋体" w:eastAsia="宋体" w:cs="宋体"/>
                <w:highlight w:val="none"/>
              </w:rPr>
            </w:pPr>
          </w:p>
        </w:tc>
        <w:tc>
          <w:tcPr>
            <w:tcW w:w="3377" w:type="dxa"/>
            <w:vAlign w:val="top"/>
          </w:tcPr>
          <w:p w14:paraId="4F2F5A32">
            <w:pPr>
              <w:pStyle w:val="13"/>
              <w:jc w:val="center"/>
              <w:rPr>
                <w:rFonts w:hint="eastAsia" w:ascii="宋体" w:hAnsi="宋体" w:eastAsia="宋体" w:cs="宋体"/>
                <w:highlight w:val="none"/>
              </w:rPr>
            </w:pPr>
          </w:p>
        </w:tc>
        <w:tc>
          <w:tcPr>
            <w:tcW w:w="1089" w:type="dxa"/>
            <w:vAlign w:val="top"/>
          </w:tcPr>
          <w:p w14:paraId="5F1F07F9">
            <w:pPr>
              <w:pStyle w:val="13"/>
              <w:jc w:val="center"/>
              <w:rPr>
                <w:rFonts w:hint="eastAsia" w:ascii="宋体" w:hAnsi="宋体" w:eastAsia="宋体" w:cs="宋体"/>
                <w:highlight w:val="none"/>
              </w:rPr>
            </w:pPr>
          </w:p>
        </w:tc>
        <w:tc>
          <w:tcPr>
            <w:tcW w:w="958" w:type="dxa"/>
            <w:vAlign w:val="top"/>
          </w:tcPr>
          <w:p w14:paraId="3ECC751D">
            <w:pPr>
              <w:pStyle w:val="13"/>
              <w:jc w:val="center"/>
              <w:rPr>
                <w:rFonts w:hint="eastAsia" w:ascii="宋体" w:hAnsi="宋体" w:eastAsia="宋体" w:cs="宋体"/>
                <w:highlight w:val="none"/>
              </w:rPr>
            </w:pPr>
          </w:p>
        </w:tc>
      </w:tr>
      <w:tr w14:paraId="08D58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2A6F0B2F">
            <w:pPr>
              <w:pStyle w:val="13"/>
              <w:jc w:val="center"/>
              <w:rPr>
                <w:rFonts w:hint="eastAsia" w:ascii="宋体" w:hAnsi="宋体" w:eastAsia="宋体" w:cs="宋体"/>
                <w:highlight w:val="none"/>
              </w:rPr>
            </w:pPr>
          </w:p>
        </w:tc>
        <w:tc>
          <w:tcPr>
            <w:tcW w:w="2914" w:type="dxa"/>
            <w:vAlign w:val="top"/>
          </w:tcPr>
          <w:p w14:paraId="53520E2D">
            <w:pPr>
              <w:pStyle w:val="13"/>
              <w:jc w:val="center"/>
              <w:rPr>
                <w:rFonts w:hint="eastAsia" w:ascii="宋体" w:hAnsi="宋体" w:eastAsia="宋体" w:cs="宋体"/>
                <w:highlight w:val="none"/>
              </w:rPr>
            </w:pPr>
          </w:p>
        </w:tc>
        <w:tc>
          <w:tcPr>
            <w:tcW w:w="3377" w:type="dxa"/>
            <w:vAlign w:val="top"/>
          </w:tcPr>
          <w:p w14:paraId="5209876B">
            <w:pPr>
              <w:pStyle w:val="13"/>
              <w:jc w:val="center"/>
              <w:rPr>
                <w:rFonts w:hint="eastAsia" w:ascii="宋体" w:hAnsi="宋体" w:eastAsia="宋体" w:cs="宋体"/>
                <w:highlight w:val="none"/>
              </w:rPr>
            </w:pPr>
          </w:p>
        </w:tc>
        <w:tc>
          <w:tcPr>
            <w:tcW w:w="1089" w:type="dxa"/>
            <w:vAlign w:val="top"/>
          </w:tcPr>
          <w:p w14:paraId="5D2D34E9">
            <w:pPr>
              <w:pStyle w:val="13"/>
              <w:jc w:val="center"/>
              <w:rPr>
                <w:rFonts w:hint="eastAsia" w:ascii="宋体" w:hAnsi="宋体" w:eastAsia="宋体" w:cs="宋体"/>
                <w:highlight w:val="none"/>
              </w:rPr>
            </w:pPr>
          </w:p>
        </w:tc>
        <w:tc>
          <w:tcPr>
            <w:tcW w:w="958" w:type="dxa"/>
            <w:vAlign w:val="top"/>
          </w:tcPr>
          <w:p w14:paraId="3055B339">
            <w:pPr>
              <w:pStyle w:val="13"/>
              <w:jc w:val="center"/>
              <w:rPr>
                <w:rFonts w:hint="eastAsia" w:ascii="宋体" w:hAnsi="宋体" w:eastAsia="宋体" w:cs="宋体"/>
                <w:highlight w:val="none"/>
              </w:rPr>
            </w:pPr>
          </w:p>
        </w:tc>
      </w:tr>
      <w:tr w14:paraId="2D048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240F86AD">
            <w:pPr>
              <w:pStyle w:val="13"/>
              <w:jc w:val="center"/>
              <w:rPr>
                <w:rFonts w:hint="eastAsia" w:ascii="宋体" w:hAnsi="宋体" w:eastAsia="宋体" w:cs="宋体"/>
                <w:highlight w:val="none"/>
              </w:rPr>
            </w:pPr>
          </w:p>
        </w:tc>
        <w:tc>
          <w:tcPr>
            <w:tcW w:w="2914" w:type="dxa"/>
            <w:vAlign w:val="top"/>
          </w:tcPr>
          <w:p w14:paraId="7BD81D3F">
            <w:pPr>
              <w:pStyle w:val="13"/>
              <w:jc w:val="center"/>
              <w:rPr>
                <w:rFonts w:hint="eastAsia" w:ascii="宋体" w:hAnsi="宋体" w:eastAsia="宋体" w:cs="宋体"/>
                <w:highlight w:val="none"/>
              </w:rPr>
            </w:pPr>
          </w:p>
        </w:tc>
        <w:tc>
          <w:tcPr>
            <w:tcW w:w="3377" w:type="dxa"/>
            <w:vAlign w:val="top"/>
          </w:tcPr>
          <w:p w14:paraId="12E27B72">
            <w:pPr>
              <w:pStyle w:val="13"/>
              <w:jc w:val="center"/>
              <w:rPr>
                <w:rFonts w:hint="eastAsia" w:ascii="宋体" w:hAnsi="宋体" w:eastAsia="宋体" w:cs="宋体"/>
                <w:highlight w:val="none"/>
              </w:rPr>
            </w:pPr>
          </w:p>
        </w:tc>
        <w:tc>
          <w:tcPr>
            <w:tcW w:w="1089" w:type="dxa"/>
            <w:vAlign w:val="top"/>
          </w:tcPr>
          <w:p w14:paraId="7DA8F0F9">
            <w:pPr>
              <w:pStyle w:val="13"/>
              <w:jc w:val="center"/>
              <w:rPr>
                <w:rFonts w:hint="eastAsia" w:ascii="宋体" w:hAnsi="宋体" w:eastAsia="宋体" w:cs="宋体"/>
                <w:highlight w:val="none"/>
              </w:rPr>
            </w:pPr>
          </w:p>
        </w:tc>
        <w:tc>
          <w:tcPr>
            <w:tcW w:w="958" w:type="dxa"/>
            <w:vAlign w:val="top"/>
          </w:tcPr>
          <w:p w14:paraId="33A6D037">
            <w:pPr>
              <w:pStyle w:val="13"/>
              <w:jc w:val="center"/>
              <w:rPr>
                <w:rFonts w:hint="eastAsia" w:ascii="宋体" w:hAnsi="宋体" w:eastAsia="宋体" w:cs="宋体"/>
                <w:highlight w:val="none"/>
              </w:rPr>
            </w:pPr>
          </w:p>
        </w:tc>
      </w:tr>
      <w:tr w14:paraId="61B58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2569DC8B">
            <w:pPr>
              <w:pStyle w:val="13"/>
              <w:jc w:val="center"/>
              <w:rPr>
                <w:rFonts w:hint="eastAsia" w:ascii="宋体" w:hAnsi="宋体" w:eastAsia="宋体" w:cs="宋体"/>
                <w:highlight w:val="none"/>
              </w:rPr>
            </w:pPr>
          </w:p>
        </w:tc>
        <w:tc>
          <w:tcPr>
            <w:tcW w:w="2914" w:type="dxa"/>
            <w:vAlign w:val="top"/>
          </w:tcPr>
          <w:p w14:paraId="0E1C0364">
            <w:pPr>
              <w:pStyle w:val="13"/>
              <w:jc w:val="center"/>
              <w:rPr>
                <w:rFonts w:hint="eastAsia" w:ascii="宋体" w:hAnsi="宋体" w:eastAsia="宋体" w:cs="宋体"/>
                <w:highlight w:val="none"/>
              </w:rPr>
            </w:pPr>
          </w:p>
        </w:tc>
        <w:tc>
          <w:tcPr>
            <w:tcW w:w="3377" w:type="dxa"/>
            <w:vAlign w:val="top"/>
          </w:tcPr>
          <w:p w14:paraId="64F74944">
            <w:pPr>
              <w:pStyle w:val="13"/>
              <w:jc w:val="center"/>
              <w:rPr>
                <w:rFonts w:hint="eastAsia" w:ascii="宋体" w:hAnsi="宋体" w:eastAsia="宋体" w:cs="宋体"/>
                <w:highlight w:val="none"/>
              </w:rPr>
            </w:pPr>
          </w:p>
        </w:tc>
        <w:tc>
          <w:tcPr>
            <w:tcW w:w="1089" w:type="dxa"/>
            <w:vAlign w:val="top"/>
          </w:tcPr>
          <w:p w14:paraId="3561E3B9">
            <w:pPr>
              <w:pStyle w:val="13"/>
              <w:jc w:val="center"/>
              <w:rPr>
                <w:rFonts w:hint="eastAsia" w:ascii="宋体" w:hAnsi="宋体" w:eastAsia="宋体" w:cs="宋体"/>
                <w:highlight w:val="none"/>
              </w:rPr>
            </w:pPr>
          </w:p>
        </w:tc>
        <w:tc>
          <w:tcPr>
            <w:tcW w:w="958" w:type="dxa"/>
            <w:vAlign w:val="top"/>
          </w:tcPr>
          <w:p w14:paraId="237FE2D7">
            <w:pPr>
              <w:pStyle w:val="13"/>
              <w:jc w:val="center"/>
              <w:rPr>
                <w:rFonts w:hint="eastAsia" w:ascii="宋体" w:hAnsi="宋体" w:eastAsia="宋体" w:cs="宋体"/>
                <w:highlight w:val="none"/>
              </w:rPr>
            </w:pPr>
          </w:p>
        </w:tc>
      </w:tr>
      <w:tr w14:paraId="12ED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48E12F4E">
            <w:pPr>
              <w:pStyle w:val="13"/>
              <w:jc w:val="center"/>
              <w:rPr>
                <w:rFonts w:hint="eastAsia" w:ascii="宋体" w:hAnsi="宋体" w:eastAsia="宋体" w:cs="宋体"/>
                <w:highlight w:val="none"/>
              </w:rPr>
            </w:pPr>
          </w:p>
        </w:tc>
        <w:tc>
          <w:tcPr>
            <w:tcW w:w="2914" w:type="dxa"/>
            <w:vAlign w:val="top"/>
          </w:tcPr>
          <w:p w14:paraId="1AC37CAD">
            <w:pPr>
              <w:pStyle w:val="13"/>
              <w:jc w:val="center"/>
              <w:rPr>
                <w:rFonts w:hint="eastAsia" w:ascii="宋体" w:hAnsi="宋体" w:eastAsia="宋体" w:cs="宋体"/>
                <w:highlight w:val="none"/>
              </w:rPr>
            </w:pPr>
          </w:p>
        </w:tc>
        <w:tc>
          <w:tcPr>
            <w:tcW w:w="3377" w:type="dxa"/>
            <w:vAlign w:val="top"/>
          </w:tcPr>
          <w:p w14:paraId="536A8AD2">
            <w:pPr>
              <w:pStyle w:val="13"/>
              <w:jc w:val="center"/>
              <w:rPr>
                <w:rFonts w:hint="eastAsia" w:ascii="宋体" w:hAnsi="宋体" w:eastAsia="宋体" w:cs="宋体"/>
                <w:highlight w:val="none"/>
              </w:rPr>
            </w:pPr>
          </w:p>
        </w:tc>
        <w:tc>
          <w:tcPr>
            <w:tcW w:w="1089" w:type="dxa"/>
            <w:vAlign w:val="top"/>
          </w:tcPr>
          <w:p w14:paraId="68876A85">
            <w:pPr>
              <w:pStyle w:val="13"/>
              <w:jc w:val="center"/>
              <w:rPr>
                <w:rFonts w:hint="eastAsia" w:ascii="宋体" w:hAnsi="宋体" w:eastAsia="宋体" w:cs="宋体"/>
                <w:highlight w:val="none"/>
              </w:rPr>
            </w:pPr>
          </w:p>
        </w:tc>
        <w:tc>
          <w:tcPr>
            <w:tcW w:w="958" w:type="dxa"/>
            <w:vAlign w:val="top"/>
          </w:tcPr>
          <w:p w14:paraId="2DE010A8">
            <w:pPr>
              <w:pStyle w:val="13"/>
              <w:jc w:val="center"/>
              <w:rPr>
                <w:rFonts w:hint="eastAsia" w:ascii="宋体" w:hAnsi="宋体" w:eastAsia="宋体" w:cs="宋体"/>
                <w:highlight w:val="none"/>
              </w:rPr>
            </w:pPr>
          </w:p>
        </w:tc>
      </w:tr>
      <w:tr w14:paraId="61684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5C91374A">
            <w:pPr>
              <w:pStyle w:val="13"/>
              <w:jc w:val="center"/>
              <w:rPr>
                <w:rFonts w:hint="eastAsia" w:ascii="宋体" w:hAnsi="宋体" w:eastAsia="宋体" w:cs="宋体"/>
                <w:highlight w:val="none"/>
              </w:rPr>
            </w:pPr>
          </w:p>
        </w:tc>
        <w:tc>
          <w:tcPr>
            <w:tcW w:w="2914" w:type="dxa"/>
            <w:vAlign w:val="top"/>
          </w:tcPr>
          <w:p w14:paraId="1532D600">
            <w:pPr>
              <w:pStyle w:val="13"/>
              <w:jc w:val="center"/>
              <w:rPr>
                <w:rFonts w:hint="eastAsia" w:ascii="宋体" w:hAnsi="宋体" w:eastAsia="宋体" w:cs="宋体"/>
                <w:highlight w:val="none"/>
              </w:rPr>
            </w:pPr>
          </w:p>
        </w:tc>
        <w:tc>
          <w:tcPr>
            <w:tcW w:w="3377" w:type="dxa"/>
            <w:vAlign w:val="top"/>
          </w:tcPr>
          <w:p w14:paraId="174EAC4F">
            <w:pPr>
              <w:pStyle w:val="13"/>
              <w:jc w:val="center"/>
              <w:rPr>
                <w:rFonts w:hint="eastAsia" w:ascii="宋体" w:hAnsi="宋体" w:eastAsia="宋体" w:cs="宋体"/>
                <w:highlight w:val="none"/>
              </w:rPr>
            </w:pPr>
          </w:p>
        </w:tc>
        <w:tc>
          <w:tcPr>
            <w:tcW w:w="1089" w:type="dxa"/>
            <w:vAlign w:val="top"/>
          </w:tcPr>
          <w:p w14:paraId="35FDEEEB">
            <w:pPr>
              <w:pStyle w:val="13"/>
              <w:jc w:val="center"/>
              <w:rPr>
                <w:rFonts w:hint="eastAsia" w:ascii="宋体" w:hAnsi="宋体" w:eastAsia="宋体" w:cs="宋体"/>
                <w:highlight w:val="none"/>
              </w:rPr>
            </w:pPr>
          </w:p>
        </w:tc>
        <w:tc>
          <w:tcPr>
            <w:tcW w:w="958" w:type="dxa"/>
            <w:vAlign w:val="top"/>
          </w:tcPr>
          <w:p w14:paraId="4FF9F51C">
            <w:pPr>
              <w:pStyle w:val="13"/>
              <w:jc w:val="center"/>
              <w:rPr>
                <w:rFonts w:hint="eastAsia" w:ascii="宋体" w:hAnsi="宋体" w:eastAsia="宋体" w:cs="宋体"/>
                <w:highlight w:val="none"/>
              </w:rPr>
            </w:pPr>
          </w:p>
        </w:tc>
      </w:tr>
      <w:tr w14:paraId="5E81D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147A0524">
            <w:pPr>
              <w:pStyle w:val="13"/>
              <w:jc w:val="center"/>
              <w:rPr>
                <w:rFonts w:hint="eastAsia" w:ascii="宋体" w:hAnsi="宋体" w:eastAsia="宋体" w:cs="宋体"/>
                <w:highlight w:val="none"/>
              </w:rPr>
            </w:pPr>
          </w:p>
        </w:tc>
        <w:tc>
          <w:tcPr>
            <w:tcW w:w="2914" w:type="dxa"/>
            <w:vAlign w:val="top"/>
          </w:tcPr>
          <w:p w14:paraId="03CB4BE1">
            <w:pPr>
              <w:pStyle w:val="13"/>
              <w:jc w:val="center"/>
              <w:rPr>
                <w:rFonts w:hint="eastAsia" w:ascii="宋体" w:hAnsi="宋体" w:eastAsia="宋体" w:cs="宋体"/>
                <w:highlight w:val="none"/>
              </w:rPr>
            </w:pPr>
          </w:p>
        </w:tc>
        <w:tc>
          <w:tcPr>
            <w:tcW w:w="3377" w:type="dxa"/>
            <w:vAlign w:val="top"/>
          </w:tcPr>
          <w:p w14:paraId="5831F669">
            <w:pPr>
              <w:pStyle w:val="13"/>
              <w:jc w:val="center"/>
              <w:rPr>
                <w:rFonts w:hint="eastAsia" w:ascii="宋体" w:hAnsi="宋体" w:eastAsia="宋体" w:cs="宋体"/>
                <w:highlight w:val="none"/>
              </w:rPr>
            </w:pPr>
          </w:p>
        </w:tc>
        <w:tc>
          <w:tcPr>
            <w:tcW w:w="1089" w:type="dxa"/>
            <w:vAlign w:val="top"/>
          </w:tcPr>
          <w:p w14:paraId="645C4498">
            <w:pPr>
              <w:pStyle w:val="13"/>
              <w:jc w:val="center"/>
              <w:rPr>
                <w:rFonts w:hint="eastAsia" w:ascii="宋体" w:hAnsi="宋体" w:eastAsia="宋体" w:cs="宋体"/>
                <w:highlight w:val="none"/>
              </w:rPr>
            </w:pPr>
          </w:p>
        </w:tc>
        <w:tc>
          <w:tcPr>
            <w:tcW w:w="958" w:type="dxa"/>
            <w:vAlign w:val="top"/>
          </w:tcPr>
          <w:p w14:paraId="7D19E68C">
            <w:pPr>
              <w:pStyle w:val="13"/>
              <w:jc w:val="center"/>
              <w:rPr>
                <w:rFonts w:hint="eastAsia" w:ascii="宋体" w:hAnsi="宋体" w:eastAsia="宋体" w:cs="宋体"/>
                <w:highlight w:val="none"/>
              </w:rPr>
            </w:pPr>
          </w:p>
        </w:tc>
      </w:tr>
      <w:tr w14:paraId="46698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08" w:type="dxa"/>
            <w:vAlign w:val="top"/>
          </w:tcPr>
          <w:p w14:paraId="42840A7F">
            <w:pPr>
              <w:pStyle w:val="13"/>
              <w:jc w:val="center"/>
              <w:rPr>
                <w:rFonts w:hint="eastAsia" w:ascii="宋体" w:hAnsi="宋体" w:eastAsia="宋体" w:cs="宋体"/>
                <w:highlight w:val="none"/>
              </w:rPr>
            </w:pPr>
          </w:p>
        </w:tc>
        <w:tc>
          <w:tcPr>
            <w:tcW w:w="2914" w:type="dxa"/>
            <w:vAlign w:val="top"/>
          </w:tcPr>
          <w:p w14:paraId="60738080">
            <w:pPr>
              <w:pStyle w:val="13"/>
              <w:jc w:val="center"/>
              <w:rPr>
                <w:rFonts w:hint="eastAsia" w:ascii="宋体" w:hAnsi="宋体" w:eastAsia="宋体" w:cs="宋体"/>
                <w:highlight w:val="none"/>
              </w:rPr>
            </w:pPr>
          </w:p>
        </w:tc>
        <w:tc>
          <w:tcPr>
            <w:tcW w:w="3377" w:type="dxa"/>
            <w:vAlign w:val="top"/>
          </w:tcPr>
          <w:p w14:paraId="550B297D">
            <w:pPr>
              <w:pStyle w:val="13"/>
              <w:jc w:val="center"/>
              <w:rPr>
                <w:rFonts w:hint="eastAsia" w:ascii="宋体" w:hAnsi="宋体" w:eastAsia="宋体" w:cs="宋体"/>
                <w:highlight w:val="none"/>
              </w:rPr>
            </w:pPr>
          </w:p>
        </w:tc>
        <w:tc>
          <w:tcPr>
            <w:tcW w:w="1089" w:type="dxa"/>
            <w:vAlign w:val="top"/>
          </w:tcPr>
          <w:p w14:paraId="6EB033A8">
            <w:pPr>
              <w:pStyle w:val="13"/>
              <w:jc w:val="center"/>
              <w:rPr>
                <w:rFonts w:hint="eastAsia" w:ascii="宋体" w:hAnsi="宋体" w:eastAsia="宋体" w:cs="宋体"/>
                <w:highlight w:val="none"/>
              </w:rPr>
            </w:pPr>
          </w:p>
        </w:tc>
        <w:tc>
          <w:tcPr>
            <w:tcW w:w="958" w:type="dxa"/>
            <w:vAlign w:val="top"/>
          </w:tcPr>
          <w:p w14:paraId="7D342CB3">
            <w:pPr>
              <w:pStyle w:val="13"/>
              <w:jc w:val="center"/>
              <w:rPr>
                <w:rFonts w:hint="eastAsia" w:ascii="宋体" w:hAnsi="宋体" w:eastAsia="宋体" w:cs="宋体"/>
                <w:highlight w:val="none"/>
              </w:rPr>
            </w:pPr>
          </w:p>
        </w:tc>
      </w:tr>
      <w:tr w14:paraId="434A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08" w:type="dxa"/>
            <w:vAlign w:val="top"/>
          </w:tcPr>
          <w:p w14:paraId="0A59C41D">
            <w:pPr>
              <w:pStyle w:val="13"/>
              <w:jc w:val="center"/>
              <w:rPr>
                <w:rFonts w:hint="eastAsia" w:ascii="宋体" w:hAnsi="宋体" w:eastAsia="宋体" w:cs="宋体"/>
                <w:highlight w:val="none"/>
              </w:rPr>
            </w:pPr>
          </w:p>
        </w:tc>
        <w:tc>
          <w:tcPr>
            <w:tcW w:w="2914" w:type="dxa"/>
            <w:vAlign w:val="top"/>
          </w:tcPr>
          <w:p w14:paraId="35214F26">
            <w:pPr>
              <w:pStyle w:val="13"/>
              <w:jc w:val="center"/>
              <w:rPr>
                <w:rFonts w:hint="eastAsia" w:ascii="宋体" w:hAnsi="宋体" w:eastAsia="宋体" w:cs="宋体"/>
                <w:highlight w:val="none"/>
              </w:rPr>
            </w:pPr>
          </w:p>
        </w:tc>
        <w:tc>
          <w:tcPr>
            <w:tcW w:w="3377" w:type="dxa"/>
            <w:vAlign w:val="top"/>
          </w:tcPr>
          <w:p w14:paraId="094D6EB6">
            <w:pPr>
              <w:pStyle w:val="13"/>
              <w:jc w:val="center"/>
              <w:rPr>
                <w:rFonts w:hint="eastAsia" w:ascii="宋体" w:hAnsi="宋体" w:eastAsia="宋体" w:cs="宋体"/>
                <w:highlight w:val="none"/>
              </w:rPr>
            </w:pPr>
          </w:p>
        </w:tc>
        <w:tc>
          <w:tcPr>
            <w:tcW w:w="1089" w:type="dxa"/>
            <w:vAlign w:val="top"/>
          </w:tcPr>
          <w:p w14:paraId="35AE23FE">
            <w:pPr>
              <w:pStyle w:val="13"/>
              <w:jc w:val="center"/>
              <w:rPr>
                <w:rFonts w:hint="eastAsia" w:ascii="宋体" w:hAnsi="宋体" w:eastAsia="宋体" w:cs="宋体"/>
                <w:highlight w:val="none"/>
              </w:rPr>
            </w:pPr>
          </w:p>
        </w:tc>
        <w:tc>
          <w:tcPr>
            <w:tcW w:w="958" w:type="dxa"/>
            <w:vAlign w:val="top"/>
          </w:tcPr>
          <w:p w14:paraId="71DE7AE2">
            <w:pPr>
              <w:pStyle w:val="13"/>
              <w:jc w:val="center"/>
              <w:rPr>
                <w:rFonts w:hint="eastAsia" w:ascii="宋体" w:hAnsi="宋体" w:eastAsia="宋体" w:cs="宋体"/>
                <w:highlight w:val="none"/>
              </w:rPr>
            </w:pPr>
          </w:p>
        </w:tc>
      </w:tr>
    </w:tbl>
    <w:p w14:paraId="74152832">
      <w:pPr>
        <w:pStyle w:val="5"/>
        <w:spacing w:before="37" w:line="276" w:lineRule="auto"/>
        <w:ind w:left="18"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注：1、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须将招标项目要求全部列入此表。</w:t>
      </w:r>
    </w:p>
    <w:p w14:paraId="1FE83A66">
      <w:pPr>
        <w:pStyle w:val="5"/>
        <w:spacing w:before="37" w:line="276" w:lineRule="auto"/>
        <w:ind w:left="18"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2、按照招标项目要求的顺序对应填写。</w:t>
      </w:r>
    </w:p>
    <w:p w14:paraId="33FF2ED7">
      <w:pPr>
        <w:pStyle w:val="5"/>
        <w:spacing w:before="37" w:line="276" w:lineRule="auto"/>
        <w:ind w:left="18"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3、按照响应的服务要求尽可能的提供证明材料复印件予以佐证。</w:t>
      </w:r>
    </w:p>
    <w:p w14:paraId="0E430315">
      <w:pPr>
        <w:pStyle w:val="5"/>
        <w:spacing w:before="37" w:line="276" w:lineRule="auto"/>
        <w:ind w:left="18"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4、供应商未按要求响应的，漏项的，自行承担被视为无效</w:t>
      </w:r>
      <w:r>
        <w:rPr>
          <w:rFonts w:hint="eastAsia" w:ascii="宋体" w:hAnsi="宋体" w:eastAsia="宋体" w:cs="宋体"/>
          <w:sz w:val="24"/>
          <w:szCs w:val="24"/>
          <w:highlight w:val="none"/>
          <w:lang w:eastAsia="zh-CN"/>
        </w:rPr>
        <w:t>竞争性磋商响应文件</w:t>
      </w:r>
      <w:r>
        <w:rPr>
          <w:rFonts w:hint="eastAsia" w:ascii="宋体" w:hAnsi="宋体" w:eastAsia="宋体" w:cs="宋体"/>
          <w:sz w:val="24"/>
          <w:szCs w:val="24"/>
          <w:highlight w:val="none"/>
        </w:rPr>
        <w:t>的风险。</w:t>
      </w:r>
    </w:p>
    <w:p w14:paraId="00ECA507">
      <w:pPr>
        <w:pStyle w:val="5"/>
        <w:spacing w:before="37" w:line="276" w:lineRule="auto"/>
        <w:ind w:left="18"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5、若无偏离，不用在此表中列出，但必须提交空白表。</w:t>
      </w:r>
    </w:p>
    <w:p w14:paraId="132A8EEF">
      <w:pPr>
        <w:spacing w:line="271" w:lineRule="auto"/>
        <w:rPr>
          <w:rFonts w:hint="eastAsia" w:ascii="宋体" w:hAnsi="宋体" w:eastAsia="宋体" w:cs="宋体"/>
          <w:sz w:val="21"/>
          <w:highlight w:val="none"/>
        </w:rPr>
      </w:pPr>
    </w:p>
    <w:p w14:paraId="2C37B1DD">
      <w:pPr>
        <w:spacing w:line="271" w:lineRule="auto"/>
        <w:rPr>
          <w:rFonts w:hint="eastAsia" w:ascii="宋体" w:hAnsi="宋体" w:eastAsia="宋体" w:cs="宋体"/>
          <w:sz w:val="21"/>
          <w:highlight w:val="none"/>
        </w:rPr>
      </w:pPr>
    </w:p>
    <w:p w14:paraId="23D4AF0C">
      <w:pPr>
        <w:pStyle w:val="5"/>
        <w:tabs>
          <w:tab w:val="left" w:pos="8585"/>
          <w:tab w:val="left" w:pos="8697"/>
        </w:tabs>
        <w:spacing w:before="78" w:line="424" w:lineRule="auto"/>
        <w:ind w:left="2803" w:right="455" w:firstLine="91"/>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供应商公章：</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z w:val="24"/>
          <w:szCs w:val="24"/>
          <w:highlight w:val="none"/>
        </w:rPr>
        <w:t xml:space="preserve"> </w:t>
      </w:r>
    </w:p>
    <w:p w14:paraId="63AEBCBF">
      <w:pPr>
        <w:pStyle w:val="5"/>
        <w:tabs>
          <w:tab w:val="left" w:pos="8585"/>
          <w:tab w:val="left" w:pos="8697"/>
        </w:tabs>
        <w:spacing w:before="78" w:line="424" w:lineRule="auto"/>
        <w:ind w:left="2803" w:right="455" w:firstLine="91"/>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法定代表人或被授权代表（签字</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p>
    <w:p w14:paraId="03858A66">
      <w:pPr>
        <w:pStyle w:val="5"/>
        <w:tabs>
          <w:tab w:val="left" w:pos="8585"/>
          <w:tab w:val="left" w:pos="8697"/>
        </w:tabs>
        <w:spacing w:before="78" w:line="424" w:lineRule="auto"/>
        <w:ind w:left="2803" w:right="455" w:firstLine="91"/>
        <w:jc w:val="both"/>
        <w:rPr>
          <w:rFonts w:hint="eastAsia" w:ascii="宋体" w:hAnsi="宋体" w:eastAsia="宋体" w:cs="宋体"/>
          <w:sz w:val="24"/>
          <w:szCs w:val="24"/>
          <w:highlight w:val="none"/>
        </w:rPr>
      </w:pPr>
      <w:r>
        <w:rPr>
          <w:rFonts w:hint="eastAsia" w:ascii="宋体" w:hAnsi="宋体" w:eastAsia="宋体" w:cs="宋体"/>
          <w:spacing w:val="-28"/>
          <w:sz w:val="24"/>
          <w:szCs w:val="24"/>
          <w:highlight w:val="none"/>
        </w:rPr>
        <w:t>日期：</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p>
    <w:p w14:paraId="797BD497">
      <w:pPr>
        <w:spacing w:line="424" w:lineRule="auto"/>
        <w:rPr>
          <w:rFonts w:hint="eastAsia" w:ascii="宋体" w:hAnsi="宋体" w:eastAsia="宋体" w:cs="宋体"/>
          <w:sz w:val="24"/>
          <w:szCs w:val="24"/>
          <w:highlight w:val="none"/>
        </w:rPr>
        <w:sectPr>
          <w:headerReference r:id="rId40" w:type="default"/>
          <w:footerReference r:id="rId41" w:type="default"/>
          <w:pgSz w:w="11906" w:h="16839"/>
          <w:pgMar w:top="1134" w:right="1334" w:bottom="969" w:left="1418" w:header="862" w:footer="754" w:gutter="0"/>
          <w:pgNumType w:fmt="decimal"/>
          <w:cols w:space="720" w:num="1"/>
        </w:sectPr>
      </w:pPr>
    </w:p>
    <w:p w14:paraId="2262C2C8">
      <w:pPr>
        <w:pStyle w:val="5"/>
        <w:spacing w:before="97" w:line="222" w:lineRule="auto"/>
        <w:ind w:left="2931"/>
        <w:rPr>
          <w:rFonts w:hint="eastAsia" w:ascii="宋体" w:hAnsi="宋体" w:eastAsia="宋体" w:cs="宋体"/>
          <w:b/>
          <w:bCs/>
          <w:spacing w:val="-4"/>
          <w:sz w:val="30"/>
          <w:szCs w:val="30"/>
          <w:highlight w:val="none"/>
          <w:lang w:val="en-US" w:eastAsia="zh-CN"/>
        </w:rPr>
      </w:pPr>
      <w:r>
        <w:rPr>
          <w:rFonts w:hint="eastAsia" w:ascii="宋体" w:hAnsi="宋体" w:eastAsia="宋体" w:cs="宋体"/>
          <w:b/>
          <w:bCs/>
          <w:spacing w:val="-4"/>
          <w:sz w:val="30"/>
          <w:szCs w:val="30"/>
          <w:highlight w:val="none"/>
          <w:lang w:val="en-US" w:eastAsia="zh-CN"/>
        </w:rPr>
        <w:t>四、商务偏差表</w:t>
      </w:r>
    </w:p>
    <w:tbl>
      <w:tblPr>
        <w:tblStyle w:val="12"/>
        <w:tblW w:w="92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1697"/>
        <w:gridCol w:w="3130"/>
        <w:gridCol w:w="1529"/>
        <w:gridCol w:w="2070"/>
      </w:tblGrid>
      <w:tr w14:paraId="44DCF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71" w:type="dxa"/>
            <w:shd w:val="clear" w:color="auto" w:fill="auto"/>
            <w:vAlign w:val="center"/>
          </w:tcPr>
          <w:p w14:paraId="471569C1">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序号</w:t>
            </w:r>
          </w:p>
        </w:tc>
        <w:tc>
          <w:tcPr>
            <w:tcW w:w="1697" w:type="dxa"/>
            <w:shd w:val="clear" w:color="auto" w:fill="auto"/>
            <w:vAlign w:val="center"/>
          </w:tcPr>
          <w:p w14:paraId="21824F2A">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磋商文件要求</w:t>
            </w:r>
          </w:p>
        </w:tc>
        <w:tc>
          <w:tcPr>
            <w:tcW w:w="3130" w:type="dxa"/>
            <w:shd w:val="clear" w:color="auto" w:fill="auto"/>
            <w:vAlign w:val="center"/>
          </w:tcPr>
          <w:p w14:paraId="14FC9FDF">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响应文件响应条款</w:t>
            </w:r>
          </w:p>
        </w:tc>
        <w:tc>
          <w:tcPr>
            <w:tcW w:w="1529" w:type="dxa"/>
            <w:shd w:val="clear" w:color="auto" w:fill="auto"/>
            <w:vAlign w:val="center"/>
          </w:tcPr>
          <w:p w14:paraId="7C980665">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偏离程度</w:t>
            </w:r>
          </w:p>
        </w:tc>
        <w:tc>
          <w:tcPr>
            <w:tcW w:w="2070" w:type="dxa"/>
            <w:shd w:val="clear" w:color="auto" w:fill="auto"/>
            <w:vAlign w:val="center"/>
          </w:tcPr>
          <w:p w14:paraId="56D4BCA0">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偏离简述</w:t>
            </w:r>
          </w:p>
          <w:p w14:paraId="64BD4BEB">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或相关证明材料</w:t>
            </w:r>
          </w:p>
        </w:tc>
      </w:tr>
      <w:tr w14:paraId="35C9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1" w:type="dxa"/>
            <w:vAlign w:val="top"/>
          </w:tcPr>
          <w:p w14:paraId="24E44CF1">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w:t>
            </w:r>
          </w:p>
        </w:tc>
        <w:tc>
          <w:tcPr>
            <w:tcW w:w="1697" w:type="dxa"/>
            <w:vAlign w:val="top"/>
          </w:tcPr>
          <w:p w14:paraId="40486C20">
            <w:pPr>
              <w:spacing w:before="78" w:line="222" w:lineRule="auto"/>
              <w:ind w:left="183"/>
              <w:jc w:val="center"/>
              <w:rPr>
                <w:rFonts w:hint="eastAsia" w:ascii="宋体" w:hAnsi="宋体" w:eastAsia="宋体" w:cs="宋体"/>
                <w:spacing w:val="-8"/>
                <w:sz w:val="24"/>
                <w:szCs w:val="24"/>
                <w:highlight w:val="none"/>
              </w:rPr>
            </w:pPr>
          </w:p>
        </w:tc>
        <w:tc>
          <w:tcPr>
            <w:tcW w:w="3130" w:type="dxa"/>
            <w:vAlign w:val="top"/>
          </w:tcPr>
          <w:p w14:paraId="0810E41D">
            <w:pPr>
              <w:spacing w:before="78" w:line="222" w:lineRule="auto"/>
              <w:ind w:left="183"/>
              <w:jc w:val="center"/>
              <w:rPr>
                <w:rFonts w:hint="eastAsia" w:ascii="宋体" w:hAnsi="宋体" w:eastAsia="宋体" w:cs="宋体"/>
                <w:spacing w:val="-8"/>
                <w:sz w:val="24"/>
                <w:szCs w:val="24"/>
                <w:highlight w:val="none"/>
              </w:rPr>
            </w:pPr>
          </w:p>
        </w:tc>
        <w:tc>
          <w:tcPr>
            <w:tcW w:w="1529" w:type="dxa"/>
            <w:vAlign w:val="top"/>
          </w:tcPr>
          <w:p w14:paraId="3D7CE328">
            <w:pPr>
              <w:spacing w:before="78" w:line="222" w:lineRule="auto"/>
              <w:ind w:left="183"/>
              <w:jc w:val="center"/>
              <w:rPr>
                <w:rFonts w:hint="eastAsia" w:ascii="宋体" w:hAnsi="宋体" w:eastAsia="宋体" w:cs="宋体"/>
                <w:spacing w:val="-8"/>
                <w:sz w:val="24"/>
                <w:szCs w:val="24"/>
                <w:highlight w:val="none"/>
              </w:rPr>
            </w:pPr>
          </w:p>
        </w:tc>
        <w:tc>
          <w:tcPr>
            <w:tcW w:w="2070" w:type="dxa"/>
            <w:vAlign w:val="top"/>
          </w:tcPr>
          <w:p w14:paraId="76817A3C">
            <w:pPr>
              <w:spacing w:before="78" w:line="222" w:lineRule="auto"/>
              <w:ind w:left="183"/>
              <w:jc w:val="center"/>
              <w:rPr>
                <w:rFonts w:hint="eastAsia" w:ascii="宋体" w:hAnsi="宋体" w:eastAsia="宋体" w:cs="宋体"/>
                <w:spacing w:val="-8"/>
                <w:sz w:val="24"/>
                <w:szCs w:val="24"/>
                <w:highlight w:val="none"/>
              </w:rPr>
            </w:pPr>
          </w:p>
        </w:tc>
      </w:tr>
      <w:tr w14:paraId="6B207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1" w:type="dxa"/>
            <w:vAlign w:val="top"/>
          </w:tcPr>
          <w:p w14:paraId="10DC20BD">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w:t>
            </w:r>
          </w:p>
        </w:tc>
        <w:tc>
          <w:tcPr>
            <w:tcW w:w="1697" w:type="dxa"/>
            <w:vAlign w:val="top"/>
          </w:tcPr>
          <w:p w14:paraId="11654602">
            <w:pPr>
              <w:spacing w:before="78" w:line="222" w:lineRule="auto"/>
              <w:ind w:left="183"/>
              <w:jc w:val="center"/>
              <w:rPr>
                <w:rFonts w:hint="eastAsia" w:ascii="宋体" w:hAnsi="宋体" w:eastAsia="宋体" w:cs="宋体"/>
                <w:spacing w:val="-8"/>
                <w:sz w:val="24"/>
                <w:szCs w:val="24"/>
                <w:highlight w:val="none"/>
              </w:rPr>
            </w:pPr>
          </w:p>
        </w:tc>
        <w:tc>
          <w:tcPr>
            <w:tcW w:w="3130" w:type="dxa"/>
            <w:vAlign w:val="top"/>
          </w:tcPr>
          <w:p w14:paraId="5DB3B709">
            <w:pPr>
              <w:spacing w:before="78" w:line="222" w:lineRule="auto"/>
              <w:ind w:left="183"/>
              <w:jc w:val="center"/>
              <w:rPr>
                <w:rFonts w:hint="eastAsia" w:ascii="宋体" w:hAnsi="宋体" w:eastAsia="宋体" w:cs="宋体"/>
                <w:spacing w:val="-8"/>
                <w:sz w:val="24"/>
                <w:szCs w:val="24"/>
                <w:highlight w:val="none"/>
              </w:rPr>
            </w:pPr>
          </w:p>
        </w:tc>
        <w:tc>
          <w:tcPr>
            <w:tcW w:w="1529" w:type="dxa"/>
            <w:vAlign w:val="top"/>
          </w:tcPr>
          <w:p w14:paraId="3A4D16A6">
            <w:pPr>
              <w:spacing w:before="78" w:line="222" w:lineRule="auto"/>
              <w:ind w:left="183"/>
              <w:jc w:val="center"/>
              <w:rPr>
                <w:rFonts w:hint="eastAsia" w:ascii="宋体" w:hAnsi="宋体" w:eastAsia="宋体" w:cs="宋体"/>
                <w:spacing w:val="-8"/>
                <w:sz w:val="24"/>
                <w:szCs w:val="24"/>
                <w:highlight w:val="none"/>
              </w:rPr>
            </w:pPr>
          </w:p>
        </w:tc>
        <w:tc>
          <w:tcPr>
            <w:tcW w:w="2070" w:type="dxa"/>
            <w:vAlign w:val="top"/>
          </w:tcPr>
          <w:p w14:paraId="2C90DED4">
            <w:pPr>
              <w:spacing w:before="78" w:line="222" w:lineRule="auto"/>
              <w:ind w:left="183"/>
              <w:jc w:val="center"/>
              <w:rPr>
                <w:rFonts w:hint="eastAsia" w:ascii="宋体" w:hAnsi="宋体" w:eastAsia="宋体" w:cs="宋体"/>
                <w:spacing w:val="-8"/>
                <w:sz w:val="24"/>
                <w:szCs w:val="24"/>
                <w:highlight w:val="none"/>
              </w:rPr>
            </w:pPr>
          </w:p>
        </w:tc>
      </w:tr>
      <w:tr w14:paraId="498F2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1" w:type="dxa"/>
            <w:vAlign w:val="top"/>
          </w:tcPr>
          <w:p w14:paraId="0E46799E">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w:t>
            </w:r>
          </w:p>
        </w:tc>
        <w:tc>
          <w:tcPr>
            <w:tcW w:w="1697" w:type="dxa"/>
            <w:vAlign w:val="top"/>
          </w:tcPr>
          <w:p w14:paraId="22D9F60A">
            <w:pPr>
              <w:spacing w:before="78" w:line="222" w:lineRule="auto"/>
              <w:ind w:left="183"/>
              <w:jc w:val="center"/>
              <w:rPr>
                <w:rFonts w:hint="eastAsia" w:ascii="宋体" w:hAnsi="宋体" w:eastAsia="宋体" w:cs="宋体"/>
                <w:spacing w:val="-8"/>
                <w:sz w:val="24"/>
                <w:szCs w:val="24"/>
                <w:highlight w:val="none"/>
              </w:rPr>
            </w:pPr>
          </w:p>
        </w:tc>
        <w:tc>
          <w:tcPr>
            <w:tcW w:w="3130" w:type="dxa"/>
            <w:vAlign w:val="top"/>
          </w:tcPr>
          <w:p w14:paraId="22E5FAFA">
            <w:pPr>
              <w:spacing w:before="78" w:line="222" w:lineRule="auto"/>
              <w:ind w:left="183"/>
              <w:jc w:val="center"/>
              <w:rPr>
                <w:rFonts w:hint="eastAsia" w:ascii="宋体" w:hAnsi="宋体" w:eastAsia="宋体" w:cs="宋体"/>
                <w:spacing w:val="-8"/>
                <w:sz w:val="24"/>
                <w:szCs w:val="24"/>
                <w:highlight w:val="none"/>
              </w:rPr>
            </w:pPr>
          </w:p>
        </w:tc>
        <w:tc>
          <w:tcPr>
            <w:tcW w:w="1529" w:type="dxa"/>
            <w:vAlign w:val="top"/>
          </w:tcPr>
          <w:p w14:paraId="41E988DB">
            <w:pPr>
              <w:spacing w:before="78" w:line="222" w:lineRule="auto"/>
              <w:ind w:left="183"/>
              <w:jc w:val="center"/>
              <w:rPr>
                <w:rFonts w:hint="eastAsia" w:ascii="宋体" w:hAnsi="宋体" w:eastAsia="宋体" w:cs="宋体"/>
                <w:spacing w:val="-8"/>
                <w:sz w:val="24"/>
                <w:szCs w:val="24"/>
                <w:highlight w:val="none"/>
              </w:rPr>
            </w:pPr>
          </w:p>
        </w:tc>
        <w:tc>
          <w:tcPr>
            <w:tcW w:w="2070" w:type="dxa"/>
            <w:vAlign w:val="top"/>
          </w:tcPr>
          <w:p w14:paraId="7448DE42">
            <w:pPr>
              <w:spacing w:before="78" w:line="222" w:lineRule="auto"/>
              <w:ind w:left="183"/>
              <w:jc w:val="center"/>
              <w:rPr>
                <w:rFonts w:hint="eastAsia" w:ascii="宋体" w:hAnsi="宋体" w:eastAsia="宋体" w:cs="宋体"/>
                <w:spacing w:val="-8"/>
                <w:sz w:val="24"/>
                <w:szCs w:val="24"/>
                <w:highlight w:val="none"/>
              </w:rPr>
            </w:pPr>
          </w:p>
        </w:tc>
      </w:tr>
      <w:tr w14:paraId="53B40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1" w:type="dxa"/>
            <w:vAlign w:val="top"/>
          </w:tcPr>
          <w:p w14:paraId="162367AF">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w:t>
            </w:r>
          </w:p>
        </w:tc>
        <w:tc>
          <w:tcPr>
            <w:tcW w:w="1697" w:type="dxa"/>
            <w:vAlign w:val="top"/>
          </w:tcPr>
          <w:p w14:paraId="031FD83A">
            <w:pPr>
              <w:spacing w:before="78" w:line="222" w:lineRule="auto"/>
              <w:ind w:left="183"/>
              <w:jc w:val="center"/>
              <w:rPr>
                <w:rFonts w:hint="eastAsia" w:ascii="宋体" w:hAnsi="宋体" w:eastAsia="宋体" w:cs="宋体"/>
                <w:spacing w:val="-8"/>
                <w:sz w:val="24"/>
                <w:szCs w:val="24"/>
                <w:highlight w:val="none"/>
              </w:rPr>
            </w:pPr>
          </w:p>
        </w:tc>
        <w:tc>
          <w:tcPr>
            <w:tcW w:w="3130" w:type="dxa"/>
            <w:vAlign w:val="top"/>
          </w:tcPr>
          <w:p w14:paraId="1B74FC7D">
            <w:pPr>
              <w:spacing w:before="78" w:line="222" w:lineRule="auto"/>
              <w:ind w:left="183"/>
              <w:jc w:val="center"/>
              <w:rPr>
                <w:rFonts w:hint="eastAsia" w:ascii="宋体" w:hAnsi="宋体" w:eastAsia="宋体" w:cs="宋体"/>
                <w:spacing w:val="-8"/>
                <w:sz w:val="24"/>
                <w:szCs w:val="24"/>
                <w:highlight w:val="none"/>
              </w:rPr>
            </w:pPr>
          </w:p>
        </w:tc>
        <w:tc>
          <w:tcPr>
            <w:tcW w:w="1529" w:type="dxa"/>
            <w:vAlign w:val="top"/>
          </w:tcPr>
          <w:p w14:paraId="7739900D">
            <w:pPr>
              <w:spacing w:before="78" w:line="222" w:lineRule="auto"/>
              <w:ind w:left="183"/>
              <w:jc w:val="center"/>
              <w:rPr>
                <w:rFonts w:hint="eastAsia" w:ascii="宋体" w:hAnsi="宋体" w:eastAsia="宋体" w:cs="宋体"/>
                <w:spacing w:val="-8"/>
                <w:sz w:val="24"/>
                <w:szCs w:val="24"/>
                <w:highlight w:val="none"/>
              </w:rPr>
            </w:pPr>
          </w:p>
        </w:tc>
        <w:tc>
          <w:tcPr>
            <w:tcW w:w="2070" w:type="dxa"/>
            <w:vAlign w:val="top"/>
          </w:tcPr>
          <w:p w14:paraId="6A8CA931">
            <w:pPr>
              <w:spacing w:before="78" w:line="222" w:lineRule="auto"/>
              <w:ind w:left="183"/>
              <w:jc w:val="center"/>
              <w:rPr>
                <w:rFonts w:hint="eastAsia" w:ascii="宋体" w:hAnsi="宋体" w:eastAsia="宋体" w:cs="宋体"/>
                <w:spacing w:val="-8"/>
                <w:sz w:val="24"/>
                <w:szCs w:val="24"/>
                <w:highlight w:val="none"/>
              </w:rPr>
            </w:pPr>
          </w:p>
        </w:tc>
      </w:tr>
      <w:tr w14:paraId="380C8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1" w:type="dxa"/>
            <w:vAlign w:val="top"/>
          </w:tcPr>
          <w:p w14:paraId="2E19B7EC">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5</w:t>
            </w:r>
          </w:p>
        </w:tc>
        <w:tc>
          <w:tcPr>
            <w:tcW w:w="1697" w:type="dxa"/>
            <w:vAlign w:val="top"/>
          </w:tcPr>
          <w:p w14:paraId="05C4CE9C">
            <w:pPr>
              <w:spacing w:before="78" w:line="222" w:lineRule="auto"/>
              <w:ind w:left="183"/>
              <w:jc w:val="center"/>
              <w:rPr>
                <w:rFonts w:hint="eastAsia" w:ascii="宋体" w:hAnsi="宋体" w:eastAsia="宋体" w:cs="宋体"/>
                <w:spacing w:val="-8"/>
                <w:sz w:val="24"/>
                <w:szCs w:val="24"/>
                <w:highlight w:val="none"/>
              </w:rPr>
            </w:pPr>
          </w:p>
        </w:tc>
        <w:tc>
          <w:tcPr>
            <w:tcW w:w="3130" w:type="dxa"/>
            <w:vAlign w:val="top"/>
          </w:tcPr>
          <w:p w14:paraId="784158CF">
            <w:pPr>
              <w:spacing w:before="78" w:line="222" w:lineRule="auto"/>
              <w:ind w:left="183"/>
              <w:jc w:val="center"/>
              <w:rPr>
                <w:rFonts w:hint="eastAsia" w:ascii="宋体" w:hAnsi="宋体" w:eastAsia="宋体" w:cs="宋体"/>
                <w:spacing w:val="-8"/>
                <w:sz w:val="24"/>
                <w:szCs w:val="24"/>
                <w:highlight w:val="none"/>
              </w:rPr>
            </w:pPr>
          </w:p>
        </w:tc>
        <w:tc>
          <w:tcPr>
            <w:tcW w:w="1529" w:type="dxa"/>
            <w:vAlign w:val="top"/>
          </w:tcPr>
          <w:p w14:paraId="32190313">
            <w:pPr>
              <w:spacing w:before="78" w:line="222" w:lineRule="auto"/>
              <w:ind w:left="183"/>
              <w:jc w:val="center"/>
              <w:rPr>
                <w:rFonts w:hint="eastAsia" w:ascii="宋体" w:hAnsi="宋体" w:eastAsia="宋体" w:cs="宋体"/>
                <w:spacing w:val="-8"/>
                <w:sz w:val="24"/>
                <w:szCs w:val="24"/>
                <w:highlight w:val="none"/>
              </w:rPr>
            </w:pPr>
          </w:p>
        </w:tc>
        <w:tc>
          <w:tcPr>
            <w:tcW w:w="2070" w:type="dxa"/>
            <w:vAlign w:val="top"/>
          </w:tcPr>
          <w:p w14:paraId="7B5A982D">
            <w:pPr>
              <w:spacing w:before="78" w:line="222" w:lineRule="auto"/>
              <w:ind w:left="183"/>
              <w:jc w:val="center"/>
              <w:rPr>
                <w:rFonts w:hint="eastAsia" w:ascii="宋体" w:hAnsi="宋体" w:eastAsia="宋体" w:cs="宋体"/>
                <w:spacing w:val="-8"/>
                <w:sz w:val="24"/>
                <w:szCs w:val="24"/>
                <w:highlight w:val="none"/>
              </w:rPr>
            </w:pPr>
          </w:p>
        </w:tc>
      </w:tr>
      <w:tr w14:paraId="7DAD7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1" w:type="dxa"/>
            <w:vAlign w:val="top"/>
          </w:tcPr>
          <w:p w14:paraId="6B861C48">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6</w:t>
            </w:r>
          </w:p>
        </w:tc>
        <w:tc>
          <w:tcPr>
            <w:tcW w:w="1697" w:type="dxa"/>
            <w:vAlign w:val="top"/>
          </w:tcPr>
          <w:p w14:paraId="0D39A7EC">
            <w:pPr>
              <w:spacing w:before="78" w:line="222" w:lineRule="auto"/>
              <w:ind w:left="183"/>
              <w:jc w:val="center"/>
              <w:rPr>
                <w:rFonts w:hint="eastAsia" w:ascii="宋体" w:hAnsi="宋体" w:eastAsia="宋体" w:cs="宋体"/>
                <w:spacing w:val="-8"/>
                <w:sz w:val="24"/>
                <w:szCs w:val="24"/>
                <w:highlight w:val="none"/>
              </w:rPr>
            </w:pPr>
          </w:p>
        </w:tc>
        <w:tc>
          <w:tcPr>
            <w:tcW w:w="3130" w:type="dxa"/>
            <w:vAlign w:val="top"/>
          </w:tcPr>
          <w:p w14:paraId="43C7219A">
            <w:pPr>
              <w:spacing w:before="78" w:line="222" w:lineRule="auto"/>
              <w:ind w:left="183"/>
              <w:jc w:val="center"/>
              <w:rPr>
                <w:rFonts w:hint="eastAsia" w:ascii="宋体" w:hAnsi="宋体" w:eastAsia="宋体" w:cs="宋体"/>
                <w:spacing w:val="-8"/>
                <w:sz w:val="24"/>
                <w:szCs w:val="24"/>
                <w:highlight w:val="none"/>
              </w:rPr>
            </w:pPr>
          </w:p>
        </w:tc>
        <w:tc>
          <w:tcPr>
            <w:tcW w:w="1529" w:type="dxa"/>
            <w:vAlign w:val="top"/>
          </w:tcPr>
          <w:p w14:paraId="04440B56">
            <w:pPr>
              <w:spacing w:before="78" w:line="222" w:lineRule="auto"/>
              <w:ind w:left="183"/>
              <w:jc w:val="center"/>
              <w:rPr>
                <w:rFonts w:hint="eastAsia" w:ascii="宋体" w:hAnsi="宋体" w:eastAsia="宋体" w:cs="宋体"/>
                <w:spacing w:val="-8"/>
                <w:sz w:val="24"/>
                <w:szCs w:val="24"/>
                <w:highlight w:val="none"/>
              </w:rPr>
            </w:pPr>
          </w:p>
        </w:tc>
        <w:tc>
          <w:tcPr>
            <w:tcW w:w="2070" w:type="dxa"/>
            <w:vAlign w:val="top"/>
          </w:tcPr>
          <w:p w14:paraId="681374C5">
            <w:pPr>
              <w:spacing w:before="78" w:line="222" w:lineRule="auto"/>
              <w:ind w:left="183"/>
              <w:jc w:val="center"/>
              <w:rPr>
                <w:rFonts w:hint="eastAsia" w:ascii="宋体" w:hAnsi="宋体" w:eastAsia="宋体" w:cs="宋体"/>
                <w:spacing w:val="-8"/>
                <w:sz w:val="24"/>
                <w:szCs w:val="24"/>
                <w:highlight w:val="none"/>
              </w:rPr>
            </w:pPr>
          </w:p>
        </w:tc>
      </w:tr>
      <w:tr w14:paraId="1285D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71" w:type="dxa"/>
            <w:vAlign w:val="top"/>
          </w:tcPr>
          <w:p w14:paraId="37B7512F">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w:t>
            </w:r>
          </w:p>
        </w:tc>
        <w:tc>
          <w:tcPr>
            <w:tcW w:w="1697" w:type="dxa"/>
            <w:vAlign w:val="top"/>
          </w:tcPr>
          <w:p w14:paraId="70976244">
            <w:pPr>
              <w:spacing w:before="78" w:line="222" w:lineRule="auto"/>
              <w:ind w:left="183"/>
              <w:jc w:val="center"/>
              <w:rPr>
                <w:rFonts w:hint="eastAsia" w:ascii="宋体" w:hAnsi="宋体" w:eastAsia="宋体" w:cs="宋体"/>
                <w:spacing w:val="-8"/>
                <w:sz w:val="24"/>
                <w:szCs w:val="24"/>
                <w:highlight w:val="none"/>
              </w:rPr>
            </w:pPr>
          </w:p>
        </w:tc>
        <w:tc>
          <w:tcPr>
            <w:tcW w:w="3130" w:type="dxa"/>
            <w:vAlign w:val="top"/>
          </w:tcPr>
          <w:p w14:paraId="5B94F50E">
            <w:pPr>
              <w:spacing w:before="78" w:line="222" w:lineRule="auto"/>
              <w:ind w:left="183"/>
              <w:jc w:val="center"/>
              <w:rPr>
                <w:rFonts w:hint="eastAsia" w:ascii="宋体" w:hAnsi="宋体" w:eastAsia="宋体" w:cs="宋体"/>
                <w:spacing w:val="-8"/>
                <w:sz w:val="24"/>
                <w:szCs w:val="24"/>
                <w:highlight w:val="none"/>
              </w:rPr>
            </w:pPr>
          </w:p>
        </w:tc>
        <w:tc>
          <w:tcPr>
            <w:tcW w:w="1529" w:type="dxa"/>
            <w:vAlign w:val="top"/>
          </w:tcPr>
          <w:p w14:paraId="35AEA3D7">
            <w:pPr>
              <w:spacing w:before="78" w:line="222" w:lineRule="auto"/>
              <w:ind w:left="183"/>
              <w:jc w:val="center"/>
              <w:rPr>
                <w:rFonts w:hint="eastAsia" w:ascii="宋体" w:hAnsi="宋体" w:eastAsia="宋体" w:cs="宋体"/>
                <w:spacing w:val="-8"/>
                <w:sz w:val="24"/>
                <w:szCs w:val="24"/>
                <w:highlight w:val="none"/>
              </w:rPr>
            </w:pPr>
          </w:p>
        </w:tc>
        <w:tc>
          <w:tcPr>
            <w:tcW w:w="2070" w:type="dxa"/>
            <w:vAlign w:val="top"/>
          </w:tcPr>
          <w:p w14:paraId="7415355D">
            <w:pPr>
              <w:spacing w:before="78" w:line="222" w:lineRule="auto"/>
              <w:ind w:left="183"/>
              <w:jc w:val="center"/>
              <w:rPr>
                <w:rFonts w:hint="eastAsia" w:ascii="宋体" w:hAnsi="宋体" w:eastAsia="宋体" w:cs="宋体"/>
                <w:spacing w:val="-8"/>
                <w:sz w:val="24"/>
                <w:szCs w:val="24"/>
                <w:highlight w:val="none"/>
              </w:rPr>
            </w:pPr>
          </w:p>
        </w:tc>
      </w:tr>
    </w:tbl>
    <w:p w14:paraId="7AA130A9">
      <w:pPr>
        <w:pStyle w:val="5"/>
        <w:bidi w:val="0"/>
        <w:rPr>
          <w:rFonts w:hint="eastAsia" w:ascii="宋体" w:hAnsi="宋体" w:eastAsia="宋体" w:cs="宋体"/>
          <w:highlight w:val="none"/>
        </w:rPr>
      </w:pPr>
      <w:r>
        <w:rPr>
          <w:rFonts w:hint="eastAsia" w:ascii="宋体" w:hAnsi="宋体" w:eastAsia="宋体" w:cs="宋体"/>
          <w:highlight w:val="none"/>
        </w:rPr>
        <w:t>注：1、供应商须对商务条款逐条响应，并保证响应的真实性。</w:t>
      </w:r>
    </w:p>
    <w:p w14:paraId="532250F8">
      <w:pPr>
        <w:pStyle w:val="5"/>
        <w:bidi w:val="0"/>
        <w:rPr>
          <w:rFonts w:hint="eastAsia" w:ascii="宋体" w:hAnsi="宋体" w:eastAsia="宋体" w:cs="宋体"/>
          <w:highlight w:val="none"/>
        </w:rPr>
      </w:pPr>
      <w:r>
        <w:rPr>
          <w:rFonts w:hint="eastAsia" w:ascii="宋体" w:hAnsi="宋体" w:eastAsia="宋体" w:cs="宋体"/>
          <w:highlight w:val="none"/>
        </w:rPr>
        <w:t>2、供应商未按要求响应的，漏项的，自行承担被视为无效</w:t>
      </w:r>
      <w:r>
        <w:rPr>
          <w:rFonts w:hint="eastAsia" w:ascii="宋体" w:hAnsi="宋体" w:eastAsia="宋体" w:cs="宋体"/>
          <w:highlight w:val="none"/>
          <w:lang w:eastAsia="zh-CN"/>
        </w:rPr>
        <w:t>竞争性磋商响应文件</w:t>
      </w:r>
      <w:r>
        <w:rPr>
          <w:rFonts w:hint="eastAsia" w:ascii="宋体" w:hAnsi="宋体" w:eastAsia="宋体" w:cs="宋体"/>
          <w:highlight w:val="none"/>
        </w:rPr>
        <w:t>的风险。</w:t>
      </w:r>
    </w:p>
    <w:p w14:paraId="352532FE">
      <w:pPr>
        <w:pStyle w:val="5"/>
        <w:bidi w:val="0"/>
        <w:rPr>
          <w:rFonts w:hint="eastAsia" w:ascii="宋体" w:hAnsi="宋体" w:eastAsia="宋体" w:cs="宋体"/>
          <w:highlight w:val="none"/>
        </w:rPr>
      </w:pPr>
      <w:r>
        <w:rPr>
          <w:rFonts w:hint="eastAsia" w:ascii="宋体" w:hAnsi="宋体" w:eastAsia="宋体" w:cs="宋体"/>
          <w:highlight w:val="none"/>
        </w:rPr>
        <w:t>3、商务条款不允许负偏离。</w:t>
      </w:r>
    </w:p>
    <w:p w14:paraId="717C42B7">
      <w:pPr>
        <w:pStyle w:val="5"/>
        <w:bidi w:val="0"/>
        <w:rPr>
          <w:rFonts w:hint="eastAsia" w:ascii="宋体" w:hAnsi="宋体" w:eastAsia="宋体" w:cs="宋体"/>
          <w:highlight w:val="none"/>
        </w:rPr>
      </w:pPr>
      <w:r>
        <w:rPr>
          <w:rFonts w:hint="eastAsia" w:ascii="宋体" w:hAnsi="宋体" w:eastAsia="宋体" w:cs="宋体"/>
          <w:highlight w:val="none"/>
        </w:rPr>
        <w:t>4、若无偏离，不用在此表中列出，但必须提交空白表。</w:t>
      </w:r>
    </w:p>
    <w:p w14:paraId="79CC63B1">
      <w:pPr>
        <w:pStyle w:val="5"/>
        <w:bidi w:val="0"/>
        <w:rPr>
          <w:rFonts w:hint="eastAsia" w:ascii="宋体" w:hAnsi="宋体" w:eastAsia="宋体" w:cs="宋体"/>
          <w:highlight w:val="none"/>
        </w:rPr>
      </w:pPr>
    </w:p>
    <w:p w14:paraId="64597EF0">
      <w:pPr>
        <w:spacing w:line="303" w:lineRule="auto"/>
        <w:rPr>
          <w:rFonts w:hint="eastAsia" w:ascii="宋体" w:hAnsi="宋体" w:eastAsia="宋体" w:cs="宋体"/>
          <w:sz w:val="21"/>
          <w:highlight w:val="none"/>
        </w:rPr>
      </w:pPr>
    </w:p>
    <w:p w14:paraId="2DD586FE">
      <w:pPr>
        <w:spacing w:line="303" w:lineRule="auto"/>
        <w:rPr>
          <w:rFonts w:hint="eastAsia" w:ascii="宋体" w:hAnsi="宋体" w:eastAsia="宋体" w:cs="宋体"/>
          <w:sz w:val="21"/>
          <w:highlight w:val="none"/>
        </w:rPr>
      </w:pPr>
    </w:p>
    <w:p w14:paraId="60D7C440">
      <w:pPr>
        <w:pStyle w:val="5"/>
        <w:bidi w:val="0"/>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（加盖公章）</w:t>
      </w:r>
    </w:p>
    <w:p w14:paraId="481AADA4">
      <w:pPr>
        <w:pStyle w:val="5"/>
        <w:bidi w:val="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日</w:t>
      </w:r>
    </w:p>
    <w:p w14:paraId="74931123">
      <w:pPr>
        <w:spacing w:line="243" w:lineRule="auto"/>
        <w:rPr>
          <w:rFonts w:hint="eastAsia" w:ascii="宋体" w:hAnsi="宋体" w:eastAsia="宋体" w:cs="宋体"/>
          <w:sz w:val="28"/>
          <w:szCs w:val="28"/>
          <w:highlight w:val="none"/>
        </w:rPr>
        <w:sectPr>
          <w:headerReference r:id="rId42" w:type="default"/>
          <w:footerReference r:id="rId43" w:type="default"/>
          <w:pgSz w:w="11906" w:h="16839"/>
          <w:pgMar w:top="1134" w:right="1302" w:bottom="969" w:left="1301" w:header="862" w:footer="754" w:gutter="0"/>
          <w:pgNumType w:fmt="decimal"/>
          <w:cols w:space="720" w:num="1"/>
        </w:sectPr>
      </w:pPr>
    </w:p>
    <w:p w14:paraId="469F5BB2">
      <w:pPr>
        <w:pStyle w:val="5"/>
        <w:spacing w:before="100" w:line="228" w:lineRule="auto"/>
        <w:ind w:left="0" w:leftChars="0" w:firstLine="0" w:firstLineChars="0"/>
        <w:jc w:val="center"/>
        <w:rPr>
          <w:rFonts w:hint="eastAsia" w:ascii="宋体" w:hAnsi="宋体" w:eastAsia="宋体" w:cs="宋体"/>
          <w:sz w:val="32"/>
          <w:szCs w:val="32"/>
          <w:highlight w:val="none"/>
        </w:rPr>
      </w:pPr>
      <w:r>
        <w:rPr>
          <w:rFonts w:hint="eastAsia" w:ascii="宋体" w:hAnsi="宋体" w:eastAsia="宋体" w:cs="宋体"/>
          <w:b/>
          <w:bCs/>
          <w:spacing w:val="1"/>
          <w:sz w:val="32"/>
          <w:szCs w:val="32"/>
          <w:highlight w:val="none"/>
        </w:rPr>
        <w:t>第三部分</w:t>
      </w:r>
      <w:r>
        <w:rPr>
          <w:rFonts w:hint="eastAsia" w:ascii="宋体" w:hAnsi="宋体" w:eastAsia="宋体" w:cs="宋体"/>
          <w:spacing w:val="29"/>
          <w:sz w:val="32"/>
          <w:szCs w:val="32"/>
          <w:highlight w:val="none"/>
        </w:rPr>
        <w:t xml:space="preserve"> </w:t>
      </w:r>
      <w:r>
        <w:rPr>
          <w:rFonts w:hint="eastAsia" w:ascii="宋体" w:hAnsi="宋体" w:eastAsia="宋体" w:cs="宋体"/>
          <w:b/>
          <w:bCs/>
          <w:spacing w:val="1"/>
          <w:sz w:val="32"/>
          <w:szCs w:val="32"/>
          <w:highlight w:val="none"/>
          <w:lang w:val="en-US" w:eastAsia="zh-CN"/>
        </w:rPr>
        <w:t>服务</w:t>
      </w:r>
      <w:r>
        <w:rPr>
          <w:rFonts w:hint="eastAsia" w:ascii="宋体" w:hAnsi="宋体" w:eastAsia="宋体" w:cs="宋体"/>
          <w:b/>
          <w:bCs/>
          <w:spacing w:val="1"/>
          <w:sz w:val="32"/>
          <w:szCs w:val="32"/>
          <w:highlight w:val="none"/>
        </w:rPr>
        <w:t>方案</w:t>
      </w:r>
    </w:p>
    <w:p w14:paraId="6B8A52EA">
      <w:pPr>
        <w:spacing w:line="390" w:lineRule="auto"/>
        <w:rPr>
          <w:rFonts w:hint="eastAsia" w:ascii="宋体" w:hAnsi="宋体" w:eastAsia="宋体" w:cs="宋体"/>
          <w:sz w:val="21"/>
          <w:highlight w:val="none"/>
        </w:rPr>
      </w:pPr>
    </w:p>
    <w:p w14:paraId="247087EF">
      <w:pPr>
        <w:pStyle w:val="5"/>
        <w:keepNext w:val="0"/>
        <w:keepLines w:val="0"/>
        <w:pageBreakBefore w:val="0"/>
        <w:widowControl/>
        <w:kinsoku w:val="0"/>
        <w:wordWrap/>
        <w:overflowPunct/>
        <w:topLinePunct w:val="0"/>
        <w:autoSpaceDE w:val="0"/>
        <w:autoSpaceDN w:val="0"/>
        <w:bidi w:val="0"/>
        <w:adjustRightInd w:val="0"/>
        <w:snapToGrid w:val="0"/>
        <w:spacing w:before="97" w:line="360" w:lineRule="auto"/>
        <w:ind w:left="0" w:leftChars="0" w:firstLine="0" w:firstLineChars="0"/>
        <w:jc w:val="center"/>
        <w:textAlignment w:val="baseline"/>
        <w:rPr>
          <w:rFonts w:hint="eastAsia" w:ascii="宋体" w:hAnsi="宋体" w:eastAsia="宋体" w:cs="宋体"/>
          <w:b/>
          <w:bCs/>
          <w:spacing w:val="-4"/>
          <w:sz w:val="30"/>
          <w:szCs w:val="30"/>
          <w:highlight w:val="none"/>
          <w:lang w:val="en-US" w:eastAsia="zh-CN"/>
        </w:rPr>
      </w:pPr>
      <w:r>
        <w:rPr>
          <w:rFonts w:hint="eastAsia" w:ascii="宋体" w:hAnsi="宋体" w:eastAsia="宋体" w:cs="宋体"/>
          <w:b/>
          <w:bCs/>
          <w:spacing w:val="-4"/>
          <w:sz w:val="30"/>
          <w:szCs w:val="30"/>
          <w:highlight w:val="none"/>
          <w:lang w:val="en-US" w:eastAsia="zh-CN"/>
        </w:rPr>
        <w:t>一、供应商性质及其概况</w:t>
      </w:r>
    </w:p>
    <w:p w14:paraId="739503C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bCs/>
          <w:highlight w:val="none"/>
        </w:rPr>
      </w:pPr>
      <w:r>
        <w:rPr>
          <w:rFonts w:hint="eastAsia" w:ascii="宋体" w:hAnsi="宋体" w:eastAsia="宋体" w:cs="宋体"/>
          <w:b/>
          <w:bCs/>
          <w:highlight w:val="none"/>
        </w:rPr>
        <w:t>（一）供应商基本信息</w:t>
      </w:r>
    </w:p>
    <w:p w14:paraId="3E9A02A3">
      <w:pPr>
        <w:spacing w:line="29" w:lineRule="auto"/>
        <w:rPr>
          <w:rFonts w:hint="eastAsia" w:ascii="宋体" w:hAnsi="宋体" w:eastAsia="宋体" w:cs="宋体"/>
          <w:sz w:val="2"/>
          <w:highlight w:val="none"/>
        </w:rPr>
      </w:pPr>
    </w:p>
    <w:tbl>
      <w:tblPr>
        <w:tblStyle w:val="12"/>
        <w:tblW w:w="918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696"/>
        <w:gridCol w:w="1581"/>
        <w:gridCol w:w="1529"/>
        <w:gridCol w:w="1413"/>
        <w:gridCol w:w="1556"/>
        <w:gridCol w:w="1408"/>
      </w:tblGrid>
      <w:tr w14:paraId="278B6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5" w:hRule="atLeast"/>
        </w:trPr>
        <w:tc>
          <w:tcPr>
            <w:tcW w:w="9183" w:type="dxa"/>
            <w:gridSpan w:val="6"/>
            <w:tcBorders>
              <w:top w:val="single" w:color="000000" w:sz="10" w:space="0"/>
              <w:left w:val="single" w:color="000000" w:sz="10" w:space="0"/>
              <w:right w:val="single" w:color="000000" w:sz="10" w:space="0"/>
            </w:tcBorders>
            <w:shd w:val="clear" w:color="auto" w:fill="auto"/>
            <w:vAlign w:val="top"/>
          </w:tcPr>
          <w:p w14:paraId="60E04596">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单位基本情况</w:t>
            </w:r>
          </w:p>
        </w:tc>
      </w:tr>
      <w:tr w14:paraId="655D3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1" w:hRule="atLeast"/>
        </w:trPr>
        <w:tc>
          <w:tcPr>
            <w:tcW w:w="1696" w:type="dxa"/>
            <w:tcBorders>
              <w:left w:val="single" w:color="000000" w:sz="10" w:space="0"/>
            </w:tcBorders>
            <w:shd w:val="clear" w:color="auto" w:fill="auto"/>
            <w:vAlign w:val="top"/>
          </w:tcPr>
          <w:p w14:paraId="2D654C91">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供应商全称</w:t>
            </w:r>
          </w:p>
        </w:tc>
        <w:tc>
          <w:tcPr>
            <w:tcW w:w="7487" w:type="dxa"/>
            <w:gridSpan w:val="5"/>
            <w:tcBorders>
              <w:right w:val="single" w:color="000000" w:sz="10" w:space="0"/>
            </w:tcBorders>
            <w:shd w:val="clear" w:color="auto" w:fill="auto"/>
            <w:vAlign w:val="top"/>
          </w:tcPr>
          <w:p w14:paraId="3891EE49">
            <w:pPr>
              <w:spacing w:before="78" w:line="222" w:lineRule="auto"/>
              <w:ind w:left="183"/>
              <w:jc w:val="center"/>
              <w:rPr>
                <w:rFonts w:hint="eastAsia" w:ascii="宋体" w:hAnsi="宋体" w:eastAsia="宋体" w:cs="宋体"/>
                <w:spacing w:val="-8"/>
                <w:sz w:val="24"/>
                <w:szCs w:val="24"/>
                <w:highlight w:val="none"/>
              </w:rPr>
            </w:pPr>
          </w:p>
        </w:tc>
      </w:tr>
      <w:tr w14:paraId="443BD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1" w:hRule="atLeast"/>
        </w:trPr>
        <w:tc>
          <w:tcPr>
            <w:tcW w:w="1696" w:type="dxa"/>
            <w:tcBorders>
              <w:left w:val="single" w:color="000000" w:sz="10" w:space="0"/>
            </w:tcBorders>
            <w:shd w:val="clear" w:color="auto" w:fill="auto"/>
            <w:vAlign w:val="top"/>
          </w:tcPr>
          <w:p w14:paraId="3086DDAD">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注册地址</w:t>
            </w:r>
          </w:p>
        </w:tc>
        <w:tc>
          <w:tcPr>
            <w:tcW w:w="3110" w:type="dxa"/>
            <w:gridSpan w:val="2"/>
            <w:shd w:val="clear" w:color="auto" w:fill="auto"/>
            <w:vAlign w:val="top"/>
          </w:tcPr>
          <w:p w14:paraId="0BBF3940">
            <w:pPr>
              <w:spacing w:before="78" w:line="222" w:lineRule="auto"/>
              <w:ind w:left="183"/>
              <w:jc w:val="center"/>
              <w:rPr>
                <w:rFonts w:hint="eastAsia" w:ascii="宋体" w:hAnsi="宋体" w:eastAsia="宋体" w:cs="宋体"/>
                <w:spacing w:val="-8"/>
                <w:sz w:val="24"/>
                <w:szCs w:val="24"/>
                <w:highlight w:val="none"/>
              </w:rPr>
            </w:pPr>
          </w:p>
        </w:tc>
        <w:tc>
          <w:tcPr>
            <w:tcW w:w="1413" w:type="dxa"/>
            <w:shd w:val="clear" w:color="auto" w:fill="auto"/>
            <w:vAlign w:val="top"/>
          </w:tcPr>
          <w:p w14:paraId="387410E5">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成立时间</w:t>
            </w:r>
          </w:p>
        </w:tc>
        <w:tc>
          <w:tcPr>
            <w:tcW w:w="2964" w:type="dxa"/>
            <w:gridSpan w:val="2"/>
            <w:tcBorders>
              <w:right w:val="single" w:color="000000" w:sz="10" w:space="0"/>
            </w:tcBorders>
            <w:shd w:val="clear" w:color="auto" w:fill="auto"/>
            <w:vAlign w:val="top"/>
          </w:tcPr>
          <w:p w14:paraId="683D9ABF">
            <w:pPr>
              <w:spacing w:before="78" w:line="222" w:lineRule="auto"/>
              <w:ind w:left="183"/>
              <w:jc w:val="center"/>
              <w:rPr>
                <w:rFonts w:hint="eastAsia" w:ascii="宋体" w:hAnsi="宋体" w:eastAsia="宋体" w:cs="宋体"/>
                <w:spacing w:val="-8"/>
                <w:sz w:val="24"/>
                <w:szCs w:val="24"/>
                <w:highlight w:val="none"/>
              </w:rPr>
            </w:pPr>
          </w:p>
        </w:tc>
      </w:tr>
      <w:tr w14:paraId="06D17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696" w:type="dxa"/>
            <w:tcBorders>
              <w:left w:val="single" w:color="000000" w:sz="10" w:space="0"/>
            </w:tcBorders>
            <w:shd w:val="clear" w:color="auto" w:fill="auto"/>
            <w:vAlign w:val="top"/>
          </w:tcPr>
          <w:p w14:paraId="51B58F32">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登记证号</w:t>
            </w:r>
          </w:p>
        </w:tc>
        <w:tc>
          <w:tcPr>
            <w:tcW w:w="3110" w:type="dxa"/>
            <w:gridSpan w:val="2"/>
            <w:shd w:val="clear" w:color="auto" w:fill="auto"/>
            <w:vAlign w:val="top"/>
          </w:tcPr>
          <w:p w14:paraId="1EB97CFB">
            <w:pPr>
              <w:spacing w:before="78" w:line="222" w:lineRule="auto"/>
              <w:ind w:left="183"/>
              <w:jc w:val="center"/>
              <w:rPr>
                <w:rFonts w:hint="eastAsia" w:ascii="宋体" w:hAnsi="宋体" w:eastAsia="宋体" w:cs="宋体"/>
                <w:spacing w:val="-8"/>
                <w:sz w:val="24"/>
                <w:szCs w:val="24"/>
                <w:highlight w:val="none"/>
              </w:rPr>
            </w:pPr>
          </w:p>
        </w:tc>
        <w:tc>
          <w:tcPr>
            <w:tcW w:w="1413" w:type="dxa"/>
            <w:shd w:val="clear" w:color="auto" w:fill="auto"/>
            <w:vAlign w:val="top"/>
          </w:tcPr>
          <w:p w14:paraId="29BE90DC">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单位性质</w:t>
            </w:r>
          </w:p>
        </w:tc>
        <w:tc>
          <w:tcPr>
            <w:tcW w:w="2964" w:type="dxa"/>
            <w:gridSpan w:val="2"/>
            <w:tcBorders>
              <w:right w:val="single" w:color="000000" w:sz="10" w:space="0"/>
            </w:tcBorders>
            <w:shd w:val="clear" w:color="auto" w:fill="auto"/>
            <w:vAlign w:val="top"/>
          </w:tcPr>
          <w:p w14:paraId="52C7F442">
            <w:pPr>
              <w:spacing w:before="78" w:line="222" w:lineRule="auto"/>
              <w:ind w:left="183"/>
              <w:jc w:val="center"/>
              <w:rPr>
                <w:rFonts w:hint="eastAsia" w:ascii="宋体" w:hAnsi="宋体" w:eastAsia="宋体" w:cs="宋体"/>
                <w:spacing w:val="-8"/>
                <w:sz w:val="24"/>
                <w:szCs w:val="24"/>
                <w:highlight w:val="none"/>
              </w:rPr>
            </w:pPr>
          </w:p>
        </w:tc>
      </w:tr>
      <w:tr w14:paraId="01040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96" w:type="dxa"/>
            <w:tcBorders>
              <w:left w:val="single" w:color="000000" w:sz="10" w:space="0"/>
            </w:tcBorders>
            <w:shd w:val="clear" w:color="auto" w:fill="auto"/>
            <w:vAlign w:val="top"/>
          </w:tcPr>
          <w:p w14:paraId="74A5FCD6">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法定代表人</w:t>
            </w:r>
          </w:p>
          <w:p w14:paraId="42F4ACE2">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(主要负责人)</w:t>
            </w:r>
          </w:p>
        </w:tc>
        <w:tc>
          <w:tcPr>
            <w:tcW w:w="3110" w:type="dxa"/>
            <w:gridSpan w:val="2"/>
            <w:shd w:val="clear" w:color="auto" w:fill="auto"/>
            <w:vAlign w:val="top"/>
          </w:tcPr>
          <w:p w14:paraId="4ED81E61">
            <w:pPr>
              <w:spacing w:before="78" w:line="222" w:lineRule="auto"/>
              <w:ind w:left="183"/>
              <w:jc w:val="center"/>
              <w:rPr>
                <w:rFonts w:hint="eastAsia" w:ascii="宋体" w:hAnsi="宋体" w:eastAsia="宋体" w:cs="宋体"/>
                <w:spacing w:val="-8"/>
                <w:sz w:val="24"/>
                <w:szCs w:val="24"/>
                <w:highlight w:val="none"/>
              </w:rPr>
            </w:pPr>
          </w:p>
        </w:tc>
        <w:tc>
          <w:tcPr>
            <w:tcW w:w="1413" w:type="dxa"/>
            <w:shd w:val="clear" w:color="auto" w:fill="auto"/>
            <w:vAlign w:val="top"/>
          </w:tcPr>
          <w:p w14:paraId="711FF116">
            <w:pPr>
              <w:spacing w:before="78" w:line="222" w:lineRule="auto"/>
              <w:ind w:left="183"/>
              <w:jc w:val="center"/>
              <w:rPr>
                <w:rFonts w:hint="eastAsia" w:ascii="宋体" w:hAnsi="宋体" w:eastAsia="宋体" w:cs="宋体"/>
                <w:spacing w:val="-8"/>
                <w:sz w:val="24"/>
                <w:szCs w:val="24"/>
                <w:highlight w:val="none"/>
              </w:rPr>
            </w:pPr>
          </w:p>
          <w:p w14:paraId="4BC2D7F8">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所属行业</w:t>
            </w:r>
          </w:p>
        </w:tc>
        <w:tc>
          <w:tcPr>
            <w:tcW w:w="2964" w:type="dxa"/>
            <w:gridSpan w:val="2"/>
            <w:tcBorders>
              <w:right w:val="single" w:color="000000" w:sz="10" w:space="0"/>
            </w:tcBorders>
            <w:shd w:val="clear" w:color="auto" w:fill="auto"/>
            <w:vAlign w:val="top"/>
          </w:tcPr>
          <w:p w14:paraId="68789F39">
            <w:pPr>
              <w:spacing w:before="78" w:line="222" w:lineRule="auto"/>
              <w:ind w:left="183"/>
              <w:jc w:val="center"/>
              <w:rPr>
                <w:rFonts w:hint="eastAsia" w:ascii="宋体" w:hAnsi="宋体" w:eastAsia="宋体" w:cs="宋体"/>
                <w:spacing w:val="-8"/>
                <w:sz w:val="24"/>
                <w:szCs w:val="24"/>
                <w:highlight w:val="none"/>
              </w:rPr>
            </w:pPr>
          </w:p>
        </w:tc>
      </w:tr>
      <w:tr w14:paraId="3A7E0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96" w:type="dxa"/>
            <w:tcBorders>
              <w:left w:val="single" w:color="000000" w:sz="10" w:space="0"/>
            </w:tcBorders>
            <w:shd w:val="clear" w:color="auto" w:fill="auto"/>
            <w:vAlign w:val="top"/>
          </w:tcPr>
          <w:p w14:paraId="2B47AF10">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上年度</w:t>
            </w:r>
          </w:p>
          <w:p w14:paraId="7F54AB2F">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营业收入</w:t>
            </w:r>
          </w:p>
        </w:tc>
        <w:tc>
          <w:tcPr>
            <w:tcW w:w="3110" w:type="dxa"/>
            <w:gridSpan w:val="2"/>
            <w:shd w:val="clear" w:color="auto" w:fill="auto"/>
            <w:vAlign w:val="top"/>
          </w:tcPr>
          <w:p w14:paraId="606D6A31">
            <w:pPr>
              <w:spacing w:before="78" w:line="222" w:lineRule="auto"/>
              <w:ind w:left="183"/>
              <w:jc w:val="center"/>
              <w:rPr>
                <w:rFonts w:hint="eastAsia" w:ascii="宋体" w:hAnsi="宋体" w:eastAsia="宋体" w:cs="宋体"/>
                <w:spacing w:val="-8"/>
                <w:sz w:val="24"/>
                <w:szCs w:val="24"/>
                <w:highlight w:val="none"/>
              </w:rPr>
            </w:pPr>
          </w:p>
        </w:tc>
        <w:tc>
          <w:tcPr>
            <w:tcW w:w="1413" w:type="dxa"/>
            <w:shd w:val="clear" w:color="auto" w:fill="auto"/>
            <w:vAlign w:val="top"/>
          </w:tcPr>
          <w:p w14:paraId="10E0C991">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资产总额</w:t>
            </w:r>
          </w:p>
        </w:tc>
        <w:tc>
          <w:tcPr>
            <w:tcW w:w="2964" w:type="dxa"/>
            <w:gridSpan w:val="2"/>
            <w:tcBorders>
              <w:right w:val="single" w:color="000000" w:sz="10" w:space="0"/>
            </w:tcBorders>
            <w:shd w:val="clear" w:color="auto" w:fill="auto"/>
            <w:vAlign w:val="top"/>
          </w:tcPr>
          <w:p w14:paraId="7556B912">
            <w:pPr>
              <w:spacing w:before="78" w:line="222" w:lineRule="auto"/>
              <w:ind w:left="183"/>
              <w:jc w:val="center"/>
              <w:rPr>
                <w:rFonts w:hint="eastAsia" w:ascii="宋体" w:hAnsi="宋体" w:eastAsia="宋体" w:cs="宋体"/>
                <w:spacing w:val="-8"/>
                <w:sz w:val="24"/>
                <w:szCs w:val="24"/>
                <w:highlight w:val="none"/>
              </w:rPr>
            </w:pPr>
          </w:p>
        </w:tc>
      </w:tr>
      <w:tr w14:paraId="0F6BE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3" w:hRule="atLeast"/>
        </w:trPr>
        <w:tc>
          <w:tcPr>
            <w:tcW w:w="1696" w:type="dxa"/>
            <w:tcBorders>
              <w:left w:val="single" w:color="000000" w:sz="10" w:space="0"/>
            </w:tcBorders>
            <w:shd w:val="clear" w:color="auto" w:fill="auto"/>
            <w:vAlign w:val="top"/>
          </w:tcPr>
          <w:p w14:paraId="2FF0CE6D">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所获得资质及等级(国家行政部门颁发)</w:t>
            </w:r>
          </w:p>
        </w:tc>
        <w:tc>
          <w:tcPr>
            <w:tcW w:w="7487" w:type="dxa"/>
            <w:gridSpan w:val="5"/>
            <w:tcBorders>
              <w:right w:val="single" w:color="000000" w:sz="10" w:space="0"/>
            </w:tcBorders>
            <w:shd w:val="clear" w:color="auto" w:fill="auto"/>
            <w:vAlign w:val="top"/>
          </w:tcPr>
          <w:p w14:paraId="6A23894E">
            <w:pPr>
              <w:spacing w:before="78" w:line="222" w:lineRule="auto"/>
              <w:ind w:left="183"/>
              <w:jc w:val="center"/>
              <w:rPr>
                <w:rFonts w:hint="eastAsia" w:ascii="宋体" w:hAnsi="宋体" w:eastAsia="宋体" w:cs="宋体"/>
                <w:spacing w:val="-8"/>
                <w:sz w:val="24"/>
                <w:szCs w:val="24"/>
                <w:highlight w:val="none"/>
              </w:rPr>
            </w:pPr>
          </w:p>
        </w:tc>
      </w:tr>
      <w:tr w14:paraId="4AFBD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8" w:hRule="atLeast"/>
        </w:trPr>
        <w:tc>
          <w:tcPr>
            <w:tcW w:w="1696" w:type="dxa"/>
            <w:tcBorders>
              <w:left w:val="single" w:color="000000" w:sz="10" w:space="0"/>
            </w:tcBorders>
            <w:shd w:val="clear" w:color="auto" w:fill="auto"/>
            <w:vAlign w:val="top"/>
          </w:tcPr>
          <w:p w14:paraId="0BCAE9C9">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经营范围</w:t>
            </w:r>
          </w:p>
        </w:tc>
        <w:tc>
          <w:tcPr>
            <w:tcW w:w="7487" w:type="dxa"/>
            <w:gridSpan w:val="5"/>
            <w:tcBorders>
              <w:right w:val="single" w:color="000000" w:sz="10" w:space="0"/>
            </w:tcBorders>
            <w:shd w:val="clear" w:color="auto" w:fill="auto"/>
            <w:vAlign w:val="top"/>
          </w:tcPr>
          <w:p w14:paraId="2FB26687">
            <w:pPr>
              <w:spacing w:before="78" w:line="222" w:lineRule="auto"/>
              <w:ind w:left="183"/>
              <w:jc w:val="center"/>
              <w:rPr>
                <w:rFonts w:hint="eastAsia" w:ascii="宋体" w:hAnsi="宋体" w:eastAsia="宋体" w:cs="宋体"/>
                <w:spacing w:val="-8"/>
                <w:sz w:val="24"/>
                <w:szCs w:val="24"/>
                <w:highlight w:val="none"/>
              </w:rPr>
            </w:pPr>
          </w:p>
        </w:tc>
      </w:tr>
      <w:tr w14:paraId="2C60B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trPr>
        <w:tc>
          <w:tcPr>
            <w:tcW w:w="9183" w:type="dxa"/>
            <w:gridSpan w:val="6"/>
            <w:tcBorders>
              <w:left w:val="single" w:color="000000" w:sz="10" w:space="0"/>
              <w:right w:val="single" w:color="000000" w:sz="10" w:space="0"/>
            </w:tcBorders>
            <w:shd w:val="clear" w:color="auto" w:fill="auto"/>
            <w:vAlign w:val="top"/>
          </w:tcPr>
          <w:p w14:paraId="4E25ABFA">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人员情况</w:t>
            </w:r>
          </w:p>
        </w:tc>
      </w:tr>
      <w:tr w14:paraId="6113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3" w:hRule="atLeast"/>
        </w:trPr>
        <w:tc>
          <w:tcPr>
            <w:tcW w:w="1696" w:type="dxa"/>
            <w:vMerge w:val="restart"/>
            <w:tcBorders>
              <w:left w:val="single" w:color="000000" w:sz="10" w:space="0"/>
              <w:bottom w:val="nil"/>
            </w:tcBorders>
            <w:shd w:val="clear" w:color="auto" w:fill="auto"/>
            <w:vAlign w:val="top"/>
          </w:tcPr>
          <w:p w14:paraId="59E63064">
            <w:pPr>
              <w:spacing w:before="78" w:line="222" w:lineRule="auto"/>
              <w:ind w:left="183"/>
              <w:jc w:val="center"/>
              <w:rPr>
                <w:rFonts w:hint="eastAsia" w:ascii="宋体" w:hAnsi="宋体" w:eastAsia="宋体" w:cs="宋体"/>
                <w:spacing w:val="-8"/>
                <w:sz w:val="24"/>
                <w:szCs w:val="24"/>
                <w:highlight w:val="none"/>
              </w:rPr>
            </w:pPr>
          </w:p>
          <w:p w14:paraId="7BE5815B">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从业人员总数</w:t>
            </w:r>
          </w:p>
        </w:tc>
        <w:tc>
          <w:tcPr>
            <w:tcW w:w="1581" w:type="dxa"/>
            <w:vMerge w:val="restart"/>
            <w:tcBorders>
              <w:bottom w:val="nil"/>
            </w:tcBorders>
            <w:shd w:val="clear" w:color="auto" w:fill="auto"/>
            <w:vAlign w:val="top"/>
          </w:tcPr>
          <w:p w14:paraId="27265D76">
            <w:pPr>
              <w:spacing w:before="78" w:line="222" w:lineRule="auto"/>
              <w:ind w:left="183"/>
              <w:jc w:val="center"/>
              <w:rPr>
                <w:rFonts w:hint="eastAsia" w:ascii="宋体" w:hAnsi="宋体" w:eastAsia="宋体" w:cs="宋体"/>
                <w:spacing w:val="-8"/>
                <w:sz w:val="24"/>
                <w:szCs w:val="24"/>
                <w:highlight w:val="none"/>
              </w:rPr>
            </w:pPr>
          </w:p>
        </w:tc>
        <w:tc>
          <w:tcPr>
            <w:tcW w:w="1529" w:type="dxa"/>
            <w:shd w:val="clear" w:color="auto" w:fill="auto"/>
            <w:vAlign w:val="top"/>
          </w:tcPr>
          <w:p w14:paraId="3B1094EC">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管理人员数量</w:t>
            </w:r>
          </w:p>
        </w:tc>
        <w:tc>
          <w:tcPr>
            <w:tcW w:w="1413" w:type="dxa"/>
            <w:shd w:val="clear" w:color="auto" w:fill="auto"/>
            <w:vAlign w:val="top"/>
          </w:tcPr>
          <w:p w14:paraId="24AA9845">
            <w:pPr>
              <w:spacing w:before="78" w:line="222" w:lineRule="auto"/>
              <w:ind w:left="183"/>
              <w:jc w:val="center"/>
              <w:rPr>
                <w:rFonts w:hint="eastAsia" w:ascii="宋体" w:hAnsi="宋体" w:eastAsia="宋体" w:cs="宋体"/>
                <w:spacing w:val="-8"/>
                <w:sz w:val="24"/>
                <w:szCs w:val="24"/>
                <w:highlight w:val="none"/>
              </w:rPr>
            </w:pPr>
          </w:p>
        </w:tc>
        <w:tc>
          <w:tcPr>
            <w:tcW w:w="1556" w:type="dxa"/>
            <w:shd w:val="clear" w:color="auto" w:fill="auto"/>
            <w:vAlign w:val="top"/>
          </w:tcPr>
          <w:p w14:paraId="7E5CBE90">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专业技术人员数量</w:t>
            </w:r>
          </w:p>
        </w:tc>
        <w:tc>
          <w:tcPr>
            <w:tcW w:w="1408" w:type="dxa"/>
            <w:tcBorders>
              <w:right w:val="single" w:color="000000" w:sz="10" w:space="0"/>
            </w:tcBorders>
            <w:shd w:val="clear" w:color="auto" w:fill="auto"/>
            <w:vAlign w:val="top"/>
          </w:tcPr>
          <w:p w14:paraId="7B9FA656">
            <w:pPr>
              <w:spacing w:before="78" w:line="222" w:lineRule="auto"/>
              <w:ind w:left="183"/>
              <w:jc w:val="center"/>
              <w:rPr>
                <w:rFonts w:hint="eastAsia" w:ascii="宋体" w:hAnsi="宋体" w:eastAsia="宋体" w:cs="宋体"/>
                <w:spacing w:val="-8"/>
                <w:sz w:val="24"/>
                <w:szCs w:val="24"/>
                <w:highlight w:val="none"/>
              </w:rPr>
            </w:pPr>
          </w:p>
        </w:tc>
      </w:tr>
      <w:tr w14:paraId="7C000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3" w:hRule="atLeast"/>
        </w:trPr>
        <w:tc>
          <w:tcPr>
            <w:tcW w:w="1696" w:type="dxa"/>
            <w:vMerge w:val="continue"/>
            <w:tcBorders>
              <w:top w:val="nil"/>
              <w:left w:val="single" w:color="000000" w:sz="10" w:space="0"/>
            </w:tcBorders>
            <w:shd w:val="clear" w:color="auto" w:fill="auto"/>
            <w:vAlign w:val="top"/>
          </w:tcPr>
          <w:p w14:paraId="368A0EAD">
            <w:pPr>
              <w:spacing w:before="78" w:line="222" w:lineRule="auto"/>
              <w:ind w:left="183"/>
              <w:jc w:val="center"/>
              <w:rPr>
                <w:rFonts w:hint="eastAsia" w:ascii="宋体" w:hAnsi="宋体" w:eastAsia="宋体" w:cs="宋体"/>
                <w:spacing w:val="-8"/>
                <w:sz w:val="24"/>
                <w:szCs w:val="24"/>
                <w:highlight w:val="none"/>
              </w:rPr>
            </w:pPr>
          </w:p>
        </w:tc>
        <w:tc>
          <w:tcPr>
            <w:tcW w:w="1581" w:type="dxa"/>
            <w:vMerge w:val="continue"/>
            <w:tcBorders>
              <w:top w:val="nil"/>
            </w:tcBorders>
            <w:shd w:val="clear" w:color="auto" w:fill="auto"/>
            <w:vAlign w:val="top"/>
          </w:tcPr>
          <w:p w14:paraId="07FAABC8">
            <w:pPr>
              <w:spacing w:before="78" w:line="222" w:lineRule="auto"/>
              <w:ind w:left="183"/>
              <w:jc w:val="center"/>
              <w:rPr>
                <w:rFonts w:hint="eastAsia" w:ascii="宋体" w:hAnsi="宋体" w:eastAsia="宋体" w:cs="宋体"/>
                <w:spacing w:val="-8"/>
                <w:sz w:val="24"/>
                <w:szCs w:val="24"/>
                <w:highlight w:val="none"/>
              </w:rPr>
            </w:pPr>
          </w:p>
        </w:tc>
        <w:tc>
          <w:tcPr>
            <w:tcW w:w="1529" w:type="dxa"/>
            <w:shd w:val="clear" w:color="auto" w:fill="auto"/>
            <w:vAlign w:val="top"/>
          </w:tcPr>
          <w:p w14:paraId="6306AE57">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残疾人人数</w:t>
            </w:r>
          </w:p>
        </w:tc>
        <w:tc>
          <w:tcPr>
            <w:tcW w:w="1413" w:type="dxa"/>
            <w:shd w:val="clear" w:color="auto" w:fill="auto"/>
            <w:vAlign w:val="top"/>
          </w:tcPr>
          <w:p w14:paraId="4C8EC6E4">
            <w:pPr>
              <w:spacing w:before="78" w:line="222" w:lineRule="auto"/>
              <w:ind w:left="183"/>
              <w:jc w:val="center"/>
              <w:rPr>
                <w:rFonts w:hint="eastAsia" w:ascii="宋体" w:hAnsi="宋体" w:eastAsia="宋体" w:cs="宋体"/>
                <w:spacing w:val="-8"/>
                <w:sz w:val="24"/>
                <w:szCs w:val="24"/>
                <w:highlight w:val="none"/>
              </w:rPr>
            </w:pPr>
          </w:p>
        </w:tc>
        <w:tc>
          <w:tcPr>
            <w:tcW w:w="1556" w:type="dxa"/>
            <w:shd w:val="clear" w:color="auto" w:fill="auto"/>
            <w:vAlign w:val="top"/>
          </w:tcPr>
          <w:p w14:paraId="01BC675D">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少数民族人数</w:t>
            </w:r>
          </w:p>
        </w:tc>
        <w:tc>
          <w:tcPr>
            <w:tcW w:w="1408" w:type="dxa"/>
            <w:tcBorders>
              <w:right w:val="single" w:color="000000" w:sz="10" w:space="0"/>
            </w:tcBorders>
            <w:shd w:val="clear" w:color="auto" w:fill="auto"/>
            <w:vAlign w:val="top"/>
          </w:tcPr>
          <w:p w14:paraId="00689931">
            <w:pPr>
              <w:spacing w:before="78" w:line="222" w:lineRule="auto"/>
              <w:ind w:left="183"/>
              <w:jc w:val="center"/>
              <w:rPr>
                <w:rFonts w:hint="eastAsia" w:ascii="宋体" w:hAnsi="宋体" w:eastAsia="宋体" w:cs="宋体"/>
                <w:spacing w:val="-8"/>
                <w:sz w:val="24"/>
                <w:szCs w:val="24"/>
                <w:highlight w:val="none"/>
              </w:rPr>
            </w:pPr>
          </w:p>
        </w:tc>
      </w:tr>
      <w:tr w14:paraId="2B8C1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83" w:type="dxa"/>
            <w:gridSpan w:val="6"/>
            <w:tcBorders>
              <w:left w:val="single" w:color="000000" w:sz="10" w:space="0"/>
              <w:right w:val="single" w:color="000000" w:sz="10" w:space="0"/>
            </w:tcBorders>
            <w:shd w:val="clear" w:color="auto" w:fill="auto"/>
            <w:vAlign w:val="center"/>
          </w:tcPr>
          <w:p w14:paraId="4E9F3949">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存在直接控股、管理关系的相关供应商</w:t>
            </w:r>
          </w:p>
        </w:tc>
      </w:tr>
      <w:tr w14:paraId="33922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trPr>
        <w:tc>
          <w:tcPr>
            <w:tcW w:w="1696" w:type="dxa"/>
            <w:tcBorders>
              <w:left w:val="single" w:color="000000" w:sz="10" w:space="0"/>
            </w:tcBorders>
            <w:shd w:val="clear" w:color="auto" w:fill="auto"/>
            <w:vAlign w:val="center"/>
          </w:tcPr>
          <w:p w14:paraId="077EA754">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关系</w:t>
            </w:r>
          </w:p>
        </w:tc>
        <w:tc>
          <w:tcPr>
            <w:tcW w:w="7487" w:type="dxa"/>
            <w:gridSpan w:val="5"/>
            <w:tcBorders>
              <w:right w:val="single" w:color="000000" w:sz="10" w:space="0"/>
            </w:tcBorders>
            <w:shd w:val="clear" w:color="auto" w:fill="auto"/>
            <w:vAlign w:val="center"/>
          </w:tcPr>
          <w:p w14:paraId="54F7F97B">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供应商名称</w:t>
            </w:r>
          </w:p>
        </w:tc>
      </w:tr>
      <w:tr w14:paraId="1BA4F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trPr>
        <w:tc>
          <w:tcPr>
            <w:tcW w:w="1696" w:type="dxa"/>
            <w:tcBorders>
              <w:left w:val="single" w:color="000000" w:sz="10" w:space="0"/>
            </w:tcBorders>
            <w:shd w:val="clear" w:color="auto" w:fill="auto"/>
            <w:vAlign w:val="center"/>
          </w:tcPr>
          <w:p w14:paraId="0E835B1A">
            <w:pPr>
              <w:spacing w:before="78" w:line="222" w:lineRule="auto"/>
              <w:ind w:left="183"/>
              <w:jc w:val="center"/>
              <w:rPr>
                <w:rFonts w:hint="eastAsia" w:ascii="宋体" w:hAnsi="宋体" w:eastAsia="宋体" w:cs="宋体"/>
                <w:spacing w:val="-8"/>
                <w:sz w:val="24"/>
                <w:szCs w:val="24"/>
                <w:highlight w:val="none"/>
              </w:rPr>
            </w:pPr>
          </w:p>
        </w:tc>
        <w:tc>
          <w:tcPr>
            <w:tcW w:w="7487" w:type="dxa"/>
            <w:gridSpan w:val="5"/>
            <w:tcBorders>
              <w:right w:val="single" w:color="000000" w:sz="10" w:space="0"/>
            </w:tcBorders>
            <w:shd w:val="clear" w:color="auto" w:fill="auto"/>
            <w:vAlign w:val="center"/>
          </w:tcPr>
          <w:p w14:paraId="3A9AD265">
            <w:pPr>
              <w:spacing w:before="78" w:line="222" w:lineRule="auto"/>
              <w:ind w:left="183"/>
              <w:jc w:val="center"/>
              <w:rPr>
                <w:rFonts w:hint="eastAsia" w:ascii="宋体" w:hAnsi="宋体" w:eastAsia="宋体" w:cs="宋体"/>
                <w:spacing w:val="-8"/>
                <w:sz w:val="24"/>
                <w:szCs w:val="24"/>
                <w:highlight w:val="none"/>
              </w:rPr>
            </w:pPr>
          </w:p>
        </w:tc>
      </w:tr>
      <w:tr w14:paraId="3DC3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trPr>
        <w:tc>
          <w:tcPr>
            <w:tcW w:w="1696" w:type="dxa"/>
            <w:tcBorders>
              <w:left w:val="single" w:color="000000" w:sz="10" w:space="0"/>
            </w:tcBorders>
            <w:shd w:val="clear" w:color="auto" w:fill="auto"/>
            <w:vAlign w:val="center"/>
          </w:tcPr>
          <w:p w14:paraId="039A2018">
            <w:pPr>
              <w:spacing w:before="78" w:line="222" w:lineRule="auto"/>
              <w:ind w:left="183"/>
              <w:jc w:val="center"/>
              <w:rPr>
                <w:rFonts w:hint="eastAsia" w:ascii="宋体" w:hAnsi="宋体" w:eastAsia="宋体" w:cs="宋体"/>
                <w:spacing w:val="-8"/>
                <w:sz w:val="24"/>
                <w:szCs w:val="24"/>
                <w:highlight w:val="none"/>
              </w:rPr>
            </w:pPr>
          </w:p>
        </w:tc>
        <w:tc>
          <w:tcPr>
            <w:tcW w:w="7487" w:type="dxa"/>
            <w:gridSpan w:val="5"/>
            <w:tcBorders>
              <w:right w:val="single" w:color="000000" w:sz="10" w:space="0"/>
            </w:tcBorders>
            <w:shd w:val="clear" w:color="auto" w:fill="auto"/>
            <w:vAlign w:val="center"/>
          </w:tcPr>
          <w:p w14:paraId="7257B839">
            <w:pPr>
              <w:spacing w:before="78" w:line="222" w:lineRule="auto"/>
              <w:ind w:left="183"/>
              <w:jc w:val="center"/>
              <w:rPr>
                <w:rFonts w:hint="eastAsia" w:ascii="宋体" w:hAnsi="宋体" w:eastAsia="宋体" w:cs="宋体"/>
                <w:spacing w:val="-8"/>
                <w:sz w:val="24"/>
                <w:szCs w:val="24"/>
                <w:highlight w:val="none"/>
              </w:rPr>
            </w:pPr>
          </w:p>
        </w:tc>
      </w:tr>
      <w:tr w14:paraId="20D90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8" w:hRule="atLeast"/>
        </w:trPr>
        <w:tc>
          <w:tcPr>
            <w:tcW w:w="1696" w:type="dxa"/>
            <w:tcBorders>
              <w:left w:val="single" w:color="000000" w:sz="10" w:space="0"/>
            </w:tcBorders>
            <w:shd w:val="clear" w:color="auto" w:fill="auto"/>
            <w:vAlign w:val="center"/>
          </w:tcPr>
          <w:p w14:paraId="662F65D5">
            <w:pPr>
              <w:spacing w:before="78" w:line="222" w:lineRule="auto"/>
              <w:ind w:left="183"/>
              <w:jc w:val="center"/>
              <w:rPr>
                <w:rFonts w:hint="eastAsia" w:ascii="宋体" w:hAnsi="宋体" w:eastAsia="宋体" w:cs="宋体"/>
                <w:spacing w:val="-8"/>
                <w:sz w:val="24"/>
                <w:szCs w:val="24"/>
                <w:highlight w:val="none"/>
              </w:rPr>
            </w:pPr>
          </w:p>
        </w:tc>
        <w:tc>
          <w:tcPr>
            <w:tcW w:w="7487" w:type="dxa"/>
            <w:gridSpan w:val="5"/>
            <w:tcBorders>
              <w:right w:val="single" w:color="000000" w:sz="10" w:space="0"/>
            </w:tcBorders>
            <w:shd w:val="clear" w:color="auto" w:fill="auto"/>
            <w:vAlign w:val="center"/>
          </w:tcPr>
          <w:p w14:paraId="406D5806">
            <w:pPr>
              <w:spacing w:before="78" w:line="222" w:lineRule="auto"/>
              <w:ind w:left="183"/>
              <w:jc w:val="center"/>
              <w:rPr>
                <w:rFonts w:hint="eastAsia" w:ascii="宋体" w:hAnsi="宋体" w:eastAsia="宋体" w:cs="宋体"/>
                <w:spacing w:val="-8"/>
                <w:sz w:val="24"/>
                <w:szCs w:val="24"/>
                <w:highlight w:val="none"/>
              </w:rPr>
            </w:pPr>
          </w:p>
        </w:tc>
      </w:tr>
      <w:tr w14:paraId="0E5E5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18" w:hRule="atLeast"/>
        </w:trPr>
        <w:tc>
          <w:tcPr>
            <w:tcW w:w="1696" w:type="dxa"/>
            <w:tcBorders>
              <w:left w:val="single" w:color="000000" w:sz="10" w:space="0"/>
              <w:bottom w:val="single" w:color="000000" w:sz="10" w:space="0"/>
            </w:tcBorders>
            <w:shd w:val="clear" w:color="auto" w:fill="auto"/>
            <w:vAlign w:val="center"/>
          </w:tcPr>
          <w:p w14:paraId="37D535D5">
            <w:pPr>
              <w:spacing w:before="78" w:line="222" w:lineRule="auto"/>
              <w:ind w:left="183"/>
              <w:jc w:val="center"/>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说明</w:t>
            </w:r>
          </w:p>
        </w:tc>
        <w:tc>
          <w:tcPr>
            <w:tcW w:w="7487" w:type="dxa"/>
            <w:gridSpan w:val="5"/>
            <w:tcBorders>
              <w:bottom w:val="single" w:color="000000" w:sz="10" w:space="0"/>
              <w:right w:val="single" w:color="000000" w:sz="10" w:space="0"/>
            </w:tcBorders>
            <w:shd w:val="clear" w:color="auto" w:fill="auto"/>
            <w:vAlign w:val="top"/>
          </w:tcPr>
          <w:p w14:paraId="781E7696">
            <w:pPr>
              <w:spacing w:before="78" w:line="222" w:lineRule="auto"/>
              <w:ind w:left="183"/>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1、登记证号指营业执照/事业单位法人证书/专业服务机构执业许可 证/民办非企业单位登记证书中的登记号。</w:t>
            </w:r>
          </w:p>
          <w:p w14:paraId="21D07852">
            <w:pPr>
              <w:spacing w:before="78" w:line="222" w:lineRule="auto"/>
              <w:ind w:left="183"/>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2、成立时间至提交响应文件截止时间不足一年的可不提供“上年度营业收入”。</w:t>
            </w:r>
          </w:p>
          <w:p w14:paraId="6D3EE491">
            <w:pPr>
              <w:spacing w:before="78" w:line="222" w:lineRule="auto"/>
              <w:ind w:left="183"/>
              <w:jc w:val="left"/>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3、供应商应如实填写上述信息。磋商文件允许联合体响应的，联合 体各方均应提供。</w:t>
            </w:r>
          </w:p>
        </w:tc>
      </w:tr>
    </w:tbl>
    <w:p w14:paraId="53C21955">
      <w:pPr>
        <w:rPr>
          <w:rFonts w:hint="eastAsia" w:ascii="宋体" w:hAnsi="宋体" w:eastAsia="宋体" w:cs="宋体"/>
          <w:sz w:val="21"/>
          <w:highlight w:val="none"/>
        </w:rPr>
      </w:pPr>
    </w:p>
    <w:p w14:paraId="2BB35209">
      <w:pPr>
        <w:rPr>
          <w:rFonts w:hint="eastAsia" w:ascii="宋体" w:hAnsi="宋体" w:eastAsia="宋体" w:cs="宋体"/>
          <w:sz w:val="21"/>
          <w:szCs w:val="21"/>
          <w:highlight w:val="none"/>
        </w:rPr>
        <w:sectPr>
          <w:headerReference r:id="rId44" w:type="default"/>
          <w:footerReference r:id="rId45" w:type="default"/>
          <w:pgSz w:w="11906" w:h="16839"/>
          <w:pgMar w:top="1134" w:right="1348" w:bottom="969" w:left="1348" w:header="862" w:footer="754" w:gutter="0"/>
          <w:pgNumType w:fmt="decimal"/>
          <w:cols w:space="720" w:num="1"/>
        </w:sectPr>
      </w:pPr>
    </w:p>
    <w:p w14:paraId="5D091F6A">
      <w:pPr>
        <w:spacing w:line="348" w:lineRule="auto"/>
        <w:rPr>
          <w:rFonts w:hint="eastAsia" w:ascii="宋体" w:hAnsi="宋体" w:eastAsia="宋体" w:cs="宋体"/>
          <w:sz w:val="21"/>
          <w:highlight w:val="none"/>
        </w:rPr>
      </w:pPr>
    </w:p>
    <w:p w14:paraId="008DD56F">
      <w:pPr>
        <w:pStyle w:val="5"/>
        <w:bidi w:val="0"/>
        <w:ind w:left="0" w:leftChars="0" w:firstLine="0" w:firstLineChars="0"/>
        <w:jc w:val="center"/>
        <w:rPr>
          <w:rFonts w:hint="eastAsia" w:ascii="宋体" w:hAnsi="宋体" w:eastAsia="宋体" w:cs="宋体"/>
          <w:b/>
          <w:bCs/>
          <w:highlight w:val="none"/>
        </w:rPr>
      </w:pPr>
      <w:r>
        <w:rPr>
          <w:rFonts w:hint="eastAsia" w:ascii="宋体" w:hAnsi="宋体" w:eastAsia="宋体" w:cs="宋体"/>
          <w:b/>
          <w:bCs/>
          <w:highlight w:val="none"/>
        </w:rPr>
        <w:t>（二）供应商性质</w:t>
      </w:r>
    </w:p>
    <w:p w14:paraId="6A957586">
      <w:pPr>
        <w:pStyle w:val="5"/>
        <w:bidi w:val="0"/>
        <w:rPr>
          <w:rFonts w:hint="eastAsia" w:ascii="宋体" w:hAnsi="宋体" w:eastAsia="宋体" w:cs="宋体"/>
          <w:highlight w:val="none"/>
        </w:rPr>
      </w:pPr>
      <w:r>
        <w:rPr>
          <w:rFonts w:hint="eastAsia" w:ascii="宋体" w:hAnsi="宋体" w:eastAsia="宋体" w:cs="宋体"/>
          <w:highlight w:val="none"/>
        </w:rPr>
        <w:t>中小微企业、残疾人福利性单位响应时，应提供声明函（按下文给定格式）。未提供或未按给定格式提供</w:t>
      </w:r>
      <w:r>
        <w:rPr>
          <w:rFonts w:hint="eastAsia" w:ascii="宋体" w:hAnsi="宋体" w:eastAsia="宋体" w:cs="宋体"/>
          <w:b/>
          <w:bCs/>
          <w:highlight w:val="none"/>
        </w:rPr>
        <w:t>声明函</w:t>
      </w:r>
      <w:r>
        <w:rPr>
          <w:rFonts w:hint="eastAsia" w:ascii="宋体" w:hAnsi="宋体" w:eastAsia="宋体" w:cs="宋体"/>
          <w:highlight w:val="none"/>
        </w:rPr>
        <w:t>的，其响应产品中的小型、微型企业产品、残疾人福利性单位生产的产品将不能享受磋商文件规定的价格扣除，但不影响响应文件的有效性。</w:t>
      </w:r>
    </w:p>
    <w:p w14:paraId="3046FC84">
      <w:pPr>
        <w:pStyle w:val="5"/>
        <w:bidi w:val="0"/>
        <w:rPr>
          <w:rFonts w:hint="eastAsia" w:ascii="宋体" w:hAnsi="宋体" w:eastAsia="宋体" w:cs="宋体"/>
          <w:highlight w:val="none"/>
        </w:rPr>
      </w:pPr>
      <w:r>
        <w:rPr>
          <w:rFonts w:hint="eastAsia" w:ascii="宋体" w:hAnsi="宋体" w:eastAsia="宋体" w:cs="宋体"/>
          <w:highlight w:val="none"/>
        </w:rPr>
        <w:t>监狱企业响应时，应当提供由省级以上监狱管理局、戒毒管理局（含新疆生产建设兵团）出具的属于监狱企业的</w:t>
      </w:r>
      <w:r>
        <w:rPr>
          <w:rFonts w:hint="eastAsia" w:ascii="宋体" w:hAnsi="宋体" w:eastAsia="宋体" w:cs="宋体"/>
          <w:b/>
          <w:bCs/>
          <w:highlight w:val="none"/>
        </w:rPr>
        <w:t>证明文件</w:t>
      </w:r>
      <w:r>
        <w:rPr>
          <w:rFonts w:hint="eastAsia" w:ascii="宋体" w:hAnsi="宋体" w:eastAsia="宋体" w:cs="宋体"/>
          <w:highlight w:val="none"/>
        </w:rPr>
        <w:t>（格式不做要求）。未提供证明文件的不能享受磋商文件规定的价格扣除，但不影响响应文件的有效性。</w:t>
      </w:r>
    </w:p>
    <w:p w14:paraId="0587A7B9">
      <w:pPr>
        <w:pStyle w:val="5"/>
        <w:bidi w:val="0"/>
        <w:rPr>
          <w:rFonts w:hint="eastAsia" w:ascii="宋体" w:hAnsi="宋体" w:eastAsia="宋体" w:cs="宋体"/>
          <w:highlight w:val="none"/>
        </w:rPr>
      </w:pPr>
      <w:r>
        <w:rPr>
          <w:rFonts w:hint="eastAsia" w:ascii="宋体" w:hAnsi="宋体" w:eastAsia="宋体" w:cs="宋体"/>
          <w:highlight w:val="none"/>
        </w:rPr>
        <w:t>磋商文件允许联合体响应的，联合体成员应分别提供上述声明函或证明文件，此外，</w:t>
      </w:r>
      <w:r>
        <w:rPr>
          <w:rFonts w:hint="eastAsia" w:ascii="宋体" w:hAnsi="宋体" w:eastAsia="宋体" w:cs="宋体"/>
          <w:highlight w:val="none"/>
          <w:lang w:val="en-US" w:eastAsia="zh-CN"/>
        </w:rPr>
        <w:t>还须</w:t>
      </w:r>
      <w:r>
        <w:rPr>
          <w:rFonts w:hint="eastAsia" w:ascii="宋体" w:hAnsi="宋体" w:eastAsia="宋体" w:cs="宋体"/>
          <w:highlight w:val="none"/>
        </w:rPr>
        <w:t>提供联合体协议书。响应联合体未提供联合体协议书的，其响应文件无效。</w:t>
      </w:r>
    </w:p>
    <w:p w14:paraId="5ABB82C1">
      <w:pPr>
        <w:pStyle w:val="5"/>
        <w:bidi w:val="0"/>
        <w:rPr>
          <w:rFonts w:hint="eastAsia" w:ascii="宋体" w:hAnsi="宋体" w:eastAsia="宋体" w:cs="宋体"/>
          <w:highlight w:val="none"/>
        </w:rPr>
      </w:pPr>
      <w:r>
        <w:rPr>
          <w:rFonts w:hint="eastAsia" w:ascii="宋体" w:hAnsi="宋体" w:eastAsia="宋体" w:cs="宋体"/>
          <w:highlight w:val="none"/>
        </w:rPr>
        <w:t>非小微企业、残疾人福利性单位、监狱企业，也无联合体情况的，可不提供此项内容。</w:t>
      </w:r>
    </w:p>
    <w:p w14:paraId="77283B11">
      <w:pPr>
        <w:pStyle w:val="5"/>
        <w:bidi w:val="0"/>
        <w:ind w:left="0" w:leftChars="0" w:firstLine="0" w:firstLineChars="0"/>
        <w:jc w:val="center"/>
        <w:rPr>
          <w:rFonts w:hint="eastAsia" w:ascii="宋体" w:hAnsi="宋体" w:eastAsia="宋体" w:cs="宋体"/>
          <w:b/>
          <w:bCs/>
          <w:highlight w:val="none"/>
        </w:rPr>
      </w:pPr>
      <w:r>
        <w:rPr>
          <w:rFonts w:hint="eastAsia" w:ascii="宋体" w:hAnsi="宋体" w:eastAsia="宋体" w:cs="宋体"/>
          <w:b/>
          <w:bCs/>
          <w:highlight w:val="none"/>
        </w:rPr>
        <w:t>（三）其他</w:t>
      </w:r>
    </w:p>
    <w:p w14:paraId="19969E36">
      <w:pPr>
        <w:pStyle w:val="5"/>
        <w:spacing w:before="171" w:line="222" w:lineRule="auto"/>
        <w:ind w:left="1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如：经营状况、同类服务业绩、客户评价证明、获得奖励及证书等。</w:t>
      </w:r>
    </w:p>
    <w:p w14:paraId="476F7E45">
      <w:pPr>
        <w:spacing w:line="222" w:lineRule="auto"/>
        <w:rPr>
          <w:rFonts w:hint="eastAsia" w:ascii="宋体" w:hAnsi="宋体" w:eastAsia="宋体" w:cs="宋体"/>
          <w:sz w:val="24"/>
          <w:szCs w:val="24"/>
          <w:highlight w:val="none"/>
        </w:rPr>
      </w:pPr>
    </w:p>
    <w:p w14:paraId="4DA998C9">
      <w:pPr>
        <w:spacing w:line="222" w:lineRule="auto"/>
        <w:rPr>
          <w:rFonts w:hint="eastAsia" w:ascii="宋体" w:hAnsi="宋体" w:eastAsia="宋体" w:cs="宋体"/>
          <w:sz w:val="24"/>
          <w:szCs w:val="24"/>
          <w:highlight w:val="none"/>
        </w:rPr>
        <w:sectPr>
          <w:headerReference r:id="rId46" w:type="default"/>
          <w:footerReference r:id="rId47" w:type="default"/>
          <w:pgSz w:w="11906" w:h="16839"/>
          <w:pgMar w:top="1134" w:right="1417" w:bottom="969" w:left="1418" w:header="862" w:footer="754" w:gutter="0"/>
          <w:pgNumType w:fmt="decimal"/>
          <w:cols w:space="720" w:num="1"/>
        </w:sectPr>
      </w:pPr>
    </w:p>
    <w:p w14:paraId="36D58CC5">
      <w:pPr>
        <w:pStyle w:val="5"/>
        <w:bidi w:val="0"/>
        <w:ind w:left="0" w:leftChars="0" w:firstLine="0" w:firstLineChars="0"/>
        <w:jc w:val="center"/>
        <w:rPr>
          <w:rFonts w:hint="eastAsia" w:ascii="宋体" w:hAnsi="宋体" w:eastAsia="宋体" w:cs="宋体"/>
          <w:b/>
          <w:bCs/>
          <w:sz w:val="28"/>
          <w:szCs w:val="32"/>
          <w:highlight w:val="none"/>
        </w:rPr>
      </w:pPr>
      <w:r>
        <w:rPr>
          <w:rFonts w:hint="eastAsia" w:ascii="宋体" w:hAnsi="宋体" w:eastAsia="宋体" w:cs="宋体"/>
          <w:b/>
          <w:bCs/>
          <w:sz w:val="28"/>
          <w:szCs w:val="32"/>
          <w:highlight w:val="none"/>
        </w:rPr>
        <w:t>中小企业声明函（服务）</w:t>
      </w:r>
    </w:p>
    <w:p w14:paraId="69EB1512">
      <w:pPr>
        <w:pStyle w:val="5"/>
        <w:spacing w:before="245" w:line="285" w:lineRule="auto"/>
        <w:ind w:left="22" w:firstLine="481"/>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本公司（联合体）郑重声明，根据《政府采购促进中小企业发展管理办法》（</w:t>
      </w:r>
      <w:r>
        <w:rPr>
          <w:rFonts w:hint="eastAsia" w:ascii="宋体" w:hAnsi="宋体" w:eastAsia="宋体" w:cs="宋体"/>
          <w:spacing w:val="-3"/>
          <w:sz w:val="24"/>
          <w:szCs w:val="24"/>
          <w:highlight w:val="none"/>
        </w:rPr>
        <w:t>财库</w:t>
      </w:r>
      <w:r>
        <w:rPr>
          <w:rFonts w:hint="eastAsia" w:ascii="宋体" w:hAnsi="宋体" w:eastAsia="宋体" w:cs="宋体"/>
          <w:spacing w:val="-5"/>
          <w:sz w:val="24"/>
          <w:szCs w:val="24"/>
          <w:highlight w:val="none"/>
        </w:rPr>
        <w:t>﹝2020﹞46 号）的规定，本公司</w:t>
      </w:r>
      <w:r>
        <w:rPr>
          <w:rFonts w:hint="eastAsia" w:ascii="宋体" w:hAnsi="宋体" w:eastAsia="宋体" w:cs="宋体"/>
          <w:spacing w:val="-24"/>
          <w:sz w:val="24"/>
          <w:szCs w:val="24"/>
          <w:highlight w:val="none"/>
        </w:rPr>
        <w:t xml:space="preserve"> </w:t>
      </w:r>
      <w:r>
        <w:rPr>
          <w:rFonts w:hint="eastAsia" w:ascii="宋体" w:hAnsi="宋体" w:eastAsia="宋体" w:cs="宋体"/>
          <w:spacing w:val="-5"/>
          <w:sz w:val="24"/>
          <w:szCs w:val="24"/>
          <w:highlight w:val="none"/>
        </w:rPr>
        <w:t>（联合体）参加</w:t>
      </w:r>
      <w:r>
        <w:rPr>
          <w:rFonts w:hint="eastAsia" w:ascii="宋体" w:hAnsi="宋体" w:eastAsia="宋体" w:cs="宋体"/>
          <w:spacing w:val="-5"/>
          <w:sz w:val="24"/>
          <w:szCs w:val="24"/>
          <w:highlight w:val="none"/>
          <w:u w:val="single" w:color="auto"/>
        </w:rPr>
        <w:t>（采</w:t>
      </w:r>
      <w:r>
        <w:rPr>
          <w:rFonts w:hint="eastAsia" w:ascii="宋体" w:hAnsi="宋体" w:eastAsia="宋体" w:cs="宋体"/>
          <w:spacing w:val="-6"/>
          <w:sz w:val="24"/>
          <w:szCs w:val="24"/>
          <w:highlight w:val="none"/>
          <w:u w:val="single" w:color="auto"/>
        </w:rPr>
        <w:t>购人）</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color="auto"/>
        </w:rPr>
        <w:t>（项目名称）</w:t>
      </w:r>
      <w:r>
        <w:rPr>
          <w:rFonts w:hint="eastAsia" w:ascii="宋体" w:hAnsi="宋体" w:eastAsia="宋体" w:cs="宋体"/>
          <w:spacing w:val="-6"/>
          <w:sz w:val="24"/>
          <w:szCs w:val="24"/>
          <w:highlight w:val="none"/>
        </w:rPr>
        <w:t>采购活动，</w:t>
      </w:r>
      <w:r>
        <w:rPr>
          <w:rFonts w:hint="eastAsia" w:ascii="宋体" w:hAnsi="宋体" w:eastAsia="宋体" w:cs="宋体"/>
          <w:spacing w:val="5"/>
          <w:sz w:val="24"/>
          <w:szCs w:val="24"/>
          <w:highlight w:val="none"/>
        </w:rPr>
        <w:t>服务单位全部为符合政策要求的中小企业（或</w:t>
      </w:r>
      <w:r>
        <w:rPr>
          <w:rFonts w:hint="eastAsia" w:ascii="宋体" w:hAnsi="宋体" w:eastAsia="宋体" w:cs="宋体"/>
          <w:spacing w:val="4"/>
          <w:sz w:val="24"/>
          <w:szCs w:val="24"/>
          <w:highlight w:val="none"/>
        </w:rPr>
        <w:t>者：服务全部由符合政策要求的中小企</w:t>
      </w:r>
      <w:r>
        <w:rPr>
          <w:rFonts w:hint="eastAsia" w:ascii="宋体" w:hAnsi="宋体" w:eastAsia="宋体" w:cs="宋体"/>
          <w:spacing w:val="-1"/>
          <w:sz w:val="24"/>
          <w:szCs w:val="24"/>
          <w:highlight w:val="none"/>
        </w:rPr>
        <w:t>业承接）。相关企业的具体情况如下：</w:t>
      </w:r>
    </w:p>
    <w:p w14:paraId="0B87E0C1">
      <w:pPr>
        <w:pStyle w:val="5"/>
        <w:keepNext w:val="0"/>
        <w:keepLines w:val="0"/>
        <w:pageBreakBefore w:val="0"/>
        <w:widowControl/>
        <w:kinsoku w:val="0"/>
        <w:wordWrap/>
        <w:overflowPunct/>
        <w:topLinePunct w:val="0"/>
        <w:autoSpaceDE w:val="0"/>
        <w:autoSpaceDN w:val="0"/>
        <w:bidi w:val="0"/>
        <w:adjustRightInd w:val="0"/>
        <w:snapToGrid w:val="0"/>
        <w:spacing w:before="318" w:line="360" w:lineRule="auto"/>
        <w:ind w:right="34"/>
        <w:jc w:val="both"/>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 xml:space="preserve">1. </w:t>
      </w:r>
      <w:r>
        <w:rPr>
          <w:rFonts w:hint="eastAsia" w:ascii="宋体" w:hAnsi="宋体" w:eastAsia="宋体" w:cs="宋体"/>
          <w:spacing w:val="-3"/>
          <w:sz w:val="24"/>
          <w:szCs w:val="24"/>
          <w:highlight w:val="none"/>
          <w:u w:val="single" w:color="auto"/>
        </w:rPr>
        <w:t>（标的名称）</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86"/>
          <w:sz w:val="24"/>
          <w:szCs w:val="24"/>
          <w:highlight w:val="none"/>
        </w:rPr>
        <w:t xml:space="preserve"> </w:t>
      </w:r>
      <w:r>
        <w:rPr>
          <w:rFonts w:hint="eastAsia" w:ascii="宋体" w:hAnsi="宋体" w:eastAsia="宋体" w:cs="宋体"/>
          <w:spacing w:val="-3"/>
          <w:sz w:val="24"/>
          <w:szCs w:val="24"/>
          <w:highlight w:val="none"/>
        </w:rPr>
        <w:t>，属于</w:t>
      </w:r>
      <w:r>
        <w:rPr>
          <w:rFonts w:hint="eastAsia" w:ascii="宋体" w:hAnsi="宋体" w:eastAsia="宋体" w:cs="宋体"/>
          <w:spacing w:val="-3"/>
          <w:sz w:val="24"/>
          <w:szCs w:val="24"/>
          <w:highlight w:val="none"/>
          <w:u w:val="single"/>
          <w:lang w:val="en-US" w:eastAsia="zh-CN"/>
        </w:rPr>
        <w:t xml:space="preserve">  </w:t>
      </w:r>
      <w:r>
        <w:rPr>
          <w:rFonts w:hint="eastAsia" w:ascii="宋体" w:hAnsi="宋体" w:eastAsia="宋体" w:cs="宋体"/>
          <w:spacing w:val="-3"/>
          <w:sz w:val="24"/>
          <w:szCs w:val="24"/>
          <w:highlight w:val="none"/>
          <w:u w:val="single"/>
        </w:rPr>
        <w:t>其他未列明行业</w:t>
      </w:r>
      <w:r>
        <w:rPr>
          <w:rFonts w:hint="eastAsia" w:ascii="宋体" w:hAnsi="宋体" w:eastAsia="宋体" w:cs="宋体"/>
          <w:spacing w:val="-3"/>
          <w:sz w:val="24"/>
          <w:szCs w:val="24"/>
          <w:highlight w:val="none"/>
          <w:u w:val="single"/>
          <w:lang w:val="en-US" w:eastAsia="zh-CN"/>
        </w:rPr>
        <w:t xml:space="preserve">  </w:t>
      </w:r>
      <w:r>
        <w:rPr>
          <w:rFonts w:hint="eastAsia" w:ascii="宋体" w:hAnsi="宋体" w:eastAsia="宋体" w:cs="宋体"/>
          <w:spacing w:val="-3"/>
          <w:sz w:val="24"/>
          <w:szCs w:val="24"/>
          <w:highlight w:val="none"/>
        </w:rPr>
        <w:t>；</w:t>
      </w:r>
      <w:r>
        <w:rPr>
          <w:rFonts w:hint="eastAsia" w:ascii="宋体" w:hAnsi="宋体" w:eastAsia="宋体" w:cs="宋体"/>
          <w:spacing w:val="37"/>
          <w:sz w:val="24"/>
          <w:szCs w:val="24"/>
          <w:highlight w:val="none"/>
        </w:rPr>
        <w:t xml:space="preserve"> </w:t>
      </w:r>
      <w:r>
        <w:rPr>
          <w:rFonts w:hint="eastAsia" w:ascii="宋体" w:hAnsi="宋体" w:eastAsia="宋体" w:cs="宋体"/>
          <w:spacing w:val="-3"/>
          <w:sz w:val="24"/>
          <w:szCs w:val="24"/>
          <w:highlight w:val="none"/>
        </w:rPr>
        <w:t xml:space="preserve">承接企业为 </w:t>
      </w:r>
      <w:r>
        <w:rPr>
          <w:rFonts w:hint="eastAsia" w:ascii="宋体" w:hAnsi="宋体" w:eastAsia="宋体" w:cs="宋体"/>
          <w:spacing w:val="79"/>
          <w:sz w:val="24"/>
          <w:szCs w:val="24"/>
          <w:highlight w:val="none"/>
          <w:u w:val="single" w:color="auto"/>
        </w:rPr>
        <w:t xml:space="preserve"> </w:t>
      </w:r>
      <w:r>
        <w:rPr>
          <w:rFonts w:hint="eastAsia" w:ascii="宋体" w:hAnsi="宋体" w:eastAsia="宋体" w:cs="宋体"/>
          <w:spacing w:val="-3"/>
          <w:sz w:val="24"/>
          <w:szCs w:val="24"/>
          <w:highlight w:val="none"/>
          <w:u w:val="single" w:color="auto"/>
        </w:rPr>
        <w:t>（  企</w:t>
      </w:r>
      <w:r>
        <w:rPr>
          <w:rFonts w:hint="eastAsia" w:ascii="宋体" w:hAnsi="宋体" w:eastAsia="宋体" w:cs="宋体"/>
          <w:spacing w:val="-13"/>
          <w:sz w:val="24"/>
          <w:szCs w:val="24"/>
          <w:highlight w:val="none"/>
          <w:u w:val="single" w:color="auto"/>
        </w:rPr>
        <w:t>业名称</w:t>
      </w:r>
      <w:r>
        <w:rPr>
          <w:rFonts w:hint="eastAsia" w:ascii="宋体" w:hAnsi="宋体" w:eastAsia="宋体" w:cs="宋体"/>
          <w:spacing w:val="-5"/>
          <w:sz w:val="24"/>
          <w:szCs w:val="24"/>
          <w:highlight w:val="none"/>
          <w:u w:val="single" w:color="auto"/>
        </w:rPr>
        <w:t>）</w:t>
      </w:r>
      <w:r>
        <w:rPr>
          <w:rFonts w:hint="eastAsia" w:ascii="宋体" w:hAnsi="宋体" w:eastAsia="宋体" w:cs="宋体"/>
          <w:spacing w:val="-5"/>
          <w:sz w:val="24"/>
          <w:szCs w:val="24"/>
          <w:highlight w:val="none"/>
        </w:rPr>
        <w:t>，</w:t>
      </w:r>
      <w:r>
        <w:rPr>
          <w:rFonts w:hint="eastAsia" w:ascii="宋体" w:hAnsi="宋体" w:eastAsia="宋体" w:cs="宋体"/>
          <w:spacing w:val="-13"/>
          <w:sz w:val="24"/>
          <w:szCs w:val="24"/>
          <w:highlight w:val="none"/>
        </w:rPr>
        <w:t>从业人员</w:t>
      </w:r>
      <w:r>
        <w:rPr>
          <w:rFonts w:hint="eastAsia" w:ascii="宋体" w:hAnsi="宋体" w:eastAsia="宋体" w:cs="宋体"/>
          <w:spacing w:val="12"/>
          <w:sz w:val="24"/>
          <w:szCs w:val="24"/>
          <w:highlight w:val="none"/>
          <w:u w:val="single" w:color="auto"/>
        </w:rPr>
        <w:t xml:space="preserve">    </w:t>
      </w:r>
      <w:r>
        <w:rPr>
          <w:rFonts w:hint="eastAsia" w:ascii="宋体" w:hAnsi="宋体" w:eastAsia="宋体" w:cs="宋体"/>
          <w:spacing w:val="-97"/>
          <w:sz w:val="24"/>
          <w:szCs w:val="24"/>
          <w:highlight w:val="none"/>
        </w:rPr>
        <w:t xml:space="preserve"> </w:t>
      </w:r>
      <w:r>
        <w:rPr>
          <w:rFonts w:hint="eastAsia" w:ascii="宋体" w:hAnsi="宋体" w:eastAsia="宋体" w:cs="宋体"/>
          <w:spacing w:val="-13"/>
          <w:sz w:val="24"/>
          <w:szCs w:val="24"/>
          <w:highlight w:val="none"/>
        </w:rPr>
        <w:t>人，营业收入为</w:t>
      </w:r>
      <w:r>
        <w:rPr>
          <w:rFonts w:hint="eastAsia" w:ascii="宋体" w:hAnsi="宋体" w:eastAsia="宋体" w:cs="宋体"/>
          <w:spacing w:val="20"/>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13"/>
          <w:sz w:val="24"/>
          <w:szCs w:val="24"/>
          <w:highlight w:val="none"/>
        </w:rPr>
        <w:t>万元，资产总额为</w:t>
      </w:r>
      <w:r>
        <w:rPr>
          <w:rFonts w:hint="eastAsia" w:ascii="宋体" w:hAnsi="宋体" w:eastAsia="宋体" w:cs="宋体"/>
          <w:spacing w:val="20"/>
          <w:sz w:val="24"/>
          <w:szCs w:val="24"/>
          <w:highlight w:val="none"/>
          <w:u w:val="single" w:color="auto"/>
        </w:rPr>
        <w:t xml:space="preserve">   </w:t>
      </w:r>
      <w:r>
        <w:rPr>
          <w:rFonts w:hint="eastAsia" w:ascii="宋体" w:hAnsi="宋体" w:eastAsia="宋体" w:cs="宋体"/>
          <w:spacing w:val="-97"/>
          <w:sz w:val="24"/>
          <w:szCs w:val="24"/>
          <w:highlight w:val="none"/>
        </w:rPr>
        <w:t xml:space="preserve"> </w:t>
      </w:r>
      <w:r>
        <w:rPr>
          <w:rFonts w:hint="eastAsia" w:ascii="宋体" w:hAnsi="宋体" w:eastAsia="宋体" w:cs="宋体"/>
          <w:spacing w:val="-13"/>
          <w:sz w:val="24"/>
          <w:szCs w:val="24"/>
          <w:highlight w:val="none"/>
        </w:rPr>
        <w:t>万元</w:t>
      </w:r>
      <w:r>
        <w:rPr>
          <w:rFonts w:hint="eastAsia" w:ascii="宋体" w:hAnsi="宋体" w:eastAsia="宋体" w:cs="宋体"/>
          <w:spacing w:val="-44"/>
          <w:sz w:val="24"/>
          <w:szCs w:val="24"/>
          <w:highlight w:val="none"/>
        </w:rPr>
        <w:t xml:space="preserve"> </w:t>
      </w:r>
      <w:r>
        <w:rPr>
          <w:rFonts w:hint="eastAsia" w:ascii="宋体" w:hAnsi="宋体" w:eastAsia="宋体" w:cs="宋体"/>
          <w:spacing w:val="-13"/>
          <w:sz w:val="24"/>
          <w:szCs w:val="24"/>
          <w:highlight w:val="none"/>
        </w:rPr>
        <w:t>，属于</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pacing w:val="-25"/>
          <w:sz w:val="24"/>
          <w:szCs w:val="24"/>
          <w:highlight w:val="none"/>
          <w:u w:val="single" w:color="auto"/>
        </w:rPr>
        <w:t>（中型企业、小型企业、微型企业</w:t>
      </w:r>
      <w:r>
        <w:rPr>
          <w:rFonts w:hint="eastAsia" w:ascii="宋体" w:hAnsi="宋体" w:eastAsia="宋体" w:cs="宋体"/>
          <w:spacing w:val="-6"/>
          <w:sz w:val="24"/>
          <w:szCs w:val="24"/>
          <w:highlight w:val="none"/>
          <w:u w:val="single" w:color="auto"/>
        </w:rPr>
        <w:t>）</w:t>
      </w:r>
      <w:r>
        <w:rPr>
          <w:rFonts w:hint="eastAsia" w:ascii="宋体" w:hAnsi="宋体" w:eastAsia="宋体" w:cs="宋体"/>
          <w:spacing w:val="-6"/>
          <w:sz w:val="24"/>
          <w:szCs w:val="24"/>
          <w:highlight w:val="none"/>
        </w:rPr>
        <w:t>；</w:t>
      </w:r>
    </w:p>
    <w:p w14:paraId="2C9CF8FD">
      <w:pPr>
        <w:pStyle w:val="5"/>
        <w:spacing w:before="222" w:line="402" w:lineRule="auto"/>
        <w:ind w:left="16" w:right="132" w:firstLine="48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w:t>
      </w:r>
      <w:r>
        <w:rPr>
          <w:rFonts w:hint="eastAsia" w:ascii="宋体" w:hAnsi="宋体" w:eastAsia="宋体" w:cs="宋体"/>
          <w:spacing w:val="-3"/>
          <w:sz w:val="24"/>
          <w:szCs w:val="24"/>
          <w:highlight w:val="none"/>
          <w:u w:val="single" w:color="auto"/>
        </w:rPr>
        <w:t xml:space="preserve"> （标的名称）</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84"/>
          <w:sz w:val="24"/>
          <w:szCs w:val="24"/>
          <w:highlight w:val="none"/>
        </w:rPr>
        <w:t xml:space="preserve"> </w:t>
      </w:r>
      <w:r>
        <w:rPr>
          <w:rFonts w:hint="eastAsia" w:ascii="宋体" w:hAnsi="宋体" w:eastAsia="宋体" w:cs="宋体"/>
          <w:spacing w:val="-3"/>
          <w:sz w:val="24"/>
          <w:szCs w:val="24"/>
          <w:highlight w:val="none"/>
        </w:rPr>
        <w:t>，属于</w:t>
      </w:r>
      <w:r>
        <w:rPr>
          <w:rFonts w:hint="eastAsia" w:ascii="宋体" w:hAnsi="宋体" w:eastAsia="宋体" w:cs="宋体"/>
          <w:spacing w:val="-3"/>
          <w:sz w:val="24"/>
          <w:szCs w:val="24"/>
          <w:highlight w:val="none"/>
          <w:u w:val="single"/>
          <w:lang w:val="en-US" w:eastAsia="zh-CN"/>
        </w:rPr>
        <w:t xml:space="preserve">  </w:t>
      </w:r>
      <w:r>
        <w:rPr>
          <w:rFonts w:hint="eastAsia" w:ascii="宋体" w:hAnsi="宋体" w:eastAsia="宋体" w:cs="宋体"/>
          <w:spacing w:val="-3"/>
          <w:sz w:val="24"/>
          <w:szCs w:val="24"/>
          <w:highlight w:val="none"/>
          <w:u w:val="single"/>
        </w:rPr>
        <w:t>其他未列明行业</w:t>
      </w:r>
      <w:r>
        <w:rPr>
          <w:rFonts w:hint="eastAsia" w:ascii="宋体" w:hAnsi="宋体" w:eastAsia="宋体" w:cs="宋体"/>
          <w:spacing w:val="-3"/>
          <w:sz w:val="24"/>
          <w:szCs w:val="24"/>
          <w:highlight w:val="none"/>
          <w:u w:val="single"/>
          <w:lang w:val="en-US" w:eastAsia="zh-CN"/>
        </w:rPr>
        <w:t xml:space="preserve">  </w:t>
      </w:r>
      <w:r>
        <w:rPr>
          <w:rFonts w:hint="eastAsia" w:ascii="宋体" w:hAnsi="宋体" w:eastAsia="宋体" w:cs="宋体"/>
          <w:spacing w:val="-3"/>
          <w:sz w:val="24"/>
          <w:szCs w:val="24"/>
          <w:highlight w:val="none"/>
        </w:rPr>
        <w:t xml:space="preserve">；承接企业为 </w:t>
      </w:r>
      <w:r>
        <w:rPr>
          <w:rFonts w:hint="eastAsia" w:ascii="宋体" w:hAnsi="宋体" w:eastAsia="宋体" w:cs="宋体"/>
          <w:spacing w:val="-3"/>
          <w:sz w:val="24"/>
          <w:szCs w:val="24"/>
          <w:highlight w:val="none"/>
          <w:u w:val="single" w:color="auto"/>
        </w:rPr>
        <w:t xml:space="preserve">   （企</w:t>
      </w:r>
      <w:r>
        <w:rPr>
          <w:rFonts w:hint="eastAsia" w:ascii="宋体" w:hAnsi="宋体" w:eastAsia="宋体" w:cs="宋体"/>
          <w:spacing w:val="-8"/>
          <w:sz w:val="24"/>
          <w:szCs w:val="24"/>
          <w:highlight w:val="none"/>
          <w:u w:val="single" w:color="auto"/>
        </w:rPr>
        <w:t>业名称</w:t>
      </w:r>
      <w:r>
        <w:rPr>
          <w:rFonts w:hint="eastAsia" w:ascii="宋体" w:hAnsi="宋体" w:eastAsia="宋体" w:cs="宋体"/>
          <w:spacing w:val="27"/>
          <w:sz w:val="24"/>
          <w:szCs w:val="24"/>
          <w:highlight w:val="none"/>
          <w:u w:val="single" w:color="auto"/>
        </w:rPr>
        <w:t>）</w:t>
      </w:r>
      <w:r>
        <w:rPr>
          <w:rFonts w:hint="eastAsia" w:ascii="宋体" w:hAnsi="宋体" w:eastAsia="宋体" w:cs="宋体"/>
          <w:spacing w:val="27"/>
          <w:sz w:val="24"/>
          <w:szCs w:val="24"/>
          <w:highlight w:val="none"/>
        </w:rPr>
        <w:t>，</w:t>
      </w:r>
      <w:r>
        <w:rPr>
          <w:rFonts w:hint="eastAsia" w:ascii="宋体" w:hAnsi="宋体" w:eastAsia="宋体" w:cs="宋体"/>
          <w:spacing w:val="-8"/>
          <w:sz w:val="24"/>
          <w:szCs w:val="24"/>
          <w:highlight w:val="none"/>
        </w:rPr>
        <w:t>从业人员</w:t>
      </w:r>
      <w:r>
        <w:rPr>
          <w:rFonts w:hint="eastAsia" w:ascii="宋体" w:hAnsi="宋体" w:eastAsia="宋体" w:cs="宋体"/>
          <w:spacing w:val="30"/>
          <w:sz w:val="24"/>
          <w:szCs w:val="24"/>
          <w:highlight w:val="none"/>
          <w:u w:val="single" w:color="auto"/>
        </w:rPr>
        <w:t xml:space="preserve">   </w:t>
      </w:r>
      <w:r>
        <w:rPr>
          <w:rFonts w:hint="eastAsia" w:ascii="宋体" w:hAnsi="宋体" w:eastAsia="宋体" w:cs="宋体"/>
          <w:spacing w:val="-99"/>
          <w:sz w:val="24"/>
          <w:szCs w:val="24"/>
          <w:highlight w:val="none"/>
        </w:rPr>
        <w:t xml:space="preserve"> </w:t>
      </w:r>
      <w:r>
        <w:rPr>
          <w:rFonts w:hint="eastAsia" w:ascii="宋体" w:hAnsi="宋体" w:eastAsia="宋体" w:cs="宋体"/>
          <w:spacing w:val="-8"/>
          <w:sz w:val="24"/>
          <w:szCs w:val="24"/>
          <w:highlight w:val="none"/>
        </w:rPr>
        <w:t>人，营业收入为</w:t>
      </w:r>
      <w:r>
        <w:rPr>
          <w:rFonts w:hint="eastAsia" w:ascii="宋体" w:hAnsi="宋体" w:eastAsia="宋体" w:cs="宋体"/>
          <w:spacing w:val="27"/>
          <w:sz w:val="24"/>
          <w:szCs w:val="24"/>
          <w:highlight w:val="none"/>
          <w:u w:val="single" w:color="auto"/>
        </w:rPr>
        <w:t xml:space="preserve">   </w:t>
      </w:r>
      <w:r>
        <w:rPr>
          <w:rFonts w:hint="eastAsia" w:ascii="宋体" w:hAnsi="宋体" w:eastAsia="宋体" w:cs="宋体"/>
          <w:spacing w:val="-99"/>
          <w:sz w:val="24"/>
          <w:szCs w:val="24"/>
          <w:highlight w:val="none"/>
        </w:rPr>
        <w:t xml:space="preserve"> </w:t>
      </w:r>
      <w:r>
        <w:rPr>
          <w:rFonts w:hint="eastAsia" w:ascii="宋体" w:hAnsi="宋体" w:eastAsia="宋体" w:cs="宋体"/>
          <w:spacing w:val="-8"/>
          <w:sz w:val="24"/>
          <w:szCs w:val="24"/>
          <w:highlight w:val="none"/>
        </w:rPr>
        <w:t>万元，资产总额为</w:t>
      </w:r>
      <w:r>
        <w:rPr>
          <w:rFonts w:hint="eastAsia" w:ascii="宋体" w:hAnsi="宋体" w:eastAsia="宋体" w:cs="宋体"/>
          <w:spacing w:val="18"/>
          <w:sz w:val="24"/>
          <w:szCs w:val="24"/>
          <w:highlight w:val="none"/>
          <w:u w:val="single" w:color="auto"/>
        </w:rPr>
        <w:t xml:space="preserve">    </w:t>
      </w:r>
      <w:r>
        <w:rPr>
          <w:rFonts w:hint="eastAsia" w:ascii="宋体" w:hAnsi="宋体" w:eastAsia="宋体" w:cs="宋体"/>
          <w:spacing w:val="-100"/>
          <w:sz w:val="24"/>
          <w:szCs w:val="24"/>
          <w:highlight w:val="none"/>
        </w:rPr>
        <w:t xml:space="preserve"> </w:t>
      </w:r>
      <w:r>
        <w:rPr>
          <w:rFonts w:hint="eastAsia" w:ascii="宋体" w:hAnsi="宋体" w:eastAsia="宋体" w:cs="宋体"/>
          <w:spacing w:val="-8"/>
          <w:sz w:val="24"/>
          <w:szCs w:val="24"/>
          <w:highlight w:val="none"/>
        </w:rPr>
        <w:t>万元，属于</w:t>
      </w:r>
      <w:r>
        <w:rPr>
          <w:rFonts w:hint="eastAsia" w:ascii="宋体" w:hAnsi="宋体" w:eastAsia="宋体" w:cs="宋体"/>
          <w:spacing w:val="-25"/>
          <w:sz w:val="24"/>
          <w:szCs w:val="24"/>
          <w:highlight w:val="none"/>
          <w:u w:val="single" w:color="auto"/>
        </w:rPr>
        <w:t>（中型企业、小型企业、微型企业</w:t>
      </w:r>
      <w:r>
        <w:rPr>
          <w:rFonts w:hint="eastAsia" w:ascii="宋体" w:hAnsi="宋体" w:eastAsia="宋体" w:cs="宋体"/>
          <w:spacing w:val="-6"/>
          <w:sz w:val="24"/>
          <w:szCs w:val="24"/>
          <w:highlight w:val="none"/>
          <w:u w:val="single" w:color="auto"/>
        </w:rPr>
        <w:t>）</w:t>
      </w:r>
      <w:r>
        <w:rPr>
          <w:rFonts w:hint="eastAsia" w:ascii="宋体" w:hAnsi="宋体" w:eastAsia="宋体" w:cs="宋体"/>
          <w:spacing w:val="-6"/>
          <w:sz w:val="24"/>
          <w:szCs w:val="24"/>
          <w:highlight w:val="none"/>
        </w:rPr>
        <w:t>；</w:t>
      </w:r>
    </w:p>
    <w:p w14:paraId="7FCE38A9">
      <w:pPr>
        <w:pStyle w:val="5"/>
        <w:spacing w:before="273" w:line="382" w:lineRule="exact"/>
        <w:ind w:left="529"/>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w:t>
      </w:r>
    </w:p>
    <w:p w14:paraId="26D9458A">
      <w:pPr>
        <w:pStyle w:val="5"/>
        <w:spacing w:before="15" w:line="401" w:lineRule="auto"/>
        <w:ind w:left="40" w:right="63" w:firstLine="4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以上企业，不属于大企业的分支机构，不存在</w:t>
      </w:r>
      <w:r>
        <w:rPr>
          <w:rFonts w:hint="eastAsia" w:ascii="宋体" w:hAnsi="宋体" w:eastAsia="宋体" w:cs="宋体"/>
          <w:spacing w:val="-3"/>
          <w:sz w:val="24"/>
          <w:szCs w:val="24"/>
          <w:highlight w:val="none"/>
        </w:rPr>
        <w:t>控股股东为大企业的情形，也不存在</w:t>
      </w:r>
      <w:r>
        <w:rPr>
          <w:rFonts w:hint="eastAsia" w:ascii="宋体" w:hAnsi="宋体" w:eastAsia="宋体" w:cs="宋体"/>
          <w:spacing w:val="-1"/>
          <w:sz w:val="24"/>
          <w:szCs w:val="24"/>
          <w:highlight w:val="none"/>
        </w:rPr>
        <w:t>与大企业的负责人为同一人的情形。</w:t>
      </w:r>
    </w:p>
    <w:p w14:paraId="5D3F4A6B">
      <w:pPr>
        <w:pStyle w:val="5"/>
        <w:spacing w:before="63" w:line="22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本企业对上述声明内容的真实性负责。如有虚假，将依法承担相应责任。</w:t>
      </w:r>
    </w:p>
    <w:p w14:paraId="55123331">
      <w:pPr>
        <w:spacing w:line="244" w:lineRule="auto"/>
        <w:rPr>
          <w:rFonts w:hint="eastAsia" w:ascii="宋体" w:hAnsi="宋体" w:eastAsia="宋体" w:cs="宋体"/>
          <w:sz w:val="21"/>
          <w:highlight w:val="none"/>
        </w:rPr>
      </w:pPr>
    </w:p>
    <w:p w14:paraId="13919171">
      <w:pPr>
        <w:spacing w:line="245" w:lineRule="auto"/>
        <w:rPr>
          <w:rFonts w:hint="eastAsia" w:ascii="宋体" w:hAnsi="宋体" w:eastAsia="宋体" w:cs="宋体"/>
          <w:sz w:val="21"/>
          <w:highlight w:val="none"/>
        </w:rPr>
      </w:pPr>
    </w:p>
    <w:p w14:paraId="2118ED37">
      <w:pPr>
        <w:spacing w:line="245" w:lineRule="auto"/>
        <w:rPr>
          <w:rFonts w:hint="eastAsia" w:ascii="宋体" w:hAnsi="宋体" w:eastAsia="宋体" w:cs="宋体"/>
          <w:sz w:val="21"/>
          <w:highlight w:val="none"/>
        </w:rPr>
      </w:pPr>
    </w:p>
    <w:p w14:paraId="6FA3A44B">
      <w:pPr>
        <w:spacing w:line="245" w:lineRule="auto"/>
        <w:rPr>
          <w:rFonts w:hint="eastAsia" w:ascii="宋体" w:hAnsi="宋体" w:eastAsia="宋体" w:cs="宋体"/>
          <w:sz w:val="21"/>
          <w:highlight w:val="none"/>
        </w:rPr>
      </w:pPr>
    </w:p>
    <w:p w14:paraId="128430F4">
      <w:pPr>
        <w:spacing w:line="245" w:lineRule="auto"/>
        <w:rPr>
          <w:rFonts w:hint="eastAsia" w:ascii="宋体" w:hAnsi="宋体" w:eastAsia="宋体" w:cs="宋体"/>
          <w:sz w:val="21"/>
          <w:highlight w:val="none"/>
        </w:rPr>
      </w:pPr>
    </w:p>
    <w:p w14:paraId="51C371C9">
      <w:pPr>
        <w:pStyle w:val="5"/>
        <w:bidi w:val="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企业名称（盖章</w:t>
      </w:r>
      <w:r>
        <w:rPr>
          <w:rFonts w:hint="eastAsia" w:ascii="宋体" w:hAnsi="宋体" w:eastAsia="宋体" w:cs="宋体"/>
          <w:spacing w:val="-28"/>
          <w:sz w:val="24"/>
          <w:szCs w:val="24"/>
          <w:highlight w:val="none"/>
        </w:rPr>
        <w:t>）：</w:t>
      </w:r>
      <w:r>
        <w:rPr>
          <w:rFonts w:hint="eastAsia" w:ascii="宋体" w:hAnsi="宋体" w:eastAsia="宋体" w:cs="宋体"/>
          <w:sz w:val="24"/>
          <w:szCs w:val="24"/>
          <w:highlight w:val="none"/>
        </w:rPr>
        <w:t xml:space="preserve"> </w:t>
      </w:r>
    </w:p>
    <w:p w14:paraId="160EC142">
      <w:pPr>
        <w:pStyle w:val="5"/>
        <w:bidi w:val="0"/>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日期：</w:t>
      </w:r>
    </w:p>
    <w:p w14:paraId="5E24A397">
      <w:pPr>
        <w:spacing w:line="251" w:lineRule="auto"/>
        <w:rPr>
          <w:rFonts w:hint="eastAsia" w:ascii="宋体" w:hAnsi="宋体" w:eastAsia="宋体" w:cs="宋体"/>
          <w:sz w:val="21"/>
          <w:highlight w:val="none"/>
        </w:rPr>
      </w:pPr>
    </w:p>
    <w:p w14:paraId="6C4EC8A3">
      <w:pPr>
        <w:spacing w:line="251" w:lineRule="auto"/>
        <w:rPr>
          <w:rFonts w:hint="eastAsia" w:ascii="宋体" w:hAnsi="宋体" w:eastAsia="宋体" w:cs="宋体"/>
          <w:sz w:val="21"/>
          <w:highlight w:val="none"/>
        </w:rPr>
      </w:pPr>
    </w:p>
    <w:p w14:paraId="2C87B9DE">
      <w:pPr>
        <w:spacing w:line="251" w:lineRule="auto"/>
        <w:rPr>
          <w:rFonts w:hint="eastAsia" w:ascii="宋体" w:hAnsi="宋体" w:eastAsia="宋体" w:cs="宋体"/>
          <w:sz w:val="21"/>
          <w:highlight w:val="none"/>
        </w:rPr>
      </w:pPr>
    </w:p>
    <w:p w14:paraId="0DD7B093">
      <w:pPr>
        <w:spacing w:line="252" w:lineRule="auto"/>
        <w:rPr>
          <w:rFonts w:hint="eastAsia" w:ascii="宋体" w:hAnsi="宋体" w:eastAsia="宋体" w:cs="宋体"/>
          <w:sz w:val="21"/>
          <w:highlight w:val="none"/>
        </w:rPr>
      </w:pPr>
    </w:p>
    <w:p w14:paraId="63C70148">
      <w:pPr>
        <w:spacing w:line="252" w:lineRule="auto"/>
        <w:rPr>
          <w:rFonts w:hint="eastAsia" w:ascii="宋体" w:hAnsi="宋体" w:eastAsia="宋体" w:cs="宋体"/>
          <w:sz w:val="21"/>
          <w:highlight w:val="none"/>
        </w:rPr>
      </w:pPr>
    </w:p>
    <w:p w14:paraId="0DEDD374">
      <w:pPr>
        <w:spacing w:line="252" w:lineRule="auto"/>
        <w:rPr>
          <w:rFonts w:hint="eastAsia" w:ascii="宋体" w:hAnsi="宋体" w:eastAsia="宋体" w:cs="宋体"/>
          <w:sz w:val="21"/>
          <w:highlight w:val="none"/>
        </w:rPr>
      </w:pPr>
    </w:p>
    <w:p w14:paraId="0BAA7DDD">
      <w:pPr>
        <w:pStyle w:val="5"/>
        <w:spacing w:before="78" w:line="279" w:lineRule="auto"/>
        <w:ind w:left="149" w:right="6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备注：从业人员、营业收入、资产总额填报上一年度数据，无上一年度数据的新成立 </w:t>
      </w:r>
      <w:r>
        <w:rPr>
          <w:rFonts w:hint="eastAsia" w:ascii="宋体" w:hAnsi="宋体" w:eastAsia="宋体" w:cs="宋体"/>
          <w:spacing w:val="-4"/>
          <w:sz w:val="24"/>
          <w:szCs w:val="24"/>
          <w:highlight w:val="none"/>
        </w:rPr>
        <w:t>企业可不填报。</w:t>
      </w:r>
    </w:p>
    <w:p w14:paraId="0AA22C4D">
      <w:pPr>
        <w:spacing w:line="279" w:lineRule="auto"/>
        <w:rPr>
          <w:rFonts w:hint="eastAsia" w:ascii="宋体" w:hAnsi="宋体" w:eastAsia="宋体" w:cs="宋体"/>
          <w:sz w:val="24"/>
          <w:szCs w:val="24"/>
          <w:highlight w:val="none"/>
        </w:rPr>
        <w:sectPr>
          <w:headerReference r:id="rId48" w:type="default"/>
          <w:footerReference r:id="rId49" w:type="default"/>
          <w:pgSz w:w="11906" w:h="16839"/>
          <w:pgMar w:top="1134" w:right="1352" w:bottom="969" w:left="1418" w:header="862" w:footer="754" w:gutter="0"/>
          <w:pgNumType w:fmt="decimal"/>
          <w:cols w:space="720" w:num="1"/>
        </w:sectPr>
      </w:pPr>
    </w:p>
    <w:p w14:paraId="30CEDD34">
      <w:pPr>
        <w:pStyle w:val="5"/>
        <w:bidi w:val="0"/>
        <w:ind w:left="0" w:leftChars="0" w:firstLine="0" w:firstLineChars="0"/>
        <w:jc w:val="center"/>
        <w:rPr>
          <w:rFonts w:hint="eastAsia" w:ascii="宋体" w:hAnsi="宋体" w:eastAsia="宋体" w:cs="宋体"/>
          <w:b/>
          <w:bCs/>
          <w:sz w:val="28"/>
          <w:szCs w:val="32"/>
          <w:highlight w:val="none"/>
        </w:rPr>
      </w:pPr>
      <w:r>
        <w:rPr>
          <w:rFonts w:hint="eastAsia" w:ascii="宋体" w:hAnsi="宋体" w:eastAsia="宋体" w:cs="宋体"/>
          <w:b/>
          <w:bCs/>
          <w:sz w:val="28"/>
          <w:szCs w:val="32"/>
          <w:highlight w:val="none"/>
        </w:rPr>
        <w:t>残疾人福利性单位声明函</w:t>
      </w:r>
    </w:p>
    <w:p w14:paraId="7CD65300">
      <w:pPr>
        <w:pStyle w:val="5"/>
        <w:spacing w:before="169" w:line="431" w:lineRule="auto"/>
        <w:ind w:left="15" w:right="2" w:firstLine="488"/>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本单位郑重声明，根据《财政部</w:t>
      </w:r>
      <w:r>
        <w:rPr>
          <w:rFonts w:hint="eastAsia" w:ascii="宋体" w:hAnsi="宋体" w:eastAsia="宋体" w:cs="宋体"/>
          <w:spacing w:val="71"/>
          <w:sz w:val="24"/>
          <w:szCs w:val="24"/>
          <w:highlight w:val="none"/>
        </w:rPr>
        <w:t xml:space="preserve"> </w:t>
      </w:r>
      <w:r>
        <w:rPr>
          <w:rFonts w:hint="eastAsia" w:ascii="宋体" w:hAnsi="宋体" w:eastAsia="宋体" w:cs="宋体"/>
          <w:spacing w:val="1"/>
          <w:sz w:val="24"/>
          <w:szCs w:val="24"/>
          <w:highlight w:val="none"/>
        </w:rPr>
        <w:t>民政部</w:t>
      </w:r>
      <w:r>
        <w:rPr>
          <w:rFonts w:hint="eastAsia" w:ascii="宋体" w:hAnsi="宋体" w:eastAsia="宋体" w:cs="宋体"/>
          <w:spacing w:val="57"/>
          <w:sz w:val="24"/>
          <w:szCs w:val="24"/>
          <w:highlight w:val="none"/>
        </w:rPr>
        <w:t xml:space="preserve"> </w:t>
      </w:r>
      <w:r>
        <w:rPr>
          <w:rFonts w:hint="eastAsia" w:ascii="宋体" w:hAnsi="宋体" w:eastAsia="宋体" w:cs="宋体"/>
          <w:spacing w:val="1"/>
          <w:sz w:val="24"/>
          <w:szCs w:val="24"/>
          <w:highlight w:val="none"/>
        </w:rPr>
        <w:t>中国残疾人联合会关于促进残疾人就业</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政府采购政策的通知》（财库〔2017〕141</w:t>
      </w:r>
      <w:r>
        <w:rPr>
          <w:rFonts w:hint="eastAsia" w:ascii="宋体" w:hAnsi="宋体" w:eastAsia="宋体" w:cs="宋体"/>
          <w:spacing w:val="-28"/>
          <w:sz w:val="24"/>
          <w:szCs w:val="24"/>
          <w:highlight w:val="none"/>
        </w:rPr>
        <w:t xml:space="preserve"> </w:t>
      </w:r>
      <w:r>
        <w:rPr>
          <w:rFonts w:hint="eastAsia" w:ascii="宋体" w:hAnsi="宋体" w:eastAsia="宋体" w:cs="宋体"/>
          <w:spacing w:val="-1"/>
          <w:sz w:val="24"/>
          <w:szCs w:val="24"/>
          <w:highlight w:val="none"/>
        </w:rPr>
        <w:t>号）的规定，本单位为符合条件的残疾人福</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利性单位，且本单位参加</w:t>
      </w:r>
      <w:r>
        <w:rPr>
          <w:rFonts w:hint="eastAsia" w:ascii="宋体" w:hAnsi="宋体" w:eastAsia="宋体" w:cs="宋体"/>
          <w:spacing w:val="-116"/>
          <w:sz w:val="24"/>
          <w:szCs w:val="24"/>
          <w:highlight w:val="none"/>
        </w:rPr>
        <w:t xml:space="preserve"> </w:t>
      </w:r>
      <w:r>
        <w:rPr>
          <w:rFonts w:hint="eastAsia" w:ascii="宋体" w:hAnsi="宋体" w:eastAsia="宋体" w:cs="宋体"/>
          <w:spacing w:val="3"/>
          <w:sz w:val="24"/>
          <w:szCs w:val="24"/>
          <w:highlight w:val="none"/>
          <w:u w:val="single" w:color="auto"/>
        </w:rPr>
        <w:t xml:space="preserve">   项目名称  </w:t>
      </w:r>
      <w:r>
        <w:rPr>
          <w:rFonts w:hint="eastAsia" w:ascii="宋体" w:hAnsi="宋体" w:eastAsia="宋体" w:cs="宋体"/>
          <w:spacing w:val="3"/>
          <w:sz w:val="24"/>
          <w:szCs w:val="24"/>
          <w:highlight w:val="none"/>
        </w:rPr>
        <w:t>（项目编号</w:t>
      </w:r>
      <w:r>
        <w:rPr>
          <w:rFonts w:hint="eastAsia" w:ascii="宋体" w:hAnsi="宋体" w:eastAsia="宋体" w:cs="宋体"/>
          <w:spacing w:val="20"/>
          <w:sz w:val="24"/>
          <w:szCs w:val="24"/>
          <w:highlight w:val="none"/>
        </w:rPr>
        <w:t>：）</w:t>
      </w:r>
      <w:r>
        <w:rPr>
          <w:rFonts w:hint="eastAsia" w:ascii="宋体" w:hAnsi="宋体" w:eastAsia="宋体" w:cs="宋体"/>
          <w:spacing w:val="3"/>
          <w:sz w:val="24"/>
          <w:szCs w:val="24"/>
          <w:highlight w:val="none"/>
        </w:rPr>
        <w:t>第</w:t>
      </w:r>
      <w:r>
        <w:rPr>
          <w:rFonts w:hint="eastAsia" w:ascii="宋体" w:hAnsi="宋体" w:eastAsia="宋体" w:cs="宋体"/>
          <w:spacing w:val="-115"/>
          <w:sz w:val="24"/>
          <w:szCs w:val="24"/>
          <w:highlight w:val="none"/>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0"/>
          <w:sz w:val="24"/>
          <w:szCs w:val="24"/>
          <w:highlight w:val="none"/>
        </w:rPr>
        <w:t xml:space="preserve"> </w:t>
      </w:r>
      <w:r>
        <w:rPr>
          <w:rFonts w:hint="eastAsia" w:ascii="宋体" w:hAnsi="宋体" w:eastAsia="宋体" w:cs="宋体"/>
          <w:spacing w:val="3"/>
          <w:sz w:val="24"/>
          <w:szCs w:val="24"/>
          <w:highlight w:val="none"/>
        </w:rPr>
        <w:t>标</w:t>
      </w:r>
      <w:r>
        <w:rPr>
          <w:rFonts w:hint="eastAsia" w:ascii="宋体" w:hAnsi="宋体" w:eastAsia="宋体" w:cs="宋体"/>
          <w:spacing w:val="2"/>
          <w:sz w:val="24"/>
          <w:szCs w:val="24"/>
          <w:highlight w:val="none"/>
        </w:rPr>
        <w:t>段采购活动由本单位</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提供服务，或者提供其他残疾人福利性单位提供的服务。</w:t>
      </w:r>
    </w:p>
    <w:p w14:paraId="005196D4">
      <w:pPr>
        <w:pStyle w:val="5"/>
        <w:bidi w:val="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本单位对上述声明的真实性负责。如有虚假，将依法承担相应责任。</w:t>
      </w:r>
    </w:p>
    <w:p w14:paraId="6A06AEC7">
      <w:pPr>
        <w:pStyle w:val="5"/>
        <w:bidi w:val="0"/>
        <w:jc w:val="right"/>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none" w:color="auto"/>
        </w:rPr>
        <w:t>供应商名称</w:t>
      </w:r>
      <w:r>
        <w:rPr>
          <w:rFonts w:hint="eastAsia" w:ascii="宋体" w:hAnsi="宋体" w:eastAsia="宋体" w:cs="宋体"/>
          <w:spacing w:val="1"/>
          <w:sz w:val="24"/>
          <w:szCs w:val="24"/>
          <w:highlight w:val="none"/>
          <w:u w:val="none" w:color="auto"/>
          <w:lang w:eastAsia="zh-CN"/>
        </w:rPr>
        <w:t>：</w:t>
      </w:r>
      <w:r>
        <w:rPr>
          <w:rFonts w:hint="eastAsia" w:ascii="宋体" w:hAnsi="宋体" w:eastAsia="宋体" w:cs="宋体"/>
          <w:spacing w:val="1"/>
          <w:sz w:val="24"/>
          <w:szCs w:val="24"/>
          <w:highlight w:val="none"/>
          <w:u w:val="single" w:color="auto"/>
          <w:lang w:val="en-US" w:eastAsia="zh-CN"/>
        </w:rPr>
        <w:t xml:space="preserve">           </w:t>
      </w:r>
      <w:r>
        <w:rPr>
          <w:rFonts w:hint="eastAsia" w:ascii="宋体" w:hAnsi="宋体" w:eastAsia="宋体" w:cs="宋体"/>
          <w:spacing w:val="1"/>
          <w:sz w:val="24"/>
          <w:szCs w:val="24"/>
          <w:highlight w:val="none"/>
        </w:rPr>
        <w:t>（加盖公章）</w:t>
      </w:r>
    </w:p>
    <w:p w14:paraId="522FE727">
      <w:pPr>
        <w:pStyle w:val="5"/>
        <w:spacing w:before="40" w:line="222" w:lineRule="auto"/>
        <w:ind w:left="4888" w:firstLine="624" w:firstLineChars="300"/>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年</w:t>
      </w:r>
      <w:r>
        <w:rPr>
          <w:rFonts w:hint="eastAsia" w:ascii="宋体" w:hAnsi="宋体" w:eastAsia="宋体" w:cs="宋体"/>
          <w:spacing w:val="17"/>
          <w:sz w:val="24"/>
          <w:szCs w:val="24"/>
          <w:highlight w:val="none"/>
        </w:rPr>
        <w:t xml:space="preserve">  </w:t>
      </w:r>
      <w:r>
        <w:rPr>
          <w:rFonts w:hint="eastAsia" w:ascii="宋体" w:hAnsi="宋体" w:eastAsia="宋体" w:cs="宋体"/>
          <w:spacing w:val="-16"/>
          <w:sz w:val="24"/>
          <w:szCs w:val="24"/>
          <w:highlight w:val="none"/>
        </w:rPr>
        <w:t>月</w:t>
      </w:r>
      <w:r>
        <w:rPr>
          <w:rFonts w:hint="eastAsia" w:ascii="宋体" w:hAnsi="宋体" w:eastAsia="宋体" w:cs="宋体"/>
          <w:spacing w:val="36"/>
          <w:sz w:val="24"/>
          <w:szCs w:val="24"/>
          <w:highlight w:val="none"/>
        </w:rPr>
        <w:t xml:space="preserve">  </w:t>
      </w:r>
      <w:r>
        <w:rPr>
          <w:rFonts w:hint="eastAsia" w:ascii="宋体" w:hAnsi="宋体" w:eastAsia="宋体" w:cs="宋体"/>
          <w:spacing w:val="-16"/>
          <w:sz w:val="24"/>
          <w:szCs w:val="24"/>
          <w:highlight w:val="none"/>
        </w:rPr>
        <w:t>日</w:t>
      </w:r>
    </w:p>
    <w:p w14:paraId="5BF7FA52">
      <w:pPr>
        <w:rPr>
          <w:rFonts w:hint="eastAsia" w:ascii="宋体" w:hAnsi="宋体" w:eastAsia="宋体" w:cs="宋体"/>
          <w:b/>
          <w:bCs/>
          <w:spacing w:val="-4"/>
          <w:sz w:val="30"/>
          <w:szCs w:val="30"/>
          <w:highlight w:val="none"/>
        </w:rPr>
      </w:pPr>
      <w:r>
        <w:rPr>
          <w:rFonts w:hint="eastAsia" w:ascii="宋体" w:hAnsi="宋体" w:eastAsia="宋体" w:cs="宋体"/>
          <w:b/>
          <w:bCs/>
          <w:spacing w:val="-4"/>
          <w:sz w:val="30"/>
          <w:szCs w:val="30"/>
          <w:highlight w:val="none"/>
        </w:rPr>
        <w:br w:type="page"/>
      </w:r>
    </w:p>
    <w:p w14:paraId="705BB5CB">
      <w:pPr>
        <w:pStyle w:val="5"/>
        <w:bidi w:val="0"/>
        <w:ind w:left="0" w:leftChars="0" w:firstLine="0" w:firstLineChars="0"/>
        <w:jc w:val="center"/>
        <w:rPr>
          <w:rFonts w:hint="eastAsia" w:ascii="宋体" w:hAnsi="宋体" w:eastAsia="宋体" w:cs="宋体"/>
          <w:b/>
          <w:bCs/>
          <w:sz w:val="28"/>
          <w:szCs w:val="32"/>
          <w:highlight w:val="none"/>
        </w:rPr>
      </w:pPr>
      <w:r>
        <w:rPr>
          <w:rFonts w:hint="eastAsia" w:ascii="宋体" w:hAnsi="宋体" w:eastAsia="宋体" w:cs="宋体"/>
          <w:b/>
          <w:bCs/>
          <w:sz w:val="28"/>
          <w:szCs w:val="32"/>
          <w:highlight w:val="none"/>
        </w:rPr>
        <w:t>监狱企业证明函</w:t>
      </w:r>
    </w:p>
    <w:p w14:paraId="3E8F4398">
      <w:pPr>
        <w:spacing w:line="254" w:lineRule="auto"/>
        <w:rPr>
          <w:rFonts w:hint="eastAsia" w:ascii="宋体" w:hAnsi="宋体" w:eastAsia="宋体" w:cs="宋体"/>
          <w:sz w:val="21"/>
          <w:highlight w:val="none"/>
        </w:rPr>
      </w:pPr>
    </w:p>
    <w:p w14:paraId="5A91C452">
      <w:pPr>
        <w:pStyle w:val="5"/>
        <w:spacing w:before="78" w:line="425" w:lineRule="auto"/>
        <w:ind w:left="15" w:right="2" w:firstLine="49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监狱企业参加政府采购活动，要求享受相关优惠政策的，应当提供由省级以上监</w:t>
      </w:r>
      <w:r>
        <w:rPr>
          <w:rFonts w:hint="eastAsia" w:ascii="宋体" w:hAnsi="宋体" w:eastAsia="宋体" w:cs="宋体"/>
          <w:spacing w:val="16"/>
          <w:sz w:val="24"/>
          <w:szCs w:val="24"/>
          <w:highlight w:val="none"/>
        </w:rPr>
        <w:t xml:space="preserve"> </w:t>
      </w:r>
      <w:r>
        <w:rPr>
          <w:rFonts w:hint="eastAsia" w:ascii="宋体" w:hAnsi="宋体" w:eastAsia="宋体" w:cs="宋体"/>
          <w:spacing w:val="3"/>
          <w:sz w:val="24"/>
          <w:szCs w:val="24"/>
          <w:highlight w:val="none"/>
        </w:rPr>
        <w:t>狱管理局、戒毒管理局（含新疆生产建设兵团）出具的属于监狱企</w:t>
      </w:r>
      <w:r>
        <w:rPr>
          <w:rFonts w:hint="eastAsia" w:ascii="宋体" w:hAnsi="宋体" w:eastAsia="宋体" w:cs="宋体"/>
          <w:spacing w:val="2"/>
          <w:sz w:val="24"/>
          <w:szCs w:val="24"/>
          <w:highlight w:val="none"/>
        </w:rPr>
        <w:t>业的证明文件。</w:t>
      </w:r>
    </w:p>
    <w:p w14:paraId="25F620F7">
      <w:pPr>
        <w:pStyle w:val="5"/>
        <w:spacing w:before="38" w:line="434" w:lineRule="auto"/>
        <w:ind w:left="16" w:right="2" w:firstLine="48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备注：财政部司法部《关于政府采购支持监狱企业发展有关问题的通知》（财库 </w:t>
      </w:r>
      <w:r>
        <w:rPr>
          <w:rFonts w:hint="eastAsia" w:ascii="宋体" w:hAnsi="宋体" w:eastAsia="宋体" w:cs="宋体"/>
          <w:spacing w:val="2"/>
          <w:sz w:val="24"/>
          <w:szCs w:val="24"/>
          <w:highlight w:val="none"/>
        </w:rPr>
        <w:t>〔2014〕68</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号）规定，监狱企业是指由司法部认定的为罪犯、戒毒人员提供生产项目</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和劳动对象，且全部产权属于司法部监狱管理局、</w:t>
      </w:r>
      <w:r>
        <w:rPr>
          <w:rFonts w:hint="eastAsia" w:ascii="宋体" w:hAnsi="宋体" w:eastAsia="宋体" w:cs="宋体"/>
          <w:spacing w:val="4"/>
          <w:sz w:val="24"/>
          <w:szCs w:val="24"/>
          <w:highlight w:val="none"/>
        </w:rPr>
        <w:t>戒毒管理局、直属煤矿管理局，各</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省、自治区、直辖市监狱管理局、戒毒管理局，各地（设区的市）监</w:t>
      </w:r>
      <w:r>
        <w:rPr>
          <w:rFonts w:hint="eastAsia" w:ascii="宋体" w:hAnsi="宋体" w:eastAsia="宋体" w:cs="宋体"/>
          <w:spacing w:val="2"/>
          <w:sz w:val="24"/>
          <w:szCs w:val="24"/>
          <w:highlight w:val="none"/>
        </w:rPr>
        <w:t>狱、强制隔离戒</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毒所、戒毒康复所，以及新疆生产建设兵团监狱管理局、</w:t>
      </w:r>
      <w:r>
        <w:rPr>
          <w:rFonts w:hint="eastAsia" w:ascii="宋体" w:hAnsi="宋体" w:eastAsia="宋体" w:cs="宋体"/>
          <w:spacing w:val="2"/>
          <w:sz w:val="24"/>
          <w:szCs w:val="24"/>
          <w:highlight w:val="none"/>
        </w:rPr>
        <w:t>戒毒管理局的企业。</w:t>
      </w:r>
    </w:p>
    <w:p w14:paraId="5BE443F3">
      <w:pPr>
        <w:spacing w:line="434" w:lineRule="auto"/>
        <w:rPr>
          <w:rFonts w:hint="eastAsia" w:ascii="宋体" w:hAnsi="宋体" w:eastAsia="宋体" w:cs="宋体"/>
          <w:sz w:val="24"/>
          <w:szCs w:val="24"/>
          <w:highlight w:val="none"/>
        </w:rPr>
        <w:sectPr>
          <w:headerReference r:id="rId50" w:type="default"/>
          <w:footerReference r:id="rId51" w:type="default"/>
          <w:pgSz w:w="11906" w:h="16839"/>
          <w:pgMar w:top="1134" w:right="1417" w:bottom="969" w:left="1418" w:header="862" w:footer="754" w:gutter="0"/>
          <w:pgNumType w:fmt="decimal"/>
          <w:cols w:space="720" w:num="1"/>
        </w:sectPr>
      </w:pPr>
    </w:p>
    <w:p w14:paraId="096C58E9">
      <w:pPr>
        <w:pStyle w:val="5"/>
        <w:bidi w:val="0"/>
        <w:ind w:left="0" w:leftChars="0" w:firstLine="0" w:firstLineChars="0"/>
        <w:jc w:val="center"/>
        <w:rPr>
          <w:rFonts w:hint="eastAsia" w:ascii="宋体" w:hAnsi="宋体" w:eastAsia="宋体" w:cs="宋体"/>
          <w:b/>
          <w:bCs/>
          <w:sz w:val="28"/>
          <w:szCs w:val="32"/>
          <w:highlight w:val="none"/>
        </w:rPr>
      </w:pPr>
      <w:r>
        <w:rPr>
          <w:rFonts w:hint="eastAsia" w:ascii="宋体" w:hAnsi="宋体" w:eastAsia="宋体" w:cs="宋体"/>
          <w:b/>
          <w:bCs/>
          <w:sz w:val="28"/>
          <w:szCs w:val="32"/>
          <w:highlight w:val="none"/>
        </w:rPr>
        <w:t>监狱企业、福利企业相关资格证明材料（如有）</w:t>
      </w:r>
    </w:p>
    <w:p w14:paraId="3D1759C2">
      <w:pPr>
        <w:spacing w:line="220" w:lineRule="auto"/>
        <w:rPr>
          <w:rFonts w:hint="eastAsia" w:ascii="宋体" w:hAnsi="宋体" w:eastAsia="宋体" w:cs="宋体"/>
          <w:sz w:val="30"/>
          <w:szCs w:val="30"/>
          <w:highlight w:val="none"/>
        </w:rPr>
        <w:sectPr>
          <w:footerReference r:id="rId52" w:type="default"/>
          <w:pgSz w:w="11906" w:h="16839"/>
          <w:pgMar w:top="1134" w:right="1417" w:bottom="969" w:left="1418" w:header="862" w:footer="754" w:gutter="0"/>
          <w:pgNumType w:fmt="decimal"/>
          <w:cols w:space="720" w:num="1"/>
        </w:sectPr>
      </w:pPr>
    </w:p>
    <w:p w14:paraId="3E3BC76D">
      <w:pPr>
        <w:pStyle w:val="5"/>
        <w:keepNext w:val="0"/>
        <w:keepLines w:val="0"/>
        <w:pageBreakBefore w:val="0"/>
        <w:widowControl/>
        <w:kinsoku w:val="0"/>
        <w:wordWrap/>
        <w:overflowPunct/>
        <w:topLinePunct w:val="0"/>
        <w:autoSpaceDE w:val="0"/>
        <w:autoSpaceDN w:val="0"/>
        <w:bidi w:val="0"/>
        <w:adjustRightInd w:val="0"/>
        <w:snapToGrid w:val="0"/>
        <w:spacing w:before="97" w:line="360" w:lineRule="auto"/>
        <w:ind w:left="0" w:leftChars="0" w:firstLine="0" w:firstLineChars="0"/>
        <w:jc w:val="center"/>
        <w:textAlignment w:val="baseline"/>
        <w:rPr>
          <w:rFonts w:hint="eastAsia" w:ascii="宋体" w:hAnsi="宋体" w:eastAsia="宋体" w:cs="宋体"/>
          <w:b/>
          <w:bCs/>
          <w:spacing w:val="-4"/>
          <w:sz w:val="30"/>
          <w:szCs w:val="30"/>
          <w:highlight w:val="none"/>
          <w:lang w:val="en-US" w:eastAsia="zh-CN"/>
        </w:rPr>
      </w:pPr>
      <w:r>
        <w:rPr>
          <w:rFonts w:hint="eastAsia" w:ascii="宋体" w:hAnsi="宋体" w:eastAsia="宋体" w:cs="宋体"/>
          <w:b/>
          <w:bCs/>
          <w:spacing w:val="-4"/>
          <w:sz w:val="30"/>
          <w:szCs w:val="30"/>
          <w:highlight w:val="none"/>
          <w:lang w:val="en-US" w:eastAsia="zh-CN"/>
        </w:rPr>
        <w:t>二、技术文件及服务方案</w:t>
      </w:r>
    </w:p>
    <w:p w14:paraId="1F0E6A3A">
      <w:pPr>
        <w:pStyle w:val="5"/>
        <w:bidi w:val="0"/>
        <w:rPr>
          <w:rFonts w:hint="eastAsia" w:ascii="宋体" w:hAnsi="宋体" w:eastAsia="宋体" w:cs="宋体"/>
          <w:highlight w:val="none"/>
        </w:rPr>
      </w:pPr>
      <w:r>
        <w:rPr>
          <w:rFonts w:hint="eastAsia" w:ascii="宋体" w:hAnsi="宋体" w:eastAsia="宋体" w:cs="宋体"/>
          <w:highlight w:val="none"/>
        </w:rPr>
        <w:t>按照磋商文件的要求编制。</w:t>
      </w:r>
    </w:p>
    <w:p w14:paraId="1DEB4E83">
      <w:pPr>
        <w:pStyle w:val="5"/>
        <w:bidi w:val="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服务方案</w:t>
      </w:r>
    </w:p>
    <w:p w14:paraId="76234E93">
      <w:pPr>
        <w:pStyle w:val="5"/>
        <w:bidi w:val="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类似项目业绩</w:t>
      </w:r>
    </w:p>
    <w:p w14:paraId="619EAC8F">
      <w:pPr>
        <w:pStyle w:val="5"/>
        <w:bidi w:val="0"/>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项目团队人员配置</w:t>
      </w:r>
    </w:p>
    <w:p w14:paraId="0F00DBB5">
      <w:pPr>
        <w:pStyle w:val="5"/>
        <w:bidi w:val="0"/>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服务保证措施</w:t>
      </w:r>
    </w:p>
    <w:p w14:paraId="479AB9E3">
      <w:pPr>
        <w:pStyle w:val="5"/>
        <w:bidi w:val="0"/>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应急预案</w:t>
      </w:r>
    </w:p>
    <w:p w14:paraId="5AD75DD4">
      <w:pPr>
        <w:pStyle w:val="5"/>
        <w:bidi w:val="0"/>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服务承诺</w:t>
      </w:r>
    </w:p>
    <w:p w14:paraId="77CDE1BA">
      <w:pPr>
        <w:pStyle w:val="5"/>
        <w:bidi w:val="0"/>
        <w:rPr>
          <w:rFonts w:hint="eastAsia" w:ascii="宋体" w:hAnsi="宋体" w:eastAsia="宋体" w:cs="宋体"/>
          <w:b/>
          <w:bCs/>
          <w:szCs w:val="24"/>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供应商认为有利于本次磋商的其他情况说明。</w:t>
      </w:r>
    </w:p>
    <w:p w14:paraId="5F0484A8">
      <w:pPr>
        <w:rPr>
          <w:rFonts w:hint="eastAsia" w:ascii="宋体" w:hAnsi="宋体" w:eastAsia="宋体" w:cs="宋体"/>
          <w:b/>
          <w:bCs/>
          <w:highlight w:val="none"/>
        </w:rPr>
      </w:pPr>
      <w:r>
        <w:rPr>
          <w:rFonts w:hint="eastAsia" w:ascii="宋体" w:hAnsi="宋体" w:eastAsia="宋体" w:cs="宋体"/>
          <w:b/>
          <w:bCs/>
          <w:highlight w:val="none"/>
        </w:rPr>
        <w:br w:type="page"/>
      </w:r>
    </w:p>
    <w:p w14:paraId="1FB71B30">
      <w:pPr>
        <w:bidi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附件一：信用承诺上报操作指南</w:t>
      </w:r>
    </w:p>
    <w:p w14:paraId="3E5A0796">
      <w:pPr>
        <w:pStyle w:val="5"/>
        <w:spacing w:line="263" w:lineRule="auto"/>
        <w:rPr>
          <w:rFonts w:hint="eastAsia" w:ascii="宋体" w:hAnsi="宋体" w:eastAsia="宋体" w:cs="宋体"/>
          <w:b w:val="0"/>
          <w:bCs w:val="0"/>
          <w:highlight w:val="none"/>
        </w:rPr>
      </w:pPr>
    </w:p>
    <w:p w14:paraId="442D33D1">
      <w:pPr>
        <w:spacing w:line="4985" w:lineRule="exact"/>
        <w:ind w:firstLine="14"/>
        <w:rPr>
          <w:rFonts w:hint="eastAsia" w:ascii="宋体" w:hAnsi="宋体" w:eastAsia="宋体" w:cs="宋体"/>
          <w:b w:val="0"/>
          <w:bCs w:val="0"/>
          <w:highlight w:val="none"/>
        </w:rPr>
      </w:pPr>
      <w:r>
        <w:rPr>
          <w:rFonts w:hint="eastAsia" w:ascii="宋体" w:hAnsi="宋体" w:eastAsia="宋体" w:cs="宋体"/>
          <w:b w:val="0"/>
          <w:bCs w:val="0"/>
          <w:position w:val="-99"/>
          <w:highlight w:val="none"/>
        </w:rPr>
        <w:drawing>
          <wp:inline distT="0" distB="0" distL="0" distR="0">
            <wp:extent cx="5554980" cy="3164840"/>
            <wp:effectExtent l="0" t="0" r="7620" b="16510"/>
            <wp:docPr id="5" name="IM 12"/>
            <wp:cNvGraphicFramePr/>
            <a:graphic xmlns:a="http://schemas.openxmlformats.org/drawingml/2006/main">
              <a:graphicData uri="http://schemas.openxmlformats.org/drawingml/2006/picture">
                <pic:pic xmlns:pic="http://schemas.openxmlformats.org/drawingml/2006/picture">
                  <pic:nvPicPr>
                    <pic:cNvPr id="5" name="IM 12"/>
                    <pic:cNvPicPr/>
                  </pic:nvPicPr>
                  <pic:blipFill>
                    <a:blip r:embed="rId70"/>
                    <a:stretch>
                      <a:fillRect/>
                    </a:stretch>
                  </pic:blipFill>
                  <pic:spPr>
                    <a:xfrm>
                      <a:off x="0" y="0"/>
                      <a:ext cx="5554980" cy="3165347"/>
                    </a:xfrm>
                    <a:prstGeom prst="rect">
                      <a:avLst/>
                    </a:prstGeom>
                  </pic:spPr>
                </pic:pic>
              </a:graphicData>
            </a:graphic>
          </wp:inline>
        </w:drawing>
      </w:r>
    </w:p>
    <w:p w14:paraId="3CC39081">
      <w:pPr>
        <w:pStyle w:val="5"/>
        <w:spacing w:line="251" w:lineRule="auto"/>
        <w:rPr>
          <w:rFonts w:hint="eastAsia" w:ascii="宋体" w:hAnsi="宋体" w:eastAsia="宋体" w:cs="宋体"/>
          <w:b w:val="0"/>
          <w:bCs w:val="0"/>
          <w:highlight w:val="none"/>
        </w:rPr>
      </w:pPr>
    </w:p>
    <w:p w14:paraId="052875D8">
      <w:pPr>
        <w:pStyle w:val="5"/>
        <w:spacing w:line="252" w:lineRule="auto"/>
        <w:rPr>
          <w:rFonts w:hint="eastAsia" w:ascii="宋体" w:hAnsi="宋体" w:eastAsia="宋体" w:cs="宋体"/>
          <w:b w:val="0"/>
          <w:bCs w:val="0"/>
          <w:highlight w:val="none"/>
        </w:rPr>
      </w:pPr>
    </w:p>
    <w:p w14:paraId="59843AA9">
      <w:pPr>
        <w:spacing w:line="4949" w:lineRule="exact"/>
        <w:ind w:firstLine="14"/>
        <w:rPr>
          <w:rFonts w:hint="eastAsia" w:ascii="宋体" w:hAnsi="宋体" w:eastAsia="宋体" w:cs="宋体"/>
          <w:b w:val="0"/>
          <w:bCs w:val="0"/>
          <w:highlight w:val="none"/>
        </w:rPr>
      </w:pPr>
      <w:r>
        <w:rPr>
          <w:rFonts w:hint="eastAsia" w:ascii="宋体" w:hAnsi="宋体" w:eastAsia="宋体" w:cs="宋体"/>
          <w:b w:val="0"/>
          <w:bCs w:val="0"/>
          <w:position w:val="-98"/>
          <w:highlight w:val="none"/>
        </w:rPr>
        <w:drawing>
          <wp:inline distT="0" distB="0" distL="0" distR="0">
            <wp:extent cx="5624830" cy="3141980"/>
            <wp:effectExtent l="0" t="0" r="13970" b="1270"/>
            <wp:docPr id="51" name="IM 14"/>
            <wp:cNvGraphicFramePr/>
            <a:graphic xmlns:a="http://schemas.openxmlformats.org/drawingml/2006/main">
              <a:graphicData uri="http://schemas.openxmlformats.org/drawingml/2006/picture">
                <pic:pic xmlns:pic="http://schemas.openxmlformats.org/drawingml/2006/picture">
                  <pic:nvPicPr>
                    <pic:cNvPr id="51" name="IM 14"/>
                    <pic:cNvPicPr/>
                  </pic:nvPicPr>
                  <pic:blipFill>
                    <a:blip r:embed="rId71"/>
                    <a:stretch>
                      <a:fillRect/>
                    </a:stretch>
                  </pic:blipFill>
                  <pic:spPr>
                    <a:xfrm>
                      <a:off x="0" y="0"/>
                      <a:ext cx="5625083" cy="3142488"/>
                    </a:xfrm>
                    <a:prstGeom prst="rect">
                      <a:avLst/>
                    </a:prstGeom>
                  </pic:spPr>
                </pic:pic>
              </a:graphicData>
            </a:graphic>
          </wp:inline>
        </w:drawing>
      </w:r>
    </w:p>
    <w:p w14:paraId="5F6E7999">
      <w:pPr>
        <w:spacing w:line="4949" w:lineRule="exact"/>
        <w:rPr>
          <w:rFonts w:hint="eastAsia" w:ascii="宋体" w:hAnsi="宋体" w:eastAsia="宋体" w:cs="宋体"/>
          <w:b w:val="0"/>
          <w:bCs w:val="0"/>
          <w:highlight w:val="none"/>
        </w:rPr>
        <w:sectPr>
          <w:headerReference r:id="rId53" w:type="default"/>
          <w:footerReference r:id="rId54"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p>
    <w:p w14:paraId="7AE239A3">
      <w:pPr>
        <w:spacing w:before="114" w:line="4778" w:lineRule="exact"/>
        <w:ind w:firstLine="14"/>
        <w:rPr>
          <w:rFonts w:hint="eastAsia" w:ascii="宋体" w:hAnsi="宋体" w:eastAsia="宋体" w:cs="宋体"/>
          <w:b w:val="0"/>
          <w:bCs w:val="0"/>
          <w:highlight w:val="none"/>
        </w:rPr>
      </w:pPr>
      <w:r>
        <w:rPr>
          <w:rFonts w:hint="eastAsia" w:ascii="宋体" w:hAnsi="宋体" w:eastAsia="宋体" w:cs="宋体"/>
          <w:b w:val="0"/>
          <w:bCs w:val="0"/>
          <w:position w:val="-95"/>
          <w:highlight w:val="none"/>
        </w:rPr>
        <w:drawing>
          <wp:inline distT="0" distB="0" distL="0" distR="0">
            <wp:extent cx="5380990" cy="3034030"/>
            <wp:effectExtent l="0" t="0" r="10160" b="13970"/>
            <wp:docPr id="54" name="IM 16"/>
            <wp:cNvGraphicFramePr/>
            <a:graphic xmlns:a="http://schemas.openxmlformats.org/drawingml/2006/main">
              <a:graphicData uri="http://schemas.openxmlformats.org/drawingml/2006/picture">
                <pic:pic xmlns:pic="http://schemas.openxmlformats.org/drawingml/2006/picture">
                  <pic:nvPicPr>
                    <pic:cNvPr id="54" name="IM 16"/>
                    <pic:cNvPicPr/>
                  </pic:nvPicPr>
                  <pic:blipFill>
                    <a:blip r:embed="rId72"/>
                    <a:stretch>
                      <a:fillRect/>
                    </a:stretch>
                  </pic:blipFill>
                  <pic:spPr>
                    <a:xfrm>
                      <a:off x="0" y="0"/>
                      <a:ext cx="5381243" cy="3034283"/>
                    </a:xfrm>
                    <a:prstGeom prst="rect">
                      <a:avLst/>
                    </a:prstGeom>
                  </pic:spPr>
                </pic:pic>
              </a:graphicData>
            </a:graphic>
          </wp:inline>
        </w:drawing>
      </w:r>
    </w:p>
    <w:p w14:paraId="6F9C5916">
      <w:pPr>
        <w:pStyle w:val="5"/>
        <w:spacing w:line="246" w:lineRule="auto"/>
        <w:rPr>
          <w:rFonts w:hint="eastAsia" w:ascii="宋体" w:hAnsi="宋体" w:eastAsia="宋体" w:cs="宋体"/>
          <w:b w:val="0"/>
          <w:bCs w:val="0"/>
          <w:highlight w:val="none"/>
        </w:rPr>
      </w:pPr>
    </w:p>
    <w:p w14:paraId="2FABC546">
      <w:pPr>
        <w:pStyle w:val="5"/>
        <w:spacing w:line="247" w:lineRule="auto"/>
        <w:rPr>
          <w:rFonts w:hint="eastAsia" w:ascii="宋体" w:hAnsi="宋体" w:eastAsia="宋体" w:cs="宋体"/>
          <w:b w:val="0"/>
          <w:bCs w:val="0"/>
          <w:highlight w:val="none"/>
        </w:rPr>
      </w:pPr>
    </w:p>
    <w:p w14:paraId="1336ECBC">
      <w:pPr>
        <w:spacing w:line="4855" w:lineRule="exact"/>
        <w:ind w:firstLine="14"/>
        <w:rPr>
          <w:rFonts w:hint="eastAsia" w:ascii="宋体" w:hAnsi="宋体" w:eastAsia="宋体" w:cs="宋体"/>
          <w:b w:val="0"/>
          <w:bCs w:val="0"/>
          <w:highlight w:val="none"/>
        </w:rPr>
      </w:pPr>
      <w:r>
        <w:rPr>
          <w:rFonts w:hint="eastAsia" w:ascii="宋体" w:hAnsi="宋体" w:eastAsia="宋体" w:cs="宋体"/>
          <w:b w:val="0"/>
          <w:bCs w:val="0"/>
          <w:position w:val="-97"/>
          <w:highlight w:val="none"/>
        </w:rPr>
        <w:drawing>
          <wp:inline distT="0" distB="0" distL="0" distR="0">
            <wp:extent cx="5437505" cy="3082925"/>
            <wp:effectExtent l="0" t="0" r="10795" b="3175"/>
            <wp:docPr id="55" name="IM 18"/>
            <wp:cNvGraphicFramePr/>
            <a:graphic xmlns:a="http://schemas.openxmlformats.org/drawingml/2006/main">
              <a:graphicData uri="http://schemas.openxmlformats.org/drawingml/2006/picture">
                <pic:pic xmlns:pic="http://schemas.openxmlformats.org/drawingml/2006/picture">
                  <pic:nvPicPr>
                    <pic:cNvPr id="55" name="IM 18"/>
                    <pic:cNvPicPr/>
                  </pic:nvPicPr>
                  <pic:blipFill>
                    <a:blip r:embed="rId73"/>
                    <a:stretch>
                      <a:fillRect/>
                    </a:stretch>
                  </pic:blipFill>
                  <pic:spPr>
                    <a:xfrm>
                      <a:off x="0" y="0"/>
                      <a:ext cx="5437632" cy="3083052"/>
                    </a:xfrm>
                    <a:prstGeom prst="rect">
                      <a:avLst/>
                    </a:prstGeom>
                  </pic:spPr>
                </pic:pic>
              </a:graphicData>
            </a:graphic>
          </wp:inline>
        </w:drawing>
      </w:r>
    </w:p>
    <w:p w14:paraId="57B83CCD">
      <w:pPr>
        <w:spacing w:line="4855" w:lineRule="exact"/>
        <w:rPr>
          <w:rFonts w:hint="eastAsia" w:ascii="宋体" w:hAnsi="宋体" w:eastAsia="宋体" w:cs="宋体"/>
          <w:b w:val="0"/>
          <w:bCs w:val="0"/>
          <w:highlight w:val="none"/>
        </w:rPr>
        <w:sectPr>
          <w:headerReference r:id="rId55" w:type="default"/>
          <w:footerReference r:id="rId56"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p>
    <w:p w14:paraId="63333136">
      <w:pPr>
        <w:spacing w:before="114" w:line="4788" w:lineRule="exact"/>
        <w:ind w:firstLine="14"/>
        <w:rPr>
          <w:rFonts w:hint="eastAsia" w:ascii="宋体" w:hAnsi="宋体" w:eastAsia="宋体" w:cs="宋体"/>
          <w:b w:val="0"/>
          <w:bCs w:val="0"/>
          <w:highlight w:val="none"/>
        </w:rPr>
      </w:pPr>
      <w:r>
        <w:rPr>
          <w:rFonts w:hint="eastAsia" w:ascii="宋体" w:hAnsi="宋体" w:eastAsia="宋体" w:cs="宋体"/>
          <w:b w:val="0"/>
          <w:bCs w:val="0"/>
          <w:position w:val="-95"/>
          <w:highlight w:val="none"/>
        </w:rPr>
        <w:drawing>
          <wp:inline distT="0" distB="0" distL="0" distR="0">
            <wp:extent cx="5376545" cy="3039745"/>
            <wp:effectExtent l="0" t="0" r="14605" b="8255"/>
            <wp:docPr id="56" name="IM 20"/>
            <wp:cNvGraphicFramePr/>
            <a:graphic xmlns:a="http://schemas.openxmlformats.org/drawingml/2006/main">
              <a:graphicData uri="http://schemas.openxmlformats.org/drawingml/2006/picture">
                <pic:pic xmlns:pic="http://schemas.openxmlformats.org/drawingml/2006/picture">
                  <pic:nvPicPr>
                    <pic:cNvPr id="56" name="IM 20"/>
                    <pic:cNvPicPr/>
                  </pic:nvPicPr>
                  <pic:blipFill>
                    <a:blip r:embed="rId74"/>
                    <a:stretch>
                      <a:fillRect/>
                    </a:stretch>
                  </pic:blipFill>
                  <pic:spPr>
                    <a:xfrm>
                      <a:off x="0" y="0"/>
                      <a:ext cx="5376671" cy="3040379"/>
                    </a:xfrm>
                    <a:prstGeom prst="rect">
                      <a:avLst/>
                    </a:prstGeom>
                  </pic:spPr>
                </pic:pic>
              </a:graphicData>
            </a:graphic>
          </wp:inline>
        </w:drawing>
      </w:r>
    </w:p>
    <w:p w14:paraId="6E6199E2">
      <w:pPr>
        <w:pStyle w:val="5"/>
        <w:spacing w:line="271" w:lineRule="auto"/>
        <w:rPr>
          <w:rFonts w:hint="eastAsia" w:ascii="宋体" w:hAnsi="宋体" w:eastAsia="宋体" w:cs="宋体"/>
          <w:b w:val="0"/>
          <w:bCs w:val="0"/>
          <w:highlight w:val="none"/>
        </w:rPr>
      </w:pPr>
    </w:p>
    <w:p w14:paraId="251DF382">
      <w:pPr>
        <w:pStyle w:val="5"/>
        <w:spacing w:line="272" w:lineRule="auto"/>
        <w:rPr>
          <w:rFonts w:hint="eastAsia" w:ascii="宋体" w:hAnsi="宋体" w:eastAsia="宋体" w:cs="宋体"/>
          <w:b w:val="0"/>
          <w:bCs w:val="0"/>
          <w:highlight w:val="none"/>
        </w:rPr>
      </w:pPr>
    </w:p>
    <w:p w14:paraId="71F308AA">
      <w:pPr>
        <w:spacing w:line="4731" w:lineRule="exact"/>
        <w:ind w:firstLine="14"/>
        <w:rPr>
          <w:rFonts w:hint="eastAsia" w:ascii="宋体" w:hAnsi="宋体" w:eastAsia="宋体" w:cs="宋体"/>
          <w:b w:val="0"/>
          <w:bCs w:val="0"/>
          <w:highlight w:val="none"/>
        </w:rPr>
      </w:pPr>
      <w:r>
        <w:rPr>
          <w:rFonts w:hint="eastAsia" w:ascii="宋体" w:hAnsi="宋体" w:eastAsia="宋体" w:cs="宋体"/>
          <w:b w:val="0"/>
          <w:bCs w:val="0"/>
          <w:position w:val="-94"/>
          <w:highlight w:val="none"/>
        </w:rPr>
        <w:drawing>
          <wp:inline distT="0" distB="0" distL="0" distR="0">
            <wp:extent cx="5325745" cy="3003550"/>
            <wp:effectExtent l="0" t="0" r="8255" b="6350"/>
            <wp:docPr id="57" name="IM 22"/>
            <wp:cNvGraphicFramePr/>
            <a:graphic xmlns:a="http://schemas.openxmlformats.org/drawingml/2006/main">
              <a:graphicData uri="http://schemas.openxmlformats.org/drawingml/2006/picture">
                <pic:pic xmlns:pic="http://schemas.openxmlformats.org/drawingml/2006/picture">
                  <pic:nvPicPr>
                    <pic:cNvPr id="57" name="IM 22"/>
                    <pic:cNvPicPr/>
                  </pic:nvPicPr>
                  <pic:blipFill>
                    <a:blip r:embed="rId75"/>
                    <a:stretch>
                      <a:fillRect/>
                    </a:stretch>
                  </pic:blipFill>
                  <pic:spPr>
                    <a:xfrm>
                      <a:off x="0" y="0"/>
                      <a:ext cx="5326379" cy="3003804"/>
                    </a:xfrm>
                    <a:prstGeom prst="rect">
                      <a:avLst/>
                    </a:prstGeom>
                  </pic:spPr>
                </pic:pic>
              </a:graphicData>
            </a:graphic>
          </wp:inline>
        </w:drawing>
      </w:r>
    </w:p>
    <w:p w14:paraId="2CA7807D">
      <w:pPr>
        <w:spacing w:line="4731" w:lineRule="exact"/>
        <w:rPr>
          <w:rFonts w:hint="eastAsia" w:ascii="宋体" w:hAnsi="宋体" w:eastAsia="宋体" w:cs="宋体"/>
          <w:b w:val="0"/>
          <w:bCs w:val="0"/>
          <w:highlight w:val="none"/>
        </w:rPr>
        <w:sectPr>
          <w:headerReference r:id="rId57" w:type="default"/>
          <w:footerReference r:id="rId58"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p>
    <w:p w14:paraId="003639A4">
      <w:pPr>
        <w:spacing w:before="145" w:line="4728" w:lineRule="exact"/>
        <w:ind w:firstLine="14"/>
        <w:rPr>
          <w:rFonts w:hint="eastAsia" w:ascii="宋体" w:hAnsi="宋体" w:eastAsia="宋体" w:cs="宋体"/>
          <w:b w:val="0"/>
          <w:bCs w:val="0"/>
          <w:highlight w:val="none"/>
        </w:rPr>
      </w:pPr>
      <w:r>
        <w:rPr>
          <w:rFonts w:hint="eastAsia" w:ascii="宋体" w:hAnsi="宋体" w:eastAsia="宋体" w:cs="宋体"/>
          <w:b w:val="0"/>
          <w:bCs w:val="0"/>
          <w:position w:val="-94"/>
          <w:highlight w:val="none"/>
        </w:rPr>
        <w:drawing>
          <wp:inline distT="0" distB="0" distL="0" distR="0">
            <wp:extent cx="5290820" cy="3002280"/>
            <wp:effectExtent l="0" t="0" r="5080" b="7620"/>
            <wp:docPr id="58" name="IM 24"/>
            <wp:cNvGraphicFramePr/>
            <a:graphic xmlns:a="http://schemas.openxmlformats.org/drawingml/2006/main">
              <a:graphicData uri="http://schemas.openxmlformats.org/drawingml/2006/picture">
                <pic:pic xmlns:pic="http://schemas.openxmlformats.org/drawingml/2006/picture">
                  <pic:nvPicPr>
                    <pic:cNvPr id="58" name="IM 24"/>
                    <pic:cNvPicPr/>
                  </pic:nvPicPr>
                  <pic:blipFill>
                    <a:blip r:embed="rId76"/>
                    <a:stretch>
                      <a:fillRect/>
                    </a:stretch>
                  </pic:blipFill>
                  <pic:spPr>
                    <a:xfrm>
                      <a:off x="0" y="0"/>
                      <a:ext cx="5291328" cy="3002280"/>
                    </a:xfrm>
                    <a:prstGeom prst="rect">
                      <a:avLst/>
                    </a:prstGeom>
                  </pic:spPr>
                </pic:pic>
              </a:graphicData>
            </a:graphic>
          </wp:inline>
        </w:drawing>
      </w:r>
    </w:p>
    <w:p w14:paraId="42006072">
      <w:pPr>
        <w:pStyle w:val="5"/>
        <w:spacing w:line="256" w:lineRule="auto"/>
        <w:rPr>
          <w:rFonts w:hint="eastAsia" w:ascii="宋体" w:hAnsi="宋体" w:eastAsia="宋体" w:cs="宋体"/>
          <w:b w:val="0"/>
          <w:bCs w:val="0"/>
          <w:highlight w:val="none"/>
        </w:rPr>
      </w:pPr>
    </w:p>
    <w:p w14:paraId="7837BFC3">
      <w:pPr>
        <w:pStyle w:val="5"/>
        <w:spacing w:line="256" w:lineRule="auto"/>
        <w:rPr>
          <w:rFonts w:hint="eastAsia" w:ascii="宋体" w:hAnsi="宋体" w:eastAsia="宋体" w:cs="宋体"/>
          <w:b w:val="0"/>
          <w:bCs w:val="0"/>
          <w:highlight w:val="none"/>
        </w:rPr>
      </w:pPr>
    </w:p>
    <w:p w14:paraId="41656452">
      <w:pPr>
        <w:spacing w:line="4834" w:lineRule="exact"/>
        <w:ind w:firstLine="14"/>
        <w:rPr>
          <w:rFonts w:hint="eastAsia" w:ascii="宋体" w:hAnsi="宋体" w:eastAsia="宋体" w:cs="宋体"/>
          <w:b w:val="0"/>
          <w:bCs w:val="0"/>
          <w:highlight w:val="none"/>
        </w:rPr>
      </w:pPr>
      <w:r>
        <w:rPr>
          <w:rFonts w:hint="eastAsia" w:ascii="宋体" w:hAnsi="宋体" w:eastAsia="宋体" w:cs="宋体"/>
          <w:b w:val="0"/>
          <w:bCs w:val="0"/>
          <w:position w:val="-96"/>
          <w:highlight w:val="none"/>
        </w:rPr>
        <w:drawing>
          <wp:inline distT="0" distB="0" distL="0" distR="0">
            <wp:extent cx="5407025" cy="3068955"/>
            <wp:effectExtent l="0" t="0" r="3175" b="17145"/>
            <wp:docPr id="59" name="IM 26"/>
            <wp:cNvGraphicFramePr/>
            <a:graphic xmlns:a="http://schemas.openxmlformats.org/drawingml/2006/main">
              <a:graphicData uri="http://schemas.openxmlformats.org/drawingml/2006/picture">
                <pic:pic xmlns:pic="http://schemas.openxmlformats.org/drawingml/2006/picture">
                  <pic:nvPicPr>
                    <pic:cNvPr id="59" name="IM 26"/>
                    <pic:cNvPicPr/>
                  </pic:nvPicPr>
                  <pic:blipFill>
                    <a:blip r:embed="rId77"/>
                    <a:stretch>
                      <a:fillRect/>
                    </a:stretch>
                  </pic:blipFill>
                  <pic:spPr>
                    <a:xfrm>
                      <a:off x="0" y="0"/>
                      <a:ext cx="5407152" cy="3069335"/>
                    </a:xfrm>
                    <a:prstGeom prst="rect">
                      <a:avLst/>
                    </a:prstGeom>
                  </pic:spPr>
                </pic:pic>
              </a:graphicData>
            </a:graphic>
          </wp:inline>
        </w:drawing>
      </w:r>
    </w:p>
    <w:p w14:paraId="4DAB1344">
      <w:pPr>
        <w:spacing w:line="4834" w:lineRule="exact"/>
        <w:rPr>
          <w:rFonts w:hint="eastAsia" w:ascii="宋体" w:hAnsi="宋体" w:eastAsia="宋体" w:cs="宋体"/>
          <w:b w:val="0"/>
          <w:bCs w:val="0"/>
          <w:highlight w:val="none"/>
        </w:rPr>
        <w:sectPr>
          <w:headerReference r:id="rId59" w:type="default"/>
          <w:footerReference r:id="rId60"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p>
    <w:p w14:paraId="1A4D76BA">
      <w:pPr>
        <w:spacing w:before="54" w:line="4908" w:lineRule="exact"/>
        <w:ind w:firstLine="14"/>
        <w:rPr>
          <w:rFonts w:hint="eastAsia" w:ascii="宋体" w:hAnsi="宋体" w:eastAsia="宋体" w:cs="宋体"/>
          <w:b w:val="0"/>
          <w:bCs w:val="0"/>
          <w:highlight w:val="none"/>
        </w:rPr>
      </w:pPr>
      <w:r>
        <w:rPr>
          <w:rFonts w:hint="eastAsia" w:ascii="宋体" w:hAnsi="宋体" w:eastAsia="宋体" w:cs="宋体"/>
          <w:b w:val="0"/>
          <w:bCs w:val="0"/>
          <w:position w:val="-98"/>
          <w:highlight w:val="none"/>
        </w:rPr>
        <w:drawing>
          <wp:inline distT="0" distB="0" distL="0" distR="0">
            <wp:extent cx="5537835" cy="3115945"/>
            <wp:effectExtent l="0" t="0" r="5715" b="8255"/>
            <wp:docPr id="60" name="IM 28"/>
            <wp:cNvGraphicFramePr/>
            <a:graphic xmlns:a="http://schemas.openxmlformats.org/drawingml/2006/main">
              <a:graphicData uri="http://schemas.openxmlformats.org/drawingml/2006/picture">
                <pic:pic xmlns:pic="http://schemas.openxmlformats.org/drawingml/2006/picture">
                  <pic:nvPicPr>
                    <pic:cNvPr id="60" name="IM 28"/>
                    <pic:cNvPicPr/>
                  </pic:nvPicPr>
                  <pic:blipFill>
                    <a:blip r:embed="rId78"/>
                    <a:stretch>
                      <a:fillRect/>
                    </a:stretch>
                  </pic:blipFill>
                  <pic:spPr>
                    <a:xfrm>
                      <a:off x="0" y="0"/>
                      <a:ext cx="5538215" cy="3116579"/>
                    </a:xfrm>
                    <a:prstGeom prst="rect">
                      <a:avLst/>
                    </a:prstGeom>
                  </pic:spPr>
                </pic:pic>
              </a:graphicData>
            </a:graphic>
          </wp:inline>
        </w:drawing>
      </w:r>
    </w:p>
    <w:p w14:paraId="6AF7232E">
      <w:pPr>
        <w:pStyle w:val="5"/>
        <w:spacing w:line="393" w:lineRule="auto"/>
        <w:rPr>
          <w:rFonts w:hint="eastAsia" w:ascii="宋体" w:hAnsi="宋体" w:eastAsia="宋体" w:cs="宋体"/>
          <w:b w:val="0"/>
          <w:bCs w:val="0"/>
          <w:highlight w:val="none"/>
        </w:rPr>
      </w:pPr>
    </w:p>
    <w:p w14:paraId="13EDD7C2">
      <w:pPr>
        <w:spacing w:line="4908" w:lineRule="exact"/>
        <w:ind w:firstLine="14"/>
        <w:rPr>
          <w:rFonts w:hint="eastAsia" w:ascii="宋体" w:hAnsi="宋体" w:eastAsia="宋体" w:cs="宋体"/>
          <w:b w:val="0"/>
          <w:bCs w:val="0"/>
          <w:highlight w:val="none"/>
        </w:rPr>
      </w:pPr>
      <w:r>
        <w:rPr>
          <w:rFonts w:hint="eastAsia" w:ascii="宋体" w:hAnsi="宋体" w:eastAsia="宋体" w:cs="宋体"/>
          <w:b w:val="0"/>
          <w:bCs w:val="0"/>
          <w:position w:val="-98"/>
          <w:highlight w:val="none"/>
        </w:rPr>
        <w:drawing>
          <wp:inline distT="0" distB="0" distL="0" distR="0">
            <wp:extent cx="5568315" cy="3115945"/>
            <wp:effectExtent l="0" t="0" r="13335" b="8255"/>
            <wp:docPr id="61" name="IM 30"/>
            <wp:cNvGraphicFramePr/>
            <a:graphic xmlns:a="http://schemas.openxmlformats.org/drawingml/2006/main">
              <a:graphicData uri="http://schemas.openxmlformats.org/drawingml/2006/picture">
                <pic:pic xmlns:pic="http://schemas.openxmlformats.org/drawingml/2006/picture">
                  <pic:nvPicPr>
                    <pic:cNvPr id="61" name="IM 30"/>
                    <pic:cNvPicPr/>
                  </pic:nvPicPr>
                  <pic:blipFill>
                    <a:blip r:embed="rId79"/>
                    <a:stretch>
                      <a:fillRect/>
                    </a:stretch>
                  </pic:blipFill>
                  <pic:spPr>
                    <a:xfrm>
                      <a:off x="0" y="0"/>
                      <a:ext cx="5568695" cy="3116579"/>
                    </a:xfrm>
                    <a:prstGeom prst="rect">
                      <a:avLst/>
                    </a:prstGeom>
                  </pic:spPr>
                </pic:pic>
              </a:graphicData>
            </a:graphic>
          </wp:inline>
        </w:drawing>
      </w:r>
    </w:p>
    <w:p w14:paraId="399BF533">
      <w:pPr>
        <w:spacing w:line="4908" w:lineRule="exact"/>
        <w:rPr>
          <w:rFonts w:hint="eastAsia" w:ascii="宋体" w:hAnsi="宋体" w:eastAsia="宋体" w:cs="宋体"/>
          <w:b w:val="0"/>
          <w:bCs w:val="0"/>
          <w:highlight w:val="none"/>
        </w:rPr>
        <w:sectPr>
          <w:headerReference r:id="rId61" w:type="default"/>
          <w:footerReference r:id="rId62"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p>
    <w:p w14:paraId="3CA1B73E">
      <w:pPr>
        <w:pStyle w:val="5"/>
        <w:spacing w:line="243" w:lineRule="auto"/>
        <w:rPr>
          <w:rFonts w:hint="eastAsia" w:ascii="宋体" w:hAnsi="宋体" w:eastAsia="宋体" w:cs="宋体"/>
          <w:b w:val="0"/>
          <w:bCs w:val="0"/>
          <w:highlight w:val="none"/>
        </w:rPr>
      </w:pPr>
    </w:p>
    <w:p w14:paraId="0DA01C03">
      <w:pPr>
        <w:spacing w:before="58" w:line="4961" w:lineRule="exact"/>
        <w:rPr>
          <w:rFonts w:hint="eastAsia" w:ascii="宋体" w:hAnsi="宋体" w:eastAsia="宋体" w:cs="宋体"/>
          <w:b w:val="0"/>
          <w:bCs w:val="0"/>
          <w:highlight w:val="none"/>
        </w:rPr>
      </w:pPr>
      <w:r>
        <w:rPr>
          <w:rFonts w:hint="eastAsia" w:ascii="宋体" w:hAnsi="宋体" w:eastAsia="宋体" w:cs="宋体"/>
          <w:b w:val="0"/>
          <w:bCs w:val="0"/>
          <w:position w:val="-99"/>
          <w:highlight w:val="none"/>
        </w:rPr>
        <w:drawing>
          <wp:inline distT="0" distB="0" distL="0" distR="0">
            <wp:extent cx="5584825" cy="3149600"/>
            <wp:effectExtent l="0" t="0" r="15875" b="12700"/>
            <wp:docPr id="62" name="IM 32"/>
            <wp:cNvGraphicFramePr/>
            <a:graphic xmlns:a="http://schemas.openxmlformats.org/drawingml/2006/main">
              <a:graphicData uri="http://schemas.openxmlformats.org/drawingml/2006/picture">
                <pic:pic xmlns:pic="http://schemas.openxmlformats.org/drawingml/2006/picture">
                  <pic:nvPicPr>
                    <pic:cNvPr id="62" name="IM 32"/>
                    <pic:cNvPicPr/>
                  </pic:nvPicPr>
                  <pic:blipFill>
                    <a:blip r:embed="rId80"/>
                    <a:stretch>
                      <a:fillRect/>
                    </a:stretch>
                  </pic:blipFill>
                  <pic:spPr>
                    <a:xfrm>
                      <a:off x="0" y="0"/>
                      <a:ext cx="5585459" cy="3150107"/>
                    </a:xfrm>
                    <a:prstGeom prst="rect">
                      <a:avLst/>
                    </a:prstGeom>
                  </pic:spPr>
                </pic:pic>
              </a:graphicData>
            </a:graphic>
          </wp:inline>
        </w:drawing>
      </w:r>
    </w:p>
    <w:p w14:paraId="32A816FF">
      <w:pPr>
        <w:spacing w:line="4961" w:lineRule="exact"/>
        <w:rPr>
          <w:rFonts w:hint="eastAsia" w:ascii="宋体" w:hAnsi="宋体" w:eastAsia="宋体" w:cs="宋体"/>
          <w:b w:val="0"/>
          <w:bCs w:val="0"/>
          <w:highlight w:val="none"/>
        </w:rPr>
        <w:sectPr>
          <w:headerReference r:id="rId63" w:type="default"/>
          <w:footerReference r:id="rId64" w:type="default"/>
          <w:pgSz w:w="11906" w:h="16839"/>
          <w:pgMar w:top="1440" w:right="1417" w:bottom="1440" w:left="1417" w:header="1196" w:footer="1094"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auto"/>
          <w:highlight w:val="none"/>
        </w:rPr>
        <w:drawing>
          <wp:inline distT="0" distB="0" distL="114300" distR="114300">
            <wp:extent cx="6181090" cy="3072130"/>
            <wp:effectExtent l="0" t="0" r="10160" b="13970"/>
            <wp:docPr id="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
                    <pic:cNvPicPr>
                      <a:picLocks noChangeAspect="1"/>
                    </pic:cNvPicPr>
                  </pic:nvPicPr>
                  <pic:blipFill>
                    <a:blip r:embed="rId81"/>
                    <a:stretch>
                      <a:fillRect/>
                    </a:stretch>
                  </pic:blipFill>
                  <pic:spPr>
                    <a:xfrm>
                      <a:off x="0" y="0"/>
                      <a:ext cx="6181090" cy="3072130"/>
                    </a:xfrm>
                    <a:prstGeom prst="rect">
                      <a:avLst/>
                    </a:prstGeom>
                    <a:noFill/>
                    <a:ln>
                      <a:noFill/>
                    </a:ln>
                  </pic:spPr>
                </pic:pic>
              </a:graphicData>
            </a:graphic>
          </wp:inline>
        </w:drawing>
      </w:r>
    </w:p>
    <w:p w14:paraId="32AD21B7">
      <w:pPr>
        <w:bidi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附件二：中小微企业划型标准</w:t>
      </w:r>
    </w:p>
    <w:p w14:paraId="75A57A4B">
      <w:pPr>
        <w:spacing w:line="119" w:lineRule="exact"/>
        <w:rPr>
          <w:rFonts w:hint="eastAsia" w:ascii="宋体" w:hAnsi="宋体" w:eastAsia="宋体" w:cs="宋体"/>
          <w:b w:val="0"/>
          <w:bCs w:val="0"/>
          <w:highlight w:val="none"/>
        </w:rPr>
      </w:pPr>
    </w:p>
    <w:tbl>
      <w:tblPr>
        <w:tblStyle w:val="12"/>
        <w:tblW w:w="9560" w:type="dxa"/>
        <w:tblInd w:w="-338"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860"/>
        <w:gridCol w:w="2374"/>
        <w:gridCol w:w="834"/>
        <w:gridCol w:w="21"/>
        <w:gridCol w:w="1882"/>
        <w:gridCol w:w="21"/>
        <w:gridCol w:w="1582"/>
        <w:gridCol w:w="962"/>
        <w:gridCol w:w="24"/>
      </w:tblGrid>
      <w:tr w14:paraId="57EC49C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53" w:hRule="atLeast"/>
        </w:trPr>
        <w:tc>
          <w:tcPr>
            <w:tcW w:w="9560" w:type="dxa"/>
            <w:gridSpan w:val="9"/>
            <w:vAlign w:val="center"/>
          </w:tcPr>
          <w:p w14:paraId="2364987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中小微企业划型标准如下：</w:t>
            </w:r>
          </w:p>
        </w:tc>
      </w:tr>
      <w:tr w14:paraId="26715B2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59" w:hRule="atLeast"/>
        </w:trPr>
        <w:tc>
          <w:tcPr>
            <w:tcW w:w="1860" w:type="dxa"/>
            <w:vAlign w:val="center"/>
          </w:tcPr>
          <w:p w14:paraId="01D3904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行业名称</w:t>
            </w:r>
          </w:p>
        </w:tc>
        <w:tc>
          <w:tcPr>
            <w:tcW w:w="2374" w:type="dxa"/>
            <w:vAlign w:val="center"/>
          </w:tcPr>
          <w:p w14:paraId="55B239D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指标名称</w:t>
            </w:r>
          </w:p>
        </w:tc>
        <w:tc>
          <w:tcPr>
            <w:tcW w:w="855" w:type="dxa"/>
            <w:gridSpan w:val="2"/>
            <w:vAlign w:val="center"/>
          </w:tcPr>
          <w:p w14:paraId="322A866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计量</w:t>
            </w:r>
          </w:p>
          <w:p w14:paraId="7BEFF72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1882" w:type="dxa"/>
            <w:vAlign w:val="center"/>
          </w:tcPr>
          <w:p w14:paraId="57C674A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中型</w:t>
            </w:r>
          </w:p>
        </w:tc>
        <w:tc>
          <w:tcPr>
            <w:tcW w:w="1603" w:type="dxa"/>
            <w:gridSpan w:val="2"/>
            <w:vAlign w:val="center"/>
          </w:tcPr>
          <w:p w14:paraId="3FD3E86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小型</w:t>
            </w:r>
          </w:p>
        </w:tc>
        <w:tc>
          <w:tcPr>
            <w:tcW w:w="986" w:type="dxa"/>
            <w:gridSpan w:val="2"/>
            <w:vAlign w:val="center"/>
          </w:tcPr>
          <w:p w14:paraId="132C69B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微型</w:t>
            </w:r>
          </w:p>
        </w:tc>
      </w:tr>
      <w:tr w14:paraId="03B508F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7" w:hRule="atLeast"/>
        </w:trPr>
        <w:tc>
          <w:tcPr>
            <w:tcW w:w="1860" w:type="dxa"/>
            <w:vAlign w:val="center"/>
          </w:tcPr>
          <w:p w14:paraId="445D635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农、林、牧、渔</w:t>
            </w:r>
          </w:p>
        </w:tc>
        <w:tc>
          <w:tcPr>
            <w:tcW w:w="2374" w:type="dxa"/>
            <w:vAlign w:val="center"/>
          </w:tcPr>
          <w:p w14:paraId="396030B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55" w:type="dxa"/>
            <w:gridSpan w:val="2"/>
            <w:vAlign w:val="center"/>
          </w:tcPr>
          <w:p w14:paraId="00D54C4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882" w:type="dxa"/>
            <w:vAlign w:val="center"/>
          </w:tcPr>
          <w:p w14:paraId="0918BFB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500≤Y＜20000</w:t>
            </w:r>
          </w:p>
        </w:tc>
        <w:tc>
          <w:tcPr>
            <w:tcW w:w="1603" w:type="dxa"/>
            <w:gridSpan w:val="2"/>
            <w:vAlign w:val="center"/>
          </w:tcPr>
          <w:p w14:paraId="1B3D14D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50≤Y＜500</w:t>
            </w:r>
          </w:p>
        </w:tc>
        <w:tc>
          <w:tcPr>
            <w:tcW w:w="986" w:type="dxa"/>
            <w:gridSpan w:val="2"/>
            <w:vAlign w:val="center"/>
          </w:tcPr>
          <w:p w14:paraId="38AFAF3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Y＜50</w:t>
            </w:r>
          </w:p>
        </w:tc>
      </w:tr>
      <w:tr w14:paraId="6366A11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11" w:hRule="atLeast"/>
        </w:trPr>
        <w:tc>
          <w:tcPr>
            <w:tcW w:w="1860" w:type="dxa"/>
            <w:vMerge w:val="restart"/>
            <w:tcBorders>
              <w:bottom w:val="nil"/>
            </w:tcBorders>
            <w:vAlign w:val="center"/>
          </w:tcPr>
          <w:p w14:paraId="433E3C0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工业</w:t>
            </w:r>
          </w:p>
        </w:tc>
        <w:tc>
          <w:tcPr>
            <w:tcW w:w="2374" w:type="dxa"/>
            <w:vAlign w:val="top"/>
          </w:tcPr>
          <w:p w14:paraId="1F9F723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55" w:type="dxa"/>
            <w:gridSpan w:val="2"/>
            <w:vAlign w:val="top"/>
          </w:tcPr>
          <w:p w14:paraId="7E05CA5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882" w:type="dxa"/>
            <w:vAlign w:val="top"/>
          </w:tcPr>
          <w:p w14:paraId="3BE9A27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300≤X＜1000</w:t>
            </w:r>
          </w:p>
        </w:tc>
        <w:tc>
          <w:tcPr>
            <w:tcW w:w="1603" w:type="dxa"/>
            <w:gridSpan w:val="2"/>
            <w:vAlign w:val="top"/>
          </w:tcPr>
          <w:p w14:paraId="39283A2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20≤X＜300</w:t>
            </w:r>
          </w:p>
        </w:tc>
        <w:tc>
          <w:tcPr>
            <w:tcW w:w="986" w:type="dxa"/>
            <w:gridSpan w:val="2"/>
            <w:vAlign w:val="top"/>
          </w:tcPr>
          <w:p w14:paraId="7A3DF8E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X＜20</w:t>
            </w:r>
          </w:p>
        </w:tc>
      </w:tr>
      <w:tr w14:paraId="0310CDF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860" w:type="dxa"/>
            <w:vMerge w:val="continue"/>
            <w:tcBorders>
              <w:top w:val="nil"/>
            </w:tcBorders>
            <w:vAlign w:val="center"/>
          </w:tcPr>
          <w:p w14:paraId="365A5AD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2F90FC9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55" w:type="dxa"/>
            <w:gridSpan w:val="2"/>
            <w:vAlign w:val="top"/>
          </w:tcPr>
          <w:p w14:paraId="0355949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882" w:type="dxa"/>
            <w:vAlign w:val="top"/>
          </w:tcPr>
          <w:p w14:paraId="60B9FBC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2000≤Y＜40000</w:t>
            </w:r>
          </w:p>
        </w:tc>
        <w:tc>
          <w:tcPr>
            <w:tcW w:w="1603" w:type="dxa"/>
            <w:gridSpan w:val="2"/>
            <w:vAlign w:val="top"/>
          </w:tcPr>
          <w:p w14:paraId="6B557CE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300≤Y＜2000</w:t>
            </w:r>
          </w:p>
        </w:tc>
        <w:tc>
          <w:tcPr>
            <w:tcW w:w="986" w:type="dxa"/>
            <w:gridSpan w:val="2"/>
            <w:vAlign w:val="top"/>
          </w:tcPr>
          <w:p w14:paraId="35D36C1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Y＜300</w:t>
            </w:r>
          </w:p>
        </w:tc>
      </w:tr>
      <w:tr w14:paraId="0B74C52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461" w:hRule="atLeast"/>
        </w:trPr>
        <w:tc>
          <w:tcPr>
            <w:tcW w:w="1860" w:type="dxa"/>
            <w:vMerge w:val="restart"/>
            <w:tcBorders>
              <w:bottom w:val="nil"/>
            </w:tcBorders>
            <w:vAlign w:val="center"/>
          </w:tcPr>
          <w:p w14:paraId="6491EAA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建筑业</w:t>
            </w:r>
          </w:p>
        </w:tc>
        <w:tc>
          <w:tcPr>
            <w:tcW w:w="2374" w:type="dxa"/>
            <w:vAlign w:val="top"/>
          </w:tcPr>
          <w:p w14:paraId="0578D4B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55" w:type="dxa"/>
            <w:gridSpan w:val="2"/>
            <w:vAlign w:val="top"/>
          </w:tcPr>
          <w:p w14:paraId="5143402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882" w:type="dxa"/>
            <w:vAlign w:val="top"/>
          </w:tcPr>
          <w:p w14:paraId="590258C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6000≤Y＜80000</w:t>
            </w:r>
          </w:p>
        </w:tc>
        <w:tc>
          <w:tcPr>
            <w:tcW w:w="1603" w:type="dxa"/>
            <w:gridSpan w:val="2"/>
            <w:vAlign w:val="top"/>
          </w:tcPr>
          <w:p w14:paraId="04F0AEC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300≤Y＜6000</w:t>
            </w:r>
          </w:p>
        </w:tc>
        <w:tc>
          <w:tcPr>
            <w:tcW w:w="986" w:type="dxa"/>
            <w:gridSpan w:val="2"/>
            <w:vAlign w:val="top"/>
          </w:tcPr>
          <w:p w14:paraId="40CBCB8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Y＜300</w:t>
            </w:r>
          </w:p>
        </w:tc>
      </w:tr>
      <w:tr w14:paraId="57A4421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462" w:hRule="atLeast"/>
        </w:trPr>
        <w:tc>
          <w:tcPr>
            <w:tcW w:w="1860" w:type="dxa"/>
            <w:vMerge w:val="continue"/>
            <w:tcBorders>
              <w:top w:val="nil"/>
            </w:tcBorders>
            <w:vAlign w:val="center"/>
          </w:tcPr>
          <w:p w14:paraId="1077A7C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2266546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资产总额（Z）</w:t>
            </w:r>
          </w:p>
        </w:tc>
        <w:tc>
          <w:tcPr>
            <w:tcW w:w="855" w:type="dxa"/>
            <w:gridSpan w:val="2"/>
            <w:vAlign w:val="top"/>
          </w:tcPr>
          <w:p w14:paraId="4FB4822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882" w:type="dxa"/>
            <w:vAlign w:val="top"/>
          </w:tcPr>
          <w:p w14:paraId="3FA9CC5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5000≤Z＜80000</w:t>
            </w:r>
          </w:p>
        </w:tc>
        <w:tc>
          <w:tcPr>
            <w:tcW w:w="1603" w:type="dxa"/>
            <w:gridSpan w:val="2"/>
            <w:vAlign w:val="top"/>
          </w:tcPr>
          <w:p w14:paraId="5148C35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300≤Z＜5000</w:t>
            </w:r>
          </w:p>
        </w:tc>
        <w:tc>
          <w:tcPr>
            <w:tcW w:w="986" w:type="dxa"/>
            <w:gridSpan w:val="2"/>
            <w:vAlign w:val="top"/>
          </w:tcPr>
          <w:p w14:paraId="5B1AF6F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Z＜300</w:t>
            </w:r>
          </w:p>
        </w:tc>
      </w:tr>
      <w:tr w14:paraId="372DBB6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37" w:hRule="atLeast"/>
        </w:trPr>
        <w:tc>
          <w:tcPr>
            <w:tcW w:w="1860" w:type="dxa"/>
            <w:vMerge w:val="restart"/>
            <w:tcBorders>
              <w:bottom w:val="nil"/>
            </w:tcBorders>
            <w:vAlign w:val="center"/>
          </w:tcPr>
          <w:p w14:paraId="2958A21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批发业</w:t>
            </w:r>
          </w:p>
        </w:tc>
        <w:tc>
          <w:tcPr>
            <w:tcW w:w="2374" w:type="dxa"/>
            <w:vAlign w:val="top"/>
          </w:tcPr>
          <w:p w14:paraId="3C6B478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55" w:type="dxa"/>
            <w:gridSpan w:val="2"/>
            <w:vAlign w:val="top"/>
          </w:tcPr>
          <w:p w14:paraId="2E50CAE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882" w:type="dxa"/>
            <w:vAlign w:val="top"/>
          </w:tcPr>
          <w:p w14:paraId="40E296F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20≤X＜200</w:t>
            </w:r>
          </w:p>
        </w:tc>
        <w:tc>
          <w:tcPr>
            <w:tcW w:w="1603" w:type="dxa"/>
            <w:gridSpan w:val="2"/>
            <w:vAlign w:val="top"/>
          </w:tcPr>
          <w:p w14:paraId="309F92A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5≤X＜20</w:t>
            </w:r>
          </w:p>
        </w:tc>
        <w:tc>
          <w:tcPr>
            <w:tcW w:w="986" w:type="dxa"/>
            <w:gridSpan w:val="2"/>
            <w:vAlign w:val="top"/>
          </w:tcPr>
          <w:p w14:paraId="3DD7D3A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X＜5</w:t>
            </w:r>
          </w:p>
        </w:tc>
      </w:tr>
      <w:tr w14:paraId="30829B0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3" w:hRule="atLeast"/>
        </w:trPr>
        <w:tc>
          <w:tcPr>
            <w:tcW w:w="1860" w:type="dxa"/>
            <w:vMerge w:val="continue"/>
            <w:tcBorders>
              <w:top w:val="nil"/>
            </w:tcBorders>
            <w:vAlign w:val="center"/>
          </w:tcPr>
          <w:p w14:paraId="7786A16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2B2F379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55" w:type="dxa"/>
            <w:gridSpan w:val="2"/>
            <w:vAlign w:val="top"/>
          </w:tcPr>
          <w:p w14:paraId="2C17D0D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882" w:type="dxa"/>
            <w:vAlign w:val="top"/>
          </w:tcPr>
          <w:p w14:paraId="0B6B488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5000≤Y＜40000</w:t>
            </w:r>
          </w:p>
        </w:tc>
        <w:tc>
          <w:tcPr>
            <w:tcW w:w="1603" w:type="dxa"/>
            <w:gridSpan w:val="2"/>
            <w:vAlign w:val="top"/>
          </w:tcPr>
          <w:p w14:paraId="2415FFA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1000≤Y＜5000</w:t>
            </w:r>
          </w:p>
        </w:tc>
        <w:tc>
          <w:tcPr>
            <w:tcW w:w="986" w:type="dxa"/>
            <w:gridSpan w:val="2"/>
            <w:vAlign w:val="top"/>
          </w:tcPr>
          <w:p w14:paraId="76D82E7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Y＜1000</w:t>
            </w:r>
          </w:p>
        </w:tc>
      </w:tr>
      <w:tr w14:paraId="13FC22E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37" w:hRule="atLeast"/>
        </w:trPr>
        <w:tc>
          <w:tcPr>
            <w:tcW w:w="1860" w:type="dxa"/>
            <w:vMerge w:val="restart"/>
            <w:tcBorders>
              <w:bottom w:val="nil"/>
            </w:tcBorders>
            <w:vAlign w:val="center"/>
          </w:tcPr>
          <w:p w14:paraId="44A8F34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零售业</w:t>
            </w:r>
          </w:p>
        </w:tc>
        <w:tc>
          <w:tcPr>
            <w:tcW w:w="2374" w:type="dxa"/>
            <w:vAlign w:val="top"/>
          </w:tcPr>
          <w:p w14:paraId="5CB9302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55" w:type="dxa"/>
            <w:gridSpan w:val="2"/>
            <w:vAlign w:val="top"/>
          </w:tcPr>
          <w:p w14:paraId="4325DB9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882" w:type="dxa"/>
            <w:vAlign w:val="top"/>
          </w:tcPr>
          <w:p w14:paraId="4ECCF3E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50≤X＜300</w:t>
            </w:r>
          </w:p>
        </w:tc>
        <w:tc>
          <w:tcPr>
            <w:tcW w:w="1603" w:type="dxa"/>
            <w:gridSpan w:val="2"/>
            <w:vAlign w:val="top"/>
          </w:tcPr>
          <w:p w14:paraId="573B71B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10≤X＜50</w:t>
            </w:r>
          </w:p>
        </w:tc>
        <w:tc>
          <w:tcPr>
            <w:tcW w:w="986" w:type="dxa"/>
            <w:gridSpan w:val="2"/>
            <w:vAlign w:val="top"/>
          </w:tcPr>
          <w:p w14:paraId="02802FC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X＜10</w:t>
            </w:r>
          </w:p>
        </w:tc>
      </w:tr>
      <w:tr w14:paraId="222E69E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860" w:type="dxa"/>
            <w:vMerge w:val="continue"/>
            <w:tcBorders>
              <w:top w:val="nil"/>
            </w:tcBorders>
            <w:vAlign w:val="center"/>
          </w:tcPr>
          <w:p w14:paraId="4677984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7296428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55" w:type="dxa"/>
            <w:gridSpan w:val="2"/>
            <w:vAlign w:val="top"/>
          </w:tcPr>
          <w:p w14:paraId="603EEF2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882" w:type="dxa"/>
            <w:vAlign w:val="top"/>
          </w:tcPr>
          <w:p w14:paraId="253A62F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500≤Y＜20000</w:t>
            </w:r>
          </w:p>
        </w:tc>
        <w:tc>
          <w:tcPr>
            <w:tcW w:w="1603" w:type="dxa"/>
            <w:gridSpan w:val="2"/>
            <w:vAlign w:val="top"/>
          </w:tcPr>
          <w:p w14:paraId="2B7A090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100≤Y＜500</w:t>
            </w:r>
          </w:p>
        </w:tc>
        <w:tc>
          <w:tcPr>
            <w:tcW w:w="986" w:type="dxa"/>
            <w:gridSpan w:val="2"/>
            <w:vAlign w:val="top"/>
          </w:tcPr>
          <w:p w14:paraId="4C580F2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Y＜100</w:t>
            </w:r>
          </w:p>
        </w:tc>
      </w:tr>
      <w:tr w14:paraId="392C48B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19" w:hRule="atLeast"/>
        </w:trPr>
        <w:tc>
          <w:tcPr>
            <w:tcW w:w="1860" w:type="dxa"/>
            <w:vMerge w:val="restart"/>
            <w:vAlign w:val="center"/>
          </w:tcPr>
          <w:p w14:paraId="170C81C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交通运输业</w:t>
            </w:r>
          </w:p>
        </w:tc>
        <w:tc>
          <w:tcPr>
            <w:tcW w:w="2374" w:type="dxa"/>
            <w:vAlign w:val="top"/>
          </w:tcPr>
          <w:p w14:paraId="7BA19AB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55" w:type="dxa"/>
            <w:gridSpan w:val="2"/>
            <w:vAlign w:val="top"/>
          </w:tcPr>
          <w:p w14:paraId="6516164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882" w:type="dxa"/>
            <w:vAlign w:val="top"/>
          </w:tcPr>
          <w:p w14:paraId="45FCAA0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300≤X＜1000</w:t>
            </w:r>
          </w:p>
        </w:tc>
        <w:tc>
          <w:tcPr>
            <w:tcW w:w="1603" w:type="dxa"/>
            <w:gridSpan w:val="2"/>
            <w:vAlign w:val="top"/>
          </w:tcPr>
          <w:p w14:paraId="40991D5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20≤X＜300</w:t>
            </w:r>
          </w:p>
        </w:tc>
        <w:tc>
          <w:tcPr>
            <w:tcW w:w="986" w:type="dxa"/>
            <w:gridSpan w:val="2"/>
            <w:vAlign w:val="top"/>
          </w:tcPr>
          <w:p w14:paraId="435A555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X＜20</w:t>
            </w:r>
          </w:p>
        </w:tc>
      </w:tr>
      <w:tr w14:paraId="70881A1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vAlign w:val="center"/>
          </w:tcPr>
          <w:p w14:paraId="617D3F7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1F5D5E3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34" w:type="dxa"/>
            <w:vAlign w:val="top"/>
          </w:tcPr>
          <w:p w14:paraId="2680F94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24" w:type="dxa"/>
            <w:gridSpan w:val="3"/>
            <w:vAlign w:val="top"/>
          </w:tcPr>
          <w:p w14:paraId="60CD227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3000≤Y＜30000</w:t>
            </w:r>
          </w:p>
        </w:tc>
        <w:tc>
          <w:tcPr>
            <w:tcW w:w="1582" w:type="dxa"/>
            <w:vAlign w:val="top"/>
          </w:tcPr>
          <w:p w14:paraId="63E77F5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200≤Y＜3000</w:t>
            </w:r>
          </w:p>
        </w:tc>
        <w:tc>
          <w:tcPr>
            <w:tcW w:w="962" w:type="dxa"/>
            <w:vAlign w:val="top"/>
          </w:tcPr>
          <w:p w14:paraId="291E9BD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Y＜200</w:t>
            </w:r>
          </w:p>
        </w:tc>
      </w:tr>
      <w:tr w14:paraId="7CA3B92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13BFC48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仓储业</w:t>
            </w:r>
          </w:p>
        </w:tc>
        <w:tc>
          <w:tcPr>
            <w:tcW w:w="2374" w:type="dxa"/>
            <w:vAlign w:val="top"/>
          </w:tcPr>
          <w:p w14:paraId="3153A36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34" w:type="dxa"/>
            <w:vAlign w:val="top"/>
          </w:tcPr>
          <w:p w14:paraId="703FB44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924" w:type="dxa"/>
            <w:gridSpan w:val="3"/>
            <w:vAlign w:val="top"/>
          </w:tcPr>
          <w:p w14:paraId="3BA2A3A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100≤X＜200</w:t>
            </w:r>
          </w:p>
        </w:tc>
        <w:tc>
          <w:tcPr>
            <w:tcW w:w="1582" w:type="dxa"/>
            <w:vAlign w:val="top"/>
          </w:tcPr>
          <w:p w14:paraId="6DDCA58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20≤X＜100</w:t>
            </w:r>
          </w:p>
        </w:tc>
        <w:tc>
          <w:tcPr>
            <w:tcW w:w="962" w:type="dxa"/>
            <w:vAlign w:val="top"/>
          </w:tcPr>
          <w:p w14:paraId="0420020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X＜20</w:t>
            </w:r>
          </w:p>
        </w:tc>
      </w:tr>
      <w:tr w14:paraId="5649E72B">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tcBorders>
              <w:top w:val="nil"/>
            </w:tcBorders>
            <w:vAlign w:val="center"/>
          </w:tcPr>
          <w:p w14:paraId="149830F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4278D6A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34" w:type="dxa"/>
            <w:vAlign w:val="top"/>
          </w:tcPr>
          <w:p w14:paraId="4177F40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24" w:type="dxa"/>
            <w:gridSpan w:val="3"/>
            <w:vAlign w:val="top"/>
          </w:tcPr>
          <w:p w14:paraId="3E0156F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1000≤Y＜30000</w:t>
            </w:r>
          </w:p>
        </w:tc>
        <w:tc>
          <w:tcPr>
            <w:tcW w:w="1582" w:type="dxa"/>
            <w:vAlign w:val="top"/>
          </w:tcPr>
          <w:p w14:paraId="083EF22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100≤Y＜1000</w:t>
            </w:r>
          </w:p>
        </w:tc>
        <w:tc>
          <w:tcPr>
            <w:tcW w:w="962" w:type="dxa"/>
            <w:vAlign w:val="top"/>
          </w:tcPr>
          <w:p w14:paraId="144859B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Y＜100</w:t>
            </w:r>
          </w:p>
        </w:tc>
      </w:tr>
      <w:tr w14:paraId="642C1C6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23017AC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邮政业</w:t>
            </w:r>
          </w:p>
        </w:tc>
        <w:tc>
          <w:tcPr>
            <w:tcW w:w="2374" w:type="dxa"/>
            <w:vAlign w:val="top"/>
          </w:tcPr>
          <w:p w14:paraId="7387C0A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34" w:type="dxa"/>
            <w:vAlign w:val="top"/>
          </w:tcPr>
          <w:p w14:paraId="6DDADCF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924" w:type="dxa"/>
            <w:gridSpan w:val="3"/>
            <w:vAlign w:val="top"/>
          </w:tcPr>
          <w:p w14:paraId="5119558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300≤X＜1000</w:t>
            </w:r>
          </w:p>
        </w:tc>
        <w:tc>
          <w:tcPr>
            <w:tcW w:w="1582" w:type="dxa"/>
            <w:vAlign w:val="top"/>
          </w:tcPr>
          <w:p w14:paraId="1FCDFE4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20≤X＜300</w:t>
            </w:r>
          </w:p>
        </w:tc>
        <w:tc>
          <w:tcPr>
            <w:tcW w:w="962" w:type="dxa"/>
            <w:vAlign w:val="top"/>
          </w:tcPr>
          <w:p w14:paraId="2025235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X＜20</w:t>
            </w:r>
          </w:p>
        </w:tc>
      </w:tr>
      <w:tr w14:paraId="202CC5F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tcBorders>
              <w:top w:val="nil"/>
            </w:tcBorders>
            <w:vAlign w:val="center"/>
          </w:tcPr>
          <w:p w14:paraId="7BF09C5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2DDBE86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34" w:type="dxa"/>
            <w:vAlign w:val="top"/>
          </w:tcPr>
          <w:p w14:paraId="396E696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24" w:type="dxa"/>
            <w:gridSpan w:val="3"/>
            <w:vAlign w:val="top"/>
          </w:tcPr>
          <w:p w14:paraId="3F52D83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2000≤Y＜30000</w:t>
            </w:r>
          </w:p>
        </w:tc>
        <w:tc>
          <w:tcPr>
            <w:tcW w:w="1582" w:type="dxa"/>
            <w:vAlign w:val="top"/>
          </w:tcPr>
          <w:p w14:paraId="7B2FC72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100≤Y＜2000</w:t>
            </w:r>
          </w:p>
        </w:tc>
        <w:tc>
          <w:tcPr>
            <w:tcW w:w="962" w:type="dxa"/>
            <w:vAlign w:val="top"/>
          </w:tcPr>
          <w:p w14:paraId="40AE43E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Y＜100</w:t>
            </w:r>
          </w:p>
        </w:tc>
      </w:tr>
      <w:tr w14:paraId="0C18E81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4C057A7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住宿业</w:t>
            </w:r>
          </w:p>
        </w:tc>
        <w:tc>
          <w:tcPr>
            <w:tcW w:w="2374" w:type="dxa"/>
            <w:vAlign w:val="top"/>
          </w:tcPr>
          <w:p w14:paraId="6941F12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34" w:type="dxa"/>
            <w:vAlign w:val="top"/>
          </w:tcPr>
          <w:p w14:paraId="01FC63C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924" w:type="dxa"/>
            <w:gridSpan w:val="3"/>
            <w:vAlign w:val="top"/>
          </w:tcPr>
          <w:p w14:paraId="76CD05A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100≤X＜300</w:t>
            </w:r>
          </w:p>
        </w:tc>
        <w:tc>
          <w:tcPr>
            <w:tcW w:w="1582" w:type="dxa"/>
            <w:vAlign w:val="top"/>
          </w:tcPr>
          <w:p w14:paraId="3D1EA12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10≤X＜100</w:t>
            </w:r>
          </w:p>
        </w:tc>
        <w:tc>
          <w:tcPr>
            <w:tcW w:w="962" w:type="dxa"/>
            <w:vAlign w:val="top"/>
          </w:tcPr>
          <w:p w14:paraId="3E79254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X＜10</w:t>
            </w:r>
          </w:p>
        </w:tc>
      </w:tr>
      <w:tr w14:paraId="7E29179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tcBorders>
              <w:top w:val="nil"/>
            </w:tcBorders>
            <w:vAlign w:val="center"/>
          </w:tcPr>
          <w:p w14:paraId="043F4AE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42CB1AD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34" w:type="dxa"/>
            <w:vAlign w:val="top"/>
          </w:tcPr>
          <w:p w14:paraId="4D0F0DC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24" w:type="dxa"/>
            <w:gridSpan w:val="3"/>
            <w:vAlign w:val="top"/>
          </w:tcPr>
          <w:p w14:paraId="45D2320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2000≤Y＜10000</w:t>
            </w:r>
          </w:p>
        </w:tc>
        <w:tc>
          <w:tcPr>
            <w:tcW w:w="1582" w:type="dxa"/>
            <w:vAlign w:val="top"/>
          </w:tcPr>
          <w:p w14:paraId="0C9BC26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100≤Y＜2000</w:t>
            </w:r>
          </w:p>
        </w:tc>
        <w:tc>
          <w:tcPr>
            <w:tcW w:w="962" w:type="dxa"/>
            <w:vAlign w:val="top"/>
          </w:tcPr>
          <w:p w14:paraId="0C01050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Y＜100</w:t>
            </w:r>
          </w:p>
        </w:tc>
      </w:tr>
      <w:tr w14:paraId="1A1179B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01E9E11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餐饮业</w:t>
            </w:r>
          </w:p>
        </w:tc>
        <w:tc>
          <w:tcPr>
            <w:tcW w:w="2374" w:type="dxa"/>
            <w:vAlign w:val="top"/>
          </w:tcPr>
          <w:p w14:paraId="540CD70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34" w:type="dxa"/>
            <w:vAlign w:val="top"/>
          </w:tcPr>
          <w:p w14:paraId="265EA75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924" w:type="dxa"/>
            <w:gridSpan w:val="3"/>
            <w:vAlign w:val="top"/>
          </w:tcPr>
          <w:p w14:paraId="088E907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100≤X＜300</w:t>
            </w:r>
          </w:p>
        </w:tc>
        <w:tc>
          <w:tcPr>
            <w:tcW w:w="1582" w:type="dxa"/>
            <w:vAlign w:val="top"/>
          </w:tcPr>
          <w:p w14:paraId="7DEDCC5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10≤X＜100</w:t>
            </w:r>
          </w:p>
        </w:tc>
        <w:tc>
          <w:tcPr>
            <w:tcW w:w="962" w:type="dxa"/>
            <w:vAlign w:val="top"/>
          </w:tcPr>
          <w:p w14:paraId="01B0733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X＜10</w:t>
            </w:r>
          </w:p>
        </w:tc>
      </w:tr>
      <w:tr w14:paraId="245C2FD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tcBorders>
              <w:top w:val="nil"/>
            </w:tcBorders>
            <w:vAlign w:val="center"/>
          </w:tcPr>
          <w:p w14:paraId="3F540FE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607E97C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34" w:type="dxa"/>
            <w:vAlign w:val="top"/>
          </w:tcPr>
          <w:p w14:paraId="6B4495A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24" w:type="dxa"/>
            <w:gridSpan w:val="3"/>
            <w:vAlign w:val="top"/>
          </w:tcPr>
          <w:p w14:paraId="5B2A9A0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2000≤Y＜10000</w:t>
            </w:r>
          </w:p>
        </w:tc>
        <w:tc>
          <w:tcPr>
            <w:tcW w:w="1582" w:type="dxa"/>
            <w:vAlign w:val="top"/>
          </w:tcPr>
          <w:p w14:paraId="17E087A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100≤Y＜2000</w:t>
            </w:r>
          </w:p>
        </w:tc>
        <w:tc>
          <w:tcPr>
            <w:tcW w:w="962" w:type="dxa"/>
            <w:vAlign w:val="top"/>
          </w:tcPr>
          <w:p w14:paraId="2A4924B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Y＜100</w:t>
            </w:r>
          </w:p>
        </w:tc>
      </w:tr>
      <w:tr w14:paraId="1DF88F9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1697333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信息传输</w:t>
            </w:r>
          </w:p>
          <w:p w14:paraId="40C99E6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业</w:t>
            </w:r>
          </w:p>
        </w:tc>
        <w:tc>
          <w:tcPr>
            <w:tcW w:w="2374" w:type="dxa"/>
            <w:vAlign w:val="top"/>
          </w:tcPr>
          <w:p w14:paraId="3DC59B4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34" w:type="dxa"/>
            <w:vAlign w:val="top"/>
          </w:tcPr>
          <w:p w14:paraId="780BA35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924" w:type="dxa"/>
            <w:gridSpan w:val="3"/>
            <w:vAlign w:val="top"/>
          </w:tcPr>
          <w:p w14:paraId="6285496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100≤X＜2000</w:t>
            </w:r>
          </w:p>
        </w:tc>
        <w:tc>
          <w:tcPr>
            <w:tcW w:w="1582" w:type="dxa"/>
            <w:vAlign w:val="top"/>
          </w:tcPr>
          <w:p w14:paraId="11AB9B9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10≤X＜100</w:t>
            </w:r>
          </w:p>
        </w:tc>
        <w:tc>
          <w:tcPr>
            <w:tcW w:w="962" w:type="dxa"/>
            <w:vAlign w:val="top"/>
          </w:tcPr>
          <w:p w14:paraId="505E303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X＜10</w:t>
            </w:r>
          </w:p>
        </w:tc>
      </w:tr>
      <w:tr w14:paraId="405527B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continue"/>
            <w:tcBorders>
              <w:top w:val="nil"/>
            </w:tcBorders>
            <w:vAlign w:val="center"/>
          </w:tcPr>
          <w:p w14:paraId="504668D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5D05AF0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34" w:type="dxa"/>
            <w:vAlign w:val="top"/>
          </w:tcPr>
          <w:p w14:paraId="1EC90B9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24" w:type="dxa"/>
            <w:gridSpan w:val="3"/>
            <w:vAlign w:val="top"/>
          </w:tcPr>
          <w:p w14:paraId="68A6A5B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1000≤Y＜100000</w:t>
            </w:r>
          </w:p>
        </w:tc>
        <w:tc>
          <w:tcPr>
            <w:tcW w:w="1582" w:type="dxa"/>
            <w:vAlign w:val="top"/>
          </w:tcPr>
          <w:p w14:paraId="425D6EA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100≤Y＜1000</w:t>
            </w:r>
          </w:p>
        </w:tc>
        <w:tc>
          <w:tcPr>
            <w:tcW w:w="962" w:type="dxa"/>
            <w:vAlign w:val="top"/>
          </w:tcPr>
          <w:p w14:paraId="0027C10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Y＜100</w:t>
            </w:r>
          </w:p>
        </w:tc>
      </w:tr>
      <w:tr w14:paraId="45DA48E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35" w:hRule="atLeast"/>
        </w:trPr>
        <w:tc>
          <w:tcPr>
            <w:tcW w:w="1860" w:type="dxa"/>
            <w:vMerge w:val="restart"/>
            <w:tcBorders>
              <w:bottom w:val="nil"/>
            </w:tcBorders>
            <w:vAlign w:val="center"/>
          </w:tcPr>
          <w:p w14:paraId="5C58EFD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软件和信息技术服务业</w:t>
            </w:r>
          </w:p>
        </w:tc>
        <w:tc>
          <w:tcPr>
            <w:tcW w:w="2374" w:type="dxa"/>
            <w:vAlign w:val="top"/>
          </w:tcPr>
          <w:p w14:paraId="4818185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34" w:type="dxa"/>
            <w:vAlign w:val="top"/>
          </w:tcPr>
          <w:p w14:paraId="5D39F94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924" w:type="dxa"/>
            <w:gridSpan w:val="3"/>
            <w:vAlign w:val="top"/>
          </w:tcPr>
          <w:p w14:paraId="2E0E24A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100≤X＜300</w:t>
            </w:r>
          </w:p>
        </w:tc>
        <w:tc>
          <w:tcPr>
            <w:tcW w:w="1582" w:type="dxa"/>
            <w:vAlign w:val="top"/>
          </w:tcPr>
          <w:p w14:paraId="1975A57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10≤X＜100</w:t>
            </w:r>
          </w:p>
        </w:tc>
        <w:tc>
          <w:tcPr>
            <w:tcW w:w="962" w:type="dxa"/>
            <w:vAlign w:val="top"/>
          </w:tcPr>
          <w:p w14:paraId="14FEB29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X＜10</w:t>
            </w:r>
          </w:p>
        </w:tc>
      </w:tr>
      <w:tr w14:paraId="7ED4EEB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gridAfter w:val="1"/>
          <w:wAfter w:w="24" w:type="dxa"/>
          <w:trHeight w:val="447" w:hRule="atLeast"/>
        </w:trPr>
        <w:tc>
          <w:tcPr>
            <w:tcW w:w="1860" w:type="dxa"/>
            <w:vMerge w:val="continue"/>
            <w:tcBorders>
              <w:top w:val="nil"/>
            </w:tcBorders>
            <w:vAlign w:val="top"/>
          </w:tcPr>
          <w:p w14:paraId="165D9E8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4" w:type="dxa"/>
            <w:vAlign w:val="top"/>
          </w:tcPr>
          <w:p w14:paraId="631146A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34" w:type="dxa"/>
            <w:vAlign w:val="top"/>
          </w:tcPr>
          <w:p w14:paraId="1A6D321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24" w:type="dxa"/>
            <w:gridSpan w:val="3"/>
            <w:vAlign w:val="top"/>
          </w:tcPr>
          <w:p w14:paraId="7ED770E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1000≤Y＜10000</w:t>
            </w:r>
          </w:p>
        </w:tc>
        <w:tc>
          <w:tcPr>
            <w:tcW w:w="1582" w:type="dxa"/>
            <w:vAlign w:val="top"/>
          </w:tcPr>
          <w:p w14:paraId="218D1DF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50≤Y＜1000</w:t>
            </w:r>
          </w:p>
        </w:tc>
        <w:tc>
          <w:tcPr>
            <w:tcW w:w="962" w:type="dxa"/>
            <w:vAlign w:val="top"/>
          </w:tcPr>
          <w:p w14:paraId="16A18FBE">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Y＜50</w:t>
            </w:r>
          </w:p>
        </w:tc>
      </w:tr>
    </w:tbl>
    <w:p w14:paraId="03A2F8DF">
      <w:pPr>
        <w:spacing w:line="51" w:lineRule="exact"/>
        <w:rPr>
          <w:rFonts w:hint="eastAsia" w:ascii="宋体" w:hAnsi="宋体" w:eastAsia="宋体" w:cs="宋体"/>
          <w:b w:val="0"/>
          <w:bCs w:val="0"/>
          <w:highlight w:val="none"/>
        </w:rPr>
      </w:pPr>
    </w:p>
    <w:tbl>
      <w:tblPr>
        <w:tblStyle w:val="12"/>
        <w:tblW w:w="9535" w:type="dxa"/>
        <w:tblInd w:w="-359"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864"/>
        <w:gridCol w:w="2378"/>
        <w:gridCol w:w="815"/>
        <w:gridCol w:w="1950"/>
        <w:gridCol w:w="1585"/>
        <w:gridCol w:w="943"/>
      </w:tblGrid>
      <w:tr w14:paraId="031A10B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restart"/>
            <w:tcBorders>
              <w:bottom w:val="nil"/>
            </w:tcBorders>
            <w:vAlign w:val="center"/>
          </w:tcPr>
          <w:p w14:paraId="3329FCE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房地产开发经营</w:t>
            </w:r>
          </w:p>
        </w:tc>
        <w:tc>
          <w:tcPr>
            <w:tcW w:w="2378" w:type="dxa"/>
            <w:vAlign w:val="top"/>
          </w:tcPr>
          <w:p w14:paraId="3F38367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15" w:type="dxa"/>
            <w:vAlign w:val="top"/>
          </w:tcPr>
          <w:p w14:paraId="531F19C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50" w:type="dxa"/>
            <w:vAlign w:val="top"/>
          </w:tcPr>
          <w:p w14:paraId="231DEE5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1000≤Y＜200000</w:t>
            </w:r>
          </w:p>
        </w:tc>
        <w:tc>
          <w:tcPr>
            <w:tcW w:w="1585" w:type="dxa"/>
            <w:vAlign w:val="top"/>
          </w:tcPr>
          <w:p w14:paraId="74B2575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100≤X＜1000</w:t>
            </w:r>
          </w:p>
        </w:tc>
        <w:tc>
          <w:tcPr>
            <w:tcW w:w="943" w:type="dxa"/>
            <w:vAlign w:val="top"/>
          </w:tcPr>
          <w:p w14:paraId="535A82B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X＜100</w:t>
            </w:r>
          </w:p>
        </w:tc>
      </w:tr>
      <w:tr w14:paraId="7203A20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continue"/>
            <w:tcBorders>
              <w:top w:val="nil"/>
            </w:tcBorders>
            <w:vAlign w:val="center"/>
          </w:tcPr>
          <w:p w14:paraId="3464CBB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8" w:type="dxa"/>
            <w:vAlign w:val="top"/>
          </w:tcPr>
          <w:p w14:paraId="499D987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资产总额（Z）</w:t>
            </w:r>
          </w:p>
        </w:tc>
        <w:tc>
          <w:tcPr>
            <w:tcW w:w="815" w:type="dxa"/>
            <w:vAlign w:val="top"/>
          </w:tcPr>
          <w:p w14:paraId="589A544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50" w:type="dxa"/>
            <w:vAlign w:val="top"/>
          </w:tcPr>
          <w:p w14:paraId="32D9838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5000≤Z＜10000</w:t>
            </w:r>
          </w:p>
        </w:tc>
        <w:tc>
          <w:tcPr>
            <w:tcW w:w="1585" w:type="dxa"/>
            <w:vAlign w:val="top"/>
          </w:tcPr>
          <w:p w14:paraId="2601306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2000≤Y＜5000</w:t>
            </w:r>
          </w:p>
        </w:tc>
        <w:tc>
          <w:tcPr>
            <w:tcW w:w="943" w:type="dxa"/>
            <w:vAlign w:val="top"/>
          </w:tcPr>
          <w:p w14:paraId="1B260B0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Y＜2000</w:t>
            </w:r>
          </w:p>
        </w:tc>
      </w:tr>
      <w:tr w14:paraId="171FB0B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restart"/>
            <w:tcBorders>
              <w:bottom w:val="nil"/>
            </w:tcBorders>
            <w:vAlign w:val="center"/>
          </w:tcPr>
          <w:p w14:paraId="78DEE27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物业管理</w:t>
            </w:r>
          </w:p>
        </w:tc>
        <w:tc>
          <w:tcPr>
            <w:tcW w:w="2378" w:type="dxa"/>
            <w:vAlign w:val="top"/>
          </w:tcPr>
          <w:p w14:paraId="713AE19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15" w:type="dxa"/>
            <w:vAlign w:val="top"/>
          </w:tcPr>
          <w:p w14:paraId="3653A10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950" w:type="dxa"/>
            <w:vAlign w:val="top"/>
          </w:tcPr>
          <w:p w14:paraId="7633720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300≤X＜1000</w:t>
            </w:r>
          </w:p>
        </w:tc>
        <w:tc>
          <w:tcPr>
            <w:tcW w:w="1585" w:type="dxa"/>
            <w:vAlign w:val="top"/>
          </w:tcPr>
          <w:p w14:paraId="33C5819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100≤X＜300</w:t>
            </w:r>
          </w:p>
        </w:tc>
        <w:tc>
          <w:tcPr>
            <w:tcW w:w="943" w:type="dxa"/>
            <w:vAlign w:val="top"/>
          </w:tcPr>
          <w:p w14:paraId="56CD624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X＜100</w:t>
            </w:r>
          </w:p>
        </w:tc>
      </w:tr>
      <w:tr w14:paraId="20DF95C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continue"/>
            <w:tcBorders>
              <w:top w:val="nil"/>
            </w:tcBorders>
            <w:vAlign w:val="center"/>
          </w:tcPr>
          <w:p w14:paraId="6FEBDC3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8" w:type="dxa"/>
            <w:vAlign w:val="top"/>
          </w:tcPr>
          <w:p w14:paraId="1D363F5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营业收入（Y）</w:t>
            </w:r>
          </w:p>
        </w:tc>
        <w:tc>
          <w:tcPr>
            <w:tcW w:w="815" w:type="dxa"/>
            <w:vAlign w:val="top"/>
          </w:tcPr>
          <w:p w14:paraId="23A18CB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50" w:type="dxa"/>
            <w:vAlign w:val="top"/>
          </w:tcPr>
          <w:p w14:paraId="35B92FD1">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1000≤Y＜5000</w:t>
            </w:r>
          </w:p>
        </w:tc>
        <w:tc>
          <w:tcPr>
            <w:tcW w:w="1585" w:type="dxa"/>
            <w:vAlign w:val="top"/>
          </w:tcPr>
          <w:p w14:paraId="2C1FCFD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500≤Y＜1000</w:t>
            </w:r>
          </w:p>
        </w:tc>
        <w:tc>
          <w:tcPr>
            <w:tcW w:w="943" w:type="dxa"/>
            <w:vAlign w:val="top"/>
          </w:tcPr>
          <w:p w14:paraId="0A62AAA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Y＜500</w:t>
            </w:r>
          </w:p>
        </w:tc>
      </w:tr>
      <w:tr w14:paraId="6C0435F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restart"/>
            <w:tcBorders>
              <w:bottom w:val="nil"/>
            </w:tcBorders>
            <w:vAlign w:val="center"/>
          </w:tcPr>
          <w:p w14:paraId="60F4B6D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租赁和商务服务业</w:t>
            </w:r>
          </w:p>
        </w:tc>
        <w:tc>
          <w:tcPr>
            <w:tcW w:w="2378" w:type="dxa"/>
            <w:vAlign w:val="top"/>
          </w:tcPr>
          <w:p w14:paraId="066BB0D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15" w:type="dxa"/>
            <w:vAlign w:val="top"/>
          </w:tcPr>
          <w:p w14:paraId="0563A00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950" w:type="dxa"/>
            <w:vAlign w:val="top"/>
          </w:tcPr>
          <w:p w14:paraId="39207F6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100≤X＜300</w:t>
            </w:r>
          </w:p>
        </w:tc>
        <w:tc>
          <w:tcPr>
            <w:tcW w:w="1585" w:type="dxa"/>
            <w:vAlign w:val="top"/>
          </w:tcPr>
          <w:p w14:paraId="493C1C33">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10≤X＜100</w:t>
            </w:r>
          </w:p>
        </w:tc>
        <w:tc>
          <w:tcPr>
            <w:tcW w:w="943" w:type="dxa"/>
            <w:vAlign w:val="top"/>
          </w:tcPr>
          <w:p w14:paraId="28EDDA1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X＜10</w:t>
            </w:r>
          </w:p>
        </w:tc>
      </w:tr>
      <w:tr w14:paraId="3A6EDD3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Merge w:val="continue"/>
            <w:tcBorders>
              <w:top w:val="nil"/>
            </w:tcBorders>
            <w:vAlign w:val="center"/>
          </w:tcPr>
          <w:p w14:paraId="5045CB3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p>
        </w:tc>
        <w:tc>
          <w:tcPr>
            <w:tcW w:w="2378" w:type="dxa"/>
            <w:vAlign w:val="top"/>
          </w:tcPr>
          <w:p w14:paraId="0A60343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资产总额（Z）</w:t>
            </w:r>
          </w:p>
        </w:tc>
        <w:tc>
          <w:tcPr>
            <w:tcW w:w="815" w:type="dxa"/>
            <w:vAlign w:val="top"/>
          </w:tcPr>
          <w:p w14:paraId="455DBB2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950" w:type="dxa"/>
            <w:vAlign w:val="top"/>
          </w:tcPr>
          <w:p w14:paraId="4023B2EF">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8000≤Z＜120000</w:t>
            </w:r>
          </w:p>
        </w:tc>
        <w:tc>
          <w:tcPr>
            <w:tcW w:w="1585" w:type="dxa"/>
            <w:vAlign w:val="top"/>
          </w:tcPr>
          <w:p w14:paraId="78D5A5F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100≤Z＜8000</w:t>
            </w:r>
          </w:p>
        </w:tc>
        <w:tc>
          <w:tcPr>
            <w:tcW w:w="943" w:type="dxa"/>
            <w:vAlign w:val="top"/>
          </w:tcPr>
          <w:p w14:paraId="707ECE9B">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Y＜100</w:t>
            </w:r>
          </w:p>
        </w:tc>
      </w:tr>
      <w:tr w14:paraId="3B05039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864" w:type="dxa"/>
            <w:vAlign w:val="center"/>
          </w:tcPr>
          <w:p w14:paraId="185AB7A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其他未列明行业</w:t>
            </w:r>
          </w:p>
        </w:tc>
        <w:tc>
          <w:tcPr>
            <w:tcW w:w="2378" w:type="dxa"/>
            <w:vAlign w:val="top"/>
          </w:tcPr>
          <w:p w14:paraId="79E9CFFD">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从业人员（X）</w:t>
            </w:r>
          </w:p>
        </w:tc>
        <w:tc>
          <w:tcPr>
            <w:tcW w:w="815" w:type="dxa"/>
            <w:vAlign w:val="top"/>
          </w:tcPr>
          <w:p w14:paraId="0AA4B988">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人</w:t>
            </w:r>
          </w:p>
        </w:tc>
        <w:tc>
          <w:tcPr>
            <w:tcW w:w="1950" w:type="dxa"/>
            <w:vAlign w:val="top"/>
          </w:tcPr>
          <w:p w14:paraId="21A7D794">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100≤X＜300</w:t>
            </w:r>
          </w:p>
        </w:tc>
        <w:tc>
          <w:tcPr>
            <w:tcW w:w="1585" w:type="dxa"/>
            <w:vAlign w:val="top"/>
          </w:tcPr>
          <w:p w14:paraId="25087E3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10≤X＜100</w:t>
            </w:r>
          </w:p>
        </w:tc>
        <w:tc>
          <w:tcPr>
            <w:tcW w:w="943" w:type="dxa"/>
            <w:vAlign w:val="top"/>
          </w:tcPr>
          <w:p w14:paraId="21E3ECA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X＜10</w:t>
            </w:r>
          </w:p>
        </w:tc>
      </w:tr>
      <w:tr w14:paraId="513996D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37" w:hRule="atLeast"/>
        </w:trPr>
        <w:tc>
          <w:tcPr>
            <w:tcW w:w="9535" w:type="dxa"/>
            <w:gridSpan w:val="6"/>
            <w:vAlign w:val="top"/>
          </w:tcPr>
          <w:p w14:paraId="1DF27239">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tc>
      </w:tr>
    </w:tbl>
    <w:p w14:paraId="53C5291D">
      <w:pPr>
        <w:pStyle w:val="5"/>
        <w:spacing w:before="184" w:line="222" w:lineRule="auto"/>
        <w:ind w:left="21"/>
        <w:rPr>
          <w:rFonts w:hint="eastAsia" w:ascii="宋体" w:hAnsi="宋体" w:eastAsia="宋体" w:cs="宋体"/>
          <w:b/>
          <w:bCs/>
          <w:sz w:val="24"/>
          <w:szCs w:val="24"/>
          <w:highlight w:val="none"/>
        </w:rPr>
      </w:pPr>
    </w:p>
    <w:sectPr>
      <w:headerReference r:id="rId65" w:type="default"/>
      <w:footerReference r:id="rId66" w:type="default"/>
      <w:pgSz w:w="11906" w:h="16839"/>
      <w:pgMar w:top="1134" w:right="1416" w:bottom="969" w:left="1418" w:header="862" w:footer="7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85DA3">
    <w:pPr>
      <w:spacing w:line="209" w:lineRule="auto"/>
      <w:ind w:left="4226"/>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3266B">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73266B">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E5CCF">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1FCAF">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231FCAF">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3C01">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6CCEE">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66CCEE">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BF287">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46D0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9346D0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7E12D">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EBF48">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73EBF48">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91B4">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FFC2C">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55FFC2C">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54392">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35B46">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F935B46">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BA4C7">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16149">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AB16149">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83C3E">
    <w:pPr>
      <w:spacing w:line="209" w:lineRule="auto"/>
      <w:ind w:left="4293"/>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28736">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6C28736">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7FDD">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2B4B4">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D82B4B4">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E278">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65A11">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3C65A11">
                    <w:pPr>
                      <w:pStyle w:val="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1CE7C">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C8CBD">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9C8CBD">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078B">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EBA63">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C3EBA63">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C7D5">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8FC74">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5B8FC74">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92E70">
    <w:pPr>
      <w:spacing w:line="209" w:lineRule="auto"/>
      <w:ind w:left="4297"/>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44DF2">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1D44DF2">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41B1D">
    <w:pPr>
      <w:spacing w:line="209" w:lineRule="auto"/>
      <w:ind w:left="4250"/>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6AB2F">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CF6AB2F">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F9B5">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14356">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A614356">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D521D">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F159F">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43F159F">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9001D">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BDE60">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2ABDE60">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1A0D">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7802F">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D47802F">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2BDC0">
    <w:pPr>
      <w:pStyle w:val="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60CD6">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0360CD6">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2751">
    <w:pPr>
      <w:pStyle w:val="6"/>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3FB50">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F83FB50">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69AC">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A91DD">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CA91DD">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2711">
    <w:pPr>
      <w:pStyle w:val="6"/>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023AA">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53023AA">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443C">
    <w:pPr>
      <w:pStyle w:val="6"/>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BE9BF">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BABE9BF">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60BAC">
    <w:pPr>
      <w:pStyle w:val="6"/>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45417">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9845417">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0CDB">
    <w:pPr>
      <w:pStyle w:val="6"/>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2059B">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312059B">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E7C8">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87900">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A687900">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89E9">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0AE32">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60AE32">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DC2F">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99280">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599280">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D8BE">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F4713">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4F4713">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082E">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418EB">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7418EB">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42BE">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14BF5">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314BF5">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6C42B">
    <w:pPr>
      <w:spacing w:line="209" w:lineRule="auto"/>
      <w:ind w:left="4181"/>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31FB1">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7F31FB1">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38AB">
    <w:pPr>
      <w:spacing w:before="16" w:line="219" w:lineRule="auto"/>
      <w:ind w:left="2526"/>
      <w:rPr>
        <w:rFonts w:hint="eastAsia" w:ascii="宋体" w:hAnsi="宋体" w:eastAsia="宋体" w:cs="宋体"/>
        <w:sz w:val="18"/>
        <w:szCs w:val="18"/>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C5B01">
    <w:pPr>
      <w:pStyle w:val="7"/>
      <w:rPr>
        <w:rFonts w:hint="eastAsia"/>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E83E4">
    <w:pPr>
      <w:pStyle w:val="7"/>
      <w:rPr>
        <w:rFonts w:hint="eastAsia"/>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0105B">
    <w:pPr>
      <w:pStyle w:val="7"/>
      <w:rPr>
        <w:rFonts w:hint="eastAsia"/>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3787F">
    <w:pPr>
      <w:pStyle w:val="7"/>
      <w:rPr>
        <w:rFonts w:hint="eastAsia"/>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88AC">
    <w:pPr>
      <w:pStyle w:val="7"/>
      <w:rPr>
        <w:rFonts w:hint="eastAsia"/>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E355">
    <w:pPr>
      <w:pStyle w:val="7"/>
      <w:rPr>
        <w:rFonts w:hint="eastAsia"/>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B1DD">
    <w:pPr>
      <w:pStyle w:val="7"/>
      <w:rPr>
        <w:rFonts w:hint="eastAsia"/>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90CC">
    <w:pPr>
      <w:pStyle w:val="7"/>
      <w:rPr>
        <w:rFonts w:hint="eastAsia"/>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7CDAE">
    <w:pPr>
      <w:pStyle w:val="7"/>
      <w:rPr>
        <w:rFonts w:hint="eastAsia"/>
        <w:lang w:eastAsia="zh-C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4BC3">
    <w:pPr>
      <w:pStyle w:val="7"/>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F60B">
    <w:pPr>
      <w:pStyle w:val="7"/>
      <w:rPr>
        <w:rFonts w:hint="eastAsia"/>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00D0">
    <w:pPr>
      <w:pStyle w:val="7"/>
      <w:rPr>
        <w:rFonts w:hint="eastAsia"/>
        <w:lang w:eastAsia="zh-CN"/>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48193">
    <w:pPr>
      <w:pStyle w:val="7"/>
      <w:rPr>
        <w:rFonts w:hint="eastAsia"/>
        <w:lang w:eastAsia="zh-CN"/>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DF07">
    <w:pPr>
      <w:pStyle w:val="7"/>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A014">
    <w:pPr>
      <w:pStyle w:val="7"/>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E4532">
    <w:pPr>
      <w:pStyle w:val="7"/>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545E">
    <w:pPr>
      <w:pStyle w:val="7"/>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C7718">
    <w:pPr>
      <w:pStyle w:val="7"/>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555B6">
    <w:pPr>
      <w:pStyle w:val="7"/>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1341">
    <w:pPr>
      <w:pStyle w:val="7"/>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1FFB">
    <w:pPr>
      <w:pStyle w:val="7"/>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65E7">
    <w:pPr>
      <w:pStyle w:val="7"/>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DC67">
    <w:pPr>
      <w:pStyle w:val="7"/>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F1C66">
    <w:pPr>
      <w:pStyle w:val="7"/>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FA8C">
    <w:pPr>
      <w:pStyle w:val="7"/>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82E6D">
    <w:pPr>
      <w:pStyle w:val="7"/>
      <w:rPr>
        <w:rFonts w:hint="eastAsia"/>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D765">
    <w:pPr>
      <w:pStyle w:val="7"/>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7559F4"/>
    <w:rsid w:val="009F4C1B"/>
    <w:rsid w:val="010B1CC4"/>
    <w:rsid w:val="019B29A6"/>
    <w:rsid w:val="02121515"/>
    <w:rsid w:val="0227311A"/>
    <w:rsid w:val="028E5D58"/>
    <w:rsid w:val="02DF50F4"/>
    <w:rsid w:val="03AD50CE"/>
    <w:rsid w:val="0462668B"/>
    <w:rsid w:val="047D1717"/>
    <w:rsid w:val="052F679D"/>
    <w:rsid w:val="054A57DE"/>
    <w:rsid w:val="06ED4932"/>
    <w:rsid w:val="070B4DB8"/>
    <w:rsid w:val="0845254C"/>
    <w:rsid w:val="088F37C7"/>
    <w:rsid w:val="09622CF6"/>
    <w:rsid w:val="098B0432"/>
    <w:rsid w:val="098D50FE"/>
    <w:rsid w:val="09FF3253"/>
    <w:rsid w:val="0A9F677D"/>
    <w:rsid w:val="0B3D750A"/>
    <w:rsid w:val="0B462863"/>
    <w:rsid w:val="0B654D14"/>
    <w:rsid w:val="0BC11EE9"/>
    <w:rsid w:val="0CA55746"/>
    <w:rsid w:val="0CD724B2"/>
    <w:rsid w:val="0CE73BD2"/>
    <w:rsid w:val="0CF175C1"/>
    <w:rsid w:val="0DF06AB6"/>
    <w:rsid w:val="0E2A1FC8"/>
    <w:rsid w:val="0EC151EB"/>
    <w:rsid w:val="0ED5478B"/>
    <w:rsid w:val="0FF3288D"/>
    <w:rsid w:val="0FFF1232"/>
    <w:rsid w:val="10161726"/>
    <w:rsid w:val="11172365"/>
    <w:rsid w:val="111C46FF"/>
    <w:rsid w:val="12D547CA"/>
    <w:rsid w:val="12DC585B"/>
    <w:rsid w:val="12F72695"/>
    <w:rsid w:val="134D5358"/>
    <w:rsid w:val="13CE7899"/>
    <w:rsid w:val="13F15336"/>
    <w:rsid w:val="14532BD8"/>
    <w:rsid w:val="14B06F9F"/>
    <w:rsid w:val="15923AAA"/>
    <w:rsid w:val="159E329B"/>
    <w:rsid w:val="15AC59B8"/>
    <w:rsid w:val="16287B8E"/>
    <w:rsid w:val="168004AF"/>
    <w:rsid w:val="17FF6273"/>
    <w:rsid w:val="182E0C8E"/>
    <w:rsid w:val="186C7681"/>
    <w:rsid w:val="189E0581"/>
    <w:rsid w:val="199D3F96"/>
    <w:rsid w:val="19EF056A"/>
    <w:rsid w:val="1B0167A6"/>
    <w:rsid w:val="1B100797"/>
    <w:rsid w:val="1C4F3541"/>
    <w:rsid w:val="1D305723"/>
    <w:rsid w:val="1D3A1AFC"/>
    <w:rsid w:val="1DA84CB7"/>
    <w:rsid w:val="1E76774D"/>
    <w:rsid w:val="1E8D6B70"/>
    <w:rsid w:val="1EC5096B"/>
    <w:rsid w:val="1F212F73"/>
    <w:rsid w:val="202F16C0"/>
    <w:rsid w:val="205E01F7"/>
    <w:rsid w:val="208A4B48"/>
    <w:rsid w:val="20D02EA3"/>
    <w:rsid w:val="20E16BBF"/>
    <w:rsid w:val="22205764"/>
    <w:rsid w:val="226B2757"/>
    <w:rsid w:val="22DF07C3"/>
    <w:rsid w:val="23241E73"/>
    <w:rsid w:val="23A3664D"/>
    <w:rsid w:val="24466FD8"/>
    <w:rsid w:val="24A0493A"/>
    <w:rsid w:val="253F0A19"/>
    <w:rsid w:val="25494FD2"/>
    <w:rsid w:val="25A77F4A"/>
    <w:rsid w:val="2647050F"/>
    <w:rsid w:val="267C3185"/>
    <w:rsid w:val="26C50688"/>
    <w:rsid w:val="26F176CF"/>
    <w:rsid w:val="26FB64F6"/>
    <w:rsid w:val="27CA55C7"/>
    <w:rsid w:val="27EF7B95"/>
    <w:rsid w:val="281968BD"/>
    <w:rsid w:val="28235FAE"/>
    <w:rsid w:val="283F446A"/>
    <w:rsid w:val="28B70AB8"/>
    <w:rsid w:val="28DC7F0B"/>
    <w:rsid w:val="29054B47"/>
    <w:rsid w:val="29656B78"/>
    <w:rsid w:val="298A3E0B"/>
    <w:rsid w:val="29B13146"/>
    <w:rsid w:val="2A094A63"/>
    <w:rsid w:val="2A4E6BE6"/>
    <w:rsid w:val="2AFC2AE6"/>
    <w:rsid w:val="2B3C2EE3"/>
    <w:rsid w:val="2BB331A5"/>
    <w:rsid w:val="2CBA0563"/>
    <w:rsid w:val="2CFC0B7C"/>
    <w:rsid w:val="2D031F0A"/>
    <w:rsid w:val="2D4B565F"/>
    <w:rsid w:val="2D76092E"/>
    <w:rsid w:val="2E7D5CEC"/>
    <w:rsid w:val="2ED753FC"/>
    <w:rsid w:val="2EEB64ED"/>
    <w:rsid w:val="2EEE7F22"/>
    <w:rsid w:val="2F8D7364"/>
    <w:rsid w:val="31150C42"/>
    <w:rsid w:val="31CC3B67"/>
    <w:rsid w:val="322F72FD"/>
    <w:rsid w:val="32726120"/>
    <w:rsid w:val="32F12805"/>
    <w:rsid w:val="337F6063"/>
    <w:rsid w:val="345D45F6"/>
    <w:rsid w:val="353E4427"/>
    <w:rsid w:val="35973B37"/>
    <w:rsid w:val="363B2715"/>
    <w:rsid w:val="36981915"/>
    <w:rsid w:val="36CE5337"/>
    <w:rsid w:val="36D1554B"/>
    <w:rsid w:val="36DA1F2E"/>
    <w:rsid w:val="374D48C4"/>
    <w:rsid w:val="37B944C8"/>
    <w:rsid w:val="38B51A50"/>
    <w:rsid w:val="38F23DAE"/>
    <w:rsid w:val="39047736"/>
    <w:rsid w:val="39363667"/>
    <w:rsid w:val="39916AF0"/>
    <w:rsid w:val="39AE1450"/>
    <w:rsid w:val="39C37D07"/>
    <w:rsid w:val="3A3605F5"/>
    <w:rsid w:val="3A9C1355"/>
    <w:rsid w:val="3BCA1EE5"/>
    <w:rsid w:val="3D127F47"/>
    <w:rsid w:val="3D377278"/>
    <w:rsid w:val="3D514233"/>
    <w:rsid w:val="3F1B30E3"/>
    <w:rsid w:val="3F9410E8"/>
    <w:rsid w:val="3FD17C46"/>
    <w:rsid w:val="40492C80"/>
    <w:rsid w:val="40B3559D"/>
    <w:rsid w:val="411D5AEA"/>
    <w:rsid w:val="41295B9F"/>
    <w:rsid w:val="413C5593"/>
    <w:rsid w:val="41AC2719"/>
    <w:rsid w:val="42132798"/>
    <w:rsid w:val="424555CB"/>
    <w:rsid w:val="426C1EA8"/>
    <w:rsid w:val="42BC16FE"/>
    <w:rsid w:val="42C13FA2"/>
    <w:rsid w:val="42C66428"/>
    <w:rsid w:val="42E44134"/>
    <w:rsid w:val="43282273"/>
    <w:rsid w:val="433C187A"/>
    <w:rsid w:val="43D1290A"/>
    <w:rsid w:val="449E14D4"/>
    <w:rsid w:val="456C6D44"/>
    <w:rsid w:val="45F60406"/>
    <w:rsid w:val="463351B6"/>
    <w:rsid w:val="4634715D"/>
    <w:rsid w:val="464F7B16"/>
    <w:rsid w:val="46F60E99"/>
    <w:rsid w:val="47122898"/>
    <w:rsid w:val="475F022D"/>
    <w:rsid w:val="47674CF3"/>
    <w:rsid w:val="47FE4882"/>
    <w:rsid w:val="48254FD3"/>
    <w:rsid w:val="48354082"/>
    <w:rsid w:val="494B2817"/>
    <w:rsid w:val="49E476D8"/>
    <w:rsid w:val="4A2A0CF0"/>
    <w:rsid w:val="4A2A4476"/>
    <w:rsid w:val="4A722025"/>
    <w:rsid w:val="4A852843"/>
    <w:rsid w:val="4CBD4622"/>
    <w:rsid w:val="4E2F2707"/>
    <w:rsid w:val="4EB63BE7"/>
    <w:rsid w:val="4EE72FE2"/>
    <w:rsid w:val="4EEC684A"/>
    <w:rsid w:val="4F313CA3"/>
    <w:rsid w:val="4F5B577E"/>
    <w:rsid w:val="4FFA6D45"/>
    <w:rsid w:val="50A53042"/>
    <w:rsid w:val="50F851B5"/>
    <w:rsid w:val="515B3813"/>
    <w:rsid w:val="51A52095"/>
    <w:rsid w:val="52757CAC"/>
    <w:rsid w:val="52EC3C6E"/>
    <w:rsid w:val="5338205E"/>
    <w:rsid w:val="53E04BF9"/>
    <w:rsid w:val="54770964"/>
    <w:rsid w:val="55322ADD"/>
    <w:rsid w:val="555829B5"/>
    <w:rsid w:val="556C5FEF"/>
    <w:rsid w:val="55D122F6"/>
    <w:rsid w:val="56220408"/>
    <w:rsid w:val="582F1556"/>
    <w:rsid w:val="58AF6128"/>
    <w:rsid w:val="596B480F"/>
    <w:rsid w:val="5A252281"/>
    <w:rsid w:val="5A5C36E0"/>
    <w:rsid w:val="5B2B74B8"/>
    <w:rsid w:val="5B633C5F"/>
    <w:rsid w:val="5B9A5675"/>
    <w:rsid w:val="5BF925A6"/>
    <w:rsid w:val="5BFB742E"/>
    <w:rsid w:val="5C335AB8"/>
    <w:rsid w:val="5C645C72"/>
    <w:rsid w:val="5C7B2FBB"/>
    <w:rsid w:val="5E197728"/>
    <w:rsid w:val="5E446D4A"/>
    <w:rsid w:val="5E471AE0"/>
    <w:rsid w:val="5E761C8C"/>
    <w:rsid w:val="5F0C4827"/>
    <w:rsid w:val="5F3E05CD"/>
    <w:rsid w:val="5F702B80"/>
    <w:rsid w:val="5F7D704B"/>
    <w:rsid w:val="60940AF0"/>
    <w:rsid w:val="60966616"/>
    <w:rsid w:val="60CF1B28"/>
    <w:rsid w:val="61AF31ED"/>
    <w:rsid w:val="61C24E40"/>
    <w:rsid w:val="61D63B4F"/>
    <w:rsid w:val="621A5025"/>
    <w:rsid w:val="62614A02"/>
    <w:rsid w:val="6267026A"/>
    <w:rsid w:val="629A488B"/>
    <w:rsid w:val="629E7A04"/>
    <w:rsid w:val="63005DC2"/>
    <w:rsid w:val="63BF40D6"/>
    <w:rsid w:val="64153CF6"/>
    <w:rsid w:val="64356146"/>
    <w:rsid w:val="64494F04"/>
    <w:rsid w:val="64923598"/>
    <w:rsid w:val="64D045E1"/>
    <w:rsid w:val="64F16511"/>
    <w:rsid w:val="653308D7"/>
    <w:rsid w:val="65A7056B"/>
    <w:rsid w:val="65B32646"/>
    <w:rsid w:val="65FC542A"/>
    <w:rsid w:val="66014A56"/>
    <w:rsid w:val="664663E8"/>
    <w:rsid w:val="6665580E"/>
    <w:rsid w:val="668313EA"/>
    <w:rsid w:val="66BF0575"/>
    <w:rsid w:val="67672ABA"/>
    <w:rsid w:val="67D90947"/>
    <w:rsid w:val="69724AA5"/>
    <w:rsid w:val="6980611D"/>
    <w:rsid w:val="69B1626F"/>
    <w:rsid w:val="6A0C16F7"/>
    <w:rsid w:val="6A0C577D"/>
    <w:rsid w:val="6A5608BC"/>
    <w:rsid w:val="6A5652B2"/>
    <w:rsid w:val="6BD6020E"/>
    <w:rsid w:val="6C540936"/>
    <w:rsid w:val="6C8639E2"/>
    <w:rsid w:val="6CA81BAB"/>
    <w:rsid w:val="6CF754D3"/>
    <w:rsid w:val="6D260D22"/>
    <w:rsid w:val="6D480C98"/>
    <w:rsid w:val="6D7D0CC3"/>
    <w:rsid w:val="6E364F94"/>
    <w:rsid w:val="6E6423F0"/>
    <w:rsid w:val="6E874EEB"/>
    <w:rsid w:val="6F712728"/>
    <w:rsid w:val="70E20BB5"/>
    <w:rsid w:val="71D15700"/>
    <w:rsid w:val="72A1591E"/>
    <w:rsid w:val="72CA214F"/>
    <w:rsid w:val="730438B3"/>
    <w:rsid w:val="737C169B"/>
    <w:rsid w:val="738467A2"/>
    <w:rsid w:val="74547FFC"/>
    <w:rsid w:val="76404C02"/>
    <w:rsid w:val="768C7E47"/>
    <w:rsid w:val="76905A16"/>
    <w:rsid w:val="76984A3E"/>
    <w:rsid w:val="76E9529A"/>
    <w:rsid w:val="776654DB"/>
    <w:rsid w:val="778E4093"/>
    <w:rsid w:val="77E048EF"/>
    <w:rsid w:val="78066B18"/>
    <w:rsid w:val="78F87A16"/>
    <w:rsid w:val="795B7FA5"/>
    <w:rsid w:val="79E65AC0"/>
    <w:rsid w:val="7AF16E13"/>
    <w:rsid w:val="7B191EC6"/>
    <w:rsid w:val="7B867E13"/>
    <w:rsid w:val="7BD55DED"/>
    <w:rsid w:val="7C155B0E"/>
    <w:rsid w:val="7C3F770A"/>
    <w:rsid w:val="7C603DE3"/>
    <w:rsid w:val="7CBC0D5A"/>
    <w:rsid w:val="7CC3640F"/>
    <w:rsid w:val="7CF93D5D"/>
    <w:rsid w:val="7D831878"/>
    <w:rsid w:val="7DE524A6"/>
    <w:rsid w:val="7DFD787D"/>
    <w:rsid w:val="7E682F48"/>
    <w:rsid w:val="7EA1645A"/>
    <w:rsid w:val="7EAD3051"/>
    <w:rsid w:val="7F6A2CF0"/>
    <w:rsid w:val="7FA05C2D"/>
    <w:rsid w:val="7FB4040F"/>
    <w:rsid w:val="7FD52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Arial" w:hAnsi="Arial" w:eastAsia="仿宋"/>
      <w:b/>
      <w:kern w:val="44"/>
      <w:sz w:val="44"/>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spacing w:line="300" w:lineRule="auto"/>
      <w:ind w:firstLine="420" w:firstLineChars="200"/>
    </w:pPr>
    <w:rPr>
      <w:rFonts w:ascii="Calibri" w:hAnsi="Calibri" w:eastAsia="宋体" w:cs="Times New Roman"/>
      <w:szCs w:val="24"/>
    </w:rPr>
  </w:style>
  <w:style w:type="paragraph" w:styleId="4">
    <w:name w:val="toc 4"/>
    <w:basedOn w:val="1"/>
    <w:next w:val="1"/>
    <w:qFormat/>
    <w:uiPriority w:val="0"/>
    <w:pPr>
      <w:ind w:left="630"/>
      <w:jc w:val="left"/>
    </w:pPr>
    <w:rPr>
      <w:rFonts w:ascii="Calibri" w:hAnsi="Calibri"/>
      <w:sz w:val="18"/>
      <w:szCs w:val="18"/>
    </w:rPr>
  </w:style>
  <w:style w:type="paragraph" w:styleId="5">
    <w:name w:val="Body Text"/>
    <w:basedOn w:val="1"/>
    <w:next w:val="1"/>
    <w:link w:val="15"/>
    <w:qFormat/>
    <w:uiPriority w:val="0"/>
    <w:pPr>
      <w:spacing w:line="360" w:lineRule="auto"/>
      <w:ind w:firstLine="510" w:firstLineChars="200"/>
    </w:pPr>
    <w:rPr>
      <w:rFonts w:ascii="仿宋" w:hAnsi="仿宋" w:eastAsia="仿宋" w:cs="仿宋"/>
      <w:sz w:val="24"/>
      <w:szCs w:val="3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paragraph" w:customStyle="1" w:styleId="14">
    <w:name w:val="Table Paragraph"/>
    <w:basedOn w:val="1"/>
    <w:qFormat/>
    <w:uiPriority w:val="1"/>
    <w:rPr>
      <w:rFonts w:ascii="宋体" w:hAnsi="宋体" w:eastAsia="宋体" w:cs="宋体"/>
      <w:lang w:val="zh-CN" w:eastAsia="zh-CN" w:bidi="zh-CN"/>
    </w:rPr>
  </w:style>
  <w:style w:type="character" w:customStyle="1" w:styleId="15">
    <w:name w:val="正文文本 Char"/>
    <w:link w:val="5"/>
    <w:qFormat/>
    <w:uiPriority w:val="0"/>
    <w:rPr>
      <w:rFonts w:ascii="仿宋" w:hAnsi="仿宋" w:eastAsia="仿宋" w:cs="仿宋"/>
      <w:sz w:val="24"/>
      <w:szCs w:val="3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14.jpeg"/><Relationship Id="rId80" Type="http://schemas.openxmlformats.org/officeDocument/2006/relationships/image" Target="media/image13.jpeg"/><Relationship Id="rId8" Type="http://schemas.openxmlformats.org/officeDocument/2006/relationships/footer" Target="footer2.xml"/><Relationship Id="rId79" Type="http://schemas.openxmlformats.org/officeDocument/2006/relationships/image" Target="media/image12.jpeg"/><Relationship Id="rId78" Type="http://schemas.openxmlformats.org/officeDocument/2006/relationships/image" Target="media/image11.jpeg"/><Relationship Id="rId77" Type="http://schemas.openxmlformats.org/officeDocument/2006/relationships/image" Target="media/image10.jpeg"/><Relationship Id="rId76" Type="http://schemas.openxmlformats.org/officeDocument/2006/relationships/image" Target="media/image9.jpeg"/><Relationship Id="rId75" Type="http://schemas.openxmlformats.org/officeDocument/2006/relationships/image" Target="media/image8.jpeg"/><Relationship Id="rId74" Type="http://schemas.openxmlformats.org/officeDocument/2006/relationships/image" Target="media/image7.jpeg"/><Relationship Id="rId73" Type="http://schemas.openxmlformats.org/officeDocument/2006/relationships/image" Target="media/image6.jpeg"/><Relationship Id="rId72" Type="http://schemas.openxmlformats.org/officeDocument/2006/relationships/image" Target="media/image5.jpeg"/><Relationship Id="rId71" Type="http://schemas.openxmlformats.org/officeDocument/2006/relationships/image" Target="media/image4.jpeg"/><Relationship Id="rId70" Type="http://schemas.openxmlformats.org/officeDocument/2006/relationships/image" Target="media/image3.jpeg"/><Relationship Id="rId7" Type="http://schemas.openxmlformats.org/officeDocument/2006/relationships/header" Target="header2.xml"/><Relationship Id="rId69" Type="http://schemas.openxmlformats.org/officeDocument/2006/relationships/image" Target="media/image2.jpeg"/><Relationship Id="rId68" Type="http://schemas.openxmlformats.org/officeDocument/2006/relationships/image" Target="media/image1.png"/><Relationship Id="rId67" Type="http://schemas.openxmlformats.org/officeDocument/2006/relationships/theme" Target="theme/theme1.xml"/><Relationship Id="rId66" Type="http://schemas.openxmlformats.org/officeDocument/2006/relationships/footer" Target="footer34.xml"/><Relationship Id="rId65" Type="http://schemas.openxmlformats.org/officeDocument/2006/relationships/header" Target="header28.xml"/><Relationship Id="rId64" Type="http://schemas.openxmlformats.org/officeDocument/2006/relationships/footer" Target="footer33.xml"/><Relationship Id="rId63" Type="http://schemas.openxmlformats.org/officeDocument/2006/relationships/header" Target="header27.xml"/><Relationship Id="rId62" Type="http://schemas.openxmlformats.org/officeDocument/2006/relationships/footer" Target="footer32.xml"/><Relationship Id="rId61" Type="http://schemas.openxmlformats.org/officeDocument/2006/relationships/header" Target="header26.xml"/><Relationship Id="rId60" Type="http://schemas.openxmlformats.org/officeDocument/2006/relationships/footer" Target="footer31.xml"/><Relationship Id="rId6" Type="http://schemas.openxmlformats.org/officeDocument/2006/relationships/footer" Target="footer1.xml"/><Relationship Id="rId59" Type="http://schemas.openxmlformats.org/officeDocument/2006/relationships/header" Target="header25.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footer" Target="footer27.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19187</Words>
  <Characters>20774</Characters>
  <TotalTime>165</TotalTime>
  <ScaleCrop>false</ScaleCrop>
  <LinksUpToDate>false</LinksUpToDate>
  <CharactersWithSpaces>20990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2024-12-20T16:57:00Z</dcterms:created>
  <dc:creator>Administrator</dc:creator>
  <cp:lastModifiedBy>西洲</cp:lastModifiedBy>
  <cp:lastPrinted>2025-04-07T08:19:00Z</cp:lastPrinted>
  <dcterms:modified xsi:type="dcterms:W3CDTF">2025-08-28T08:11:58Z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2024-12-23T11:09:49Z</vt:filetime>
  </property>
  <property fmtid="{D5CDD505-2E9C-101B-9397-08002B2CF9AE}" pid="4" name="KSOProductBuildVer">
    <vt:lpwstr>2052-12.1.0.22529</vt:lpwstr>
  </property>
  <property fmtid="{D5CDD505-2E9C-101B-9397-08002B2CF9AE}" pid="5" name="ICV">
    <vt:lpwstr>942C71D1ACD14824B23C8BEB98EF4F3C_13</vt:lpwstr>
  </property>
  <property fmtid="{D5CDD505-2E9C-101B-9397-08002B2CF9AE}" pid="6" name="KSOTemplateDocerSaveRecord">
    <vt:lpwstr>eyJoZGlkIjoiODg5ZTVmNzk0MDc4OGYxMTQ0OTlkNjg3ZGNlYThhN2MiLCJ1c2VySWQiOiIyNDcyODU5OTUifQ==</vt:lpwstr>
  </property>
</Properties>
</file>