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15E92">
      <w:pPr>
        <w:rPr>
          <w:rFonts w:hint="default" w:ascii="宋体" w:hAnsi="宋体" w:eastAsia="宋体" w:cs="宋体"/>
          <w:b/>
          <w:sz w:val="30"/>
          <w:szCs w:val="30"/>
          <w:lang w:val="en-US" w:eastAsia="zh-CN"/>
        </w:rPr>
      </w:pPr>
      <w:r>
        <w:rPr>
          <w:rFonts w:hint="eastAsia" w:ascii="宋体" w:hAnsi="宋体" w:eastAsia="宋体" w:cs="宋体"/>
          <w:b/>
          <w:sz w:val="30"/>
          <w:szCs w:val="30"/>
        </w:rPr>
        <w:t>采购项目编</w:t>
      </w:r>
      <w:r>
        <w:rPr>
          <w:rFonts w:hint="eastAsia" w:ascii="宋体" w:hAnsi="宋体" w:eastAsia="宋体" w:cs="宋体"/>
          <w:b/>
          <w:bCs w:val="0"/>
          <w:color w:val="auto"/>
          <w:sz w:val="30"/>
          <w:szCs w:val="30"/>
        </w:rPr>
        <w:t>号</w:t>
      </w:r>
      <w:r>
        <w:rPr>
          <w:rFonts w:hint="eastAsia" w:ascii="宋体" w:hAnsi="宋体" w:eastAsia="宋体" w:cs="宋体"/>
          <w:b/>
          <w:sz w:val="30"/>
          <w:szCs w:val="30"/>
        </w:rPr>
        <w:t>：HXCX2025022</w:t>
      </w:r>
    </w:p>
    <w:p w14:paraId="37ABE6E1">
      <w:pPr>
        <w:pStyle w:val="11"/>
        <w:rPr>
          <w:rFonts w:hint="eastAsia"/>
        </w:rPr>
      </w:pPr>
    </w:p>
    <w:p w14:paraId="277399B2">
      <w:pPr>
        <w:spacing w:line="360" w:lineRule="auto"/>
        <w:jc w:val="center"/>
        <w:rPr>
          <w:rFonts w:hint="eastAsia" w:ascii="宋体" w:hAnsi="宋体" w:cs="宋体"/>
          <w:b/>
          <w:bCs/>
          <w:sz w:val="72"/>
          <w:szCs w:val="72"/>
          <w:lang w:val="en-US" w:eastAsia="zh-CN"/>
        </w:rPr>
      </w:pPr>
    </w:p>
    <w:p w14:paraId="7A993F30">
      <w:pPr>
        <w:jc w:val="center"/>
        <w:rPr>
          <w:rFonts w:hint="eastAsia"/>
          <w:b/>
          <w:bCs/>
          <w:sz w:val="44"/>
          <w:szCs w:val="44"/>
        </w:rPr>
      </w:pPr>
      <w:r>
        <w:rPr>
          <w:rFonts w:hint="eastAsia"/>
          <w:b/>
          <w:bCs/>
          <w:sz w:val="44"/>
          <w:szCs w:val="44"/>
          <w:lang w:eastAsia="zh-CN"/>
        </w:rPr>
        <w:t>吴堡县张家山镇宽马家石村道路建设工程</w:t>
      </w:r>
    </w:p>
    <w:p w14:paraId="70886B68">
      <w:pPr>
        <w:pStyle w:val="11"/>
        <w:rPr>
          <w:rFonts w:hint="eastAsia"/>
        </w:rPr>
      </w:pPr>
    </w:p>
    <w:p w14:paraId="0EAD495E">
      <w:pPr>
        <w:spacing w:line="360" w:lineRule="auto"/>
        <w:jc w:val="center"/>
        <w:rPr>
          <w:rFonts w:hint="eastAsia" w:ascii="宋体" w:hAnsi="宋体" w:cs="宋体"/>
          <w:b/>
          <w:bCs/>
          <w:sz w:val="72"/>
          <w:szCs w:val="72"/>
          <w:lang w:val="en-US" w:eastAsia="zh-CN"/>
        </w:rPr>
      </w:pPr>
    </w:p>
    <w:p w14:paraId="4EACE042">
      <w:pPr>
        <w:spacing w:line="360" w:lineRule="auto"/>
        <w:jc w:val="center"/>
        <w:rPr>
          <w:rFonts w:hint="default" w:ascii="宋体" w:hAnsi="宋体" w:eastAsia="宋体" w:cs="宋体"/>
          <w:b/>
          <w:bCs/>
          <w:sz w:val="72"/>
          <w:szCs w:val="72"/>
          <w:lang w:val="en-US" w:eastAsia="zh-CN"/>
        </w:rPr>
      </w:pPr>
      <w:r>
        <w:rPr>
          <w:rFonts w:hint="eastAsia" w:ascii="宋体" w:hAnsi="宋体" w:cs="宋体"/>
          <w:b/>
          <w:bCs/>
          <w:sz w:val="72"/>
          <w:szCs w:val="72"/>
          <w:lang w:val="en-US" w:eastAsia="zh-CN"/>
        </w:rPr>
        <w:t>竞争性磋商文件</w:t>
      </w:r>
    </w:p>
    <w:p w14:paraId="3BCB0F1B">
      <w:pPr>
        <w:spacing w:line="360" w:lineRule="auto"/>
        <w:rPr>
          <w:rFonts w:hint="eastAsia" w:ascii="宋体" w:hAnsi="宋体" w:eastAsia="宋体" w:cs="宋体"/>
          <w:b/>
          <w:sz w:val="11"/>
          <w:szCs w:val="11"/>
        </w:rPr>
      </w:pPr>
    </w:p>
    <w:p w14:paraId="76D2EE83">
      <w:pPr>
        <w:spacing w:line="360" w:lineRule="auto"/>
        <w:rPr>
          <w:rFonts w:hint="eastAsia" w:ascii="宋体" w:hAnsi="宋体" w:eastAsia="宋体" w:cs="宋体"/>
          <w:b/>
          <w:sz w:val="11"/>
          <w:szCs w:val="11"/>
        </w:rPr>
      </w:pPr>
    </w:p>
    <w:p w14:paraId="1EF78339">
      <w:pPr>
        <w:pStyle w:val="11"/>
        <w:rPr>
          <w:rFonts w:hint="eastAsia"/>
          <w:lang w:val="en-US" w:eastAsia="zh-CN"/>
        </w:rPr>
      </w:pPr>
      <w:r>
        <w:rPr>
          <w:rFonts w:hint="eastAsia" w:ascii="宋体" w:hAnsi="宋体" w:cs="宋体"/>
          <w:b w:val="0"/>
          <w:sz w:val="28"/>
          <w:szCs w:val="28"/>
          <w:lang w:val="en-US" w:eastAsia="zh-CN"/>
        </w:rPr>
        <w:t xml:space="preserve">  </w:t>
      </w:r>
    </w:p>
    <w:p w14:paraId="17C8E269">
      <w:pPr>
        <w:pStyle w:val="11"/>
        <w:rPr>
          <w:rFonts w:hint="eastAsia"/>
          <w:lang w:val="en-US" w:eastAsia="zh-CN"/>
        </w:rPr>
      </w:pPr>
    </w:p>
    <w:p w14:paraId="573962F6">
      <w:pPr>
        <w:pStyle w:val="11"/>
        <w:rPr>
          <w:rFonts w:hint="eastAsia"/>
        </w:rPr>
      </w:pPr>
    </w:p>
    <w:p w14:paraId="5E8E57D6">
      <w:pPr>
        <w:rPr>
          <w:rFonts w:hint="eastAsia"/>
        </w:rPr>
      </w:pPr>
    </w:p>
    <w:p w14:paraId="5A748518">
      <w:pPr>
        <w:rPr>
          <w:rFonts w:hint="eastAsia"/>
        </w:rPr>
      </w:pPr>
    </w:p>
    <w:p w14:paraId="4A3CC20D">
      <w:pPr>
        <w:spacing w:line="600" w:lineRule="auto"/>
        <w:jc w:val="both"/>
        <w:rPr>
          <w:rFonts w:hint="eastAsia" w:ascii="宋体" w:hAnsi="宋体" w:cs="宋体"/>
          <w:b/>
          <w:sz w:val="32"/>
          <w:szCs w:val="32"/>
          <w:lang w:eastAsia="zh-CN"/>
        </w:rPr>
      </w:pPr>
      <w:r>
        <w:rPr>
          <w:rFonts w:hint="eastAsia" w:ascii="宋体" w:hAnsi="宋体" w:eastAsia="宋体" w:cs="宋体"/>
          <w:b/>
          <w:sz w:val="32"/>
          <w:szCs w:val="32"/>
        </w:rPr>
        <w:t>采   购   人：</w:t>
      </w:r>
      <w:r>
        <w:rPr>
          <w:rFonts w:hint="eastAsia" w:ascii="宋体" w:hAnsi="宋体" w:eastAsia="宋体" w:cs="宋体"/>
          <w:b/>
          <w:sz w:val="32"/>
          <w:szCs w:val="32"/>
          <w:lang w:eastAsia="zh-CN"/>
        </w:rPr>
        <w:t>吴堡县张家山镇人民政府</w:t>
      </w:r>
    </w:p>
    <w:p w14:paraId="557FA920">
      <w:pPr>
        <w:pStyle w:val="11"/>
        <w:rPr>
          <w:rFonts w:hint="eastAsia"/>
          <w:lang w:eastAsia="zh-CN"/>
        </w:rPr>
      </w:pPr>
    </w:p>
    <w:p w14:paraId="518D18A8">
      <w:pPr>
        <w:spacing w:line="600" w:lineRule="auto"/>
        <w:jc w:val="both"/>
        <w:rPr>
          <w:rFonts w:hint="eastAsia" w:ascii="宋体" w:hAnsi="宋体" w:eastAsia="宋体" w:cs="宋体"/>
          <w:b/>
          <w:sz w:val="32"/>
          <w:szCs w:val="32"/>
        </w:rPr>
      </w:pPr>
      <w:r>
        <w:rPr>
          <w:rFonts w:hint="eastAsia" w:ascii="宋体" w:hAnsi="宋体" w:eastAsia="宋体" w:cs="宋体"/>
          <w:b/>
          <w:sz w:val="32"/>
          <w:szCs w:val="32"/>
        </w:rPr>
        <w:t>采购代理机构：</w:t>
      </w:r>
      <w:r>
        <w:rPr>
          <w:rFonts w:hint="eastAsia" w:ascii="宋体" w:hAnsi="宋体" w:eastAsia="宋体" w:cs="宋体"/>
          <w:b/>
          <w:sz w:val="32"/>
          <w:szCs w:val="32"/>
          <w:lang w:eastAsia="zh-CN"/>
        </w:rPr>
        <w:t>陕西华旭晟信项目管理有限责任公司</w:t>
      </w:r>
    </w:p>
    <w:p w14:paraId="6B8E8AE8">
      <w:pPr>
        <w:pStyle w:val="11"/>
        <w:rPr>
          <w:rFonts w:hint="eastAsia"/>
          <w:lang w:eastAsia="zh-CN"/>
        </w:rPr>
      </w:pPr>
    </w:p>
    <w:p w14:paraId="6008B54B">
      <w:pPr>
        <w:wordWrap/>
        <w:ind w:firstLine="2560" w:firstLineChars="800"/>
        <w:jc w:val="both"/>
      </w:pPr>
      <w:r>
        <w:rPr>
          <w:rFonts w:hint="eastAsia" w:ascii="宋体" w:hAnsi="宋体" w:eastAsia="宋体" w:cs="宋体"/>
          <w:b/>
          <w:sz w:val="32"/>
          <w:szCs w:val="32"/>
          <w:u w:val="none"/>
          <w:lang w:eastAsia="zh-CN"/>
        </w:rPr>
        <w:t>二零二</w:t>
      </w:r>
      <w:r>
        <w:rPr>
          <w:rFonts w:hint="eastAsia" w:ascii="宋体" w:hAnsi="宋体" w:cs="宋体"/>
          <w:b/>
          <w:sz w:val="32"/>
          <w:szCs w:val="32"/>
          <w:u w:val="none"/>
          <w:lang w:val="en-US" w:eastAsia="zh-CN"/>
        </w:rPr>
        <w:t>五</w:t>
      </w:r>
      <w:r>
        <w:rPr>
          <w:rFonts w:hint="eastAsia" w:ascii="宋体" w:hAnsi="宋体" w:eastAsia="宋体" w:cs="宋体"/>
          <w:b/>
          <w:sz w:val="32"/>
          <w:szCs w:val="32"/>
        </w:rPr>
        <w:t>年</w:t>
      </w:r>
      <w:r>
        <w:rPr>
          <w:rFonts w:hint="eastAsia" w:ascii="宋体" w:hAnsi="宋体" w:cs="宋体"/>
          <w:b/>
          <w:sz w:val="32"/>
          <w:szCs w:val="32"/>
          <w:u w:val="none"/>
          <w:lang w:val="en-US" w:eastAsia="zh-CN"/>
        </w:rPr>
        <w:t>九</w:t>
      </w:r>
      <w:r>
        <w:rPr>
          <w:rFonts w:hint="eastAsia" w:ascii="宋体" w:hAnsi="宋体" w:eastAsia="宋体" w:cs="宋体"/>
          <w:b/>
          <w:sz w:val="32"/>
          <w:szCs w:val="32"/>
        </w:rPr>
        <w:t>月</w:t>
      </w:r>
    </w:p>
    <w:p w14:paraId="53A6D168">
      <w:pPr>
        <w:rPr>
          <w:rFonts w:hint="eastAsia" w:ascii="宋体" w:hAnsi="宋体"/>
          <w:b/>
          <w:sz w:val="48"/>
          <w:szCs w:val="48"/>
        </w:rPr>
      </w:pPr>
      <w:r>
        <w:rPr>
          <w:rFonts w:hint="eastAsia" w:ascii="宋体" w:hAnsi="宋体"/>
          <w:b/>
          <w:sz w:val="48"/>
          <w:szCs w:val="48"/>
        </w:rPr>
        <w:br w:type="page"/>
      </w:r>
    </w:p>
    <w:p w14:paraId="18835203">
      <w:pPr>
        <w:jc w:val="center"/>
        <w:outlineLvl w:val="9"/>
        <w:rPr>
          <w:rFonts w:ascii="宋体" w:hAnsi="宋体"/>
          <w:b/>
          <w:sz w:val="48"/>
          <w:szCs w:val="48"/>
        </w:rPr>
      </w:pPr>
      <w:r>
        <w:rPr>
          <w:rFonts w:hint="eastAsia" w:ascii="宋体" w:hAnsi="宋体"/>
          <w:b/>
          <w:sz w:val="48"/>
          <w:szCs w:val="48"/>
        </w:rPr>
        <w:t>目</w:t>
      </w:r>
      <w:r>
        <w:rPr>
          <w:rFonts w:ascii="宋体" w:hAnsi="宋体"/>
          <w:b/>
          <w:sz w:val="48"/>
          <w:szCs w:val="48"/>
        </w:rPr>
        <w:t xml:space="preserve">   </w:t>
      </w:r>
      <w:r>
        <w:rPr>
          <w:rFonts w:hint="eastAsia" w:ascii="宋体" w:hAnsi="宋体"/>
          <w:b/>
          <w:sz w:val="48"/>
          <w:szCs w:val="48"/>
        </w:rPr>
        <w:t>录</w:t>
      </w:r>
    </w:p>
    <w:p w14:paraId="34965F4E">
      <w:pPr>
        <w:outlineLvl w:val="9"/>
      </w:pPr>
    </w:p>
    <w:sdt>
      <w:sdtPr>
        <w:rPr>
          <w:rFonts w:ascii="宋体" w:hAnsi="宋体" w:eastAsia="宋体" w:cs="Times New Roman"/>
          <w:kern w:val="2"/>
          <w:sz w:val="21"/>
          <w:lang w:val="en-US" w:eastAsia="zh-CN" w:bidi="ar-SA"/>
        </w:rPr>
        <w:id w:val="147456064"/>
        <w15:color w:val="DBDBDB"/>
        <w:docPartObj>
          <w:docPartGallery w:val="Table of Contents"/>
          <w:docPartUnique/>
        </w:docPartObj>
      </w:sdtPr>
      <w:sdtEndPr>
        <w:rPr>
          <w:rFonts w:ascii="宋体" w:hAnsi="Times New Roman" w:eastAsia="宋体" w:cs="Times New Roman"/>
          <w:b/>
          <w:kern w:val="2"/>
          <w:sz w:val="21"/>
          <w:szCs w:val="32"/>
          <w:lang w:val="en-US" w:eastAsia="zh-CN" w:bidi="ar-SA"/>
        </w:rPr>
      </w:sdtEndPr>
      <w:sdtContent>
        <w:p w14:paraId="16179A33">
          <w:pPr>
            <w:adjustRightInd w:val="0"/>
            <w:snapToGrid w:val="0"/>
            <w:spacing w:line="360" w:lineRule="auto"/>
            <w:outlineLvl w:val="9"/>
            <w:rPr>
              <w:rFonts w:ascii="宋体" w:hAnsi="宋体" w:eastAsia="宋体" w:cs="Times New Roman"/>
              <w:kern w:val="2"/>
              <w:sz w:val="21"/>
              <w:lang w:val="en-US" w:eastAsia="zh-CN" w:bidi="ar-SA"/>
            </w:rPr>
          </w:pPr>
        </w:p>
        <w:p w14:paraId="329A12F7">
          <w:pPr>
            <w:pStyle w:val="20"/>
            <w:tabs>
              <w:tab w:val="right" w:leader="dot" w:pos="8731"/>
            </w:tabs>
            <w:spacing w:line="360" w:lineRule="auto"/>
          </w:pPr>
          <w:r>
            <w:fldChar w:fldCharType="begin"/>
          </w:r>
          <w:r>
            <w:instrText xml:space="preserve">TOC \o "1-3" \h \u </w:instrText>
          </w:r>
          <w:r>
            <w:fldChar w:fldCharType="separate"/>
          </w:r>
          <w:r>
            <w:fldChar w:fldCharType="begin"/>
          </w:r>
          <w:r>
            <w:instrText xml:space="preserve"> HYPERLINK \l _Toc21891 </w:instrText>
          </w:r>
          <w:r>
            <w:fldChar w:fldCharType="separate"/>
          </w:r>
          <w:r>
            <w:rPr>
              <w:rFonts w:hint="eastAsia"/>
              <w:bCs/>
              <w:szCs w:val="36"/>
              <w:lang w:val="en-US" w:eastAsia="zh-CN"/>
            </w:rPr>
            <w:t>第一章</w:t>
          </w:r>
          <w:r>
            <w:rPr>
              <w:bCs/>
              <w:szCs w:val="36"/>
            </w:rPr>
            <w:t xml:space="preserve"> </w:t>
          </w:r>
          <w:r>
            <w:rPr>
              <w:rFonts w:hint="eastAsia"/>
              <w:bCs/>
              <w:szCs w:val="36"/>
            </w:rPr>
            <w:t>竞争性磋商公告</w:t>
          </w:r>
          <w:r>
            <w:tab/>
          </w:r>
          <w:r>
            <w:fldChar w:fldCharType="begin"/>
          </w:r>
          <w:r>
            <w:instrText xml:space="preserve"> PAGEREF _Toc21891 \h </w:instrText>
          </w:r>
          <w:r>
            <w:fldChar w:fldCharType="separate"/>
          </w:r>
          <w:r>
            <w:t>1</w:t>
          </w:r>
          <w:r>
            <w:fldChar w:fldCharType="end"/>
          </w:r>
          <w:r>
            <w:fldChar w:fldCharType="end"/>
          </w:r>
        </w:p>
        <w:p w14:paraId="4D1917BE">
          <w:pPr>
            <w:pStyle w:val="20"/>
            <w:tabs>
              <w:tab w:val="right" w:leader="dot" w:pos="8731"/>
            </w:tabs>
            <w:spacing w:line="360" w:lineRule="auto"/>
          </w:pPr>
          <w:r>
            <w:fldChar w:fldCharType="begin"/>
          </w:r>
          <w:r>
            <w:instrText xml:space="preserve"> HYPERLINK \l _Toc17191 </w:instrText>
          </w:r>
          <w:r>
            <w:fldChar w:fldCharType="separate"/>
          </w:r>
          <w:r>
            <w:rPr>
              <w:rFonts w:hint="eastAsia"/>
              <w:bCs/>
              <w:szCs w:val="36"/>
            </w:rPr>
            <w:t>第二章</w:t>
          </w:r>
          <w:r>
            <w:rPr>
              <w:bCs/>
              <w:szCs w:val="36"/>
            </w:rPr>
            <w:t xml:space="preserve"> </w:t>
          </w:r>
          <w:r>
            <w:rPr>
              <w:rFonts w:hint="eastAsia"/>
              <w:bCs/>
              <w:szCs w:val="36"/>
              <w:lang w:val="en-US" w:eastAsia="zh-CN"/>
            </w:rPr>
            <w:t xml:space="preserve"> </w:t>
          </w:r>
          <w:r>
            <w:rPr>
              <w:rFonts w:hint="eastAsia"/>
              <w:bCs/>
              <w:szCs w:val="36"/>
            </w:rPr>
            <w:t>供应商须知前附表及供应商须知</w:t>
          </w:r>
          <w:r>
            <w:tab/>
          </w:r>
          <w:r>
            <w:fldChar w:fldCharType="begin"/>
          </w:r>
          <w:r>
            <w:instrText xml:space="preserve"> PAGEREF _Toc17191 \h </w:instrText>
          </w:r>
          <w:r>
            <w:fldChar w:fldCharType="separate"/>
          </w:r>
          <w:r>
            <w:t>6</w:t>
          </w:r>
          <w:r>
            <w:fldChar w:fldCharType="end"/>
          </w:r>
          <w:r>
            <w:fldChar w:fldCharType="end"/>
          </w:r>
        </w:p>
        <w:p w14:paraId="43110C0A">
          <w:pPr>
            <w:pStyle w:val="20"/>
            <w:tabs>
              <w:tab w:val="right" w:leader="dot" w:pos="8731"/>
            </w:tabs>
            <w:spacing w:line="360" w:lineRule="auto"/>
          </w:pPr>
          <w:r>
            <w:fldChar w:fldCharType="begin"/>
          </w:r>
          <w:r>
            <w:instrText xml:space="preserve"> HYPERLINK \l _Toc24996 </w:instrText>
          </w:r>
          <w:r>
            <w:fldChar w:fldCharType="separate"/>
          </w:r>
          <w:r>
            <w:rPr>
              <w:rFonts w:hint="eastAsia"/>
              <w:bCs/>
              <w:szCs w:val="36"/>
            </w:rPr>
            <w:t>第三章  评标方法</w:t>
          </w:r>
          <w:r>
            <w:tab/>
          </w:r>
          <w:r>
            <w:fldChar w:fldCharType="begin"/>
          </w:r>
          <w:r>
            <w:instrText xml:space="preserve"> PAGEREF _Toc24996 \h </w:instrText>
          </w:r>
          <w:r>
            <w:fldChar w:fldCharType="separate"/>
          </w:r>
          <w:r>
            <w:t>31</w:t>
          </w:r>
          <w:r>
            <w:fldChar w:fldCharType="end"/>
          </w:r>
          <w:r>
            <w:fldChar w:fldCharType="end"/>
          </w:r>
        </w:p>
        <w:p w14:paraId="453AC7F9">
          <w:pPr>
            <w:pStyle w:val="20"/>
            <w:tabs>
              <w:tab w:val="right" w:leader="dot" w:pos="8731"/>
            </w:tabs>
            <w:spacing w:line="360" w:lineRule="auto"/>
          </w:pPr>
          <w:r>
            <w:fldChar w:fldCharType="begin"/>
          </w:r>
          <w:r>
            <w:instrText xml:space="preserve"> HYPERLINK \l _Toc23973 </w:instrText>
          </w:r>
          <w:r>
            <w:fldChar w:fldCharType="separate"/>
          </w:r>
          <w:r>
            <w:rPr>
              <w:rFonts w:hint="eastAsia"/>
              <w:bCs/>
              <w:szCs w:val="36"/>
              <w:lang w:val="en-US" w:eastAsia="zh-CN"/>
            </w:rPr>
            <w:t>第四章  商务要求</w:t>
          </w:r>
          <w:r>
            <w:tab/>
          </w:r>
          <w:r>
            <w:fldChar w:fldCharType="begin"/>
          </w:r>
          <w:r>
            <w:instrText xml:space="preserve"> PAGEREF _Toc23973 \h </w:instrText>
          </w:r>
          <w:r>
            <w:fldChar w:fldCharType="separate"/>
          </w:r>
          <w:r>
            <w:t>38</w:t>
          </w:r>
          <w:r>
            <w:fldChar w:fldCharType="end"/>
          </w:r>
          <w:r>
            <w:fldChar w:fldCharType="end"/>
          </w:r>
        </w:p>
        <w:p w14:paraId="0CC319B6">
          <w:pPr>
            <w:pStyle w:val="20"/>
            <w:tabs>
              <w:tab w:val="right" w:leader="dot" w:pos="8731"/>
            </w:tabs>
            <w:spacing w:line="360" w:lineRule="auto"/>
          </w:pPr>
          <w:r>
            <w:fldChar w:fldCharType="begin"/>
          </w:r>
          <w:r>
            <w:instrText xml:space="preserve"> HYPERLINK \l _Toc31270 </w:instrText>
          </w:r>
          <w:r>
            <w:fldChar w:fldCharType="separate"/>
          </w:r>
          <w:r>
            <w:rPr>
              <w:rFonts w:hint="eastAsia"/>
              <w:bCs/>
              <w:szCs w:val="36"/>
              <w:lang w:val="en-US" w:eastAsia="zh-CN"/>
            </w:rPr>
            <w:t>第五章</w:t>
          </w:r>
          <w:r>
            <w:rPr>
              <w:rFonts w:hint="eastAsia"/>
              <w:bCs/>
              <w:szCs w:val="36"/>
            </w:rPr>
            <w:t xml:space="preserve"> </w:t>
          </w:r>
          <w:r>
            <w:rPr>
              <w:rFonts w:hint="eastAsia"/>
              <w:bCs/>
              <w:szCs w:val="36"/>
              <w:lang w:val="en-US" w:eastAsia="zh-CN"/>
            </w:rPr>
            <w:t xml:space="preserve"> </w:t>
          </w:r>
          <w:r>
            <w:rPr>
              <w:rFonts w:hint="eastAsia"/>
              <w:bCs/>
              <w:szCs w:val="36"/>
            </w:rPr>
            <w:t>政府采购合同</w:t>
          </w:r>
          <w:r>
            <w:rPr>
              <w:rFonts w:hint="eastAsia"/>
              <w:bCs/>
              <w:szCs w:val="36"/>
              <w:lang w:eastAsia="zh-CN"/>
            </w:rPr>
            <w:t>（</w:t>
          </w:r>
          <w:r>
            <w:rPr>
              <w:rFonts w:hint="eastAsia"/>
              <w:bCs/>
              <w:szCs w:val="36"/>
              <w:lang w:val="en-US" w:eastAsia="zh-CN"/>
            </w:rPr>
            <w:t>仅供参考</w:t>
          </w:r>
          <w:r>
            <w:rPr>
              <w:rFonts w:hint="eastAsia"/>
              <w:bCs/>
              <w:szCs w:val="36"/>
              <w:lang w:eastAsia="zh-CN"/>
            </w:rPr>
            <w:t>）</w:t>
          </w:r>
          <w:r>
            <w:tab/>
          </w:r>
          <w:r>
            <w:fldChar w:fldCharType="begin"/>
          </w:r>
          <w:r>
            <w:instrText xml:space="preserve"> PAGEREF _Toc31270 \h </w:instrText>
          </w:r>
          <w:r>
            <w:fldChar w:fldCharType="separate"/>
          </w:r>
          <w:r>
            <w:t>40</w:t>
          </w:r>
          <w:r>
            <w:fldChar w:fldCharType="end"/>
          </w:r>
          <w:r>
            <w:fldChar w:fldCharType="end"/>
          </w:r>
        </w:p>
        <w:p w14:paraId="0BA18DBB">
          <w:pPr>
            <w:pStyle w:val="20"/>
            <w:tabs>
              <w:tab w:val="right" w:leader="dot" w:pos="8731"/>
            </w:tabs>
            <w:spacing w:line="360" w:lineRule="auto"/>
          </w:pPr>
          <w:r>
            <w:fldChar w:fldCharType="begin"/>
          </w:r>
          <w:r>
            <w:instrText xml:space="preserve"> HYPERLINK \l _Toc28228 </w:instrText>
          </w:r>
          <w:r>
            <w:fldChar w:fldCharType="separate"/>
          </w:r>
          <w:r>
            <w:rPr>
              <w:rFonts w:hint="eastAsia"/>
              <w:bCs/>
              <w:szCs w:val="36"/>
              <w:lang w:eastAsia="zh-CN"/>
            </w:rPr>
            <w:t>第六章 工程量清单</w:t>
          </w:r>
          <w:r>
            <w:tab/>
          </w:r>
          <w:r>
            <w:fldChar w:fldCharType="begin"/>
          </w:r>
          <w:r>
            <w:instrText xml:space="preserve"> PAGEREF _Toc28228 \h </w:instrText>
          </w:r>
          <w:r>
            <w:fldChar w:fldCharType="separate"/>
          </w:r>
          <w:r>
            <w:t>43</w:t>
          </w:r>
          <w:r>
            <w:fldChar w:fldCharType="end"/>
          </w:r>
          <w:r>
            <w:fldChar w:fldCharType="end"/>
          </w:r>
        </w:p>
        <w:p w14:paraId="46B82C69">
          <w:pPr>
            <w:pStyle w:val="20"/>
            <w:tabs>
              <w:tab w:val="right" w:leader="dot" w:pos="8731"/>
            </w:tabs>
            <w:spacing w:line="360" w:lineRule="auto"/>
          </w:pPr>
          <w:r>
            <w:fldChar w:fldCharType="begin"/>
          </w:r>
          <w:r>
            <w:instrText xml:space="preserve"> HYPERLINK \l _Toc17519 </w:instrText>
          </w:r>
          <w:r>
            <w:fldChar w:fldCharType="separate"/>
          </w:r>
          <w:r>
            <w:rPr>
              <w:rFonts w:hint="eastAsia"/>
              <w:bCs/>
              <w:szCs w:val="36"/>
              <w:lang w:eastAsia="zh-CN"/>
            </w:rPr>
            <w:t>第</w:t>
          </w:r>
          <w:r>
            <w:rPr>
              <w:rFonts w:hint="eastAsia"/>
              <w:bCs/>
              <w:szCs w:val="36"/>
              <w:lang w:val="en-US" w:eastAsia="zh-CN"/>
            </w:rPr>
            <w:t>七</w:t>
          </w:r>
          <w:r>
            <w:rPr>
              <w:rFonts w:hint="eastAsia"/>
              <w:bCs/>
              <w:szCs w:val="36"/>
              <w:lang w:eastAsia="zh-CN"/>
            </w:rPr>
            <w:t>章  竞争性磋商响应文件格式</w:t>
          </w:r>
          <w:r>
            <w:tab/>
          </w:r>
          <w:r>
            <w:fldChar w:fldCharType="begin"/>
          </w:r>
          <w:r>
            <w:instrText xml:space="preserve"> PAGEREF _Toc17519 \h </w:instrText>
          </w:r>
          <w:r>
            <w:fldChar w:fldCharType="separate"/>
          </w:r>
          <w:r>
            <w:t>51</w:t>
          </w:r>
          <w:r>
            <w:fldChar w:fldCharType="end"/>
          </w:r>
          <w:r>
            <w:fldChar w:fldCharType="end"/>
          </w:r>
        </w:p>
        <w:p w14:paraId="05E849FF">
          <w:pPr>
            <w:pStyle w:val="21"/>
            <w:tabs>
              <w:tab w:val="right" w:leader="dot" w:pos="8731"/>
            </w:tabs>
            <w:spacing w:line="360" w:lineRule="auto"/>
          </w:pPr>
          <w:r>
            <w:fldChar w:fldCharType="begin"/>
          </w:r>
          <w:r>
            <w:instrText xml:space="preserve"> HYPERLINK \l _Toc30588 </w:instrText>
          </w:r>
          <w:r>
            <w:fldChar w:fldCharType="separate"/>
          </w:r>
          <w:r>
            <w:rPr>
              <w:rFonts w:hint="eastAsia" w:ascii="宋体" w:hAnsi="宋体" w:cs="宋体"/>
              <w:szCs w:val="32"/>
              <w:lang w:val="en-US" w:eastAsia="zh-CN"/>
            </w:rPr>
            <w:t>一、</w:t>
          </w:r>
          <w:r>
            <w:rPr>
              <w:rFonts w:hint="eastAsia" w:ascii="宋体" w:hAnsi="宋体" w:eastAsia="宋体" w:cs="宋体"/>
              <w:szCs w:val="32"/>
            </w:rPr>
            <w:t>响应函</w:t>
          </w:r>
          <w:r>
            <w:tab/>
          </w:r>
          <w:r>
            <w:fldChar w:fldCharType="begin"/>
          </w:r>
          <w:r>
            <w:instrText xml:space="preserve"> PAGEREF _Toc30588 \h </w:instrText>
          </w:r>
          <w:r>
            <w:fldChar w:fldCharType="separate"/>
          </w:r>
          <w:r>
            <w:t>53</w:t>
          </w:r>
          <w:r>
            <w:fldChar w:fldCharType="end"/>
          </w:r>
          <w:r>
            <w:fldChar w:fldCharType="end"/>
          </w:r>
        </w:p>
        <w:p w14:paraId="09637A84">
          <w:pPr>
            <w:pStyle w:val="21"/>
            <w:tabs>
              <w:tab w:val="right" w:leader="dot" w:pos="8731"/>
            </w:tabs>
            <w:spacing w:line="360" w:lineRule="auto"/>
          </w:pPr>
          <w:r>
            <w:fldChar w:fldCharType="begin"/>
          </w:r>
          <w:r>
            <w:instrText xml:space="preserve"> HYPERLINK \l _Toc4565 </w:instrText>
          </w:r>
          <w:r>
            <w:fldChar w:fldCharType="separate"/>
          </w:r>
          <w:r>
            <w:rPr>
              <w:rFonts w:hint="eastAsia" w:ascii="宋体" w:hAnsi="宋体" w:eastAsia="宋体" w:cs="宋体"/>
              <w:szCs w:val="32"/>
              <w:lang w:val="en-US" w:eastAsia="zh-CN"/>
            </w:rPr>
            <w:t>二、第一次</w:t>
          </w:r>
          <w:r>
            <w:rPr>
              <w:rFonts w:hint="eastAsia" w:ascii="宋体" w:hAnsi="宋体" w:eastAsia="宋体" w:cs="宋体"/>
              <w:szCs w:val="32"/>
              <w:lang w:eastAsia="zh-CN"/>
            </w:rPr>
            <w:t>磋商报价表</w:t>
          </w:r>
          <w:r>
            <w:tab/>
          </w:r>
          <w:r>
            <w:fldChar w:fldCharType="begin"/>
          </w:r>
          <w:r>
            <w:instrText xml:space="preserve"> PAGEREF _Toc4565 \h </w:instrText>
          </w:r>
          <w:r>
            <w:fldChar w:fldCharType="separate"/>
          </w:r>
          <w:r>
            <w:t>54</w:t>
          </w:r>
          <w:r>
            <w:fldChar w:fldCharType="end"/>
          </w:r>
          <w:r>
            <w:fldChar w:fldCharType="end"/>
          </w:r>
        </w:p>
        <w:p w14:paraId="3E153CED">
          <w:pPr>
            <w:pStyle w:val="21"/>
            <w:tabs>
              <w:tab w:val="right" w:leader="dot" w:pos="8731"/>
            </w:tabs>
            <w:spacing w:line="360" w:lineRule="auto"/>
          </w:pPr>
          <w:r>
            <w:fldChar w:fldCharType="begin"/>
          </w:r>
          <w:r>
            <w:instrText xml:space="preserve"> HYPERLINK \l _Toc29692 </w:instrText>
          </w:r>
          <w:r>
            <w:fldChar w:fldCharType="separate"/>
          </w:r>
          <w:r>
            <w:rPr>
              <w:rFonts w:hint="eastAsia" w:ascii="宋体" w:hAnsi="宋体" w:cs="宋体"/>
              <w:szCs w:val="32"/>
              <w:lang w:val="en-US" w:eastAsia="zh-CN"/>
            </w:rPr>
            <w:t>三、</w:t>
          </w:r>
          <w:r>
            <w:rPr>
              <w:rFonts w:hint="eastAsia" w:ascii="宋体" w:hAnsi="宋体" w:cs="宋体"/>
              <w:szCs w:val="32"/>
            </w:rPr>
            <w:t>磋商分项报价表</w:t>
          </w:r>
          <w:r>
            <w:tab/>
          </w:r>
          <w:r>
            <w:fldChar w:fldCharType="begin"/>
          </w:r>
          <w:r>
            <w:instrText xml:space="preserve"> PAGEREF _Toc29692 \h </w:instrText>
          </w:r>
          <w:r>
            <w:fldChar w:fldCharType="separate"/>
          </w:r>
          <w:r>
            <w:t>55</w:t>
          </w:r>
          <w:r>
            <w:fldChar w:fldCharType="end"/>
          </w:r>
          <w:r>
            <w:fldChar w:fldCharType="end"/>
          </w:r>
        </w:p>
        <w:p w14:paraId="4310AD30">
          <w:pPr>
            <w:pStyle w:val="21"/>
            <w:tabs>
              <w:tab w:val="right" w:leader="dot" w:pos="8731"/>
            </w:tabs>
            <w:spacing w:line="360" w:lineRule="auto"/>
          </w:pPr>
          <w:r>
            <w:fldChar w:fldCharType="begin"/>
          </w:r>
          <w:r>
            <w:instrText xml:space="preserve"> HYPERLINK \l _Toc5857 </w:instrText>
          </w:r>
          <w:r>
            <w:fldChar w:fldCharType="separate"/>
          </w:r>
          <w:r>
            <w:rPr>
              <w:rFonts w:hint="eastAsia"/>
              <w:bCs/>
              <w:szCs w:val="16"/>
              <w:lang w:val="en-US" w:eastAsia="zh-CN"/>
            </w:rPr>
            <w:t>四</w:t>
          </w:r>
          <w:r>
            <w:rPr>
              <w:rFonts w:hint="eastAsia"/>
              <w:bCs/>
              <w:szCs w:val="16"/>
            </w:rPr>
            <w:t>、资格证明文件</w:t>
          </w:r>
          <w:r>
            <w:tab/>
          </w:r>
          <w:r>
            <w:fldChar w:fldCharType="begin"/>
          </w:r>
          <w:r>
            <w:instrText xml:space="preserve"> PAGEREF _Toc5857 \h </w:instrText>
          </w:r>
          <w:r>
            <w:fldChar w:fldCharType="separate"/>
          </w:r>
          <w:r>
            <w:t>56</w:t>
          </w:r>
          <w:r>
            <w:fldChar w:fldCharType="end"/>
          </w:r>
          <w:r>
            <w:fldChar w:fldCharType="end"/>
          </w:r>
        </w:p>
        <w:p w14:paraId="51100926">
          <w:pPr>
            <w:pStyle w:val="21"/>
            <w:tabs>
              <w:tab w:val="right" w:leader="dot" w:pos="8731"/>
            </w:tabs>
            <w:spacing w:line="360" w:lineRule="auto"/>
          </w:pPr>
          <w:r>
            <w:fldChar w:fldCharType="begin"/>
          </w:r>
          <w:r>
            <w:instrText xml:space="preserve"> HYPERLINK \l _Toc31576 </w:instrText>
          </w:r>
          <w:r>
            <w:fldChar w:fldCharType="separate"/>
          </w:r>
          <w:r>
            <w:rPr>
              <w:rFonts w:hint="eastAsia" w:ascii="宋体" w:hAnsi="宋体" w:cs="宋体"/>
              <w:bCs/>
              <w:szCs w:val="36"/>
              <w:lang w:val="en-US" w:eastAsia="zh-CN"/>
            </w:rPr>
            <w:t>五</w:t>
          </w:r>
          <w:r>
            <w:rPr>
              <w:rFonts w:hint="eastAsia" w:ascii="宋体" w:hAnsi="宋体" w:cs="宋体"/>
              <w:bCs/>
              <w:szCs w:val="36"/>
            </w:rPr>
            <w:t>、供应商参加政府采购活动承诺书</w:t>
          </w:r>
          <w:r>
            <w:tab/>
          </w:r>
          <w:r>
            <w:fldChar w:fldCharType="begin"/>
          </w:r>
          <w:r>
            <w:instrText xml:space="preserve"> PAGEREF _Toc31576 \h </w:instrText>
          </w:r>
          <w:r>
            <w:fldChar w:fldCharType="separate"/>
          </w:r>
          <w:r>
            <w:t>62</w:t>
          </w:r>
          <w:r>
            <w:fldChar w:fldCharType="end"/>
          </w:r>
          <w:r>
            <w:fldChar w:fldCharType="end"/>
          </w:r>
        </w:p>
        <w:p w14:paraId="46BDB5EA">
          <w:pPr>
            <w:pStyle w:val="21"/>
            <w:tabs>
              <w:tab w:val="right" w:leader="dot" w:pos="8731"/>
            </w:tabs>
            <w:spacing w:line="360" w:lineRule="auto"/>
          </w:pPr>
          <w:r>
            <w:fldChar w:fldCharType="begin"/>
          </w:r>
          <w:r>
            <w:instrText xml:space="preserve"> HYPERLINK \l _Toc10991 </w:instrText>
          </w:r>
          <w:r>
            <w:fldChar w:fldCharType="separate"/>
          </w:r>
          <w:r>
            <w:rPr>
              <w:rFonts w:hint="eastAsia" w:ascii="宋体" w:hAnsi="宋体" w:cs="宋体"/>
              <w:szCs w:val="32"/>
              <w:lang w:val="en-US" w:eastAsia="zh-CN"/>
            </w:rPr>
            <w:t>六</w:t>
          </w:r>
          <w:r>
            <w:rPr>
              <w:rFonts w:hint="eastAsia" w:ascii="宋体" w:hAnsi="宋体" w:cs="宋体"/>
              <w:szCs w:val="32"/>
            </w:rPr>
            <w:t>、投标方案</w:t>
          </w:r>
          <w:r>
            <w:tab/>
          </w:r>
          <w:r>
            <w:fldChar w:fldCharType="begin"/>
          </w:r>
          <w:r>
            <w:instrText xml:space="preserve"> PAGEREF _Toc10991 \h </w:instrText>
          </w:r>
          <w:r>
            <w:fldChar w:fldCharType="separate"/>
          </w:r>
          <w:r>
            <w:t>65</w:t>
          </w:r>
          <w:r>
            <w:fldChar w:fldCharType="end"/>
          </w:r>
          <w:r>
            <w:fldChar w:fldCharType="end"/>
          </w:r>
        </w:p>
        <w:p w14:paraId="1E91847E">
          <w:pPr>
            <w:pStyle w:val="21"/>
            <w:tabs>
              <w:tab w:val="right" w:leader="dot" w:pos="8731"/>
            </w:tabs>
            <w:spacing w:line="360" w:lineRule="auto"/>
          </w:pPr>
          <w:r>
            <w:fldChar w:fldCharType="begin"/>
          </w:r>
          <w:r>
            <w:instrText xml:space="preserve"> HYPERLINK \l _Toc30692 </w:instrText>
          </w:r>
          <w:r>
            <w:fldChar w:fldCharType="separate"/>
          </w:r>
          <w:r>
            <w:rPr>
              <w:rFonts w:hint="eastAsia" w:ascii="宋体" w:hAnsi="宋体" w:cs="宋体"/>
              <w:szCs w:val="24"/>
              <w:lang w:val="en-US" w:eastAsia="zh-CN"/>
            </w:rPr>
            <w:t>七、</w:t>
          </w:r>
          <w:r>
            <w:rPr>
              <w:rFonts w:hint="eastAsia" w:ascii="宋体" w:hAnsi="宋体" w:eastAsia="宋体" w:cs="宋体"/>
              <w:szCs w:val="24"/>
            </w:rPr>
            <w:t>商务偏离表</w:t>
          </w:r>
          <w:r>
            <w:tab/>
          </w:r>
          <w:r>
            <w:fldChar w:fldCharType="begin"/>
          </w:r>
          <w:r>
            <w:instrText xml:space="preserve"> PAGEREF _Toc30692 \h </w:instrText>
          </w:r>
          <w:r>
            <w:fldChar w:fldCharType="separate"/>
          </w:r>
          <w:r>
            <w:t>66</w:t>
          </w:r>
          <w:r>
            <w:fldChar w:fldCharType="end"/>
          </w:r>
          <w:r>
            <w:fldChar w:fldCharType="end"/>
          </w:r>
        </w:p>
        <w:p w14:paraId="0F386BAB">
          <w:pPr>
            <w:pStyle w:val="21"/>
            <w:tabs>
              <w:tab w:val="right" w:leader="dot" w:pos="8731"/>
            </w:tabs>
            <w:spacing w:line="360" w:lineRule="auto"/>
          </w:pPr>
          <w:r>
            <w:fldChar w:fldCharType="begin"/>
          </w:r>
          <w:r>
            <w:instrText xml:space="preserve"> HYPERLINK \l _Toc26057 </w:instrText>
          </w:r>
          <w:r>
            <w:fldChar w:fldCharType="separate"/>
          </w:r>
          <w:r>
            <w:rPr>
              <w:rFonts w:hint="eastAsia"/>
              <w:bCs/>
              <w:szCs w:val="16"/>
              <w:lang w:val="en-US" w:eastAsia="zh-CN"/>
            </w:rPr>
            <w:t>八</w:t>
          </w:r>
          <w:r>
            <w:rPr>
              <w:rFonts w:hint="eastAsia"/>
              <w:bCs/>
              <w:szCs w:val="16"/>
            </w:rPr>
            <w:t>、法定代表人证明书及法定代表人授权书</w:t>
          </w:r>
          <w:r>
            <w:tab/>
          </w:r>
          <w:r>
            <w:fldChar w:fldCharType="begin"/>
          </w:r>
          <w:r>
            <w:instrText xml:space="preserve"> PAGEREF _Toc26057 \h </w:instrText>
          </w:r>
          <w:r>
            <w:fldChar w:fldCharType="separate"/>
          </w:r>
          <w:r>
            <w:t>67</w:t>
          </w:r>
          <w:r>
            <w:fldChar w:fldCharType="end"/>
          </w:r>
          <w:r>
            <w:fldChar w:fldCharType="end"/>
          </w:r>
        </w:p>
        <w:p w14:paraId="041D93FC">
          <w:pPr>
            <w:pStyle w:val="21"/>
            <w:tabs>
              <w:tab w:val="right" w:leader="dot" w:pos="8731"/>
            </w:tabs>
            <w:spacing w:line="360" w:lineRule="auto"/>
          </w:pPr>
          <w:r>
            <w:fldChar w:fldCharType="begin"/>
          </w:r>
          <w:r>
            <w:instrText xml:space="preserve"> HYPERLINK \l _Toc9724 </w:instrText>
          </w:r>
          <w:r>
            <w:fldChar w:fldCharType="separate"/>
          </w:r>
          <w:r>
            <w:rPr>
              <w:rFonts w:hint="eastAsia" w:ascii="宋体" w:hAnsi="宋体" w:cs="宋体"/>
              <w:bCs/>
              <w:kern w:val="0"/>
              <w:szCs w:val="36"/>
              <w:lang w:val="en-US" w:eastAsia="zh-CN" w:bidi="ar"/>
            </w:rPr>
            <w:t>九</w:t>
          </w:r>
          <w:r>
            <w:rPr>
              <w:rFonts w:hint="eastAsia" w:ascii="宋体" w:hAnsi="宋体" w:cs="宋体"/>
              <w:bCs/>
              <w:kern w:val="0"/>
              <w:szCs w:val="36"/>
              <w:lang w:bidi="ar"/>
            </w:rPr>
            <w:t>、</w:t>
          </w:r>
          <w:r>
            <w:rPr>
              <w:rFonts w:hint="eastAsia" w:ascii="宋体" w:hAnsi="宋体" w:eastAsia="宋体" w:cs="宋体"/>
              <w:szCs w:val="32"/>
              <w:lang w:val="en-US" w:eastAsia="zh-CN"/>
            </w:rPr>
            <w:t>中小</w:t>
          </w:r>
          <w:r>
            <w:rPr>
              <w:rFonts w:hint="eastAsia" w:ascii="宋体" w:hAnsi="宋体" w:eastAsia="宋体" w:cs="宋体"/>
              <w:szCs w:val="32"/>
            </w:rPr>
            <w:t>企业、监狱企业、残疾人福利单位声明函或证明</w:t>
          </w:r>
          <w:r>
            <w:tab/>
          </w:r>
          <w:r>
            <w:fldChar w:fldCharType="begin"/>
          </w:r>
          <w:r>
            <w:instrText xml:space="preserve"> PAGEREF _Toc9724 \h </w:instrText>
          </w:r>
          <w:r>
            <w:fldChar w:fldCharType="separate"/>
          </w:r>
          <w:r>
            <w:t>69</w:t>
          </w:r>
          <w:r>
            <w:fldChar w:fldCharType="end"/>
          </w:r>
          <w:r>
            <w:fldChar w:fldCharType="end"/>
          </w:r>
        </w:p>
        <w:p w14:paraId="6C38DF15">
          <w:pPr>
            <w:pStyle w:val="20"/>
            <w:tabs>
              <w:tab w:val="right" w:leader="dot" w:pos="8731"/>
            </w:tabs>
            <w:spacing w:line="360" w:lineRule="auto"/>
          </w:pPr>
          <w:r>
            <w:fldChar w:fldCharType="begin"/>
          </w:r>
          <w:r>
            <w:instrText xml:space="preserve"> HYPERLINK \l _Toc28459 </w:instrText>
          </w:r>
          <w:r>
            <w:fldChar w:fldCharType="separate"/>
          </w:r>
          <w:r>
            <w:rPr>
              <w:rFonts w:hint="eastAsia" w:ascii="宋体" w:hAnsi="宋体" w:cs="宋体"/>
              <w:bCs/>
              <w:szCs w:val="28"/>
              <w:lang w:val="en-US" w:eastAsia="zh-CN"/>
            </w:rPr>
            <w:t xml:space="preserve">第八章  </w:t>
          </w:r>
          <w:r>
            <w:rPr>
              <w:rFonts w:hint="eastAsia" w:ascii="宋体" w:hAnsi="宋体" w:cs="宋体"/>
              <w:bCs/>
              <w:szCs w:val="28"/>
            </w:rPr>
            <w:t>关于信用承诺网上公示的通知及操作指南</w:t>
          </w:r>
          <w:r>
            <w:tab/>
          </w:r>
          <w:r>
            <w:fldChar w:fldCharType="begin"/>
          </w:r>
          <w:r>
            <w:instrText xml:space="preserve"> PAGEREF _Toc28459 \h </w:instrText>
          </w:r>
          <w:r>
            <w:fldChar w:fldCharType="separate"/>
          </w:r>
          <w:r>
            <w:t>72</w:t>
          </w:r>
          <w:r>
            <w:fldChar w:fldCharType="end"/>
          </w:r>
          <w:r>
            <w:fldChar w:fldCharType="end"/>
          </w:r>
        </w:p>
        <w:p w14:paraId="18864E35">
          <w:r>
            <w:fldChar w:fldCharType="end"/>
          </w:r>
        </w:p>
        <w:p w14:paraId="1DD1B366">
          <w:pPr>
            <w:jc w:val="center"/>
            <w:outlineLvl w:val="9"/>
            <w:rPr>
              <w:rFonts w:ascii="宋体"/>
              <w:b/>
              <w:sz w:val="44"/>
            </w:rPr>
          </w:pPr>
        </w:p>
      </w:sdtContent>
    </w:sdt>
    <w:p w14:paraId="61A4205D">
      <w:pPr>
        <w:jc w:val="center"/>
        <w:outlineLvl w:val="9"/>
        <w:rPr>
          <w:rFonts w:ascii="宋体"/>
          <w:b/>
          <w:sz w:val="44"/>
        </w:rPr>
      </w:pPr>
    </w:p>
    <w:p w14:paraId="6F72CC93">
      <w:pPr>
        <w:outlineLvl w:val="9"/>
        <w:rPr>
          <w:rFonts w:ascii="宋体"/>
        </w:rPr>
        <w:sectPr>
          <w:headerReference r:id="rId4" w:type="first"/>
          <w:footerReference r:id="rId6" w:type="first"/>
          <w:headerReference r:id="rId3" w:type="default"/>
          <w:footerReference r:id="rId5" w:type="default"/>
          <w:pgSz w:w="11907" w:h="16840"/>
          <w:pgMar w:top="1440" w:right="1588" w:bottom="1440" w:left="1588" w:header="851" w:footer="992" w:gutter="0"/>
          <w:pgNumType w:fmt="decimal" w:start="1"/>
          <w:cols w:space="720" w:num="1"/>
          <w:docGrid w:type="linesAndChars" w:linePitch="312" w:charSpace="0"/>
        </w:sectPr>
      </w:pPr>
    </w:p>
    <w:p w14:paraId="3885ECA3">
      <w:pPr>
        <w:bidi w:val="0"/>
        <w:jc w:val="center"/>
        <w:outlineLvl w:val="0"/>
        <w:rPr>
          <w:rFonts w:ascii="宋体" w:hAnsi="宋体"/>
          <w:b/>
          <w:bCs/>
          <w:szCs w:val="36"/>
        </w:rPr>
      </w:pPr>
      <w:bookmarkStart w:id="0" w:name="_Toc22038"/>
      <w:bookmarkStart w:id="1" w:name="_Toc21891"/>
      <w:bookmarkStart w:id="2" w:name="_Toc17984"/>
      <w:bookmarkStart w:id="3" w:name="_Toc504605084"/>
      <w:bookmarkStart w:id="4" w:name="_Toc15250"/>
      <w:bookmarkStart w:id="5" w:name="_Toc7604"/>
      <w:r>
        <w:rPr>
          <w:rFonts w:hint="eastAsia"/>
          <w:b/>
          <w:bCs/>
          <w:sz w:val="36"/>
          <w:szCs w:val="36"/>
          <w:lang w:val="en-US" w:eastAsia="zh-CN"/>
        </w:rPr>
        <w:t>第一章</w:t>
      </w:r>
      <w:r>
        <w:rPr>
          <w:b/>
          <w:bCs/>
          <w:sz w:val="36"/>
          <w:szCs w:val="36"/>
        </w:rPr>
        <w:t xml:space="preserve"> </w:t>
      </w:r>
      <w:bookmarkStart w:id="6" w:name="_Toc5374"/>
      <w:bookmarkStart w:id="7" w:name="_Toc9301"/>
      <w:r>
        <w:rPr>
          <w:rFonts w:hint="eastAsia"/>
          <w:b/>
          <w:bCs/>
          <w:sz w:val="36"/>
          <w:szCs w:val="36"/>
        </w:rPr>
        <w:t>竞争性磋商公告</w:t>
      </w:r>
      <w:bookmarkEnd w:id="0"/>
      <w:bookmarkEnd w:id="1"/>
      <w:bookmarkEnd w:id="2"/>
      <w:bookmarkEnd w:id="3"/>
      <w:bookmarkEnd w:id="4"/>
      <w:bookmarkEnd w:id="5"/>
      <w:bookmarkEnd w:id="6"/>
      <w:bookmarkEnd w:id="7"/>
    </w:p>
    <w:p w14:paraId="4FA9D64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jc w:val="left"/>
        <w:rPr>
          <w:rFonts w:hint="eastAsia" w:ascii="宋体" w:hAnsi="宋体" w:eastAsia="宋体" w:cs="宋体"/>
          <w:b w:val="0"/>
          <w:bCs w:val="0"/>
          <w:color w:val="auto"/>
          <w:sz w:val="24"/>
          <w:szCs w:val="24"/>
        </w:rPr>
      </w:pPr>
      <w:r>
        <w:rPr>
          <w:rStyle w:val="29"/>
          <w:rFonts w:hint="eastAsia" w:ascii="宋体" w:hAnsi="宋体" w:eastAsia="宋体" w:cs="宋体"/>
          <w:b/>
          <w:bCs/>
          <w:i w:val="0"/>
          <w:iCs w:val="0"/>
          <w:caps w:val="0"/>
          <w:color w:val="auto"/>
          <w:spacing w:val="0"/>
          <w:sz w:val="24"/>
          <w:szCs w:val="24"/>
          <w:shd w:val="clear" w:fill="FFFFFF"/>
        </w:rPr>
        <w:t>项目概况</w:t>
      </w:r>
    </w:p>
    <w:p w14:paraId="2C71EE3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吴堡县张家山镇宽马家石村道路建设工程采购项目的潜在供应商应在登录全国公共资源交易中心平台（陕西省）使用CA锁报名后自行下载获取采购文件，并于 2025年09月16日 13时30分 （北京时间）前提交响应文件。</w:t>
      </w:r>
    </w:p>
    <w:p w14:paraId="2F2B308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一、项目基本情况</w:t>
      </w:r>
    </w:p>
    <w:p w14:paraId="271F25F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项目编号：HXCX2025022</w:t>
      </w:r>
    </w:p>
    <w:p w14:paraId="44C76A5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项目名称：吴堡县张家山镇宽马家石村道路建设工程</w:t>
      </w:r>
    </w:p>
    <w:p w14:paraId="7983219B">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采购方式：竞争性磋商</w:t>
      </w:r>
    </w:p>
    <w:p w14:paraId="644CA135">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预算金额：1,162,549.76元</w:t>
      </w:r>
    </w:p>
    <w:p w14:paraId="05E185DF">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377CB06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合同包1(吴堡县张家山镇宽马家石村道路建设工程):</w:t>
      </w:r>
    </w:p>
    <w:p w14:paraId="0E241FA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0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合同包预算金额：1,162,549.76元</w:t>
      </w:r>
    </w:p>
    <w:p w14:paraId="7CBA7B5B">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0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合同包最高限价：1,162,549.76元</w:t>
      </w:r>
    </w:p>
    <w:tbl>
      <w:tblPr>
        <w:tblStyle w:val="26"/>
        <w:tblW w:w="9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11"/>
        <w:gridCol w:w="1266"/>
        <w:gridCol w:w="2449"/>
        <w:gridCol w:w="1508"/>
        <w:gridCol w:w="1689"/>
        <w:gridCol w:w="1699"/>
      </w:tblGrid>
      <w:tr w14:paraId="1C1917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1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E407AA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26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9CFB265">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44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EFB638E">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50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CB44A8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68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CDAB32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69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844178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68E7D5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C0150D9">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26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E10B18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公路工程施工</w:t>
            </w:r>
          </w:p>
        </w:tc>
        <w:tc>
          <w:tcPr>
            <w:tcW w:w="244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661CFD2">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吴堡县张家山镇宽马家石村道路建设工程</w:t>
            </w:r>
          </w:p>
        </w:tc>
        <w:tc>
          <w:tcPr>
            <w:tcW w:w="150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5E60D1B">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68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63B2F1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69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515F161">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1,162,549.76</w:t>
            </w:r>
          </w:p>
        </w:tc>
      </w:tr>
    </w:tbl>
    <w:p w14:paraId="55A2478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0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1075E04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0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合同履行期限：无</w:t>
      </w:r>
    </w:p>
    <w:p w14:paraId="5964F4A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二、申请人的资格要求：</w:t>
      </w:r>
    </w:p>
    <w:p w14:paraId="4AD7AB5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22A01D19">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2971710B">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合同包1(吴堡县张家山镇宽马家石村道路建设工程)落实政府采购政策需满足的资格要求如下:</w:t>
      </w:r>
    </w:p>
    <w:p w14:paraId="7D6C5D99">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384"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③《国务院办公厅关于建立政府强制采购节能产品制度的通知》国办发〔2007〕51号；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④《政府采购促进中小企业发展管理办法》财库〔2020〕46号；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⑤《陕西省财政厅关于进一步加大政府采购支持中小企业力度的通知》陕财办采〔2022〕5号；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⑥《榆林市财政局关于进一步加大政府采购支持中小企业力度的通知》榆政财采发〔2022〕10号；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⑦陕西省财政厅关于印发《陕西省中小企业政府采购信用融资办法》陕财办采〔2018〕23号，相关政策、业务流程、办理平台(http://www.ccgp-shaanxi.gov.cn/zcdservice/zcd/shanxi/）；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⑧《财政部司法部关于政府采购支持监狱企业发展有关问题的通知》财库〔2014〕68号；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⑨《财政部民政部中国残疾人联合会关于促进残疾人就业政府采购政策的通知》财库〔2017〕141号；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⑩《关于在政府采购活动中查询及使用信用记录有关问题的通知》财库〔2016〕125号；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⑪其他需要落实的政府采购政策。</w:t>
      </w:r>
    </w:p>
    <w:p w14:paraId="38BEE2F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2F8798B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合同包1(吴堡县张家山镇宽马家石村道路建设工程)特定资格要求如下:</w:t>
      </w:r>
    </w:p>
    <w:p w14:paraId="32FCAAC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384"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②具备建设行政主管部门核发的市政公用工程施工总承包三级及以上资质，具备有效的安全生产许可证；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③拟派往本项目的建造师必须为本企业注册的建造师，具备</w:t>
      </w:r>
      <w:r>
        <w:rPr>
          <w:rFonts w:hint="eastAsia" w:cs="宋体"/>
          <w:i w:val="0"/>
          <w:iCs w:val="0"/>
          <w:caps w:val="0"/>
          <w:color w:val="auto"/>
          <w:spacing w:val="0"/>
          <w:sz w:val="24"/>
          <w:szCs w:val="24"/>
          <w:shd w:val="clear" w:fill="FFFFFF"/>
          <w:lang w:eastAsia="zh-CN"/>
        </w:rPr>
        <w:t>市政公用工程专业二级</w:t>
      </w:r>
      <w:r>
        <w:rPr>
          <w:rFonts w:hint="eastAsia" w:ascii="宋体" w:hAnsi="宋体" w:eastAsia="宋体" w:cs="宋体"/>
          <w:i w:val="0"/>
          <w:iCs w:val="0"/>
          <w:caps w:val="0"/>
          <w:color w:val="auto"/>
          <w:spacing w:val="0"/>
          <w:sz w:val="24"/>
          <w:szCs w:val="24"/>
          <w:shd w:val="clear" w:fill="FFFFFF"/>
        </w:rPr>
        <w:t>及以上注册建造师执业资格和有效的安全生产考核合格证书(B证)，并提供开标前六个月至今本企业为其缴纳的至少1个月的社会保险缴纳证明材料（五险一金提供一项即可），且未担任其它在建工程的建造师（提供无在建工程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④税收缴纳证明：提供开标前六个月至今至少1个月的纳税证明（银行缴费凭证）或完税证明，依法免税的单位应提供相关证明材料；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⑤社会保障资金缴纳证明：提供开标前六个月至今至少1个月的社会保障资金银行缴费单据或社保机构开具的社会保险参保缴费情况证明，依法不需要缴纳社会保障资金的单位应提供相关证明材料；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⑦参加政府采购活动前三年内，在经营活动中没有重大违法记录的书面声明；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⑧提供具有履行合同所必需的设备和专业技术能力的证明资料或承诺书；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⑨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不得列入国家企业信用信息公示系统中严重违法失信企业名单；不得列入中国执行信息公开网失信被执行人名单；须提供相应查询结果的网站截图（查询日期为从招标文件获取之日起至投标截止日前但最终以投标截止日当天评审小组查询结果为准）；资质基本信息应在陕西建设网，陕西省建筑市场监管与诚信信息平台，企业库中可查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⑪本项目专门面向中小企业（提供中小企业声明函）；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78B093B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三、获取采购文件</w:t>
      </w:r>
    </w:p>
    <w:p w14:paraId="6798CA39">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2025年09月05日 至 2025年09月11日 ，每天上午 09:00:00 至 12:00:00 ，下午 12:00:00 至 17:00:00 （北京时间）</w:t>
      </w:r>
    </w:p>
    <w:p w14:paraId="3C8BDC47">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途径：登录全国公共资源交易中心平台（陕西省）使用CA锁报名后自行下载</w:t>
      </w:r>
    </w:p>
    <w:p w14:paraId="7D28956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方式：在线获取</w:t>
      </w:r>
    </w:p>
    <w:p w14:paraId="035DCEF2">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 0元</w:t>
      </w:r>
    </w:p>
    <w:p w14:paraId="74C8D3E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四、响应文件提交</w:t>
      </w:r>
    </w:p>
    <w:p w14:paraId="716CB3C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截止时间： 2025年09月16日 13时30分00秒 （北京时间）</w:t>
      </w:r>
    </w:p>
    <w:p w14:paraId="3352909D">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地点：登录全国公共资源交易平台（陕西省•榆林市）网站〖首页〉电子交易平台〉陕西政府采购交易系统）企业端〗，在线提交</w:t>
      </w:r>
    </w:p>
    <w:p w14:paraId="5EAF57A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五、开启</w:t>
      </w:r>
    </w:p>
    <w:p w14:paraId="5F37247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2025年09月16日 13时30分00秒 （北京时间）</w:t>
      </w:r>
    </w:p>
    <w:p w14:paraId="7F5F2630">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地点：登录全国公共资源交易平台（陕西省•榆林市）网站〖首页〉不见面开标〗系统，在线参加开标过程</w:t>
      </w:r>
    </w:p>
    <w:p w14:paraId="6571C27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六、公告期限</w:t>
      </w:r>
    </w:p>
    <w:p w14:paraId="43AC839B">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84"/>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11497D5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七、其他补充事宜</w:t>
      </w:r>
    </w:p>
    <w:p w14:paraId="00357FF7">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2）本项目采用电子化招投标的方式，供应商使用数字认证证书（CA锁）对投标文件进行签章、加密、递交及开标时解密等相关招投标事宜。（3）电子响应文件制作软件技术支持热线：400-998-0000 ，CA锁购买：榆林市市民大厦三楼E18、E19窗口办理，咨询电话0912-3452148、029-88661298或4006-369-888（陕西CA联系电话）。（4）请各供应商获取磋商文件后，按照陕西省财政厅《关于政府采购投标供应商注册登记有关事项的通知》要求，通过陕西省政府采购（http://www.ccgp-shaanxi.gov.cn/）注册登记加入陕西省政府采购投标供应商库。（5）本项目采用“不见面”开标形式，不见面开标系统操作手册下载方式：登录【全国公共资源交易平台（陕西省）】 网站首页选择【服务指南】-【下载专区】-点击【关于陕西省公共资源交易平台多CA互认系统正式上线运行的通知】进行下载。</w:t>
      </w:r>
    </w:p>
    <w:p w14:paraId="2B7B889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9"/>
          <w:rFonts w:hint="eastAsia" w:ascii="宋体" w:hAnsi="宋体" w:eastAsia="宋体" w:cs="宋体"/>
          <w:b/>
          <w:bCs/>
          <w:i w:val="0"/>
          <w:iCs w:val="0"/>
          <w:caps w:val="0"/>
          <w:color w:val="auto"/>
          <w:spacing w:val="0"/>
          <w:sz w:val="24"/>
          <w:szCs w:val="24"/>
          <w:shd w:val="clear" w:fill="FFFFFF"/>
        </w:rPr>
        <w:t>八、对本次招标提出询问，请按以下方式联系。</w:t>
      </w:r>
    </w:p>
    <w:p w14:paraId="1EC8803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4E8D36F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名称：吴堡县张家山镇人民政府</w:t>
      </w:r>
    </w:p>
    <w:p w14:paraId="6D0CCAC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地址：吴堡县张家山镇</w:t>
      </w:r>
    </w:p>
    <w:p w14:paraId="0667FDD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联系方式：13609228802</w:t>
      </w:r>
    </w:p>
    <w:p w14:paraId="33701E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3B43D14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名称：陕西华旭晟信项目管理有限责任公司</w:t>
      </w:r>
    </w:p>
    <w:p w14:paraId="4DCDECB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地址：榆林市富康路榆溪尚品3号楼1415</w:t>
      </w:r>
    </w:p>
    <w:p w14:paraId="426E49E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联系方式：17709127880</w:t>
      </w:r>
    </w:p>
    <w:p w14:paraId="492B0DB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1BC7AAB7">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项目联系人：刘莉娥</w:t>
      </w:r>
    </w:p>
    <w:p w14:paraId="7451479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电话：17709127880</w:t>
      </w:r>
    </w:p>
    <w:p w14:paraId="5E451FF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Theme="minorEastAsia" w:hAnsiTheme="minorEastAsia" w:eastAsiaTheme="minorEastAsia" w:cstheme="minorEastAsia"/>
          <w:sz w:val="21"/>
          <w:szCs w:val="21"/>
        </w:rPr>
      </w:pPr>
    </w:p>
    <w:p w14:paraId="66D65EAC">
      <w:pPr>
        <w:adjustRightInd w:val="0"/>
        <w:snapToGrid w:val="0"/>
        <w:spacing w:line="440" w:lineRule="exact"/>
        <w:ind w:firstLine="1080" w:firstLineChars="300"/>
        <w:jc w:val="center"/>
        <w:outlineLvl w:val="9"/>
        <w:rPr>
          <w:rFonts w:hint="eastAsia" w:ascii="宋体" w:hAnsi="宋体" w:cs="宋体"/>
          <w:color w:val="auto"/>
          <w:sz w:val="36"/>
        </w:rPr>
      </w:pPr>
    </w:p>
    <w:p w14:paraId="5FC2C1BD">
      <w:pPr>
        <w:adjustRightInd w:val="0"/>
        <w:snapToGrid w:val="0"/>
        <w:spacing w:line="360" w:lineRule="auto"/>
        <w:ind w:firstLine="7200" w:firstLineChars="2000"/>
        <w:jc w:val="left"/>
        <w:outlineLvl w:val="9"/>
        <w:rPr>
          <w:rFonts w:hint="eastAsia" w:ascii="宋体" w:hAnsi="宋体" w:cs="宋体"/>
          <w:color w:val="auto"/>
          <w:sz w:val="36"/>
          <w:szCs w:val="36"/>
        </w:rPr>
        <w:sectPr>
          <w:footerReference r:id="rId7" w:type="default"/>
          <w:pgSz w:w="11906" w:h="16838"/>
          <w:pgMar w:top="1219" w:right="1800" w:bottom="1219" w:left="1800" w:header="851" w:footer="992" w:gutter="0"/>
          <w:pgNumType w:fmt="decimal" w:start="1"/>
          <w:cols w:space="720" w:num="1"/>
          <w:docGrid w:type="lines" w:linePitch="312" w:charSpace="0"/>
        </w:sectPr>
      </w:pPr>
    </w:p>
    <w:p w14:paraId="457F6E28">
      <w:pPr>
        <w:bidi w:val="0"/>
        <w:spacing w:line="360" w:lineRule="auto"/>
        <w:jc w:val="center"/>
        <w:outlineLvl w:val="0"/>
        <w:rPr>
          <w:rFonts w:ascii="宋体" w:hAnsi="宋体"/>
          <w:b/>
          <w:bCs/>
          <w:szCs w:val="36"/>
        </w:rPr>
      </w:pPr>
      <w:bookmarkStart w:id="8" w:name="_Toc17087"/>
      <w:bookmarkStart w:id="9" w:name="_Toc8110"/>
      <w:bookmarkStart w:id="10" w:name="_Toc24905"/>
      <w:bookmarkStart w:id="11" w:name="_Toc19037"/>
      <w:bookmarkStart w:id="12" w:name="_Toc17191"/>
      <w:bookmarkStart w:id="13" w:name="_Toc13112"/>
      <w:bookmarkStart w:id="14" w:name="_Toc504605168"/>
      <w:bookmarkStart w:id="15" w:name="_Toc504605086"/>
      <w:bookmarkStart w:id="16" w:name="_Toc1227"/>
      <w:bookmarkStart w:id="17" w:name="_Toc504605085"/>
      <w:r>
        <w:rPr>
          <w:rFonts w:hint="eastAsia"/>
          <w:b/>
          <w:bCs/>
          <w:sz w:val="36"/>
          <w:szCs w:val="36"/>
        </w:rPr>
        <w:t>第二章</w:t>
      </w:r>
      <w:r>
        <w:rPr>
          <w:b/>
          <w:bCs/>
          <w:sz w:val="36"/>
          <w:szCs w:val="36"/>
        </w:rPr>
        <w:t xml:space="preserve"> </w:t>
      </w:r>
      <w:r>
        <w:rPr>
          <w:rFonts w:hint="eastAsia"/>
          <w:b/>
          <w:bCs/>
          <w:sz w:val="36"/>
          <w:szCs w:val="36"/>
          <w:lang w:val="en-US" w:eastAsia="zh-CN"/>
        </w:rPr>
        <w:t xml:space="preserve"> </w:t>
      </w:r>
      <w:r>
        <w:rPr>
          <w:rFonts w:hint="eastAsia"/>
          <w:b/>
          <w:bCs/>
          <w:sz w:val="36"/>
          <w:szCs w:val="36"/>
        </w:rPr>
        <w:t>供应商须知前附表及供应商须知</w:t>
      </w:r>
      <w:bookmarkEnd w:id="8"/>
      <w:bookmarkEnd w:id="9"/>
      <w:bookmarkEnd w:id="10"/>
      <w:bookmarkEnd w:id="11"/>
      <w:bookmarkEnd w:id="12"/>
      <w:bookmarkEnd w:id="13"/>
    </w:p>
    <w:p w14:paraId="08536FF7">
      <w:pPr>
        <w:spacing w:line="360" w:lineRule="auto"/>
        <w:jc w:val="center"/>
        <w:outlineLvl w:val="9"/>
        <w:rPr>
          <w:sz w:val="32"/>
          <w:szCs w:val="32"/>
        </w:rPr>
      </w:pPr>
      <w:bookmarkStart w:id="18" w:name="_Toc17752"/>
      <w:bookmarkStart w:id="19" w:name="_Toc6073"/>
      <w:bookmarkStart w:id="20" w:name="_Toc8617"/>
      <w:bookmarkStart w:id="21" w:name="_Toc2260"/>
      <w:bookmarkStart w:id="22" w:name="_Toc513557025"/>
      <w:bookmarkStart w:id="23" w:name="_Toc1925"/>
      <w:bookmarkStart w:id="24" w:name="_Toc12655"/>
      <w:bookmarkStart w:id="25" w:name="_Toc13149"/>
      <w:r>
        <w:rPr>
          <w:rFonts w:hint="eastAsia" w:ascii="宋体" w:hAnsi="宋体"/>
          <w:b/>
          <w:bCs/>
          <w:sz w:val="32"/>
          <w:szCs w:val="32"/>
        </w:rPr>
        <w:t>（一）供应商须知前附表</w:t>
      </w:r>
      <w:bookmarkEnd w:id="14"/>
      <w:bookmarkEnd w:id="15"/>
      <w:bookmarkEnd w:id="18"/>
      <w:bookmarkEnd w:id="19"/>
      <w:bookmarkEnd w:id="20"/>
      <w:bookmarkEnd w:id="21"/>
      <w:bookmarkEnd w:id="22"/>
      <w:bookmarkEnd w:id="23"/>
      <w:bookmarkEnd w:id="24"/>
      <w:bookmarkEnd w:id="25"/>
    </w:p>
    <w:bookmarkEnd w:id="16"/>
    <w:bookmarkEnd w:id="17"/>
    <w:tbl>
      <w:tblPr>
        <w:tblStyle w:val="26"/>
        <w:tblW w:w="10003" w:type="dxa"/>
        <w:tblInd w:w="-232" w:type="dxa"/>
        <w:tblLayout w:type="fixed"/>
        <w:tblCellMar>
          <w:top w:w="0" w:type="dxa"/>
          <w:left w:w="108" w:type="dxa"/>
          <w:bottom w:w="0" w:type="dxa"/>
          <w:right w:w="108" w:type="dxa"/>
        </w:tblCellMar>
      </w:tblPr>
      <w:tblGrid>
        <w:gridCol w:w="723"/>
        <w:gridCol w:w="1671"/>
        <w:gridCol w:w="7609"/>
      </w:tblGrid>
      <w:tr w14:paraId="2EE65FC5">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14:paraId="6B6E9197">
            <w:pPr>
              <w:jc w:val="center"/>
              <w:outlineLvl w:val="9"/>
              <w:rPr>
                <w:rFonts w:asciiTheme="minorEastAsia" w:hAnsiTheme="minorEastAsia" w:eastAsiaTheme="minorEastAsia" w:cstheme="minorEastAsia"/>
                <w:b/>
                <w:sz w:val="24"/>
                <w:szCs w:val="24"/>
              </w:rPr>
            </w:pPr>
            <w:bookmarkStart w:id="26" w:name="_Toc504605169"/>
            <w:bookmarkStart w:id="27" w:name="_Toc504605087"/>
            <w:r>
              <w:rPr>
                <w:rFonts w:hint="eastAsia" w:ascii="宋体" w:hAnsi="宋体" w:cs="宋体"/>
                <w:b/>
                <w:sz w:val="24"/>
                <w:lang w:val="zh-CN"/>
              </w:rPr>
              <w:t>序号</w:t>
            </w:r>
          </w:p>
        </w:tc>
        <w:tc>
          <w:tcPr>
            <w:tcW w:w="1671" w:type="dxa"/>
            <w:tcBorders>
              <w:top w:val="single" w:color="auto" w:sz="4" w:space="0"/>
              <w:left w:val="single" w:color="auto" w:sz="4" w:space="0"/>
              <w:bottom w:val="single" w:color="auto" w:sz="4" w:space="0"/>
              <w:right w:val="single" w:color="auto" w:sz="4" w:space="0"/>
            </w:tcBorders>
            <w:vAlign w:val="center"/>
          </w:tcPr>
          <w:p w14:paraId="3FFA4F72">
            <w:pPr>
              <w:jc w:val="center"/>
              <w:outlineLvl w:val="9"/>
              <w:rPr>
                <w:rFonts w:asciiTheme="minorEastAsia" w:hAnsiTheme="minorEastAsia" w:eastAsiaTheme="minorEastAsia" w:cstheme="minorEastAsia"/>
                <w:b/>
                <w:sz w:val="24"/>
                <w:szCs w:val="24"/>
              </w:rPr>
            </w:pPr>
            <w:r>
              <w:rPr>
                <w:rFonts w:hint="eastAsia" w:ascii="宋体" w:hAnsi="宋体" w:cs="宋体"/>
                <w:b/>
                <w:sz w:val="24"/>
                <w:lang w:val="zh-CN"/>
              </w:rPr>
              <w:t>摘 要</w:t>
            </w:r>
          </w:p>
        </w:tc>
        <w:tc>
          <w:tcPr>
            <w:tcW w:w="7609" w:type="dxa"/>
            <w:tcBorders>
              <w:top w:val="single" w:color="auto" w:sz="4" w:space="0"/>
              <w:left w:val="single" w:color="auto" w:sz="4" w:space="0"/>
              <w:bottom w:val="single" w:color="auto" w:sz="4" w:space="0"/>
              <w:right w:val="single" w:color="auto" w:sz="4" w:space="0"/>
            </w:tcBorders>
            <w:vAlign w:val="center"/>
          </w:tcPr>
          <w:p w14:paraId="0B27ABD2">
            <w:pPr>
              <w:adjustRightInd w:val="0"/>
              <w:snapToGrid w:val="0"/>
              <w:spacing w:line="360" w:lineRule="auto"/>
              <w:ind w:left="472" w:leftChars="24" w:hanging="422" w:hangingChars="175"/>
              <w:jc w:val="center"/>
              <w:outlineLvl w:val="9"/>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编  列  内  容</w:t>
            </w:r>
          </w:p>
        </w:tc>
      </w:tr>
      <w:tr w14:paraId="49CF4E0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3C3B4DB4">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671" w:type="dxa"/>
            <w:tcBorders>
              <w:top w:val="single" w:color="auto" w:sz="4" w:space="0"/>
              <w:left w:val="single" w:color="auto" w:sz="4" w:space="0"/>
              <w:bottom w:val="single" w:color="auto" w:sz="4" w:space="0"/>
              <w:right w:val="single" w:color="auto" w:sz="4" w:space="0"/>
            </w:tcBorders>
            <w:vAlign w:val="center"/>
          </w:tcPr>
          <w:p w14:paraId="1CB0875A">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采购人</w:t>
            </w:r>
          </w:p>
        </w:tc>
        <w:tc>
          <w:tcPr>
            <w:tcW w:w="7609" w:type="dxa"/>
            <w:tcBorders>
              <w:top w:val="single" w:color="auto" w:sz="4" w:space="0"/>
              <w:left w:val="single" w:color="auto" w:sz="4" w:space="0"/>
              <w:bottom w:val="single" w:color="auto" w:sz="4" w:space="0"/>
              <w:right w:val="single" w:color="auto" w:sz="4" w:space="0"/>
            </w:tcBorders>
            <w:vAlign w:val="center"/>
          </w:tcPr>
          <w:p w14:paraId="43689D68">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称：</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吴堡县张家山镇人民政府</w:t>
            </w:r>
          </w:p>
          <w:p w14:paraId="5F5E03BC">
            <w:pPr>
              <w:spacing w:line="360" w:lineRule="auto"/>
              <w:outlineLvl w:val="9"/>
              <w:rPr>
                <w:rFonts w:hint="eastAsia" w:ascii="宋体" w:hAnsi="宋体" w:eastAsia="宋体" w:cs="宋体"/>
                <w:color w:val="auto"/>
                <w:sz w:val="24"/>
                <w:lang w:val="en-US" w:eastAsia="zh-CN"/>
              </w:rPr>
            </w:pPr>
            <w:r>
              <w:rPr>
                <w:rFonts w:hint="eastAsia" w:ascii="宋体" w:hAnsi="宋体" w:cs="宋体"/>
                <w:color w:val="auto"/>
                <w:sz w:val="24"/>
                <w:lang w:eastAsia="zh-CN"/>
              </w:rPr>
              <w:t>地     址：吴堡县张家山镇</w:t>
            </w:r>
          </w:p>
          <w:p w14:paraId="20B59F62">
            <w:pPr>
              <w:spacing w:line="360" w:lineRule="auto"/>
              <w:outlineLvl w:val="9"/>
              <w:rPr>
                <w:rFonts w:hint="eastAsia" w:eastAsia="宋体"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auto"/>
                <w:sz w:val="24"/>
                <w:lang w:eastAsia="zh-CN"/>
              </w:rPr>
              <w:t xml:space="preserve">电     </w:t>
            </w:r>
            <w:r>
              <w:rPr>
                <w:rFonts w:hint="eastAsia" w:ascii="宋体" w:hAnsi="宋体" w:cs="宋体"/>
                <w:color w:val="auto"/>
                <w:sz w:val="24"/>
                <w:shd w:val="clear" w:color="auto" w:fill="auto"/>
                <w:lang w:eastAsia="zh-CN"/>
              </w:rPr>
              <w:t>话：</w:t>
            </w:r>
            <w:r>
              <w:rPr>
                <w:rFonts w:hint="eastAsia" w:ascii="宋体" w:hAnsi="宋体" w:cs="宋体"/>
                <w:i w:val="0"/>
                <w:iCs w:val="0"/>
                <w:caps w:val="0"/>
                <w:color w:val="auto"/>
                <w:spacing w:val="0"/>
                <w:sz w:val="24"/>
                <w:szCs w:val="24"/>
                <w:shd w:val="clear" w:fill="FFFFFF"/>
                <w:lang w:eastAsia="zh-CN"/>
              </w:rPr>
              <w:t>13609228802</w:t>
            </w:r>
          </w:p>
        </w:tc>
      </w:tr>
      <w:tr w14:paraId="1CD4DBAB">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E68CE1B">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671" w:type="dxa"/>
            <w:tcBorders>
              <w:top w:val="single" w:color="auto" w:sz="4" w:space="0"/>
              <w:left w:val="single" w:color="auto" w:sz="4" w:space="0"/>
              <w:bottom w:val="single" w:color="auto" w:sz="4" w:space="0"/>
              <w:right w:val="single" w:color="auto" w:sz="4" w:space="0"/>
            </w:tcBorders>
            <w:vAlign w:val="center"/>
          </w:tcPr>
          <w:p w14:paraId="70C26A81">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采购代理机构</w:t>
            </w:r>
          </w:p>
        </w:tc>
        <w:tc>
          <w:tcPr>
            <w:tcW w:w="7609" w:type="dxa"/>
            <w:tcBorders>
              <w:top w:val="single" w:color="auto" w:sz="4" w:space="0"/>
              <w:left w:val="single" w:color="auto" w:sz="4" w:space="0"/>
              <w:bottom w:val="single" w:color="auto" w:sz="4" w:space="0"/>
              <w:right w:val="single" w:color="auto" w:sz="4" w:space="0"/>
            </w:tcBorders>
            <w:vAlign w:val="center"/>
          </w:tcPr>
          <w:p w14:paraId="31E4AF7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陕西华旭晟信项目管理有限责任公司</w:t>
            </w:r>
          </w:p>
          <w:p w14:paraId="7FFAD544">
            <w:pPr>
              <w:adjustRightInd w:val="0"/>
              <w:snapToGrid w:val="0"/>
              <w:spacing w:line="360" w:lineRule="auto"/>
              <w:jc w:val="left"/>
              <w:outlineLvl w:val="9"/>
              <w:rPr>
                <w:rFonts w:hint="eastAsia" w:ascii="宋体" w:hAnsi="宋体" w:eastAsia="宋体" w:cs="宋体"/>
                <w:color w:val="000000" w:themeColor="text1"/>
                <w:kern w:val="0"/>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宋体" w:hAnsi="宋体" w:cs="宋体"/>
                <w:color w:val="000000" w:themeColor="text1"/>
                <w:kern w:val="0"/>
                <w:sz w:val="24"/>
                <w:lang w:val="en-US" w:eastAsia="zh-CN" w:bidi="ar-SA"/>
                <w14:textFill>
                  <w14:solidFill>
                    <w14:schemeClr w14:val="tx1"/>
                  </w14:solidFill>
                </w14:textFill>
              </w:rPr>
              <w:t>榆林市富康路榆溪尚品3号楼1415</w:t>
            </w:r>
          </w:p>
          <w:p w14:paraId="11DC24EE">
            <w:pPr>
              <w:adjustRightInd w:val="0"/>
              <w:snapToGrid w:val="0"/>
              <w:spacing w:line="360" w:lineRule="auto"/>
              <w:jc w:val="left"/>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刘莉娥</w:t>
            </w:r>
          </w:p>
          <w:p w14:paraId="4834F621">
            <w:pPr>
              <w:pStyle w:val="42"/>
              <w:adjustRightInd w:val="0"/>
              <w:snapToGrid w:val="0"/>
              <w:spacing w:line="360" w:lineRule="auto"/>
              <w:ind w:firstLine="0" w:firstLineChars="0"/>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联系方式</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宋体" w:hAnsi="宋体" w:cs="宋体" w:eastAsiaTheme="minorEastAsia"/>
                <w:color w:val="000000" w:themeColor="text1"/>
                <w:sz w:val="24"/>
                <w:lang w:val="en-US" w:eastAsia="zh-CN"/>
                <w14:textFill>
                  <w14:solidFill>
                    <w14:schemeClr w14:val="tx1"/>
                  </w14:solidFill>
                </w14:textFill>
              </w:rPr>
              <w:t>17709127880</w:t>
            </w:r>
          </w:p>
        </w:tc>
      </w:tr>
      <w:tr w14:paraId="6CF1913E">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14:paraId="3F05DB9A">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671" w:type="dxa"/>
            <w:tcBorders>
              <w:top w:val="single" w:color="auto" w:sz="4" w:space="0"/>
              <w:left w:val="single" w:color="auto" w:sz="4" w:space="0"/>
              <w:bottom w:val="single" w:color="auto" w:sz="4" w:space="0"/>
              <w:right w:val="single" w:color="auto" w:sz="4" w:space="0"/>
            </w:tcBorders>
            <w:vAlign w:val="center"/>
          </w:tcPr>
          <w:p w14:paraId="27A0EBB0">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7609" w:type="dxa"/>
            <w:tcBorders>
              <w:top w:val="single" w:color="auto" w:sz="4" w:space="0"/>
              <w:left w:val="single" w:color="auto" w:sz="4" w:space="0"/>
              <w:bottom w:val="single" w:color="auto" w:sz="4" w:space="0"/>
              <w:right w:val="single" w:color="auto" w:sz="4" w:space="0"/>
            </w:tcBorders>
            <w:vAlign w:val="center"/>
          </w:tcPr>
          <w:p w14:paraId="22044C50">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sz w:val="24"/>
                <w:szCs w:val="24"/>
                <w:lang w:eastAsia="zh-CN"/>
              </w:rPr>
              <w:t>吴堡县张家山镇宽马家石村道路建设工程</w:t>
            </w:r>
          </w:p>
        </w:tc>
      </w:tr>
      <w:tr w14:paraId="4FE517E8">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14:paraId="51DC5D18">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671" w:type="dxa"/>
            <w:tcBorders>
              <w:top w:val="single" w:color="auto" w:sz="4" w:space="0"/>
              <w:left w:val="single" w:color="auto" w:sz="4" w:space="0"/>
              <w:bottom w:val="single" w:color="auto" w:sz="4" w:space="0"/>
              <w:right w:val="single" w:color="auto" w:sz="4" w:space="0"/>
            </w:tcBorders>
            <w:vAlign w:val="center"/>
          </w:tcPr>
          <w:p w14:paraId="7994D267">
            <w:pPr>
              <w:jc w:val="center"/>
              <w:outlineLvl w:val="9"/>
              <w:rPr>
                <w:rFonts w:ascii="宋体" w:hAnsi="宋体" w:cs="宋体"/>
                <w:sz w:val="24"/>
                <w:lang w:val="zh-CN"/>
              </w:rPr>
            </w:pPr>
            <w:r>
              <w:rPr>
                <w:rFonts w:hint="eastAsia" w:ascii="宋体" w:hAnsi="宋体" w:cs="宋体"/>
                <w:sz w:val="24"/>
                <w:lang w:val="zh-CN"/>
              </w:rPr>
              <w:t>采购方式</w:t>
            </w:r>
          </w:p>
        </w:tc>
        <w:tc>
          <w:tcPr>
            <w:tcW w:w="7609" w:type="dxa"/>
            <w:tcBorders>
              <w:top w:val="single" w:color="auto" w:sz="4" w:space="0"/>
              <w:left w:val="single" w:color="auto" w:sz="4" w:space="0"/>
              <w:bottom w:val="single" w:color="auto" w:sz="4" w:space="0"/>
              <w:right w:val="single" w:color="auto" w:sz="4" w:space="0"/>
            </w:tcBorders>
            <w:vAlign w:val="center"/>
          </w:tcPr>
          <w:p w14:paraId="6DD7D900">
            <w:pPr>
              <w:spacing w:line="360" w:lineRule="auto"/>
              <w:outlineLvl w:val="9"/>
              <w:rPr>
                <w:rFonts w:ascii="宋体" w:hAnsi="宋体" w:cs="宋体"/>
                <w:sz w:val="24"/>
                <w:lang w:val="zh-CN"/>
              </w:rPr>
            </w:pPr>
            <w:r>
              <w:rPr>
                <w:rFonts w:hint="eastAsia" w:ascii="宋体" w:hAnsi="宋体" w:cs="宋体"/>
                <w:sz w:val="24"/>
                <w:lang w:val="en-US" w:eastAsia="zh-CN"/>
              </w:rPr>
              <w:t>竞争性磋商</w:t>
            </w:r>
          </w:p>
        </w:tc>
      </w:tr>
      <w:tr w14:paraId="67BCEA83">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14:paraId="2F6C491F">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671" w:type="dxa"/>
            <w:tcBorders>
              <w:top w:val="single" w:color="auto" w:sz="4" w:space="0"/>
              <w:left w:val="single" w:color="auto" w:sz="4" w:space="0"/>
              <w:bottom w:val="single" w:color="auto" w:sz="4" w:space="0"/>
              <w:right w:val="single" w:color="auto" w:sz="4" w:space="0"/>
            </w:tcBorders>
            <w:vAlign w:val="center"/>
          </w:tcPr>
          <w:p w14:paraId="47692069">
            <w:pPr>
              <w:spacing w:line="360" w:lineRule="auto"/>
              <w:jc w:val="center"/>
              <w:outlineLvl w:val="9"/>
              <w:rPr>
                <w:rFonts w:ascii="宋体" w:hAnsi="宋体" w:cs="宋体"/>
                <w:sz w:val="24"/>
                <w:lang w:val="zh-CN"/>
              </w:rPr>
            </w:pPr>
            <w:r>
              <w:rPr>
                <w:rFonts w:hint="eastAsia" w:ascii="宋体" w:hAnsi="宋体" w:eastAsia="宋体" w:cs="宋体"/>
                <w:sz w:val="24"/>
                <w:lang w:val="en-US" w:eastAsia="zh-CN"/>
              </w:rPr>
              <w:t>预算金额</w:t>
            </w:r>
          </w:p>
        </w:tc>
        <w:tc>
          <w:tcPr>
            <w:tcW w:w="7609" w:type="dxa"/>
            <w:tcBorders>
              <w:top w:val="single" w:color="auto" w:sz="4" w:space="0"/>
              <w:left w:val="single" w:color="auto" w:sz="4" w:space="0"/>
              <w:bottom w:val="single" w:color="auto" w:sz="4" w:space="0"/>
              <w:right w:val="single" w:color="auto" w:sz="4" w:space="0"/>
            </w:tcBorders>
            <w:vAlign w:val="center"/>
          </w:tcPr>
          <w:p w14:paraId="29BAC704">
            <w:pPr>
              <w:spacing w:line="360" w:lineRule="auto"/>
              <w:outlineLvl w:val="9"/>
              <w:rPr>
                <w:rFonts w:hint="eastAsia" w:ascii="宋体" w:hAnsi="宋体" w:eastAsia="宋体" w:cs="宋体"/>
                <w:sz w:val="24"/>
                <w:lang w:val="en-US" w:eastAsia="zh-CN"/>
              </w:rPr>
            </w:pPr>
            <w:r>
              <w:rPr>
                <w:rFonts w:hint="eastAsia" w:ascii="宋体" w:hAnsi="宋体" w:cs="宋体"/>
                <w:sz w:val="24"/>
                <w:lang w:val="en-US" w:eastAsia="zh-CN"/>
              </w:rPr>
              <w:t>1,162,549.76元</w:t>
            </w:r>
          </w:p>
          <w:p w14:paraId="29EC8535">
            <w:pPr>
              <w:spacing w:line="360" w:lineRule="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备注：磋商报价超过预算金额的，按照无效磋商处理。</w:t>
            </w:r>
          </w:p>
        </w:tc>
      </w:tr>
      <w:tr w14:paraId="145106D6">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14:paraId="64BA4F1C">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671" w:type="dxa"/>
            <w:tcBorders>
              <w:top w:val="single" w:color="auto" w:sz="4" w:space="0"/>
              <w:left w:val="single" w:color="auto" w:sz="4" w:space="0"/>
              <w:bottom w:val="single" w:color="auto" w:sz="4" w:space="0"/>
              <w:right w:val="single" w:color="auto" w:sz="4" w:space="0"/>
            </w:tcBorders>
            <w:vAlign w:val="center"/>
          </w:tcPr>
          <w:p w14:paraId="7D763184">
            <w:pPr>
              <w:adjustRightInd w:val="0"/>
              <w:snapToGrid w:val="0"/>
              <w:spacing w:line="360" w:lineRule="auto"/>
              <w:jc w:val="center"/>
              <w:outlineLvl w:val="9"/>
              <w:rPr>
                <w:rFonts w:hint="eastAsia" w:ascii="宋体" w:hAnsi="宋体" w:eastAsia="宋体" w:cs="宋体"/>
                <w:sz w:val="24"/>
                <w:lang w:val="en-US" w:eastAsia="zh-CN"/>
              </w:rPr>
            </w:pPr>
            <w:r>
              <w:rPr>
                <w:rFonts w:hint="eastAsia" w:asciiTheme="minorEastAsia" w:hAnsiTheme="minorEastAsia" w:eastAsiaTheme="minorEastAsia" w:cstheme="minorEastAsia"/>
                <w:sz w:val="24"/>
                <w:szCs w:val="24"/>
              </w:rPr>
              <w:t>资金落实情况</w:t>
            </w:r>
          </w:p>
        </w:tc>
        <w:tc>
          <w:tcPr>
            <w:tcW w:w="7609" w:type="dxa"/>
            <w:tcBorders>
              <w:top w:val="single" w:color="auto" w:sz="4" w:space="0"/>
              <w:left w:val="single" w:color="auto" w:sz="4" w:space="0"/>
              <w:bottom w:val="single" w:color="auto" w:sz="4" w:space="0"/>
              <w:right w:val="single" w:color="auto" w:sz="4" w:space="0"/>
            </w:tcBorders>
            <w:vAlign w:val="center"/>
          </w:tcPr>
          <w:p w14:paraId="49D65F94">
            <w:pPr>
              <w:adjustRightInd w:val="0"/>
              <w:snapToGrid w:val="0"/>
              <w:spacing w:line="360" w:lineRule="auto"/>
              <w:jc w:val="left"/>
              <w:outlineLvl w:val="9"/>
              <w:rPr>
                <w:rFonts w:hint="eastAsia" w:ascii="宋体" w:hAnsi="宋体" w:eastAsia="宋体" w:cs="宋体"/>
                <w:sz w:val="24"/>
                <w:lang w:val="en-US" w:eastAsia="zh-CN"/>
              </w:rPr>
            </w:pPr>
            <w:r>
              <w:rPr>
                <w:rFonts w:hint="eastAsia" w:asciiTheme="minorEastAsia" w:hAnsiTheme="minorEastAsia" w:eastAsiaTheme="minorEastAsia" w:cstheme="minorEastAsia"/>
                <w:sz w:val="24"/>
                <w:szCs w:val="24"/>
              </w:rPr>
              <w:t>已落实</w:t>
            </w:r>
          </w:p>
        </w:tc>
      </w:tr>
      <w:tr w14:paraId="5FBA967B">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572E1D6E">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1671" w:type="dxa"/>
            <w:tcBorders>
              <w:top w:val="single" w:color="auto" w:sz="4" w:space="0"/>
              <w:left w:val="single" w:color="auto" w:sz="4" w:space="0"/>
              <w:bottom w:val="single" w:color="auto" w:sz="4" w:space="0"/>
              <w:right w:val="single" w:color="auto" w:sz="4" w:space="0"/>
            </w:tcBorders>
            <w:vAlign w:val="center"/>
          </w:tcPr>
          <w:p w14:paraId="295A6C55">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w:t>
            </w:r>
            <w:r>
              <w:rPr>
                <w:rFonts w:hint="eastAsia" w:ascii="宋体" w:hAnsi="宋体" w:cs="宋体"/>
                <w:sz w:val="24"/>
                <w:szCs w:val="24"/>
              </w:rPr>
              <w:t>报价</w:t>
            </w:r>
          </w:p>
        </w:tc>
        <w:tc>
          <w:tcPr>
            <w:tcW w:w="7609" w:type="dxa"/>
            <w:tcBorders>
              <w:top w:val="single" w:color="auto" w:sz="4" w:space="0"/>
              <w:left w:val="single" w:color="auto" w:sz="4" w:space="0"/>
              <w:bottom w:val="single" w:color="auto" w:sz="4" w:space="0"/>
              <w:right w:val="single" w:color="auto" w:sz="4" w:space="0"/>
            </w:tcBorders>
            <w:vAlign w:val="center"/>
          </w:tcPr>
          <w:p w14:paraId="68D0363D">
            <w:pPr>
              <w:adjustRightInd w:val="0"/>
              <w:snapToGrid w:val="0"/>
              <w:spacing w:line="360" w:lineRule="auto"/>
              <w:jc w:val="left"/>
              <w:outlineLvl w:val="9"/>
              <w:rPr>
                <w:rFonts w:asciiTheme="minorEastAsia" w:hAnsiTheme="minorEastAsia" w:eastAsiaTheme="minorEastAsia" w:cstheme="minorEastAsia"/>
                <w:sz w:val="24"/>
                <w:szCs w:val="24"/>
              </w:rPr>
            </w:pPr>
            <w:r>
              <w:rPr>
                <w:rFonts w:hint="eastAsia" w:ascii="宋体" w:hAnsi="宋体" w:cs="宋体"/>
                <w:sz w:val="24"/>
                <w:szCs w:val="24"/>
              </w:rPr>
              <w:t>报价包含</w:t>
            </w:r>
            <w:r>
              <w:rPr>
                <w:rFonts w:hint="eastAsia" w:ascii="宋体" w:hAnsi="宋体" w:cs="仿宋_GB2312"/>
                <w:sz w:val="24"/>
                <w:szCs w:val="24"/>
              </w:rPr>
              <w:t>完成本次投标项目所包含的一切相关费用</w:t>
            </w:r>
          </w:p>
        </w:tc>
      </w:tr>
      <w:tr w14:paraId="6B2F3C51">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796295EE">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1671" w:type="dxa"/>
            <w:tcBorders>
              <w:top w:val="single" w:color="auto" w:sz="4" w:space="0"/>
              <w:left w:val="single" w:color="auto" w:sz="4" w:space="0"/>
              <w:bottom w:val="single" w:color="auto" w:sz="4" w:space="0"/>
              <w:right w:val="single" w:color="auto" w:sz="4" w:space="0"/>
            </w:tcBorders>
            <w:vAlign w:val="center"/>
          </w:tcPr>
          <w:p w14:paraId="1E4EEDE1">
            <w:pPr>
              <w:widowControl/>
              <w:adjustRightInd w:val="0"/>
              <w:snapToGrid w:val="0"/>
              <w:spacing w:line="360" w:lineRule="auto"/>
              <w:jc w:val="center"/>
              <w:textAlignment w:val="center"/>
              <w:outlineLvl w:val="9"/>
              <w:rPr>
                <w:rFonts w:asciiTheme="minorEastAsia" w:hAnsiTheme="minorEastAsia" w:eastAsiaTheme="minorEastAsia" w:cstheme="minorEastAsia"/>
                <w:sz w:val="24"/>
                <w:szCs w:val="24"/>
              </w:rPr>
            </w:pPr>
            <w:r>
              <w:rPr>
                <w:rFonts w:hint="eastAsia" w:ascii="宋体" w:hAnsi="宋体" w:cs="宋体"/>
                <w:color w:val="auto"/>
                <w:sz w:val="24"/>
                <w:szCs w:val="24"/>
              </w:rPr>
              <w:t>投标文件</w:t>
            </w:r>
          </w:p>
        </w:tc>
        <w:tc>
          <w:tcPr>
            <w:tcW w:w="7609" w:type="dxa"/>
            <w:tcBorders>
              <w:top w:val="single" w:color="auto" w:sz="4" w:space="0"/>
              <w:left w:val="single" w:color="auto" w:sz="4" w:space="0"/>
              <w:bottom w:val="single" w:color="auto" w:sz="4" w:space="0"/>
              <w:right w:val="single" w:color="auto" w:sz="4" w:space="0"/>
            </w:tcBorders>
            <w:vAlign w:val="center"/>
          </w:tcPr>
          <w:p w14:paraId="50146767">
            <w:pPr>
              <w:spacing w:line="360" w:lineRule="auto"/>
              <w:ind w:firstLine="482" w:firstLineChars="200"/>
              <w:outlineLvl w:val="9"/>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1、本项目采用电子化投标文件与纸质投标文件并行的方式。投标人须使用数字认证证书对电子化投标文件进行签章、加密、递交及开标时解密等相关招投标事宜。</w:t>
            </w:r>
          </w:p>
          <w:p w14:paraId="1614C270">
            <w:pPr>
              <w:spacing w:line="360" w:lineRule="auto"/>
              <w:ind w:firstLine="482" w:firstLineChars="200"/>
              <w:outlineLvl w:val="9"/>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2、纸质投标文件：为便于采购人归档和向监管部门备案，中标人须提交正本壹份、副本叁份、电子版（word版U盘）壹份，投标文件可采用系统上传的电子投标文件的打印件，投标文件正、副本须各自装订成册，统一编码（要求胶装、不得出现活页）。每份投标文件封皮须清楚地标明“正本”或“副本”。</w:t>
            </w:r>
          </w:p>
          <w:p w14:paraId="29381F9E">
            <w:pPr>
              <w:spacing w:line="360" w:lineRule="auto"/>
              <w:ind w:firstLine="482" w:firstLineChars="200"/>
              <w:outlineLvl w:val="9"/>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递交方式：纸质版投标文件在开标时无需提交，待开标结束后，中标人须邮寄正本壹份、副本叁份、电子版（word版U盘）壹份；以电报、传真、电子邮件形式递交的投标文件将不予接受。</w:t>
            </w:r>
          </w:p>
          <w:p w14:paraId="0ACCD7C2">
            <w:pPr>
              <w:spacing w:line="360" w:lineRule="auto"/>
              <w:ind w:firstLine="482" w:firstLineChars="200"/>
              <w:outlineLvl w:val="9"/>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收件人：</w:t>
            </w:r>
            <w:r>
              <w:rPr>
                <w:rFonts w:hint="eastAsia" w:ascii="宋体" w:hAnsi="宋体" w:cs="仿宋_GB2312"/>
                <w:b/>
                <w:sz w:val="24"/>
                <w:szCs w:val="22"/>
                <w:lang w:val="en-US" w:eastAsia="zh-CN"/>
              </w:rPr>
              <w:t>刘莉娥</w:t>
            </w:r>
            <w:r>
              <w:rPr>
                <w:rFonts w:hint="eastAsia" w:ascii="宋体" w:hAnsi="宋体" w:eastAsia="宋体" w:cs="仿宋_GB2312"/>
                <w:b/>
                <w:sz w:val="24"/>
                <w:szCs w:val="22"/>
                <w:lang w:val="en-US" w:eastAsia="zh-CN"/>
              </w:rPr>
              <w:t xml:space="preserve">                   </w:t>
            </w:r>
          </w:p>
          <w:p w14:paraId="688C24EE">
            <w:pPr>
              <w:spacing w:line="360" w:lineRule="auto"/>
              <w:ind w:firstLine="482" w:firstLineChars="200"/>
              <w:outlineLvl w:val="9"/>
              <w:rPr>
                <w:rFonts w:hint="default" w:ascii="宋体" w:hAnsi="宋体" w:eastAsia="宋体" w:cs="仿宋_GB2312"/>
                <w:b/>
                <w:sz w:val="24"/>
                <w:szCs w:val="22"/>
                <w:lang w:val="en-US" w:eastAsia="zh-CN"/>
              </w:rPr>
            </w:pPr>
            <w:r>
              <w:rPr>
                <w:rFonts w:hint="eastAsia" w:ascii="宋体" w:hAnsi="宋体" w:eastAsia="宋体" w:cs="仿宋_GB2312"/>
                <w:b/>
                <w:sz w:val="24"/>
                <w:szCs w:val="22"/>
                <w:lang w:val="en-US" w:eastAsia="zh-CN"/>
              </w:rPr>
              <w:t>收件电话：</w:t>
            </w:r>
            <w:r>
              <w:rPr>
                <w:rFonts w:hint="eastAsia" w:ascii="宋体" w:hAnsi="宋体" w:cs="仿宋_GB2312"/>
                <w:b/>
                <w:sz w:val="24"/>
                <w:szCs w:val="22"/>
                <w:lang w:val="en-US" w:eastAsia="zh-CN"/>
              </w:rPr>
              <w:t>17709127880</w:t>
            </w:r>
          </w:p>
          <w:p w14:paraId="3141B4C3">
            <w:pPr>
              <w:spacing w:line="360" w:lineRule="auto"/>
              <w:ind w:firstLine="482" w:firstLineChars="200"/>
              <w:outlineLvl w:val="9"/>
              <w:rPr>
                <w:rFonts w:hint="eastAsia" w:ascii="宋体" w:hAnsi="宋体" w:eastAsia="宋体" w:cs="仿宋_GB2312"/>
                <w:b/>
                <w:sz w:val="24"/>
                <w:szCs w:val="22"/>
                <w:lang w:val="en-US" w:eastAsia="zh-CN"/>
              </w:rPr>
            </w:pPr>
            <w:r>
              <w:rPr>
                <w:rFonts w:hint="eastAsia" w:ascii="宋体" w:hAnsi="宋体" w:eastAsia="宋体" w:cs="仿宋_GB2312"/>
                <w:b/>
                <w:sz w:val="24"/>
                <w:szCs w:val="22"/>
                <w:lang w:val="en-US" w:eastAsia="zh-CN"/>
              </w:rPr>
              <w:t>收件地址：</w:t>
            </w:r>
            <w:r>
              <w:rPr>
                <w:rFonts w:hint="eastAsia" w:ascii="宋体" w:hAnsi="宋体" w:cs="仿宋_GB2312"/>
                <w:b/>
                <w:sz w:val="24"/>
                <w:szCs w:val="22"/>
                <w:lang w:val="en-US" w:eastAsia="zh-CN"/>
              </w:rPr>
              <w:t>榆林市富康路榆溪尚品3号楼1415</w:t>
            </w:r>
          </w:p>
        </w:tc>
      </w:tr>
      <w:tr w14:paraId="0A1D529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2ADDEE47">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1671" w:type="dxa"/>
            <w:tcBorders>
              <w:top w:val="single" w:color="auto" w:sz="4" w:space="0"/>
              <w:left w:val="single" w:color="auto" w:sz="4" w:space="0"/>
              <w:bottom w:val="single" w:color="auto" w:sz="4" w:space="0"/>
              <w:right w:val="single" w:color="auto" w:sz="4" w:space="0"/>
            </w:tcBorders>
            <w:vAlign w:val="center"/>
          </w:tcPr>
          <w:p w14:paraId="66FA81F0">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供应商资质</w:t>
            </w:r>
          </w:p>
          <w:p w14:paraId="15399AD6">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条件</w:t>
            </w:r>
          </w:p>
        </w:tc>
        <w:tc>
          <w:tcPr>
            <w:tcW w:w="7609" w:type="dxa"/>
            <w:tcBorders>
              <w:top w:val="single" w:color="auto" w:sz="4" w:space="0"/>
              <w:left w:val="single" w:color="auto" w:sz="4" w:space="0"/>
              <w:bottom w:val="single" w:color="auto" w:sz="4" w:space="0"/>
              <w:right w:val="single" w:color="auto" w:sz="4" w:space="0"/>
            </w:tcBorders>
            <w:vAlign w:val="center"/>
          </w:tcPr>
          <w:p w14:paraId="546988C4">
            <w:pPr>
              <w:adjustRightInd w:val="0"/>
              <w:snapToGrid w:val="0"/>
              <w:spacing w:line="360" w:lineRule="auto"/>
              <w:ind w:left="8" w:firstLine="410" w:firstLineChars="171"/>
              <w:outlineLvl w:val="9"/>
              <w:rPr>
                <w:rFonts w:hint="eastAsia" w:ascii="宋体" w:hAnsi="宋体" w:cs="宋体"/>
                <w:sz w:val="24"/>
              </w:rPr>
            </w:pPr>
            <w:r>
              <w:rPr>
                <w:rFonts w:hint="eastAsia" w:ascii="宋体" w:hAnsi="宋体" w:cs="宋体"/>
                <w:sz w:val="24"/>
              </w:rPr>
              <w:t>（一）基本资格条件：符合《中华人民共和国政府采购法》第二十二条的规定。</w:t>
            </w:r>
          </w:p>
          <w:p w14:paraId="7282F9CB">
            <w:pPr>
              <w:pStyle w:val="11"/>
              <w:adjustRightInd w:val="0"/>
              <w:snapToGrid w:val="0"/>
              <w:spacing w:line="240" w:lineRule="auto"/>
              <w:ind w:firstLine="420" w:firstLineChars="175"/>
              <w:outlineLvl w:val="9"/>
              <w:rPr>
                <w:rFonts w:hint="eastAsia" w:ascii="宋体" w:hAnsi="宋体" w:cs="宋体"/>
                <w:b w:val="0"/>
                <w:sz w:val="24"/>
                <w:szCs w:val="22"/>
              </w:rPr>
            </w:pPr>
            <w:r>
              <w:rPr>
                <w:rFonts w:hint="eastAsia" w:ascii="宋体" w:hAnsi="宋体" w:cs="宋体"/>
                <w:b w:val="0"/>
                <w:sz w:val="24"/>
                <w:szCs w:val="22"/>
              </w:rPr>
              <w:t>（二）特定资格条件：</w:t>
            </w:r>
          </w:p>
          <w:p w14:paraId="79C7D06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②具备建设行政主管部门核发的</w:t>
            </w:r>
            <w:r>
              <w:rPr>
                <w:rFonts w:hint="eastAsia" w:asciiTheme="minorEastAsia" w:hAnsiTheme="minorEastAsia" w:eastAsiaTheme="minorEastAsia" w:cstheme="minorEastAsia"/>
                <w:i w:val="0"/>
                <w:iCs w:val="0"/>
                <w:caps w:val="0"/>
                <w:color w:val="333333"/>
                <w:spacing w:val="0"/>
                <w:sz w:val="24"/>
                <w:szCs w:val="24"/>
                <w:shd w:val="clear" w:fill="FFFFFF"/>
                <w:vertAlign w:val="baseline"/>
                <w:lang w:eastAsia="zh-CN"/>
              </w:rPr>
              <w:t>市政公用工程施工总承包三级</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及以上资质，具备有效的安全生产许可证；</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③拟派往本项目的建造师必须为本企业注册的建造师，具备</w:t>
            </w:r>
            <w:r>
              <w:rPr>
                <w:rFonts w:hint="eastAsia" w:asciiTheme="minorEastAsia" w:hAnsiTheme="minorEastAsia" w:eastAsiaTheme="minorEastAsia" w:cstheme="minorEastAsia"/>
                <w:i w:val="0"/>
                <w:iCs w:val="0"/>
                <w:caps w:val="0"/>
                <w:color w:val="333333"/>
                <w:spacing w:val="0"/>
                <w:sz w:val="24"/>
                <w:szCs w:val="24"/>
                <w:shd w:val="clear" w:fill="FFFFFF"/>
                <w:vertAlign w:val="baseline"/>
                <w:lang w:eastAsia="zh-CN"/>
              </w:rPr>
              <w:t>市政公用工程专业二级</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及以上注册建造师执业资格和有效的安全生产考核合格证书(B证)，并提供开标前六个月至今本企业为其缴纳的至少1个月的社会保险缴纳证明材料（五险一金提供一项即可），且未担任其它在建工程的建造师（提供无在建工程声明）；</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④税收缴纳证明：提供开标前六个月至今至少1个月的纳税证明（银行缴费凭证）或完税证明，依法免税的单位应提供相关证明材料； </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⑤社会保障资金缴纳证明：提供开标前六个月至今至少1个月的社会保障资金银行缴费单据或社保机构开具的社会保险参保缴费情况证明，依法不需要缴纳社会保障资金的单位应提供相关证明材料； </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⑦参加政府采购活动前三年内，在经营活动中没有重大违法记录的书面声明；</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⑧提供具有履行合同所必需的设备和专业技术能力的证明资料或承诺书； </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⑨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不得列入国家企业信用信息公示系统中严重违法失信企业名单；不得列入中国执行信息公开网失信被执行人名单；须提供相应查询结果的网站截图（查询日期为从招标文件获取之日起至投标截止日前但最终以投标截止日当天评审小组查询结果为准）；资质基本信息应在陕西建设网，陕西省建筑市场监管与诚信信息平台，企业库中可查询。</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⑪</w:t>
            </w:r>
            <w:r>
              <w:rPr>
                <w:rFonts w:hint="eastAsia" w:asciiTheme="minorEastAsia" w:hAnsiTheme="minorEastAsia" w:eastAsiaTheme="minorEastAsia" w:cstheme="minorEastAsia"/>
                <w:i w:val="0"/>
                <w:iCs w:val="0"/>
                <w:caps w:val="0"/>
                <w:color w:val="333333"/>
                <w:spacing w:val="0"/>
                <w:sz w:val="24"/>
                <w:szCs w:val="24"/>
                <w:shd w:val="clear" w:fill="FFFFFF"/>
                <w:vertAlign w:val="baseline"/>
                <w:lang w:eastAsia="zh-CN"/>
              </w:rPr>
              <w:t>本项目专门面向中小企业（提供中小企业声明函）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 </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⑫本项目不接受联合体投标，单位负责人为同一人或者存在直接控股、管理关系的不同投标人，不得参加同一合同项下的政府采购活动（提供非联合体投标声明）。</w:t>
            </w:r>
          </w:p>
          <w:p w14:paraId="083EF22D">
            <w:pPr>
              <w:pStyle w:val="42"/>
              <w:adjustRightInd w:val="0"/>
              <w:snapToGrid w:val="0"/>
              <w:spacing w:line="360" w:lineRule="auto"/>
              <w:ind w:left="0" w:leftChars="0" w:firstLine="241" w:firstLineChars="100"/>
              <w:outlineLvl w:val="9"/>
              <w:rPr>
                <w:rFonts w:ascii="宋体" w:hAnsi="宋体" w:cs="宋体"/>
                <w:color w:val="auto"/>
                <w:sz w:val="24"/>
                <w:szCs w:val="24"/>
              </w:rPr>
            </w:pPr>
            <w:r>
              <w:rPr>
                <w:rFonts w:hint="eastAsia" w:ascii="宋体" w:hAnsi="宋体" w:cs="宋体"/>
                <w:b/>
                <w:bCs w:val="0"/>
                <w:sz w:val="24"/>
                <w:szCs w:val="24"/>
              </w:rPr>
              <w:t>注：上述资质为必备资质，欠缺其中任何一项按无效投标处理。</w:t>
            </w:r>
          </w:p>
        </w:tc>
      </w:tr>
      <w:tr w14:paraId="39447099">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15C41918">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671" w:type="dxa"/>
            <w:tcBorders>
              <w:top w:val="single" w:color="auto" w:sz="4" w:space="0"/>
              <w:left w:val="single" w:color="auto" w:sz="4" w:space="0"/>
              <w:bottom w:val="single" w:color="auto" w:sz="4" w:space="0"/>
              <w:right w:val="single" w:color="auto" w:sz="4" w:space="0"/>
            </w:tcBorders>
            <w:vAlign w:val="center"/>
          </w:tcPr>
          <w:p w14:paraId="2E822531">
            <w:pPr>
              <w:widowControl/>
              <w:adjustRightInd w:val="0"/>
              <w:snapToGrid w:val="0"/>
              <w:spacing w:line="360" w:lineRule="auto"/>
              <w:jc w:val="center"/>
              <w:textAlignment w:val="center"/>
              <w:outlineLvl w:val="9"/>
              <w:rPr>
                <w:rFonts w:asciiTheme="minorEastAsia" w:hAnsiTheme="minorEastAsia" w:eastAsiaTheme="minorEastAsia" w:cstheme="minorEastAsia"/>
                <w:sz w:val="24"/>
                <w:szCs w:val="24"/>
              </w:rPr>
            </w:pPr>
            <w:r>
              <w:rPr>
                <w:rFonts w:hint="eastAsia" w:ascii="宋体" w:hAnsi="宋体" w:cs="宋体"/>
                <w:sz w:val="24"/>
                <w:szCs w:val="24"/>
              </w:rPr>
              <w:t>磋商有效期</w:t>
            </w:r>
          </w:p>
        </w:tc>
        <w:tc>
          <w:tcPr>
            <w:tcW w:w="7609" w:type="dxa"/>
            <w:tcBorders>
              <w:top w:val="single" w:color="auto" w:sz="4" w:space="0"/>
              <w:left w:val="single" w:color="auto" w:sz="4" w:space="0"/>
              <w:bottom w:val="single" w:color="auto" w:sz="4" w:space="0"/>
              <w:right w:val="single" w:color="auto" w:sz="4" w:space="0"/>
            </w:tcBorders>
            <w:vAlign w:val="center"/>
          </w:tcPr>
          <w:p w14:paraId="46C61B54">
            <w:pPr>
              <w:widowControl/>
              <w:tabs>
                <w:tab w:val="left" w:pos="1620"/>
              </w:tabs>
              <w:adjustRightInd w:val="0"/>
              <w:snapToGrid w:val="0"/>
              <w:spacing w:line="360" w:lineRule="auto"/>
              <w:jc w:val="left"/>
              <w:outlineLvl w:val="9"/>
              <w:rPr>
                <w:rFonts w:asciiTheme="minorEastAsia" w:hAnsiTheme="minorEastAsia" w:eastAsiaTheme="minorEastAsia" w:cstheme="minorEastAsia"/>
                <w:bCs/>
                <w:kern w:val="2"/>
                <w:sz w:val="24"/>
                <w:szCs w:val="24"/>
              </w:rPr>
            </w:pPr>
            <w:r>
              <w:rPr>
                <w:rFonts w:hint="eastAsia"/>
                <w:sz w:val="24"/>
              </w:rPr>
              <w:t>磋商</w:t>
            </w:r>
            <w:r>
              <w:rPr>
                <w:rFonts w:hint="eastAsia" w:ascii="宋体" w:hAnsi="宋体" w:cs="宋体"/>
                <w:sz w:val="24"/>
                <w:szCs w:val="24"/>
              </w:rPr>
              <w:t>响应文件从磋商截止日起，磋商有效期为90天，磋商有效期短于此规定期限的响应文件，视为无效响应文件。</w:t>
            </w:r>
            <w:r>
              <w:rPr>
                <w:rFonts w:hint="eastAsia" w:ascii="宋体" w:hAnsi="宋体" w:cs="宋体"/>
                <w:sz w:val="24"/>
                <w:szCs w:val="24"/>
                <w:lang w:eastAsia="zh-CN"/>
              </w:rPr>
              <w:t>成交供应商</w:t>
            </w:r>
            <w:r>
              <w:rPr>
                <w:rFonts w:hint="eastAsia" w:ascii="宋体" w:hAnsi="宋体" w:cs="宋体"/>
                <w:sz w:val="24"/>
                <w:szCs w:val="24"/>
              </w:rPr>
              <w:t>的响应文件有效期延长至合同执行完毕。</w:t>
            </w:r>
          </w:p>
        </w:tc>
      </w:tr>
      <w:tr w14:paraId="152951A1">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141A7C12">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671" w:type="dxa"/>
            <w:tcBorders>
              <w:top w:val="single" w:color="auto" w:sz="4" w:space="0"/>
              <w:left w:val="single" w:color="auto" w:sz="4" w:space="0"/>
              <w:bottom w:val="single" w:color="auto" w:sz="4" w:space="0"/>
              <w:right w:val="single" w:color="auto" w:sz="4" w:space="0"/>
            </w:tcBorders>
            <w:vAlign w:val="center"/>
          </w:tcPr>
          <w:p w14:paraId="2392EE85">
            <w:pPr>
              <w:spacing w:line="420" w:lineRule="exact"/>
              <w:jc w:val="center"/>
              <w:outlineLvl w:val="9"/>
              <w:rPr>
                <w:rFonts w:ascii="宋体" w:hAnsi="宋体" w:cs="宋体"/>
                <w:color w:val="000000"/>
                <w:sz w:val="24"/>
                <w:szCs w:val="24"/>
              </w:rPr>
            </w:pPr>
            <w:r>
              <w:rPr>
                <w:rFonts w:hint="eastAsia" w:ascii="宋体" w:hAnsi="宋体" w:cs="宋体"/>
                <w:color w:val="auto"/>
                <w:sz w:val="24"/>
              </w:rPr>
              <w:t>竞争性磋商响应文件递交截止时间</w:t>
            </w:r>
            <w:r>
              <w:rPr>
                <w:rFonts w:hint="eastAsia" w:ascii="宋体" w:hAnsi="宋体" w:cs="宋体"/>
                <w:color w:val="auto"/>
                <w:sz w:val="24"/>
                <w:lang w:val="zh-CN"/>
              </w:rPr>
              <w:t>、</w:t>
            </w:r>
            <w:r>
              <w:rPr>
                <w:rFonts w:hint="eastAsia"/>
                <w:color w:val="auto"/>
                <w:sz w:val="24"/>
                <w:szCs w:val="24"/>
              </w:rPr>
              <w:t>磋商</w:t>
            </w:r>
            <w:r>
              <w:rPr>
                <w:rFonts w:hint="eastAsia" w:ascii="宋体" w:hAnsi="宋体" w:cs="宋体"/>
                <w:color w:val="auto"/>
                <w:sz w:val="24"/>
                <w:szCs w:val="24"/>
              </w:rPr>
              <w:t>时间、</w:t>
            </w:r>
            <w:r>
              <w:rPr>
                <w:rFonts w:hint="eastAsia" w:ascii="宋体" w:hAnsi="宋体" w:cs="宋体"/>
                <w:color w:val="auto"/>
                <w:sz w:val="24"/>
                <w:lang w:val="zh-CN"/>
              </w:rPr>
              <w:t>地点</w:t>
            </w:r>
          </w:p>
        </w:tc>
        <w:tc>
          <w:tcPr>
            <w:tcW w:w="7609" w:type="dxa"/>
            <w:tcBorders>
              <w:top w:val="single" w:color="auto" w:sz="4" w:space="0"/>
              <w:left w:val="single" w:color="auto" w:sz="4" w:space="0"/>
              <w:bottom w:val="single" w:color="auto" w:sz="4" w:space="0"/>
              <w:right w:val="single" w:color="auto" w:sz="4" w:space="0"/>
            </w:tcBorders>
            <w:vAlign w:val="center"/>
          </w:tcPr>
          <w:p w14:paraId="30439DF2">
            <w:pPr>
              <w:spacing w:line="360" w:lineRule="auto"/>
              <w:outlineLvl w:val="9"/>
              <w:rPr>
                <w:rFonts w:ascii="宋体" w:hAnsi="宋体" w:cs="宋体"/>
                <w:color w:val="auto"/>
                <w:sz w:val="24"/>
                <w:szCs w:val="24"/>
              </w:rPr>
            </w:pPr>
            <w:r>
              <w:rPr>
                <w:rFonts w:hint="eastAsia" w:ascii="宋体" w:hAnsi="宋体" w:cs="宋体"/>
                <w:color w:val="auto"/>
                <w:sz w:val="24"/>
              </w:rPr>
              <w:t>竞争性磋商响应文件递交截止时间</w:t>
            </w:r>
            <w:r>
              <w:rPr>
                <w:rFonts w:hint="eastAsia" w:ascii="宋体" w:hAnsi="宋体" w:cs="宋体"/>
                <w:color w:val="auto"/>
                <w:sz w:val="24"/>
                <w:szCs w:val="24"/>
              </w:rPr>
              <w:t>及开标时间和地点：</w:t>
            </w:r>
          </w:p>
          <w:p w14:paraId="68EF3DF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cs="宋体"/>
                <w:color w:val="auto"/>
                <w:sz w:val="24"/>
                <w:lang w:eastAsia="zh-CN"/>
              </w:rPr>
            </w:pPr>
            <w:r>
              <w:rPr>
                <w:rFonts w:hint="eastAsia" w:ascii="宋体" w:hAnsi="宋体" w:cs="宋体"/>
                <w:color w:val="auto"/>
                <w:sz w:val="24"/>
              </w:rPr>
              <w:t>竞争性磋商响应文件递交截止时间：</w:t>
            </w:r>
            <w:r>
              <w:rPr>
                <w:rFonts w:hint="eastAsia" w:ascii="宋体" w:hAnsi="宋体" w:cs="宋体"/>
                <w:color w:val="000000" w:themeColor="text1"/>
                <w:sz w:val="24"/>
                <w:lang w:eastAsia="zh-CN"/>
                <w14:textFill>
                  <w14:solidFill>
                    <w14:schemeClr w14:val="tx1"/>
                  </w14:solidFill>
                </w14:textFill>
              </w:rPr>
              <w:t xml:space="preserve"> 2025年09月16日 13时30分00秒</w:t>
            </w:r>
          </w:p>
          <w:p w14:paraId="1A97C6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auto"/>
                <w:sz w:val="24"/>
                <w:lang w:eastAsia="zh-CN"/>
              </w:rPr>
            </w:pPr>
            <w:r>
              <w:rPr>
                <w:rFonts w:hint="eastAsia" w:ascii="宋体" w:hAnsi="宋体" w:cs="宋体"/>
                <w:color w:val="auto"/>
                <w:sz w:val="24"/>
              </w:rPr>
              <w:t>磋商时间：</w:t>
            </w:r>
            <w:r>
              <w:rPr>
                <w:rFonts w:hint="eastAsia" w:ascii="宋体" w:hAnsi="宋体" w:cs="宋体"/>
                <w:color w:val="auto"/>
                <w:sz w:val="24"/>
                <w:lang w:eastAsia="zh-CN"/>
              </w:rPr>
              <w:t xml:space="preserve"> 2025年09月16日 13时30分00秒</w:t>
            </w:r>
          </w:p>
          <w:p w14:paraId="5088E5D6">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ascii="宋体" w:hAnsi="宋体" w:cs="宋体"/>
                <w:sz w:val="24"/>
                <w:szCs w:val="24"/>
                <w:u w:val="single"/>
              </w:rPr>
            </w:pPr>
            <w:r>
              <w:rPr>
                <w:rFonts w:hint="eastAsia" w:ascii="宋体" w:hAnsi="宋体" w:cs="宋体"/>
                <w:color w:val="auto"/>
                <w:sz w:val="24"/>
                <w:lang w:eastAsia="zh-CN"/>
              </w:rPr>
              <w:t>磋商</w:t>
            </w:r>
            <w:r>
              <w:rPr>
                <w:rFonts w:hint="eastAsia" w:ascii="宋体" w:hAnsi="宋体" w:cs="宋体"/>
                <w:color w:val="auto"/>
                <w:sz w:val="24"/>
              </w:rPr>
              <w:t>地点：</w:t>
            </w:r>
            <w:r>
              <w:rPr>
                <w:rFonts w:hint="eastAsia" w:ascii="宋体" w:hAnsi="宋体" w:eastAsia="宋体" w:cs="宋体"/>
                <w:color w:val="auto"/>
                <w:sz w:val="24"/>
                <w:szCs w:val="24"/>
                <w:lang w:val="zh-CN"/>
              </w:rPr>
              <w:t>登录全国公共资源交易平台（陕西省•榆林市）网站〖首页〉不见面开标〗系统，在线参加开标过程</w:t>
            </w:r>
          </w:p>
        </w:tc>
      </w:tr>
      <w:tr w14:paraId="013B262E">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601300F1">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671" w:type="dxa"/>
            <w:tcBorders>
              <w:top w:val="single" w:color="auto" w:sz="4" w:space="0"/>
              <w:left w:val="single" w:color="auto" w:sz="4" w:space="0"/>
              <w:bottom w:val="single" w:color="auto" w:sz="4" w:space="0"/>
              <w:right w:val="single" w:color="auto" w:sz="4" w:space="0"/>
            </w:tcBorders>
            <w:vAlign w:val="center"/>
          </w:tcPr>
          <w:p w14:paraId="173B5D11">
            <w:pPr>
              <w:widowControl/>
              <w:adjustRightInd w:val="0"/>
              <w:snapToGrid w:val="0"/>
              <w:spacing w:line="360" w:lineRule="auto"/>
              <w:jc w:val="center"/>
              <w:textAlignment w:val="center"/>
              <w:outlineLvl w:val="9"/>
              <w:rPr>
                <w:rFonts w:ascii="宋体" w:hAnsi="宋体" w:cs="宋体"/>
                <w:color w:val="auto"/>
                <w:sz w:val="24"/>
                <w:lang w:val="zh-CN"/>
              </w:rPr>
            </w:pPr>
            <w:r>
              <w:rPr>
                <w:rFonts w:hint="eastAsia" w:ascii="宋体" w:hAnsi="宋体" w:cs="宋体"/>
                <w:color w:val="auto"/>
                <w:sz w:val="24"/>
                <w:szCs w:val="24"/>
              </w:rPr>
              <w:t>磋商保证金</w:t>
            </w:r>
          </w:p>
        </w:tc>
        <w:tc>
          <w:tcPr>
            <w:tcW w:w="7609" w:type="dxa"/>
            <w:tcBorders>
              <w:top w:val="single" w:color="auto" w:sz="4" w:space="0"/>
              <w:left w:val="single" w:color="auto" w:sz="4" w:space="0"/>
              <w:bottom w:val="single" w:color="auto" w:sz="4" w:space="0"/>
              <w:right w:val="single" w:color="auto" w:sz="4" w:space="0"/>
            </w:tcBorders>
            <w:vAlign w:val="center"/>
          </w:tcPr>
          <w:p w14:paraId="3DF1BB48">
            <w:pPr>
              <w:pStyle w:val="48"/>
              <w:spacing w:before="90" w:line="360" w:lineRule="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是否要求投标人递交投标保证金：</w:t>
            </w:r>
          </w:p>
          <w:p w14:paraId="52A6FBFA">
            <w:pPr>
              <w:pStyle w:val="48"/>
              <w:spacing w:line="360" w:lineRule="auto"/>
              <w:jc w:val="left"/>
              <w:outlineLvl w:val="9"/>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□要求，投标保证金的金额：/</w:t>
            </w:r>
          </w:p>
          <w:p w14:paraId="5A0E75C4">
            <w:pPr>
              <w:spacing w:line="360" w:lineRule="auto"/>
              <w:jc w:val="left"/>
              <w:outlineLvl w:val="9"/>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☑不要求</w:t>
            </w:r>
          </w:p>
          <w:p w14:paraId="273F733B">
            <w:pPr>
              <w:widowControl/>
              <w:tabs>
                <w:tab w:val="left" w:pos="1620"/>
              </w:tabs>
              <w:adjustRightInd w:val="0"/>
              <w:snapToGrid w:val="0"/>
              <w:spacing w:line="360" w:lineRule="auto"/>
              <w:ind w:firstLine="480" w:firstLineChars="200"/>
              <w:jc w:val="left"/>
              <w:outlineLvl w:val="9"/>
              <w:rPr>
                <w:rFonts w:hint="default" w:ascii="宋体" w:hAnsi="宋体" w:cs="宋体"/>
                <w:color w:val="auto"/>
                <w:sz w:val="24"/>
                <w:szCs w:val="24"/>
                <w:lang w:val="en-US"/>
              </w:rPr>
            </w:pP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cs="宋体"/>
                <w:b/>
                <w:bCs/>
                <w:kern w:val="0"/>
                <w:sz w:val="24"/>
                <w:highlight w:val="none"/>
                <w:lang w:val="en-US" w:eastAsia="zh-CN"/>
              </w:rPr>
              <w:t>附信用承诺网页截图。</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w:t>
            </w:r>
            <w:r>
              <w:rPr>
                <w:rFonts w:hint="eastAsia" w:ascii="宋体" w:hAnsi="宋体" w:cs="宋体"/>
                <w:kern w:val="2"/>
                <w:sz w:val="24"/>
                <w:szCs w:val="24"/>
                <w:highlight w:val="none"/>
                <w:lang w:val="en-US" w:eastAsia="zh-CN" w:bidi="ar-SA"/>
              </w:rPr>
              <w:t>附件2</w:t>
            </w:r>
            <w:r>
              <w:rPr>
                <w:rFonts w:hint="default" w:ascii="宋体" w:hAnsi="宋体" w:eastAsia="宋体" w:cs="宋体"/>
                <w:kern w:val="2"/>
                <w:sz w:val="24"/>
                <w:szCs w:val="24"/>
                <w:highlight w:val="none"/>
                <w:lang w:val="en-US" w:eastAsia="zh-CN" w:bidi="ar-SA"/>
              </w:rPr>
              <w:t>）</w:t>
            </w:r>
          </w:p>
        </w:tc>
      </w:tr>
      <w:tr w14:paraId="6946ABC1">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3C1C9544">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671" w:type="dxa"/>
            <w:tcBorders>
              <w:top w:val="single" w:color="auto" w:sz="4" w:space="0"/>
              <w:left w:val="single" w:color="auto" w:sz="4" w:space="0"/>
              <w:bottom w:val="single" w:color="auto" w:sz="4" w:space="0"/>
              <w:right w:val="single" w:color="auto" w:sz="4" w:space="0"/>
            </w:tcBorders>
            <w:vAlign w:val="center"/>
          </w:tcPr>
          <w:p w14:paraId="5927B712">
            <w:pPr>
              <w:adjustRightInd w:val="0"/>
              <w:snapToGrid w:val="0"/>
              <w:spacing w:line="240" w:lineRule="auto"/>
              <w:jc w:val="center"/>
              <w:outlineLvl w:val="9"/>
              <w:rPr>
                <w:rFonts w:ascii="宋体" w:hAnsi="宋体" w:cs="宋体"/>
                <w:color w:val="auto"/>
                <w:sz w:val="24"/>
                <w:szCs w:val="24"/>
              </w:rPr>
            </w:pPr>
            <w:r>
              <w:rPr>
                <w:rFonts w:hint="eastAsia" w:asciiTheme="minorEastAsia" w:hAnsiTheme="minorEastAsia" w:eastAsiaTheme="minorEastAsia" w:cstheme="minorEastAsia"/>
                <w:sz w:val="24"/>
                <w:szCs w:val="24"/>
              </w:rPr>
              <w:t>是否接受联合体投标</w:t>
            </w:r>
          </w:p>
        </w:tc>
        <w:tc>
          <w:tcPr>
            <w:tcW w:w="7609" w:type="dxa"/>
            <w:tcBorders>
              <w:top w:val="single" w:color="auto" w:sz="4" w:space="0"/>
              <w:left w:val="single" w:color="auto" w:sz="4" w:space="0"/>
              <w:bottom w:val="single" w:color="auto" w:sz="4" w:space="0"/>
              <w:right w:val="single" w:color="auto" w:sz="4" w:space="0"/>
            </w:tcBorders>
            <w:vAlign w:val="center"/>
          </w:tcPr>
          <w:p w14:paraId="6D72A46F">
            <w:pPr>
              <w:adjustRightInd w:val="0"/>
              <w:snapToGrid w:val="0"/>
              <w:spacing w:line="240" w:lineRule="auto"/>
              <w:jc w:val="left"/>
              <w:outlineLvl w:val="9"/>
              <w:rPr>
                <w:rFonts w:ascii="宋体" w:hAnsi="宋体" w:cs="宋体"/>
                <w:color w:val="auto"/>
                <w:sz w:val="24"/>
                <w:szCs w:val="24"/>
              </w:rPr>
            </w:pPr>
            <w:r>
              <w:rPr>
                <w:rFonts w:hint="eastAsia" w:asciiTheme="minorEastAsia" w:hAnsiTheme="minorEastAsia" w:eastAsiaTheme="minorEastAsia" w:cstheme="minorEastAsia"/>
                <w:sz w:val="24"/>
                <w:szCs w:val="24"/>
              </w:rPr>
              <w:t>不接受</w:t>
            </w:r>
          </w:p>
        </w:tc>
      </w:tr>
      <w:tr w14:paraId="2B0BACB2">
        <w:tblPrEx>
          <w:tblCellMar>
            <w:top w:w="0" w:type="dxa"/>
            <w:left w:w="108" w:type="dxa"/>
            <w:bottom w:w="0" w:type="dxa"/>
            <w:right w:w="108" w:type="dxa"/>
          </w:tblCellMar>
        </w:tblPrEx>
        <w:trPr>
          <w:trHeight w:val="497" w:hRule="atLeast"/>
        </w:trPr>
        <w:tc>
          <w:tcPr>
            <w:tcW w:w="723" w:type="dxa"/>
            <w:vMerge w:val="restart"/>
            <w:tcBorders>
              <w:top w:val="single" w:color="auto" w:sz="4" w:space="0"/>
              <w:left w:val="single" w:color="auto" w:sz="4" w:space="0"/>
              <w:right w:val="single" w:color="auto" w:sz="4" w:space="0"/>
            </w:tcBorders>
            <w:vAlign w:val="center"/>
          </w:tcPr>
          <w:p w14:paraId="3AE76C3F">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671" w:type="dxa"/>
            <w:tcBorders>
              <w:top w:val="single" w:color="auto" w:sz="4" w:space="0"/>
              <w:left w:val="single" w:color="auto" w:sz="4" w:space="0"/>
              <w:right w:val="single" w:color="auto" w:sz="4" w:space="0"/>
            </w:tcBorders>
            <w:vAlign w:val="center"/>
          </w:tcPr>
          <w:p w14:paraId="3D0CC69F">
            <w:pPr>
              <w:adjustRightInd w:val="0"/>
              <w:snapToGrid w:val="0"/>
              <w:spacing w:line="240" w:lineRule="auto"/>
              <w:jc w:val="center"/>
              <w:outlineLvl w:val="9"/>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bCs/>
                <w:color w:val="auto"/>
                <w:sz w:val="24"/>
                <w:szCs w:val="24"/>
                <w:lang w:val="en-US" w:eastAsia="zh-CN"/>
              </w:rPr>
              <w:t>工期</w:t>
            </w:r>
          </w:p>
        </w:tc>
        <w:tc>
          <w:tcPr>
            <w:tcW w:w="7609" w:type="dxa"/>
            <w:tcBorders>
              <w:top w:val="single" w:color="auto" w:sz="4" w:space="0"/>
              <w:left w:val="single" w:color="auto" w:sz="4" w:space="0"/>
              <w:bottom w:val="single" w:color="auto" w:sz="4" w:space="0"/>
              <w:right w:val="single" w:color="auto" w:sz="4" w:space="0"/>
            </w:tcBorders>
            <w:vAlign w:val="center"/>
          </w:tcPr>
          <w:p w14:paraId="0CC8333D">
            <w:pPr>
              <w:adjustRightInd w:val="0"/>
              <w:snapToGrid w:val="0"/>
              <w:spacing w:line="240" w:lineRule="auto"/>
              <w:jc w:val="left"/>
              <w:outlineLvl w:val="9"/>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bCs/>
                <w:color w:val="auto"/>
                <w:sz w:val="24"/>
                <w:szCs w:val="24"/>
                <w:lang w:val="en-US" w:eastAsia="zh-CN"/>
              </w:rPr>
              <w:t>50日历天</w:t>
            </w:r>
          </w:p>
        </w:tc>
      </w:tr>
      <w:tr w14:paraId="2A15E942">
        <w:tblPrEx>
          <w:tblCellMar>
            <w:top w:w="0" w:type="dxa"/>
            <w:left w:w="108" w:type="dxa"/>
            <w:bottom w:w="0" w:type="dxa"/>
            <w:right w:w="108" w:type="dxa"/>
          </w:tblCellMar>
        </w:tblPrEx>
        <w:trPr>
          <w:trHeight w:val="497" w:hRule="atLeast"/>
        </w:trPr>
        <w:tc>
          <w:tcPr>
            <w:tcW w:w="723" w:type="dxa"/>
            <w:vMerge w:val="continue"/>
            <w:tcBorders>
              <w:left w:val="single" w:color="auto" w:sz="4" w:space="0"/>
              <w:right w:val="single" w:color="auto" w:sz="4" w:space="0"/>
            </w:tcBorders>
            <w:vAlign w:val="center"/>
          </w:tcPr>
          <w:p w14:paraId="299599D7">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p>
        </w:tc>
        <w:tc>
          <w:tcPr>
            <w:tcW w:w="1671" w:type="dxa"/>
            <w:tcBorders>
              <w:top w:val="single" w:color="auto" w:sz="4" w:space="0"/>
              <w:left w:val="single" w:color="auto" w:sz="4" w:space="0"/>
              <w:right w:val="single" w:color="auto" w:sz="4" w:space="0"/>
            </w:tcBorders>
            <w:vAlign w:val="center"/>
          </w:tcPr>
          <w:p w14:paraId="298B9ACF">
            <w:pPr>
              <w:adjustRightInd w:val="0"/>
              <w:snapToGrid w:val="0"/>
              <w:spacing w:line="24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质保期</w:t>
            </w:r>
          </w:p>
        </w:tc>
        <w:tc>
          <w:tcPr>
            <w:tcW w:w="7609" w:type="dxa"/>
            <w:tcBorders>
              <w:top w:val="single" w:color="auto" w:sz="4" w:space="0"/>
              <w:left w:val="single" w:color="auto" w:sz="4" w:space="0"/>
              <w:bottom w:val="single" w:color="auto" w:sz="4" w:space="0"/>
              <w:right w:val="single" w:color="auto" w:sz="4" w:space="0"/>
            </w:tcBorders>
            <w:vAlign w:val="center"/>
          </w:tcPr>
          <w:p w14:paraId="38342359">
            <w:pPr>
              <w:adjustRightInd w:val="0"/>
              <w:snapToGrid w:val="0"/>
              <w:spacing w:line="240" w:lineRule="auto"/>
              <w:jc w:val="left"/>
              <w:outlineLvl w:val="9"/>
              <w:rPr>
                <w:rFonts w:hint="default" w:asciiTheme="minorEastAsia" w:hAnsiTheme="minorEastAsia" w:eastAsiaTheme="minorEastAsia" w:cstheme="minorEastAsia"/>
                <w:bCs/>
                <w:color w:val="auto"/>
                <w:sz w:val="24"/>
                <w:szCs w:val="24"/>
                <w:lang w:val="en-US" w:eastAsia="zh-CN"/>
              </w:rPr>
            </w:pPr>
            <w:r>
              <w:rPr>
                <w:rFonts w:hint="default" w:asciiTheme="minorEastAsia" w:hAnsiTheme="minorEastAsia" w:eastAsiaTheme="minorEastAsia" w:cstheme="minorEastAsia"/>
                <w:bCs/>
                <w:color w:val="auto"/>
                <w:sz w:val="24"/>
                <w:szCs w:val="24"/>
                <w:lang w:val="en-US" w:eastAsia="zh-CN"/>
              </w:rPr>
              <w:t>验收合格后1年</w:t>
            </w:r>
          </w:p>
        </w:tc>
      </w:tr>
      <w:tr w14:paraId="0F4943A1">
        <w:tblPrEx>
          <w:tblCellMar>
            <w:top w:w="0" w:type="dxa"/>
            <w:left w:w="108" w:type="dxa"/>
            <w:bottom w:w="0" w:type="dxa"/>
            <w:right w:w="108" w:type="dxa"/>
          </w:tblCellMar>
        </w:tblPrEx>
        <w:trPr>
          <w:trHeight w:val="507" w:hRule="atLeast"/>
        </w:trPr>
        <w:tc>
          <w:tcPr>
            <w:tcW w:w="723" w:type="dxa"/>
            <w:vMerge w:val="continue"/>
            <w:tcBorders>
              <w:left w:val="single" w:color="auto" w:sz="4" w:space="0"/>
              <w:right w:val="single" w:color="auto" w:sz="4" w:space="0"/>
            </w:tcBorders>
            <w:vAlign w:val="center"/>
          </w:tcPr>
          <w:p w14:paraId="5A06FEB2">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p>
        </w:tc>
        <w:tc>
          <w:tcPr>
            <w:tcW w:w="1671" w:type="dxa"/>
            <w:tcBorders>
              <w:top w:val="single" w:color="auto" w:sz="4" w:space="0"/>
              <w:left w:val="single" w:color="auto" w:sz="4" w:space="0"/>
              <w:right w:val="single" w:color="auto" w:sz="4" w:space="0"/>
            </w:tcBorders>
            <w:vAlign w:val="center"/>
          </w:tcPr>
          <w:p w14:paraId="5AE138D1">
            <w:pPr>
              <w:adjustRightInd w:val="0"/>
              <w:snapToGrid w:val="0"/>
              <w:spacing w:line="36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工程质量</w:t>
            </w:r>
          </w:p>
        </w:tc>
        <w:tc>
          <w:tcPr>
            <w:tcW w:w="7609" w:type="dxa"/>
            <w:tcBorders>
              <w:top w:val="single" w:color="auto" w:sz="4" w:space="0"/>
              <w:left w:val="single" w:color="auto" w:sz="4" w:space="0"/>
              <w:bottom w:val="single" w:color="auto" w:sz="4" w:space="0"/>
              <w:right w:val="single" w:color="auto" w:sz="4" w:space="0"/>
            </w:tcBorders>
            <w:vAlign w:val="center"/>
          </w:tcPr>
          <w:p w14:paraId="189FD449">
            <w:pPr>
              <w:adjustRightInd w:val="0"/>
              <w:snapToGrid w:val="0"/>
              <w:spacing w:line="36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符合国家合格标准。</w:t>
            </w:r>
          </w:p>
        </w:tc>
      </w:tr>
      <w:tr w14:paraId="640C13EC">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14:paraId="29833DE2">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671" w:type="dxa"/>
            <w:tcBorders>
              <w:top w:val="single" w:color="auto" w:sz="4" w:space="0"/>
              <w:left w:val="single" w:color="auto" w:sz="4" w:space="0"/>
              <w:bottom w:val="single" w:color="auto" w:sz="4" w:space="0"/>
              <w:right w:val="single" w:color="auto" w:sz="4" w:space="0"/>
            </w:tcBorders>
            <w:shd w:val="clear" w:color="auto" w:fill="auto"/>
            <w:vAlign w:val="center"/>
          </w:tcPr>
          <w:p w14:paraId="0026B8F0">
            <w:pPr>
              <w:adjustRightInd w:val="0"/>
              <w:snapToGrid w:val="0"/>
              <w:spacing w:line="36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zh-CN" w:eastAsia="zh-CN"/>
              </w:rPr>
              <w:t>付款方式</w:t>
            </w:r>
          </w:p>
        </w:tc>
        <w:tc>
          <w:tcPr>
            <w:tcW w:w="7609" w:type="dxa"/>
            <w:tcBorders>
              <w:top w:val="single" w:color="auto" w:sz="4" w:space="0"/>
              <w:left w:val="single" w:color="auto" w:sz="4" w:space="0"/>
              <w:bottom w:val="single" w:color="auto" w:sz="4" w:space="0"/>
              <w:right w:val="single" w:color="auto" w:sz="4" w:space="0"/>
            </w:tcBorders>
            <w:shd w:val="clear" w:color="auto" w:fill="auto"/>
            <w:vAlign w:val="center"/>
          </w:tcPr>
          <w:p w14:paraId="50C28CF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heme="minorEastAsia" w:hAnsiTheme="minorEastAsia" w:eastAsiaTheme="minorEastAsia" w:cstheme="minorEastAsia"/>
                <w:bCs/>
                <w:color w:val="auto"/>
                <w:sz w:val="24"/>
                <w:szCs w:val="24"/>
                <w:lang w:val="en-US" w:eastAsia="zh-CN"/>
              </w:rPr>
            </w:pPr>
            <w:r>
              <w:rPr>
                <w:rFonts w:hint="default" w:asciiTheme="minorEastAsia" w:hAnsiTheme="minorEastAsia" w:eastAsiaTheme="minorEastAsia" w:cstheme="minorEastAsia"/>
                <w:bCs/>
                <w:color w:val="auto"/>
                <w:sz w:val="24"/>
                <w:szCs w:val="24"/>
                <w:lang w:val="en-US" w:eastAsia="zh-CN"/>
              </w:rPr>
              <w:t>项目开工后拨付合同价40%预付款，项目建成完工后拨付至合同价的80%(开工到完工期间40%的工程款由建设单位、监理与施工企业按工程进度约定分批支付)，在项目竣工验收后，以决算评审价为准，支付剩余工程款</w:t>
            </w:r>
            <w:r>
              <w:rPr>
                <w:rFonts w:hint="eastAsia" w:asciiTheme="minorEastAsia" w:hAnsiTheme="minorEastAsia" w:eastAsiaTheme="minorEastAsia" w:cstheme="minorEastAsia"/>
                <w:bCs/>
                <w:color w:val="auto"/>
                <w:sz w:val="24"/>
                <w:szCs w:val="24"/>
                <w:lang w:val="en-US" w:eastAsia="zh-CN"/>
              </w:rPr>
              <w:t>。</w:t>
            </w:r>
          </w:p>
        </w:tc>
      </w:tr>
      <w:tr w14:paraId="38AD8669">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14:paraId="2FB6F075">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w:t>
            </w:r>
          </w:p>
        </w:tc>
        <w:tc>
          <w:tcPr>
            <w:tcW w:w="1671" w:type="dxa"/>
            <w:tcBorders>
              <w:top w:val="single" w:color="auto" w:sz="4" w:space="0"/>
              <w:left w:val="single" w:color="auto" w:sz="4" w:space="0"/>
              <w:bottom w:val="single" w:color="auto" w:sz="4" w:space="0"/>
              <w:right w:val="single" w:color="auto" w:sz="4" w:space="0"/>
            </w:tcBorders>
            <w:vAlign w:val="center"/>
          </w:tcPr>
          <w:p w14:paraId="661C425B">
            <w:pPr>
              <w:adjustRightInd w:val="0"/>
              <w:snapToGrid w:val="0"/>
              <w:spacing w:line="240" w:lineRule="auto"/>
              <w:jc w:val="center"/>
              <w:outlineLvl w:val="9"/>
              <w:rPr>
                <w:rFonts w:hint="eastAsia" w:asciiTheme="minorEastAsia" w:hAnsiTheme="minorEastAsia" w:eastAsiaTheme="minorEastAsia" w:cstheme="minorEastAsia"/>
                <w:bCs/>
                <w:color w:val="auto"/>
                <w:sz w:val="24"/>
                <w:szCs w:val="24"/>
                <w:lang w:val="zh-CN" w:eastAsia="zh-CN"/>
              </w:rPr>
            </w:pPr>
            <w:r>
              <w:rPr>
                <w:rFonts w:hint="eastAsia" w:ascii="宋体" w:hAnsi="宋体" w:cs="宋体"/>
                <w:color w:val="auto"/>
                <w:sz w:val="24"/>
                <w:szCs w:val="24"/>
                <w:lang w:val="en-US" w:eastAsia="zh-CN"/>
              </w:rPr>
              <w:t>施工地点</w:t>
            </w:r>
          </w:p>
        </w:tc>
        <w:tc>
          <w:tcPr>
            <w:tcW w:w="7609" w:type="dxa"/>
            <w:tcBorders>
              <w:top w:val="single" w:color="auto" w:sz="4" w:space="0"/>
              <w:left w:val="single" w:color="auto" w:sz="4" w:space="0"/>
              <w:bottom w:val="single" w:color="auto" w:sz="4" w:space="0"/>
              <w:right w:val="single" w:color="auto" w:sz="4" w:space="0"/>
            </w:tcBorders>
            <w:vAlign w:val="center"/>
          </w:tcPr>
          <w:p w14:paraId="6B0A9F4E">
            <w:pPr>
              <w:adjustRightInd w:val="0"/>
              <w:snapToGrid w:val="0"/>
              <w:spacing w:line="24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cs="Times New Roman"/>
                <w:kern w:val="2"/>
                <w:sz w:val="24"/>
                <w:szCs w:val="16"/>
                <w:lang w:val="en-US" w:eastAsia="zh-CN" w:bidi="ar-SA"/>
              </w:rPr>
              <w:t>吴堡县张家山镇人民政府指定地点</w:t>
            </w:r>
          </w:p>
        </w:tc>
      </w:tr>
      <w:tr w14:paraId="692EDB9B">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14:paraId="63A61731">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p>
        </w:tc>
        <w:tc>
          <w:tcPr>
            <w:tcW w:w="1671" w:type="dxa"/>
            <w:tcBorders>
              <w:top w:val="single" w:color="auto" w:sz="4" w:space="0"/>
              <w:left w:val="single" w:color="auto" w:sz="4" w:space="0"/>
              <w:bottom w:val="single" w:color="auto" w:sz="4" w:space="0"/>
              <w:right w:val="single" w:color="auto" w:sz="4" w:space="0"/>
            </w:tcBorders>
            <w:vAlign w:val="center"/>
          </w:tcPr>
          <w:p w14:paraId="4FCD42C0">
            <w:pPr>
              <w:adjustRightInd w:val="0"/>
              <w:snapToGrid w:val="0"/>
              <w:spacing w:line="240" w:lineRule="auto"/>
              <w:jc w:val="center"/>
              <w:outlineLvl w:val="9"/>
              <w:rPr>
                <w:rFonts w:asciiTheme="minorEastAsia" w:hAnsiTheme="minorEastAsia" w:eastAsiaTheme="minorEastAsia" w:cstheme="minorEastAsia"/>
                <w:color w:val="auto"/>
                <w:sz w:val="24"/>
                <w:szCs w:val="24"/>
                <w:lang w:val="zh-CN"/>
              </w:rPr>
            </w:pPr>
            <w:r>
              <w:rPr>
                <w:rFonts w:hint="eastAsia"/>
                <w:sz w:val="24"/>
              </w:rPr>
              <w:t>评审方法</w:t>
            </w:r>
          </w:p>
        </w:tc>
        <w:tc>
          <w:tcPr>
            <w:tcW w:w="7609" w:type="dxa"/>
            <w:tcBorders>
              <w:top w:val="single" w:color="auto" w:sz="4" w:space="0"/>
              <w:left w:val="single" w:color="auto" w:sz="4" w:space="0"/>
              <w:bottom w:val="single" w:color="auto" w:sz="4" w:space="0"/>
              <w:right w:val="single" w:color="auto" w:sz="4" w:space="0"/>
            </w:tcBorders>
            <w:vAlign w:val="center"/>
          </w:tcPr>
          <w:p w14:paraId="4F6F2493">
            <w:pPr>
              <w:pStyle w:val="10"/>
              <w:topLinePunct/>
              <w:adjustRightInd w:val="0"/>
              <w:snapToGrid w:val="0"/>
              <w:spacing w:line="240" w:lineRule="auto"/>
              <w:ind w:left="470" w:leftChars="24" w:hanging="420" w:hangingChars="175"/>
              <w:outlineLvl w:val="9"/>
              <w:rPr>
                <w:rFonts w:hint="default" w:eastAsia="宋体" w:asciiTheme="minorEastAsia" w:hAnsiTheme="minorEastAsia" w:cstheme="minorEastAsia"/>
                <w:color w:val="auto"/>
                <w:sz w:val="24"/>
                <w:szCs w:val="24"/>
                <w:lang w:val="en-US" w:eastAsia="zh-CN"/>
              </w:rPr>
            </w:pPr>
            <w:r>
              <w:rPr>
                <w:rFonts w:hint="eastAsia"/>
                <w:sz w:val="24"/>
              </w:rPr>
              <w:t>综合评分法</w:t>
            </w:r>
          </w:p>
        </w:tc>
      </w:tr>
      <w:tr w14:paraId="25898B9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C5EE9E0">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w:t>
            </w:r>
          </w:p>
        </w:tc>
        <w:tc>
          <w:tcPr>
            <w:tcW w:w="1671" w:type="dxa"/>
            <w:tcBorders>
              <w:top w:val="single" w:color="auto" w:sz="4" w:space="0"/>
              <w:left w:val="single" w:color="auto" w:sz="4" w:space="0"/>
              <w:bottom w:val="single" w:color="auto" w:sz="4" w:space="0"/>
              <w:right w:val="single" w:color="auto" w:sz="4" w:space="0"/>
            </w:tcBorders>
            <w:vAlign w:val="center"/>
          </w:tcPr>
          <w:p w14:paraId="74840077">
            <w:pPr>
              <w:adjustRightInd w:val="0"/>
              <w:snapToGrid w:val="0"/>
              <w:spacing w:line="240" w:lineRule="auto"/>
              <w:jc w:val="center"/>
              <w:outlineLvl w:val="9"/>
              <w:rPr>
                <w:rFonts w:asciiTheme="minorEastAsia" w:hAnsiTheme="minorEastAsia" w:eastAsiaTheme="minorEastAsia" w:cstheme="minorEastAsia"/>
                <w:sz w:val="24"/>
                <w:szCs w:val="24"/>
              </w:rPr>
            </w:pPr>
            <w:r>
              <w:rPr>
                <w:rFonts w:hint="eastAsia"/>
                <w:sz w:val="24"/>
              </w:rPr>
              <w:t>合同签订</w:t>
            </w:r>
          </w:p>
        </w:tc>
        <w:tc>
          <w:tcPr>
            <w:tcW w:w="7609" w:type="dxa"/>
            <w:tcBorders>
              <w:top w:val="single" w:color="auto" w:sz="4" w:space="0"/>
              <w:left w:val="single" w:color="auto" w:sz="4" w:space="0"/>
              <w:bottom w:val="single" w:color="auto" w:sz="4" w:space="0"/>
              <w:right w:val="single" w:color="auto" w:sz="4" w:space="0"/>
            </w:tcBorders>
            <w:vAlign w:val="center"/>
          </w:tcPr>
          <w:p w14:paraId="055CF7D1">
            <w:pPr>
              <w:pStyle w:val="10"/>
              <w:topLinePunct/>
              <w:adjustRightInd w:val="0"/>
              <w:snapToGrid w:val="0"/>
              <w:spacing w:line="240" w:lineRule="auto"/>
              <w:ind w:left="470" w:leftChars="24" w:hanging="420" w:hangingChars="175"/>
              <w:outlineLvl w:val="9"/>
              <w:rPr>
                <w:rFonts w:asciiTheme="minorEastAsia" w:hAnsiTheme="minorEastAsia" w:eastAsiaTheme="minorEastAsia" w:cstheme="minorEastAsia"/>
                <w:sz w:val="24"/>
                <w:szCs w:val="24"/>
              </w:rPr>
            </w:pPr>
            <w:r>
              <w:rPr>
                <w:rFonts w:hint="eastAsia"/>
                <w:sz w:val="24"/>
                <w:lang w:eastAsia="zh-CN"/>
              </w:rPr>
              <w:t>成交供应商</w:t>
            </w:r>
            <w:r>
              <w:rPr>
                <w:rFonts w:hint="eastAsia"/>
                <w:sz w:val="24"/>
              </w:rPr>
              <w:t>与</w:t>
            </w:r>
            <w:r>
              <w:rPr>
                <w:rFonts w:hint="eastAsia"/>
                <w:sz w:val="24"/>
                <w:lang w:eastAsia="zh-CN"/>
              </w:rPr>
              <w:t>采购人</w:t>
            </w:r>
            <w:r>
              <w:rPr>
                <w:rFonts w:hint="eastAsia"/>
                <w:sz w:val="24"/>
              </w:rPr>
              <w:t>签订合同。</w:t>
            </w:r>
          </w:p>
        </w:tc>
      </w:tr>
      <w:tr w14:paraId="7DFE238F">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14:paraId="6DA0ECF5">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w:t>
            </w:r>
          </w:p>
        </w:tc>
        <w:tc>
          <w:tcPr>
            <w:tcW w:w="1671" w:type="dxa"/>
            <w:tcBorders>
              <w:top w:val="single" w:color="auto" w:sz="4" w:space="0"/>
              <w:left w:val="single" w:color="auto" w:sz="4" w:space="0"/>
              <w:bottom w:val="single" w:color="auto" w:sz="4" w:space="0"/>
              <w:right w:val="single" w:color="auto" w:sz="4" w:space="0"/>
            </w:tcBorders>
            <w:vAlign w:val="center"/>
          </w:tcPr>
          <w:p w14:paraId="387A100C">
            <w:pPr>
              <w:adjustRightInd w:val="0"/>
              <w:snapToGrid w:val="0"/>
              <w:spacing w:line="360" w:lineRule="auto"/>
              <w:jc w:val="center"/>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是否退还竞争性磋商响应文件</w:t>
            </w:r>
          </w:p>
        </w:tc>
        <w:tc>
          <w:tcPr>
            <w:tcW w:w="7609" w:type="dxa"/>
            <w:tcBorders>
              <w:top w:val="single" w:color="auto" w:sz="4" w:space="0"/>
              <w:left w:val="single" w:color="auto" w:sz="4" w:space="0"/>
              <w:bottom w:val="single" w:color="auto" w:sz="4" w:space="0"/>
              <w:right w:val="single" w:color="auto" w:sz="4" w:space="0"/>
            </w:tcBorders>
            <w:vAlign w:val="center"/>
          </w:tcPr>
          <w:p w14:paraId="3FDB7EF0">
            <w:pPr>
              <w:adjustRightInd w:val="0"/>
              <w:snapToGrid w:val="0"/>
              <w:spacing w:line="360" w:lineRule="auto"/>
              <w:jc w:val="left"/>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bookmarkStart w:id="469" w:name="_GoBack"/>
            <w:bookmarkEnd w:id="469"/>
          </w:p>
        </w:tc>
      </w:tr>
      <w:tr w14:paraId="4B5B5728">
        <w:tblPrEx>
          <w:tblCellMar>
            <w:top w:w="0" w:type="dxa"/>
            <w:left w:w="108" w:type="dxa"/>
            <w:bottom w:w="0" w:type="dxa"/>
            <w:right w:w="108" w:type="dxa"/>
          </w:tblCellMar>
        </w:tblPrEx>
        <w:trPr>
          <w:trHeight w:val="1145" w:hRule="atLeast"/>
        </w:trPr>
        <w:tc>
          <w:tcPr>
            <w:tcW w:w="723" w:type="dxa"/>
            <w:tcBorders>
              <w:top w:val="single" w:color="auto" w:sz="4" w:space="0"/>
              <w:left w:val="single" w:color="auto" w:sz="4" w:space="0"/>
              <w:bottom w:val="single" w:color="auto" w:sz="4" w:space="0"/>
              <w:right w:val="single" w:color="auto" w:sz="4" w:space="0"/>
            </w:tcBorders>
            <w:vAlign w:val="center"/>
          </w:tcPr>
          <w:p w14:paraId="1C09EF28">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1671" w:type="dxa"/>
            <w:tcBorders>
              <w:top w:val="single" w:color="auto" w:sz="4" w:space="0"/>
              <w:left w:val="single" w:color="auto" w:sz="4" w:space="0"/>
              <w:bottom w:val="single" w:color="auto" w:sz="4" w:space="0"/>
              <w:right w:val="single" w:color="auto" w:sz="4" w:space="0"/>
            </w:tcBorders>
            <w:vAlign w:val="center"/>
          </w:tcPr>
          <w:p w14:paraId="1E851703">
            <w:pPr>
              <w:widowControl/>
              <w:adjustRightInd w:val="0"/>
              <w:snapToGrid w:val="0"/>
              <w:jc w:val="center"/>
              <w:textAlignment w:val="center"/>
              <w:outlineLvl w:val="9"/>
              <w:rPr>
                <w:rFonts w:asciiTheme="minorEastAsia" w:hAnsiTheme="minorEastAsia" w:eastAsiaTheme="minorEastAsia" w:cstheme="minorEastAsia"/>
                <w:sz w:val="24"/>
                <w:szCs w:val="24"/>
              </w:rPr>
            </w:pPr>
            <w:r>
              <w:rPr>
                <w:rFonts w:hint="eastAsia" w:ascii="Times New Roman" w:hAnsi="Times New Roman" w:eastAsia="宋体" w:cs="Times New Roman"/>
                <w:kern w:val="2"/>
                <w:sz w:val="24"/>
                <w:szCs w:val="16"/>
                <w:lang w:val="en-US" w:eastAsia="zh-CN" w:bidi="ar-SA"/>
              </w:rPr>
              <w:t>澄清修改</w:t>
            </w:r>
          </w:p>
        </w:tc>
        <w:tc>
          <w:tcPr>
            <w:tcW w:w="7609" w:type="dxa"/>
            <w:tcBorders>
              <w:top w:val="single" w:color="auto" w:sz="4" w:space="0"/>
              <w:left w:val="single" w:color="auto" w:sz="4" w:space="0"/>
              <w:bottom w:val="single" w:color="auto" w:sz="4" w:space="0"/>
              <w:right w:val="single" w:color="auto" w:sz="4" w:space="0"/>
            </w:tcBorders>
            <w:vAlign w:val="center"/>
          </w:tcPr>
          <w:p w14:paraId="518C728E">
            <w:pPr>
              <w:widowControl/>
              <w:adjustRightInd w:val="0"/>
              <w:snapToGrid w:val="0"/>
              <w:spacing w:line="360" w:lineRule="auto"/>
              <w:jc w:val="left"/>
              <w:textAlignment w:val="center"/>
              <w:outlineLvl w:val="9"/>
              <w:rPr>
                <w:rFonts w:asciiTheme="minorEastAsia" w:hAnsiTheme="minorEastAsia" w:eastAsiaTheme="minorEastAsia" w:cstheme="minorEastAsia"/>
                <w:sz w:val="24"/>
                <w:szCs w:val="24"/>
              </w:rPr>
            </w:pPr>
            <w:r>
              <w:rPr>
                <w:rFonts w:hint="eastAsia" w:ascii="Times New Roman" w:hAnsi="Times New Roman" w:eastAsia="宋体" w:cs="Times New Roman"/>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14:paraId="55795EE0">
        <w:tblPrEx>
          <w:tblCellMar>
            <w:top w:w="0" w:type="dxa"/>
            <w:left w:w="108" w:type="dxa"/>
            <w:bottom w:w="0" w:type="dxa"/>
            <w:right w:w="108" w:type="dxa"/>
          </w:tblCellMar>
        </w:tblPrEx>
        <w:trPr>
          <w:trHeight w:val="600" w:hRule="atLeast"/>
        </w:trPr>
        <w:tc>
          <w:tcPr>
            <w:tcW w:w="723" w:type="dxa"/>
            <w:tcBorders>
              <w:top w:val="single" w:color="auto" w:sz="4" w:space="0"/>
              <w:left w:val="single" w:color="auto" w:sz="4" w:space="0"/>
              <w:bottom w:val="single" w:color="auto" w:sz="4" w:space="0"/>
              <w:right w:val="single" w:color="auto" w:sz="4" w:space="0"/>
            </w:tcBorders>
            <w:vAlign w:val="center"/>
          </w:tcPr>
          <w:p w14:paraId="419740E4">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671" w:type="dxa"/>
            <w:tcBorders>
              <w:top w:val="single" w:color="auto" w:sz="4" w:space="0"/>
              <w:left w:val="single" w:color="auto" w:sz="4" w:space="0"/>
              <w:bottom w:val="single" w:color="auto" w:sz="4" w:space="0"/>
              <w:right w:val="single" w:color="auto" w:sz="4" w:space="0"/>
            </w:tcBorders>
            <w:vAlign w:val="center"/>
          </w:tcPr>
          <w:p w14:paraId="4F36FAE9">
            <w:pPr>
              <w:widowControl/>
              <w:adjustRightInd w:val="0"/>
              <w:snapToGrid w:val="0"/>
              <w:jc w:val="center"/>
              <w:textAlignment w:val="center"/>
              <w:outlineLvl w:val="9"/>
              <w:rPr>
                <w:rFonts w:hint="default" w:asciiTheme="minorEastAsia" w:hAnsiTheme="minorEastAsia" w:eastAsiaTheme="minorEastAsia" w:cstheme="minorEastAsia"/>
                <w:sz w:val="24"/>
                <w:szCs w:val="24"/>
                <w:lang w:val="en-US" w:eastAsia="zh-CN"/>
              </w:rPr>
            </w:pPr>
            <w:r>
              <w:rPr>
                <w:rFonts w:hint="eastAsia" w:ascii="宋体" w:hAnsi="宋体" w:eastAsia="宋体" w:cs="Times New Roman"/>
                <w:color w:val="000000"/>
                <w:sz w:val="24"/>
                <w:szCs w:val="24"/>
              </w:rPr>
              <w:t>投标偏离</w:t>
            </w:r>
          </w:p>
        </w:tc>
        <w:tc>
          <w:tcPr>
            <w:tcW w:w="7609" w:type="dxa"/>
            <w:tcBorders>
              <w:top w:val="single" w:color="auto" w:sz="4" w:space="0"/>
              <w:left w:val="single" w:color="auto" w:sz="4" w:space="0"/>
              <w:bottom w:val="single" w:color="auto" w:sz="4" w:space="0"/>
              <w:right w:val="single" w:color="auto" w:sz="4" w:space="0"/>
            </w:tcBorders>
            <w:vAlign w:val="center"/>
          </w:tcPr>
          <w:p w14:paraId="0A97C57B">
            <w:pPr>
              <w:widowControl/>
              <w:adjustRightInd w:val="0"/>
              <w:snapToGrid w:val="0"/>
              <w:spacing w:line="360" w:lineRule="auto"/>
              <w:jc w:val="left"/>
              <w:textAlignment w:val="center"/>
              <w:outlineLvl w:val="9"/>
              <w:rPr>
                <w:rFonts w:hint="default" w:asciiTheme="minorEastAsia" w:hAnsiTheme="minorEastAsia" w:eastAsiaTheme="minorEastAsia" w:cstheme="minorEastAsia"/>
                <w:sz w:val="24"/>
                <w:szCs w:val="24"/>
                <w:lang w:val="en-US" w:eastAsia="zh-CN"/>
              </w:rPr>
            </w:pPr>
            <w:r>
              <w:rPr>
                <w:rFonts w:hint="eastAsia" w:ascii="宋体" w:hAnsi="宋体" w:eastAsia="宋体" w:cs="Times New Roman"/>
                <w:color w:val="000000"/>
                <w:sz w:val="24"/>
                <w:szCs w:val="24"/>
              </w:rPr>
              <w:t>投标文件中存在对招标文件的实质性负偏离</w:t>
            </w:r>
            <w:r>
              <w:rPr>
                <w:rFonts w:hint="eastAsia" w:ascii="宋体" w:hAnsi="宋体" w:eastAsia="宋体" w:cs="Times New Roman"/>
                <w:color w:val="000000"/>
                <w:sz w:val="24"/>
                <w:szCs w:val="24"/>
                <w:lang w:eastAsia="zh-CN"/>
              </w:rPr>
              <w:t>的</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视</w:t>
            </w:r>
            <w:r>
              <w:rPr>
                <w:rFonts w:hint="eastAsia" w:ascii="宋体" w:hAnsi="宋体" w:eastAsia="宋体" w:cs="Times New Roman"/>
                <w:color w:val="000000"/>
                <w:sz w:val="24"/>
                <w:szCs w:val="24"/>
              </w:rPr>
              <w:t>为无效投标。</w:t>
            </w:r>
          </w:p>
        </w:tc>
      </w:tr>
      <w:tr w14:paraId="1C0532D1">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1E24C832">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1671" w:type="dxa"/>
            <w:tcBorders>
              <w:top w:val="single" w:color="auto" w:sz="4" w:space="0"/>
              <w:left w:val="single" w:color="auto" w:sz="4" w:space="0"/>
              <w:bottom w:val="single" w:color="auto" w:sz="4" w:space="0"/>
              <w:right w:val="single" w:color="auto" w:sz="4" w:space="0"/>
            </w:tcBorders>
            <w:vAlign w:val="center"/>
          </w:tcPr>
          <w:p w14:paraId="14C82054">
            <w:pPr>
              <w:widowControl/>
              <w:adjustRightInd w:val="0"/>
              <w:snapToGrid w:val="0"/>
              <w:jc w:val="center"/>
              <w:textAlignment w:val="center"/>
              <w:outlineLvl w:val="9"/>
              <w:rPr>
                <w:rFonts w:hint="eastAsia" w:ascii="宋体" w:hAnsi="宋体" w:eastAsia="宋体" w:cs="Times New Roman"/>
                <w:color w:val="000000"/>
                <w:kern w:val="2"/>
                <w:sz w:val="24"/>
                <w:szCs w:val="24"/>
                <w:lang w:val="en-US" w:eastAsia="zh-CN" w:bidi="ar-SA"/>
              </w:rPr>
            </w:pPr>
            <w:r>
              <w:rPr>
                <w:rFonts w:hint="eastAsia" w:ascii="宋体" w:hAnsi="宋体" w:cs="宋体"/>
                <w:color w:val="auto"/>
                <w:sz w:val="24"/>
              </w:rPr>
              <w:t>支持中小企业发展</w:t>
            </w:r>
          </w:p>
        </w:tc>
        <w:tc>
          <w:tcPr>
            <w:tcW w:w="7609" w:type="dxa"/>
            <w:tcBorders>
              <w:top w:val="single" w:color="auto" w:sz="4" w:space="0"/>
              <w:left w:val="single" w:color="auto" w:sz="4" w:space="0"/>
              <w:bottom w:val="single" w:color="auto" w:sz="4" w:space="0"/>
              <w:right w:val="single" w:color="auto" w:sz="4" w:space="0"/>
            </w:tcBorders>
            <w:vAlign w:val="center"/>
          </w:tcPr>
          <w:p w14:paraId="4AD98794">
            <w:pPr>
              <w:adjustRightInd w:val="0"/>
              <w:snapToGrid w:val="0"/>
              <w:spacing w:line="360" w:lineRule="auto"/>
              <w:outlineLvl w:val="9"/>
              <w:rPr>
                <w:rFonts w:hint="eastAsia" w:ascii="宋体" w:hAnsi="宋体" w:cs="宋体"/>
                <w:sz w:val="24"/>
              </w:rPr>
            </w:pPr>
            <w:r>
              <w:rPr>
                <w:rFonts w:hint="eastAsia" w:ascii="宋体" w:hAnsi="宋体" w:cs="宋体"/>
                <w:sz w:val="24"/>
              </w:rPr>
              <w:t>支持中小企业发展</w:t>
            </w:r>
          </w:p>
          <w:p w14:paraId="6DFAAB27">
            <w:pPr>
              <w:adjustRightInd w:val="0"/>
              <w:snapToGrid w:val="0"/>
              <w:spacing w:line="360" w:lineRule="auto"/>
              <w:outlineLvl w:val="9"/>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lang w:eastAsia="zh-CN"/>
              </w:rPr>
              <w:instrText xml:space="preserve">,</w:instrText>
            </w:r>
            <w:r>
              <w:rPr>
                <w:rFonts w:hint="eastAsia" w:ascii="宋体" w:hAnsi="宋体" w:cs="宋体"/>
                <w:position w:val="2"/>
                <w:sz w:val="16"/>
                <w:lang w:eastAsia="zh-CN"/>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专门面向</w:t>
            </w:r>
            <w:r>
              <w:rPr>
                <w:rFonts w:hint="eastAsia" w:ascii="宋体" w:hAnsi="宋体" w:cs="宋体"/>
                <w:sz w:val="24"/>
                <w:lang w:val="en-US" w:eastAsia="zh-CN"/>
              </w:rPr>
              <w:t>中小</w:t>
            </w:r>
            <w:r>
              <w:rPr>
                <w:rFonts w:hint="eastAsia" w:ascii="宋体" w:hAnsi="宋体" w:cs="宋体"/>
                <w:sz w:val="24"/>
              </w:rPr>
              <w:t>企业采购项目</w:t>
            </w:r>
          </w:p>
          <w:p w14:paraId="1DC562C4">
            <w:pPr>
              <w:adjustRightInd w:val="0"/>
              <w:snapToGrid w:val="0"/>
              <w:spacing w:line="360" w:lineRule="auto"/>
              <w:outlineLvl w:val="9"/>
              <w:rPr>
                <w:rFonts w:hint="eastAsia" w:ascii="宋体" w:hAnsi="宋体" w:cs="宋体"/>
                <w:sz w:val="24"/>
                <w:lang w:val="en-US" w:eastAsia="zh-CN"/>
              </w:rPr>
            </w:pPr>
            <w:r>
              <w:rPr>
                <w:rFonts w:hint="eastAsia" w:ascii="宋体" w:hAnsi="宋体" w:cs="宋体"/>
                <w:sz w:val="24"/>
                <w:lang w:val="en-US" w:eastAsia="zh-CN"/>
              </w:rPr>
              <w:t>本项目专门面向中小企业采购，故不再执行价格评审优惠；</w:t>
            </w:r>
          </w:p>
          <w:p w14:paraId="2B73F7BA">
            <w:pPr>
              <w:adjustRightInd w:val="0"/>
              <w:snapToGrid w:val="0"/>
              <w:spacing w:line="360" w:lineRule="auto"/>
              <w:outlineLvl w:val="9"/>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非专门面向中小企业采购项目（价格扣除）：</w:t>
            </w:r>
          </w:p>
          <w:p w14:paraId="3837E932">
            <w:pPr>
              <w:adjustRightInd w:val="0"/>
              <w:snapToGrid w:val="0"/>
              <w:spacing w:line="360" w:lineRule="auto"/>
              <w:outlineLvl w:val="9"/>
              <w:rPr>
                <w:rFonts w:hint="eastAsia" w:ascii="宋体" w:hAnsi="宋体" w:cs="宋体"/>
                <w:sz w:val="24"/>
              </w:rPr>
            </w:pPr>
            <w:r>
              <w:rPr>
                <w:rFonts w:hint="eastAsia" w:ascii="宋体" w:hAnsi="宋体" w:cs="宋体"/>
                <w:sz w:val="24"/>
              </w:rPr>
              <w:sym w:font="Wingdings" w:char="F081"/>
            </w:r>
            <w:r>
              <w:rPr>
                <w:rFonts w:hint="eastAsia" w:ascii="宋体" w:hAnsi="宋体" w:cs="宋体"/>
                <w:sz w:val="24"/>
              </w:rPr>
              <w:t>对小型和微型企业产品的价格给与</w:t>
            </w: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%的扣除，用扣除后的价格参与评审。项目的扣除比例为：小微企业扣除</w:t>
            </w:r>
            <w:r>
              <w:rPr>
                <w:rFonts w:hint="eastAsia" w:ascii="宋体" w:hAnsi="宋体" w:cs="宋体"/>
                <w:sz w:val="24"/>
                <w:lang w:eastAsia="zh-CN"/>
              </w:rPr>
              <w:t>20%。</w:t>
            </w:r>
          </w:p>
          <w:p w14:paraId="6090F7A8">
            <w:pPr>
              <w:adjustRightInd w:val="0"/>
              <w:snapToGrid w:val="0"/>
              <w:spacing w:line="360" w:lineRule="auto"/>
              <w:outlineLvl w:val="9"/>
              <w:rPr>
                <w:rFonts w:hint="eastAsia" w:ascii="宋体" w:hAnsi="宋体" w:eastAsia="宋体" w:cs="Times New Roman"/>
                <w:color w:val="000000"/>
                <w:kern w:val="2"/>
                <w:sz w:val="24"/>
                <w:szCs w:val="24"/>
                <w:lang w:val="en-US" w:eastAsia="zh-CN" w:bidi="ar-SA"/>
              </w:rPr>
            </w:pPr>
            <w:r>
              <w:rPr>
                <w:rFonts w:ascii="宋体" w:hAnsi="宋体" w:cs="宋体"/>
                <w:sz w:val="24"/>
              </w:rPr>
              <w:sym w:font="Wingdings" w:char="F082"/>
            </w:r>
            <w:r>
              <w:rPr>
                <w:rFonts w:hint="eastAsia" w:ascii="宋体" w:hAnsi="宋体" w:cs="宋体"/>
                <w:sz w:val="24"/>
              </w:rPr>
              <w:t>项目接收联合体投标的，若小型和微型企业的协议合同金额占到联合体协议合同金额30%以上的，可给予联合体</w:t>
            </w:r>
            <w:r>
              <w:rPr>
                <w:rFonts w:hint="eastAsia" w:ascii="宋体" w:hAnsi="宋体" w:cs="宋体"/>
                <w:sz w:val="24"/>
                <w:lang w:val="en-US" w:eastAsia="zh-CN"/>
              </w:rPr>
              <w:t>4%-6</w:t>
            </w:r>
            <w:r>
              <w:rPr>
                <w:rFonts w:hint="eastAsia" w:ascii="宋体" w:hAnsi="宋体" w:cs="宋体"/>
                <w:sz w:val="24"/>
              </w:rPr>
              <w:t>%的扣除，用扣除后的价格参与评审。项目的扣除比例为：</w:t>
            </w:r>
            <w:r>
              <w:rPr>
                <w:rFonts w:hint="eastAsia" w:ascii="宋体" w:hAnsi="宋体" w:cs="宋体"/>
                <w:sz w:val="24"/>
                <w:lang w:val="en-US" w:eastAsia="zh-CN"/>
              </w:rPr>
              <w:t>6</w:t>
            </w:r>
            <w:r>
              <w:rPr>
                <w:rFonts w:hint="eastAsia" w:ascii="宋体" w:hAnsi="宋体" w:cs="宋体"/>
                <w:sz w:val="24"/>
              </w:rPr>
              <w:t>%。</w:t>
            </w:r>
          </w:p>
        </w:tc>
      </w:tr>
      <w:tr w14:paraId="763C2CC7">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0B479D66">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w:t>
            </w:r>
          </w:p>
        </w:tc>
        <w:tc>
          <w:tcPr>
            <w:tcW w:w="1671" w:type="dxa"/>
            <w:tcBorders>
              <w:top w:val="single" w:color="auto" w:sz="4" w:space="0"/>
              <w:left w:val="single" w:color="auto" w:sz="4" w:space="0"/>
              <w:bottom w:val="single" w:color="auto" w:sz="4" w:space="0"/>
              <w:right w:val="single" w:color="auto" w:sz="4" w:space="0"/>
            </w:tcBorders>
            <w:vAlign w:val="center"/>
          </w:tcPr>
          <w:p w14:paraId="774C80A9">
            <w:pPr>
              <w:widowControl/>
              <w:adjustRightInd w:val="0"/>
              <w:snapToGrid w:val="0"/>
              <w:jc w:val="center"/>
              <w:textAlignment w:val="center"/>
              <w:outlineLvl w:val="9"/>
              <w:rPr>
                <w:rFonts w:hint="default" w:ascii="Times New Roman" w:hAnsi="Times New Roman" w:eastAsia="宋体" w:cs="Times New Roman"/>
                <w:kern w:val="2"/>
                <w:sz w:val="24"/>
                <w:lang w:val="en-US" w:eastAsia="zh-CN" w:bidi="ar-SA"/>
              </w:rPr>
            </w:pPr>
            <w:r>
              <w:rPr>
                <w:rFonts w:hint="eastAsia" w:cs="Times New Roman"/>
                <w:kern w:val="2"/>
                <w:sz w:val="24"/>
                <w:lang w:val="en-US" w:eastAsia="zh-CN" w:bidi="ar-SA"/>
              </w:rPr>
              <w:t>中小企业的划分</w:t>
            </w:r>
          </w:p>
        </w:tc>
        <w:tc>
          <w:tcPr>
            <w:tcW w:w="7609" w:type="dxa"/>
            <w:tcBorders>
              <w:top w:val="single" w:color="auto" w:sz="4" w:space="0"/>
              <w:left w:val="single" w:color="auto" w:sz="4" w:space="0"/>
              <w:bottom w:val="single" w:color="auto" w:sz="4" w:space="0"/>
              <w:right w:val="single" w:color="auto" w:sz="4" w:space="0"/>
            </w:tcBorders>
            <w:vAlign w:val="center"/>
          </w:tcPr>
          <w:p w14:paraId="6B5CB527">
            <w:pPr>
              <w:adjustRightInd w:val="0"/>
              <w:snapToGrid w:val="0"/>
              <w:spacing w:line="360" w:lineRule="auto"/>
              <w:outlineLvl w:val="9"/>
              <w:rPr>
                <w:rFonts w:hint="eastAsia" w:ascii="宋体" w:hAnsi="宋体" w:cs="宋体"/>
                <w:sz w:val="24"/>
              </w:rPr>
            </w:pPr>
            <w:r>
              <w:rPr>
                <w:rFonts w:hint="eastAsia" w:ascii="宋体" w:hAnsi="宋体" w:cs="宋体"/>
                <w:sz w:val="24"/>
              </w:rPr>
              <w:t>各行业划分标准具体为</w:t>
            </w:r>
          </w:p>
          <w:p w14:paraId="58BA570B">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38A329C0">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97852C">
            <w:pPr>
              <w:adjustRightInd w:val="0"/>
              <w:snapToGrid w:val="0"/>
              <w:spacing w:line="360" w:lineRule="auto"/>
              <w:outlineLvl w:val="9"/>
              <w:rPr>
                <w:rFonts w:hint="eastAsia" w:ascii="宋体" w:hAnsi="宋体" w:eastAsia="宋体" w:cs="宋体"/>
                <w:sz w:val="24"/>
              </w:rPr>
            </w:pPr>
            <w:r>
              <w:rPr>
                <w:rFonts w:hint="eastAsia" w:ascii="宋体" w:hAnsi="宋体" w:eastAsia="宋体" w:cs="宋体"/>
                <w:b/>
                <w:bCs/>
                <w:sz w:val="24"/>
              </w:rPr>
              <w:t>3、建筑业</w:t>
            </w:r>
            <w:r>
              <w:rPr>
                <w:rFonts w:hint="eastAsia" w:ascii="宋体" w:hAnsi="宋体" w:eastAsia="宋体" w:cs="宋体"/>
                <w:b/>
                <w:bCs/>
                <w:sz w:val="24"/>
                <w:lang w:eastAsia="zh-CN"/>
              </w:rPr>
              <w:t>。</w:t>
            </w:r>
            <w:r>
              <w:rPr>
                <w:rFonts w:hint="eastAsia" w:ascii="宋体" w:hAnsi="宋体" w:eastAsia="宋体" w:cs="宋体"/>
                <w:b/>
                <w:bCs/>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r>
              <w:rPr>
                <w:rFonts w:hint="eastAsia" w:ascii="宋体" w:hAnsi="宋体" w:eastAsia="宋体" w:cs="宋体"/>
                <w:sz w:val="24"/>
              </w:rPr>
              <w:t>　</w:t>
            </w:r>
          </w:p>
          <w:p w14:paraId="266D9F9E">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6B6248D">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6364B">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B2AF9DA">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09F30B3A">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AA68DC">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25C5808">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B5C524B">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5CBC63E">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6F7D7E39">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3C62C4F">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C5D12A3">
            <w:pPr>
              <w:adjustRightInd w:val="0"/>
              <w:snapToGrid w:val="0"/>
              <w:spacing w:line="360" w:lineRule="auto"/>
              <w:outlineLvl w:val="9"/>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3D1BB301">
            <w:pPr>
              <w:adjustRightInd w:val="0"/>
              <w:snapToGrid w:val="0"/>
              <w:spacing w:line="360" w:lineRule="auto"/>
              <w:outlineLvl w:val="9"/>
              <w:rPr>
                <w:rFonts w:hint="eastAsia"/>
              </w:rPr>
            </w:pPr>
            <w:r>
              <w:rPr>
                <w:rFonts w:hint="eastAsia" w:ascii="宋体" w:hAnsi="宋体" w:eastAsia="宋体" w:cs="宋体"/>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rPr>
              <w:t>　</w:t>
            </w:r>
          </w:p>
          <w:p w14:paraId="474B1601">
            <w:pPr>
              <w:pStyle w:val="11"/>
              <w:outlineLvl w:val="9"/>
              <w:rPr>
                <w:rFonts w:hint="eastAsia" w:ascii="Times New Roman" w:hAnsi="Times New Roman" w:eastAsia="宋体" w:cs="Times New Roman"/>
                <w:kern w:val="2"/>
                <w:sz w:val="24"/>
                <w:lang w:val="en-US" w:eastAsia="zh-CN" w:bidi="ar-SA"/>
              </w:rPr>
            </w:pPr>
            <w:r>
              <w:rPr>
                <w:rFonts w:hint="eastAsia" w:ascii="宋体" w:hAnsi="宋体" w:eastAsia="宋体" w:cs="宋体"/>
                <w:b/>
                <w:bCs/>
                <w:color w:val="auto"/>
                <w:kern w:val="2"/>
                <w:sz w:val="24"/>
                <w:szCs w:val="24"/>
                <w:lang w:val="en-US" w:eastAsia="zh-CN" w:bidi="ar-SA"/>
              </w:rPr>
              <w:t>本项目</w:t>
            </w:r>
            <w:r>
              <w:rPr>
                <w:rFonts w:hint="eastAsia" w:ascii="宋体" w:hAnsi="宋体" w:cs="宋体"/>
                <w:b/>
                <w:bCs/>
                <w:color w:val="auto"/>
                <w:kern w:val="2"/>
                <w:sz w:val="24"/>
                <w:szCs w:val="24"/>
                <w:lang w:val="en-US" w:eastAsia="zh-CN" w:bidi="ar-SA"/>
              </w:rPr>
              <w:t>所属行业</w:t>
            </w:r>
            <w:r>
              <w:rPr>
                <w:rFonts w:hint="eastAsia" w:ascii="宋体" w:hAnsi="宋体" w:eastAsia="宋体" w:cs="宋体"/>
                <w:b/>
                <w:bCs/>
                <w:color w:val="auto"/>
                <w:kern w:val="2"/>
                <w:sz w:val="24"/>
                <w:szCs w:val="24"/>
                <w:lang w:val="en-US" w:eastAsia="zh-CN" w:bidi="ar-SA"/>
              </w:rPr>
              <w:t>：</w:t>
            </w:r>
            <w:r>
              <w:rPr>
                <w:rFonts w:hint="eastAsia" w:ascii="宋体" w:hAnsi="宋体" w:cs="宋体"/>
                <w:b/>
                <w:bCs/>
                <w:color w:val="auto"/>
                <w:kern w:val="2"/>
                <w:sz w:val="24"/>
                <w:szCs w:val="24"/>
                <w:lang w:val="en-US" w:eastAsia="zh-CN" w:bidi="ar-SA"/>
              </w:rPr>
              <w:t>建筑业</w:t>
            </w:r>
          </w:p>
        </w:tc>
      </w:tr>
      <w:tr w14:paraId="5770D1A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9474636">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671" w:type="dxa"/>
            <w:tcBorders>
              <w:top w:val="single" w:color="auto" w:sz="4" w:space="0"/>
              <w:left w:val="single" w:color="auto" w:sz="4" w:space="0"/>
              <w:bottom w:val="single" w:color="auto" w:sz="4" w:space="0"/>
              <w:right w:val="single" w:color="auto" w:sz="4" w:space="0"/>
            </w:tcBorders>
            <w:vAlign w:val="center"/>
          </w:tcPr>
          <w:p w14:paraId="5FE23C4C">
            <w:pPr>
              <w:spacing w:line="420" w:lineRule="exact"/>
              <w:jc w:val="center"/>
              <w:outlineLvl w:val="9"/>
              <w:rPr>
                <w:rFonts w:hint="default" w:ascii="宋体" w:hAnsi="宋体" w:eastAsia="宋体" w:cs="宋体"/>
                <w:color w:val="auto"/>
                <w:sz w:val="24"/>
                <w:lang w:val="en-US" w:eastAsia="zh-CN"/>
              </w:rPr>
            </w:pPr>
            <w:r>
              <w:rPr>
                <w:rFonts w:hint="eastAsia" w:ascii="宋体" w:hAnsi="宋体" w:cs="宋体"/>
                <w:color w:val="auto"/>
                <w:sz w:val="24"/>
                <w:lang w:val="en-US" w:eastAsia="zh-CN"/>
              </w:rPr>
              <w:t>代理服务费</w:t>
            </w:r>
          </w:p>
        </w:tc>
        <w:tc>
          <w:tcPr>
            <w:tcW w:w="7609" w:type="dxa"/>
            <w:tcBorders>
              <w:top w:val="single" w:color="auto" w:sz="4" w:space="0"/>
              <w:left w:val="single" w:color="auto" w:sz="4" w:space="0"/>
              <w:bottom w:val="single" w:color="auto" w:sz="4" w:space="0"/>
              <w:right w:val="single" w:color="auto" w:sz="4" w:space="0"/>
            </w:tcBorders>
            <w:vAlign w:val="center"/>
          </w:tcPr>
          <w:p w14:paraId="449C9285">
            <w:pPr>
              <w:adjustRightInd w:val="0"/>
              <w:snapToGrid w:val="0"/>
              <w:spacing w:line="360" w:lineRule="auto"/>
              <w:jc w:val="left"/>
              <w:outlineLvl w:val="9"/>
              <w:rPr>
                <w:rFonts w:ascii="宋体" w:hAnsi="宋体" w:cs="宋体"/>
                <w:sz w:val="24"/>
                <w:szCs w:val="24"/>
              </w:rPr>
            </w:pPr>
            <w:r>
              <w:rPr>
                <w:rFonts w:hint="eastAsia" w:ascii="宋体" w:hAnsi="宋体" w:cs="仿宋_GB2312"/>
                <w:sz w:val="24"/>
                <w:szCs w:val="24"/>
              </w:rPr>
              <w:t>(</w:t>
            </w:r>
            <w:r>
              <w:rPr>
                <w:rFonts w:hint="eastAsia"/>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w:t>
            </w:r>
            <w:r>
              <w:rPr>
                <w:rFonts w:hint="eastAsia"/>
                <w:color w:val="auto"/>
                <w:sz w:val="24"/>
                <w:szCs w:val="24"/>
              </w:rPr>
              <w:t>2011〕534号)规定由</w:t>
            </w:r>
            <w:r>
              <w:rPr>
                <w:rFonts w:hint="eastAsia"/>
                <w:color w:val="auto"/>
                <w:sz w:val="24"/>
                <w:szCs w:val="24"/>
                <w:u w:val="single"/>
                <w:lang w:val="en-US" w:eastAsia="zh-CN"/>
              </w:rPr>
              <w:t xml:space="preserve"> </w:t>
            </w:r>
            <w:r>
              <w:rPr>
                <w:rFonts w:hint="eastAsia"/>
                <w:color w:val="auto"/>
                <w:sz w:val="24"/>
                <w:szCs w:val="24"/>
                <w:u w:val="single"/>
                <w:shd w:val="clear"/>
                <w:lang w:val="en-US" w:eastAsia="zh-CN"/>
              </w:rPr>
              <w:t>采购人</w:t>
            </w:r>
            <w:r>
              <w:rPr>
                <w:rFonts w:hint="eastAsia"/>
                <w:color w:val="auto"/>
                <w:sz w:val="24"/>
                <w:szCs w:val="24"/>
                <w:u w:val="single"/>
                <w:lang w:val="en-US" w:eastAsia="zh-CN"/>
              </w:rPr>
              <w:t xml:space="preserve"> </w:t>
            </w:r>
            <w:r>
              <w:rPr>
                <w:rFonts w:hint="eastAsia"/>
                <w:color w:val="auto"/>
                <w:sz w:val="24"/>
                <w:szCs w:val="24"/>
              </w:rPr>
              <w:t>向</w:t>
            </w:r>
            <w:r>
              <w:rPr>
                <w:rFonts w:hint="eastAsia" w:asciiTheme="minorEastAsia" w:hAnsiTheme="minorEastAsia" w:eastAsiaTheme="minorEastAsia" w:cstheme="minorEastAsia"/>
                <w:color w:val="auto"/>
                <w:sz w:val="24"/>
                <w:szCs w:val="24"/>
                <w:lang w:eastAsia="zh-CN"/>
              </w:rPr>
              <w:t>陕西华旭晟信项目管理有限责任公司</w:t>
            </w:r>
            <w:r>
              <w:rPr>
                <w:rFonts w:hint="eastAsia"/>
                <w:color w:val="auto"/>
                <w:sz w:val="24"/>
                <w:szCs w:val="24"/>
              </w:rPr>
              <w:t>交纳招标代理服务费</w:t>
            </w:r>
            <w:r>
              <w:rPr>
                <w:rFonts w:hint="eastAsia"/>
                <w:sz w:val="24"/>
                <w:szCs w:val="24"/>
              </w:rPr>
              <w:t>。</w:t>
            </w:r>
          </w:p>
          <w:p w14:paraId="2B063B1E">
            <w:pPr>
              <w:keepNext w:val="0"/>
              <w:keepLines w:val="0"/>
              <w:suppressLineNumbers w:val="0"/>
              <w:spacing w:before="0" w:beforeAutospacing="0" w:after="0" w:afterAutospacing="0" w:line="360" w:lineRule="auto"/>
              <w:ind w:left="0" w:right="0"/>
              <w:outlineLvl w:val="9"/>
              <w:rPr>
                <w:rFonts w:hint="eastAsia" w:ascii="宋体" w:hAnsi="宋体" w:cs="宋体"/>
                <w:sz w:val="24"/>
                <w:szCs w:val="24"/>
              </w:rPr>
            </w:pPr>
            <w:r>
              <w:rPr>
                <w:rFonts w:hint="eastAsia" w:ascii="宋体" w:hAnsi="宋体" w:cs="宋体"/>
                <w:sz w:val="24"/>
                <w:szCs w:val="24"/>
              </w:rPr>
              <w:t>采购代理服务费按差额定率累进法计算：</w:t>
            </w:r>
          </w:p>
          <w:tbl>
            <w:tblPr>
              <w:tblStyle w:val="26"/>
              <w:tblpPr w:leftFromText="180" w:rightFromText="180" w:vertAnchor="text" w:horzAnchor="page" w:tblpXSpec="center" w:tblpY="27"/>
              <w:tblOverlap w:val="never"/>
              <w:tblW w:w="7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1448"/>
              <w:gridCol w:w="1722"/>
              <w:gridCol w:w="1723"/>
            </w:tblGrid>
            <w:tr w14:paraId="0085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444" w:type="dxa"/>
                </w:tcPr>
                <w:p w14:paraId="799F3B6C">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服务类型/费率/中标金额（万元）</w:t>
                  </w:r>
                </w:p>
              </w:tc>
              <w:tc>
                <w:tcPr>
                  <w:tcW w:w="1448" w:type="dxa"/>
                  <w:vAlign w:val="center"/>
                </w:tcPr>
                <w:p w14:paraId="7D6D8D26">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货物招标</w:t>
                  </w:r>
                </w:p>
              </w:tc>
              <w:tc>
                <w:tcPr>
                  <w:tcW w:w="1722" w:type="dxa"/>
                  <w:vAlign w:val="center"/>
                </w:tcPr>
                <w:p w14:paraId="0F274C1D">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服务招标</w:t>
                  </w:r>
                </w:p>
              </w:tc>
              <w:tc>
                <w:tcPr>
                  <w:tcW w:w="1723" w:type="dxa"/>
                  <w:vAlign w:val="center"/>
                </w:tcPr>
                <w:p w14:paraId="79FD82DD">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工程招标</w:t>
                  </w:r>
                </w:p>
              </w:tc>
            </w:tr>
            <w:tr w14:paraId="5BB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03F01336">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100以下</w:t>
                  </w:r>
                </w:p>
              </w:tc>
              <w:tc>
                <w:tcPr>
                  <w:tcW w:w="1448" w:type="dxa"/>
                </w:tcPr>
                <w:p w14:paraId="630D67FA">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1.5%</w:t>
                  </w:r>
                </w:p>
              </w:tc>
              <w:tc>
                <w:tcPr>
                  <w:tcW w:w="1722" w:type="dxa"/>
                </w:tcPr>
                <w:p w14:paraId="18AF88B4">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1.5%</w:t>
                  </w:r>
                </w:p>
              </w:tc>
              <w:tc>
                <w:tcPr>
                  <w:tcW w:w="1723" w:type="dxa"/>
                </w:tcPr>
                <w:p w14:paraId="44AA24DB">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1.0%</w:t>
                  </w:r>
                </w:p>
              </w:tc>
            </w:tr>
            <w:tr w14:paraId="6AB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37774A8">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100-500</w:t>
                  </w:r>
                </w:p>
              </w:tc>
              <w:tc>
                <w:tcPr>
                  <w:tcW w:w="1448" w:type="dxa"/>
                </w:tcPr>
                <w:p w14:paraId="39FBB510">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1.1%</w:t>
                  </w:r>
                </w:p>
              </w:tc>
              <w:tc>
                <w:tcPr>
                  <w:tcW w:w="1722" w:type="dxa"/>
                </w:tcPr>
                <w:p w14:paraId="1626758A">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0.8%</w:t>
                  </w:r>
                </w:p>
              </w:tc>
              <w:tc>
                <w:tcPr>
                  <w:tcW w:w="1723" w:type="dxa"/>
                </w:tcPr>
                <w:p w14:paraId="3732E095">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0.7%</w:t>
                  </w:r>
                </w:p>
              </w:tc>
            </w:tr>
            <w:tr w14:paraId="03AB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04C979E">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500-1000</w:t>
                  </w:r>
                </w:p>
              </w:tc>
              <w:tc>
                <w:tcPr>
                  <w:tcW w:w="1448" w:type="dxa"/>
                </w:tcPr>
                <w:p w14:paraId="6372E506">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0.8%</w:t>
                  </w:r>
                </w:p>
              </w:tc>
              <w:tc>
                <w:tcPr>
                  <w:tcW w:w="1722" w:type="dxa"/>
                </w:tcPr>
                <w:p w14:paraId="53CF8A48">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0.45%</w:t>
                  </w:r>
                </w:p>
              </w:tc>
              <w:tc>
                <w:tcPr>
                  <w:tcW w:w="1723" w:type="dxa"/>
                </w:tcPr>
                <w:p w14:paraId="053C0EEE">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0.55%</w:t>
                  </w:r>
                </w:p>
              </w:tc>
            </w:tr>
            <w:tr w14:paraId="138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6336A62">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1000-5000</w:t>
                  </w:r>
                </w:p>
              </w:tc>
              <w:tc>
                <w:tcPr>
                  <w:tcW w:w="1448" w:type="dxa"/>
                </w:tcPr>
                <w:p w14:paraId="24D006A1">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0.5%</w:t>
                  </w:r>
                </w:p>
              </w:tc>
              <w:tc>
                <w:tcPr>
                  <w:tcW w:w="1722" w:type="dxa"/>
                </w:tcPr>
                <w:p w14:paraId="678A9713">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0.25%</w:t>
                  </w:r>
                </w:p>
              </w:tc>
              <w:tc>
                <w:tcPr>
                  <w:tcW w:w="1723" w:type="dxa"/>
                </w:tcPr>
                <w:p w14:paraId="098AAD4D">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0.35%</w:t>
                  </w:r>
                </w:p>
              </w:tc>
            </w:tr>
            <w:tr w14:paraId="192E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6F07ACF7">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5000-10000</w:t>
                  </w:r>
                </w:p>
              </w:tc>
              <w:tc>
                <w:tcPr>
                  <w:tcW w:w="1448" w:type="dxa"/>
                </w:tcPr>
                <w:p w14:paraId="7178FD74">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0.25%</w:t>
                  </w:r>
                </w:p>
              </w:tc>
              <w:tc>
                <w:tcPr>
                  <w:tcW w:w="1722" w:type="dxa"/>
                </w:tcPr>
                <w:p w14:paraId="0705E94A">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0.1%</w:t>
                  </w:r>
                </w:p>
              </w:tc>
              <w:tc>
                <w:tcPr>
                  <w:tcW w:w="1723" w:type="dxa"/>
                </w:tcPr>
                <w:p w14:paraId="0F8ABABD">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0.2%</w:t>
                  </w:r>
                </w:p>
              </w:tc>
            </w:tr>
            <w:tr w14:paraId="274E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62A5F772">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10000-100000</w:t>
                  </w:r>
                </w:p>
              </w:tc>
              <w:tc>
                <w:tcPr>
                  <w:tcW w:w="1448" w:type="dxa"/>
                </w:tcPr>
                <w:p w14:paraId="66781E6A">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0.05%</w:t>
                  </w:r>
                </w:p>
              </w:tc>
              <w:tc>
                <w:tcPr>
                  <w:tcW w:w="1722" w:type="dxa"/>
                </w:tcPr>
                <w:p w14:paraId="2E6DA4C8">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0.05%</w:t>
                  </w:r>
                </w:p>
              </w:tc>
              <w:tc>
                <w:tcPr>
                  <w:tcW w:w="1723" w:type="dxa"/>
                </w:tcPr>
                <w:p w14:paraId="17388AAB">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0.05%</w:t>
                  </w:r>
                </w:p>
              </w:tc>
            </w:tr>
            <w:tr w14:paraId="45E0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44" w:type="dxa"/>
                </w:tcPr>
                <w:p w14:paraId="3AD1A802">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1000000以上</w:t>
                  </w:r>
                </w:p>
              </w:tc>
              <w:tc>
                <w:tcPr>
                  <w:tcW w:w="1448" w:type="dxa"/>
                </w:tcPr>
                <w:p w14:paraId="7FACCF86">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0.01%</w:t>
                  </w:r>
                </w:p>
              </w:tc>
              <w:tc>
                <w:tcPr>
                  <w:tcW w:w="1722" w:type="dxa"/>
                </w:tcPr>
                <w:p w14:paraId="152DB13D">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0.01%</w:t>
                  </w:r>
                </w:p>
              </w:tc>
              <w:tc>
                <w:tcPr>
                  <w:tcW w:w="1723" w:type="dxa"/>
                </w:tcPr>
                <w:p w14:paraId="26E1EEBB">
                  <w:pPr>
                    <w:keepNext w:val="0"/>
                    <w:keepLines w:val="0"/>
                    <w:suppressLineNumbers w:val="0"/>
                    <w:spacing w:before="0" w:beforeAutospacing="0" w:after="0" w:afterAutospacing="0" w:line="360" w:lineRule="auto"/>
                    <w:ind w:left="0" w:right="0"/>
                    <w:outlineLvl w:val="9"/>
                    <w:rPr>
                      <w:rFonts w:ascii="宋体" w:hAnsi="宋体" w:cs="宋体"/>
                      <w:sz w:val="24"/>
                      <w:szCs w:val="24"/>
                    </w:rPr>
                  </w:pPr>
                  <w:r>
                    <w:rPr>
                      <w:rFonts w:hint="eastAsia" w:ascii="宋体" w:hAnsi="宋体" w:cs="宋体"/>
                      <w:sz w:val="24"/>
                      <w:szCs w:val="24"/>
                    </w:rPr>
                    <w:t>0.01%</w:t>
                  </w:r>
                </w:p>
              </w:tc>
            </w:tr>
          </w:tbl>
          <w:p w14:paraId="4ACD708A">
            <w:pPr>
              <w:pStyle w:val="35"/>
              <w:ind w:left="0" w:leftChars="0" w:firstLine="0" w:firstLineChars="0"/>
              <w:outlineLvl w:val="9"/>
              <w:rPr>
                <w:rFonts w:hint="eastAsia" w:ascii="宋体" w:hAnsi="宋体" w:cs="宋体"/>
                <w:sz w:val="24"/>
                <w:szCs w:val="24"/>
              </w:rPr>
            </w:pPr>
          </w:p>
          <w:p w14:paraId="3B288AD9">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lang w:val="en-US" w:eastAsia="zh-CN"/>
              </w:rPr>
            </w:pPr>
            <w:r>
              <w:rPr>
                <w:rFonts w:hint="eastAsia" w:ascii="宋体" w:hAnsi="宋体" w:cs="宋体"/>
                <w:sz w:val="24"/>
                <w:szCs w:val="24"/>
              </w:rPr>
              <w:t>例如：某</w:t>
            </w:r>
            <w:r>
              <w:rPr>
                <w:rFonts w:hint="eastAsia" w:ascii="宋体" w:hAnsi="宋体" w:cs="宋体"/>
                <w:sz w:val="24"/>
                <w:szCs w:val="24"/>
                <w:lang w:val="en-US" w:eastAsia="zh-CN"/>
              </w:rPr>
              <w:t>工程</w:t>
            </w:r>
            <w:r>
              <w:rPr>
                <w:rFonts w:hint="eastAsia" w:ascii="宋体" w:hAnsi="宋体" w:cs="宋体"/>
                <w:sz w:val="24"/>
                <w:szCs w:val="24"/>
              </w:rPr>
              <w:t>招标</w:t>
            </w:r>
            <w:r>
              <w:rPr>
                <w:rFonts w:hint="eastAsia" w:ascii="宋体" w:hAnsi="宋体" w:cs="宋体"/>
                <w:sz w:val="24"/>
                <w:szCs w:val="24"/>
                <w:lang w:val="en-US" w:eastAsia="zh-CN"/>
              </w:rPr>
              <w:t>项目</w:t>
            </w:r>
            <w:r>
              <w:rPr>
                <w:rFonts w:hint="eastAsia" w:ascii="宋体" w:hAnsi="宋体" w:cs="宋体"/>
                <w:sz w:val="24"/>
                <w:szCs w:val="24"/>
              </w:rPr>
              <w:t>成交金额为678.2万元，采购代理服务费计算如下：</w:t>
            </w:r>
          </w:p>
          <w:p w14:paraId="4CA05875">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100万元*1.0%=1.00万元 </w:t>
            </w:r>
          </w:p>
          <w:p w14:paraId="68E6007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(500-100)*0.7%=2.80万元</w:t>
            </w:r>
          </w:p>
          <w:p w14:paraId="507247FF">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(678.2-500)*0.55%=0.9801万元</w:t>
            </w:r>
          </w:p>
          <w:p w14:paraId="2AF8D7E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服务费=1.00+2.80+0.9801=4.7801万元。</w:t>
            </w:r>
          </w:p>
          <w:p w14:paraId="05BD85E1">
            <w:pPr>
              <w:pageBreakBefore w:val="0"/>
              <w:kinsoku/>
              <w:wordWrap/>
              <w:overflowPunct/>
              <w:topLinePunct w:val="0"/>
              <w:autoSpaceDE/>
              <w:autoSpaceDN/>
              <w:bidi w:val="0"/>
              <w:adjustRightInd/>
              <w:snapToGrid/>
              <w:spacing w:line="360" w:lineRule="auto"/>
              <w:textAlignment w:val="auto"/>
              <w:outlineLvl w:val="9"/>
              <w:rPr>
                <w:rFonts w:hint="default" w:ascii="宋体" w:hAnsi="宋体" w:cs="宋体"/>
                <w:color w:val="auto"/>
                <w:sz w:val="24"/>
                <w:lang w:val="en-US"/>
              </w:rPr>
            </w:pPr>
            <w:r>
              <w:rPr>
                <w:rFonts w:hint="eastAsia" w:ascii="宋体" w:hAnsi="宋体" w:eastAsia="宋体" w:cs="宋体"/>
                <w:color w:val="000000"/>
                <w:sz w:val="24"/>
                <w:szCs w:val="24"/>
                <w:lang w:val="en-US" w:eastAsia="zh-CN"/>
              </w:rPr>
              <w:t>（4）本项目项目属性：</w:t>
            </w:r>
            <w:r>
              <w:rPr>
                <w:rFonts w:hint="eastAsia" w:ascii="宋体" w:hAnsi="宋体" w:cs="宋体"/>
                <w:color w:val="000000"/>
                <w:sz w:val="24"/>
                <w:szCs w:val="24"/>
                <w:lang w:val="en-US" w:eastAsia="zh-CN"/>
              </w:rPr>
              <w:t>工程</w:t>
            </w:r>
            <w:r>
              <w:rPr>
                <w:rFonts w:hint="eastAsia" w:ascii="宋体" w:hAnsi="宋体" w:eastAsia="宋体" w:cs="宋体"/>
                <w:color w:val="000000"/>
                <w:sz w:val="24"/>
                <w:szCs w:val="24"/>
                <w:lang w:val="en-US" w:eastAsia="zh-CN"/>
              </w:rPr>
              <w:t>招标。</w:t>
            </w:r>
          </w:p>
        </w:tc>
      </w:tr>
      <w:tr w14:paraId="4220BDC8">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0C97228">
            <w:pPr>
              <w:adjustRightInd w:val="0"/>
              <w:snapToGrid w:val="0"/>
              <w:spacing w:line="360" w:lineRule="auto"/>
              <w:jc w:val="center"/>
              <w:outlineLvl w:val="9"/>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w:t>
            </w:r>
          </w:p>
        </w:tc>
        <w:tc>
          <w:tcPr>
            <w:tcW w:w="1671" w:type="dxa"/>
            <w:tcBorders>
              <w:top w:val="single" w:color="auto" w:sz="4" w:space="0"/>
              <w:left w:val="single" w:color="auto" w:sz="4" w:space="0"/>
              <w:bottom w:val="single" w:color="auto" w:sz="4" w:space="0"/>
              <w:right w:val="single" w:color="auto" w:sz="4" w:space="0"/>
            </w:tcBorders>
            <w:vAlign w:val="center"/>
          </w:tcPr>
          <w:p w14:paraId="5DAF0A64">
            <w:pPr>
              <w:widowControl/>
              <w:adjustRightInd w:val="0"/>
              <w:snapToGrid w:val="0"/>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000000"/>
                <w:sz w:val="24"/>
                <w:szCs w:val="24"/>
              </w:rPr>
              <w:t>公共资源信用承诺</w:t>
            </w:r>
          </w:p>
        </w:tc>
        <w:tc>
          <w:tcPr>
            <w:tcW w:w="7609" w:type="dxa"/>
            <w:tcBorders>
              <w:top w:val="single" w:color="auto" w:sz="4" w:space="0"/>
              <w:left w:val="single" w:color="auto" w:sz="4" w:space="0"/>
              <w:bottom w:val="single" w:color="auto" w:sz="4" w:space="0"/>
              <w:right w:val="single" w:color="auto" w:sz="4" w:space="0"/>
            </w:tcBorders>
            <w:vAlign w:val="center"/>
          </w:tcPr>
          <w:p w14:paraId="149AE7C8">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D269B77">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1.承诺事项名称：选择《榆林市政府采购工程类/货物类/服务类项目供应商信用承诺书》；承诺事由：“填写项目名称+项目编号”；承诺附件：按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文件给定的格式填写，需上传至承诺附件；受理部门为榆林市财政局采购科；附件承诺有效期为1年，承诺起始时间为提交投标文件截止之日。</w:t>
            </w:r>
          </w:p>
          <w:p w14:paraId="7016EF06">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2.承诺事项名称：选择《投标人信用承诺》；承诺事由：填写“填写项目名称+项目编号”；承诺附件：按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28D7B4C9">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3. 承诺事项名称：选择《投标信用(保证金）承诺书》；承诺事由：填写“填写项目名称+项目编号”；承诺附件：按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7D02CEFA">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4.承诺事项名称：《投标人委托代理人员信用承诺书》；承诺事由：填写“填写项目名称+项目编号”；承诺附件：按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C387C41">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注：①法定代表人直接参与投标的无须上报和提供《投标人委托代理人员信用承诺书》。</w:t>
            </w:r>
          </w:p>
          <w:p w14:paraId="65192722">
            <w:pPr>
              <w:pStyle w:val="11"/>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②不见面开标结束后由采购代理机构通过平台进行核实查验，未按上述要求在“信用中国（陕西榆林）”网站进行自主上报信用承诺或投标文件中所附内容与上报内容不符的将否决投标。</w:t>
            </w:r>
          </w:p>
        </w:tc>
      </w:tr>
      <w:tr w14:paraId="063FFA6B">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14:paraId="5ABDB96B">
            <w:pPr>
              <w:widowControl/>
              <w:adjustRightInd w:val="0"/>
              <w:snapToGrid w:val="0"/>
              <w:spacing w:line="360" w:lineRule="auto"/>
              <w:jc w:val="center"/>
              <w:textAlignment w:val="center"/>
              <w:outlineLvl w:val="9"/>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26</w:t>
            </w:r>
          </w:p>
        </w:tc>
        <w:tc>
          <w:tcPr>
            <w:tcW w:w="1671" w:type="dxa"/>
            <w:tcBorders>
              <w:top w:val="single" w:color="auto" w:sz="4" w:space="0"/>
              <w:left w:val="single" w:color="auto" w:sz="4" w:space="0"/>
              <w:bottom w:val="single" w:color="auto" w:sz="4" w:space="0"/>
              <w:right w:val="single" w:color="auto" w:sz="4" w:space="0"/>
            </w:tcBorders>
            <w:vAlign w:val="center"/>
          </w:tcPr>
          <w:p w14:paraId="28296E0F">
            <w:pPr>
              <w:widowControl/>
              <w:adjustRightInd w:val="0"/>
              <w:snapToGrid w:val="0"/>
              <w:jc w:val="center"/>
              <w:textAlignment w:val="center"/>
              <w:outlineLvl w:val="9"/>
              <w:rPr>
                <w:rFonts w:ascii="宋体" w:hAnsi="宋体" w:cs="宋体"/>
                <w:sz w:val="24"/>
                <w:lang w:val="zh-CN"/>
              </w:rPr>
            </w:pPr>
            <w:r>
              <w:rPr>
                <w:rFonts w:hint="eastAsia" w:ascii="宋体" w:hAnsi="宋体" w:cs="宋体"/>
                <w:sz w:val="24"/>
                <w:szCs w:val="24"/>
                <w:lang w:val="en-US" w:eastAsia="zh-CN"/>
              </w:rPr>
              <w:t>不见面开标</w:t>
            </w:r>
          </w:p>
        </w:tc>
        <w:tc>
          <w:tcPr>
            <w:tcW w:w="7609" w:type="dxa"/>
            <w:tcBorders>
              <w:top w:val="single" w:color="auto" w:sz="4" w:space="0"/>
              <w:left w:val="single" w:color="auto" w:sz="4" w:space="0"/>
              <w:bottom w:val="single" w:color="auto" w:sz="4" w:space="0"/>
              <w:right w:val="single" w:color="auto" w:sz="4" w:space="0"/>
            </w:tcBorders>
            <w:vAlign w:val="center"/>
          </w:tcPr>
          <w:p w14:paraId="5B65E8ED">
            <w:pPr>
              <w:spacing w:line="360" w:lineRule="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该项目将采取“不见面”开标的形式，投标人无须到达开标现场，即可在网上直接参与开标活动。相关注意事项如下：</w:t>
            </w:r>
          </w:p>
          <w:p w14:paraId="55FF4406">
            <w:pPr>
              <w:numPr>
                <w:ilvl w:val="0"/>
                <w:numId w:val="1"/>
              </w:numPr>
              <w:spacing w:line="360" w:lineRule="auto"/>
              <w:outlineLvl w:val="9"/>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开标当日，请各供应商</w:t>
            </w:r>
            <w:r>
              <w:rPr>
                <w:rFonts w:hint="eastAsia" w:ascii="思源宋体 CN Light" w:hAnsi="思源宋体 CN Light" w:eastAsia="思源宋体 CN Light" w:cs="思源宋体 CN Light"/>
                <w:sz w:val="24"/>
                <w:szCs w:val="24"/>
                <w:lang w:val="en-US" w:eastAsia="zh-CN"/>
              </w:rPr>
              <w:t>在开标截止时间前</w:t>
            </w:r>
            <w:r>
              <w:rPr>
                <w:rFonts w:hint="eastAsia" w:ascii="思源宋体 CN Light" w:hAnsi="思源宋体 CN Light" w:eastAsia="思源宋体 CN Light" w:cs="思源宋体 CN Light"/>
                <w:sz w:val="24"/>
                <w:szCs w:val="24"/>
              </w:rPr>
              <w:t>至少提前半小时登录“不见面”开标系统</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 xml:space="preserve">登录方式有以下几种： </w:t>
            </w:r>
          </w:p>
          <w:p w14:paraId="1ED51DCE">
            <w:pPr>
              <w:numPr>
                <w:ilvl w:val="0"/>
                <w:numId w:val="2"/>
              </w:numPr>
              <w:spacing w:line="360" w:lineRule="auto"/>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sz w:val="24"/>
                <w:szCs w:val="24"/>
                <w:lang w:val="en-US" w:eastAsia="zh-CN"/>
              </w:rPr>
              <w:t>I</w:t>
            </w:r>
            <w:r>
              <w:rPr>
                <w:rFonts w:hint="eastAsia" w:ascii="思源宋体 CN Light" w:hAnsi="思源宋体 CN Light" w:eastAsia="思源宋体 CN Light" w:cs="思源宋体 CN Light"/>
                <w:color w:val="auto"/>
                <w:sz w:val="24"/>
                <w:szCs w:val="24"/>
                <w:lang w:val="en-US" w:eastAsia="zh-CN"/>
              </w:rPr>
              <w:t>E浏览器输入网址：</w:t>
            </w:r>
          </w:p>
          <w:p w14:paraId="684A1311">
            <w:pPr>
              <w:numPr>
                <w:ilvl w:val="0"/>
                <w:numId w:val="0"/>
              </w:num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3"/>
                <w:rFonts w:hint="eastAsia" w:ascii="思源宋体 CN Light" w:hAnsi="思源宋体 CN Light" w:eastAsia="思源宋体 CN Light" w:cs="思源宋体 CN Light"/>
                <w:color w:val="auto"/>
                <w:sz w:val="24"/>
                <w:szCs w:val="24"/>
              </w:rPr>
              <w:t>http://111.20.184.126:8081/BidOpeningHallCS/bidhall/default/login</w:t>
            </w:r>
            <w:r>
              <w:rPr>
                <w:rStyle w:val="33"/>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62A927CF">
            <w:pPr>
              <w:numPr>
                <w:ilvl w:val="0"/>
                <w:numId w:val="2"/>
              </w:numPr>
              <w:spacing w:line="360" w:lineRule="auto"/>
              <w:ind w:left="0" w:leftChars="0" w:firstLine="0" w:firstLineChars="0"/>
              <w:outlineLvl w:val="9"/>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color w:val="auto"/>
                <w:sz w:val="24"/>
                <w:szCs w:val="24"/>
              </w:rPr>
              <w:t>在【全国公共资</w:t>
            </w:r>
            <w:r>
              <w:rPr>
                <w:rFonts w:hint="eastAsia" w:ascii="思源宋体 CN Light" w:hAnsi="思源宋体 CN Light" w:eastAsia="思源宋体 CN Light" w:cs="思源宋体 CN Light"/>
                <w:sz w:val="24"/>
                <w:szCs w:val="24"/>
              </w:rPr>
              <w:t>源交易平台（陕西省·</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市）】</w:t>
            </w:r>
            <w:r>
              <w:rPr>
                <w:rFonts w:hint="eastAsia" w:ascii="思源宋体 CN Light" w:hAnsi="思源宋体 CN Light" w:eastAsia="思源宋体 CN Light" w:cs="思源宋体 CN Light"/>
                <w:sz w:val="24"/>
                <w:szCs w:val="24"/>
                <w:lang w:val="en-US" w:eastAsia="zh-CN"/>
              </w:rPr>
              <w:t>网站首页点击不见面开标模块进入；</w:t>
            </w:r>
          </w:p>
          <w:p w14:paraId="2096BA15">
            <w:pPr>
              <w:numPr>
                <w:ilvl w:val="0"/>
                <w:numId w:val="2"/>
              </w:numPr>
              <w:spacing w:line="360" w:lineRule="auto"/>
              <w:ind w:left="0" w:leftChars="0" w:firstLine="0" w:firstLineChars="0"/>
              <w:outlineLvl w:val="9"/>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在</w:t>
            </w:r>
            <w:r>
              <w:rPr>
                <w:rFonts w:hint="eastAsia" w:ascii="思源宋体 CN Light" w:hAnsi="思源宋体 CN Light" w:eastAsia="思源宋体 CN Light" w:cs="思源宋体 CN Light"/>
                <w:sz w:val="24"/>
                <w:szCs w:val="24"/>
              </w:rPr>
              <w:t>【全国公共资源交易平台（陕西省）】</w:t>
            </w:r>
            <w:r>
              <w:rPr>
                <w:rFonts w:hint="eastAsia" w:ascii="思源宋体 CN Light" w:hAnsi="思源宋体 CN Light" w:eastAsia="思源宋体 CN Light" w:cs="思源宋体 CN Light"/>
                <w:sz w:val="24"/>
                <w:szCs w:val="24"/>
                <w:lang w:val="en-US" w:eastAsia="zh-CN"/>
              </w:rPr>
              <w:t>网站首页点击不见面开标模块选择榆林市进入。</w:t>
            </w:r>
          </w:p>
          <w:p w14:paraId="6B0FD437">
            <w:pPr>
              <w:numPr>
                <w:ilvl w:val="0"/>
                <w:numId w:val="0"/>
              </w:numPr>
              <w:spacing w:line="360" w:lineRule="auto"/>
              <w:ind w:leftChars="0"/>
              <w:outlineLvl w:val="9"/>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27A51CCA">
            <w:pPr>
              <w:spacing w:line="360" w:lineRule="auto"/>
              <w:outlineLvl w:val="9"/>
              <w:rPr>
                <w:rFonts w:hint="eastAsia" w:ascii="思源宋体 CN Light" w:hAnsi="思源宋体 CN Light" w:eastAsia="思源宋体 CN Light" w:cs="思源宋体 CN Light"/>
                <w:b/>
                <w:bCs/>
                <w:sz w:val="24"/>
                <w:szCs w:val="24"/>
                <w:lang w:eastAsia="zh-CN"/>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406E3910">
            <w:p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开</w:t>
            </w:r>
            <w:r>
              <w:rPr>
                <w:rFonts w:hint="eastAsia" w:ascii="思源宋体 CN Light" w:hAnsi="思源宋体 CN Light" w:eastAsia="思源宋体 CN Light" w:cs="思源宋体 CN Light"/>
                <w:color w:val="auto"/>
                <w:sz w:val="24"/>
                <w:szCs w:val="24"/>
              </w:rPr>
              <w:t>标过程中，供应商在收到工作人员“开始解密”指令后，请及时使用CA对电子投标文件进行解密。解密时所用CA应与加密投标文件时所用CA相同；</w:t>
            </w:r>
          </w:p>
          <w:p w14:paraId="268208DE">
            <w:pPr>
              <w:spacing w:line="360" w:lineRule="auto"/>
              <w:outlineLvl w:val="9"/>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1A41C9D5">
            <w:p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、相关技术问题，请咨询软件开发商：</w:t>
            </w:r>
          </w:p>
          <w:p w14:paraId="28EDB17C">
            <w:pPr>
              <w:spacing w:line="360" w:lineRule="auto"/>
              <w:outlineLvl w:val="9"/>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（1）技术支持热线：400-998-0000/400-928-0095</w:t>
            </w:r>
          </w:p>
          <w:p w14:paraId="331137E5">
            <w:pPr>
              <w:widowControl/>
              <w:adjustRightInd w:val="0"/>
              <w:snapToGrid w:val="0"/>
              <w:spacing w:line="360" w:lineRule="auto"/>
              <w:textAlignment w:val="center"/>
              <w:outlineLvl w:val="9"/>
              <w:rPr>
                <w:rFonts w:ascii="宋体" w:hAnsi="宋体" w:cs="宋体"/>
                <w:sz w:val="24"/>
              </w:rPr>
            </w:pPr>
            <w:r>
              <w:rPr>
                <w:rFonts w:hint="eastAsia" w:ascii="思源宋体 CN Light" w:hAnsi="思源宋体 CN Light" w:eastAsia="思源宋体 CN Light" w:cs="思源宋体 CN Light"/>
                <w:sz w:val="24"/>
                <w:szCs w:val="24"/>
                <w:lang w:val="en-US" w:eastAsia="zh-CN"/>
              </w:rPr>
              <w:t>5</w:t>
            </w:r>
            <w:r>
              <w:rPr>
                <w:rFonts w:hint="eastAsia" w:ascii="思源宋体 CN Light" w:hAnsi="思源宋体 CN Light" w:eastAsia="思源宋体 CN Light" w:cs="思源宋体 CN Light"/>
                <w:sz w:val="24"/>
                <w:szCs w:val="24"/>
              </w:rPr>
              <w:t>、</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不见面开标</w:t>
            </w:r>
            <w:r>
              <w:rPr>
                <w:rFonts w:hint="eastAsia" w:ascii="思源宋体 CN Light" w:hAnsi="思源宋体 CN Light" w:eastAsia="思源宋体 CN Light" w:cs="思源宋体 CN Light"/>
                <w:sz w:val="24"/>
                <w:szCs w:val="24"/>
                <w:lang w:val="en-US" w:eastAsia="zh-CN"/>
              </w:rPr>
              <w:t>系统</w:t>
            </w:r>
            <w:r>
              <w:rPr>
                <w:rFonts w:hint="eastAsia" w:ascii="思源宋体 CN Light" w:hAnsi="思源宋体 CN Light" w:eastAsia="思源宋体 CN Light" w:cs="思源宋体 CN Light"/>
                <w:sz w:val="24"/>
                <w:szCs w:val="24"/>
              </w:rPr>
              <w:t>操作手册</w:t>
            </w:r>
            <w:r>
              <w:rPr>
                <w:rFonts w:hint="eastAsia" w:ascii="思源宋体 CN Light" w:hAnsi="思源宋体 CN Light" w:eastAsia="思源宋体 CN Light" w:cs="思源宋体 CN Light"/>
                <w:sz w:val="24"/>
                <w:szCs w:val="24"/>
                <w:lang w:val="en-US" w:eastAsia="zh-CN"/>
              </w:rPr>
              <w:t>下载方式：登录</w:t>
            </w:r>
            <w:r>
              <w:rPr>
                <w:rFonts w:hint="eastAsia" w:ascii="思源宋体 CN Light" w:hAnsi="思源宋体 CN Light" w:eastAsia="思源宋体 CN Light" w:cs="思源宋体 CN Light"/>
                <w:sz w:val="24"/>
                <w:szCs w:val="24"/>
              </w:rPr>
              <w:t>【全国公共资源交易平台（陕西省·</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市）】</w:t>
            </w:r>
            <w:r>
              <w:rPr>
                <w:rFonts w:hint="eastAsia" w:ascii="思源宋体 CN Light" w:hAnsi="思源宋体 CN Light" w:eastAsia="思源宋体 CN Light" w:cs="思源宋体 CN Light"/>
                <w:sz w:val="24"/>
                <w:szCs w:val="24"/>
                <w:lang w:val="en-US" w:eastAsia="zh-CN"/>
              </w:rPr>
              <w:t>网站首页选择【服务指南】-【下载专区】-点击【</w:t>
            </w:r>
            <w:r>
              <w:rPr>
                <w:rFonts w:hint="eastAsia" w:ascii="思源宋体 CN Light" w:hAnsi="思源宋体 CN Light" w:eastAsia="思源宋体 CN Light" w:cs="思源宋体 CN Light"/>
                <w:sz w:val="24"/>
                <w:szCs w:val="24"/>
              </w:rPr>
              <w:fldChar w:fldCharType="begin"/>
            </w:r>
            <w:r>
              <w:rPr>
                <w:rFonts w:hint="eastAsia" w:ascii="思源宋体 CN Light" w:hAnsi="思源宋体 CN Light" w:eastAsia="思源宋体 CN Light" w:cs="思源宋体 CN Light"/>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sz w:val="24"/>
                <w:szCs w:val="24"/>
              </w:rPr>
              <w:fldChar w:fldCharType="separate"/>
            </w:r>
            <w:r>
              <w:rPr>
                <w:rFonts w:hint="eastAsia" w:ascii="思源宋体 CN Light" w:hAnsi="思源宋体 CN Light" w:eastAsia="思源宋体 CN Light" w:cs="思源宋体 CN Light"/>
                <w:sz w:val="24"/>
                <w:szCs w:val="24"/>
              </w:rPr>
              <w:t>榆林不见面开标系统操作手册（投标人）</w:t>
            </w:r>
            <w:r>
              <w:rPr>
                <w:rFonts w:hint="eastAsia" w:ascii="思源宋体 CN Light" w:hAnsi="思源宋体 CN Light" w:eastAsia="思源宋体 CN Light" w:cs="思源宋体 CN Light"/>
                <w:sz w:val="24"/>
                <w:szCs w:val="24"/>
              </w:rPr>
              <w:fldChar w:fldCharType="end"/>
            </w:r>
            <w:r>
              <w:rPr>
                <w:rFonts w:hint="eastAsia" w:ascii="思源宋体 CN Light" w:hAnsi="思源宋体 CN Light" w:eastAsia="思源宋体 CN Light" w:cs="思源宋体 CN Light"/>
                <w:sz w:val="24"/>
                <w:szCs w:val="24"/>
                <w:lang w:val="en-US" w:eastAsia="zh-CN"/>
              </w:rPr>
              <w:t>】进行下载</w:t>
            </w:r>
            <w:r>
              <w:rPr>
                <w:rFonts w:hint="eastAsia" w:ascii="思源宋体 CN Light" w:hAnsi="思源宋体 CN Light" w:eastAsia="思源宋体 CN Light" w:cs="思源宋体 CN Light"/>
                <w:sz w:val="24"/>
                <w:szCs w:val="24"/>
              </w:rPr>
              <w:t>。</w:t>
            </w:r>
            <w:r>
              <w:rPr>
                <w:rFonts w:hint="eastAsia" w:ascii="思源宋体 CN Light" w:hAnsi="思源宋体 CN Light" w:eastAsia="思源宋体 CN Light" w:cs="思源宋体 CN Light"/>
                <w:sz w:val="24"/>
                <w:szCs w:val="24"/>
                <w:lang w:val="en-US" w:eastAsia="zh-CN"/>
              </w:rPr>
              <w:t xml:space="preserve">    </w:t>
            </w:r>
          </w:p>
        </w:tc>
      </w:tr>
      <w:tr w14:paraId="770C3FE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547C64C2">
            <w:pPr>
              <w:widowControl/>
              <w:adjustRightInd w:val="0"/>
              <w:snapToGrid w:val="0"/>
              <w:spacing w:line="360" w:lineRule="auto"/>
              <w:jc w:val="center"/>
              <w:textAlignment w:val="center"/>
              <w:outlineLvl w:val="9"/>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27</w:t>
            </w:r>
          </w:p>
        </w:tc>
        <w:tc>
          <w:tcPr>
            <w:tcW w:w="1671" w:type="dxa"/>
            <w:tcBorders>
              <w:top w:val="single" w:color="auto" w:sz="4" w:space="0"/>
              <w:left w:val="single" w:color="auto" w:sz="4" w:space="0"/>
              <w:bottom w:val="single" w:color="auto" w:sz="4" w:space="0"/>
              <w:right w:val="single" w:color="auto" w:sz="4" w:space="0"/>
            </w:tcBorders>
            <w:vAlign w:val="center"/>
          </w:tcPr>
          <w:p w14:paraId="333F5854">
            <w:pPr>
              <w:widowControl/>
              <w:adjustRightInd w:val="0"/>
              <w:snapToGrid w:val="0"/>
              <w:jc w:val="center"/>
              <w:textAlignment w:val="center"/>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b w:val="0"/>
                <w:kern w:val="2"/>
                <w:sz w:val="24"/>
                <w:szCs w:val="24"/>
                <w:shd w:val="clear" w:color="auto" w:fill="FFFFFF"/>
                <w:lang w:val="en-US" w:eastAsia="zh-CN" w:bidi="ar-SA"/>
              </w:rPr>
              <w:t>答疑文件</w:t>
            </w:r>
          </w:p>
        </w:tc>
        <w:tc>
          <w:tcPr>
            <w:tcW w:w="7609" w:type="dxa"/>
            <w:tcBorders>
              <w:top w:val="single" w:color="auto" w:sz="4" w:space="0"/>
              <w:left w:val="single" w:color="auto" w:sz="4" w:space="0"/>
              <w:bottom w:val="single" w:color="auto" w:sz="4" w:space="0"/>
              <w:right w:val="single" w:color="auto" w:sz="4" w:space="0"/>
            </w:tcBorders>
            <w:vAlign w:val="center"/>
          </w:tcPr>
          <w:p w14:paraId="310C8003">
            <w:pPr>
              <w:pStyle w:val="11"/>
              <w:spacing w:line="360" w:lineRule="auto"/>
              <w:outlineLvl w:val="9"/>
              <w:rPr>
                <w:rFonts w:hint="eastAsia" w:ascii="Times New Roman" w:hAnsi="Times New Roman" w:eastAsia="宋体" w:cs="Times New Roman"/>
                <w:kern w:val="2"/>
                <w:sz w:val="21"/>
                <w:szCs w:val="24"/>
                <w:lang w:val="en-US" w:eastAsia="zh-CN" w:bidi="ar-SA"/>
              </w:rPr>
            </w:pPr>
            <w:r>
              <w:rPr>
                <w:rFonts w:hint="eastAsia" w:ascii="宋体" w:hAnsi="宋体" w:eastAsia="宋体" w:cs="宋体"/>
                <w:b w:val="0"/>
                <w:kern w:val="2"/>
                <w:sz w:val="24"/>
                <w:szCs w:val="24"/>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14:paraId="7026EEC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20DDC020">
            <w:pPr>
              <w:widowControl/>
              <w:adjustRightInd w:val="0"/>
              <w:snapToGrid w:val="0"/>
              <w:spacing w:line="360" w:lineRule="auto"/>
              <w:jc w:val="center"/>
              <w:textAlignment w:val="center"/>
              <w:outlineLvl w:val="9"/>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28</w:t>
            </w:r>
          </w:p>
        </w:tc>
        <w:tc>
          <w:tcPr>
            <w:tcW w:w="1671" w:type="dxa"/>
            <w:tcBorders>
              <w:top w:val="single" w:color="auto" w:sz="4" w:space="0"/>
              <w:left w:val="single" w:color="auto" w:sz="4" w:space="0"/>
              <w:bottom w:val="single" w:color="auto" w:sz="4" w:space="0"/>
              <w:right w:val="single" w:color="auto" w:sz="4" w:space="0"/>
            </w:tcBorders>
            <w:vAlign w:val="center"/>
          </w:tcPr>
          <w:p w14:paraId="236B087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投标文件递交</w:t>
            </w:r>
          </w:p>
          <w:p w14:paraId="3571CD9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方式</w:t>
            </w:r>
          </w:p>
          <w:p w14:paraId="1D584633">
            <w:pPr>
              <w:widowControl/>
              <w:adjustRightInd w:val="0"/>
              <w:snapToGrid w:val="0"/>
              <w:jc w:val="center"/>
              <w:textAlignment w:val="center"/>
              <w:outlineLvl w:val="9"/>
              <w:rPr>
                <w:rFonts w:hint="eastAsia" w:ascii="宋体" w:hAnsi="宋体" w:cs="宋体"/>
                <w:color w:val="000000"/>
                <w:sz w:val="24"/>
                <w:szCs w:val="24"/>
              </w:rPr>
            </w:pPr>
          </w:p>
        </w:tc>
        <w:tc>
          <w:tcPr>
            <w:tcW w:w="7609" w:type="dxa"/>
            <w:tcBorders>
              <w:top w:val="single" w:color="auto" w:sz="4" w:space="0"/>
              <w:left w:val="single" w:color="auto" w:sz="4" w:space="0"/>
              <w:bottom w:val="single" w:color="auto" w:sz="4" w:space="0"/>
              <w:right w:val="single" w:color="auto" w:sz="4" w:space="0"/>
            </w:tcBorders>
            <w:vAlign w:val="center"/>
          </w:tcPr>
          <w:p w14:paraId="0A12FEF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供应商应于提交投标文件截止时间前任意时段登录交易平台〖首页〉电子交易平台〉企业端〗在线提交电子投标文件，逾期提交系统将拒绝接收。</w:t>
            </w:r>
          </w:p>
          <w:p w14:paraId="780EBED5">
            <w:pPr>
              <w:spacing w:line="360" w:lineRule="auto"/>
              <w:outlineLvl w:val="9"/>
              <w:rPr>
                <w:rFonts w:hint="default" w:ascii="宋体" w:hAnsi="宋体" w:eastAsia="思源宋体 CN Light" w:cs="宋体"/>
                <w:bCs/>
                <w:color w:val="000000"/>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 xml:space="preserve">2、本项目采用“不见面”开标形式，供应商可登录榆林交易平台〖首页〉不见面开标〗在线参与开评标过程，详见招标文件以及交易平台〖首页〉服务指南〉下载专区〗中的《榆林市不见面开标大厅操作手册（投标人）》。 </w:t>
            </w:r>
          </w:p>
        </w:tc>
      </w:tr>
      <w:tr w14:paraId="33236147">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44899BC9">
            <w:pPr>
              <w:widowControl/>
              <w:adjustRightInd w:val="0"/>
              <w:snapToGrid w:val="0"/>
              <w:spacing w:line="360" w:lineRule="auto"/>
              <w:jc w:val="center"/>
              <w:textAlignment w:val="center"/>
              <w:outlineLvl w:val="9"/>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29</w:t>
            </w:r>
          </w:p>
        </w:tc>
        <w:tc>
          <w:tcPr>
            <w:tcW w:w="1671" w:type="dxa"/>
            <w:tcBorders>
              <w:top w:val="single" w:color="auto" w:sz="4" w:space="0"/>
              <w:left w:val="single" w:color="auto" w:sz="4" w:space="0"/>
              <w:bottom w:val="single" w:color="auto" w:sz="4" w:space="0"/>
              <w:right w:val="single" w:color="auto" w:sz="4" w:space="0"/>
            </w:tcBorders>
            <w:vAlign w:val="center"/>
          </w:tcPr>
          <w:p w14:paraId="1C5F44D1">
            <w:pPr>
              <w:widowControl/>
              <w:adjustRightInd w:val="0"/>
              <w:snapToGrid w:val="0"/>
              <w:jc w:val="center"/>
              <w:textAlignment w:val="center"/>
              <w:outlineLvl w:val="9"/>
              <w:rPr>
                <w:rFonts w:hint="eastAsia" w:ascii="宋体" w:hAnsi="宋体" w:cs="宋体"/>
                <w:color w:val="000000"/>
                <w:sz w:val="24"/>
                <w:szCs w:val="24"/>
              </w:rPr>
            </w:pPr>
            <w:r>
              <w:rPr>
                <w:rFonts w:hint="eastAsia" w:hAnsi="宋体" w:cs="宋体"/>
                <w:sz w:val="24"/>
                <w:szCs w:val="24"/>
              </w:rPr>
              <w:t>政采贷业务</w:t>
            </w:r>
          </w:p>
        </w:tc>
        <w:tc>
          <w:tcPr>
            <w:tcW w:w="7609" w:type="dxa"/>
            <w:tcBorders>
              <w:top w:val="single" w:color="auto" w:sz="4" w:space="0"/>
              <w:left w:val="single" w:color="auto" w:sz="4" w:space="0"/>
              <w:bottom w:val="single" w:color="auto" w:sz="4" w:space="0"/>
              <w:right w:val="single" w:color="auto" w:sz="4" w:space="0"/>
            </w:tcBorders>
            <w:vAlign w:val="center"/>
          </w:tcPr>
          <w:p w14:paraId="72603A37">
            <w:pPr>
              <w:spacing w:line="360" w:lineRule="auto"/>
              <w:jc w:val="left"/>
              <w:rPr>
                <w:rFonts w:hint="eastAsia" w:asciiTheme="minorEastAsia" w:hAnsiTheme="minorEastAsia" w:eastAsiaTheme="minorEastAsia" w:cstheme="minorEastAsia"/>
                <w:b/>
                <w:bCs w:val="0"/>
                <w:sz w:val="18"/>
                <w:szCs w:val="18"/>
              </w:rPr>
            </w:pPr>
            <w:r>
              <w:rPr>
                <w:rFonts w:hint="eastAsia" w:asciiTheme="minorEastAsia" w:hAnsiTheme="minorEastAsia" w:eastAsiaTheme="minorEastAsia" w:cstheme="minorEastAsia"/>
                <w:b/>
                <w:bCs w:val="0"/>
                <w:sz w:val="18"/>
                <w:szCs w:val="18"/>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Theme="minorEastAsia" w:hAnsiTheme="minorEastAsia" w:eastAsiaTheme="minorEastAsia" w:cstheme="minorEastAsia"/>
                <w:b/>
                <w:bCs w:val="0"/>
                <w:sz w:val="18"/>
                <w:szCs w:val="18"/>
                <w:lang w:val="en-US" w:eastAsia="zh-CN"/>
              </w:rPr>
              <w:t xml:space="preserve"> </w:t>
            </w:r>
            <w:r>
              <w:rPr>
                <w:rFonts w:hint="eastAsia" w:asciiTheme="minorEastAsia" w:hAnsiTheme="minorEastAsia" w:eastAsiaTheme="minorEastAsia" w:cstheme="minorEastAsia"/>
                <w:b/>
                <w:bCs w:val="0"/>
                <w:sz w:val="18"/>
                <w:szCs w:val="18"/>
              </w:rPr>
              <w:t>国办《关于促进中小企业健康发展的指导意见》、财政部</w:t>
            </w:r>
            <w:r>
              <w:rPr>
                <w:rFonts w:hint="eastAsia" w:asciiTheme="minorEastAsia" w:hAnsiTheme="minorEastAsia" w:eastAsiaTheme="minorEastAsia" w:cstheme="minorEastAsia"/>
                <w:b/>
                <w:bCs w:val="0"/>
                <w:sz w:val="18"/>
                <w:szCs w:val="18"/>
                <w:lang w:val="en-US" w:eastAsia="zh-CN"/>
              </w:rPr>
              <w:t xml:space="preserve"> </w:t>
            </w:r>
            <w:r>
              <w:rPr>
                <w:rFonts w:hint="eastAsia" w:asciiTheme="minorEastAsia" w:hAnsiTheme="minorEastAsia" w:eastAsiaTheme="minorEastAsia" w:cstheme="minorEastAsia"/>
                <w:b/>
                <w:bCs w:val="0"/>
                <w:sz w:val="18"/>
                <w:szCs w:val="18"/>
              </w:rPr>
              <w:t>工信部《政府采购促进中小企业发展</w:t>
            </w:r>
            <w:r>
              <w:rPr>
                <w:rFonts w:hint="eastAsia" w:asciiTheme="minorEastAsia" w:hAnsiTheme="minorEastAsia" w:eastAsiaTheme="minorEastAsia" w:cstheme="minorEastAsia"/>
                <w:b/>
                <w:bCs w:val="0"/>
                <w:sz w:val="18"/>
                <w:szCs w:val="18"/>
                <w:lang w:val="en-US" w:eastAsia="zh-CN"/>
              </w:rPr>
              <w:t>管理</w:t>
            </w:r>
            <w:r>
              <w:rPr>
                <w:rFonts w:hint="eastAsia" w:asciiTheme="minorEastAsia" w:hAnsiTheme="minorEastAsia" w:eastAsiaTheme="minorEastAsia" w:cstheme="minorEastAsia"/>
                <w:b/>
                <w:bCs w:val="0"/>
                <w:sz w:val="18"/>
                <w:szCs w:val="18"/>
              </w:rPr>
              <w:t>办法》（财库〔20</w:t>
            </w:r>
            <w:r>
              <w:rPr>
                <w:rFonts w:hint="eastAsia" w:asciiTheme="minorEastAsia" w:hAnsiTheme="minorEastAsia" w:eastAsiaTheme="minorEastAsia" w:cstheme="minorEastAsia"/>
                <w:b/>
                <w:bCs w:val="0"/>
                <w:sz w:val="18"/>
                <w:szCs w:val="18"/>
                <w:lang w:val="en-US" w:eastAsia="zh-CN"/>
              </w:rPr>
              <w:t>20</w:t>
            </w:r>
            <w:r>
              <w:rPr>
                <w:rFonts w:hint="eastAsia" w:asciiTheme="minorEastAsia" w:hAnsiTheme="minorEastAsia" w:eastAsiaTheme="minorEastAsia" w:cstheme="minorEastAsia"/>
                <w:b/>
                <w:bCs w:val="0"/>
                <w:sz w:val="18"/>
                <w:szCs w:val="18"/>
              </w:rPr>
              <w:t>〕</w:t>
            </w:r>
            <w:r>
              <w:rPr>
                <w:rFonts w:hint="eastAsia" w:asciiTheme="minorEastAsia" w:hAnsiTheme="minorEastAsia" w:eastAsiaTheme="minorEastAsia" w:cstheme="minorEastAsia"/>
                <w:b/>
                <w:bCs w:val="0"/>
                <w:sz w:val="18"/>
                <w:szCs w:val="18"/>
                <w:lang w:val="en-US" w:eastAsia="zh-CN"/>
              </w:rPr>
              <w:t>46</w:t>
            </w:r>
            <w:r>
              <w:rPr>
                <w:rFonts w:hint="eastAsia" w:asciiTheme="minorEastAsia" w:hAnsiTheme="minorEastAsia" w:eastAsiaTheme="minorEastAsia" w:cstheme="minorEastAsia"/>
                <w:b/>
                <w:bCs w:val="0"/>
                <w:sz w:val="18"/>
                <w:szCs w:val="18"/>
              </w:rPr>
              <w:t>号）、《陕西省中小企业政府采购信用融资办法》（陕财办采〔2018〕23号）、《陕西省财政厅关于加快推进我省中小企业政府采购信用融资工作的通知》（陕财办采〔2020〕15号）</w:t>
            </w:r>
            <w:r>
              <w:rPr>
                <w:rFonts w:hint="eastAsia" w:asciiTheme="minorEastAsia" w:hAnsiTheme="minorEastAsia" w:eastAsiaTheme="minorEastAsia" w:cstheme="minorEastAsia"/>
                <w:b/>
                <w:bCs w:val="0"/>
                <w:sz w:val="18"/>
                <w:szCs w:val="18"/>
                <w:lang w:eastAsia="zh-CN"/>
              </w:rPr>
              <w:t>、</w:t>
            </w:r>
            <w:r>
              <w:rPr>
                <w:rFonts w:hint="eastAsia" w:asciiTheme="minorEastAsia" w:hAnsiTheme="minorEastAsia" w:eastAsiaTheme="minorEastAsia" w:cstheme="minorEastAsia"/>
                <w:b/>
                <w:bCs w:val="0"/>
                <w:sz w:val="18"/>
                <w:szCs w:val="18"/>
                <w:lang w:val="en-US" w:eastAsia="zh-CN"/>
              </w:rPr>
              <w:t>《陕西省财政厅 中国人民银行西安分行关于深入推进政府采购信用融资业务的通知》</w:t>
            </w:r>
            <w:r>
              <w:rPr>
                <w:rFonts w:hint="eastAsia" w:asciiTheme="minorEastAsia" w:hAnsiTheme="minorEastAsia" w:eastAsiaTheme="minorEastAsia" w:cstheme="minorEastAsia"/>
                <w:b/>
                <w:bCs w:val="0"/>
                <w:sz w:val="18"/>
                <w:szCs w:val="18"/>
              </w:rPr>
              <w:t>（陕财办采〔202</w:t>
            </w:r>
            <w:r>
              <w:rPr>
                <w:rFonts w:hint="eastAsia" w:asciiTheme="minorEastAsia" w:hAnsiTheme="minorEastAsia" w:eastAsiaTheme="minorEastAsia" w:cstheme="minorEastAsia"/>
                <w:b/>
                <w:bCs w:val="0"/>
                <w:sz w:val="18"/>
                <w:szCs w:val="18"/>
                <w:lang w:val="en-US" w:eastAsia="zh-CN"/>
              </w:rPr>
              <w:t>3</w:t>
            </w:r>
            <w:r>
              <w:rPr>
                <w:rFonts w:hint="eastAsia" w:asciiTheme="minorEastAsia" w:hAnsiTheme="minorEastAsia" w:eastAsiaTheme="minorEastAsia" w:cstheme="minorEastAsia"/>
                <w:b/>
                <w:bCs w:val="0"/>
                <w:sz w:val="18"/>
                <w:szCs w:val="18"/>
              </w:rPr>
              <w:t>〕5号）等有关规定，按照</w:t>
            </w:r>
            <w:r>
              <w:rPr>
                <w:rFonts w:hint="eastAsia" w:asciiTheme="minorEastAsia" w:hAnsiTheme="minorEastAsia" w:eastAsiaTheme="minorEastAsia" w:cstheme="minorEastAsia"/>
                <w:b/>
                <w:bCs w:val="0"/>
                <w:sz w:val="18"/>
                <w:szCs w:val="18"/>
                <w:lang w:val="en-US" w:eastAsia="zh-CN"/>
              </w:rPr>
              <w:t>政府</w:t>
            </w:r>
            <w:r>
              <w:rPr>
                <w:rFonts w:hint="eastAsia" w:asciiTheme="minorEastAsia" w:hAnsiTheme="minorEastAsia" w:eastAsiaTheme="minorEastAsia" w:cstheme="minorEastAsia"/>
                <w:b/>
                <w:bCs w:val="0"/>
                <w:sz w:val="18"/>
                <w:szCs w:val="18"/>
              </w:rPr>
              <w:t>引导、</w:t>
            </w:r>
            <w:r>
              <w:rPr>
                <w:rFonts w:hint="eastAsia" w:asciiTheme="minorEastAsia" w:hAnsiTheme="minorEastAsia" w:eastAsiaTheme="minorEastAsia" w:cstheme="minorEastAsia"/>
                <w:b/>
                <w:bCs w:val="0"/>
                <w:sz w:val="18"/>
                <w:szCs w:val="18"/>
                <w:lang w:val="en-US" w:eastAsia="zh-CN"/>
              </w:rPr>
              <w:t>市场运作、银企</w:t>
            </w:r>
            <w:r>
              <w:rPr>
                <w:rFonts w:hint="eastAsia" w:asciiTheme="minorEastAsia" w:hAnsiTheme="minorEastAsia" w:eastAsiaTheme="minorEastAsia" w:cstheme="minorEastAsia"/>
                <w:b/>
                <w:bCs w:val="0"/>
                <w:sz w:val="18"/>
                <w:szCs w:val="18"/>
              </w:rPr>
              <w:t>自愿、风险自担的原则，中标（成交）供应商可根据自身资金需求，登录陕西省政府采购信用融资平台（http://www.ccgp-shaanxi.gov.cn/zcdservice/zcd/shanxi/）</w:t>
            </w:r>
            <w:r>
              <w:rPr>
                <w:rFonts w:hint="eastAsia" w:asciiTheme="minorEastAsia" w:hAnsiTheme="minorEastAsia" w:eastAsiaTheme="minorEastAsia" w:cstheme="minorEastAsia"/>
                <w:b/>
                <w:bCs w:val="0"/>
                <w:sz w:val="18"/>
                <w:szCs w:val="18"/>
                <w:lang w:val="en-US" w:eastAsia="zh-CN"/>
              </w:rPr>
              <w:t>或中征平台（https://www.crcrfsp.com）</w:t>
            </w:r>
            <w:r>
              <w:rPr>
                <w:rFonts w:hint="eastAsia" w:asciiTheme="minorEastAsia" w:hAnsiTheme="minorEastAsia" w:eastAsiaTheme="minorEastAsia" w:cstheme="minorEastAsia"/>
                <w:b/>
                <w:bCs w:val="0"/>
                <w:sz w:val="18"/>
                <w:szCs w:val="18"/>
              </w:rPr>
              <w:t>在线申请，依法参加政府采购信用融资活动。</w:t>
            </w:r>
          </w:p>
          <w:tbl>
            <w:tblPr>
              <w:tblStyle w:val="26"/>
              <w:tblpPr w:leftFromText="180" w:rightFromText="180" w:vertAnchor="page" w:horzAnchor="page" w:tblpX="477" w:tblpY="1333"/>
              <w:tblOverlap w:val="never"/>
              <w:tblW w:w="7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
              <w:gridCol w:w="645"/>
              <w:gridCol w:w="908"/>
              <w:gridCol w:w="806"/>
              <w:gridCol w:w="816"/>
              <w:gridCol w:w="1018"/>
              <w:gridCol w:w="806"/>
              <w:gridCol w:w="1534"/>
            </w:tblGrid>
            <w:tr w14:paraId="1F5FA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506" w:type="dxa"/>
                  <w:tcBorders>
                    <w:top w:val="nil"/>
                    <w:left w:val="nil"/>
                    <w:bottom w:val="nil"/>
                    <w:right w:val="nil"/>
                  </w:tcBorders>
                  <w:noWrap/>
                  <w:vAlign w:val="center"/>
                </w:tcPr>
                <w:p w14:paraId="7FF6A92D">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p>
              </w:tc>
              <w:tc>
                <w:tcPr>
                  <w:tcW w:w="6533" w:type="dxa"/>
                  <w:gridSpan w:val="7"/>
                  <w:tcBorders>
                    <w:top w:val="nil"/>
                    <w:left w:val="nil"/>
                    <w:bottom w:val="nil"/>
                    <w:right w:val="nil"/>
                  </w:tcBorders>
                  <w:noWrap/>
                  <w:vAlign w:val="center"/>
                </w:tcPr>
                <w:p w14:paraId="6A8852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40"/>
                      <w:szCs w:val="40"/>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榆林市“政采贷”业务办理银行联系表</w:t>
                  </w:r>
                </w:p>
              </w:tc>
            </w:tr>
            <w:tr w14:paraId="3DD9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2EFA82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序号</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285E6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银行名称</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1FC5D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产品名称</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ABDBE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贷款额度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A191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贷款期限</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78E6B1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贷款利率</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E4E00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办理时效</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F40DE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联系人</w:t>
                  </w:r>
                </w:p>
              </w:tc>
            </w:tr>
            <w:tr w14:paraId="3498E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03C27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7EEF9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长安银行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8D71A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F3B37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9F63B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0658F0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5FFFE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E7599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魏  众15109123951</w:t>
                  </w:r>
                </w:p>
              </w:tc>
            </w:tr>
            <w:tr w14:paraId="12595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6D97E3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3F5B4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中信银行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E436D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5E1D5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F2A91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77199B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E212C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396DFC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高  明18992218795</w:t>
                  </w:r>
                </w:p>
              </w:tc>
            </w:tr>
            <w:tr w14:paraId="5215D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6FD75F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EC893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光大银行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30A60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7B45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19D11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1AF1FF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739D1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42E507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艾思宇13509127997</w:t>
                  </w:r>
                </w:p>
              </w:tc>
            </w:tr>
            <w:tr w14:paraId="39C0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04BD98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523C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交通银行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08A0D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秦政贷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60A8AC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74FD1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DF0CC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5C6F6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015B04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张  飞15291296886</w:t>
                  </w:r>
                </w:p>
              </w:tc>
            </w:tr>
            <w:tr w14:paraId="61F43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60C9A7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116F87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中国银行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EC899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9EC56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9CE2F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CB341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4DC8A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28C99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李  浩18691230007</w:t>
                  </w:r>
                </w:p>
              </w:tc>
            </w:tr>
            <w:tr w14:paraId="4DB3F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4D5905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0DA89F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招商银行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8FE5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13C46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00D1E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1D8590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A4A1B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A9CD0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马  烨15596100007</w:t>
                  </w:r>
                </w:p>
              </w:tc>
            </w:tr>
            <w:tr w14:paraId="1313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7DC9F8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535D6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浦发银行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64772B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4E080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6A7A6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4A0F7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lang w:val="en-US"/>
                    </w:rPr>
                  </w:pPr>
                  <w:r>
                    <w:rPr>
                      <w:rFonts w:hint="eastAsia" w:asciiTheme="minorEastAsia" w:hAnsiTheme="minorEastAsia" w:eastAsiaTheme="minorEastAsia" w:cstheme="minorEastAsia"/>
                      <w:i w:val="0"/>
                      <w:iCs w:val="0"/>
                      <w:color w:val="000000"/>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7F1E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71DED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朱  君15629169158</w:t>
                  </w:r>
                </w:p>
              </w:tc>
            </w:tr>
            <w:tr w14:paraId="7162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39D4A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F2489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农商银行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AB69C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A3C53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363A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1-2年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1C9C2F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3.45%-5.8%</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C6335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AC573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王  璐15529875056</w:t>
                  </w:r>
                </w:p>
              </w:tc>
            </w:tr>
            <w:tr w14:paraId="193E4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4A581D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9</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94AA7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农业银行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3D6D7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19180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CDAB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7A560A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3.45%以上</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AB372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A4BBD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米璐洁18966997666</w:t>
                  </w:r>
                </w:p>
              </w:tc>
            </w:tr>
            <w:tr w14:paraId="0101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09B60E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B7B05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民生银行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0612CA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CB2A6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8E176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25B134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48C1F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EE602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6"/>
                      <w:szCs w:val="16"/>
                      <w:u w:val="none"/>
                    </w:rPr>
                  </w:pPr>
                  <w:r>
                    <w:rPr>
                      <w:rFonts w:hint="eastAsia" w:asciiTheme="minorEastAsia" w:hAnsiTheme="minorEastAsia" w:eastAsiaTheme="minorEastAsia" w:cstheme="minorEastAsia"/>
                      <w:i w:val="0"/>
                      <w:iCs w:val="0"/>
                      <w:color w:val="000000"/>
                      <w:kern w:val="0"/>
                      <w:sz w:val="16"/>
                      <w:szCs w:val="16"/>
                      <w:u w:val="none"/>
                      <w:lang w:val="en-US" w:eastAsia="zh-CN" w:bidi="ar"/>
                    </w:rPr>
                    <w:t>郝双双15991225850</w:t>
                  </w:r>
                </w:p>
              </w:tc>
            </w:tr>
            <w:tr w14:paraId="1C02D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BF4D8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11</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1F9023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兴业银行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C74DD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AD3AC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2145A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1年期</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0FF1A1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3.4%</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025F8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4A107C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薛万隆18709258523</w:t>
                  </w:r>
                </w:p>
              </w:tc>
            </w:tr>
            <w:tr w14:paraId="7A53C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auto" w:sz="4" w:space="0"/>
                    <w:right w:val="single" w:color="000000" w:sz="4" w:space="0"/>
                  </w:tcBorders>
                  <w:noWrap/>
                  <w:vAlign w:val="center"/>
                </w:tcPr>
                <w:p w14:paraId="22CDC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12</w:t>
                  </w:r>
                </w:p>
              </w:tc>
              <w:tc>
                <w:tcPr>
                  <w:tcW w:w="645" w:type="dxa"/>
                  <w:tcBorders>
                    <w:top w:val="single" w:color="000000" w:sz="4" w:space="0"/>
                    <w:left w:val="single" w:color="000000" w:sz="4" w:space="0"/>
                    <w:bottom w:val="single" w:color="auto" w:sz="4" w:space="0"/>
                    <w:right w:val="single" w:color="000000" w:sz="4" w:space="0"/>
                  </w:tcBorders>
                  <w:noWrap/>
                  <w:vAlign w:val="center"/>
                </w:tcPr>
                <w:p w14:paraId="1D8892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广发银行</w:t>
                  </w:r>
                </w:p>
              </w:tc>
              <w:tc>
                <w:tcPr>
                  <w:tcW w:w="908" w:type="dxa"/>
                  <w:tcBorders>
                    <w:top w:val="single" w:color="000000" w:sz="4" w:space="0"/>
                    <w:left w:val="single" w:color="000000" w:sz="4" w:space="0"/>
                    <w:bottom w:val="single" w:color="auto" w:sz="4" w:space="0"/>
                    <w:right w:val="single" w:color="000000" w:sz="4" w:space="0"/>
                  </w:tcBorders>
                  <w:noWrap/>
                  <w:vAlign w:val="center"/>
                </w:tcPr>
                <w:p w14:paraId="4AF861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政采通</w:t>
                  </w:r>
                </w:p>
              </w:tc>
              <w:tc>
                <w:tcPr>
                  <w:tcW w:w="806" w:type="dxa"/>
                  <w:tcBorders>
                    <w:top w:val="single" w:color="000000" w:sz="4" w:space="0"/>
                    <w:left w:val="single" w:color="000000" w:sz="4" w:space="0"/>
                    <w:bottom w:val="single" w:color="auto" w:sz="4" w:space="0"/>
                    <w:right w:val="single" w:color="000000" w:sz="4" w:space="0"/>
                  </w:tcBorders>
                  <w:noWrap/>
                  <w:vAlign w:val="center"/>
                </w:tcPr>
                <w:p w14:paraId="55AF9B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000000" w:sz="4" w:space="0"/>
                    <w:left w:val="single" w:color="000000" w:sz="4" w:space="0"/>
                    <w:bottom w:val="single" w:color="auto" w:sz="4" w:space="0"/>
                    <w:right w:val="single" w:color="000000" w:sz="4" w:space="0"/>
                  </w:tcBorders>
                  <w:noWrap/>
                  <w:vAlign w:val="center"/>
                </w:tcPr>
                <w:p w14:paraId="13DC4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1年</w:t>
                  </w:r>
                </w:p>
              </w:tc>
              <w:tc>
                <w:tcPr>
                  <w:tcW w:w="1018" w:type="dxa"/>
                  <w:tcBorders>
                    <w:top w:val="single" w:color="000000" w:sz="4" w:space="0"/>
                    <w:left w:val="single" w:color="000000" w:sz="4" w:space="0"/>
                    <w:bottom w:val="single" w:color="auto" w:sz="4" w:space="0"/>
                    <w:right w:val="single" w:color="000000" w:sz="4" w:space="0"/>
                  </w:tcBorders>
                  <w:noWrap/>
                  <w:vAlign w:val="center"/>
                </w:tcPr>
                <w:p w14:paraId="4F548A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3.45%起</w:t>
                  </w:r>
                </w:p>
              </w:tc>
              <w:tc>
                <w:tcPr>
                  <w:tcW w:w="806" w:type="dxa"/>
                  <w:tcBorders>
                    <w:top w:val="single" w:color="000000" w:sz="4" w:space="0"/>
                    <w:left w:val="single" w:color="000000" w:sz="4" w:space="0"/>
                    <w:bottom w:val="single" w:color="auto" w:sz="4" w:space="0"/>
                    <w:right w:val="single" w:color="000000" w:sz="4" w:space="0"/>
                  </w:tcBorders>
                  <w:noWrap/>
                  <w:vAlign w:val="center"/>
                </w:tcPr>
                <w:p w14:paraId="76CFD4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24小时</w:t>
                  </w:r>
                </w:p>
              </w:tc>
              <w:tc>
                <w:tcPr>
                  <w:tcW w:w="1534" w:type="dxa"/>
                  <w:tcBorders>
                    <w:top w:val="single" w:color="000000" w:sz="4" w:space="0"/>
                    <w:left w:val="single" w:color="000000" w:sz="4" w:space="0"/>
                    <w:bottom w:val="single" w:color="auto" w:sz="4" w:space="0"/>
                    <w:right w:val="single" w:color="000000" w:sz="4" w:space="0"/>
                  </w:tcBorders>
                  <w:noWrap/>
                  <w:vAlign w:val="center"/>
                </w:tcPr>
                <w:p w14:paraId="5E3602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李思嘉15191820101</w:t>
                  </w:r>
                </w:p>
              </w:tc>
            </w:tr>
            <w:tr w14:paraId="12EC8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auto" w:sz="4" w:space="0"/>
                    <w:left w:val="single" w:color="auto" w:sz="4" w:space="0"/>
                    <w:bottom w:val="single" w:color="auto" w:sz="4" w:space="0"/>
                    <w:right w:val="single" w:color="auto" w:sz="4" w:space="0"/>
                  </w:tcBorders>
                  <w:noWrap/>
                  <w:vAlign w:val="center"/>
                </w:tcPr>
                <w:p w14:paraId="0A8FF4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13</w:t>
                  </w:r>
                </w:p>
              </w:tc>
              <w:tc>
                <w:tcPr>
                  <w:tcW w:w="645" w:type="dxa"/>
                  <w:tcBorders>
                    <w:top w:val="single" w:color="auto" w:sz="4" w:space="0"/>
                    <w:left w:val="single" w:color="auto" w:sz="4" w:space="0"/>
                    <w:bottom w:val="single" w:color="auto" w:sz="4" w:space="0"/>
                    <w:right w:val="single" w:color="auto" w:sz="4" w:space="0"/>
                  </w:tcBorders>
                  <w:noWrap/>
                  <w:vAlign w:val="center"/>
                </w:tcPr>
                <w:p w14:paraId="5C79A6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建设银行</w:t>
                  </w:r>
                </w:p>
              </w:tc>
              <w:tc>
                <w:tcPr>
                  <w:tcW w:w="908" w:type="dxa"/>
                  <w:tcBorders>
                    <w:top w:val="single" w:color="auto" w:sz="4" w:space="0"/>
                    <w:left w:val="single" w:color="auto" w:sz="4" w:space="0"/>
                    <w:bottom w:val="single" w:color="auto" w:sz="4" w:space="0"/>
                    <w:right w:val="single" w:color="auto" w:sz="4" w:space="0"/>
                  </w:tcBorders>
                  <w:noWrap/>
                  <w:vAlign w:val="center"/>
                </w:tcPr>
                <w:p w14:paraId="7B43E2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E政通</w:t>
                  </w:r>
                </w:p>
              </w:tc>
              <w:tc>
                <w:tcPr>
                  <w:tcW w:w="806" w:type="dxa"/>
                  <w:tcBorders>
                    <w:top w:val="single" w:color="auto" w:sz="4" w:space="0"/>
                    <w:left w:val="single" w:color="auto" w:sz="4" w:space="0"/>
                    <w:bottom w:val="single" w:color="auto" w:sz="4" w:space="0"/>
                    <w:right w:val="single" w:color="auto" w:sz="4" w:space="0"/>
                  </w:tcBorders>
                  <w:noWrap/>
                  <w:vAlign w:val="center"/>
                </w:tcPr>
                <w:p w14:paraId="7745EE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1000万元</w:t>
                  </w:r>
                </w:p>
              </w:tc>
              <w:tc>
                <w:tcPr>
                  <w:tcW w:w="816" w:type="dxa"/>
                  <w:tcBorders>
                    <w:top w:val="single" w:color="auto" w:sz="4" w:space="0"/>
                    <w:left w:val="single" w:color="auto" w:sz="4" w:space="0"/>
                    <w:bottom w:val="single" w:color="auto" w:sz="4" w:space="0"/>
                    <w:right w:val="single" w:color="auto" w:sz="4" w:space="0"/>
                  </w:tcBorders>
                  <w:noWrap/>
                  <w:vAlign w:val="center"/>
                </w:tcPr>
                <w:p w14:paraId="29A102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1年</w:t>
                  </w:r>
                </w:p>
              </w:tc>
              <w:tc>
                <w:tcPr>
                  <w:tcW w:w="1018" w:type="dxa"/>
                  <w:tcBorders>
                    <w:top w:val="single" w:color="auto" w:sz="4" w:space="0"/>
                    <w:left w:val="single" w:color="auto" w:sz="4" w:space="0"/>
                    <w:bottom w:val="single" w:color="auto" w:sz="4" w:space="0"/>
                    <w:right w:val="single" w:color="auto" w:sz="4" w:space="0"/>
                  </w:tcBorders>
                  <w:noWrap/>
                  <w:vAlign w:val="center"/>
                </w:tcPr>
                <w:p w14:paraId="7EAA85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3.2%</w:t>
                  </w:r>
                </w:p>
              </w:tc>
              <w:tc>
                <w:tcPr>
                  <w:tcW w:w="806" w:type="dxa"/>
                  <w:tcBorders>
                    <w:top w:val="single" w:color="auto" w:sz="4" w:space="0"/>
                    <w:left w:val="single" w:color="auto" w:sz="4" w:space="0"/>
                    <w:bottom w:val="single" w:color="auto" w:sz="4" w:space="0"/>
                    <w:right w:val="single" w:color="auto" w:sz="4" w:space="0"/>
                  </w:tcBorders>
                  <w:noWrap/>
                  <w:vAlign w:val="center"/>
                </w:tcPr>
                <w:p w14:paraId="407FE7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72小时</w:t>
                  </w:r>
                </w:p>
              </w:tc>
              <w:tc>
                <w:tcPr>
                  <w:tcW w:w="1534" w:type="dxa"/>
                  <w:tcBorders>
                    <w:top w:val="single" w:color="auto" w:sz="4" w:space="0"/>
                    <w:left w:val="single" w:color="auto" w:sz="4" w:space="0"/>
                    <w:bottom w:val="single" w:color="auto" w:sz="4" w:space="0"/>
                    <w:right w:val="single" w:color="auto" w:sz="4" w:space="0"/>
                  </w:tcBorders>
                  <w:noWrap/>
                  <w:vAlign w:val="center"/>
                </w:tcPr>
                <w:p w14:paraId="31ED1D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张 宇 15929397838</w:t>
                  </w:r>
                </w:p>
              </w:tc>
            </w:tr>
            <w:tr w14:paraId="73A10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7039" w:type="dxa"/>
                  <w:gridSpan w:val="8"/>
                  <w:tcBorders>
                    <w:top w:val="single" w:color="auto" w:sz="4" w:space="0"/>
                    <w:left w:val="nil"/>
                    <w:bottom w:val="nil"/>
                    <w:right w:val="nil"/>
                  </w:tcBorders>
                  <w:noWrap/>
                  <w:vAlign w:val="center"/>
                </w:tcPr>
                <w:p w14:paraId="184AB5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6"/>
                      <w:szCs w:val="16"/>
                      <w:u w:val="none"/>
                      <w:lang w:val="en-US" w:eastAsia="zh-CN" w:bidi="ar"/>
                    </w:rPr>
                  </w:pPr>
                  <w:r>
                    <w:rPr>
                      <w:rFonts w:hint="eastAsia" w:asciiTheme="minorEastAsia" w:hAnsiTheme="minorEastAsia" w:eastAsiaTheme="minorEastAsia" w:cstheme="minorEastAsia"/>
                      <w:i w:val="0"/>
                      <w:iCs w:val="0"/>
                      <w:color w:val="000000"/>
                      <w:kern w:val="0"/>
                      <w:sz w:val="16"/>
                      <w:szCs w:val="16"/>
                      <w:u w:val="none"/>
                      <w:lang w:val="en-US" w:eastAsia="zh-CN" w:bidi="ar"/>
                    </w:rPr>
                    <w:t>备注：银行排名不分先后。如产品额度、期限、利率等内容发生改变，以银行解释为准。</w:t>
                  </w:r>
                </w:p>
              </w:tc>
            </w:tr>
          </w:tbl>
          <w:p w14:paraId="12E78448">
            <w:pPr>
              <w:spacing w:line="360" w:lineRule="auto"/>
              <w:outlineLvl w:val="9"/>
              <w:rPr>
                <w:rFonts w:hint="eastAsia" w:ascii="思源宋体 CN Light" w:hAnsi="思源宋体 CN Light" w:eastAsia="思源宋体 CN Light" w:cs="思源宋体 CN Light"/>
                <w:color w:val="auto"/>
                <w:sz w:val="24"/>
                <w:szCs w:val="24"/>
                <w:lang w:val="en-US" w:eastAsia="zh-CN"/>
              </w:rPr>
            </w:pPr>
          </w:p>
        </w:tc>
      </w:tr>
      <w:tr w14:paraId="3307CB98">
        <w:tblPrEx>
          <w:tblCellMar>
            <w:top w:w="0" w:type="dxa"/>
            <w:left w:w="108" w:type="dxa"/>
            <w:bottom w:w="0" w:type="dxa"/>
            <w:right w:w="108" w:type="dxa"/>
          </w:tblCellMar>
        </w:tblPrEx>
        <w:trPr>
          <w:trHeight w:val="585"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DEA91E4">
            <w:pPr>
              <w:adjustRightInd w:val="0"/>
              <w:snapToGrid w:val="0"/>
              <w:spacing w:line="360" w:lineRule="auto"/>
              <w:jc w:val="left"/>
              <w:outlineLvl w:val="9"/>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本表是对供应商须知的提示、补充和修改，如有矛盾，应以本表为准。如本表未说明的，以本竞争性磋商文件内容为准。</w:t>
            </w:r>
          </w:p>
        </w:tc>
      </w:tr>
    </w:tbl>
    <w:p w14:paraId="1B647F48">
      <w:pPr>
        <w:outlineLvl w:val="9"/>
      </w:pPr>
      <w:bookmarkStart w:id="28" w:name="_Toc513557026"/>
      <w:r>
        <w:br w:type="page"/>
      </w:r>
    </w:p>
    <w:p w14:paraId="1B471FB2">
      <w:pPr>
        <w:spacing w:line="240" w:lineRule="auto"/>
        <w:jc w:val="center"/>
        <w:outlineLvl w:val="9"/>
        <w:rPr>
          <w:rFonts w:ascii="宋体" w:hAnsi="宋体"/>
          <w:b/>
          <w:bCs/>
          <w:sz w:val="32"/>
          <w:szCs w:val="32"/>
        </w:rPr>
      </w:pPr>
      <w:bookmarkStart w:id="29" w:name="_Toc19507"/>
      <w:bookmarkStart w:id="30" w:name="_Toc29584"/>
      <w:bookmarkStart w:id="31" w:name="_Toc23852"/>
      <w:bookmarkStart w:id="32" w:name="_Toc11332"/>
      <w:bookmarkStart w:id="33" w:name="_Toc19554"/>
      <w:bookmarkStart w:id="34" w:name="_Toc19773"/>
      <w:bookmarkStart w:id="35" w:name="_Toc23612"/>
      <w:r>
        <w:rPr>
          <w:rFonts w:hint="eastAsia" w:ascii="宋体" w:hAnsi="宋体" w:eastAsia="宋体" w:cs="Times New Roman"/>
          <w:b/>
          <w:bCs/>
          <w:sz w:val="32"/>
          <w:szCs w:val="32"/>
        </w:rPr>
        <w:t>（二）</w:t>
      </w:r>
      <w:r>
        <w:rPr>
          <w:rFonts w:hint="eastAsia" w:ascii="宋体" w:hAnsi="宋体"/>
          <w:b/>
          <w:bCs/>
          <w:sz w:val="32"/>
          <w:szCs w:val="32"/>
        </w:rPr>
        <w:t>供应商须知</w:t>
      </w:r>
      <w:bookmarkEnd w:id="28"/>
      <w:bookmarkEnd w:id="29"/>
      <w:bookmarkEnd w:id="30"/>
      <w:bookmarkEnd w:id="31"/>
      <w:bookmarkEnd w:id="32"/>
      <w:bookmarkEnd w:id="33"/>
      <w:bookmarkEnd w:id="34"/>
      <w:bookmarkEnd w:id="35"/>
    </w:p>
    <w:p w14:paraId="5364A862">
      <w:pPr>
        <w:pStyle w:val="43"/>
        <w:spacing w:line="240" w:lineRule="auto"/>
        <w:ind w:firstLine="482" w:firstLineChars="200"/>
        <w:outlineLvl w:val="9"/>
        <w:rPr>
          <w:rFonts w:ascii="宋体" w:hAnsi="宋体"/>
          <w:b/>
          <w:sz w:val="24"/>
          <w:szCs w:val="24"/>
        </w:rPr>
      </w:pPr>
      <w:bookmarkStart w:id="36" w:name="_Toc10851"/>
      <w:bookmarkStart w:id="37" w:name="_Toc513557027"/>
      <w:bookmarkStart w:id="38" w:name="_Toc30389"/>
      <w:bookmarkStart w:id="39" w:name="_Toc28324"/>
      <w:bookmarkStart w:id="40" w:name="_Toc27754"/>
      <w:bookmarkStart w:id="41" w:name="_Toc24343"/>
      <w:bookmarkStart w:id="42" w:name="_Toc15038"/>
      <w:bookmarkStart w:id="43" w:name="_Toc18148"/>
      <w:bookmarkStart w:id="44" w:name="_Toc31778"/>
      <w:bookmarkStart w:id="45" w:name="_Toc11273"/>
      <w:r>
        <w:rPr>
          <w:rFonts w:ascii="宋体" w:hAnsi="宋体"/>
          <w:b/>
          <w:sz w:val="24"/>
          <w:szCs w:val="24"/>
        </w:rPr>
        <w:t>1</w:t>
      </w:r>
      <w:r>
        <w:rPr>
          <w:rFonts w:hint="eastAsia" w:ascii="宋体" w:hAnsi="宋体"/>
          <w:b/>
          <w:sz w:val="24"/>
          <w:szCs w:val="24"/>
        </w:rPr>
        <w:t>．</w:t>
      </w:r>
      <w:r>
        <w:rPr>
          <w:rFonts w:ascii="宋体" w:hAnsi="宋体"/>
          <w:b/>
          <w:sz w:val="24"/>
          <w:szCs w:val="24"/>
        </w:rPr>
        <w:t xml:space="preserve">  </w:t>
      </w:r>
      <w:r>
        <w:rPr>
          <w:rFonts w:hint="eastAsia" w:ascii="宋体" w:hAnsi="宋体"/>
          <w:b/>
          <w:sz w:val="24"/>
          <w:szCs w:val="24"/>
        </w:rPr>
        <w:t>总则</w:t>
      </w:r>
      <w:bookmarkEnd w:id="36"/>
      <w:bookmarkEnd w:id="37"/>
      <w:bookmarkEnd w:id="38"/>
      <w:bookmarkEnd w:id="39"/>
      <w:bookmarkEnd w:id="40"/>
      <w:bookmarkEnd w:id="41"/>
      <w:bookmarkEnd w:id="42"/>
      <w:bookmarkEnd w:id="43"/>
      <w:bookmarkEnd w:id="44"/>
      <w:bookmarkEnd w:id="45"/>
    </w:p>
    <w:p w14:paraId="18E2736F">
      <w:pPr>
        <w:spacing w:line="360" w:lineRule="auto"/>
        <w:outlineLvl w:val="9"/>
        <w:rPr>
          <w:rFonts w:ascii="宋体" w:hAnsi="宋体" w:cs="宋体"/>
          <w:b/>
          <w:bCs/>
          <w:sz w:val="24"/>
          <w:szCs w:val="24"/>
        </w:rPr>
      </w:pPr>
      <w:r>
        <w:rPr>
          <w:rFonts w:hint="eastAsia" w:ascii="宋体" w:hAnsi="宋体" w:cs="宋体"/>
          <w:b/>
          <w:bCs/>
          <w:sz w:val="24"/>
          <w:szCs w:val="24"/>
        </w:rPr>
        <w:t>1、说明</w:t>
      </w:r>
    </w:p>
    <w:p w14:paraId="407D8B02">
      <w:pPr>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r>
        <w:rPr>
          <w:rFonts w:hint="eastAsia" w:ascii="宋体" w:hAnsi="宋体" w:cs="宋体"/>
          <w:sz w:val="24"/>
          <w:szCs w:val="24"/>
        </w:rPr>
        <w:t>本竞争性</w:t>
      </w:r>
      <w:r>
        <w:rPr>
          <w:rFonts w:hint="eastAsia" w:ascii="宋体" w:hAnsi="宋体" w:cs="宋体"/>
          <w:sz w:val="24"/>
          <w:szCs w:val="24"/>
          <w:lang w:eastAsia="zh-CN"/>
        </w:rPr>
        <w:t>磋商</w:t>
      </w:r>
      <w:r>
        <w:rPr>
          <w:rFonts w:hint="eastAsia" w:ascii="宋体" w:hAnsi="宋体" w:cs="宋体"/>
          <w:sz w:val="24"/>
          <w:szCs w:val="24"/>
        </w:rPr>
        <w:t>文件仅适用于本竞争性</w:t>
      </w:r>
      <w:r>
        <w:rPr>
          <w:rFonts w:hint="eastAsia" w:ascii="宋体" w:hAnsi="宋体" w:cs="宋体"/>
          <w:sz w:val="24"/>
          <w:szCs w:val="24"/>
          <w:lang w:eastAsia="zh-CN"/>
        </w:rPr>
        <w:t>磋商</w:t>
      </w:r>
      <w:r>
        <w:rPr>
          <w:rFonts w:hint="eastAsia" w:ascii="宋体" w:hAnsi="宋体" w:cs="宋体"/>
          <w:sz w:val="24"/>
          <w:szCs w:val="24"/>
        </w:rPr>
        <w:t>公告中所叙述</w:t>
      </w:r>
      <w:r>
        <w:rPr>
          <w:rFonts w:hint="eastAsia" w:ascii="宋体" w:hAnsi="宋体" w:cs="仿宋_GB2312"/>
          <w:sz w:val="24"/>
          <w:szCs w:val="24"/>
        </w:rPr>
        <w:t>货物、工程及服务采购</w:t>
      </w:r>
      <w:r>
        <w:rPr>
          <w:rFonts w:hint="eastAsia" w:ascii="宋体" w:hAnsi="宋体" w:cs="宋体"/>
          <w:sz w:val="24"/>
          <w:szCs w:val="24"/>
        </w:rPr>
        <w:t>。</w:t>
      </w:r>
    </w:p>
    <w:p w14:paraId="4B07B411">
      <w:pPr>
        <w:spacing w:line="360" w:lineRule="auto"/>
        <w:ind w:firstLine="480" w:firstLineChars="200"/>
        <w:outlineLvl w:val="9"/>
        <w:rPr>
          <w:rFonts w:ascii="宋体" w:hAnsi="宋体" w:cs="宋体"/>
          <w:sz w:val="24"/>
          <w:szCs w:val="24"/>
        </w:rPr>
      </w:pPr>
      <w:r>
        <w:rPr>
          <w:rFonts w:hint="eastAsia" w:ascii="宋体" w:hAnsi="宋体" w:cs="宋体"/>
          <w:sz w:val="24"/>
          <w:szCs w:val="24"/>
        </w:rPr>
        <w:t>1.2本次采购属政府采购，采购人，采购代理机构、供应商、</w:t>
      </w:r>
      <w:r>
        <w:rPr>
          <w:rFonts w:hint="eastAsia" w:ascii="宋体" w:hAnsi="宋体" w:cs="宋体"/>
          <w:sz w:val="24"/>
          <w:szCs w:val="24"/>
          <w:lang w:eastAsia="zh-CN"/>
        </w:rPr>
        <w:t>磋商</w:t>
      </w:r>
      <w:r>
        <w:rPr>
          <w:rFonts w:hint="eastAsia" w:ascii="宋体" w:hAnsi="宋体" w:cs="宋体"/>
          <w:sz w:val="24"/>
          <w:szCs w:val="24"/>
        </w:rPr>
        <w:t>小组的相关行为均受《中华人民共和国政府采购法》、财政部规章及政府采购项目所在地有关法规、规章的约束，其权利受到上述法律法规的保护。</w:t>
      </w:r>
    </w:p>
    <w:p w14:paraId="3F6FD3D7">
      <w:pPr>
        <w:spacing w:line="360" w:lineRule="auto"/>
        <w:ind w:firstLine="480" w:firstLineChars="200"/>
        <w:outlineLvl w:val="9"/>
        <w:rPr>
          <w:rFonts w:ascii="宋体" w:hAnsi="宋体" w:cs="宋体"/>
          <w:sz w:val="24"/>
          <w:szCs w:val="24"/>
        </w:rPr>
      </w:pPr>
      <w:r>
        <w:rPr>
          <w:rFonts w:hint="eastAsia" w:ascii="宋体" w:hAnsi="宋体" w:cs="宋体"/>
          <w:sz w:val="24"/>
          <w:szCs w:val="24"/>
        </w:rPr>
        <w:t>1.3 本次招标采用</w:t>
      </w:r>
      <w:r>
        <w:rPr>
          <w:rFonts w:hint="eastAsia"/>
          <w:sz w:val="24"/>
          <w:szCs w:val="24"/>
        </w:rPr>
        <w:t>竞争性磋商</w:t>
      </w:r>
      <w:r>
        <w:rPr>
          <w:rFonts w:hint="eastAsia" w:ascii="宋体" w:hAnsi="宋体" w:cs="宋体"/>
          <w:sz w:val="24"/>
          <w:szCs w:val="24"/>
        </w:rPr>
        <w:t>的方式。</w:t>
      </w:r>
    </w:p>
    <w:p w14:paraId="76C9DEEC">
      <w:pPr>
        <w:spacing w:line="360" w:lineRule="auto"/>
        <w:ind w:firstLine="480" w:firstLineChars="200"/>
        <w:outlineLvl w:val="9"/>
        <w:rPr>
          <w:rFonts w:ascii="宋体" w:hAnsi="宋体" w:cs="宋体"/>
          <w:sz w:val="24"/>
          <w:szCs w:val="24"/>
        </w:rPr>
      </w:pPr>
      <w:r>
        <w:rPr>
          <w:rFonts w:hint="eastAsia" w:ascii="宋体" w:hAnsi="宋体" w:cs="宋体"/>
          <w:sz w:val="24"/>
          <w:szCs w:val="24"/>
        </w:rPr>
        <w:t>1.4本磋商文件的解释权属于</w:t>
      </w:r>
      <w:r>
        <w:rPr>
          <w:rFonts w:hint="eastAsia" w:ascii="宋体" w:hAnsi="宋体" w:cs="宋体"/>
          <w:sz w:val="24"/>
          <w:szCs w:val="24"/>
          <w:lang w:eastAsia="zh-CN"/>
        </w:rPr>
        <w:t>陕西华旭晟信项目管理有限责任公司</w:t>
      </w:r>
      <w:r>
        <w:rPr>
          <w:rFonts w:hint="eastAsia" w:ascii="宋体" w:hAnsi="宋体" w:cs="宋体"/>
          <w:sz w:val="24"/>
          <w:szCs w:val="24"/>
        </w:rPr>
        <w:t>所有。</w:t>
      </w:r>
    </w:p>
    <w:p w14:paraId="4BDB425A">
      <w:pPr>
        <w:spacing w:line="360" w:lineRule="auto"/>
        <w:outlineLvl w:val="9"/>
        <w:rPr>
          <w:rFonts w:ascii="宋体" w:hAnsi="宋体" w:cs="宋体"/>
          <w:b/>
          <w:bCs/>
          <w:sz w:val="24"/>
          <w:szCs w:val="24"/>
        </w:rPr>
      </w:pPr>
      <w:r>
        <w:rPr>
          <w:rFonts w:hint="eastAsia" w:ascii="宋体" w:hAnsi="宋体" w:cs="宋体"/>
          <w:b/>
          <w:bCs/>
          <w:sz w:val="24"/>
          <w:szCs w:val="24"/>
        </w:rPr>
        <w:t>2、合格的供应商</w:t>
      </w:r>
    </w:p>
    <w:p w14:paraId="53E02567">
      <w:pPr>
        <w:wordWrap w:val="0"/>
        <w:topLinePunct/>
        <w:spacing w:line="360" w:lineRule="auto"/>
        <w:ind w:firstLine="480" w:firstLineChars="200"/>
        <w:jc w:val="left"/>
        <w:outlineLvl w:val="9"/>
        <w:rPr>
          <w:rFonts w:ascii="宋体" w:hAnsi="宋体"/>
          <w:sz w:val="24"/>
          <w:szCs w:val="24"/>
        </w:rPr>
      </w:pPr>
      <w:bookmarkStart w:id="46" w:name="_Toc152045535"/>
      <w:bookmarkStart w:id="47" w:name="_Toc152042311"/>
      <w:bookmarkStart w:id="48" w:name="_Toc179632552"/>
      <w:bookmarkStart w:id="49" w:name="_Toc144974503"/>
      <w:r>
        <w:rPr>
          <w:rFonts w:hint="eastAsia" w:ascii="宋体" w:hAnsi="宋体" w:cs="宋体"/>
          <w:sz w:val="24"/>
          <w:szCs w:val="24"/>
          <w:lang w:val="en-US" w:eastAsia="zh-CN"/>
        </w:rPr>
        <w:t>2</w:t>
      </w:r>
      <w:r>
        <w:rPr>
          <w:rFonts w:hint="eastAsia" w:ascii="宋体" w:hAnsi="宋体" w:cs="宋体"/>
          <w:sz w:val="24"/>
          <w:szCs w:val="24"/>
        </w:rPr>
        <w:t xml:space="preserve">.1 </w:t>
      </w:r>
      <w:r>
        <w:rPr>
          <w:rFonts w:hint="eastAsia" w:ascii="宋体" w:hAnsi="宋体"/>
          <w:sz w:val="24"/>
          <w:szCs w:val="24"/>
        </w:rPr>
        <w:t>合格的供应商：满足下列资格条件且有能力提供项目所需服务的供应商。</w:t>
      </w:r>
    </w:p>
    <w:p w14:paraId="3F2DEF6B">
      <w:pPr>
        <w:spacing w:line="360" w:lineRule="auto"/>
        <w:outlineLvl w:val="9"/>
        <w:rPr>
          <w:rFonts w:hint="eastAsia" w:ascii="宋体" w:hAnsi="宋体"/>
          <w:bCs/>
          <w:sz w:val="24"/>
          <w:szCs w:val="24"/>
        </w:rPr>
      </w:pPr>
      <w:r>
        <w:rPr>
          <w:rFonts w:hint="eastAsia" w:ascii="宋体" w:hAnsi="宋体" w:cs="宋体"/>
          <w:sz w:val="24"/>
          <w:szCs w:val="24"/>
          <w:lang w:val="en-US" w:eastAsia="zh-CN"/>
        </w:rPr>
        <w:t>2</w:t>
      </w:r>
      <w:r>
        <w:rPr>
          <w:rFonts w:hint="eastAsia" w:ascii="宋体" w:hAnsi="宋体" w:cs="宋体"/>
          <w:sz w:val="24"/>
          <w:szCs w:val="24"/>
        </w:rPr>
        <w:t>.2</w:t>
      </w:r>
      <w:r>
        <w:rPr>
          <w:rFonts w:hint="eastAsia" w:ascii="宋体" w:hAnsi="宋体"/>
          <w:bCs/>
          <w:sz w:val="24"/>
          <w:szCs w:val="24"/>
        </w:rPr>
        <w:t>资格条件</w:t>
      </w:r>
    </w:p>
    <w:p w14:paraId="3EE8F40E">
      <w:pPr>
        <w:spacing w:line="360" w:lineRule="auto"/>
        <w:ind w:firstLine="480" w:firstLineChars="200"/>
        <w:outlineLvl w:val="9"/>
        <w:rPr>
          <w:rFonts w:hint="eastAsia" w:ascii="宋体" w:hAnsi="宋体" w:cs="宋体"/>
          <w:sz w:val="24"/>
          <w:szCs w:val="24"/>
        </w:rPr>
      </w:pPr>
      <w:r>
        <w:rPr>
          <w:rFonts w:hint="eastAsia" w:ascii="宋体" w:hAnsi="宋体"/>
          <w:bCs/>
          <w:sz w:val="24"/>
          <w:szCs w:val="24"/>
          <w:lang w:val="en-US" w:eastAsia="zh-CN"/>
        </w:rPr>
        <w:t>2</w:t>
      </w:r>
      <w:r>
        <w:rPr>
          <w:rFonts w:hint="eastAsia" w:ascii="宋体" w:hAnsi="宋体"/>
          <w:bCs/>
          <w:sz w:val="24"/>
          <w:szCs w:val="24"/>
        </w:rPr>
        <w:t>.2.1</w:t>
      </w:r>
      <w:r>
        <w:rPr>
          <w:rFonts w:hint="eastAsia" w:ascii="宋体" w:hAnsi="宋体" w:cs="宋体"/>
          <w:sz w:val="24"/>
          <w:szCs w:val="24"/>
        </w:rPr>
        <w:t>供应商应当符合《中华人民共和国政府采购法》第二十二条第一款规定的投标人基本资格条件；以及</w:t>
      </w:r>
      <w:r>
        <w:rPr>
          <w:rFonts w:hint="eastAsia" w:ascii="宋体" w:hAnsi="宋体" w:cs="宋体"/>
          <w:sz w:val="24"/>
          <w:szCs w:val="24"/>
          <w:lang w:val="en-US" w:eastAsia="zh-CN"/>
        </w:rPr>
        <w:t>竞争性磋商</w:t>
      </w:r>
      <w:r>
        <w:rPr>
          <w:rFonts w:hint="eastAsia" w:ascii="宋体" w:hAnsi="宋体" w:cs="宋体"/>
          <w:sz w:val="24"/>
          <w:szCs w:val="24"/>
        </w:rPr>
        <w:t>文件规定的供应商特定资格条件。</w:t>
      </w:r>
    </w:p>
    <w:p w14:paraId="6D2632D2">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.3供应商必须从陕西省公共资源交易平台获取</w:t>
      </w:r>
      <w:r>
        <w:rPr>
          <w:rFonts w:hint="eastAsia" w:ascii="宋体" w:hAnsi="宋体" w:cs="宋体"/>
          <w:sz w:val="24"/>
          <w:szCs w:val="24"/>
          <w:lang w:val="en-US" w:eastAsia="zh-CN"/>
        </w:rPr>
        <w:t>竞争性磋商</w:t>
      </w:r>
      <w:r>
        <w:rPr>
          <w:rFonts w:hint="eastAsia" w:ascii="宋体" w:hAnsi="宋体" w:cs="宋体"/>
          <w:sz w:val="24"/>
          <w:szCs w:val="24"/>
        </w:rPr>
        <w:t>文件，供应商自行转让或复制的竞争性</w:t>
      </w:r>
      <w:r>
        <w:rPr>
          <w:rFonts w:hint="eastAsia" w:ascii="宋体" w:hAnsi="宋体" w:cs="宋体"/>
          <w:sz w:val="24"/>
          <w:szCs w:val="24"/>
          <w:lang w:eastAsia="zh-CN"/>
        </w:rPr>
        <w:t>磋商</w:t>
      </w:r>
      <w:r>
        <w:rPr>
          <w:rFonts w:hint="eastAsia" w:ascii="宋体" w:hAnsi="宋体" w:cs="宋体"/>
          <w:sz w:val="24"/>
          <w:szCs w:val="24"/>
        </w:rPr>
        <w:t>文件视为无效文件</w:t>
      </w:r>
      <w:r>
        <w:rPr>
          <w:rFonts w:hint="eastAsia" w:ascii="宋体" w:hAnsi="宋体" w:cs="宋体"/>
          <w:sz w:val="24"/>
          <w:szCs w:val="24"/>
          <w:lang w:eastAsia="zh-CN"/>
        </w:rPr>
        <w:t>，此文件</w:t>
      </w:r>
      <w:r>
        <w:rPr>
          <w:rFonts w:hint="eastAsia" w:ascii="宋体" w:hAnsi="宋体" w:cs="宋体"/>
          <w:sz w:val="24"/>
          <w:szCs w:val="24"/>
        </w:rPr>
        <w:t>仅作为本次</w:t>
      </w:r>
      <w:r>
        <w:rPr>
          <w:rFonts w:hint="eastAsia" w:ascii="宋体" w:hAnsi="宋体" w:cs="宋体"/>
          <w:sz w:val="24"/>
          <w:szCs w:val="24"/>
          <w:lang w:eastAsia="zh-CN"/>
        </w:rPr>
        <w:t>磋商</w:t>
      </w:r>
      <w:r>
        <w:rPr>
          <w:rFonts w:hint="eastAsia" w:ascii="宋体" w:hAnsi="宋体" w:cs="宋体"/>
          <w:sz w:val="24"/>
          <w:szCs w:val="24"/>
        </w:rPr>
        <w:t>使用。</w:t>
      </w:r>
    </w:p>
    <w:p w14:paraId="60591F81">
      <w:pPr>
        <w:spacing w:line="360" w:lineRule="auto"/>
        <w:ind w:firstLine="480" w:firstLineChars="200"/>
        <w:outlineLvl w:val="9"/>
        <w:rPr>
          <w:rFonts w:hint="eastAsia"/>
          <w:sz w:val="24"/>
          <w:szCs w:val="24"/>
        </w:rPr>
      </w:pPr>
      <w:r>
        <w:rPr>
          <w:rFonts w:hint="eastAsia" w:ascii="宋体" w:hAnsi="宋体" w:cs="宋体"/>
          <w:sz w:val="24"/>
          <w:szCs w:val="24"/>
          <w:lang w:val="en-US" w:eastAsia="zh-CN"/>
        </w:rPr>
        <w:t>2</w:t>
      </w:r>
      <w:r>
        <w:rPr>
          <w:rFonts w:hint="eastAsia" w:ascii="宋体" w:hAnsi="宋体" w:cs="宋体"/>
          <w:sz w:val="24"/>
          <w:szCs w:val="24"/>
        </w:rPr>
        <w:t>.4法定代表人或者负责人为同一人或者存在控股、管理关系的两个以上供应商，不得参加同一政府采购项目投标。</w:t>
      </w:r>
    </w:p>
    <w:p w14:paraId="573A6A21">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.5是否接受联合体投标：见投标人须知前附表。</w:t>
      </w:r>
    </w:p>
    <w:p w14:paraId="3A2E187F">
      <w:pPr>
        <w:spacing w:line="360" w:lineRule="auto"/>
        <w:ind w:firstLine="480" w:firstLineChars="200"/>
        <w:outlineLvl w:val="9"/>
        <w:rPr>
          <w:rFonts w:hint="eastAsia"/>
          <w:sz w:val="24"/>
          <w:szCs w:val="24"/>
        </w:rPr>
      </w:pPr>
      <w:r>
        <w:rPr>
          <w:rFonts w:hint="eastAsia" w:ascii="宋体" w:hAnsi="宋体" w:cs="宋体"/>
          <w:color w:val="000000"/>
          <w:sz w:val="24"/>
          <w:szCs w:val="24"/>
          <w:lang w:val="en-US" w:eastAsia="zh-CN"/>
        </w:rPr>
        <w:t>2</w:t>
      </w:r>
      <w:r>
        <w:rPr>
          <w:rFonts w:hint="eastAsia" w:ascii="宋体" w:hAnsi="宋体" w:cs="宋体"/>
          <w:color w:val="000000"/>
          <w:sz w:val="24"/>
          <w:szCs w:val="24"/>
        </w:rPr>
        <w:t>.6供应商应参照《中华人民共和国政府采购法》及其它有关的中国法律和法规。</w:t>
      </w:r>
    </w:p>
    <w:bookmarkEnd w:id="46"/>
    <w:bookmarkEnd w:id="47"/>
    <w:bookmarkEnd w:id="48"/>
    <w:bookmarkEnd w:id="49"/>
    <w:p w14:paraId="4AF4FAE4">
      <w:pPr>
        <w:spacing w:line="360" w:lineRule="auto"/>
        <w:outlineLvl w:val="9"/>
        <w:rPr>
          <w:rFonts w:hint="eastAsia" w:ascii="宋体" w:hAnsi="宋体" w:eastAsia="宋体" w:cs="宋体"/>
          <w:b/>
          <w:bCs/>
          <w:kern w:val="2"/>
          <w:sz w:val="24"/>
          <w:szCs w:val="24"/>
          <w:lang w:val="en-US" w:eastAsia="zh-CN" w:bidi="ar-SA"/>
        </w:rPr>
      </w:pPr>
      <w:bookmarkStart w:id="50" w:name="_Toc152045536"/>
      <w:bookmarkStart w:id="51" w:name="_Toc144974504"/>
      <w:bookmarkStart w:id="52" w:name="_Toc179632553"/>
      <w:bookmarkStart w:id="53" w:name="_Toc152042312"/>
      <w:r>
        <w:rPr>
          <w:rFonts w:hint="eastAsia" w:ascii="宋体" w:hAnsi="宋体" w:cs="宋体"/>
          <w:b/>
          <w:bCs/>
          <w:kern w:val="2"/>
          <w:sz w:val="24"/>
          <w:szCs w:val="24"/>
          <w:lang w:val="en-US" w:eastAsia="zh-CN" w:bidi="ar-SA"/>
        </w:rPr>
        <w:t>3、</w:t>
      </w:r>
      <w:r>
        <w:rPr>
          <w:rFonts w:hint="eastAsia" w:ascii="宋体" w:hAnsi="宋体" w:eastAsia="宋体" w:cs="宋体"/>
          <w:b/>
          <w:bCs/>
          <w:kern w:val="2"/>
          <w:sz w:val="24"/>
          <w:szCs w:val="24"/>
          <w:lang w:val="en-US" w:eastAsia="zh-CN" w:bidi="ar-SA"/>
        </w:rPr>
        <w:t>磋商内容的合格性和合法性</w:t>
      </w:r>
    </w:p>
    <w:p w14:paraId="0FAC837F">
      <w:pPr>
        <w:tabs>
          <w:tab w:val="left" w:pos="720"/>
        </w:tabs>
        <w:spacing w:line="360" w:lineRule="auto"/>
        <w:ind w:left="479" w:leftChars="228"/>
        <w:outlineLvl w:val="9"/>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.1磋商内容应满足竞争性磋商文件的要求并应符合国家法律法规、行业管理部门</w:t>
      </w:r>
    </w:p>
    <w:p w14:paraId="5B147D26">
      <w:pPr>
        <w:tabs>
          <w:tab w:val="left" w:pos="720"/>
        </w:tabs>
        <w:spacing w:line="360" w:lineRule="auto"/>
        <w:outlineLvl w:val="9"/>
        <w:rPr>
          <w:rFonts w:hint="eastAsia" w:ascii="宋体" w:hAnsi="宋体" w:cs="宋体"/>
          <w:sz w:val="24"/>
          <w:szCs w:val="24"/>
        </w:rPr>
      </w:pPr>
      <w:r>
        <w:rPr>
          <w:rFonts w:hint="eastAsia" w:ascii="宋体" w:hAnsi="宋体" w:cs="宋体"/>
          <w:sz w:val="24"/>
          <w:szCs w:val="24"/>
        </w:rPr>
        <w:t>要求的其他强制性标准。</w:t>
      </w:r>
    </w:p>
    <w:p w14:paraId="340E622C">
      <w:pPr>
        <w:spacing w:line="360" w:lineRule="auto"/>
        <w:outlineLvl w:val="9"/>
        <w:rPr>
          <w:rFonts w:hint="eastAsia" w:ascii="宋体" w:hAnsi="宋体" w:eastAsia="宋体" w:cs="宋体"/>
          <w:b/>
          <w:bCs/>
          <w:kern w:val="2"/>
          <w:sz w:val="24"/>
          <w:szCs w:val="24"/>
          <w:lang w:val="en-US" w:eastAsia="zh-CN" w:bidi="ar-SA"/>
        </w:rPr>
      </w:pPr>
      <w:r>
        <w:rPr>
          <w:rFonts w:hint="eastAsia" w:ascii="宋体" w:hAnsi="宋体" w:cs="宋体"/>
          <w:b/>
          <w:bCs/>
          <w:kern w:val="2"/>
          <w:sz w:val="24"/>
          <w:szCs w:val="24"/>
          <w:lang w:val="en-US" w:eastAsia="zh-CN" w:bidi="ar-SA"/>
        </w:rPr>
        <w:t>4、</w:t>
      </w:r>
      <w:r>
        <w:rPr>
          <w:rFonts w:hint="eastAsia" w:ascii="宋体" w:hAnsi="宋体" w:eastAsia="宋体" w:cs="宋体"/>
          <w:b/>
          <w:bCs/>
          <w:kern w:val="2"/>
          <w:sz w:val="24"/>
          <w:szCs w:val="24"/>
          <w:lang w:val="en-US" w:eastAsia="zh-CN" w:bidi="ar-SA"/>
        </w:rPr>
        <w:t>竞争性磋商响应文件内容的真实性</w:t>
      </w:r>
    </w:p>
    <w:p w14:paraId="03FFCFA8">
      <w:pPr>
        <w:tabs>
          <w:tab w:val="left" w:pos="720"/>
        </w:tabs>
        <w:spacing w:line="360" w:lineRule="auto"/>
        <w:ind w:left="479" w:leftChars="228"/>
        <w:outlineLvl w:val="9"/>
        <w:rPr>
          <w:rFonts w:hint="eastAsia" w:ascii="宋体" w:hAnsi="宋体" w:cs="宋体"/>
          <w:sz w:val="24"/>
          <w:szCs w:val="24"/>
          <w:lang w:val="en-US" w:eastAsia="zh-CN"/>
        </w:rPr>
      </w:pPr>
      <w:r>
        <w:rPr>
          <w:rFonts w:hint="eastAsia" w:ascii="宋体" w:hAnsi="宋体" w:cs="宋体"/>
          <w:sz w:val="24"/>
          <w:szCs w:val="24"/>
          <w:lang w:val="en-US" w:eastAsia="zh-CN"/>
        </w:rPr>
        <w:t>4.1供应商应保证其竞争性磋商响应文件中所提供的所有磋商资料、信息是真实的，</w:t>
      </w:r>
    </w:p>
    <w:p w14:paraId="7FE140D6">
      <w:pPr>
        <w:tabs>
          <w:tab w:val="left" w:pos="720"/>
        </w:tabs>
        <w:spacing w:line="360" w:lineRule="auto"/>
        <w:outlineLvl w:val="9"/>
        <w:rPr>
          <w:rFonts w:hint="eastAsia" w:ascii="宋体" w:hAnsi="宋体" w:cs="宋体"/>
          <w:sz w:val="24"/>
          <w:szCs w:val="24"/>
          <w:lang w:val="en-US" w:eastAsia="zh-CN"/>
        </w:rPr>
      </w:pPr>
      <w:r>
        <w:rPr>
          <w:rFonts w:hint="eastAsia" w:ascii="宋体" w:hAnsi="宋体" w:cs="宋体"/>
          <w:sz w:val="24"/>
          <w:szCs w:val="24"/>
          <w:lang w:val="en-US" w:eastAsia="zh-CN"/>
        </w:rPr>
        <w:t>并且来源于合法的渠道。因竞争性磋商响应文件中所提供的磋商资料、信息不真实或者其来源不合法而导致的所有法律责任，由供应商自行承担。</w:t>
      </w:r>
    </w:p>
    <w:p w14:paraId="6414CBBB">
      <w:pPr>
        <w:spacing w:line="360" w:lineRule="auto"/>
        <w:outlineLvl w:val="9"/>
        <w:rPr>
          <w:rFonts w:hint="eastAsia" w:ascii="宋体" w:hAnsi="宋体" w:eastAsia="宋体" w:cs="宋体"/>
          <w:b/>
          <w:bCs/>
          <w:kern w:val="2"/>
          <w:sz w:val="24"/>
          <w:szCs w:val="24"/>
          <w:lang w:val="en-US" w:eastAsia="zh-CN" w:bidi="ar-SA"/>
        </w:rPr>
      </w:pPr>
      <w:r>
        <w:rPr>
          <w:rFonts w:hint="eastAsia" w:ascii="宋体" w:hAnsi="宋体" w:cs="宋体"/>
          <w:b/>
          <w:bCs/>
          <w:kern w:val="2"/>
          <w:sz w:val="24"/>
          <w:szCs w:val="24"/>
          <w:lang w:val="en-US" w:eastAsia="zh-CN" w:bidi="ar-SA"/>
        </w:rPr>
        <w:t>5、</w:t>
      </w:r>
      <w:r>
        <w:rPr>
          <w:rFonts w:hint="eastAsia" w:ascii="宋体" w:hAnsi="宋体" w:eastAsia="宋体" w:cs="宋体"/>
          <w:b/>
          <w:bCs/>
          <w:kern w:val="2"/>
          <w:sz w:val="24"/>
          <w:szCs w:val="24"/>
          <w:lang w:val="en-US" w:eastAsia="zh-CN" w:bidi="ar-SA"/>
        </w:rPr>
        <w:t>磋商过程的监督和管理</w:t>
      </w:r>
    </w:p>
    <w:p w14:paraId="0B3253D9">
      <w:pPr>
        <w:tabs>
          <w:tab w:val="left" w:pos="720"/>
        </w:tabs>
        <w:spacing w:line="360" w:lineRule="auto"/>
        <w:ind w:left="479" w:leftChars="228"/>
        <w:outlineLvl w:val="9"/>
        <w:rPr>
          <w:rFonts w:hint="eastAsia" w:ascii="宋体" w:hAnsi="宋体" w:cs="宋体"/>
          <w:sz w:val="24"/>
          <w:szCs w:val="24"/>
          <w:lang w:val="en-US" w:eastAsia="zh-CN"/>
        </w:rPr>
      </w:pPr>
      <w:r>
        <w:rPr>
          <w:rFonts w:hint="eastAsia" w:ascii="宋体" w:hAnsi="宋体" w:cs="宋体"/>
          <w:sz w:val="24"/>
          <w:szCs w:val="24"/>
          <w:lang w:val="en-US" w:eastAsia="zh-CN"/>
        </w:rPr>
        <w:t>5.1同级人民政府财政部门及有关部门依法履行对竞争性磋商过程的监督管理职</w:t>
      </w:r>
    </w:p>
    <w:p w14:paraId="5D0B8E39">
      <w:pPr>
        <w:tabs>
          <w:tab w:val="left" w:pos="720"/>
        </w:tabs>
        <w:spacing w:line="240" w:lineRule="auto"/>
        <w:outlineLvl w:val="9"/>
        <w:rPr>
          <w:rFonts w:hint="eastAsia" w:ascii="宋体" w:hAnsi="宋体" w:cs="宋体"/>
          <w:sz w:val="24"/>
          <w:szCs w:val="24"/>
          <w:lang w:val="en-US" w:eastAsia="zh-CN"/>
        </w:rPr>
      </w:pPr>
      <w:r>
        <w:rPr>
          <w:rFonts w:hint="eastAsia" w:ascii="宋体" w:hAnsi="宋体" w:cs="宋体"/>
          <w:sz w:val="24"/>
          <w:szCs w:val="24"/>
          <w:lang w:val="en-US" w:eastAsia="zh-CN"/>
        </w:rPr>
        <w:t>责。</w:t>
      </w:r>
    </w:p>
    <w:p w14:paraId="1E0C8BA9">
      <w:pPr>
        <w:spacing w:line="240" w:lineRule="auto"/>
        <w:outlineLvl w:val="9"/>
        <w:rPr>
          <w:rFonts w:ascii="宋体" w:hAnsi="宋体" w:cs="宋体"/>
          <w:b/>
          <w:bCs/>
          <w:sz w:val="24"/>
          <w:szCs w:val="24"/>
        </w:rPr>
      </w:pPr>
      <w:r>
        <w:rPr>
          <w:rFonts w:hint="eastAsia" w:ascii="宋体" w:hAnsi="宋体" w:cs="宋体"/>
          <w:b/>
          <w:bCs/>
          <w:sz w:val="24"/>
          <w:szCs w:val="24"/>
          <w:lang w:val="en-US" w:eastAsia="zh-CN"/>
        </w:rPr>
        <w:t>6</w:t>
      </w:r>
      <w:r>
        <w:rPr>
          <w:rFonts w:hint="eastAsia" w:ascii="宋体" w:hAnsi="宋体" w:cs="宋体"/>
          <w:b/>
          <w:bCs/>
          <w:sz w:val="24"/>
          <w:szCs w:val="24"/>
        </w:rPr>
        <w:t>、保密</w:t>
      </w:r>
      <w:bookmarkEnd w:id="50"/>
      <w:bookmarkEnd w:id="51"/>
      <w:bookmarkEnd w:id="52"/>
      <w:bookmarkEnd w:id="53"/>
    </w:p>
    <w:p w14:paraId="3D59B05B">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xml:space="preserve">.1参与招标活动的各方应对竞争性磋商文件和竞争性磋商响应文件中的商业和技术等秘密保密，违者应对由此造成的后果承担法律责任。 </w:t>
      </w:r>
    </w:p>
    <w:p w14:paraId="3F5E3D4B">
      <w:pPr>
        <w:pStyle w:val="43"/>
        <w:spacing w:line="360" w:lineRule="auto"/>
        <w:ind w:firstLine="482" w:firstLineChars="200"/>
        <w:outlineLvl w:val="9"/>
        <w:rPr>
          <w:rFonts w:asciiTheme="minorEastAsia" w:hAnsiTheme="minorEastAsia" w:eastAsiaTheme="minorEastAsia" w:cstheme="minorEastAsia"/>
          <w:b/>
          <w:sz w:val="24"/>
          <w:szCs w:val="24"/>
        </w:rPr>
      </w:pPr>
      <w:bookmarkStart w:id="54" w:name="_Toc622"/>
      <w:bookmarkStart w:id="55" w:name="_Toc16996"/>
      <w:bookmarkStart w:id="56" w:name="_Toc29929"/>
      <w:bookmarkStart w:id="57" w:name="_Toc23337"/>
      <w:bookmarkStart w:id="58" w:name="_Toc7627"/>
      <w:bookmarkStart w:id="59" w:name="_Toc1428"/>
      <w:bookmarkStart w:id="60" w:name="_Toc1845"/>
      <w:bookmarkStart w:id="61" w:name="_Toc13815"/>
      <w:bookmarkStart w:id="62" w:name="_Toc12425"/>
      <w:bookmarkStart w:id="63" w:name="_Toc513557028"/>
      <w:r>
        <w:rPr>
          <w:rFonts w:hint="eastAsia" w:asciiTheme="minorEastAsia" w:hAnsiTheme="minorEastAsia" w:eastAsiaTheme="minorEastAsia" w:cstheme="minorEastAsia"/>
          <w:b/>
          <w:sz w:val="24"/>
          <w:szCs w:val="24"/>
        </w:rPr>
        <w:t>2．竞争性磋商文件</w:t>
      </w:r>
      <w:bookmarkEnd w:id="54"/>
      <w:bookmarkEnd w:id="55"/>
      <w:bookmarkEnd w:id="56"/>
      <w:bookmarkEnd w:id="57"/>
      <w:bookmarkEnd w:id="58"/>
      <w:bookmarkEnd w:id="59"/>
      <w:bookmarkEnd w:id="60"/>
      <w:bookmarkEnd w:id="61"/>
      <w:bookmarkEnd w:id="62"/>
      <w:bookmarkEnd w:id="63"/>
    </w:p>
    <w:p w14:paraId="0D85C459">
      <w:pPr>
        <w:pStyle w:val="44"/>
        <w:adjustRightInd w:val="0"/>
        <w:snapToGrid w:val="0"/>
        <w:spacing w:line="360" w:lineRule="auto"/>
        <w:outlineLvl w:val="9"/>
        <w:rPr>
          <w:rFonts w:asciiTheme="minorEastAsia" w:hAnsiTheme="minorEastAsia" w:eastAsiaTheme="minorEastAsia" w:cstheme="minorEastAsia"/>
          <w:sz w:val="24"/>
          <w:szCs w:val="24"/>
        </w:rPr>
      </w:pPr>
      <w:bookmarkStart w:id="64" w:name="_Toc179632561"/>
      <w:bookmarkStart w:id="65" w:name="_Toc152042319"/>
      <w:bookmarkStart w:id="66" w:name="_Toc152045543"/>
      <w:bookmarkStart w:id="67" w:name="_Toc144974511"/>
      <w:r>
        <w:rPr>
          <w:rFonts w:hint="eastAsia" w:ascii="宋体" w:hAnsi="宋体" w:eastAsia="宋体"/>
          <w:b/>
          <w:sz w:val="24"/>
          <w:szCs w:val="24"/>
          <w:lang w:val="en-US" w:eastAsia="zh-CN"/>
        </w:rPr>
        <w:t>7</w:t>
      </w:r>
      <w:r>
        <w:rPr>
          <w:rFonts w:hint="eastAsia" w:ascii="宋体" w:hAnsi="宋体" w:eastAsia="宋体"/>
          <w:b/>
          <w:sz w:val="24"/>
          <w:szCs w:val="24"/>
        </w:rPr>
        <w:t>、竞争性磋商文件的组成</w:t>
      </w:r>
      <w:bookmarkEnd w:id="64"/>
      <w:bookmarkEnd w:id="65"/>
      <w:bookmarkEnd w:id="66"/>
      <w:bookmarkEnd w:id="67"/>
    </w:p>
    <w:p w14:paraId="514C8418">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.1竞争性磋商</w:t>
      </w:r>
      <w:r>
        <w:rPr>
          <w:rFonts w:hint="eastAsia" w:ascii="宋体" w:hAnsi="宋体" w:cs="宋体"/>
          <w:sz w:val="24"/>
          <w:szCs w:val="24"/>
        </w:rPr>
        <w:t>文件包括以下内容：</w:t>
      </w:r>
    </w:p>
    <w:p w14:paraId="35060102">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（1）竞争性磋商公告；</w:t>
      </w:r>
    </w:p>
    <w:p w14:paraId="07A1E20D">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w:t>
      </w:r>
      <w:r>
        <w:rPr>
          <w:rFonts w:hint="eastAsia" w:ascii="宋体" w:hAnsi="宋体" w:cs="宋体"/>
          <w:sz w:val="24"/>
          <w:szCs w:val="24"/>
        </w:rPr>
        <w:t>须知</w:t>
      </w:r>
      <w:r>
        <w:rPr>
          <w:rFonts w:hint="eastAsia" w:asciiTheme="minorEastAsia" w:hAnsiTheme="minorEastAsia" w:eastAsiaTheme="minorEastAsia" w:cstheme="minorEastAsia"/>
          <w:sz w:val="24"/>
          <w:szCs w:val="24"/>
        </w:rPr>
        <w:t>前附表及供应商</w:t>
      </w:r>
      <w:r>
        <w:rPr>
          <w:rFonts w:hint="eastAsia" w:ascii="宋体" w:hAnsi="宋体" w:cs="宋体"/>
          <w:sz w:val="24"/>
          <w:szCs w:val="24"/>
        </w:rPr>
        <w:t>须知</w:t>
      </w:r>
      <w:r>
        <w:rPr>
          <w:rFonts w:hint="eastAsia" w:asciiTheme="minorEastAsia" w:hAnsiTheme="minorEastAsia" w:eastAsiaTheme="minorEastAsia" w:cstheme="minorEastAsia"/>
          <w:sz w:val="24"/>
          <w:szCs w:val="24"/>
        </w:rPr>
        <w:t>；</w:t>
      </w:r>
    </w:p>
    <w:p w14:paraId="21C442F4">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（3）评审办法；</w:t>
      </w:r>
    </w:p>
    <w:p w14:paraId="2B92AAD6">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（4）合同条款及合同文件格式；</w:t>
      </w:r>
    </w:p>
    <w:p w14:paraId="43C2B280">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宋体" w:hAnsi="宋体" w:cs="宋体" w:eastAsiaTheme="minorEastAsia"/>
          <w:bCs/>
          <w:sz w:val="24"/>
          <w:szCs w:val="24"/>
          <w:lang w:eastAsia="zh-CN"/>
        </w:rPr>
        <w:t>工程量清单</w:t>
      </w:r>
      <w:r>
        <w:rPr>
          <w:rFonts w:hint="eastAsia" w:asciiTheme="minorEastAsia" w:hAnsiTheme="minorEastAsia" w:eastAsiaTheme="minorEastAsia" w:cstheme="minorEastAsia"/>
          <w:sz w:val="24"/>
          <w:szCs w:val="24"/>
        </w:rPr>
        <w:t xml:space="preserve">； </w:t>
      </w:r>
    </w:p>
    <w:p w14:paraId="4F50843C">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）竞争性磋商响应文件格式。</w:t>
      </w:r>
    </w:p>
    <w:p w14:paraId="02F73DA1">
      <w:pPr>
        <w:spacing w:line="360" w:lineRule="auto"/>
        <w:ind w:firstLine="480" w:firstLineChars="200"/>
        <w:outlineLvl w:val="9"/>
        <w:rPr>
          <w:rFonts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.2 除</w:t>
      </w:r>
      <w:r>
        <w:rPr>
          <w:rFonts w:hint="eastAsia" w:ascii="宋体" w:hAnsi="宋体" w:cs="宋体"/>
          <w:sz w:val="24"/>
          <w:szCs w:val="24"/>
          <w:lang w:val="en-US" w:eastAsia="zh-CN"/>
        </w:rPr>
        <w:t>7</w:t>
      </w:r>
      <w:r>
        <w:rPr>
          <w:rFonts w:hint="eastAsia" w:ascii="宋体" w:hAnsi="宋体" w:cs="宋体"/>
          <w:sz w:val="24"/>
          <w:szCs w:val="24"/>
        </w:rPr>
        <w:t>.1内容外，</w:t>
      </w:r>
      <w:r>
        <w:rPr>
          <w:rFonts w:hint="eastAsia" w:ascii="宋体" w:hAnsi="宋体" w:cs="宋体"/>
          <w:sz w:val="24"/>
          <w:szCs w:val="24"/>
          <w:lang w:eastAsia="zh-CN"/>
        </w:rPr>
        <w:t>采购代理机构</w:t>
      </w:r>
      <w:r>
        <w:rPr>
          <w:rFonts w:hint="eastAsia" w:ascii="宋体" w:hAnsi="宋体" w:cs="宋体"/>
          <w:sz w:val="24"/>
          <w:szCs w:val="24"/>
        </w:rPr>
        <w:t>以书面形式发出的对</w:t>
      </w:r>
      <w:r>
        <w:rPr>
          <w:rFonts w:hint="eastAsia" w:asciiTheme="minorEastAsia" w:hAnsiTheme="minorEastAsia" w:eastAsiaTheme="minorEastAsia" w:cstheme="minorEastAsia"/>
          <w:sz w:val="24"/>
          <w:szCs w:val="24"/>
        </w:rPr>
        <w:t>竞争性磋商</w:t>
      </w:r>
      <w:r>
        <w:rPr>
          <w:rFonts w:hint="eastAsia" w:ascii="宋体" w:hAnsi="宋体" w:cs="宋体"/>
          <w:sz w:val="24"/>
          <w:szCs w:val="24"/>
        </w:rPr>
        <w:t>文件的澄清或修改内容，均为</w:t>
      </w:r>
      <w:r>
        <w:rPr>
          <w:rFonts w:hint="eastAsia" w:asciiTheme="minorEastAsia" w:hAnsiTheme="minorEastAsia" w:eastAsiaTheme="minorEastAsia" w:cstheme="minorEastAsia"/>
          <w:sz w:val="24"/>
          <w:szCs w:val="24"/>
        </w:rPr>
        <w:t>竞争性磋商</w:t>
      </w:r>
      <w:r>
        <w:rPr>
          <w:rFonts w:hint="eastAsia" w:ascii="宋体" w:hAnsi="宋体" w:cs="宋体"/>
          <w:sz w:val="24"/>
          <w:szCs w:val="24"/>
        </w:rPr>
        <w:t>文件的组成部分，对</w:t>
      </w:r>
      <w:r>
        <w:rPr>
          <w:rFonts w:hint="eastAsia" w:ascii="宋体" w:hAnsi="宋体" w:cs="宋体"/>
          <w:sz w:val="24"/>
          <w:szCs w:val="24"/>
          <w:lang w:eastAsia="zh-CN"/>
        </w:rPr>
        <w:t>采购代理机构</w:t>
      </w:r>
      <w:r>
        <w:rPr>
          <w:rFonts w:hint="eastAsia" w:ascii="宋体" w:hAnsi="宋体" w:cs="宋体"/>
          <w:sz w:val="24"/>
          <w:szCs w:val="24"/>
        </w:rPr>
        <w:t>和供应商起约束作用。</w:t>
      </w:r>
    </w:p>
    <w:p w14:paraId="18D0D706">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7.3</w:t>
      </w:r>
      <w:r>
        <w:rPr>
          <w:rFonts w:hint="eastAsia" w:ascii="宋体" w:hAnsi="宋体" w:cs="宋体"/>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55089374">
      <w:pPr>
        <w:pStyle w:val="23"/>
        <w:spacing w:before="0" w:beforeAutospacing="0" w:after="0" w:afterAutospacing="0" w:line="360" w:lineRule="auto"/>
        <w:ind w:firstLine="480" w:firstLineChars="200"/>
        <w:jc w:val="both"/>
        <w:outlineLvl w:val="9"/>
        <w:rPr>
          <w:rFonts w:hint="eastAsia" w:ascii="宋体" w:hAnsi="宋体" w:cs="宋体"/>
          <w:kern w:val="2"/>
          <w:sz w:val="24"/>
          <w:szCs w:val="24"/>
          <w:lang w:bidi="ar"/>
        </w:rPr>
      </w:pPr>
      <w:bookmarkStart w:id="68" w:name="_Toc144974512"/>
      <w:bookmarkStart w:id="69" w:name="_Toc152045544"/>
      <w:bookmarkStart w:id="70" w:name="_Toc152042320"/>
      <w:bookmarkStart w:id="71" w:name="_Toc179632562"/>
      <w:r>
        <w:rPr>
          <w:rFonts w:hint="eastAsia" w:cs="宋体"/>
          <w:bCs/>
          <w:sz w:val="24"/>
          <w:szCs w:val="24"/>
          <w:lang w:val="en-US" w:eastAsia="zh-CN"/>
        </w:rPr>
        <w:t>7</w:t>
      </w:r>
      <w:r>
        <w:rPr>
          <w:rFonts w:hint="eastAsia" w:ascii="宋体" w:hAnsi="宋体" w:cs="宋体"/>
          <w:bCs/>
          <w:sz w:val="24"/>
          <w:szCs w:val="24"/>
        </w:rPr>
        <w:t>.</w:t>
      </w:r>
      <w:r>
        <w:rPr>
          <w:rFonts w:hint="eastAsia" w:ascii="宋体" w:hAnsi="宋体" w:cs="宋体"/>
          <w:bCs/>
          <w:sz w:val="24"/>
          <w:szCs w:val="24"/>
          <w:lang w:val="en-US" w:eastAsia="zh-CN"/>
        </w:rPr>
        <w:t>3</w:t>
      </w:r>
      <w:r>
        <w:rPr>
          <w:rFonts w:hint="eastAsia" w:ascii="宋体" w:hAnsi="宋体" w:cs="宋体"/>
          <w:bCs/>
          <w:sz w:val="24"/>
          <w:szCs w:val="24"/>
        </w:rPr>
        <w:t>.1</w:t>
      </w:r>
      <w:r>
        <w:rPr>
          <w:rFonts w:hint="eastAsia" w:ascii="宋体" w:hAnsi="宋体" w:cs="宋体"/>
          <w:spacing w:val="6"/>
          <w:kern w:val="2"/>
          <w:sz w:val="24"/>
          <w:szCs w:val="24"/>
          <w:lang w:bidi="ar"/>
        </w:rPr>
        <w:t>根据</w:t>
      </w:r>
      <w:r>
        <w:rPr>
          <w:rFonts w:hint="eastAsia" w:ascii="宋体" w:hAnsi="宋体" w:cs="宋体"/>
          <w:sz w:val="24"/>
          <w:szCs w:val="24"/>
          <w:shd w:val="clear" w:color="auto" w:fill="FFFFFF"/>
        </w:rPr>
        <w:t>《政府采购促进中小企业发展管理办法》（财库〔2020〕46号）</w:t>
      </w:r>
      <w:r>
        <w:rPr>
          <w:rFonts w:hint="eastAsia" w:ascii="宋体" w:hAnsi="宋体" w:cs="宋体"/>
          <w:kern w:val="2"/>
          <w:sz w:val="24"/>
          <w:szCs w:val="24"/>
          <w:lang w:bidi="ar"/>
        </w:rPr>
        <w:t>；</w:t>
      </w:r>
    </w:p>
    <w:p w14:paraId="483841DD">
      <w:pPr>
        <w:pStyle w:val="24"/>
        <w:keepNext w:val="0"/>
        <w:keepLines w:val="0"/>
        <w:pageBreakBefore w:val="0"/>
        <w:kinsoku/>
        <w:wordWrap/>
        <w:overflowPunct/>
        <w:topLinePunct w:val="0"/>
        <w:autoSpaceDE/>
        <w:autoSpaceDN/>
        <w:bidi w:val="0"/>
        <w:adjustRightInd w:val="0"/>
        <w:snapToGrid w:val="0"/>
        <w:spacing w:line="360" w:lineRule="auto"/>
        <w:outlineLvl w:val="9"/>
        <w:rPr>
          <w:rFonts w:hint="eastAsia" w:ascii="宋体" w:hAnsi="宋体" w:cs="宋体"/>
          <w:b w:val="0"/>
          <w:bCs/>
          <w:color w:val="000000"/>
          <w:sz w:val="24"/>
          <w:szCs w:val="24"/>
          <w:shd w:val="clear" w:color="auto" w:fill="FFFFFF"/>
          <w:lang w:val="en-US" w:eastAsia="zh-CN"/>
        </w:rPr>
      </w:pPr>
      <w:r>
        <w:rPr>
          <w:rFonts w:hint="eastAsia" w:ascii="宋体" w:hAnsi="宋体" w:cs="宋体"/>
          <w:b w:val="0"/>
          <w:bCs/>
          <w:color w:val="000000"/>
          <w:sz w:val="24"/>
          <w:szCs w:val="24"/>
          <w:shd w:val="clear" w:color="auto" w:fill="FFFFFF"/>
          <w:lang w:val="en-US" w:eastAsia="zh-CN"/>
        </w:rPr>
        <w:t>7.3.2根据《陕西省财政厅关于进一步加大政府采购支持中小企业力度的通知》（陕财办采</w:t>
      </w:r>
      <w:r>
        <w:rPr>
          <w:rFonts w:hint="eastAsia" w:ascii="宋体" w:hAnsi="宋体" w:cs="宋体"/>
          <w:b w:val="0"/>
          <w:bCs/>
          <w:color w:val="000000"/>
          <w:sz w:val="24"/>
          <w:szCs w:val="24"/>
          <w:shd w:val="clear" w:color="auto" w:fill="FFFFFF"/>
        </w:rPr>
        <w:t>〔</w:t>
      </w:r>
      <w:r>
        <w:rPr>
          <w:rFonts w:hint="eastAsia" w:ascii="宋体" w:hAnsi="宋体" w:cs="宋体"/>
          <w:b w:val="0"/>
          <w:bCs/>
          <w:color w:val="000000"/>
          <w:sz w:val="24"/>
          <w:szCs w:val="24"/>
          <w:shd w:val="clear" w:color="auto" w:fill="FFFFFF"/>
          <w:lang w:val="en-US" w:eastAsia="zh-CN"/>
        </w:rPr>
        <w:t>2022</w:t>
      </w:r>
      <w:r>
        <w:rPr>
          <w:rFonts w:hint="eastAsia" w:ascii="宋体" w:hAnsi="宋体" w:cs="宋体"/>
          <w:b w:val="0"/>
          <w:bCs/>
          <w:color w:val="000000"/>
          <w:sz w:val="24"/>
          <w:szCs w:val="24"/>
          <w:shd w:val="clear" w:color="auto" w:fill="FFFFFF"/>
        </w:rPr>
        <w:t>〕</w:t>
      </w:r>
      <w:r>
        <w:rPr>
          <w:rFonts w:hint="eastAsia" w:ascii="宋体" w:hAnsi="宋体" w:cs="宋体"/>
          <w:b w:val="0"/>
          <w:bCs/>
          <w:color w:val="000000"/>
          <w:sz w:val="24"/>
          <w:szCs w:val="24"/>
          <w:shd w:val="clear" w:color="auto" w:fill="FFFFFF"/>
          <w:lang w:val="en-US" w:eastAsia="zh-CN"/>
        </w:rPr>
        <w:t>5号）；</w:t>
      </w:r>
    </w:p>
    <w:p w14:paraId="3AFCA7F5">
      <w:pPr>
        <w:spacing w:line="360" w:lineRule="auto"/>
        <w:ind w:firstLine="480" w:firstLineChars="200"/>
        <w:outlineLvl w:val="9"/>
        <w:rPr>
          <w:rFonts w:hint="default"/>
          <w:sz w:val="24"/>
          <w:szCs w:val="24"/>
          <w:lang w:val="en-US"/>
        </w:rPr>
      </w:pPr>
      <w:r>
        <w:rPr>
          <w:rFonts w:hint="eastAsia" w:ascii="宋体" w:hAnsi="宋体" w:cs="宋体"/>
          <w:color w:val="000000"/>
          <w:sz w:val="24"/>
          <w:szCs w:val="24"/>
          <w:shd w:val="clear" w:color="auto" w:fill="FFFFFF"/>
          <w:lang w:val="en-US" w:eastAsia="zh-CN"/>
        </w:rPr>
        <w:t>7.3.3根据《榆林市财政局关于进一步加大政府采购支持中小企业力度的通知》（榆政财采发</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2022</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10号）；</w:t>
      </w:r>
    </w:p>
    <w:p w14:paraId="7B7953E7">
      <w:pPr>
        <w:widowControl/>
        <w:tabs>
          <w:tab w:val="left" w:pos="1620"/>
        </w:tabs>
        <w:spacing w:line="360" w:lineRule="auto"/>
        <w:ind w:firstLine="420" w:firstLineChars="175"/>
        <w:jc w:val="left"/>
        <w:outlineLvl w:val="9"/>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4</w:t>
      </w:r>
      <w:r>
        <w:rPr>
          <w:rFonts w:hint="eastAsia" w:ascii="宋体" w:hAnsi="宋体" w:cs="宋体"/>
          <w:bCs/>
          <w:kern w:val="0"/>
          <w:sz w:val="24"/>
          <w:szCs w:val="24"/>
        </w:rPr>
        <w:t>《财政部司法部关于政府采购支持监狱企业发展有关问题的通知》--财库[2014]68号 ；</w:t>
      </w:r>
    </w:p>
    <w:p w14:paraId="51BCBF29">
      <w:pPr>
        <w:widowControl/>
        <w:tabs>
          <w:tab w:val="left" w:pos="1620"/>
        </w:tabs>
        <w:spacing w:line="360" w:lineRule="auto"/>
        <w:ind w:firstLine="420" w:firstLineChars="175"/>
        <w:jc w:val="left"/>
        <w:outlineLvl w:val="9"/>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5</w:t>
      </w:r>
      <w:r>
        <w:rPr>
          <w:rFonts w:hint="eastAsia" w:ascii="宋体" w:hAnsi="宋体" w:cs="宋体"/>
          <w:bCs/>
          <w:kern w:val="0"/>
          <w:sz w:val="24"/>
          <w:szCs w:val="24"/>
        </w:rPr>
        <w:t>《国务院办公厅关于建立政府强制采购节能产品制度的通知》--国办发[2007]51号 ；</w:t>
      </w:r>
    </w:p>
    <w:p w14:paraId="26759342">
      <w:pPr>
        <w:widowControl/>
        <w:tabs>
          <w:tab w:val="left" w:pos="1620"/>
        </w:tabs>
        <w:spacing w:line="360" w:lineRule="auto"/>
        <w:ind w:firstLine="420" w:firstLineChars="175"/>
        <w:jc w:val="left"/>
        <w:outlineLvl w:val="9"/>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6</w:t>
      </w:r>
      <w:r>
        <w:rPr>
          <w:rFonts w:hint="eastAsia" w:ascii="宋体" w:hAnsi="宋体" w:cs="宋体"/>
          <w:bCs/>
          <w:kern w:val="0"/>
          <w:sz w:val="24"/>
          <w:szCs w:val="24"/>
        </w:rPr>
        <w:t xml:space="preserve">《节能产品政府采购实施意见》--（财库[2004]185号）； </w:t>
      </w:r>
    </w:p>
    <w:p w14:paraId="0853C796">
      <w:pPr>
        <w:widowControl/>
        <w:tabs>
          <w:tab w:val="left" w:pos="1620"/>
        </w:tabs>
        <w:spacing w:line="360" w:lineRule="auto"/>
        <w:ind w:firstLine="420" w:firstLineChars="175"/>
        <w:jc w:val="left"/>
        <w:outlineLvl w:val="9"/>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7</w:t>
      </w:r>
      <w:r>
        <w:rPr>
          <w:rFonts w:hint="eastAsia" w:ascii="宋体" w:hAnsi="宋体" w:cs="宋体"/>
          <w:bCs/>
          <w:kern w:val="0"/>
          <w:sz w:val="24"/>
          <w:szCs w:val="24"/>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391ABFF7">
      <w:pPr>
        <w:spacing w:line="360" w:lineRule="auto"/>
        <w:ind w:firstLine="420" w:firstLineChars="175"/>
        <w:outlineLvl w:val="9"/>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8</w:t>
      </w:r>
      <w:r>
        <w:rPr>
          <w:rFonts w:hint="eastAsia" w:ascii="宋体" w:hAnsi="宋体" w:cs="宋体"/>
          <w:bCs/>
          <w:kern w:val="0"/>
          <w:sz w:val="24"/>
          <w:szCs w:val="24"/>
        </w:rPr>
        <w:t>《财政部民政部中国残疾人联合会关于促进残疾人就业政府采购政策的通知》--（财库〔2017〕141号）；</w:t>
      </w:r>
    </w:p>
    <w:p w14:paraId="4897209E">
      <w:pPr>
        <w:pStyle w:val="11"/>
        <w:spacing w:line="360" w:lineRule="auto"/>
        <w:outlineLvl w:val="9"/>
        <w:rPr>
          <w:rFonts w:hint="eastAsia" w:ascii="宋体" w:hAnsi="宋体" w:cs="宋体"/>
          <w:b w:val="0"/>
          <w:bCs/>
          <w:kern w:val="0"/>
          <w:sz w:val="24"/>
          <w:szCs w:val="24"/>
        </w:rPr>
      </w:pPr>
      <w:r>
        <w:rPr>
          <w:rFonts w:hint="eastAsia" w:ascii="宋体" w:hAnsi="宋体" w:cs="宋体"/>
          <w:bCs/>
          <w:kern w:val="0"/>
          <w:sz w:val="24"/>
          <w:szCs w:val="24"/>
        </w:rPr>
        <w:t xml:space="preserve">   </w:t>
      </w:r>
      <w:r>
        <w:rPr>
          <w:rFonts w:hint="eastAsia" w:ascii="宋体" w:hAnsi="宋体" w:cs="宋体"/>
          <w:bCs/>
          <w:kern w:val="0"/>
          <w:sz w:val="24"/>
          <w:szCs w:val="24"/>
          <w:lang w:val="en-US" w:eastAsia="zh-CN"/>
        </w:rPr>
        <w:t>7</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3</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9</w:t>
      </w:r>
      <w:r>
        <w:rPr>
          <w:rFonts w:hint="eastAsia" w:ascii="宋体" w:hAnsi="宋体" w:cs="宋体"/>
          <w:b w:val="0"/>
          <w:bCs/>
          <w:kern w:val="0"/>
          <w:sz w:val="24"/>
          <w:szCs w:val="24"/>
        </w:rPr>
        <w:t>《政府采购贫困地区农副产品实施方案》--（财库〔2019〕41号）；</w:t>
      </w:r>
    </w:p>
    <w:p w14:paraId="4C0AACF0">
      <w:pPr>
        <w:widowControl/>
        <w:tabs>
          <w:tab w:val="left" w:pos="1620"/>
        </w:tabs>
        <w:adjustRightInd w:val="0"/>
        <w:snapToGrid w:val="0"/>
        <w:spacing w:line="360" w:lineRule="auto"/>
        <w:ind w:firstLine="480" w:firstLineChars="200"/>
        <w:jc w:val="left"/>
        <w:outlineLvl w:val="9"/>
        <w:rPr>
          <w:rFonts w:hint="eastAsia" w:ascii="宋体" w:hAnsi="宋体" w:cs="宋体"/>
          <w:bCs/>
          <w:kern w:val="0"/>
          <w:sz w:val="24"/>
          <w:szCs w:val="24"/>
        </w:rPr>
      </w:pPr>
      <w:r>
        <w:rPr>
          <w:rFonts w:hint="eastAsia" w:ascii="宋体" w:hAnsi="宋体" w:cs="宋体"/>
          <w:bCs/>
          <w:kern w:val="0"/>
          <w:sz w:val="24"/>
          <w:szCs w:val="24"/>
          <w:lang w:val="en-US" w:eastAsia="zh-CN"/>
        </w:rPr>
        <w:t>7</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10</w:t>
      </w:r>
      <w:r>
        <w:rPr>
          <w:rFonts w:hint="eastAsia" w:ascii="宋体" w:hAnsi="宋体" w:cs="宋体"/>
          <w:bCs/>
          <w:kern w:val="0"/>
          <w:sz w:val="24"/>
          <w:szCs w:val="24"/>
        </w:rPr>
        <w:t>《关于在政府采购活动中查询及使用信用记录有关问题的通知》（财库〔2016〕125号）；</w:t>
      </w:r>
    </w:p>
    <w:p w14:paraId="6AFFC285">
      <w:pPr>
        <w:pStyle w:val="11"/>
        <w:spacing w:line="360" w:lineRule="auto"/>
        <w:ind w:firstLine="480" w:firstLineChars="200"/>
        <w:outlineLvl w:val="9"/>
        <w:rPr>
          <w:rFonts w:hint="eastAsia" w:ascii="宋体" w:hAnsi="宋体" w:cs="宋体"/>
          <w:b w:val="0"/>
          <w:bCs/>
          <w:kern w:val="0"/>
          <w:sz w:val="24"/>
          <w:szCs w:val="24"/>
        </w:rPr>
      </w:pPr>
      <w:r>
        <w:rPr>
          <w:rFonts w:hint="eastAsia" w:ascii="宋体" w:hAnsi="宋体" w:cs="宋体"/>
          <w:b w:val="0"/>
          <w:bCs/>
          <w:kern w:val="0"/>
          <w:sz w:val="24"/>
          <w:szCs w:val="24"/>
          <w:lang w:val="en-US" w:eastAsia="zh-CN"/>
        </w:rPr>
        <w:t>7</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3</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11</w:t>
      </w:r>
      <w:r>
        <w:rPr>
          <w:rFonts w:hint="eastAsia" w:ascii="宋体" w:hAnsi="宋体" w:cs="宋体"/>
          <w:b w:val="0"/>
          <w:bCs/>
          <w:kern w:val="0"/>
          <w:sz w:val="24"/>
          <w:szCs w:val="24"/>
        </w:rPr>
        <w:t xml:space="preserve">《关于开展政府采购信用担保试点工作的通知》（财库【2011】124号）。 </w:t>
      </w:r>
    </w:p>
    <w:p w14:paraId="79D3F1F1">
      <w:pPr>
        <w:pStyle w:val="44"/>
        <w:adjustRightInd w:val="0"/>
        <w:snapToGrid w:val="0"/>
        <w:spacing w:line="360" w:lineRule="auto"/>
        <w:outlineLvl w:val="9"/>
        <w:rPr>
          <w:rFonts w:ascii="宋体" w:hAnsi="宋体" w:eastAsia="宋体"/>
          <w:b/>
          <w:sz w:val="24"/>
          <w:szCs w:val="24"/>
        </w:rPr>
      </w:pPr>
      <w:r>
        <w:rPr>
          <w:rFonts w:hint="eastAsia" w:ascii="宋体" w:hAnsi="宋体" w:cs="宋体"/>
          <w:bCs/>
          <w:kern w:val="0"/>
          <w:sz w:val="24"/>
          <w:szCs w:val="24"/>
          <w:lang w:val="en-US" w:eastAsia="zh-CN"/>
        </w:rPr>
        <w:t xml:space="preserve"> </w:t>
      </w:r>
      <w:r>
        <w:rPr>
          <w:rFonts w:hint="eastAsia" w:ascii="宋体" w:hAnsi="宋体" w:eastAsia="宋体"/>
          <w:b/>
          <w:sz w:val="24"/>
          <w:szCs w:val="24"/>
          <w:lang w:val="en-US" w:eastAsia="zh-CN"/>
        </w:rPr>
        <w:t>8</w:t>
      </w:r>
      <w:r>
        <w:rPr>
          <w:rFonts w:hint="eastAsia" w:ascii="宋体" w:hAnsi="宋体" w:eastAsia="宋体"/>
          <w:b/>
          <w:sz w:val="24"/>
          <w:szCs w:val="24"/>
        </w:rPr>
        <w:t>、竞争性磋商文件的澄清</w:t>
      </w:r>
      <w:bookmarkEnd w:id="68"/>
      <w:bookmarkEnd w:id="69"/>
      <w:bookmarkEnd w:id="70"/>
      <w:bookmarkEnd w:id="71"/>
    </w:p>
    <w:p w14:paraId="3EEA53C0">
      <w:pPr>
        <w:spacing w:line="360" w:lineRule="auto"/>
        <w:ind w:firstLine="480" w:firstLineChars="200"/>
        <w:outlineLvl w:val="9"/>
        <w:rPr>
          <w:rFonts w:hint="eastAsia" w:asciiTheme="minorEastAsia" w:hAnsiTheme="minorEastAsia" w:eastAsiaTheme="minorEastAsia" w:cstheme="minorEastAsia"/>
          <w:sz w:val="24"/>
          <w:szCs w:val="24"/>
        </w:rPr>
      </w:pPr>
      <w:bookmarkStart w:id="72" w:name="_Toc144974513"/>
      <w:bookmarkStart w:id="73" w:name="_Toc152045545"/>
      <w:bookmarkStart w:id="74" w:name="_Toc179632563"/>
      <w:bookmarkStart w:id="75" w:name="_Toc152042321"/>
      <w:r>
        <w:rPr>
          <w:rFonts w:hint="eastAsia" w:asciiTheme="minorEastAsia" w:hAnsiTheme="minorEastAsia" w:eastAsiaTheme="minorEastAsia" w:cstheme="minorEastAsia"/>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sz w:val="24"/>
          <w:szCs w:val="24"/>
          <w:lang w:val="en-US" w:eastAsia="zh-CN"/>
        </w:rPr>
        <w:t>不足5日的，顺延提交首次响应文件截止时间</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4D0339FB">
      <w:pPr>
        <w:pStyle w:val="44"/>
        <w:adjustRightInd w:val="0"/>
        <w:snapToGrid w:val="0"/>
        <w:spacing w:line="360" w:lineRule="auto"/>
        <w:outlineLvl w:val="9"/>
        <w:rPr>
          <w:rFonts w:ascii="宋体" w:hAnsi="宋体" w:eastAsia="宋体"/>
          <w:b/>
          <w:sz w:val="24"/>
          <w:szCs w:val="24"/>
        </w:rPr>
      </w:pPr>
      <w:r>
        <w:rPr>
          <w:rFonts w:hint="eastAsia" w:ascii="宋体" w:hAnsi="宋体" w:eastAsia="宋体"/>
          <w:b/>
          <w:sz w:val="24"/>
          <w:szCs w:val="24"/>
          <w:lang w:val="en-US" w:eastAsia="zh-CN"/>
        </w:rPr>
        <w:t>9</w:t>
      </w:r>
      <w:r>
        <w:rPr>
          <w:rFonts w:hint="eastAsia" w:ascii="宋体" w:hAnsi="宋体" w:eastAsia="宋体"/>
          <w:b/>
          <w:sz w:val="24"/>
          <w:szCs w:val="24"/>
        </w:rPr>
        <w:t>、竞争性磋商文件的修改</w:t>
      </w:r>
      <w:bookmarkEnd w:id="72"/>
      <w:bookmarkEnd w:id="73"/>
      <w:bookmarkEnd w:id="74"/>
      <w:bookmarkEnd w:id="75"/>
    </w:p>
    <w:p w14:paraId="3CF44D79">
      <w:pPr>
        <w:pageBreakBefore w:val="0"/>
        <w:bidi w:val="0"/>
        <w:spacing w:line="360" w:lineRule="auto"/>
        <w:ind w:firstLine="480" w:firstLineChars="200"/>
        <w:outlineLvl w:val="9"/>
        <w:rPr>
          <w:rFonts w:hint="eastAsia" w:ascii="宋体" w:hAnsi="宋体" w:eastAsia="宋体" w:cs="宋体"/>
          <w:color w:val="auto"/>
          <w:sz w:val="24"/>
          <w:szCs w:val="24"/>
        </w:rPr>
      </w:pPr>
      <w:bookmarkStart w:id="76" w:name="_Toc513557029"/>
      <w:bookmarkStart w:id="77" w:name="_Toc17851"/>
      <w:bookmarkStart w:id="78" w:name="_Toc510859894"/>
      <w:bookmarkStart w:id="79" w:name="_Toc363119280"/>
      <w:bookmarkStart w:id="80" w:name="_Toc510859688"/>
      <w:bookmarkStart w:id="81" w:name="_Toc8470"/>
      <w:bookmarkStart w:id="82" w:name="_Toc8450"/>
      <w:bookmarkStart w:id="83" w:name="_Toc30391"/>
      <w:r>
        <w:rPr>
          <w:rFonts w:hint="eastAsia" w:ascii="宋体" w:hAnsi="宋体" w:cs="宋体"/>
          <w:color w:val="auto"/>
          <w:sz w:val="24"/>
          <w:szCs w:val="24"/>
          <w:lang w:val="en-US" w:eastAsia="zh-CN"/>
        </w:rPr>
        <w:t>9</w:t>
      </w:r>
      <w:r>
        <w:rPr>
          <w:rFonts w:hint="eastAsia" w:ascii="宋体" w:hAnsi="宋体" w:eastAsia="宋体" w:cs="宋体"/>
          <w:color w:val="auto"/>
          <w:sz w:val="24"/>
          <w:szCs w:val="24"/>
        </w:rPr>
        <w:t>.1在采购活动截止前的任何时候，无论出于何种原因，采购代理机构可以对竞争性磋商文件进行修改，也可以在解答各供应商提出的澄清问题时，修改采购活动文件。</w:t>
      </w:r>
    </w:p>
    <w:p w14:paraId="7EEF5127">
      <w:pPr>
        <w:pageBreakBefore w:val="0"/>
        <w:bidi w:val="0"/>
        <w:spacing w:line="360" w:lineRule="auto"/>
        <w:ind w:firstLine="480"/>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2BD13F4E">
      <w:pPr>
        <w:pageBreakBefore w:val="0"/>
        <w:bidi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szCs w:val="24"/>
          <w:lang w:val="en-US" w:eastAsia="zh-CN"/>
        </w:rPr>
        <w:t>获取</w:t>
      </w:r>
      <w:r>
        <w:rPr>
          <w:rFonts w:hint="eastAsia" w:ascii="宋体" w:hAnsi="宋体" w:eastAsia="宋体" w:cs="宋体"/>
          <w:color w:val="auto"/>
          <w:sz w:val="24"/>
          <w:szCs w:val="24"/>
        </w:rPr>
        <w:t>竞争性磋商文件的供应商。</w:t>
      </w:r>
    </w:p>
    <w:p w14:paraId="7A7FF4D7">
      <w:pPr>
        <w:pStyle w:val="43"/>
        <w:spacing w:line="360" w:lineRule="auto"/>
        <w:ind w:firstLine="482" w:firstLineChars="200"/>
        <w:outlineLvl w:val="9"/>
        <w:rPr>
          <w:rFonts w:asciiTheme="minorEastAsia" w:hAnsiTheme="minorEastAsia" w:eastAsiaTheme="minorEastAsia" w:cstheme="minorEastAsia"/>
          <w:b/>
          <w:sz w:val="24"/>
          <w:szCs w:val="24"/>
        </w:rPr>
      </w:pPr>
      <w:bookmarkStart w:id="84" w:name="_Toc1315"/>
      <w:bookmarkStart w:id="85" w:name="_Toc8834"/>
      <w:bookmarkStart w:id="86" w:name="_Toc6028"/>
      <w:bookmarkStart w:id="87" w:name="_Toc19904"/>
      <w:bookmarkStart w:id="88" w:name="_Toc14923"/>
      <w:r>
        <w:rPr>
          <w:rFonts w:hint="eastAsia" w:asciiTheme="minorEastAsia" w:hAnsiTheme="minorEastAsia" w:eastAsiaTheme="minorEastAsia" w:cstheme="minorEastAsia"/>
          <w:b/>
          <w:sz w:val="24"/>
          <w:szCs w:val="24"/>
        </w:rPr>
        <w:t>3. 竞争性磋商响应文件</w:t>
      </w:r>
      <w:bookmarkEnd w:id="76"/>
      <w:bookmarkEnd w:id="77"/>
      <w:bookmarkEnd w:id="78"/>
      <w:bookmarkEnd w:id="79"/>
      <w:bookmarkEnd w:id="80"/>
      <w:r>
        <w:rPr>
          <w:rFonts w:hint="eastAsia" w:asciiTheme="minorEastAsia" w:hAnsiTheme="minorEastAsia" w:eastAsiaTheme="minorEastAsia" w:cstheme="minorEastAsia"/>
          <w:b/>
          <w:sz w:val="24"/>
          <w:szCs w:val="24"/>
        </w:rPr>
        <w:t>的编制</w:t>
      </w:r>
      <w:bookmarkEnd w:id="81"/>
      <w:bookmarkEnd w:id="82"/>
      <w:bookmarkEnd w:id="83"/>
      <w:bookmarkEnd w:id="84"/>
      <w:bookmarkEnd w:id="85"/>
      <w:bookmarkEnd w:id="86"/>
      <w:bookmarkEnd w:id="87"/>
      <w:bookmarkEnd w:id="88"/>
    </w:p>
    <w:p w14:paraId="55B2DD6F">
      <w:pPr>
        <w:pStyle w:val="44"/>
        <w:adjustRightInd w:val="0"/>
        <w:snapToGrid w:val="0"/>
        <w:spacing w:line="360" w:lineRule="auto"/>
        <w:outlineLvl w:val="9"/>
        <w:rPr>
          <w:rFonts w:ascii="宋体" w:hAnsi="宋体" w:cs="宋体"/>
          <w:sz w:val="24"/>
          <w:szCs w:val="24"/>
        </w:rPr>
      </w:pPr>
      <w:bookmarkStart w:id="89" w:name="_Toc152042323"/>
      <w:bookmarkStart w:id="90" w:name="_Toc152045547"/>
      <w:bookmarkStart w:id="91" w:name="_Toc179632565"/>
      <w:bookmarkStart w:id="92" w:name="_Toc144974515"/>
      <w:r>
        <w:rPr>
          <w:rFonts w:hint="eastAsia" w:ascii="宋体" w:hAnsi="宋体" w:eastAsia="宋体"/>
          <w:b/>
          <w:sz w:val="24"/>
          <w:szCs w:val="24"/>
          <w:lang w:val="en-US" w:eastAsia="zh-CN"/>
        </w:rPr>
        <w:t>10</w:t>
      </w:r>
      <w:r>
        <w:rPr>
          <w:rFonts w:hint="eastAsia" w:ascii="宋体" w:hAnsi="宋体" w:eastAsia="宋体"/>
          <w:b/>
          <w:sz w:val="24"/>
          <w:szCs w:val="24"/>
        </w:rPr>
        <w:t>、磋商语言和磋商货币</w:t>
      </w:r>
    </w:p>
    <w:p w14:paraId="0E03E783">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.1供应商提交的竞争性磋商响应文件以及供应商与采购代理机构就有关磋商的所有来往函电均应使用中文。</w:t>
      </w:r>
    </w:p>
    <w:p w14:paraId="2D671D8D">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.2磋商应以人民币报价。任何包含非人民币报价的磋商将按无效磋商处理。</w:t>
      </w:r>
    </w:p>
    <w:p w14:paraId="305C6B37">
      <w:pPr>
        <w:autoSpaceDE w:val="0"/>
        <w:autoSpaceDN w:val="0"/>
        <w:adjustRightInd w:val="0"/>
        <w:snapToGrid w:val="0"/>
        <w:spacing w:line="360" w:lineRule="auto"/>
        <w:outlineLvl w:val="9"/>
        <w:rPr>
          <w:rFonts w:ascii="宋体" w:hAnsi="宋体" w:eastAsia="宋体"/>
          <w:b/>
          <w:sz w:val="24"/>
          <w:szCs w:val="24"/>
        </w:rPr>
      </w:pPr>
      <w:r>
        <w:rPr>
          <w:rFonts w:hint="eastAsia" w:ascii="宋体" w:hAnsi="宋体"/>
          <w:b/>
          <w:sz w:val="24"/>
          <w:szCs w:val="24"/>
          <w:lang w:val="en-US" w:eastAsia="zh-CN"/>
        </w:rPr>
        <w:t>11</w:t>
      </w:r>
      <w:r>
        <w:rPr>
          <w:rFonts w:hint="eastAsia" w:ascii="宋体" w:hAnsi="宋体" w:eastAsia="宋体"/>
          <w:b/>
          <w:sz w:val="24"/>
          <w:szCs w:val="24"/>
        </w:rPr>
        <w:t>、竞争性磋商响应文件的组成</w:t>
      </w:r>
      <w:bookmarkEnd w:id="89"/>
      <w:bookmarkEnd w:id="90"/>
      <w:bookmarkEnd w:id="91"/>
      <w:bookmarkEnd w:id="92"/>
    </w:p>
    <w:p w14:paraId="03518033">
      <w:pPr>
        <w:tabs>
          <w:tab w:val="left" w:pos="720"/>
        </w:tabs>
        <w:spacing w:line="360" w:lineRule="auto"/>
        <w:ind w:firstLine="480" w:firstLineChars="200"/>
        <w:outlineLvl w:val="9"/>
        <w:rPr>
          <w:rFonts w:hint="eastAsia" w:ascii="宋体" w:hAnsi="宋体" w:cs="宋体"/>
          <w:sz w:val="24"/>
          <w:szCs w:val="24"/>
          <w:lang w:eastAsia="zh-CN"/>
        </w:rPr>
      </w:pPr>
      <w:bookmarkStart w:id="93" w:name="_Toc179632568"/>
      <w:bookmarkStart w:id="94" w:name="_Toc144974518"/>
      <w:bookmarkStart w:id="95" w:name="_Toc152042326"/>
      <w:bookmarkStart w:id="96" w:name="_Toc152045550"/>
      <w:r>
        <w:rPr>
          <w:rFonts w:hint="eastAsia" w:ascii="宋体" w:hAnsi="宋体" w:cs="宋体"/>
          <w:sz w:val="24"/>
          <w:szCs w:val="24"/>
          <w:lang w:val="en-US" w:eastAsia="zh-CN"/>
        </w:rPr>
        <w:t>11.1</w:t>
      </w:r>
      <w:r>
        <w:rPr>
          <w:rFonts w:hint="eastAsia" w:ascii="宋体" w:hAnsi="宋体" w:cs="宋体"/>
          <w:sz w:val="24"/>
          <w:szCs w:val="24"/>
        </w:rPr>
        <w:t>供应商编写的竞争性磋商响应文件</w:t>
      </w:r>
      <w:r>
        <w:rPr>
          <w:rFonts w:hint="eastAsia" w:ascii="宋体" w:hAnsi="宋体" w:cs="宋体"/>
          <w:sz w:val="24"/>
          <w:szCs w:val="24"/>
          <w:lang w:eastAsia="zh-CN"/>
        </w:rPr>
        <w:t>应</w:t>
      </w:r>
      <w:r>
        <w:rPr>
          <w:rFonts w:hint="eastAsia" w:ascii="宋体" w:hAnsi="宋体" w:cs="宋体"/>
          <w:sz w:val="24"/>
          <w:szCs w:val="24"/>
        </w:rPr>
        <w:t>包括</w:t>
      </w:r>
      <w:r>
        <w:rPr>
          <w:rFonts w:hint="eastAsia" w:ascii="宋体" w:hAnsi="宋体" w:cs="宋体"/>
          <w:sz w:val="24"/>
          <w:szCs w:val="24"/>
          <w:lang w:eastAsia="zh-CN"/>
        </w:rPr>
        <w:t>“第</w:t>
      </w:r>
      <w:r>
        <w:rPr>
          <w:rFonts w:hint="eastAsia" w:ascii="宋体" w:hAnsi="宋体" w:cs="宋体"/>
          <w:sz w:val="24"/>
          <w:szCs w:val="24"/>
          <w:lang w:val="en-US" w:eastAsia="zh-CN"/>
        </w:rPr>
        <w:t>七</w:t>
      </w:r>
      <w:r>
        <w:rPr>
          <w:rFonts w:hint="eastAsia" w:ascii="宋体" w:hAnsi="宋体" w:cs="宋体"/>
          <w:sz w:val="24"/>
          <w:szCs w:val="24"/>
          <w:lang w:eastAsia="zh-CN"/>
        </w:rPr>
        <w:t>章竞争性磋商响应文件格式”</w:t>
      </w:r>
      <w:r>
        <w:rPr>
          <w:rFonts w:hint="eastAsia" w:ascii="宋体" w:hAnsi="宋体" w:cs="宋体"/>
          <w:sz w:val="24"/>
          <w:szCs w:val="24"/>
          <w:lang w:val="en-US" w:eastAsia="zh-CN"/>
        </w:rPr>
        <w:t>的所有内容，</w:t>
      </w:r>
      <w:r>
        <w:rPr>
          <w:rFonts w:hint="eastAsia" w:ascii="宋体" w:hAnsi="宋体" w:cs="宋体"/>
          <w:color w:val="auto"/>
          <w:sz w:val="24"/>
          <w:szCs w:val="24"/>
        </w:rPr>
        <w:t>具体见竞争性</w:t>
      </w:r>
      <w:r>
        <w:rPr>
          <w:rFonts w:hint="eastAsia" w:ascii="宋体" w:hAnsi="宋体" w:cs="宋体"/>
          <w:color w:val="auto"/>
          <w:sz w:val="24"/>
          <w:szCs w:val="24"/>
          <w:lang w:eastAsia="zh-CN"/>
        </w:rPr>
        <w:t>磋商</w:t>
      </w:r>
      <w:r>
        <w:rPr>
          <w:rFonts w:hint="eastAsia" w:ascii="宋体" w:hAnsi="宋体" w:cs="宋体"/>
          <w:sz w:val="24"/>
          <w:szCs w:val="24"/>
        </w:rPr>
        <w:t>响应文件格式</w:t>
      </w:r>
      <w:r>
        <w:rPr>
          <w:rFonts w:hint="eastAsia" w:ascii="宋体" w:hAnsi="宋体" w:cs="宋体"/>
          <w:sz w:val="24"/>
          <w:szCs w:val="24"/>
          <w:lang w:eastAsia="zh-CN"/>
        </w:rPr>
        <w:t>；</w:t>
      </w:r>
    </w:p>
    <w:p w14:paraId="65575CBE">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11</w:t>
      </w:r>
      <w:r>
        <w:rPr>
          <w:rFonts w:hint="eastAsia" w:ascii="宋体" w:hAnsi="宋体" w:cs="宋体"/>
          <w:sz w:val="24"/>
          <w:szCs w:val="24"/>
        </w:rPr>
        <w:t>.2 供应商的所有资格证明文件均应当为合法、有效文件，否则将被视为该文件未递交。</w:t>
      </w:r>
    </w:p>
    <w:p w14:paraId="47A43C2C">
      <w:pPr>
        <w:spacing w:line="360" w:lineRule="auto"/>
        <w:ind w:firstLine="480" w:firstLineChars="200"/>
        <w:outlineLvl w:val="9"/>
        <w:rPr>
          <w:rFonts w:hint="eastAsia"/>
          <w:sz w:val="24"/>
          <w:szCs w:val="24"/>
          <w:lang w:eastAsia="zh-CN"/>
        </w:rPr>
      </w:pPr>
      <w:r>
        <w:rPr>
          <w:rFonts w:hint="eastAsia" w:ascii="宋体" w:hAnsi="宋体" w:cs="宋体"/>
          <w:sz w:val="24"/>
          <w:szCs w:val="24"/>
          <w:lang w:val="en-US" w:eastAsia="zh-CN"/>
        </w:rPr>
        <w:t>11</w:t>
      </w:r>
      <w:r>
        <w:rPr>
          <w:rFonts w:hint="eastAsia" w:ascii="宋体" w:hAnsi="宋体" w:cs="宋体"/>
          <w:sz w:val="24"/>
          <w:szCs w:val="24"/>
        </w:rPr>
        <w:t>.3 上述文件应当按照竞争性</w:t>
      </w:r>
      <w:r>
        <w:rPr>
          <w:rFonts w:hint="eastAsia" w:ascii="宋体" w:hAnsi="宋体" w:cs="宋体"/>
          <w:sz w:val="24"/>
          <w:szCs w:val="24"/>
          <w:lang w:eastAsia="zh-CN"/>
        </w:rPr>
        <w:t>磋商</w:t>
      </w:r>
      <w:r>
        <w:rPr>
          <w:rFonts w:hint="eastAsia" w:ascii="宋体" w:hAnsi="宋体" w:cs="宋体"/>
          <w:sz w:val="24"/>
          <w:szCs w:val="24"/>
        </w:rPr>
        <w:t>文件规定的格式填写、签署和盖章。</w:t>
      </w:r>
    </w:p>
    <w:p w14:paraId="79851B27">
      <w:pPr>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12、竞争性磋商响应文件格式</w:t>
      </w:r>
    </w:p>
    <w:p w14:paraId="4D56B7CA">
      <w:pPr>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12.1 供应商提交的竞争性磋商响应文件应当使用竞争性磋商文件所提供的竞争性磋商响应文件全部格式。</w:t>
      </w:r>
    </w:p>
    <w:p w14:paraId="46B0662B">
      <w:pPr>
        <w:spacing w:line="240" w:lineRule="auto"/>
        <w:outlineLvl w:val="9"/>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3</w:t>
      </w:r>
      <w:r>
        <w:rPr>
          <w:rFonts w:hint="eastAsia" w:ascii="宋体" w:hAnsi="宋体" w:cs="宋体"/>
          <w:sz w:val="24"/>
          <w:szCs w:val="24"/>
        </w:rPr>
        <w:t>、磋商报价</w:t>
      </w:r>
    </w:p>
    <w:p w14:paraId="5750C12F">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投标人在投标截止时间前修改投标函中的投标总报价，应同时修改“工程量清单”中的相应报价。</w:t>
      </w:r>
    </w:p>
    <w:p w14:paraId="298A0EF9">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投标人的投标报价，应是本</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招标文件、工程量清单、答疑纪要、合同条款上所列招标工程范围内工程的全部各项支付金额的总和，投标报价不得以任何理由予以重复。</w:t>
      </w:r>
    </w:p>
    <w:p w14:paraId="31D22FF9">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14:paraId="274745FA">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67247554">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如发现工程量清单中的数量与图纸中数量不一致时，应立即通知招标人核查，除非招标人以书面形式予以更正，应以工程量清单中列出的数量为准。</w:t>
      </w:r>
    </w:p>
    <w:p w14:paraId="3553C42D">
      <w:pPr>
        <w:spacing w:line="240" w:lineRule="auto"/>
        <w:outlineLvl w:val="9"/>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4</w:t>
      </w:r>
      <w:r>
        <w:rPr>
          <w:rFonts w:hint="eastAsia" w:ascii="宋体" w:hAnsi="宋体" w:cs="宋体"/>
          <w:sz w:val="24"/>
          <w:szCs w:val="24"/>
        </w:rPr>
        <w:t>、磋商有效期</w:t>
      </w:r>
    </w:p>
    <w:p w14:paraId="5BF258DE">
      <w:pPr>
        <w:adjustRightInd w:val="0"/>
        <w:snapToGrid w:val="0"/>
        <w:spacing w:line="360" w:lineRule="auto"/>
        <w:ind w:firstLine="480" w:firstLineChars="200"/>
        <w:outlineLvl w:val="9"/>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4</w:t>
      </w:r>
      <w:r>
        <w:rPr>
          <w:rFonts w:hint="eastAsia" w:ascii="宋体" w:hAnsi="宋体" w:cs="宋体"/>
          <w:sz w:val="24"/>
          <w:szCs w:val="24"/>
        </w:rPr>
        <w:t>.1 磋商有效期见本须知前附表所规定的期限，在此期限内，凡符合本</w:t>
      </w:r>
      <w:r>
        <w:rPr>
          <w:rFonts w:hint="eastAsia" w:asciiTheme="minorEastAsia" w:hAnsiTheme="minorEastAsia" w:eastAsiaTheme="minorEastAsia" w:cstheme="minorEastAsia"/>
          <w:kern w:val="0"/>
          <w:sz w:val="24"/>
          <w:szCs w:val="24"/>
        </w:rPr>
        <w:t>竞争性磋商</w:t>
      </w:r>
      <w:r>
        <w:rPr>
          <w:rFonts w:hint="eastAsia" w:ascii="宋体" w:hAnsi="宋体" w:cs="宋体"/>
          <w:sz w:val="24"/>
          <w:szCs w:val="24"/>
        </w:rPr>
        <w:t>文件要求的</w:t>
      </w:r>
      <w:r>
        <w:rPr>
          <w:rFonts w:hint="eastAsia" w:asciiTheme="minorEastAsia" w:hAnsiTheme="minorEastAsia" w:eastAsiaTheme="minorEastAsia" w:cstheme="minorEastAsia"/>
          <w:kern w:val="0"/>
          <w:sz w:val="24"/>
          <w:szCs w:val="24"/>
        </w:rPr>
        <w:t>竞争性磋商响应文件</w:t>
      </w:r>
      <w:r>
        <w:rPr>
          <w:rFonts w:hint="eastAsia" w:ascii="宋体" w:hAnsi="宋体" w:cs="宋体"/>
          <w:sz w:val="24"/>
          <w:szCs w:val="24"/>
        </w:rPr>
        <w:t>均保持有效。</w:t>
      </w:r>
    </w:p>
    <w:p w14:paraId="4DC8E45D">
      <w:pPr>
        <w:pStyle w:val="44"/>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宋体" w:hAnsi="宋体" w:eastAsia="宋体"/>
          <w:sz w:val="24"/>
          <w:szCs w:val="24"/>
        </w:rPr>
        <w:t>1</w:t>
      </w:r>
      <w:r>
        <w:rPr>
          <w:rFonts w:hint="eastAsia" w:ascii="宋体" w:hAnsi="宋体" w:eastAsia="宋体"/>
          <w:sz w:val="24"/>
          <w:szCs w:val="24"/>
          <w:lang w:val="en-US" w:eastAsia="zh-CN"/>
        </w:rPr>
        <w:t>4</w:t>
      </w:r>
      <w:r>
        <w:rPr>
          <w:rFonts w:hint="eastAsia" w:ascii="宋体" w:hAnsi="宋体" w:eastAsia="宋体"/>
          <w:sz w:val="24"/>
          <w:szCs w:val="24"/>
        </w:rPr>
        <w:t>.2 在特殊情况下，</w:t>
      </w:r>
      <w:r>
        <w:rPr>
          <w:rFonts w:hint="eastAsia" w:ascii="宋体" w:hAnsi="宋体" w:eastAsia="宋体"/>
          <w:sz w:val="24"/>
          <w:szCs w:val="24"/>
          <w:lang w:eastAsia="zh-CN"/>
        </w:rPr>
        <w:t>采购人</w:t>
      </w:r>
      <w:r>
        <w:rPr>
          <w:rFonts w:hint="eastAsia" w:ascii="宋体" w:hAnsi="宋体" w:eastAsia="宋体"/>
          <w:sz w:val="24"/>
          <w:szCs w:val="24"/>
        </w:rPr>
        <w:t>在原定磋商有效期内，可以根据需要以书面形式向供应商提出延长磋商有效期的要求，对此要求供应商须在2日内以书面形式予以答复。</w:t>
      </w:r>
    </w:p>
    <w:p w14:paraId="73971EB6">
      <w:pPr>
        <w:spacing w:line="240" w:lineRule="auto"/>
        <w:outlineLvl w:val="9"/>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5</w:t>
      </w:r>
      <w:r>
        <w:rPr>
          <w:rFonts w:hint="eastAsia" w:ascii="宋体" w:hAnsi="宋体" w:cs="宋体"/>
          <w:sz w:val="24"/>
          <w:szCs w:val="24"/>
        </w:rPr>
        <w:t>、磋商保证金</w:t>
      </w:r>
      <w:bookmarkEnd w:id="93"/>
      <w:bookmarkEnd w:id="94"/>
      <w:bookmarkEnd w:id="95"/>
      <w:bookmarkEnd w:id="96"/>
    </w:p>
    <w:p w14:paraId="5A13AA50">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5</w:t>
      </w:r>
      <w:r>
        <w:rPr>
          <w:rFonts w:hint="eastAsia" w:ascii="宋体" w:hAnsi="宋体" w:cs="宋体"/>
          <w:sz w:val="24"/>
          <w:szCs w:val="24"/>
        </w:rPr>
        <w:t xml:space="preserve">.1 </w:t>
      </w: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sz w:val="24"/>
          <w:szCs w:val="24"/>
        </w:rPr>
        <w:t>。</w:t>
      </w:r>
    </w:p>
    <w:p w14:paraId="039D40C6">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 xml:space="preserve">2 </w:t>
      </w:r>
      <w:r>
        <w:rPr>
          <w:rFonts w:hint="eastAsia" w:ascii="宋体" w:hAnsi="宋体" w:eastAsia="宋体" w:cs="宋体"/>
          <w:kern w:val="2"/>
          <w:sz w:val="24"/>
          <w:szCs w:val="24"/>
          <w:highlight w:val="none"/>
          <w:lang w:val="en-US" w:eastAsia="zh-CN" w:bidi="ar-SA"/>
        </w:rPr>
        <w:t>投标人在投标文件中附“投标信用承诺书”并按要求签字盖章及</w:t>
      </w:r>
      <w:r>
        <w:rPr>
          <w:rFonts w:hint="eastAsia" w:cs="宋体"/>
          <w:b/>
          <w:bCs/>
          <w:kern w:val="0"/>
          <w:sz w:val="24"/>
          <w:szCs w:val="24"/>
          <w:highlight w:val="none"/>
          <w:lang w:val="en-US" w:eastAsia="zh-CN"/>
        </w:rPr>
        <w:t>附信用承诺网页截图。</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w:t>
      </w:r>
      <w:r>
        <w:rPr>
          <w:rFonts w:hint="eastAsia" w:ascii="宋体" w:hAnsi="宋体" w:cs="宋体"/>
          <w:kern w:val="2"/>
          <w:sz w:val="24"/>
          <w:szCs w:val="24"/>
          <w:highlight w:val="none"/>
          <w:lang w:val="en-US" w:eastAsia="zh-CN" w:bidi="ar-SA"/>
        </w:rPr>
        <w:t>附件</w:t>
      </w:r>
      <w:r>
        <w:rPr>
          <w:rFonts w:hint="default" w:ascii="宋体" w:hAnsi="宋体" w:eastAsia="宋体" w:cs="宋体"/>
          <w:kern w:val="2"/>
          <w:sz w:val="24"/>
          <w:szCs w:val="24"/>
          <w:highlight w:val="none"/>
          <w:lang w:val="en-US" w:eastAsia="zh-CN" w:bidi="ar-SA"/>
        </w:rPr>
        <w:t>）</w:t>
      </w:r>
      <w:r>
        <w:rPr>
          <w:rFonts w:hint="eastAsia" w:ascii="宋体" w:hAnsi="宋体" w:cs="宋体"/>
          <w:sz w:val="24"/>
          <w:szCs w:val="24"/>
        </w:rPr>
        <w:t>。</w:t>
      </w:r>
    </w:p>
    <w:p w14:paraId="289243C8">
      <w:pPr>
        <w:adjustRightInd w:val="0"/>
        <w:snapToGrid w:val="0"/>
        <w:spacing w:line="360" w:lineRule="auto"/>
        <w:ind w:firstLine="480" w:firstLineChars="200"/>
        <w:outlineLvl w:val="9"/>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 xml:space="preserve"> 投标单位已</w:t>
      </w:r>
      <w:r>
        <w:rPr>
          <w:rFonts w:hint="eastAsia" w:ascii="宋体" w:hAnsi="宋体" w:cs="宋体"/>
          <w:sz w:val="24"/>
          <w:szCs w:val="24"/>
          <w:lang w:val="en-US" w:eastAsia="zh-CN"/>
        </w:rPr>
        <w:t>在信用中国网站承诺并公示的</w:t>
      </w:r>
      <w:r>
        <w:rPr>
          <w:rFonts w:hint="eastAsia" w:ascii="宋体" w:hAnsi="宋体" w:eastAsia="宋体" w:cs="宋体"/>
          <w:kern w:val="2"/>
          <w:sz w:val="24"/>
          <w:szCs w:val="24"/>
          <w:highlight w:val="none"/>
          <w:lang w:val="en-US" w:eastAsia="zh-CN" w:bidi="ar-SA"/>
        </w:rPr>
        <w:t>“投标信用承诺书”</w:t>
      </w:r>
      <w:r>
        <w:rPr>
          <w:rFonts w:hint="eastAsia" w:ascii="宋体" w:hAnsi="宋体" w:cs="宋体"/>
          <w:sz w:val="24"/>
          <w:szCs w:val="24"/>
        </w:rPr>
        <w:t xml:space="preserve">而自动放弃投标权利的，需在开标之前提交《弃标函》。 </w:t>
      </w:r>
    </w:p>
    <w:p w14:paraId="69D2E295">
      <w:pPr>
        <w:spacing w:line="240" w:lineRule="auto"/>
        <w:outlineLvl w:val="9"/>
        <w:rPr>
          <w:rFonts w:ascii="宋体" w:hAnsi="宋体" w:cs="宋体"/>
          <w:sz w:val="24"/>
          <w:szCs w:val="24"/>
        </w:rPr>
      </w:pPr>
      <w:bookmarkStart w:id="97" w:name="_Toc152045553"/>
      <w:bookmarkStart w:id="98" w:name="_Toc152042329"/>
      <w:bookmarkStart w:id="99" w:name="_Toc179632571"/>
      <w:bookmarkStart w:id="100" w:name="_Toc144974521"/>
      <w:r>
        <w:rPr>
          <w:rFonts w:hint="eastAsia" w:ascii="宋体" w:hAnsi="宋体" w:cs="宋体"/>
          <w:sz w:val="24"/>
          <w:szCs w:val="24"/>
        </w:rPr>
        <w:t>1</w:t>
      </w:r>
      <w:r>
        <w:rPr>
          <w:rFonts w:hint="eastAsia" w:ascii="宋体" w:hAnsi="宋体" w:cs="宋体"/>
          <w:sz w:val="24"/>
          <w:szCs w:val="24"/>
          <w:lang w:val="en-US" w:eastAsia="zh-CN"/>
        </w:rPr>
        <w:t>6</w:t>
      </w:r>
      <w:r>
        <w:rPr>
          <w:rFonts w:hint="eastAsia" w:ascii="宋体" w:hAnsi="宋体" w:cs="宋体"/>
          <w:sz w:val="24"/>
          <w:szCs w:val="24"/>
        </w:rPr>
        <w:t>、 备选磋商方案</w:t>
      </w:r>
      <w:bookmarkEnd w:id="97"/>
      <w:bookmarkEnd w:id="98"/>
      <w:bookmarkEnd w:id="99"/>
      <w:bookmarkEnd w:id="100"/>
    </w:p>
    <w:p w14:paraId="392B024B">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.1除磋商须知前附表另有规定外，供应商不得递交备选磋商方案。</w:t>
      </w:r>
    </w:p>
    <w:p w14:paraId="5AD970B1">
      <w:pPr>
        <w:spacing w:line="240" w:lineRule="auto"/>
        <w:outlineLvl w:val="9"/>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7</w:t>
      </w:r>
      <w:r>
        <w:rPr>
          <w:rFonts w:hint="eastAsia" w:ascii="宋体" w:hAnsi="宋体" w:cs="宋体"/>
          <w:sz w:val="24"/>
          <w:szCs w:val="24"/>
        </w:rPr>
        <w:t>、竞争性磋商响应文件的签署及规定</w:t>
      </w:r>
    </w:p>
    <w:p w14:paraId="219D2584">
      <w:pPr>
        <w:spacing w:line="360" w:lineRule="auto"/>
        <w:ind w:firstLine="480" w:firstLineChars="200"/>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17</w:t>
      </w:r>
      <w:r>
        <w:rPr>
          <w:rFonts w:hint="eastAsia" w:ascii="宋体" w:hAnsi="宋体" w:cs="宋体"/>
          <w:sz w:val="24"/>
          <w:szCs w:val="24"/>
        </w:rPr>
        <w:t xml:space="preserve">.1 </w:t>
      </w:r>
      <w:r>
        <w:rPr>
          <w:rFonts w:hint="eastAsia" w:ascii="思源宋体 CN Light" w:hAnsi="思源宋体 CN Light" w:eastAsia="思源宋体 CN Light" w:cs="思源宋体 CN Light"/>
          <w:sz w:val="24"/>
          <w:szCs w:val="24"/>
          <w:lang w:val="en-US" w:eastAsia="zh-CN"/>
        </w:rPr>
        <w:t>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w:t>
      </w:r>
      <w:r>
        <w:rPr>
          <w:rFonts w:hint="eastAsia" w:ascii="宋体" w:hAnsi="宋体" w:cs="宋体"/>
          <w:sz w:val="24"/>
          <w:szCs w:val="24"/>
        </w:rPr>
        <w:t>。</w:t>
      </w:r>
      <w:r>
        <w:rPr>
          <w:rFonts w:hint="eastAsia" w:ascii="宋体" w:hAnsi="宋体" w:cs="宋体"/>
          <w:sz w:val="24"/>
          <w:szCs w:val="24"/>
          <w:lang w:val="en-US" w:eastAsia="zh-CN"/>
        </w:rPr>
        <w:tab/>
      </w:r>
    </w:p>
    <w:p w14:paraId="2972B68B">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17</w:t>
      </w:r>
      <w:r>
        <w:rPr>
          <w:rFonts w:hint="eastAsia" w:ascii="宋体" w:hAnsi="宋体" w:cs="宋体"/>
          <w:sz w:val="24"/>
          <w:szCs w:val="24"/>
        </w:rPr>
        <w:t xml:space="preserve">.2 除投标人对错处作必要修改外，投标文件中不许有加行、涂抹或改写。若有修改须由授权代表或法定代表人在修改处签字。 </w:t>
      </w:r>
    </w:p>
    <w:p w14:paraId="0D7CE4F6">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17.3</w:t>
      </w:r>
      <w:r>
        <w:rPr>
          <w:rFonts w:hint="eastAsia" w:ascii="宋体" w:hAnsi="宋体" w:cs="宋体"/>
          <w:sz w:val="24"/>
          <w:szCs w:val="24"/>
        </w:rPr>
        <w:t xml:space="preserve"> 采购人拒绝接受以电报、电话、传真、电子邮件形式的投标。</w:t>
      </w:r>
    </w:p>
    <w:p w14:paraId="1379BE32">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17.4</w:t>
      </w:r>
      <w:r>
        <w:rPr>
          <w:rFonts w:hint="eastAsia" w:ascii="宋体" w:hAnsi="宋体" w:cs="宋体"/>
          <w:sz w:val="24"/>
          <w:szCs w:val="24"/>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14:paraId="0D826D1F">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17.5</w:t>
      </w:r>
      <w:r>
        <w:rPr>
          <w:rFonts w:hint="eastAsia" w:ascii="宋体" w:hAnsi="宋体" w:cs="宋体"/>
          <w:sz w:val="24"/>
          <w:szCs w:val="24"/>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203D8BB2">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17.6</w:t>
      </w:r>
      <w:r>
        <w:rPr>
          <w:rFonts w:hint="eastAsia" w:ascii="宋体" w:hAnsi="宋体" w:cs="宋体"/>
          <w:sz w:val="24"/>
          <w:szCs w:val="24"/>
        </w:rPr>
        <w:t xml:space="preserve"> 制作电子投标文件。电子投标文件同样需要使用上述软件进行编制。在编制过程中，如有技术性问题，请先翻阅操作手册，或致电软件开发商。 </w:t>
      </w:r>
    </w:p>
    <w:p w14:paraId="4E3F7C3F">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 xml:space="preserve">技术支持热线：4009280095、4009980000 </w:t>
      </w:r>
    </w:p>
    <w:p w14:paraId="50960C60">
      <w:pPr>
        <w:adjustRightInd w:val="0"/>
        <w:snapToGrid w:val="0"/>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CA 锁购买：</w:t>
      </w:r>
      <w:r>
        <w:rPr>
          <w:rFonts w:hint="eastAsia" w:ascii="宋体" w:hAnsi="宋体" w:cs="宋体"/>
          <w:sz w:val="24"/>
          <w:szCs w:val="24"/>
          <w:lang w:val="en-US" w:eastAsia="zh-CN"/>
        </w:rPr>
        <w:t>榆林市市民大厦三楼E18、E19窗口办理，咨询电话0912-3452148、029-88661298或4006-369-888（陕西CA联系电话）</w:t>
      </w:r>
    </w:p>
    <w:p w14:paraId="69CC5384">
      <w:pPr>
        <w:pStyle w:val="43"/>
        <w:spacing w:line="360" w:lineRule="auto"/>
        <w:ind w:firstLine="482" w:firstLineChars="200"/>
        <w:outlineLvl w:val="9"/>
        <w:rPr>
          <w:rFonts w:asciiTheme="minorEastAsia" w:hAnsiTheme="minorEastAsia" w:eastAsiaTheme="minorEastAsia" w:cstheme="minorEastAsia"/>
          <w:b/>
          <w:sz w:val="24"/>
          <w:szCs w:val="24"/>
        </w:rPr>
      </w:pPr>
      <w:bookmarkStart w:id="101" w:name="_Toc14109"/>
      <w:bookmarkStart w:id="102" w:name="_Toc510859895"/>
      <w:bookmarkStart w:id="103" w:name="_Toc179632573"/>
      <w:bookmarkStart w:id="104" w:name="_Toc363119281"/>
      <w:bookmarkStart w:id="105" w:name="_Toc152042331"/>
      <w:bookmarkStart w:id="106" w:name="_Toc152045555"/>
      <w:bookmarkStart w:id="107" w:name="_Toc513557030"/>
      <w:bookmarkStart w:id="108" w:name="_Toc510859689"/>
      <w:bookmarkStart w:id="109" w:name="_Toc144974523"/>
      <w:bookmarkStart w:id="110" w:name="_Toc10897"/>
      <w:bookmarkStart w:id="111" w:name="_Toc16264"/>
      <w:bookmarkStart w:id="112" w:name="_Toc26516"/>
      <w:bookmarkStart w:id="113" w:name="_Toc17362"/>
      <w:bookmarkStart w:id="114" w:name="_Toc17904"/>
      <w:bookmarkStart w:id="115" w:name="_Toc4451"/>
      <w:bookmarkStart w:id="116" w:name="_Toc24637"/>
      <w:bookmarkStart w:id="117" w:name="_Toc32167"/>
      <w:r>
        <w:rPr>
          <w:rFonts w:hint="eastAsia" w:asciiTheme="minorEastAsia" w:hAnsiTheme="minorEastAsia" w:eastAsiaTheme="minorEastAsia" w:cstheme="minorEastAsia"/>
          <w:b/>
          <w:sz w:val="24"/>
          <w:szCs w:val="24"/>
        </w:rPr>
        <w:t xml:space="preserve">4. </w:t>
      </w:r>
      <w:bookmarkEnd w:id="101"/>
      <w:bookmarkEnd w:id="102"/>
      <w:bookmarkEnd w:id="103"/>
      <w:bookmarkEnd w:id="104"/>
      <w:bookmarkEnd w:id="105"/>
      <w:bookmarkEnd w:id="106"/>
      <w:bookmarkEnd w:id="107"/>
      <w:bookmarkEnd w:id="108"/>
      <w:bookmarkEnd w:id="109"/>
      <w:r>
        <w:rPr>
          <w:rFonts w:hint="eastAsia" w:asciiTheme="minorEastAsia" w:hAnsiTheme="minorEastAsia" w:eastAsiaTheme="minorEastAsia" w:cstheme="minorEastAsia"/>
          <w:b/>
          <w:sz w:val="24"/>
          <w:szCs w:val="24"/>
        </w:rPr>
        <w:t>竞争性磋商响应文件</w:t>
      </w:r>
      <w:r>
        <w:rPr>
          <w:rFonts w:hint="eastAsia" w:ascii="宋体" w:hAnsi="宋体"/>
          <w:b/>
          <w:sz w:val="24"/>
          <w:szCs w:val="24"/>
        </w:rPr>
        <w:t>的</w:t>
      </w:r>
      <w:bookmarkEnd w:id="110"/>
      <w:bookmarkEnd w:id="111"/>
      <w:bookmarkEnd w:id="112"/>
      <w:bookmarkEnd w:id="113"/>
      <w:bookmarkEnd w:id="114"/>
      <w:bookmarkEnd w:id="115"/>
      <w:bookmarkEnd w:id="116"/>
      <w:r>
        <w:rPr>
          <w:rFonts w:hint="eastAsia" w:ascii="宋体" w:hAnsi="宋体"/>
          <w:b/>
          <w:sz w:val="24"/>
          <w:szCs w:val="24"/>
        </w:rPr>
        <w:t>递交</w:t>
      </w:r>
      <w:bookmarkEnd w:id="117"/>
    </w:p>
    <w:p w14:paraId="1E82BD8D">
      <w:pPr>
        <w:spacing w:line="360" w:lineRule="auto"/>
        <w:outlineLvl w:val="9"/>
        <w:rPr>
          <w:rFonts w:ascii="宋体" w:hAnsi="宋体" w:cs="宋体"/>
          <w:b/>
          <w:bCs/>
          <w:sz w:val="24"/>
          <w:szCs w:val="24"/>
        </w:rPr>
      </w:pPr>
      <w:bookmarkStart w:id="118" w:name="_Toc144974524"/>
      <w:bookmarkStart w:id="119" w:name="_Toc152042332"/>
      <w:bookmarkStart w:id="120" w:name="_Toc179632574"/>
      <w:bookmarkStart w:id="121" w:name="_Toc152045556"/>
      <w:r>
        <w:rPr>
          <w:rFonts w:hint="eastAsia" w:ascii="宋体" w:hAnsi="宋体" w:cs="宋体"/>
          <w:b/>
          <w:bCs/>
          <w:sz w:val="24"/>
          <w:szCs w:val="24"/>
          <w:lang w:val="en-US" w:eastAsia="zh-CN"/>
        </w:rPr>
        <w:t>18</w:t>
      </w:r>
      <w:r>
        <w:rPr>
          <w:rFonts w:hint="eastAsia" w:ascii="宋体" w:hAnsi="宋体" w:cs="宋体"/>
          <w:b/>
          <w:bCs/>
          <w:sz w:val="24"/>
          <w:szCs w:val="24"/>
        </w:rPr>
        <w:t>、</w:t>
      </w:r>
      <w:bookmarkEnd w:id="118"/>
      <w:bookmarkEnd w:id="119"/>
      <w:bookmarkEnd w:id="120"/>
      <w:bookmarkEnd w:id="121"/>
      <w:r>
        <w:rPr>
          <w:rFonts w:hint="eastAsia" w:ascii="宋体" w:hAnsi="宋体" w:cs="宋体"/>
          <w:b/>
          <w:bCs/>
          <w:sz w:val="24"/>
          <w:szCs w:val="24"/>
        </w:rPr>
        <w:t>竞争性</w:t>
      </w:r>
      <w:r>
        <w:rPr>
          <w:rFonts w:hint="eastAsia" w:ascii="宋体" w:hAnsi="宋体" w:cs="宋体"/>
          <w:b/>
          <w:bCs/>
          <w:sz w:val="24"/>
          <w:szCs w:val="24"/>
          <w:lang w:val="en-US" w:eastAsia="zh-CN"/>
        </w:rPr>
        <w:t>磋商</w:t>
      </w:r>
      <w:r>
        <w:rPr>
          <w:rFonts w:hint="eastAsia" w:ascii="宋体" w:hAnsi="宋体" w:cs="宋体"/>
          <w:b/>
          <w:bCs/>
          <w:sz w:val="24"/>
          <w:szCs w:val="24"/>
        </w:rPr>
        <w:t>响应文件的递交</w:t>
      </w:r>
    </w:p>
    <w:p w14:paraId="7509D384">
      <w:pPr>
        <w:pStyle w:val="17"/>
        <w:spacing w:line="360" w:lineRule="auto"/>
        <w:ind w:firstLine="482" w:firstLineChars="200"/>
        <w:outlineLvl w:val="9"/>
        <w:rPr>
          <w:rFonts w:ascii="思源宋体 CN Light" w:hAnsi="思源宋体 CN Light" w:eastAsia="思源宋体 CN Light" w:cs="思源宋体 CN Light"/>
          <w:b/>
          <w:bCs/>
          <w:sz w:val="24"/>
          <w:szCs w:val="24"/>
        </w:rPr>
      </w:pPr>
      <w:r>
        <w:rPr>
          <w:rFonts w:hint="eastAsia" w:ascii="宋体" w:hAnsi="宋体" w:cs="宋体"/>
          <w:b/>
          <w:bCs/>
          <w:sz w:val="24"/>
          <w:szCs w:val="24"/>
          <w:lang w:val="en-US" w:eastAsia="zh-CN"/>
        </w:rPr>
        <w:t>18</w:t>
      </w:r>
      <w:r>
        <w:rPr>
          <w:rFonts w:hint="eastAsia" w:ascii="宋体" w:hAnsi="宋体" w:cs="宋体"/>
          <w:b/>
          <w:bCs/>
          <w:sz w:val="24"/>
          <w:szCs w:val="24"/>
        </w:rPr>
        <w:t>.1 电子竞争性</w:t>
      </w:r>
      <w:r>
        <w:rPr>
          <w:rFonts w:hint="eastAsia" w:ascii="宋体" w:hAnsi="宋体" w:cs="宋体"/>
          <w:b/>
          <w:bCs/>
          <w:sz w:val="24"/>
          <w:szCs w:val="24"/>
          <w:lang w:val="en-US" w:eastAsia="zh-CN"/>
        </w:rPr>
        <w:t>磋商</w:t>
      </w:r>
      <w:r>
        <w:rPr>
          <w:rFonts w:hint="eastAsia" w:ascii="宋体" w:hAnsi="宋体" w:cs="宋体"/>
          <w:b/>
          <w:bCs/>
          <w:sz w:val="24"/>
          <w:szCs w:val="24"/>
        </w:rPr>
        <w:t>响应文件递交</w:t>
      </w:r>
    </w:p>
    <w:p w14:paraId="6CE474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outlineLvl w:val="9"/>
        <w:rPr>
          <w:rFonts w:hint="eastAsia" w:ascii="思源宋体 CN Light" w:hAnsi="思源宋体 CN Light" w:eastAsia="思源宋体 CN Light" w:cs="思源宋体 CN Light"/>
          <w:sz w:val="24"/>
          <w:szCs w:val="24"/>
          <w:lang w:val="en-US" w:eastAsia="zh-CN"/>
        </w:rPr>
      </w:pPr>
      <w:bookmarkStart w:id="122" w:name="_Toc144974526"/>
      <w:bookmarkStart w:id="123" w:name="_Toc179632576"/>
      <w:bookmarkStart w:id="124" w:name="_Toc152042334"/>
      <w:bookmarkStart w:id="125" w:name="_Toc152045558"/>
      <w:r>
        <w:rPr>
          <w:rFonts w:hint="eastAsia" w:ascii="宋体" w:hAnsi="宋体" w:cs="宋体"/>
          <w:sz w:val="24"/>
          <w:szCs w:val="24"/>
          <w:lang w:val="en-US" w:eastAsia="zh-CN"/>
        </w:rPr>
        <w:t>18.1.1</w:t>
      </w:r>
      <w:r>
        <w:rPr>
          <w:rFonts w:hint="eastAsia" w:ascii="宋体" w:hAnsi="宋体" w:cs="宋体"/>
          <w:sz w:val="24"/>
          <w:szCs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sz w:val="24"/>
          <w:szCs w:val="24"/>
          <w:lang w:val="en-US" w:eastAsia="zh-CN"/>
        </w:rPr>
        <w:t>。</w:t>
      </w:r>
    </w:p>
    <w:p w14:paraId="5335465F">
      <w:pPr>
        <w:spacing w:line="360" w:lineRule="auto"/>
        <w:outlineLvl w:val="9"/>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18.1.2本项目采用“不见面”开标形式，供应商可登录榆林交易平台〖首页〉不见面开标〗在线参与开评标过程，详见招标文件以及交易平台〖首页〉服务指南〉下载专区〗中的《榆林市不见面开标大厅操作手册（投标人）》。</w:t>
      </w:r>
    </w:p>
    <w:p w14:paraId="176D8630">
      <w:pPr>
        <w:pStyle w:val="17"/>
        <w:spacing w:line="360" w:lineRule="auto"/>
        <w:ind w:firstLine="482" w:firstLineChars="200"/>
        <w:outlineLvl w:val="9"/>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b/>
          <w:bCs/>
          <w:sz w:val="24"/>
          <w:szCs w:val="24"/>
          <w:lang w:val="en-US" w:eastAsia="zh-CN"/>
        </w:rPr>
        <w:t>18</w:t>
      </w:r>
      <w:r>
        <w:rPr>
          <w:rFonts w:hint="eastAsia" w:ascii="思源宋体 CN Light" w:hAnsi="思源宋体 CN Light" w:eastAsia="思源宋体 CN Light" w:cs="思源宋体 CN Light"/>
          <w:b/>
          <w:bCs/>
          <w:sz w:val="24"/>
          <w:szCs w:val="24"/>
        </w:rPr>
        <w:t>.2纸质竞争性</w:t>
      </w:r>
      <w:r>
        <w:rPr>
          <w:rFonts w:hint="eastAsia" w:ascii="宋体" w:hAnsi="宋体" w:cs="宋体"/>
          <w:b/>
          <w:bCs/>
          <w:sz w:val="24"/>
          <w:szCs w:val="24"/>
          <w:lang w:val="en-US" w:eastAsia="zh-CN"/>
        </w:rPr>
        <w:t>磋商</w:t>
      </w:r>
      <w:r>
        <w:rPr>
          <w:rFonts w:hint="eastAsia" w:ascii="宋体" w:hAnsi="宋体" w:cs="宋体"/>
          <w:b/>
          <w:bCs/>
          <w:sz w:val="24"/>
          <w:szCs w:val="24"/>
        </w:rPr>
        <w:t>响应</w:t>
      </w:r>
      <w:r>
        <w:rPr>
          <w:rFonts w:hint="eastAsia" w:ascii="思源宋体 CN Light" w:hAnsi="思源宋体 CN Light" w:eastAsia="思源宋体 CN Light" w:cs="思源宋体 CN Light"/>
          <w:b/>
          <w:bCs/>
          <w:sz w:val="24"/>
          <w:szCs w:val="24"/>
        </w:rPr>
        <w:t>文件递交</w:t>
      </w:r>
    </w:p>
    <w:p w14:paraId="0F63B750">
      <w:pPr>
        <w:spacing w:line="360" w:lineRule="auto"/>
        <w:ind w:firstLine="480" w:firstLineChars="200"/>
        <w:outlineLvl w:val="9"/>
        <w:rPr>
          <w:rFonts w:hint="eastAsia" w:ascii="思源宋体 CN Light" w:hAnsi="思源宋体 CN Light" w:eastAsia="思源宋体 CN Light" w:cs="思源宋体 CN Light"/>
          <w:sz w:val="24"/>
          <w:szCs w:val="24"/>
        </w:rPr>
      </w:pPr>
      <w:r>
        <w:rPr>
          <w:rFonts w:hint="eastAsia" w:ascii="宋体" w:hAnsi="宋体" w:cs="仿宋_GB2312"/>
          <w:bCs/>
          <w:sz w:val="24"/>
          <w:szCs w:val="24"/>
          <w:lang w:val="en-US" w:eastAsia="zh-CN"/>
        </w:rPr>
        <w:t>18</w:t>
      </w:r>
      <w:r>
        <w:rPr>
          <w:rFonts w:hint="eastAsia" w:ascii="宋体" w:hAnsi="宋体" w:cs="仿宋_GB2312"/>
          <w:bCs/>
          <w:sz w:val="24"/>
          <w:szCs w:val="24"/>
        </w:rPr>
        <w:t>.</w:t>
      </w:r>
      <w:r>
        <w:rPr>
          <w:rFonts w:hint="eastAsia" w:ascii="宋体" w:hAnsi="宋体" w:cs="仿宋_GB2312"/>
          <w:bCs/>
          <w:sz w:val="24"/>
          <w:szCs w:val="24"/>
          <w:lang w:val="en-US" w:eastAsia="zh-CN"/>
        </w:rPr>
        <w:t>2.</w:t>
      </w:r>
      <w:r>
        <w:rPr>
          <w:rFonts w:hint="eastAsia" w:ascii="宋体" w:hAnsi="宋体" w:cs="仿宋_GB2312"/>
          <w:bCs/>
          <w:sz w:val="24"/>
          <w:szCs w:val="24"/>
        </w:rPr>
        <w:t>1</w:t>
      </w:r>
      <w:r>
        <w:rPr>
          <w:rFonts w:hint="eastAsia" w:ascii="思源宋体 CN Light" w:hAnsi="思源宋体 CN Light" w:eastAsia="思源宋体 CN Light" w:cs="思源宋体 CN Light"/>
          <w:sz w:val="24"/>
          <w:szCs w:val="24"/>
          <w:lang w:val="en-US" w:eastAsia="zh-CN"/>
        </w:rPr>
        <w:t>为便于采购人归档和向监管部门备案，中标供应商人需按以下要求递交纸质版投标文件，投标文件可采用系统上传的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的打印件，正本、副本分别装订成册，每份投标文件封皮须清楚地标明“正本”或“副本”：</w:t>
      </w:r>
    </w:p>
    <w:p w14:paraId="09A8F1B4">
      <w:pPr>
        <w:spacing w:line="360" w:lineRule="auto"/>
        <w:ind w:firstLine="480" w:firstLineChars="200"/>
        <w:outlineLvl w:val="9"/>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 xml:space="preserve">竞争性磋商响应文件：正本：1 份、副本：3 份； </w:t>
      </w:r>
    </w:p>
    <w:p w14:paraId="2B4F1A7B">
      <w:pPr>
        <w:spacing w:line="360" w:lineRule="auto"/>
        <w:ind w:firstLine="480" w:firstLineChars="200"/>
        <w:outlineLvl w:val="9"/>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投标文件</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思源宋体 CN Light" w:hAnsi="思源宋体 CN Light" w:eastAsia="思源宋体 CN Light" w:cs="思源宋体 CN Light"/>
          <w:sz w:val="24"/>
          <w:szCs w:val="24"/>
          <w:lang w:val="en-US" w:eastAsia="zh-CN"/>
        </w:rPr>
        <w:t>。</w:t>
      </w:r>
    </w:p>
    <w:p w14:paraId="6CE423FB">
      <w:pPr>
        <w:spacing w:line="360" w:lineRule="auto"/>
        <w:ind w:firstLine="480" w:firstLineChars="200"/>
        <w:outlineLvl w:val="9"/>
        <w:rPr>
          <w:rFonts w:hint="default"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18.2.2递交方式：纸质版投标文件</w:t>
      </w:r>
      <w:r>
        <w:rPr>
          <w:rFonts w:hint="eastAsia" w:ascii="思源宋体 CN Light" w:hAnsi="思源宋体 CN Light" w:eastAsia="思源宋体 CN Light" w:cs="思源宋体 CN Light"/>
          <w:sz w:val="24"/>
          <w:szCs w:val="24"/>
        </w:rPr>
        <w:t>在开标时无需提交，待开标结束后，需邮寄补交一正</w:t>
      </w:r>
      <w:r>
        <w:rPr>
          <w:rFonts w:hint="eastAsia" w:ascii="思源宋体 CN Light" w:hAnsi="思源宋体 CN Light" w:eastAsia="思源宋体 CN Light" w:cs="思源宋体 CN Light"/>
          <w:sz w:val="24"/>
          <w:szCs w:val="24"/>
          <w:lang w:val="en-US" w:eastAsia="zh-CN"/>
        </w:rPr>
        <w:t>叁副</w:t>
      </w:r>
      <w:r>
        <w:rPr>
          <w:rFonts w:hint="eastAsia" w:ascii="思源宋体 CN Light" w:hAnsi="思源宋体 CN Light" w:eastAsia="思源宋体 CN Light" w:cs="思源宋体 CN Light"/>
          <w:sz w:val="24"/>
          <w:szCs w:val="24"/>
        </w:rPr>
        <w:t>纸质投标文件及</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宋体" w:hAnsi="宋体" w:cs="宋体"/>
          <w:sz w:val="24"/>
          <w:szCs w:val="24"/>
          <w:lang w:eastAsia="zh-CN"/>
        </w:rPr>
        <w:t>，</w:t>
      </w:r>
      <w:r>
        <w:rPr>
          <w:rFonts w:hint="eastAsia" w:ascii="宋体" w:hAnsi="宋体" w:cs="宋体"/>
          <w:sz w:val="24"/>
          <w:szCs w:val="24"/>
          <w:lang w:val="en-US" w:eastAsia="zh-CN"/>
        </w:rPr>
        <w:t>以电报、传真、电子邮件形式递交的投标文件将不予接受。</w:t>
      </w:r>
    </w:p>
    <w:p w14:paraId="560E30BA">
      <w:pPr>
        <w:outlineLvl w:val="9"/>
        <w:rPr>
          <w:rFonts w:hint="eastAsia"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19</w:t>
      </w:r>
      <w:r>
        <w:rPr>
          <w:rFonts w:hint="eastAsia" w:ascii="宋体" w:hAnsi="宋体" w:eastAsia="宋体" w:cs="宋体"/>
          <w:b/>
          <w:bCs/>
          <w:kern w:val="2"/>
          <w:sz w:val="24"/>
          <w:szCs w:val="24"/>
          <w:highlight w:val="none"/>
          <w:lang w:val="en-US" w:eastAsia="zh-CN" w:bidi="ar-SA"/>
        </w:rPr>
        <w:t>、竞争性磋商响应文件的修改与撤回</w:t>
      </w:r>
      <w:bookmarkEnd w:id="122"/>
      <w:bookmarkEnd w:id="123"/>
      <w:bookmarkEnd w:id="124"/>
      <w:bookmarkEnd w:id="125"/>
    </w:p>
    <w:p w14:paraId="2E71E9B7">
      <w:pPr>
        <w:spacing w:line="360" w:lineRule="auto"/>
        <w:ind w:firstLine="480" w:firstLineChars="200"/>
        <w:outlineLvl w:val="9"/>
        <w:rPr>
          <w:rFonts w:hint="eastAsia" w:ascii="宋体" w:hAnsi="宋体" w:cs="宋体"/>
          <w:sz w:val="24"/>
          <w:szCs w:val="24"/>
        </w:rPr>
      </w:pPr>
      <w:bookmarkStart w:id="126" w:name="_Toc179632577"/>
      <w:bookmarkStart w:id="127" w:name="_Toc152045559"/>
      <w:bookmarkStart w:id="128" w:name="_Toc510859896"/>
      <w:bookmarkStart w:id="129" w:name="_Toc152042335"/>
      <w:bookmarkStart w:id="130" w:name="_Toc17633"/>
      <w:bookmarkStart w:id="131" w:name="_Toc144974527"/>
      <w:bookmarkStart w:id="132" w:name="_Toc513557031"/>
      <w:bookmarkStart w:id="133" w:name="_Toc510859690"/>
      <w:bookmarkStart w:id="134" w:name="_Toc363119282"/>
      <w:bookmarkStart w:id="135" w:name="_Toc23404"/>
      <w:bookmarkStart w:id="136" w:name="_Toc27216"/>
      <w:bookmarkStart w:id="137" w:name="_Toc13549"/>
      <w:r>
        <w:rPr>
          <w:rFonts w:hint="eastAsia" w:ascii="宋体" w:hAnsi="宋体" w:cs="宋体"/>
          <w:sz w:val="24"/>
          <w:szCs w:val="24"/>
          <w:lang w:val="en-US" w:eastAsia="zh-CN"/>
        </w:rPr>
        <w:t>19</w:t>
      </w:r>
      <w:r>
        <w:rPr>
          <w:rFonts w:hint="eastAsia" w:ascii="宋体" w:hAnsi="宋体" w:cs="宋体"/>
          <w:sz w:val="24"/>
          <w:szCs w:val="24"/>
        </w:rPr>
        <w:t>.1 供应商在</w:t>
      </w:r>
      <w:r>
        <w:rPr>
          <w:rFonts w:hint="eastAsia" w:ascii="宋体" w:hAnsi="宋体" w:cs="宋体"/>
          <w:sz w:val="24"/>
          <w:szCs w:val="24"/>
          <w:lang w:val="en-US" w:eastAsia="zh-CN"/>
        </w:rPr>
        <w:t>磋商</w:t>
      </w:r>
      <w:r>
        <w:rPr>
          <w:rFonts w:hint="eastAsia" w:ascii="宋体" w:hAnsi="宋体" w:cs="宋体"/>
          <w:sz w:val="24"/>
          <w:szCs w:val="24"/>
        </w:rPr>
        <w:t>截止时间前，可以对所递交的</w:t>
      </w:r>
      <w:r>
        <w:rPr>
          <w:rFonts w:hint="eastAsia" w:ascii="宋体" w:hAnsi="宋体" w:cs="宋体"/>
          <w:sz w:val="24"/>
          <w:szCs w:val="24"/>
          <w:lang w:val="en-US" w:eastAsia="zh-CN"/>
        </w:rPr>
        <w:t>磋商</w:t>
      </w:r>
      <w:r>
        <w:rPr>
          <w:rFonts w:hint="eastAsia" w:ascii="宋体" w:hAnsi="宋体" w:cs="宋体"/>
          <w:sz w:val="24"/>
          <w:szCs w:val="24"/>
        </w:rPr>
        <w:t>响应文件进行补充、修改或者撤回，并书面通知采购代理机构。补充、修改的内容应当按</w:t>
      </w:r>
      <w:r>
        <w:rPr>
          <w:rFonts w:hint="eastAsia" w:ascii="宋体" w:hAnsi="宋体" w:cs="宋体"/>
          <w:sz w:val="24"/>
          <w:szCs w:val="24"/>
          <w:lang w:val="en-US" w:eastAsia="zh-CN"/>
        </w:rPr>
        <w:t>竞争性磋商</w:t>
      </w:r>
      <w:r>
        <w:rPr>
          <w:rFonts w:hint="eastAsia" w:ascii="宋体" w:hAnsi="宋体" w:cs="宋体"/>
          <w:sz w:val="24"/>
          <w:szCs w:val="24"/>
        </w:rPr>
        <w:t>文件要求签署、盖章，并作为</w:t>
      </w:r>
      <w:r>
        <w:rPr>
          <w:rFonts w:hint="eastAsia" w:ascii="宋体" w:hAnsi="宋体" w:cs="宋体"/>
          <w:sz w:val="24"/>
          <w:szCs w:val="24"/>
          <w:lang w:val="en-US" w:eastAsia="zh-CN"/>
        </w:rPr>
        <w:t>竞争性磋商</w:t>
      </w:r>
      <w:r>
        <w:rPr>
          <w:rFonts w:hint="eastAsia" w:ascii="宋体" w:hAnsi="宋体" w:cs="宋体"/>
          <w:sz w:val="24"/>
          <w:szCs w:val="24"/>
        </w:rPr>
        <w:t>响应文件的组成部分。</w:t>
      </w:r>
    </w:p>
    <w:p w14:paraId="7E4E35FD">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default" w:eastAsia="黑体"/>
          <w:sz w:val="24"/>
          <w:szCs w:val="24"/>
          <w:lang w:val="en-US" w:eastAsia="zh-CN"/>
        </w:rPr>
      </w:pPr>
      <w:r>
        <w:rPr>
          <w:rFonts w:hint="eastAsia" w:ascii="宋体" w:hAnsi="宋体" w:cs="宋体"/>
          <w:sz w:val="24"/>
          <w:szCs w:val="24"/>
          <w:lang w:val="en-US" w:eastAsia="zh-CN"/>
        </w:rPr>
        <w:t>19.2</w:t>
      </w:r>
      <w:r>
        <w:rPr>
          <w:rFonts w:hint="eastAsia" w:ascii="宋体" w:hAnsi="宋体" w:eastAsia="宋体" w:cs="宋体"/>
          <w:kern w:val="2"/>
          <w:sz w:val="24"/>
          <w:szCs w:val="24"/>
          <w:highlight w:val="none"/>
          <w:lang w:val="en-US" w:eastAsia="zh-CN" w:bidi="ar-SA"/>
        </w:rPr>
        <w:t>当修改的内容影响投标文件编制时，将在交易平台上同步发布答疑文件，此时供应商应从“项目流程·〉答疑文件下载”下载最新发布的答疑文件（*.SXSCF格式），</w:t>
      </w:r>
      <w:r>
        <w:rPr>
          <w:rFonts w:hint="eastAsia" w:ascii="宋体" w:hAnsi="宋体" w:eastAsia="宋体" w:cs="宋体"/>
          <w:kern w:val="2"/>
          <w:sz w:val="24"/>
          <w:szCs w:val="24"/>
          <w:lang w:val="en-US" w:eastAsia="zh-CN" w:bidi="ar-SA"/>
        </w:rPr>
        <w:t>并使用该文件重新编制电子投标文件（*.SXSTF格式），使用旧版电子招标文件或旧版答疑文件制作的电子投标文件，系统将拒绝接收。</w:t>
      </w:r>
    </w:p>
    <w:p w14:paraId="7861B61C">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lang w:val="en-US" w:eastAsia="zh-CN"/>
        </w:rPr>
        <w:t>19</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 xml:space="preserve"> </w:t>
      </w:r>
      <w:r>
        <w:rPr>
          <w:rFonts w:hint="eastAsia" w:ascii="宋体" w:hAnsi="宋体" w:cs="宋体"/>
          <w:sz w:val="24"/>
          <w:szCs w:val="24"/>
          <w:lang w:val="en-US" w:eastAsia="zh-CN"/>
        </w:rPr>
        <w:t>磋商</w:t>
      </w:r>
      <w:r>
        <w:rPr>
          <w:rFonts w:hint="eastAsia" w:ascii="宋体" w:hAnsi="宋体" w:cs="宋体"/>
          <w:sz w:val="24"/>
          <w:szCs w:val="24"/>
        </w:rPr>
        <w:t>截</w:t>
      </w:r>
      <w:r>
        <w:rPr>
          <w:rFonts w:hint="eastAsia" w:ascii="宋体" w:hAnsi="宋体" w:eastAsia="宋体" w:cs="宋体"/>
          <w:sz w:val="24"/>
          <w:szCs w:val="24"/>
        </w:rPr>
        <w:t>止时间后，供应商不得对</w:t>
      </w:r>
      <w:r>
        <w:rPr>
          <w:rFonts w:hint="eastAsia" w:ascii="宋体" w:hAnsi="宋体" w:cs="宋体"/>
          <w:sz w:val="24"/>
          <w:szCs w:val="24"/>
        </w:rPr>
        <w:t>其</w:t>
      </w:r>
      <w:r>
        <w:rPr>
          <w:rFonts w:hint="eastAsia" w:ascii="宋体" w:hAnsi="宋体" w:cs="宋体"/>
          <w:sz w:val="24"/>
          <w:szCs w:val="24"/>
          <w:lang w:val="en-US" w:eastAsia="zh-CN"/>
        </w:rPr>
        <w:t>竞争性磋商</w:t>
      </w:r>
      <w:r>
        <w:rPr>
          <w:rFonts w:hint="eastAsia" w:ascii="宋体" w:hAnsi="宋体" w:cs="宋体"/>
          <w:sz w:val="24"/>
          <w:szCs w:val="24"/>
        </w:rPr>
        <w:t>响应文件做任何修改。</w:t>
      </w:r>
    </w:p>
    <w:p w14:paraId="33552A4A">
      <w:pPr>
        <w:spacing w:line="360" w:lineRule="auto"/>
        <w:ind w:firstLine="480" w:firstLineChars="200"/>
        <w:outlineLvl w:val="9"/>
        <w:rPr>
          <w:rFonts w:hint="eastAsia" w:ascii="宋体" w:hAnsi="宋体" w:cs="宋体"/>
          <w:color w:val="0000FF"/>
          <w:sz w:val="24"/>
          <w:szCs w:val="24"/>
        </w:rPr>
      </w:pPr>
      <w:r>
        <w:rPr>
          <w:rFonts w:hint="eastAsia" w:ascii="宋体" w:hAnsi="宋体" w:cs="宋体"/>
          <w:sz w:val="24"/>
          <w:szCs w:val="24"/>
          <w:lang w:val="en-US" w:eastAsia="zh-CN"/>
        </w:rPr>
        <w:t>19</w:t>
      </w: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 xml:space="preserve"> 从</w:t>
      </w:r>
      <w:r>
        <w:rPr>
          <w:rFonts w:hint="eastAsia" w:ascii="宋体" w:hAnsi="宋体" w:cs="宋体"/>
          <w:sz w:val="24"/>
          <w:szCs w:val="24"/>
          <w:lang w:val="en-US" w:eastAsia="zh-CN"/>
        </w:rPr>
        <w:t>磋商</w:t>
      </w:r>
      <w:r>
        <w:rPr>
          <w:rFonts w:hint="eastAsia" w:ascii="宋体" w:hAnsi="宋体" w:cs="宋体"/>
          <w:sz w:val="24"/>
          <w:szCs w:val="24"/>
        </w:rPr>
        <w:t>截止期至供应商在</w:t>
      </w:r>
      <w:r>
        <w:rPr>
          <w:rFonts w:hint="eastAsia" w:ascii="宋体" w:hAnsi="宋体" w:cs="宋体"/>
          <w:sz w:val="24"/>
          <w:szCs w:val="24"/>
          <w:lang w:val="en-US" w:eastAsia="zh-CN"/>
        </w:rPr>
        <w:t>磋商响应</w:t>
      </w:r>
      <w:r>
        <w:rPr>
          <w:rFonts w:hint="eastAsia" w:ascii="宋体" w:hAnsi="宋体" w:cs="宋体"/>
          <w:sz w:val="24"/>
          <w:szCs w:val="24"/>
        </w:rPr>
        <w:t>函格式中确定的</w:t>
      </w:r>
      <w:r>
        <w:rPr>
          <w:rFonts w:hint="eastAsia" w:ascii="宋体" w:hAnsi="宋体" w:cs="宋体"/>
          <w:sz w:val="24"/>
          <w:szCs w:val="24"/>
          <w:lang w:val="en-US" w:eastAsia="zh-CN"/>
        </w:rPr>
        <w:t>磋商</w:t>
      </w:r>
      <w:r>
        <w:rPr>
          <w:rFonts w:hint="eastAsia" w:ascii="宋体" w:hAnsi="宋体" w:cs="宋体"/>
          <w:sz w:val="24"/>
          <w:szCs w:val="24"/>
        </w:rPr>
        <w:t>有效期之间，供应商不得撤销其</w:t>
      </w:r>
      <w:r>
        <w:rPr>
          <w:rFonts w:hint="eastAsia" w:ascii="宋体" w:hAnsi="宋体" w:cs="宋体"/>
          <w:sz w:val="24"/>
          <w:szCs w:val="24"/>
          <w:lang w:val="en-US" w:eastAsia="zh-CN"/>
        </w:rPr>
        <w:t>磋商</w:t>
      </w:r>
      <w:r>
        <w:rPr>
          <w:rFonts w:hint="eastAsia" w:ascii="宋体" w:hAnsi="宋体" w:cs="宋体"/>
          <w:color w:val="auto"/>
          <w:sz w:val="24"/>
          <w:szCs w:val="24"/>
        </w:rPr>
        <w:t>，否则</w:t>
      </w:r>
      <w:r>
        <w:rPr>
          <w:rFonts w:hint="eastAsia" w:ascii="宋体" w:hAnsi="宋体" w:cs="宋体"/>
          <w:color w:val="auto"/>
          <w:sz w:val="24"/>
          <w:szCs w:val="24"/>
          <w:lang w:val="en-US" w:eastAsia="zh-CN"/>
        </w:rPr>
        <w:t>按照投标信用承诺书有关规定执行</w:t>
      </w:r>
      <w:r>
        <w:rPr>
          <w:rFonts w:hint="eastAsia" w:ascii="宋体" w:hAnsi="宋体" w:cs="宋体"/>
          <w:color w:val="auto"/>
          <w:sz w:val="24"/>
          <w:szCs w:val="24"/>
        </w:rPr>
        <w:t>。</w:t>
      </w:r>
    </w:p>
    <w:p w14:paraId="31E7F5DE">
      <w:pPr>
        <w:pStyle w:val="43"/>
        <w:spacing w:line="240" w:lineRule="auto"/>
        <w:ind w:firstLine="482" w:firstLineChars="200"/>
        <w:outlineLvl w:val="9"/>
        <w:rPr>
          <w:rFonts w:asciiTheme="minorEastAsia" w:hAnsiTheme="minorEastAsia" w:eastAsiaTheme="minorEastAsia" w:cstheme="minorEastAsia"/>
          <w:b/>
          <w:sz w:val="24"/>
          <w:szCs w:val="24"/>
        </w:rPr>
      </w:pPr>
      <w:bookmarkStart w:id="138" w:name="_Toc16899"/>
      <w:bookmarkStart w:id="139" w:name="_Toc1674"/>
      <w:bookmarkStart w:id="140" w:name="_Toc22772"/>
      <w:bookmarkStart w:id="141" w:name="_Toc15284"/>
      <w:bookmarkStart w:id="142" w:name="_Toc22473"/>
      <w:r>
        <w:rPr>
          <w:rFonts w:hint="eastAsia" w:asciiTheme="minorEastAsia" w:hAnsiTheme="minorEastAsia" w:eastAsiaTheme="minorEastAsia" w:cstheme="minorEastAsia"/>
          <w:b/>
          <w:sz w:val="24"/>
          <w:szCs w:val="24"/>
        </w:rPr>
        <w:t>5. 磋商</w:t>
      </w:r>
      <w:bookmarkEnd w:id="126"/>
      <w:bookmarkEnd w:id="127"/>
      <w:bookmarkEnd w:id="128"/>
      <w:bookmarkEnd w:id="129"/>
      <w:bookmarkEnd w:id="130"/>
      <w:bookmarkEnd w:id="131"/>
      <w:bookmarkEnd w:id="132"/>
      <w:bookmarkEnd w:id="133"/>
      <w:bookmarkEnd w:id="134"/>
      <w:r>
        <w:rPr>
          <w:rFonts w:hAnsi="宋体"/>
          <w:b/>
          <w:sz w:val="24"/>
          <w:szCs w:val="24"/>
        </w:rPr>
        <w:t>与评标</w:t>
      </w:r>
      <w:bookmarkEnd w:id="135"/>
      <w:bookmarkEnd w:id="136"/>
      <w:bookmarkEnd w:id="137"/>
      <w:bookmarkEnd w:id="138"/>
      <w:bookmarkEnd w:id="139"/>
      <w:bookmarkEnd w:id="140"/>
      <w:bookmarkEnd w:id="141"/>
      <w:bookmarkEnd w:id="142"/>
    </w:p>
    <w:p w14:paraId="152D2AA6">
      <w:pPr>
        <w:spacing w:line="240" w:lineRule="auto"/>
        <w:outlineLvl w:val="9"/>
        <w:rPr>
          <w:rFonts w:ascii="宋体" w:hAnsi="宋体" w:cs="宋体"/>
          <w:sz w:val="24"/>
          <w:szCs w:val="24"/>
        </w:rPr>
      </w:pPr>
      <w:bookmarkStart w:id="143" w:name="_Toc152045560"/>
      <w:bookmarkStart w:id="144" w:name="_Toc179632578"/>
      <w:bookmarkStart w:id="145" w:name="_Toc152042336"/>
      <w:bookmarkStart w:id="146" w:name="_Toc144974528"/>
      <w:r>
        <w:rPr>
          <w:rFonts w:hint="eastAsia" w:ascii="宋体" w:hAnsi="宋体" w:cs="宋体"/>
          <w:sz w:val="24"/>
          <w:szCs w:val="24"/>
          <w:lang w:val="en-US" w:eastAsia="zh-CN"/>
        </w:rPr>
        <w:t>20</w:t>
      </w:r>
      <w:r>
        <w:rPr>
          <w:rFonts w:hint="eastAsia" w:ascii="宋体" w:hAnsi="宋体" w:cs="宋体"/>
          <w:sz w:val="24"/>
          <w:szCs w:val="24"/>
        </w:rPr>
        <w:t>、</w:t>
      </w:r>
      <w:bookmarkEnd w:id="143"/>
      <w:bookmarkEnd w:id="144"/>
      <w:bookmarkEnd w:id="145"/>
      <w:bookmarkEnd w:id="146"/>
      <w:r>
        <w:rPr>
          <w:rFonts w:hint="eastAsia" w:ascii="宋体" w:hAnsi="宋体" w:cs="宋体"/>
          <w:sz w:val="24"/>
          <w:szCs w:val="24"/>
        </w:rPr>
        <w:t>竞争性磋商会议时间和地点</w:t>
      </w:r>
    </w:p>
    <w:p w14:paraId="1C712ED3">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sz w:val="24"/>
          <w:szCs w:val="24"/>
          <w:lang w:val="en-US" w:eastAsia="zh-CN"/>
        </w:rPr>
        <w:t>到</w:t>
      </w:r>
      <w:r>
        <w:rPr>
          <w:rFonts w:hint="eastAsia" w:asciiTheme="minorEastAsia" w:hAnsiTheme="minorEastAsia" w:eastAsiaTheme="minorEastAsia" w:cstheme="minorEastAsia"/>
          <w:sz w:val="24"/>
          <w:szCs w:val="24"/>
        </w:rPr>
        <w:t>。</w:t>
      </w:r>
    </w:p>
    <w:p w14:paraId="1CD09C23">
      <w:pPr>
        <w:adjustRightInd w:val="0"/>
        <w:snapToGrid w:val="0"/>
        <w:spacing w:line="360" w:lineRule="auto"/>
        <w:ind w:firstLine="480" w:firstLineChars="200"/>
        <w:outlineLvl w:val="9"/>
        <w:rPr>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将做磋商记录，存档备查。</w:t>
      </w:r>
    </w:p>
    <w:p w14:paraId="175CE15A">
      <w:pPr>
        <w:pStyle w:val="44"/>
        <w:adjustRightInd w:val="0"/>
        <w:snapToGrid w:val="0"/>
        <w:spacing w:line="360" w:lineRule="auto"/>
        <w:outlineLvl w:val="9"/>
        <w:rPr>
          <w:rFonts w:ascii="宋体" w:hAnsi="宋体" w:eastAsia="宋体"/>
          <w:b/>
          <w:sz w:val="24"/>
          <w:szCs w:val="24"/>
        </w:rPr>
      </w:pPr>
      <w:bookmarkStart w:id="147" w:name="_Toc152045561"/>
      <w:bookmarkStart w:id="148" w:name="_Toc144974529"/>
      <w:bookmarkStart w:id="149" w:name="_Toc179632579"/>
      <w:bookmarkStart w:id="150" w:name="_Toc152042337"/>
      <w:r>
        <w:rPr>
          <w:rFonts w:hint="eastAsia" w:ascii="宋体" w:hAnsi="宋体" w:eastAsia="宋体"/>
          <w:b/>
          <w:sz w:val="24"/>
          <w:szCs w:val="24"/>
          <w:lang w:val="en-US" w:eastAsia="zh-CN"/>
        </w:rPr>
        <w:t>21</w:t>
      </w:r>
      <w:r>
        <w:rPr>
          <w:rFonts w:hint="eastAsia" w:ascii="宋体" w:hAnsi="宋体" w:eastAsia="宋体"/>
          <w:b/>
          <w:sz w:val="24"/>
          <w:szCs w:val="24"/>
        </w:rPr>
        <w:t>、磋商程序</w:t>
      </w:r>
      <w:bookmarkEnd w:id="147"/>
      <w:bookmarkEnd w:id="148"/>
      <w:bookmarkEnd w:id="149"/>
      <w:bookmarkEnd w:id="150"/>
    </w:p>
    <w:p w14:paraId="6BFC2C54">
      <w:pPr>
        <w:spacing w:line="360" w:lineRule="auto"/>
        <w:ind w:firstLine="480" w:firstLineChars="200"/>
        <w:outlineLvl w:val="9"/>
        <w:rPr>
          <w:rFonts w:hint="eastAsia" w:ascii="宋体" w:hAnsi="宋体" w:cs="宋体"/>
          <w:sz w:val="24"/>
          <w:szCs w:val="24"/>
        </w:rPr>
      </w:pPr>
      <w:bookmarkStart w:id="151" w:name="_Toc179632580"/>
      <w:bookmarkStart w:id="152" w:name="_Toc144974530"/>
      <w:bookmarkStart w:id="153" w:name="_Toc152042338"/>
      <w:bookmarkStart w:id="154" w:name="_Toc152045562"/>
      <w:r>
        <w:rPr>
          <w:rFonts w:hint="eastAsia" w:ascii="宋体" w:hAnsi="宋体" w:cs="宋体"/>
          <w:sz w:val="24"/>
          <w:szCs w:val="24"/>
        </w:rPr>
        <w:t>2</w:t>
      </w:r>
      <w:r>
        <w:rPr>
          <w:rFonts w:hint="eastAsia" w:ascii="宋体" w:hAnsi="宋体" w:cs="宋体"/>
          <w:sz w:val="24"/>
          <w:szCs w:val="24"/>
          <w:lang w:val="en-US" w:eastAsia="zh-CN"/>
        </w:rPr>
        <w:t>1</w:t>
      </w:r>
      <w:r>
        <w:rPr>
          <w:rFonts w:hint="eastAsia" w:ascii="宋体" w:hAnsi="宋体" w:cs="宋体"/>
          <w:sz w:val="24"/>
          <w:szCs w:val="24"/>
        </w:rPr>
        <w:t>.1 采购代理机构在规定的时间和地点组织</w:t>
      </w:r>
      <w:r>
        <w:rPr>
          <w:rFonts w:hint="eastAsia" w:ascii="宋体" w:hAnsi="宋体" w:cs="宋体"/>
          <w:sz w:val="24"/>
          <w:szCs w:val="24"/>
          <w:lang w:val="en-US" w:eastAsia="zh-CN"/>
        </w:rPr>
        <w:t>磋商</w:t>
      </w:r>
      <w:r>
        <w:rPr>
          <w:rFonts w:hint="eastAsia" w:ascii="宋体" w:hAnsi="宋体" w:cs="宋体"/>
          <w:sz w:val="24"/>
          <w:szCs w:val="24"/>
        </w:rPr>
        <w:t>。</w:t>
      </w:r>
      <w:r>
        <w:rPr>
          <w:rFonts w:hint="eastAsia" w:ascii="思源宋体 CN Light" w:hAnsi="思源宋体 CN Light" w:eastAsia="思源宋体 CN Light" w:cs="思源宋体 CN Light"/>
          <w:sz w:val="24"/>
          <w:szCs w:val="24"/>
        </w:rPr>
        <w:t>各供应商</w:t>
      </w:r>
      <w:r>
        <w:rPr>
          <w:rFonts w:hint="eastAsia" w:ascii="思源宋体 CN Light" w:hAnsi="思源宋体 CN Light" w:eastAsia="思源宋体 CN Light" w:cs="思源宋体 CN Light"/>
          <w:sz w:val="24"/>
          <w:szCs w:val="24"/>
          <w:lang w:val="en-US" w:eastAsia="zh-CN"/>
        </w:rPr>
        <w:t>在开标截止时间前</w:t>
      </w:r>
      <w:r>
        <w:rPr>
          <w:rFonts w:hint="eastAsia" w:ascii="思源宋体 CN Light" w:hAnsi="思源宋体 CN Light" w:eastAsia="思源宋体 CN Light" w:cs="思源宋体 CN Light"/>
          <w:sz w:val="24"/>
          <w:szCs w:val="24"/>
        </w:rPr>
        <w:t>至少提前</w:t>
      </w:r>
      <w:r>
        <w:rPr>
          <w:rFonts w:hint="eastAsia" w:ascii="思源宋体 CN Light" w:hAnsi="思源宋体 CN Light" w:eastAsia="思源宋体 CN Light" w:cs="思源宋体 CN Light"/>
          <w:sz w:val="24"/>
          <w:szCs w:val="24"/>
          <w:lang w:val="en-US" w:eastAsia="zh-CN"/>
        </w:rPr>
        <w:t>一</w:t>
      </w:r>
      <w:r>
        <w:rPr>
          <w:rFonts w:hint="eastAsia" w:ascii="思源宋体 CN Light" w:hAnsi="思源宋体 CN Light" w:eastAsia="思源宋体 CN Light" w:cs="思源宋体 CN Light"/>
          <w:sz w:val="24"/>
          <w:szCs w:val="24"/>
        </w:rPr>
        <w:t>小时</w:t>
      </w:r>
      <w:r>
        <w:rPr>
          <w:rFonts w:hint="eastAsia" w:ascii="思源宋体 CN Light" w:hAnsi="思源宋体 CN Light" w:eastAsia="思源宋体 CN Light" w:cs="思源宋体 CN Light"/>
          <w:sz w:val="24"/>
          <w:szCs w:val="24"/>
          <w:lang w:val="en-US" w:eastAsia="zh-CN"/>
        </w:rPr>
        <w:t>内</w:t>
      </w:r>
      <w:r>
        <w:rPr>
          <w:rFonts w:hint="eastAsia" w:ascii="思源宋体 CN Light" w:hAnsi="思源宋体 CN Light" w:eastAsia="思源宋体 CN Light" w:cs="思源宋体 CN Light"/>
          <w:sz w:val="24"/>
          <w:szCs w:val="24"/>
        </w:rPr>
        <w:t>登录“不见面”开标系统</w:t>
      </w:r>
      <w:r>
        <w:rPr>
          <w:rFonts w:hint="eastAsia" w:ascii="思源宋体 CN Light" w:hAnsi="思源宋体 CN Light" w:eastAsia="思源宋体 CN Light" w:cs="思源宋体 CN Light"/>
          <w:sz w:val="24"/>
          <w:szCs w:val="24"/>
          <w:lang w:val="en-US" w:eastAsia="zh-CN"/>
        </w:rPr>
        <w:t>登录，供应商应</w:t>
      </w:r>
      <w:r>
        <w:rPr>
          <w:rFonts w:hint="eastAsia" w:ascii="思源宋体 CN Light" w:hAnsi="思源宋体 CN Light" w:eastAsia="思源宋体 CN Light" w:cs="思源宋体 CN Light"/>
          <w:sz w:val="24"/>
          <w:szCs w:val="24"/>
        </w:rPr>
        <w:t>按要求及时签</w:t>
      </w:r>
      <w:r>
        <w:rPr>
          <w:rFonts w:hint="eastAsia" w:ascii="思源宋体 CN Light" w:hAnsi="思源宋体 CN Light" w:eastAsia="思源宋体 CN Light" w:cs="思源宋体 CN Light"/>
          <w:color w:val="auto"/>
          <w:sz w:val="24"/>
          <w:szCs w:val="24"/>
        </w:rPr>
        <w:t>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rPr>
        <w:t>评审过</w:t>
      </w:r>
      <w:r>
        <w:rPr>
          <w:rFonts w:hint="eastAsia" w:ascii="思源宋体 CN Light" w:hAnsi="思源宋体 CN Light" w:eastAsia="思源宋体 CN Light" w:cs="思源宋体 CN Light"/>
          <w:sz w:val="24"/>
          <w:szCs w:val="24"/>
        </w:rPr>
        <w:t>程中，</w:t>
      </w:r>
      <w:r>
        <w:rPr>
          <w:rFonts w:hint="eastAsia" w:ascii="思源宋体 CN Light" w:hAnsi="思源宋体 CN Light" w:eastAsia="思源宋体 CN Light" w:cs="思源宋体 CN Light"/>
          <w:sz w:val="24"/>
          <w:szCs w:val="24"/>
          <w:lang w:val="en-US" w:eastAsia="zh-CN"/>
        </w:rPr>
        <w:t>磋商小组</w:t>
      </w:r>
      <w:r>
        <w:rPr>
          <w:rFonts w:hint="eastAsia" w:ascii="思源宋体 CN Light" w:hAnsi="思源宋体 CN Light" w:eastAsia="思源宋体 CN Light" w:cs="思源宋体 CN Light"/>
          <w:sz w:val="24"/>
          <w:szCs w:val="24"/>
        </w:rPr>
        <w:t>可能会就某些问题要求供应商进行在线澄清</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请供应商</w:t>
      </w:r>
      <w:r>
        <w:rPr>
          <w:rFonts w:hint="eastAsia" w:ascii="思源宋体 CN Light" w:hAnsi="思源宋体 CN Light" w:eastAsia="思源宋体 CN Light" w:cs="思源宋体 CN Light"/>
          <w:sz w:val="24"/>
          <w:szCs w:val="24"/>
        </w:rPr>
        <w:t>保持在线直到评审结束；</w:t>
      </w:r>
    </w:p>
    <w:p w14:paraId="0D2F9DF3">
      <w:pPr>
        <w:spacing w:line="360" w:lineRule="auto"/>
        <w:ind w:firstLine="480" w:firstLineChars="200"/>
        <w:outlineLvl w:val="9"/>
        <w:rPr>
          <w:rFonts w:hint="eastAsia" w:ascii="思源宋体 CN Light" w:hAnsi="思源宋体 CN Light" w:eastAsia="思源宋体 CN Light" w:cs="思源宋体 CN Light"/>
          <w:sz w:val="24"/>
          <w:szCs w:val="24"/>
          <w:lang w:val="en-US" w:eastAsia="zh-CN"/>
        </w:rPr>
      </w:pPr>
      <w:r>
        <w:rPr>
          <w:rFonts w:hint="eastAsia" w:ascii="宋体" w:hAnsi="宋体" w:cs="宋体"/>
          <w:sz w:val="24"/>
          <w:szCs w:val="24"/>
          <w:lang w:val="en-US" w:eastAsia="zh-CN"/>
        </w:rPr>
        <w:t>22.</w:t>
      </w:r>
      <w:r>
        <w:rPr>
          <w:rFonts w:hint="eastAsia" w:ascii="思源宋体 CN Light" w:hAnsi="思源宋体 CN Light" w:eastAsia="思源宋体 CN Light" w:cs="思源宋体 CN Light"/>
          <w:sz w:val="24"/>
          <w:szCs w:val="24"/>
          <w:lang w:val="en-US" w:eastAsia="zh-CN"/>
        </w:rPr>
        <w:t>2</w:t>
      </w:r>
      <w:r>
        <w:rPr>
          <w:rFonts w:hint="eastAsia" w:ascii="思源宋体 CN Light" w:hAnsi="思源宋体 CN Light" w:eastAsia="思源宋体 CN Light" w:cs="思源宋体 CN Light"/>
          <w:sz w:val="24"/>
          <w:szCs w:val="24"/>
        </w:rPr>
        <w:t>宣读会议纪律</w:t>
      </w:r>
      <w:r>
        <w:rPr>
          <w:rFonts w:hint="eastAsia" w:ascii="思源宋体 CN Light" w:hAnsi="思源宋体 CN Light" w:eastAsia="思源宋体 CN Light" w:cs="思源宋体 CN Light"/>
          <w:sz w:val="24"/>
          <w:szCs w:val="24"/>
          <w:lang w:eastAsia="zh-CN"/>
        </w:rPr>
        <w:t>；</w:t>
      </w:r>
    </w:p>
    <w:p w14:paraId="74345C02">
      <w:pPr>
        <w:spacing w:line="360" w:lineRule="auto"/>
        <w:ind w:firstLine="480" w:firstLineChars="200"/>
        <w:outlineLvl w:val="9"/>
        <w:rPr>
          <w:rFonts w:hint="eastAsia" w:ascii="思源宋体 CN Light" w:hAnsi="思源宋体 CN Light" w:eastAsia="思源宋体 CN Light" w:cs="思源宋体 CN Light"/>
          <w:sz w:val="24"/>
          <w:szCs w:val="24"/>
          <w:lang w:val="en-US" w:eastAsia="zh-CN"/>
        </w:rPr>
      </w:pPr>
      <w:r>
        <w:rPr>
          <w:rFonts w:hint="eastAsia" w:ascii="宋体" w:hAnsi="宋体" w:cs="宋体"/>
          <w:sz w:val="24"/>
          <w:szCs w:val="24"/>
          <w:lang w:val="en-US" w:eastAsia="zh-CN"/>
        </w:rPr>
        <w:t>22.3</w:t>
      </w:r>
      <w:r>
        <w:rPr>
          <w:rFonts w:hint="eastAsia" w:ascii="思源宋体 CN Light" w:hAnsi="思源宋体 CN Light" w:eastAsia="思源宋体 CN Light" w:cs="思源宋体 CN Light"/>
          <w:sz w:val="24"/>
          <w:szCs w:val="24"/>
          <w:lang w:val="en-US" w:eastAsia="zh-CN"/>
        </w:rPr>
        <w:t>开</w:t>
      </w:r>
      <w:r>
        <w:rPr>
          <w:rFonts w:hint="eastAsia" w:ascii="思源宋体 CN Light" w:hAnsi="思源宋体 CN Light" w:eastAsia="思源宋体 CN Light" w:cs="思源宋体 CN Light"/>
          <w:sz w:val="24"/>
          <w:szCs w:val="24"/>
        </w:rPr>
        <w:t>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解密时间为30分钟，在解密时间内供应商全部解密完成后，可提前进入开标下一阶段。</w:t>
      </w:r>
    </w:p>
    <w:p w14:paraId="30497815">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 xml:space="preserve"> </w:t>
      </w:r>
      <w:r>
        <w:rPr>
          <w:rFonts w:hint="eastAsia" w:ascii="宋体" w:hAnsi="宋体" w:cs="宋体"/>
          <w:sz w:val="24"/>
          <w:szCs w:val="24"/>
          <w:lang w:val="en-US" w:eastAsia="zh-CN"/>
        </w:rPr>
        <w:t>磋商</w:t>
      </w:r>
      <w:r>
        <w:rPr>
          <w:rFonts w:hint="eastAsia" w:ascii="宋体" w:hAnsi="宋体" w:cs="宋体"/>
          <w:sz w:val="24"/>
          <w:szCs w:val="24"/>
        </w:rPr>
        <w:t>有效供应商不足三家的，按照国家相关法律、法规及有关规定执行。</w:t>
      </w:r>
    </w:p>
    <w:p w14:paraId="1B6DC1E7">
      <w:pPr>
        <w:spacing w:line="360" w:lineRule="auto"/>
        <w:ind w:firstLine="480" w:firstLineChars="200"/>
        <w:outlineLvl w:val="9"/>
        <w:rPr>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 xml:space="preserve"> 采购代理机构将做开标记录，存档备查。</w:t>
      </w:r>
    </w:p>
    <w:p w14:paraId="5CF77ED0">
      <w:pPr>
        <w:pStyle w:val="44"/>
        <w:adjustRightInd w:val="0"/>
        <w:snapToGrid w:val="0"/>
        <w:spacing w:line="360" w:lineRule="auto"/>
        <w:outlineLvl w:val="9"/>
        <w:rPr>
          <w:rFonts w:ascii="宋体" w:hAnsi="宋体" w:eastAsia="宋体"/>
          <w:b/>
          <w:sz w:val="24"/>
          <w:szCs w:val="24"/>
        </w:rPr>
      </w:pPr>
      <w:r>
        <w:rPr>
          <w:rFonts w:hint="eastAsia" w:ascii="宋体" w:hAnsi="宋体" w:eastAsia="宋体"/>
          <w:b/>
          <w:sz w:val="24"/>
          <w:szCs w:val="24"/>
        </w:rPr>
        <w:t>2</w:t>
      </w:r>
      <w:r>
        <w:rPr>
          <w:rFonts w:hint="eastAsia" w:ascii="宋体" w:hAnsi="宋体" w:eastAsia="宋体"/>
          <w:b/>
          <w:sz w:val="24"/>
          <w:szCs w:val="24"/>
          <w:lang w:val="en-US" w:eastAsia="zh-CN"/>
        </w:rPr>
        <w:t>2</w:t>
      </w:r>
      <w:r>
        <w:rPr>
          <w:rFonts w:hint="eastAsia" w:ascii="宋体" w:hAnsi="宋体" w:eastAsia="宋体"/>
          <w:b/>
          <w:sz w:val="24"/>
          <w:szCs w:val="24"/>
        </w:rPr>
        <w:t>、评审组织及评审原则</w:t>
      </w:r>
    </w:p>
    <w:p w14:paraId="3D9FCB35">
      <w:pPr>
        <w:spacing w:line="360" w:lineRule="auto"/>
        <w:ind w:firstLine="482" w:firstLineChars="200"/>
        <w:outlineLvl w:val="9"/>
        <w:rPr>
          <w:rFonts w:ascii="宋体" w:hAnsi="宋体" w:cs="宋体"/>
          <w:b/>
          <w:bCs/>
          <w:sz w:val="24"/>
          <w:szCs w:val="24"/>
        </w:rPr>
      </w:pPr>
      <w:r>
        <w:rPr>
          <w:rFonts w:hint="eastAsia" w:ascii="宋体" w:hAnsi="宋体" w:cs="宋体"/>
          <w:b/>
          <w:bCs/>
          <w:sz w:val="24"/>
          <w:szCs w:val="24"/>
        </w:rPr>
        <w:t>2</w:t>
      </w:r>
      <w:r>
        <w:rPr>
          <w:rFonts w:hint="eastAsia" w:ascii="宋体" w:hAnsi="宋体" w:cs="宋体"/>
          <w:b/>
          <w:bCs/>
          <w:sz w:val="24"/>
          <w:szCs w:val="24"/>
          <w:lang w:val="en-US" w:eastAsia="zh-CN"/>
        </w:rPr>
        <w:t>2</w:t>
      </w:r>
      <w:r>
        <w:rPr>
          <w:rFonts w:hint="eastAsia" w:ascii="宋体" w:hAnsi="宋体" w:cs="宋体"/>
          <w:b/>
          <w:bCs/>
          <w:sz w:val="24"/>
          <w:szCs w:val="24"/>
        </w:rPr>
        <w:t>.1磋商小组</w:t>
      </w:r>
    </w:p>
    <w:p w14:paraId="1D6F301C">
      <w:pPr>
        <w:spacing w:line="360" w:lineRule="auto"/>
        <w:ind w:firstLine="480" w:firstLineChars="200"/>
        <w:outlineLvl w:val="9"/>
        <w:rPr>
          <w:rFonts w:ascii="宋体" w:hAnsi="宋体" w:cs="宋体"/>
          <w:sz w:val="24"/>
          <w:szCs w:val="24"/>
        </w:rPr>
      </w:pPr>
      <w:r>
        <w:rPr>
          <w:rFonts w:hint="eastAsia" w:ascii="宋体" w:hAnsi="宋体" w:eastAsia="宋体" w:cs="宋体"/>
          <w:sz w:val="24"/>
          <w:szCs w:val="24"/>
        </w:rPr>
        <w:t>按照《中华人民共和国政府采购法》、中华人民共和国财政部第</w:t>
      </w:r>
      <w:r>
        <w:rPr>
          <w:rFonts w:hint="eastAsia" w:ascii="宋体" w:hAnsi="宋体" w:eastAsia="宋体" w:cs="宋体"/>
          <w:sz w:val="24"/>
          <w:szCs w:val="24"/>
          <w:lang w:val="en-US" w:eastAsia="zh-CN"/>
        </w:rPr>
        <w:t>87</w:t>
      </w:r>
      <w:r>
        <w:rPr>
          <w:rFonts w:hint="eastAsia" w:ascii="宋体" w:hAnsi="宋体" w:eastAsia="宋体" w:cs="宋体"/>
          <w:sz w:val="24"/>
          <w:szCs w:val="24"/>
        </w:rPr>
        <w:t>号部长令--《政府采购货物和服务招标投标管理办法》和关于印发《政府采购竞争性磋商采购方式管理暂行办法》的通知财</w:t>
      </w:r>
      <w:r>
        <w:rPr>
          <w:rFonts w:hint="eastAsia" w:ascii="宋体" w:hAnsi="宋体" w:eastAsia="宋体" w:cs="宋体"/>
          <w:color w:val="000000"/>
          <w:sz w:val="24"/>
          <w:szCs w:val="24"/>
        </w:rPr>
        <w:t>库【2014】214号，</w:t>
      </w:r>
      <w:r>
        <w:rPr>
          <w:rFonts w:hint="eastAsia" w:ascii="宋体" w:hAnsi="宋体" w:eastAsia="宋体" w:cs="宋体"/>
          <w:sz w:val="24"/>
          <w:szCs w:val="24"/>
        </w:rPr>
        <w:t>依法组建磋商小组。磋商小组由采购人代表和有关技术、经济等方面的专家组成，磋商小组按照竞争性磋商文件规定的评审方法独立进行评审工作。</w:t>
      </w:r>
    </w:p>
    <w:p w14:paraId="7E8A47CD">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 磋商小组成员有下列情形之一的，应当回避，已经进入的应当更换：</w:t>
      </w:r>
    </w:p>
    <w:p w14:paraId="5B759E67">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或供应商的主要负责人的近亲属；</w:t>
      </w:r>
    </w:p>
    <w:p w14:paraId="0946C176">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.1.2.2项目主管部门或者行政监督部门的人员；</w:t>
      </w:r>
    </w:p>
    <w:p w14:paraId="7BA7D706">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.1.2.3与供应商有经济利益关系，可能影响对投标公正评审的；</w:t>
      </w:r>
    </w:p>
    <w:p w14:paraId="7985BAA0">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.1.2.4曾因在招标、评审以及其他与采购投标有关活动中从事违法行为而受过行政处罚或刑事处罚的。</w:t>
      </w:r>
    </w:p>
    <w:p w14:paraId="30C7B199">
      <w:pPr>
        <w:pStyle w:val="44"/>
        <w:tabs>
          <w:tab w:val="left" w:pos="2620"/>
        </w:tabs>
        <w:adjustRightInd w:val="0"/>
        <w:snapToGrid w:val="0"/>
        <w:spacing w:line="360" w:lineRule="auto"/>
        <w:ind w:firstLine="480" w:firstLineChars="200"/>
        <w:outlineLvl w:val="9"/>
        <w:rPr>
          <w:rFonts w:asciiTheme="minorEastAsia" w:hAnsiTheme="minorEastAsia" w:eastAsiaTheme="minorEastAsia" w:cstheme="minorEastAsia"/>
          <w:bCs w:val="0"/>
          <w:sz w:val="24"/>
          <w:szCs w:val="24"/>
        </w:rPr>
      </w:pPr>
      <w:r>
        <w:rPr>
          <w:rFonts w:hint="eastAsia" w:asciiTheme="minorEastAsia" w:hAnsiTheme="minorEastAsia" w:eastAsiaTheme="minorEastAsia" w:cstheme="minorEastAsia"/>
          <w:bCs w:val="0"/>
          <w:sz w:val="24"/>
          <w:szCs w:val="24"/>
        </w:rPr>
        <w:t>2</w:t>
      </w:r>
      <w:r>
        <w:rPr>
          <w:rFonts w:hint="eastAsia" w:asciiTheme="minorEastAsia" w:hAnsiTheme="minorEastAsia" w:eastAsiaTheme="minorEastAsia" w:cstheme="minorEastAsia"/>
          <w:bCs w:val="0"/>
          <w:sz w:val="24"/>
          <w:szCs w:val="24"/>
          <w:lang w:val="en-US" w:eastAsia="zh-CN"/>
        </w:rPr>
        <w:t>2</w:t>
      </w:r>
      <w:r>
        <w:rPr>
          <w:rFonts w:hint="eastAsia" w:asciiTheme="minorEastAsia" w:hAnsiTheme="minorEastAsia" w:eastAsiaTheme="minorEastAsia" w:cstheme="minorEastAsia"/>
          <w:bCs w:val="0"/>
          <w:sz w:val="24"/>
          <w:szCs w:val="24"/>
        </w:rPr>
        <w:t>.1.3</w:t>
      </w:r>
      <w:r>
        <w:rPr>
          <w:rFonts w:hint="eastAsia" w:asciiTheme="minorEastAsia" w:hAnsiTheme="minorEastAsia" w:eastAsiaTheme="minorEastAsia" w:cstheme="minorEastAsia"/>
          <w:bCs w:val="0"/>
          <w:sz w:val="24"/>
          <w:szCs w:val="24"/>
          <w:lang w:eastAsia="zh-CN"/>
        </w:rPr>
        <w:t>磋商小组</w:t>
      </w:r>
      <w:r>
        <w:rPr>
          <w:rFonts w:hint="eastAsia" w:asciiTheme="minorEastAsia" w:hAnsiTheme="minorEastAsia" w:eastAsiaTheme="minorEastAsia" w:cstheme="minorEastAsia"/>
          <w:bCs w:val="0"/>
          <w:sz w:val="24"/>
          <w:szCs w:val="24"/>
        </w:rPr>
        <w:t>成员的名单在</w:t>
      </w:r>
      <w:r>
        <w:rPr>
          <w:rFonts w:hint="eastAsia" w:asciiTheme="minorEastAsia" w:hAnsiTheme="minorEastAsia" w:eastAsiaTheme="minorEastAsia" w:cstheme="minorEastAsia"/>
          <w:bCs w:val="0"/>
          <w:sz w:val="24"/>
          <w:szCs w:val="24"/>
          <w:lang w:eastAsia="zh-CN"/>
        </w:rPr>
        <w:t>成交</w:t>
      </w:r>
      <w:r>
        <w:rPr>
          <w:rFonts w:hint="eastAsia" w:asciiTheme="minorEastAsia" w:hAnsiTheme="minorEastAsia" w:eastAsiaTheme="minorEastAsia" w:cstheme="minorEastAsia"/>
          <w:bCs w:val="0"/>
          <w:sz w:val="24"/>
          <w:szCs w:val="24"/>
        </w:rPr>
        <w:t>结果确定前应当保密。</w:t>
      </w:r>
    </w:p>
    <w:p w14:paraId="22923663">
      <w:pPr>
        <w:adjustRightInd w:val="0"/>
        <w:snapToGrid w:val="0"/>
        <w:spacing w:line="360" w:lineRule="auto"/>
        <w:ind w:firstLine="480" w:firstLineChars="200"/>
        <w:outlineLvl w:val="9"/>
        <w:rPr>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.1.4评标采用保密方式进行。</w:t>
      </w:r>
    </w:p>
    <w:p w14:paraId="73AC82D9">
      <w:pPr>
        <w:pStyle w:val="44"/>
        <w:tabs>
          <w:tab w:val="left" w:pos="2620"/>
        </w:tabs>
        <w:adjustRightInd w:val="0"/>
        <w:snapToGrid w:val="0"/>
        <w:spacing w:line="360" w:lineRule="auto"/>
        <w:ind w:firstLine="482"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.2 评审原则</w:t>
      </w:r>
      <w:r>
        <w:rPr>
          <w:rFonts w:hint="eastAsia" w:asciiTheme="minorEastAsia" w:hAnsiTheme="minorEastAsia" w:eastAsiaTheme="minorEastAsia" w:cstheme="minorEastAsia"/>
          <w:sz w:val="24"/>
          <w:szCs w:val="24"/>
        </w:rPr>
        <w:tab/>
      </w:r>
    </w:p>
    <w:p w14:paraId="5B97BE16">
      <w:pPr>
        <w:adjustRightInd w:val="0"/>
        <w:snapToGrid w:val="0"/>
        <w:spacing w:line="360" w:lineRule="auto"/>
        <w:ind w:firstLine="720" w:firstLineChars="3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.2.1评审活动遵循公平、公正、科学和择优的原则。</w:t>
      </w:r>
    </w:p>
    <w:p w14:paraId="23A7236B">
      <w:pPr>
        <w:pStyle w:val="44"/>
        <w:tabs>
          <w:tab w:val="left" w:pos="2620"/>
        </w:tabs>
        <w:adjustRightInd w:val="0"/>
        <w:snapToGrid w:val="0"/>
        <w:spacing w:line="360" w:lineRule="auto"/>
        <w:ind w:firstLine="482" w:firstLineChars="200"/>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.3评审</w:t>
      </w:r>
    </w:p>
    <w:p w14:paraId="78FBB12F">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.3.1竞争性磋商文件和竞争性磋商响应文件是评审的依据。在评审中，不得改变竞争性磋商文件中规定的评审标准、方法和成交条件。</w:t>
      </w:r>
    </w:p>
    <w:p w14:paraId="498E0A1A">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630EF8A7">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.3.3如果供应商在澄清规定期限内，未能答复或拒绝答复磋商小组提出的澄清要求，将由磋商小组根据其竞争性磋商响应文件按最大风险进行评审。</w:t>
      </w:r>
    </w:p>
    <w:p w14:paraId="7A19E783">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竞争性磋商响应文件的符合性检查</w:t>
      </w:r>
    </w:p>
    <w:p w14:paraId="2B1B98F5">
      <w:pPr>
        <w:spacing w:line="360" w:lineRule="auto"/>
        <w:ind w:firstLine="480" w:firstLineChars="200"/>
        <w:outlineLvl w:val="9"/>
        <w:rPr>
          <w:rFonts w:ascii="宋体" w:hAnsi="宋体" w:cs="宋体"/>
          <w:color w:val="auto"/>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cs="宋体"/>
          <w:color w:val="auto"/>
          <w:sz w:val="24"/>
          <w:szCs w:val="24"/>
        </w:rPr>
        <w:t>1磋商小组将审查竞争性磋商响应文件是否完整、资格证明文件是否齐全有无计算上的错误等。</w:t>
      </w:r>
    </w:p>
    <w:p w14:paraId="050B4ED8">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cs="宋体"/>
          <w:sz w:val="24"/>
          <w:szCs w:val="24"/>
          <w:lang w:eastAsia="zh-CN"/>
        </w:rPr>
        <w:t>磋商报价一览表</w:t>
      </w:r>
      <w:r>
        <w:rPr>
          <w:rFonts w:hint="eastAsia" w:ascii="宋体" w:hAnsi="宋体" w:cs="宋体"/>
          <w:sz w:val="24"/>
          <w:szCs w:val="24"/>
        </w:rPr>
        <w:t>”中的总价与磋商的其他文件中的总价不一致，以“</w:t>
      </w:r>
      <w:r>
        <w:rPr>
          <w:rFonts w:hint="eastAsia" w:ascii="宋体" w:hAnsi="宋体" w:cs="宋体"/>
          <w:sz w:val="24"/>
          <w:szCs w:val="24"/>
          <w:lang w:eastAsia="zh-CN"/>
        </w:rPr>
        <w:t>磋商报价一览表</w:t>
      </w:r>
      <w:r>
        <w:rPr>
          <w:rFonts w:hint="eastAsia" w:ascii="宋体" w:hAnsi="宋体" w:cs="宋体"/>
          <w:sz w:val="24"/>
          <w:szCs w:val="24"/>
        </w:rPr>
        <w:t>”中的总价为准。如果供应商不接受对其错误的更正，其磋商将被拒绝。</w:t>
      </w:r>
    </w:p>
    <w:p w14:paraId="7D91D110">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.3对于竞争性磋商响应文件中明显的标点符号错误或不构成实质性偏差的不正规、不一致或不规则，招标方可以接受。</w:t>
      </w:r>
    </w:p>
    <w:p w14:paraId="5A71B764">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磋商小组要审查每份竞争性磋商响应文件是否实质上响应了竞争性磋商文件的要求。实质上响应的磋商</w:t>
      </w:r>
      <w:r>
        <w:rPr>
          <w:rFonts w:hint="eastAsia" w:ascii="宋体" w:hAnsi="宋体" w:cs="宋体"/>
          <w:sz w:val="24"/>
          <w:szCs w:val="24"/>
          <w:lang w:val="en-US" w:eastAsia="zh-CN"/>
        </w:rPr>
        <w:t>文件</w:t>
      </w:r>
      <w:r>
        <w:rPr>
          <w:rFonts w:hint="eastAsia" w:ascii="宋体" w:hAnsi="宋体" w:cs="宋体"/>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4520E92A">
      <w:pPr>
        <w:keepNext w:val="0"/>
        <w:keepLines w:val="0"/>
        <w:widowControl/>
        <w:suppressLineNumbers w:val="0"/>
        <w:spacing w:line="360" w:lineRule="auto"/>
        <w:ind w:firstLine="480" w:firstLineChars="200"/>
        <w:jc w:val="left"/>
        <w:outlineLvl w:val="9"/>
        <w:rPr>
          <w:rFonts w:hint="eastAsia" w:ascii="宋体" w:hAnsi="宋体" w:eastAsia="宋体" w:cs="宋体"/>
          <w:color w:val="000000"/>
          <w:kern w:val="0"/>
          <w:sz w:val="24"/>
          <w:szCs w:val="24"/>
          <w:lang w:val="en-US" w:eastAsia="zh-CN" w:bidi="ar"/>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.5实质上没有响应竞争性磋商文件要求的磋商将被按无效投标处理。供应商不得通过修正或撤销不合要求的偏离从而使其磋商成为实质性响应的磋商。</w:t>
      </w:r>
    </w:p>
    <w:p w14:paraId="1EE79675">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sz w:val="24"/>
          <w:szCs w:val="24"/>
          <w:lang w:val="en-US" w:eastAsia="zh-CN"/>
        </w:rPr>
        <w:t>5</w:t>
      </w:r>
      <w:r>
        <w:rPr>
          <w:rFonts w:hint="eastAsia" w:ascii="宋体" w:hAnsi="宋体" w:cs="宋体"/>
          <w:sz w:val="24"/>
          <w:szCs w:val="24"/>
        </w:rPr>
        <w:t>竞争性磋商响应文件的详细评审</w:t>
      </w:r>
    </w:p>
    <w:p w14:paraId="3A26ECE8">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2</w:t>
      </w:r>
      <w:r>
        <w:rPr>
          <w:rFonts w:hint="eastAsia" w:ascii="宋体" w:hAnsi="宋体" w:cs="宋体"/>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.1</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磋商小组只对确定为</w:t>
      </w:r>
      <w:r>
        <w:rPr>
          <w:rFonts w:hint="eastAsia" w:ascii="宋体" w:hAnsi="宋体" w:cs="宋体"/>
          <w:sz w:val="24"/>
          <w:szCs w:val="24"/>
        </w:rPr>
        <w:t>实质性响应竞争性磋商文件要求的磋商响应文件进行详细评审。</w:t>
      </w:r>
    </w:p>
    <w:p w14:paraId="632EFBAF">
      <w:pPr>
        <w:spacing w:line="360" w:lineRule="auto"/>
        <w:ind w:firstLine="480" w:firstLineChars="200"/>
        <w:outlineLvl w:val="9"/>
        <w:rPr>
          <w:rFonts w:ascii="宋体" w:hAnsi="宋体" w:cs="宋体"/>
          <w:sz w:val="24"/>
          <w:szCs w:val="24"/>
        </w:rPr>
      </w:pPr>
      <w:r>
        <w:rPr>
          <w:rFonts w:hint="eastAsia" w:ascii="宋体" w:hAnsi="宋体" w:cs="宋体"/>
          <w:sz w:val="24"/>
          <w:szCs w:val="24"/>
          <w:lang w:val="en-US" w:eastAsia="zh-CN"/>
        </w:rPr>
        <w:t>22</w:t>
      </w:r>
      <w:r>
        <w:rPr>
          <w:rFonts w:hint="eastAsia" w:ascii="宋体" w:hAnsi="宋体" w:cs="宋体"/>
          <w:sz w:val="24"/>
          <w:szCs w:val="24"/>
        </w:rPr>
        <w:t>.3.</w:t>
      </w:r>
      <w:r>
        <w:rPr>
          <w:rFonts w:hint="eastAsia" w:ascii="宋体" w:hAnsi="宋体" w:cs="宋体"/>
          <w:sz w:val="24"/>
          <w:szCs w:val="24"/>
          <w:lang w:val="en-US" w:eastAsia="zh-CN"/>
        </w:rPr>
        <w:t>6</w:t>
      </w:r>
      <w:r>
        <w:rPr>
          <w:rFonts w:hint="eastAsia" w:ascii="宋体" w:hAnsi="宋体" w:cs="宋体"/>
          <w:sz w:val="24"/>
          <w:szCs w:val="24"/>
        </w:rPr>
        <w:t>成交候选人的确定</w:t>
      </w:r>
    </w:p>
    <w:p w14:paraId="41BFDB23">
      <w:pPr>
        <w:spacing w:line="360" w:lineRule="auto"/>
        <w:ind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.1磋商小组依据本磋商文件“评标方法”，对竞争性磋商响应文件进行评审和比较，向</w:t>
      </w:r>
      <w:r>
        <w:rPr>
          <w:rFonts w:hint="eastAsia" w:ascii="宋体" w:hAnsi="宋体" w:cs="宋体"/>
          <w:color w:val="auto"/>
          <w:sz w:val="24"/>
          <w:szCs w:val="24"/>
          <w:lang w:eastAsia="zh-CN"/>
        </w:rPr>
        <w:t>采购人</w:t>
      </w:r>
      <w:r>
        <w:rPr>
          <w:rFonts w:hint="eastAsia" w:ascii="宋体" w:hAnsi="宋体" w:cs="宋体"/>
          <w:color w:val="auto"/>
          <w:sz w:val="24"/>
          <w:szCs w:val="24"/>
        </w:rPr>
        <w:t>提交书面评标报告，并推荐</w:t>
      </w:r>
      <w:r>
        <w:rPr>
          <w:rFonts w:hint="eastAsia" w:ascii="宋体" w:hAnsi="宋体" w:cs="宋体"/>
          <w:color w:val="auto"/>
          <w:sz w:val="24"/>
          <w:szCs w:val="24"/>
          <w:lang w:val="en-US" w:eastAsia="zh-CN"/>
        </w:rPr>
        <w:t>1-3名</w:t>
      </w:r>
      <w:r>
        <w:rPr>
          <w:rFonts w:hint="eastAsia" w:ascii="宋体" w:hAnsi="宋体" w:cs="宋体"/>
          <w:color w:val="auto"/>
          <w:sz w:val="24"/>
          <w:szCs w:val="24"/>
        </w:rPr>
        <w:t>供应商为成交候选人。</w:t>
      </w:r>
    </w:p>
    <w:p w14:paraId="1BC93F49">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 xml:space="preserve">.2 </w:t>
      </w:r>
      <w:r>
        <w:rPr>
          <w:rFonts w:hint="eastAsia" w:ascii="宋体" w:hAnsi="宋体" w:cs="宋体"/>
          <w:color w:val="auto"/>
          <w:sz w:val="24"/>
          <w:szCs w:val="24"/>
          <w:lang w:eastAsia="zh-CN"/>
        </w:rPr>
        <w:t>采购人</w:t>
      </w:r>
      <w:r>
        <w:rPr>
          <w:rFonts w:hint="eastAsia" w:ascii="宋体" w:hAnsi="宋体" w:cs="宋体"/>
          <w:color w:val="auto"/>
          <w:sz w:val="24"/>
          <w:szCs w:val="24"/>
        </w:rPr>
        <w:t>根据磋商小组提交的评标报告和推荐的成交候选人确定成交供应商。</w:t>
      </w:r>
    </w:p>
    <w:p w14:paraId="4ACAFE69">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磋商小组</w:t>
      </w:r>
      <w:r>
        <w:rPr>
          <w:rFonts w:hint="eastAsia" w:ascii="宋体" w:hAnsi="宋体" w:eastAsia="宋体" w:cs="宋体"/>
          <w:color w:val="auto"/>
          <w:sz w:val="24"/>
          <w:szCs w:val="24"/>
        </w:rPr>
        <w:t>经评审，认为有效</w:t>
      </w:r>
      <w:r>
        <w:rPr>
          <w:rFonts w:hint="eastAsia" w:ascii="宋体" w:hAnsi="宋体" w:eastAsia="宋体" w:cs="宋体"/>
          <w:color w:val="auto"/>
          <w:sz w:val="24"/>
          <w:szCs w:val="24"/>
          <w:lang w:eastAsia="zh-CN"/>
        </w:rPr>
        <w:t>供应商</w:t>
      </w:r>
      <w:r>
        <w:rPr>
          <w:rFonts w:hint="eastAsia" w:ascii="宋体" w:hAnsi="宋体" w:cs="宋体"/>
          <w:color w:val="auto"/>
          <w:sz w:val="24"/>
          <w:szCs w:val="24"/>
          <w:lang w:val="en-US" w:eastAsia="zh-CN"/>
        </w:rPr>
        <w:t>不足3</w:t>
      </w:r>
      <w:r>
        <w:rPr>
          <w:rFonts w:hint="eastAsia" w:ascii="宋体" w:hAnsi="宋体" w:eastAsia="宋体" w:cs="宋体"/>
          <w:color w:val="auto"/>
          <w:sz w:val="24"/>
          <w:szCs w:val="24"/>
        </w:rPr>
        <w:t>家的，可以否决本次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、投标。所有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被否决后，招标人应当依法重新招标。</w:t>
      </w:r>
    </w:p>
    <w:p w14:paraId="585CF679">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提交最后报价的供应商为2家时，可以继续进行磋商的情形：</w:t>
      </w:r>
    </w:p>
    <w:p w14:paraId="62B50216">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color w:val="auto"/>
          <w:sz w:val="24"/>
          <w:szCs w:val="24"/>
        </w:rPr>
        <w:t>（一）市场竞争不充分的科研项目，以及需要扶持的科技成果</w:t>
      </w:r>
      <w:r>
        <w:rPr>
          <w:rFonts w:hint="eastAsia" w:ascii="宋体" w:hAnsi="宋体" w:eastAsia="宋体" w:cs="宋体"/>
          <w:sz w:val="24"/>
          <w:szCs w:val="24"/>
        </w:rPr>
        <w:t>转化项目；</w:t>
      </w:r>
    </w:p>
    <w:p w14:paraId="14F55437">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sz w:val="24"/>
          <w:szCs w:val="24"/>
        </w:rPr>
      </w:pPr>
      <w:bookmarkStart w:id="155" w:name="_Toc20079"/>
      <w:r>
        <w:rPr>
          <w:rFonts w:hint="eastAsia" w:ascii="宋体" w:hAnsi="宋体" w:eastAsia="宋体" w:cs="宋体"/>
          <w:sz w:val="24"/>
          <w:szCs w:val="24"/>
        </w:rPr>
        <w:t>（二）政府购买服务项目（含政府和社会资本项目）。</w:t>
      </w:r>
      <w:bookmarkEnd w:id="155"/>
    </w:p>
    <w:p w14:paraId="1865BDA4">
      <w:pPr>
        <w:pStyle w:val="44"/>
        <w:adjustRightInd w:val="0"/>
        <w:spacing w:line="360" w:lineRule="auto"/>
        <w:outlineLvl w:val="9"/>
        <w:rPr>
          <w:rFonts w:ascii="宋体" w:hAnsi="宋体" w:eastAsia="宋体"/>
          <w:sz w:val="24"/>
          <w:szCs w:val="24"/>
        </w:rPr>
      </w:pPr>
      <w:r>
        <w:rPr>
          <w:rFonts w:hint="eastAsia" w:ascii="宋体" w:hAnsi="宋体" w:eastAsia="宋体"/>
          <w:b/>
          <w:sz w:val="24"/>
          <w:szCs w:val="24"/>
        </w:rPr>
        <w:t>2</w:t>
      </w:r>
      <w:r>
        <w:rPr>
          <w:rFonts w:hint="eastAsia" w:ascii="宋体" w:hAnsi="宋体" w:eastAsia="宋体"/>
          <w:b/>
          <w:sz w:val="24"/>
          <w:szCs w:val="24"/>
          <w:lang w:val="en-US" w:eastAsia="zh-CN"/>
        </w:rPr>
        <w:t>3</w:t>
      </w:r>
      <w:r>
        <w:rPr>
          <w:rFonts w:hint="eastAsia" w:ascii="宋体" w:hAnsi="宋体" w:eastAsia="宋体"/>
          <w:b/>
          <w:sz w:val="24"/>
          <w:szCs w:val="24"/>
        </w:rPr>
        <w:t>、评审过程的保密</w:t>
      </w:r>
    </w:p>
    <w:p w14:paraId="6C7290B3">
      <w:pPr>
        <w:adjustRightInd w:val="0"/>
        <w:snapToGrid w:val="0"/>
        <w:spacing w:line="360" w:lineRule="auto"/>
        <w:ind w:firstLine="480" w:firstLineChars="200"/>
        <w:outlineLvl w:val="9"/>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（1）磋商后，直至授予成交人合同为止，凡属于对竞争性磋商响应文件的审查、补遗、评价和比较的有关资料以及成交人候选人的推荐情况等均严格保密。</w:t>
      </w:r>
    </w:p>
    <w:p w14:paraId="2127EF0F">
      <w:pPr>
        <w:adjustRightInd w:val="0"/>
        <w:snapToGrid w:val="0"/>
        <w:spacing w:line="360" w:lineRule="auto"/>
        <w:ind w:firstLine="480" w:firstLineChars="200"/>
        <w:outlineLvl w:val="9"/>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（2）在竞争性磋商响应文件的评审、成交人候选人推荐以及授予合同的过程中，供应商向</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和磋商小组施加影响的任何行为，都将会导致其磋商被拒绝直至取消其成交资格。</w:t>
      </w:r>
    </w:p>
    <w:p w14:paraId="2331E418">
      <w:pPr>
        <w:adjustRightInd w:val="0"/>
        <w:snapToGrid w:val="0"/>
        <w:spacing w:line="360" w:lineRule="auto"/>
        <w:ind w:firstLine="480" w:firstLineChars="200"/>
        <w:outlineLvl w:val="9"/>
        <w:rPr>
          <w:sz w:val="24"/>
          <w:szCs w:val="24"/>
        </w:rPr>
      </w:pPr>
      <w:r>
        <w:rPr>
          <w:rFonts w:hint="eastAsia" w:asciiTheme="minorEastAsia" w:hAnsiTheme="minorEastAsia" w:eastAsiaTheme="minorEastAsia" w:cstheme="minorEastAsia"/>
          <w:kern w:val="0"/>
          <w:sz w:val="24"/>
          <w:szCs w:val="24"/>
        </w:rPr>
        <w:t>（3）成交人确定后，</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不对未成</w:t>
      </w:r>
      <w:r>
        <w:rPr>
          <w:rFonts w:hint="eastAsia" w:asciiTheme="minorEastAsia" w:hAnsiTheme="minorEastAsia" w:eastAsiaTheme="minorEastAsia" w:cstheme="minorEastAsia"/>
          <w:b/>
          <w:bCs/>
          <w:kern w:val="0"/>
          <w:sz w:val="24"/>
          <w:szCs w:val="24"/>
        </w:rPr>
        <w:t>交</w:t>
      </w:r>
      <w:r>
        <w:rPr>
          <w:rFonts w:hint="eastAsia" w:asciiTheme="minorEastAsia" w:hAnsiTheme="minorEastAsia" w:eastAsiaTheme="minorEastAsia" w:cstheme="minorEastAsia"/>
          <w:kern w:val="0"/>
          <w:sz w:val="24"/>
          <w:szCs w:val="24"/>
        </w:rPr>
        <w:t>人就评审过程以及未能成交原因作出任何解释。未成交人不得向磋商小组组成人员或其他有关人员索问评审过程的情况和材料。</w:t>
      </w:r>
    </w:p>
    <w:p w14:paraId="12E6AED7">
      <w:pPr>
        <w:pStyle w:val="44"/>
        <w:adjustRightInd w:val="0"/>
        <w:snapToGrid w:val="0"/>
        <w:spacing w:line="360" w:lineRule="auto"/>
        <w:outlineLvl w:val="9"/>
        <w:rPr>
          <w:rFonts w:ascii="宋体" w:hAnsi="宋体" w:eastAsia="宋体"/>
          <w:b/>
          <w:sz w:val="24"/>
          <w:szCs w:val="24"/>
        </w:rPr>
      </w:pPr>
      <w:r>
        <w:rPr>
          <w:rFonts w:hint="eastAsia" w:ascii="宋体" w:hAnsi="宋体" w:eastAsia="宋体"/>
          <w:b/>
          <w:sz w:val="24"/>
          <w:szCs w:val="24"/>
        </w:rPr>
        <w:t>2</w:t>
      </w:r>
      <w:r>
        <w:rPr>
          <w:rFonts w:hint="eastAsia" w:ascii="宋体" w:hAnsi="宋体" w:eastAsia="宋体"/>
          <w:b/>
          <w:sz w:val="24"/>
          <w:szCs w:val="24"/>
          <w:lang w:val="en-US" w:eastAsia="zh-CN"/>
        </w:rPr>
        <w:t>4</w:t>
      </w:r>
      <w:r>
        <w:rPr>
          <w:rFonts w:hint="eastAsia" w:ascii="宋体" w:hAnsi="宋体" w:eastAsia="宋体"/>
          <w:b/>
          <w:sz w:val="24"/>
          <w:szCs w:val="24"/>
        </w:rPr>
        <w:t>、评审方法</w:t>
      </w:r>
    </w:p>
    <w:p w14:paraId="7AD4F726">
      <w:pPr>
        <w:spacing w:line="360" w:lineRule="auto"/>
        <w:ind w:firstLine="480" w:firstLineChars="200"/>
        <w:outlineLvl w:val="9"/>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.1</w:t>
      </w:r>
      <w:r>
        <w:rPr>
          <w:rFonts w:hint="eastAsia" w:hAnsi="宋体"/>
          <w:sz w:val="24"/>
          <w:szCs w:val="24"/>
        </w:rPr>
        <w:t>按照中华人民共和国</w:t>
      </w:r>
      <w:r>
        <w:rPr>
          <w:rFonts w:hint="eastAsia" w:hAnsi="宋体"/>
          <w:color w:val="000000"/>
          <w:sz w:val="24"/>
          <w:szCs w:val="24"/>
        </w:rPr>
        <w:t>财政部第</w:t>
      </w:r>
      <w:r>
        <w:rPr>
          <w:rFonts w:hint="eastAsia" w:hAnsi="宋体"/>
          <w:color w:val="000000"/>
          <w:sz w:val="24"/>
          <w:szCs w:val="24"/>
          <w:lang w:val="en-US" w:eastAsia="zh-CN"/>
        </w:rPr>
        <w:t>87</w:t>
      </w:r>
      <w:r>
        <w:rPr>
          <w:rFonts w:hint="eastAsia" w:hAnsi="宋体"/>
          <w:color w:val="000000"/>
          <w:sz w:val="24"/>
          <w:szCs w:val="24"/>
        </w:rPr>
        <w:t>号部长令-</w:t>
      </w:r>
      <w:r>
        <w:rPr>
          <w:rFonts w:hint="eastAsia" w:hAnsi="宋体"/>
          <w:sz w:val="24"/>
          <w:szCs w:val="24"/>
        </w:rPr>
        <w:t>-《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20C69814">
      <w:pPr>
        <w:pStyle w:val="44"/>
        <w:adjustRightInd w:val="0"/>
        <w:snapToGrid w:val="0"/>
        <w:spacing w:line="360" w:lineRule="auto"/>
        <w:outlineLvl w:val="9"/>
        <w:rPr>
          <w:rFonts w:ascii="宋体" w:hAnsi="宋体" w:eastAsia="宋体"/>
          <w:b/>
          <w:sz w:val="24"/>
          <w:szCs w:val="24"/>
        </w:rPr>
      </w:pPr>
      <w:r>
        <w:rPr>
          <w:rFonts w:hint="eastAsia" w:ascii="宋体" w:hAnsi="宋体" w:eastAsia="宋体"/>
          <w:b/>
          <w:sz w:val="24"/>
          <w:szCs w:val="24"/>
        </w:rPr>
        <w:t>2</w:t>
      </w:r>
      <w:r>
        <w:rPr>
          <w:rFonts w:hint="eastAsia" w:ascii="宋体" w:hAnsi="宋体" w:eastAsia="宋体"/>
          <w:b/>
          <w:sz w:val="24"/>
          <w:szCs w:val="24"/>
          <w:lang w:val="en-US" w:eastAsia="zh-CN"/>
        </w:rPr>
        <w:t>5</w:t>
      </w:r>
      <w:r>
        <w:rPr>
          <w:rFonts w:hint="eastAsia" w:ascii="宋体" w:hAnsi="宋体" w:eastAsia="宋体"/>
          <w:b/>
          <w:sz w:val="24"/>
          <w:szCs w:val="24"/>
        </w:rPr>
        <w:t>、评审程序</w:t>
      </w:r>
    </w:p>
    <w:p w14:paraId="2AADE798">
      <w:pPr>
        <w:pStyle w:val="23"/>
        <w:widowControl w:val="0"/>
        <w:adjustRightInd w:val="0"/>
        <w:snapToGrid w:val="0"/>
        <w:spacing w:before="0" w:beforeAutospacing="0" w:after="0" w:afterAutospacing="0" w:line="360" w:lineRule="auto"/>
        <w:ind w:firstLine="480" w:firstLineChars="200"/>
        <w:jc w:val="both"/>
        <w:outlineLvl w:val="9"/>
        <w:rPr>
          <w:rFonts w:ascii="Times New Roman" w:hAnsi="Times New Roman"/>
          <w:color w:val="000000"/>
          <w:kern w:val="2"/>
          <w:sz w:val="24"/>
          <w:szCs w:val="24"/>
          <w:lang w:bidi="ar"/>
        </w:rPr>
      </w:pPr>
      <w:r>
        <w:rPr>
          <w:rFonts w:hint="eastAsia"/>
          <w:sz w:val="24"/>
          <w:szCs w:val="24"/>
        </w:rPr>
        <w:t>2</w:t>
      </w:r>
      <w:r>
        <w:rPr>
          <w:rFonts w:hint="eastAsia"/>
          <w:sz w:val="24"/>
          <w:szCs w:val="24"/>
          <w:lang w:val="en-US" w:eastAsia="zh-CN"/>
        </w:rPr>
        <w:t>7</w:t>
      </w:r>
      <w:r>
        <w:rPr>
          <w:rFonts w:hint="eastAsia"/>
          <w:sz w:val="24"/>
          <w:szCs w:val="24"/>
        </w:rPr>
        <w:t>.1按照竞争性磋商响应文件初审、澄清有关问题、分别磋商、符合二次报价条件的供应商进行二次报价（所有报价在公示前均不公开宣布）、比较与评</w:t>
      </w:r>
      <w:r>
        <w:rPr>
          <w:rFonts w:hint="eastAsia" w:ascii="Times New Roman" w:hAnsi="Times New Roman"/>
          <w:color w:val="000000"/>
          <w:kern w:val="2"/>
          <w:sz w:val="24"/>
          <w:szCs w:val="24"/>
          <w:lang w:bidi="ar"/>
        </w:rPr>
        <w:t>审、推荐成交候选供应商名单的工作程序进行评审。在上一步评审中被认定为无效磋商者，不进入下一步的评审。</w:t>
      </w:r>
    </w:p>
    <w:p w14:paraId="663ED622">
      <w:pPr>
        <w:pStyle w:val="44"/>
        <w:adjustRightInd w:val="0"/>
        <w:snapToGrid w:val="0"/>
        <w:spacing w:line="360" w:lineRule="auto"/>
        <w:outlineLvl w:val="9"/>
        <w:rPr>
          <w:rFonts w:ascii="宋体" w:hAnsi="宋体" w:eastAsia="宋体"/>
          <w:b/>
          <w:sz w:val="24"/>
          <w:szCs w:val="24"/>
        </w:rPr>
      </w:pPr>
      <w:r>
        <w:rPr>
          <w:rFonts w:hint="eastAsia" w:ascii="宋体" w:hAnsi="宋体" w:eastAsia="宋体"/>
          <w:b/>
          <w:sz w:val="24"/>
          <w:szCs w:val="24"/>
          <w:lang w:val="en-US" w:eastAsia="zh-CN"/>
        </w:rPr>
        <w:t>26</w:t>
      </w:r>
      <w:r>
        <w:rPr>
          <w:rFonts w:hint="eastAsia" w:ascii="宋体" w:hAnsi="宋体" w:eastAsia="宋体"/>
          <w:b/>
          <w:sz w:val="24"/>
          <w:szCs w:val="24"/>
        </w:rPr>
        <w:t>、质疑提出与答复</w:t>
      </w:r>
    </w:p>
    <w:p w14:paraId="1C6E6039">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供应商如果认为采购程序、采购过程或中标结果使自身的合法权益受到损害，可以在知道或者应知其权益受到损害之日起7个工作日内，以书面形式向采购代理机构提出。</w:t>
      </w:r>
    </w:p>
    <w:p w14:paraId="5F8EBE9C">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0DCBFC5C">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《政府采购供应商质疑函范本》链接地址：</w:t>
      </w:r>
    </w:p>
    <w:p w14:paraId="189ABE89">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http://www.mof.gov.cn/gp/xxgkml/gks/201802/t20180201_2804587.htm</w:t>
      </w:r>
    </w:p>
    <w:p w14:paraId="36D944E8">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72AB1665">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2.1质疑函应当包括下列内容：</w:t>
      </w:r>
    </w:p>
    <w:p w14:paraId="4DD143DB">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（1）</w:t>
      </w:r>
      <w:r>
        <w:rPr>
          <w:rFonts w:hint="eastAsia"/>
          <w:sz w:val="24"/>
          <w:szCs w:val="24"/>
          <w:lang w:val="zh-CN"/>
        </w:rPr>
        <w:t>投标人</w:t>
      </w:r>
      <w:r>
        <w:rPr>
          <w:rFonts w:hint="eastAsia"/>
          <w:sz w:val="24"/>
          <w:szCs w:val="24"/>
        </w:rPr>
        <w:t>的姓名或者名称、地址、邮编、联系人及联系电话；</w:t>
      </w:r>
    </w:p>
    <w:p w14:paraId="78E68E71">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（2）质疑项目的名称、编号；</w:t>
      </w:r>
    </w:p>
    <w:p w14:paraId="24C309C3">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（3）具体、明确的质疑事项和与质疑事项相关的请求；</w:t>
      </w:r>
    </w:p>
    <w:p w14:paraId="1AE2CF17">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（4）事实依据；</w:t>
      </w:r>
    </w:p>
    <w:p w14:paraId="5D1E2F7E">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（5）必要的法律依据；</w:t>
      </w:r>
    </w:p>
    <w:p w14:paraId="594A44D2">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 xml:space="preserve">（6）提出质疑的日期。 </w:t>
      </w:r>
    </w:p>
    <w:p w14:paraId="7E13D4F9">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3、在法定质疑期内，针对同一采购程序环节的质疑应当一次性提出。采购代理机构或采购人将在收到书面质疑后7个工作日内做出答复，并以书面形式通知质疑人和其他有关供应商。</w:t>
      </w:r>
    </w:p>
    <w:p w14:paraId="48C31EE8">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4、有下列情形之一的，属于无效质疑，采购代理机构和采购人不予受理：</w:t>
      </w:r>
    </w:p>
    <w:p w14:paraId="71C21636">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（1）质疑人不是参与本次政府采购项目的供应商或潜在供应商；</w:t>
      </w:r>
    </w:p>
    <w:p w14:paraId="56FE45F6">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（2）质疑人与质疑事项不存在利害关系的；</w:t>
      </w:r>
    </w:p>
    <w:p w14:paraId="4D8B43A3">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（3）未在法定期限内提出质疑的；</w:t>
      </w:r>
    </w:p>
    <w:p w14:paraId="73E9B4FC">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（4）质疑未以书面形式提出，或质疑函主要内容构成不完整的，或缺乏必要的证明材料及证明材料不完整的；</w:t>
      </w:r>
    </w:p>
    <w:p w14:paraId="20DFA577">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（5）质疑函没有合法有效的签字、盖章或授权的；</w:t>
      </w:r>
    </w:p>
    <w:p w14:paraId="689D9CD2">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（6）以非法手段取得证据、材料的；</w:t>
      </w:r>
    </w:p>
    <w:p w14:paraId="1CADB757">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（7）质疑答复后，同一质疑人就同一事项再次提出质疑的；</w:t>
      </w:r>
    </w:p>
    <w:p w14:paraId="29B74995">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（8）不符合法律、法规、规章和政府采购监管机构规定的其他条件的。</w:t>
      </w:r>
    </w:p>
    <w:p w14:paraId="52A1C6A0">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5、质疑人对采购代理机构或采购人的答复不满意，以及采购代理机构或采购人未在规定时间内做出答复的，可以在答复期满后15个工作日内向政府采购监管机构提出投诉。</w:t>
      </w:r>
    </w:p>
    <w:p w14:paraId="758C8672">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6、供应商投诉的事项不得超出已质疑事项的范围。</w:t>
      </w:r>
    </w:p>
    <w:p w14:paraId="6F10F068">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7、对捏造事实、提供虚假材料进行质疑、投诉的行为予以严肃处理：</w:t>
      </w:r>
    </w:p>
    <w:p w14:paraId="7069D025">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554D5">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8、对捏造事实诬告陷害他人、诽谤他人的法律适用：</w:t>
      </w:r>
    </w:p>
    <w:p w14:paraId="004E947D">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282A450F">
      <w:pPr>
        <w:pStyle w:val="23"/>
        <w:adjustRightInd w:val="0"/>
        <w:snapToGrid w:val="0"/>
        <w:spacing w:before="0" w:beforeAutospacing="0" w:after="0" w:afterAutospacing="0" w:line="500" w:lineRule="exact"/>
        <w:ind w:firstLine="360" w:firstLineChars="150"/>
        <w:outlineLvl w:val="9"/>
        <w:rPr>
          <w:rFonts w:hint="eastAsia"/>
          <w:sz w:val="24"/>
          <w:szCs w:val="24"/>
        </w:rPr>
      </w:pPr>
      <w:r>
        <w:rPr>
          <w:rFonts w:hint="eastAsia"/>
          <w:sz w:val="24"/>
          <w:szCs w:val="24"/>
        </w:rPr>
        <w:t>《中华人民共和国刑法》第246条【侮辱罪、诽谤罪】以暴力或者其他方法公然侮辱他人或者捏造事实诽谤他人，情节严重的，处三年以下有期徒刑、拘役、管制或者剥夺政治权利。</w:t>
      </w:r>
    </w:p>
    <w:p w14:paraId="26996806">
      <w:pPr>
        <w:pStyle w:val="23"/>
        <w:numPr>
          <w:ilvl w:val="0"/>
          <w:numId w:val="4"/>
        </w:numPr>
        <w:adjustRightInd w:val="0"/>
        <w:snapToGrid w:val="0"/>
        <w:spacing w:before="0" w:beforeAutospacing="0" w:after="0" w:afterAutospacing="0" w:line="500" w:lineRule="exact"/>
        <w:ind w:firstLine="360" w:firstLineChars="150"/>
        <w:outlineLvl w:val="9"/>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sz w:val="24"/>
          <w:szCs w:val="24"/>
        </w:rPr>
        <w:t>质疑函递交地址：</w:t>
      </w:r>
      <w:r>
        <w:rPr>
          <w:rFonts w:hint="eastAsia" w:cs="宋体"/>
          <w:color w:val="000000" w:themeColor="text1"/>
          <w:kern w:val="0"/>
          <w:sz w:val="24"/>
          <w:szCs w:val="24"/>
          <w:lang w:val="en-US" w:eastAsia="zh-CN" w:bidi="ar-SA"/>
          <w14:textFill>
            <w14:solidFill>
              <w14:schemeClr w14:val="tx1"/>
            </w14:solidFill>
          </w14:textFill>
        </w:rPr>
        <w:t>榆林市富康路榆溪尚品3号楼1415</w:t>
      </w:r>
    </w:p>
    <w:p w14:paraId="4C058830">
      <w:pPr>
        <w:pStyle w:val="23"/>
        <w:numPr>
          <w:ilvl w:val="0"/>
          <w:numId w:val="4"/>
        </w:numPr>
        <w:adjustRightInd w:val="0"/>
        <w:snapToGrid w:val="0"/>
        <w:spacing w:before="0" w:beforeAutospacing="0" w:after="0" w:afterAutospacing="0" w:line="500" w:lineRule="exact"/>
        <w:ind w:firstLine="360" w:firstLineChars="150"/>
        <w:outlineLvl w:val="9"/>
        <w:rPr>
          <w:rFonts w:hint="eastAsia" w:ascii="Calibri" w:hAnsi="Calibri"/>
          <w:sz w:val="24"/>
          <w:szCs w:val="24"/>
        </w:rPr>
      </w:pPr>
      <w:r>
        <w:rPr>
          <w:rFonts w:hint="eastAsia" w:ascii="Calibri" w:hAnsi="Calibri"/>
          <w:sz w:val="24"/>
          <w:szCs w:val="24"/>
        </w:rPr>
        <w:t>联系人：</w:t>
      </w:r>
      <w:r>
        <w:rPr>
          <w:rFonts w:hint="eastAsia" w:ascii="Calibri" w:hAnsi="Calibri"/>
          <w:sz w:val="24"/>
          <w:szCs w:val="24"/>
          <w:lang w:val="en-US" w:eastAsia="zh-CN"/>
        </w:rPr>
        <w:t>陕西华旭晟信项目管理有限责任公司</w:t>
      </w:r>
    </w:p>
    <w:p w14:paraId="5BB69F56">
      <w:pPr>
        <w:pStyle w:val="23"/>
        <w:adjustRightInd w:val="0"/>
        <w:snapToGrid w:val="0"/>
        <w:spacing w:before="0" w:beforeAutospacing="0" w:after="0" w:afterAutospacing="0" w:line="500" w:lineRule="exact"/>
        <w:ind w:firstLine="360" w:firstLineChars="150"/>
        <w:outlineLvl w:val="9"/>
        <w:rPr>
          <w:rFonts w:hint="default" w:eastAsia="宋体"/>
          <w:sz w:val="24"/>
          <w:szCs w:val="24"/>
          <w:lang w:val="en-US" w:eastAsia="zh-CN"/>
        </w:rPr>
      </w:pPr>
      <w:r>
        <w:rPr>
          <w:rFonts w:hint="eastAsia" w:ascii="Calibri" w:hAnsi="Calibri"/>
          <w:sz w:val="24"/>
          <w:szCs w:val="24"/>
        </w:rPr>
        <w:t>联系</w:t>
      </w:r>
      <w:r>
        <w:rPr>
          <w:rFonts w:hint="eastAsia"/>
          <w:sz w:val="24"/>
          <w:szCs w:val="24"/>
        </w:rPr>
        <w:t>方式：</w:t>
      </w:r>
      <w:r>
        <w:rPr>
          <w:rFonts w:hint="eastAsia"/>
          <w:sz w:val="24"/>
          <w:szCs w:val="24"/>
          <w:lang w:val="en-US" w:eastAsia="zh-CN"/>
        </w:rPr>
        <w:t>17709127880</w:t>
      </w:r>
    </w:p>
    <w:p w14:paraId="25EBA49C">
      <w:pPr>
        <w:pStyle w:val="23"/>
        <w:adjustRightInd w:val="0"/>
        <w:snapToGrid w:val="0"/>
        <w:spacing w:before="0" w:beforeAutospacing="0" w:after="0" w:afterAutospacing="0" w:line="360" w:lineRule="auto"/>
        <w:ind w:firstLine="360" w:firstLineChars="150"/>
        <w:outlineLvl w:val="9"/>
        <w:rPr>
          <w:rFonts w:ascii="Times New Roman" w:hAnsi="Times New Roman"/>
          <w:color w:val="000000"/>
          <w:kern w:val="2"/>
          <w:sz w:val="24"/>
          <w:szCs w:val="24"/>
          <w:lang w:bidi="ar"/>
        </w:rPr>
      </w:pPr>
    </w:p>
    <w:bookmarkEnd w:id="151"/>
    <w:bookmarkEnd w:id="152"/>
    <w:bookmarkEnd w:id="153"/>
    <w:bookmarkEnd w:id="154"/>
    <w:p w14:paraId="08750246">
      <w:pPr>
        <w:pStyle w:val="43"/>
        <w:spacing w:line="360" w:lineRule="auto"/>
        <w:ind w:firstLine="482" w:firstLineChars="200"/>
        <w:outlineLvl w:val="9"/>
        <w:rPr>
          <w:rFonts w:asciiTheme="minorEastAsia" w:hAnsiTheme="minorEastAsia" w:eastAsiaTheme="minorEastAsia" w:cstheme="minorEastAsia"/>
          <w:b/>
          <w:sz w:val="24"/>
          <w:szCs w:val="24"/>
        </w:rPr>
      </w:pPr>
      <w:bookmarkStart w:id="156" w:name="_Toc5656"/>
      <w:bookmarkStart w:id="157" w:name="_Toc18105"/>
      <w:bookmarkStart w:id="158" w:name="_Toc22430"/>
      <w:bookmarkStart w:id="159" w:name="_Toc179632584"/>
      <w:bookmarkStart w:id="160" w:name="_Toc31470"/>
      <w:bookmarkStart w:id="161" w:name="_Toc510859692"/>
      <w:bookmarkStart w:id="162" w:name="_Toc32214"/>
      <w:bookmarkStart w:id="163" w:name="_Toc13342"/>
      <w:bookmarkStart w:id="164" w:name="_Toc363119284"/>
      <w:bookmarkStart w:id="165" w:name="_Toc513557033"/>
      <w:bookmarkStart w:id="166" w:name="_Toc152045566"/>
      <w:bookmarkStart w:id="167" w:name="_Toc510859898"/>
      <w:bookmarkStart w:id="168" w:name="_Toc152042342"/>
      <w:bookmarkStart w:id="169" w:name="_Toc16908"/>
      <w:bookmarkStart w:id="170" w:name="_Toc23734"/>
      <w:bookmarkStart w:id="171" w:name="_Toc30606"/>
      <w:bookmarkStart w:id="172" w:name="_Toc144974534"/>
      <w:r>
        <w:rPr>
          <w:rFonts w:hint="eastAsia" w:asciiTheme="minorEastAsia" w:hAnsiTheme="minorEastAsia" w:eastAsiaTheme="minorEastAsia" w:cstheme="minorEastAsia"/>
          <w:b/>
          <w:sz w:val="24"/>
          <w:szCs w:val="24"/>
        </w:rPr>
        <w:t>6.合同授予</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DDF04C7">
      <w:pPr>
        <w:pStyle w:val="44"/>
        <w:adjustRightInd w:val="0"/>
        <w:snapToGrid w:val="0"/>
        <w:spacing w:line="360" w:lineRule="auto"/>
        <w:outlineLvl w:val="9"/>
        <w:rPr>
          <w:rFonts w:ascii="宋体" w:hAnsi="宋体" w:eastAsia="宋体"/>
          <w:b/>
          <w:sz w:val="24"/>
          <w:szCs w:val="24"/>
        </w:rPr>
      </w:pPr>
      <w:bookmarkStart w:id="173" w:name="_Toc179632586"/>
      <w:bookmarkStart w:id="174" w:name="_Toc152042344"/>
      <w:bookmarkStart w:id="175" w:name="_Toc144974536"/>
      <w:bookmarkStart w:id="176" w:name="_Toc152045568"/>
      <w:r>
        <w:rPr>
          <w:rFonts w:hint="eastAsia" w:ascii="宋体" w:hAnsi="宋体" w:eastAsia="宋体"/>
          <w:b/>
          <w:sz w:val="24"/>
          <w:szCs w:val="24"/>
          <w:lang w:val="en-US" w:eastAsia="zh-CN"/>
        </w:rPr>
        <w:t>27</w:t>
      </w:r>
      <w:r>
        <w:rPr>
          <w:rFonts w:hint="eastAsia" w:ascii="宋体" w:hAnsi="宋体" w:eastAsia="宋体"/>
          <w:b/>
          <w:sz w:val="24"/>
          <w:szCs w:val="24"/>
        </w:rPr>
        <w:t>、</w:t>
      </w:r>
      <w:r>
        <w:rPr>
          <w:rFonts w:hint="eastAsia" w:ascii="宋体" w:hAnsi="宋体" w:eastAsia="宋体"/>
          <w:b/>
          <w:sz w:val="24"/>
          <w:szCs w:val="24"/>
          <w:lang w:eastAsia="zh-CN"/>
        </w:rPr>
        <w:t>成交</w:t>
      </w:r>
      <w:r>
        <w:rPr>
          <w:rFonts w:hint="eastAsia" w:ascii="宋体" w:hAnsi="宋体" w:eastAsia="宋体"/>
          <w:b/>
          <w:sz w:val="24"/>
          <w:szCs w:val="24"/>
        </w:rPr>
        <w:t>通知</w:t>
      </w:r>
      <w:bookmarkEnd w:id="173"/>
      <w:bookmarkEnd w:id="174"/>
      <w:bookmarkEnd w:id="175"/>
      <w:bookmarkEnd w:id="176"/>
      <w:r>
        <w:rPr>
          <w:rFonts w:hint="eastAsia" w:ascii="宋体" w:hAnsi="宋体" w:eastAsia="宋体"/>
          <w:b/>
          <w:sz w:val="24"/>
          <w:szCs w:val="24"/>
        </w:rPr>
        <w:t>书</w:t>
      </w:r>
    </w:p>
    <w:p w14:paraId="19A66D03">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.1在本章规定的磋商有效期内，</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将对成交供应商公示，公示期为1日。</w:t>
      </w:r>
    </w:p>
    <w:p w14:paraId="4AA6FB5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.2在公示期内，未接到供应商对评审结果提出异议或未接到行政监督部门通知</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在招磋商活动中有违法行为时，公示期满后，</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将向成交供应商发出</w:t>
      </w:r>
      <w:r>
        <w:rPr>
          <w:rFonts w:hint="eastAsia" w:asciiTheme="minorEastAsia" w:hAnsiTheme="minorEastAsia" w:eastAsiaTheme="minorEastAsia" w:cstheme="minorEastAsia"/>
          <w:sz w:val="24"/>
          <w:szCs w:val="24"/>
          <w:lang w:eastAsia="zh-CN"/>
        </w:rPr>
        <w:t>成交</w:t>
      </w:r>
      <w:r>
        <w:rPr>
          <w:rFonts w:hint="eastAsia" w:asciiTheme="minorEastAsia" w:hAnsiTheme="minorEastAsia" w:eastAsiaTheme="minorEastAsia" w:cstheme="minorEastAsia"/>
          <w:sz w:val="24"/>
          <w:szCs w:val="24"/>
        </w:rPr>
        <w:t>通知书。</w:t>
      </w:r>
    </w:p>
    <w:p w14:paraId="10BF9956">
      <w:pPr>
        <w:pStyle w:val="44"/>
        <w:adjustRightInd w:val="0"/>
        <w:snapToGrid w:val="0"/>
        <w:spacing w:line="360" w:lineRule="auto"/>
        <w:outlineLvl w:val="9"/>
        <w:rPr>
          <w:rFonts w:ascii="宋体" w:hAnsi="宋体" w:eastAsia="宋体"/>
          <w:b/>
          <w:sz w:val="24"/>
          <w:szCs w:val="24"/>
        </w:rPr>
      </w:pPr>
      <w:bookmarkStart w:id="177" w:name="_Toc179632588"/>
      <w:bookmarkStart w:id="178" w:name="_Toc152045570"/>
      <w:bookmarkStart w:id="179" w:name="_Toc144974538"/>
      <w:bookmarkStart w:id="180" w:name="_Toc152042346"/>
      <w:r>
        <w:rPr>
          <w:rFonts w:hint="eastAsia" w:ascii="宋体" w:hAnsi="宋体" w:eastAsia="宋体"/>
          <w:b/>
          <w:sz w:val="24"/>
          <w:szCs w:val="24"/>
          <w:lang w:val="en-US" w:eastAsia="zh-CN"/>
        </w:rPr>
        <w:t>28</w:t>
      </w:r>
      <w:r>
        <w:rPr>
          <w:rFonts w:hint="eastAsia" w:ascii="宋体" w:hAnsi="宋体" w:eastAsia="宋体"/>
          <w:b/>
          <w:sz w:val="24"/>
          <w:szCs w:val="24"/>
        </w:rPr>
        <w:t>、签订合同</w:t>
      </w:r>
      <w:bookmarkEnd w:id="177"/>
      <w:bookmarkEnd w:id="178"/>
      <w:bookmarkEnd w:id="179"/>
      <w:bookmarkEnd w:id="180"/>
    </w:p>
    <w:p w14:paraId="7E8B5BEC">
      <w:pPr>
        <w:adjustRightInd w:val="0"/>
        <w:snapToGrid w:val="0"/>
        <w:spacing w:line="360" w:lineRule="auto"/>
        <w:ind w:firstLine="480" w:firstLineChars="200"/>
        <w:outlineLvl w:val="9"/>
        <w:rPr>
          <w:rFonts w:ascii="宋体" w:hAnsi="宋体" w:cs="宋体"/>
          <w:sz w:val="24"/>
          <w:szCs w:val="24"/>
        </w:rPr>
      </w:pP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和成交供应商应当自成交通知书发出之日起</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日内，根据竞争性磋商文件和成交供应商的竞争性磋商响应文件订立书面合同，</w:t>
      </w:r>
      <w:r>
        <w:rPr>
          <w:rFonts w:hint="eastAsia" w:ascii="宋体" w:hAnsi="宋体" w:cs="宋体" w:eastAsiaTheme="minorEastAsia"/>
          <w:sz w:val="24"/>
          <w:szCs w:val="24"/>
          <w:lang w:eastAsia="zh-CN"/>
        </w:rPr>
        <w:t>采购人</w:t>
      </w:r>
      <w:r>
        <w:rPr>
          <w:rFonts w:hint="eastAsia" w:ascii="宋体" w:hAnsi="宋体" w:cs="宋体"/>
          <w:sz w:val="24"/>
          <w:szCs w:val="24"/>
        </w:rPr>
        <w:t>和成交供应商不得再行订立背离合同实质性内容的其他协议。</w:t>
      </w:r>
    </w:p>
    <w:p w14:paraId="624B73DA">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28</w:t>
      </w:r>
      <w:r>
        <w:rPr>
          <w:rFonts w:hint="eastAsia" w:asciiTheme="minorEastAsia" w:hAnsiTheme="minorEastAsia" w:eastAsiaTheme="minorEastAsia" w:cstheme="minorEastAsia"/>
          <w:color w:val="auto"/>
          <w:sz w:val="24"/>
          <w:szCs w:val="24"/>
        </w:rPr>
        <w:t>.2成交供应商无正当理由拒签合同的，</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取消其成交资格，</w:t>
      </w:r>
      <w:r>
        <w:rPr>
          <w:rFonts w:hint="eastAsia" w:asciiTheme="minorEastAsia" w:hAnsiTheme="minorEastAsia" w:eastAsiaTheme="minorEastAsia" w:cstheme="minorEastAsia"/>
          <w:color w:val="auto"/>
          <w:sz w:val="24"/>
          <w:szCs w:val="24"/>
          <w:lang w:val="en-US" w:eastAsia="zh-CN"/>
        </w:rPr>
        <w:t>并根据投标信用承诺书有关规定执行</w:t>
      </w:r>
      <w:r>
        <w:rPr>
          <w:rFonts w:hint="eastAsia" w:asciiTheme="minorEastAsia" w:hAnsiTheme="minorEastAsia" w:eastAsiaTheme="minorEastAsia" w:cstheme="minorEastAsia"/>
          <w:color w:val="auto"/>
          <w:sz w:val="24"/>
          <w:szCs w:val="24"/>
        </w:rPr>
        <w:t>；给</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 xml:space="preserve">造成的损失的，成交供应商还应当对予以赔偿。 </w:t>
      </w:r>
    </w:p>
    <w:p w14:paraId="1257CEFE">
      <w:pPr>
        <w:spacing w:line="360" w:lineRule="auto"/>
        <w:ind w:left="599" w:leftChars="228" w:hanging="120" w:hangingChars="50"/>
        <w:outlineLvl w:val="9"/>
        <w:rPr>
          <w:rFonts w:ascii="宋体" w:hAnsi="宋体" w:cs="宋体"/>
          <w:sz w:val="24"/>
          <w:szCs w:val="24"/>
        </w:rPr>
      </w:pPr>
      <w:r>
        <w:rPr>
          <w:rFonts w:hint="eastAsia" w:ascii="宋体" w:hAnsi="宋体" w:cs="宋体"/>
          <w:sz w:val="24"/>
          <w:szCs w:val="24"/>
          <w:lang w:val="en-US" w:eastAsia="zh-CN"/>
        </w:rPr>
        <w:t>28</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成交供应商应当按照合同约定履行义务，完成成交项目，不得将成交项目</w:t>
      </w:r>
    </w:p>
    <w:p w14:paraId="5E4149DA">
      <w:pPr>
        <w:spacing w:line="360" w:lineRule="auto"/>
        <w:outlineLvl w:val="9"/>
        <w:rPr>
          <w:color w:val="FF0000"/>
          <w:sz w:val="24"/>
          <w:szCs w:val="24"/>
        </w:rPr>
      </w:pPr>
      <w:r>
        <w:rPr>
          <w:rFonts w:hint="eastAsia" w:ascii="宋体" w:hAnsi="宋体" w:cs="宋体"/>
          <w:sz w:val="24"/>
          <w:szCs w:val="24"/>
        </w:rPr>
        <w:t>转让（转包）给他人。</w:t>
      </w:r>
    </w:p>
    <w:p w14:paraId="3485E561">
      <w:pPr>
        <w:pStyle w:val="43"/>
        <w:spacing w:line="360" w:lineRule="auto"/>
        <w:ind w:firstLine="482" w:firstLineChars="200"/>
        <w:outlineLvl w:val="9"/>
        <w:rPr>
          <w:rFonts w:asciiTheme="minorEastAsia" w:hAnsiTheme="minorEastAsia" w:eastAsiaTheme="minorEastAsia" w:cstheme="minorEastAsia"/>
          <w:b/>
          <w:color w:val="000000" w:themeColor="text1"/>
          <w:sz w:val="24"/>
          <w:szCs w:val="24"/>
          <w14:textFill>
            <w14:solidFill>
              <w14:schemeClr w14:val="tx1"/>
            </w14:solidFill>
          </w14:textFill>
        </w:rPr>
      </w:pPr>
      <w:bookmarkStart w:id="181" w:name="_Toc179632589"/>
      <w:bookmarkStart w:id="182" w:name="_Toc363119285"/>
      <w:bookmarkStart w:id="183" w:name="_Toc513557034"/>
      <w:bookmarkStart w:id="184" w:name="_Toc152045571"/>
      <w:bookmarkStart w:id="185" w:name="_Toc152042347"/>
      <w:bookmarkStart w:id="186" w:name="_Toc23799"/>
      <w:bookmarkStart w:id="187" w:name="_Toc28337"/>
      <w:bookmarkStart w:id="188" w:name="_Toc510859693"/>
      <w:bookmarkStart w:id="189" w:name="_Toc16686"/>
      <w:bookmarkStart w:id="190" w:name="_Toc144974539"/>
      <w:bookmarkStart w:id="191" w:name="_Toc17135"/>
      <w:bookmarkStart w:id="192" w:name="_Toc27207"/>
      <w:bookmarkStart w:id="193" w:name="_Toc8386"/>
      <w:bookmarkStart w:id="194" w:name="_Toc27160"/>
      <w:bookmarkStart w:id="195" w:name="_Toc16241"/>
      <w:bookmarkStart w:id="196" w:name="_Toc30718"/>
      <w:bookmarkStart w:id="197" w:name="_Toc510859899"/>
      <w:r>
        <w:rPr>
          <w:rFonts w:hint="eastAsia" w:asciiTheme="minorEastAsia" w:hAnsiTheme="minorEastAsia" w:eastAsiaTheme="minorEastAsia" w:cstheme="minorEastAsia"/>
          <w:b/>
          <w:color w:val="000000" w:themeColor="text1"/>
          <w:sz w:val="24"/>
          <w:szCs w:val="24"/>
          <w14:textFill>
            <w14:solidFill>
              <w14:schemeClr w14:val="tx1"/>
            </w14:solidFill>
          </w14:textFill>
        </w:rPr>
        <w:t>7. 重新采购</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0FE93491">
      <w:pPr>
        <w:pStyle w:val="44"/>
        <w:adjustRightInd w:val="0"/>
        <w:snapToGrid w:val="0"/>
        <w:spacing w:line="360" w:lineRule="auto"/>
        <w:outlineLvl w:val="9"/>
        <w:rPr>
          <w:rFonts w:ascii="宋体" w:hAnsi="宋体" w:eastAsia="宋体"/>
          <w:b/>
          <w:color w:val="000000" w:themeColor="text1"/>
          <w:sz w:val="24"/>
          <w:szCs w:val="24"/>
          <w14:textFill>
            <w14:solidFill>
              <w14:schemeClr w14:val="tx1"/>
            </w14:solidFill>
          </w14:textFill>
        </w:rPr>
      </w:pPr>
      <w:bookmarkStart w:id="198" w:name="_Toc152042348"/>
      <w:bookmarkStart w:id="199" w:name="_Toc144974540"/>
      <w:bookmarkStart w:id="200" w:name="_Toc179632590"/>
      <w:bookmarkStart w:id="201" w:name="_Toc152045572"/>
      <w:r>
        <w:rPr>
          <w:rFonts w:hint="eastAsia" w:ascii="宋体" w:hAnsi="宋体" w:eastAsia="宋体"/>
          <w:b/>
          <w:color w:val="000000" w:themeColor="text1"/>
          <w:sz w:val="24"/>
          <w:szCs w:val="24"/>
          <w:lang w:val="en-US" w:eastAsia="zh-CN"/>
          <w14:textFill>
            <w14:solidFill>
              <w14:schemeClr w14:val="tx1"/>
            </w14:solidFill>
          </w14:textFill>
        </w:rPr>
        <w:t>29</w:t>
      </w:r>
      <w:r>
        <w:rPr>
          <w:rFonts w:hint="eastAsia" w:ascii="宋体" w:hAnsi="宋体" w:eastAsia="宋体"/>
          <w:b/>
          <w:color w:val="000000" w:themeColor="text1"/>
          <w:sz w:val="24"/>
          <w:szCs w:val="24"/>
          <w14:textFill>
            <w14:solidFill>
              <w14:schemeClr w14:val="tx1"/>
            </w14:solidFill>
          </w14:textFill>
        </w:rPr>
        <w:t>、重新采购</w:t>
      </w:r>
      <w:bookmarkEnd w:id="198"/>
      <w:bookmarkEnd w:id="199"/>
      <w:bookmarkEnd w:id="200"/>
      <w:bookmarkEnd w:id="201"/>
    </w:p>
    <w:p w14:paraId="23A49888">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sz w:val="24"/>
          <w:szCs w:val="24"/>
        </w:rPr>
      </w:pPr>
      <w:bookmarkStart w:id="202" w:name="_Toc510859694"/>
      <w:bookmarkStart w:id="203" w:name="_Toc29516"/>
      <w:bookmarkStart w:id="204" w:name="_Toc9642"/>
      <w:bookmarkStart w:id="205" w:name="_Toc144974542"/>
      <w:bookmarkStart w:id="206" w:name="_Toc179632592"/>
      <w:bookmarkStart w:id="207" w:name="_Toc510859900"/>
      <w:bookmarkStart w:id="208" w:name="_Toc152045574"/>
      <w:bookmarkStart w:id="209" w:name="_Toc6327"/>
      <w:bookmarkStart w:id="210" w:name="_Toc363119286"/>
      <w:bookmarkStart w:id="211" w:name="_Toc152042350"/>
      <w:bookmarkStart w:id="212" w:name="_Toc513557035"/>
      <w:bookmarkStart w:id="213" w:name="_Toc16351"/>
      <w:r>
        <w:rPr>
          <w:rFonts w:hint="eastAsia" w:ascii="宋体" w:hAnsi="宋体" w:cs="宋体"/>
          <w:sz w:val="24"/>
          <w:szCs w:val="24"/>
          <w:lang w:val="en-US" w:eastAsia="zh-CN"/>
        </w:rPr>
        <w:t>29.1</w:t>
      </w:r>
      <w:r>
        <w:rPr>
          <w:rFonts w:hint="eastAsia" w:ascii="宋体" w:hAnsi="宋体" w:eastAsia="宋体" w:cs="宋体"/>
          <w:sz w:val="24"/>
          <w:szCs w:val="24"/>
        </w:rPr>
        <w:t>磋商开始后，出现下列情形之一的，采购代理机构将终止竞争性磋商采购活动，发布项目终止公告并说明原因，重新开展采购活动：</w:t>
      </w:r>
    </w:p>
    <w:p w14:paraId="6883706F">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（一）因情况变化，不再符合规定的竞争性磋商采购方式适用情形的；</w:t>
      </w:r>
    </w:p>
    <w:p w14:paraId="0C447F8B">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（二）出现影响采购公正的违法、违规行为的；</w:t>
      </w:r>
    </w:p>
    <w:p w14:paraId="19FD0AE8">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（三）在采购过程中符合要求的供应商不足3家的 ；</w:t>
      </w:r>
    </w:p>
    <w:p w14:paraId="406F2B5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（四）报价未超过采购预算的供应商不足3家的。</w:t>
      </w:r>
    </w:p>
    <w:p w14:paraId="102C7EE7">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29</w:t>
      </w:r>
      <w:r>
        <w:rPr>
          <w:rFonts w:hint="eastAsia" w:ascii="宋体" w:hAnsi="宋体" w:eastAsia="宋体" w:cs="宋体"/>
          <w:sz w:val="24"/>
          <w:szCs w:val="24"/>
          <w:lang w:val="en-US" w:eastAsia="zh-CN"/>
        </w:rPr>
        <w:t>.2</w:t>
      </w:r>
      <w:r>
        <w:rPr>
          <w:rFonts w:hint="eastAsia" w:ascii="宋体" w:hAnsi="宋体" w:eastAsia="宋体" w:cs="宋体"/>
          <w:sz w:val="24"/>
          <w:szCs w:val="24"/>
        </w:rPr>
        <w:t>提交最后报价的供应商为2家时，可以继续进行磋商的情形：</w:t>
      </w:r>
    </w:p>
    <w:p w14:paraId="3F65B1A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（一）市场竞争不充分的科研项目，以及需要扶持的科技成果转化项目；</w:t>
      </w:r>
    </w:p>
    <w:p w14:paraId="4805831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sz w:val="24"/>
          <w:szCs w:val="24"/>
        </w:rPr>
      </w:pPr>
      <w:bookmarkStart w:id="214" w:name="_Toc21530"/>
      <w:r>
        <w:rPr>
          <w:rFonts w:hint="eastAsia" w:ascii="宋体" w:hAnsi="宋体" w:eastAsia="宋体" w:cs="宋体"/>
          <w:sz w:val="24"/>
          <w:szCs w:val="24"/>
        </w:rPr>
        <w:t>（二）政府购买服务项目（含政府和社会资本项目）。</w:t>
      </w:r>
      <w:bookmarkEnd w:id="214"/>
    </w:p>
    <w:p w14:paraId="5B8582EC">
      <w:pPr>
        <w:pStyle w:val="43"/>
        <w:spacing w:line="360" w:lineRule="auto"/>
        <w:ind w:firstLine="482" w:firstLineChars="200"/>
        <w:outlineLvl w:val="9"/>
        <w:rPr>
          <w:rFonts w:asciiTheme="minorEastAsia" w:hAnsiTheme="minorEastAsia" w:eastAsiaTheme="minorEastAsia" w:cstheme="minorEastAsia"/>
          <w:b/>
          <w:sz w:val="24"/>
          <w:szCs w:val="24"/>
        </w:rPr>
      </w:pPr>
      <w:bookmarkStart w:id="215" w:name="_Toc179"/>
      <w:bookmarkStart w:id="216" w:name="_Toc31841"/>
      <w:bookmarkStart w:id="217" w:name="_Toc3899"/>
      <w:bookmarkStart w:id="218" w:name="_Toc15443"/>
      <w:bookmarkStart w:id="219" w:name="_Toc29962"/>
      <w:r>
        <w:rPr>
          <w:rFonts w:hint="eastAsia" w:asciiTheme="minorEastAsia" w:hAnsiTheme="minorEastAsia" w:eastAsiaTheme="minorEastAsia" w:cstheme="minorEastAsia"/>
          <w:b/>
          <w:sz w:val="24"/>
          <w:szCs w:val="24"/>
        </w:rPr>
        <w:t>8. 纪律和监督</w:t>
      </w:r>
      <w:bookmarkEnd w:id="202"/>
      <w:bookmarkEnd w:id="203"/>
      <w:bookmarkEnd w:id="204"/>
      <w:bookmarkEnd w:id="205"/>
      <w:bookmarkEnd w:id="206"/>
      <w:bookmarkEnd w:id="207"/>
      <w:bookmarkEnd w:id="208"/>
      <w:bookmarkEnd w:id="209"/>
      <w:bookmarkEnd w:id="210"/>
      <w:bookmarkEnd w:id="211"/>
      <w:bookmarkEnd w:id="212"/>
      <w:bookmarkEnd w:id="213"/>
      <w:bookmarkEnd w:id="215"/>
      <w:bookmarkEnd w:id="216"/>
      <w:bookmarkEnd w:id="217"/>
      <w:bookmarkEnd w:id="218"/>
      <w:bookmarkEnd w:id="219"/>
    </w:p>
    <w:p w14:paraId="558C17FF">
      <w:pPr>
        <w:pStyle w:val="44"/>
        <w:adjustRightInd w:val="0"/>
        <w:snapToGrid w:val="0"/>
        <w:spacing w:line="360" w:lineRule="auto"/>
        <w:outlineLvl w:val="9"/>
        <w:rPr>
          <w:rFonts w:ascii="宋体" w:hAnsi="宋体" w:eastAsia="宋体"/>
          <w:b/>
          <w:sz w:val="24"/>
          <w:szCs w:val="24"/>
        </w:rPr>
      </w:pPr>
      <w:bookmarkStart w:id="220" w:name="_Toc152042351"/>
      <w:bookmarkStart w:id="221" w:name="_Toc152045575"/>
      <w:bookmarkStart w:id="222" w:name="_Toc144974543"/>
      <w:bookmarkStart w:id="223" w:name="_Toc179632593"/>
      <w:r>
        <w:rPr>
          <w:rFonts w:hint="eastAsia" w:ascii="宋体" w:hAnsi="宋体" w:eastAsia="宋体"/>
          <w:b/>
          <w:sz w:val="24"/>
          <w:szCs w:val="24"/>
          <w:lang w:val="en-US" w:eastAsia="zh-CN"/>
        </w:rPr>
        <w:t>30</w:t>
      </w:r>
      <w:r>
        <w:rPr>
          <w:rFonts w:hint="eastAsia" w:ascii="宋体" w:hAnsi="宋体" w:eastAsia="宋体"/>
          <w:b/>
          <w:sz w:val="24"/>
          <w:szCs w:val="24"/>
        </w:rPr>
        <w:t>、对</w:t>
      </w:r>
      <w:r>
        <w:rPr>
          <w:rFonts w:hint="eastAsia" w:ascii="宋体" w:hAnsi="宋体" w:eastAsia="宋体"/>
          <w:b/>
          <w:sz w:val="24"/>
          <w:szCs w:val="24"/>
          <w:lang w:eastAsia="zh-CN"/>
        </w:rPr>
        <w:t>采购人</w:t>
      </w:r>
      <w:r>
        <w:rPr>
          <w:rFonts w:hint="eastAsia" w:ascii="宋体" w:hAnsi="宋体" w:eastAsia="宋体"/>
          <w:b/>
          <w:sz w:val="24"/>
          <w:szCs w:val="24"/>
        </w:rPr>
        <w:t>的纪律要求</w:t>
      </w:r>
      <w:bookmarkEnd w:id="220"/>
      <w:bookmarkEnd w:id="221"/>
      <w:bookmarkEnd w:id="222"/>
      <w:bookmarkEnd w:id="223"/>
    </w:p>
    <w:p w14:paraId="2E0CFBF6">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不得泄漏招标投标活动中应当保密的情况和资料，不得与供应商串通损害国家利益、社会公共利益或者他人合法权益。</w:t>
      </w:r>
    </w:p>
    <w:p w14:paraId="1BD4C53C">
      <w:pPr>
        <w:pStyle w:val="44"/>
        <w:adjustRightInd w:val="0"/>
        <w:snapToGrid w:val="0"/>
        <w:spacing w:line="360" w:lineRule="auto"/>
        <w:outlineLvl w:val="9"/>
        <w:rPr>
          <w:rFonts w:ascii="宋体" w:hAnsi="宋体" w:eastAsia="宋体"/>
          <w:b/>
          <w:sz w:val="24"/>
          <w:szCs w:val="24"/>
        </w:rPr>
      </w:pPr>
      <w:bookmarkStart w:id="224" w:name="_Toc179632594"/>
      <w:bookmarkStart w:id="225" w:name="_Toc152045576"/>
      <w:bookmarkStart w:id="226" w:name="_Toc144974544"/>
      <w:bookmarkStart w:id="227" w:name="_Toc152042352"/>
      <w:r>
        <w:rPr>
          <w:rFonts w:hint="eastAsia" w:ascii="宋体" w:hAnsi="宋体" w:eastAsia="宋体"/>
          <w:b/>
          <w:sz w:val="24"/>
          <w:szCs w:val="24"/>
          <w:lang w:val="en-US" w:eastAsia="zh-CN"/>
        </w:rPr>
        <w:t>31</w:t>
      </w:r>
      <w:r>
        <w:rPr>
          <w:rFonts w:hint="eastAsia" w:ascii="宋体" w:hAnsi="宋体" w:eastAsia="宋体"/>
          <w:b/>
          <w:sz w:val="24"/>
          <w:szCs w:val="24"/>
        </w:rPr>
        <w:t>、对供应商的纪律要求</w:t>
      </w:r>
      <w:bookmarkEnd w:id="224"/>
      <w:bookmarkEnd w:id="225"/>
      <w:bookmarkEnd w:id="226"/>
      <w:bookmarkEnd w:id="227"/>
    </w:p>
    <w:p w14:paraId="167089C6">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供应商不得相互串通磋商或者与</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串通磋商，不得向</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或者磋商小组成员行贿谋取成交，不得以他人名义磋商或者以其他方式弄虚作假骗取成交；供应商不得以任何方式干扰、影响评审工作。</w:t>
      </w:r>
    </w:p>
    <w:p w14:paraId="1B25090D">
      <w:pPr>
        <w:pStyle w:val="44"/>
        <w:adjustRightInd w:val="0"/>
        <w:snapToGrid w:val="0"/>
        <w:spacing w:line="360" w:lineRule="auto"/>
        <w:outlineLvl w:val="9"/>
        <w:rPr>
          <w:rFonts w:ascii="宋体" w:hAnsi="宋体" w:eastAsia="宋体"/>
          <w:b/>
          <w:sz w:val="24"/>
          <w:szCs w:val="24"/>
        </w:rPr>
      </w:pPr>
      <w:bookmarkStart w:id="228" w:name="_Toc179632595"/>
      <w:bookmarkStart w:id="229" w:name="_Toc144974545"/>
      <w:bookmarkStart w:id="230" w:name="_Toc152042353"/>
      <w:bookmarkStart w:id="231" w:name="_Toc152045577"/>
      <w:r>
        <w:rPr>
          <w:rFonts w:hint="eastAsia" w:ascii="宋体" w:hAnsi="宋体" w:eastAsia="宋体"/>
          <w:b/>
          <w:sz w:val="24"/>
          <w:szCs w:val="24"/>
          <w:lang w:val="en-US" w:eastAsia="zh-CN"/>
        </w:rPr>
        <w:t>32</w:t>
      </w:r>
      <w:r>
        <w:rPr>
          <w:rFonts w:hint="eastAsia" w:ascii="宋体" w:hAnsi="宋体" w:eastAsia="宋体"/>
          <w:b/>
          <w:sz w:val="24"/>
          <w:szCs w:val="24"/>
        </w:rPr>
        <w:t>、对磋商小组成员的纪律要求</w:t>
      </w:r>
      <w:bookmarkEnd w:id="228"/>
      <w:bookmarkEnd w:id="229"/>
      <w:bookmarkEnd w:id="230"/>
      <w:bookmarkEnd w:id="231"/>
    </w:p>
    <w:p w14:paraId="6E53B5DE">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4716AD79">
      <w:pPr>
        <w:pStyle w:val="44"/>
        <w:adjustRightInd w:val="0"/>
        <w:snapToGrid w:val="0"/>
        <w:spacing w:line="360" w:lineRule="auto"/>
        <w:outlineLvl w:val="9"/>
        <w:rPr>
          <w:rFonts w:ascii="宋体" w:hAnsi="宋体" w:eastAsia="宋体"/>
          <w:b/>
          <w:sz w:val="24"/>
          <w:szCs w:val="24"/>
        </w:rPr>
      </w:pPr>
      <w:bookmarkStart w:id="232" w:name="_Toc152045578"/>
      <w:bookmarkStart w:id="233" w:name="_Toc179632596"/>
      <w:bookmarkStart w:id="234" w:name="_Toc152042354"/>
      <w:bookmarkStart w:id="235" w:name="_Toc144974546"/>
      <w:r>
        <w:rPr>
          <w:rFonts w:hint="eastAsia" w:ascii="宋体" w:hAnsi="宋体" w:eastAsia="宋体"/>
          <w:b/>
          <w:sz w:val="24"/>
          <w:szCs w:val="24"/>
          <w:lang w:val="en-US" w:eastAsia="zh-CN"/>
        </w:rPr>
        <w:t>33</w:t>
      </w:r>
      <w:r>
        <w:rPr>
          <w:rFonts w:hint="eastAsia" w:ascii="宋体" w:hAnsi="宋体" w:eastAsia="宋体"/>
          <w:b/>
          <w:sz w:val="24"/>
          <w:szCs w:val="24"/>
        </w:rPr>
        <w:t>、 对与评审活动有关的工作人员的纪律要求</w:t>
      </w:r>
      <w:bookmarkEnd w:id="232"/>
      <w:bookmarkEnd w:id="233"/>
      <w:bookmarkEnd w:id="234"/>
    </w:p>
    <w:p w14:paraId="45775128">
      <w:pPr>
        <w:adjustRightInd w:val="0"/>
        <w:snapToGrid w:val="0"/>
        <w:spacing w:line="360" w:lineRule="auto"/>
        <w:ind w:firstLine="480" w:firstLineChars="200"/>
        <w:outlineLvl w:val="9"/>
        <w:rPr>
          <w:rFonts w:asciiTheme="minorEastAsia" w:hAnsiTheme="minorEastAsia" w:eastAsiaTheme="minorEastAsia" w:cstheme="minorEastAsia"/>
          <w:sz w:val="24"/>
          <w:szCs w:val="24"/>
        </w:rPr>
      </w:pPr>
      <w:bookmarkStart w:id="236" w:name="_Toc152042355"/>
      <w:r>
        <w:rPr>
          <w:rFonts w:hint="eastAsia" w:asciiTheme="minorEastAsia" w:hAnsiTheme="minorEastAsia" w:eastAsiaTheme="minorEastAsia" w:cstheme="minorEastAsia"/>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6"/>
    </w:p>
    <w:p w14:paraId="032DA0A3">
      <w:pPr>
        <w:pStyle w:val="44"/>
        <w:adjustRightInd w:val="0"/>
        <w:snapToGrid w:val="0"/>
        <w:spacing w:line="360" w:lineRule="auto"/>
        <w:outlineLvl w:val="9"/>
        <w:rPr>
          <w:rFonts w:ascii="宋体" w:hAnsi="宋体" w:eastAsia="宋体"/>
          <w:b/>
          <w:sz w:val="24"/>
          <w:szCs w:val="24"/>
        </w:rPr>
      </w:pPr>
      <w:bookmarkStart w:id="237" w:name="_Toc152042356"/>
      <w:bookmarkStart w:id="238" w:name="_Toc179632597"/>
      <w:bookmarkStart w:id="239" w:name="_Toc152045579"/>
      <w:r>
        <w:rPr>
          <w:rFonts w:hint="eastAsia" w:ascii="宋体" w:hAnsi="宋体" w:eastAsia="宋体"/>
          <w:b/>
          <w:sz w:val="24"/>
          <w:szCs w:val="24"/>
        </w:rPr>
        <w:t>3</w:t>
      </w:r>
      <w:r>
        <w:rPr>
          <w:rFonts w:hint="eastAsia" w:ascii="宋体" w:hAnsi="宋体" w:eastAsia="宋体"/>
          <w:b/>
          <w:sz w:val="24"/>
          <w:szCs w:val="24"/>
          <w:lang w:val="en-US" w:eastAsia="zh-CN"/>
        </w:rPr>
        <w:t>4</w:t>
      </w:r>
      <w:r>
        <w:rPr>
          <w:rFonts w:hint="eastAsia" w:ascii="宋体" w:hAnsi="宋体" w:eastAsia="宋体"/>
          <w:b/>
          <w:sz w:val="24"/>
          <w:szCs w:val="24"/>
        </w:rPr>
        <w:t>、 投诉</w:t>
      </w:r>
      <w:bookmarkEnd w:id="235"/>
      <w:bookmarkEnd w:id="237"/>
      <w:bookmarkEnd w:id="238"/>
      <w:bookmarkEnd w:id="239"/>
    </w:p>
    <w:p w14:paraId="12DF6E5F">
      <w:pPr>
        <w:adjustRightInd w:val="0"/>
        <w:snapToGrid w:val="0"/>
        <w:spacing w:line="360" w:lineRule="auto"/>
        <w:ind w:firstLine="480" w:firstLineChars="200"/>
        <w:outlineLvl w:val="9"/>
        <w:rPr>
          <w:rFonts w:ascii="宋体" w:hAnsi="宋体"/>
          <w:bCs/>
          <w:kern w:val="44"/>
          <w:sz w:val="24"/>
          <w:szCs w:val="24"/>
        </w:rPr>
      </w:pPr>
      <w:r>
        <w:rPr>
          <w:rFonts w:hint="eastAsia" w:asciiTheme="minorEastAsia" w:hAnsiTheme="minorEastAsia" w:eastAsiaTheme="minorEastAsia" w:cstheme="minorEastAsia"/>
          <w:sz w:val="24"/>
          <w:szCs w:val="24"/>
        </w:rPr>
        <w:t>供应商和其他利害关系人认为本次招标活动违反法律、法规和规章规定的，有权向有关行政监督部门投诉。</w:t>
      </w:r>
      <w:bookmarkEnd w:id="26"/>
      <w:bookmarkEnd w:id="27"/>
      <w:bookmarkStart w:id="240" w:name="_Toc511146529"/>
      <w:bookmarkStart w:id="241" w:name="_Toc504605093"/>
    </w:p>
    <w:p w14:paraId="29828BEF">
      <w:pPr>
        <w:jc w:val="center"/>
        <w:outlineLvl w:val="9"/>
        <w:rPr>
          <w:rFonts w:hint="eastAsia" w:ascii="宋体" w:hAnsi="宋体"/>
          <w:b/>
          <w:sz w:val="24"/>
          <w:szCs w:val="24"/>
        </w:rPr>
      </w:pPr>
      <w:bookmarkStart w:id="242" w:name="_Toc31487"/>
      <w:r>
        <w:rPr>
          <w:rFonts w:hint="eastAsia" w:ascii="宋体" w:hAnsi="宋体"/>
          <w:b/>
          <w:sz w:val="24"/>
          <w:szCs w:val="24"/>
          <w:lang w:val="en-US" w:eastAsia="zh-CN"/>
        </w:rPr>
        <w:t>9</w:t>
      </w:r>
      <w:r>
        <w:rPr>
          <w:rFonts w:hint="eastAsia" w:ascii="宋体" w:hAnsi="宋体"/>
          <w:b/>
          <w:sz w:val="24"/>
          <w:szCs w:val="24"/>
        </w:rPr>
        <w:t>．其它事项</w:t>
      </w:r>
    </w:p>
    <w:p w14:paraId="798851CE">
      <w:pPr>
        <w:pStyle w:val="11"/>
        <w:outlineLvl w:val="9"/>
        <w:rPr>
          <w:rFonts w:hint="eastAsia"/>
          <w:sz w:val="24"/>
          <w:szCs w:val="24"/>
        </w:rPr>
      </w:pPr>
    </w:p>
    <w:p w14:paraId="2E5B4C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FF"/>
          <w:sz w:val="24"/>
          <w:szCs w:val="24"/>
        </w:rPr>
      </w:pPr>
      <w:r>
        <w:rPr>
          <w:rFonts w:hint="eastAsia" w:ascii="宋体" w:hAnsi="宋体" w:cs="宋体"/>
          <w:sz w:val="24"/>
          <w:szCs w:val="24"/>
          <w:lang w:val="en-US" w:eastAsia="zh-CN"/>
        </w:rPr>
        <w:t>35、</w:t>
      </w:r>
      <w:r>
        <w:rPr>
          <w:rFonts w:hint="eastAsia" w:ascii="宋体" w:hAnsi="宋体" w:eastAsia="宋体" w:cs="宋体"/>
          <w:sz w:val="24"/>
          <w:szCs w:val="24"/>
        </w:rPr>
        <w:t>成交供应商确定后，成交供应商无正当理由拖延或拒签合同的，或未能按照规定的时间提供履约担保，采购人有权取消其成交资格，并按评审顺序重新确定成交供应商。</w:t>
      </w:r>
      <w:r>
        <w:rPr>
          <w:rFonts w:hint="eastAsia" w:ascii="宋体" w:hAnsi="宋体" w:eastAsia="宋体" w:cs="宋体"/>
          <w:color w:val="auto"/>
          <w:sz w:val="24"/>
          <w:szCs w:val="24"/>
        </w:rPr>
        <w:t>同时报请监督机构予以通报，禁止其进入政府采购市场，并</w:t>
      </w:r>
      <w:r>
        <w:rPr>
          <w:rFonts w:hint="eastAsia" w:ascii="宋体" w:hAnsi="宋体" w:cs="宋体"/>
          <w:color w:val="auto"/>
          <w:sz w:val="24"/>
          <w:szCs w:val="24"/>
          <w:lang w:val="en-US" w:eastAsia="zh-CN"/>
        </w:rPr>
        <w:t>根据投标信用承诺书有关规定执行</w:t>
      </w:r>
      <w:r>
        <w:rPr>
          <w:rFonts w:hint="eastAsia" w:ascii="宋体" w:hAnsi="宋体" w:eastAsia="宋体" w:cs="宋体"/>
          <w:color w:val="auto"/>
          <w:sz w:val="24"/>
          <w:szCs w:val="24"/>
        </w:rPr>
        <w:t>。给采购人造成损失，还应当对予以赔偿，并依法承担相应法律责任。</w:t>
      </w:r>
    </w:p>
    <w:p w14:paraId="48205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36</w:t>
      </w:r>
      <w:r>
        <w:rPr>
          <w:rFonts w:hint="eastAsia" w:ascii="宋体" w:hAnsi="宋体" w:eastAsia="宋体" w:cs="宋体"/>
          <w:sz w:val="24"/>
          <w:szCs w:val="24"/>
        </w:rPr>
        <w:t>、其他未尽事宜，按照《中华人民共和国政府采购法》、《中华人民共和国政府采购法实施条例》等法律法规的有关条款执行。</w:t>
      </w:r>
    </w:p>
    <w:p w14:paraId="51B2B791">
      <w:pPr>
        <w:jc w:val="both"/>
        <w:outlineLvl w:val="9"/>
        <w:rPr>
          <w:rFonts w:ascii="宋体" w:hAnsi="宋体" w:cs="宋体"/>
        </w:rPr>
      </w:pPr>
    </w:p>
    <w:p w14:paraId="28D4147D">
      <w:pPr>
        <w:outlineLvl w:val="9"/>
        <w:rPr>
          <w:rFonts w:ascii="宋体" w:hAnsi="宋体" w:cs="宋体"/>
        </w:rPr>
      </w:pPr>
    </w:p>
    <w:p w14:paraId="7CE6CDC9">
      <w:pPr>
        <w:pStyle w:val="11"/>
        <w:outlineLvl w:val="9"/>
        <w:rPr>
          <w:rFonts w:ascii="宋体" w:hAnsi="宋体" w:cs="宋体"/>
        </w:rPr>
      </w:pPr>
    </w:p>
    <w:p w14:paraId="7D94DB28">
      <w:pPr>
        <w:outlineLvl w:val="9"/>
        <w:rPr>
          <w:rFonts w:ascii="宋体" w:hAnsi="宋体" w:cs="宋体"/>
        </w:rPr>
      </w:pPr>
    </w:p>
    <w:p w14:paraId="2FDA0E17">
      <w:pPr>
        <w:jc w:val="both"/>
        <w:outlineLvl w:val="9"/>
        <w:rPr>
          <w:rFonts w:ascii="宋体" w:hAnsi="宋体" w:cs="宋体"/>
        </w:rPr>
        <w:sectPr>
          <w:footerReference r:id="rId8" w:type="default"/>
          <w:pgSz w:w="11906" w:h="16838"/>
          <w:pgMar w:top="1383" w:right="1383" w:bottom="1383" w:left="1383" w:header="851" w:footer="992" w:gutter="0"/>
          <w:pgNumType w:fmt="decimal"/>
          <w:cols w:space="720" w:num="1"/>
          <w:docGrid w:linePitch="312" w:charSpace="0"/>
        </w:sectPr>
      </w:pPr>
    </w:p>
    <w:p w14:paraId="474C7C44">
      <w:pPr>
        <w:bidi w:val="0"/>
        <w:jc w:val="center"/>
        <w:outlineLvl w:val="0"/>
        <w:rPr>
          <w:b/>
          <w:bCs/>
        </w:rPr>
      </w:pPr>
      <w:bookmarkStart w:id="243" w:name="_Toc608"/>
      <w:bookmarkStart w:id="244" w:name="_Toc11307"/>
      <w:bookmarkStart w:id="245" w:name="_Toc26963"/>
      <w:bookmarkStart w:id="246" w:name="_Toc24953"/>
      <w:bookmarkStart w:id="247" w:name="_Toc24439"/>
      <w:bookmarkStart w:id="248" w:name="_Toc24996"/>
      <w:r>
        <w:rPr>
          <w:rFonts w:hint="eastAsia"/>
          <w:b/>
          <w:bCs/>
          <w:sz w:val="36"/>
          <w:szCs w:val="36"/>
        </w:rPr>
        <w:t>第三章  评标方法</w:t>
      </w:r>
      <w:bookmarkEnd w:id="243"/>
      <w:bookmarkEnd w:id="244"/>
      <w:bookmarkEnd w:id="245"/>
      <w:bookmarkEnd w:id="246"/>
      <w:bookmarkEnd w:id="247"/>
      <w:bookmarkEnd w:id="248"/>
    </w:p>
    <w:bookmarkEnd w:id="240"/>
    <w:bookmarkEnd w:id="242"/>
    <w:p w14:paraId="183C9B8A">
      <w:pPr>
        <w:widowControl/>
        <w:jc w:val="left"/>
        <w:outlineLvl w:val="9"/>
        <w:rPr>
          <w:rFonts w:hint="eastAsia"/>
        </w:rPr>
      </w:pPr>
      <w:bookmarkStart w:id="249" w:name="_Toc6685"/>
      <w:r>
        <w:rPr>
          <w:rFonts w:hint="eastAsia" w:ascii="宋体" w:hAnsi="宋体" w:cs="宋体"/>
          <w:b/>
          <w:bCs/>
          <w:color w:val="000000"/>
          <w:kern w:val="0"/>
          <w:sz w:val="28"/>
          <w:szCs w:val="28"/>
          <w:lang w:bidi="ar"/>
        </w:rPr>
        <w:t>一、评审方法</w:t>
      </w:r>
      <w:bookmarkEnd w:id="249"/>
      <w:r>
        <w:rPr>
          <w:rFonts w:hint="eastAsia" w:ascii="宋体" w:hAnsi="宋体" w:cs="宋体"/>
          <w:b/>
          <w:bCs/>
          <w:color w:val="000000"/>
          <w:kern w:val="0"/>
          <w:sz w:val="28"/>
          <w:szCs w:val="28"/>
          <w:lang w:bidi="ar"/>
        </w:rPr>
        <w:t xml:space="preserve"> </w:t>
      </w:r>
    </w:p>
    <w:p w14:paraId="53BDED01">
      <w:pPr>
        <w:numPr>
          <w:ilvl w:val="0"/>
          <w:numId w:val="5"/>
        </w:numPr>
        <w:adjustRightInd w:val="0"/>
        <w:snapToGrid w:val="0"/>
        <w:spacing w:line="360" w:lineRule="auto"/>
        <w:ind w:firstLine="480" w:firstLineChars="200"/>
        <w:jc w:val="left"/>
        <w:outlineLvl w:val="9"/>
        <w:rPr>
          <w:rFonts w:hint="eastAsia" w:ascii="宋体" w:hAnsi="宋体" w:cs="宋体"/>
          <w:sz w:val="24"/>
        </w:rPr>
      </w:pPr>
      <w:r>
        <w:rPr>
          <w:rFonts w:hint="eastAsia" w:ascii="宋体" w:hAnsi="宋体" w:cs="宋体"/>
          <w:sz w:val="24"/>
        </w:rPr>
        <w:t>本项目采用</w:t>
      </w:r>
      <w:r>
        <w:rPr>
          <w:rFonts w:hint="eastAsia" w:ascii="宋体" w:hAnsi="宋体" w:cs="宋体"/>
          <w:b/>
          <w:sz w:val="24"/>
        </w:rPr>
        <w:t>综合评分</w:t>
      </w:r>
      <w:r>
        <w:rPr>
          <w:rFonts w:hint="eastAsia" w:ascii="宋体" w:hAnsi="宋体" w:cs="宋体"/>
          <w:sz w:val="24"/>
        </w:rPr>
        <w:t>法进行评审，总分为</w:t>
      </w:r>
      <w:r>
        <w:rPr>
          <w:rFonts w:hint="eastAsia" w:ascii="宋体" w:hAnsi="宋体" w:cs="宋体"/>
          <w:sz w:val="24"/>
          <w:u w:val="single"/>
        </w:rPr>
        <w:t>100</w:t>
      </w:r>
      <w:r>
        <w:rPr>
          <w:rFonts w:hint="eastAsia" w:ascii="宋体" w:hAnsi="宋体" w:cs="宋体"/>
          <w:sz w:val="24"/>
        </w:rPr>
        <w:t>分。</w:t>
      </w:r>
    </w:p>
    <w:p w14:paraId="21631493">
      <w:pPr>
        <w:adjustRightInd w:val="0"/>
        <w:snapToGrid w:val="0"/>
        <w:spacing w:line="360" w:lineRule="auto"/>
        <w:ind w:firstLine="480" w:firstLineChars="200"/>
        <w:jc w:val="left"/>
        <w:outlineLvl w:val="9"/>
        <w:rPr>
          <w:rFonts w:hint="eastAsia" w:ascii="宋体" w:hAnsi="宋体" w:cs="宋体"/>
          <w:sz w:val="24"/>
        </w:rPr>
      </w:pPr>
      <w:r>
        <w:rPr>
          <w:rFonts w:hint="eastAsia" w:ascii="宋体" w:hAnsi="宋体" w:cs="宋体"/>
          <w:sz w:val="24"/>
        </w:rPr>
        <w:t>2、</w:t>
      </w:r>
      <w:r>
        <w:rPr>
          <w:rFonts w:hint="eastAsia" w:ascii="宋体" w:hAnsi="宋体" w:cs="宋体"/>
          <w:sz w:val="24"/>
          <w:szCs w:val="24"/>
          <w:lang w:val="en-US" w:eastAsia="zh-CN"/>
        </w:rPr>
        <w:t>磋商小组</w:t>
      </w:r>
      <w:r>
        <w:rPr>
          <w:rFonts w:hint="eastAsia" w:ascii="宋体" w:hAnsi="宋体" w:cs="宋体"/>
          <w:sz w:val="24"/>
        </w:rPr>
        <w:t>应</w:t>
      </w:r>
      <w:r>
        <w:rPr>
          <w:rFonts w:hint="eastAsia" w:ascii="宋体" w:hAnsi="宋体" w:cs="宋体"/>
          <w:color w:val="000000" w:themeColor="text1"/>
          <w:sz w:val="24"/>
          <w14:textFill>
            <w14:solidFill>
              <w14:schemeClr w14:val="tx1"/>
            </w14:solidFill>
          </w14:textFill>
        </w:rPr>
        <w:t>当按照</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中规定的要求，对</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进行资格性和符合性审查，</w:t>
      </w:r>
      <w:r>
        <w:rPr>
          <w:rFonts w:hint="eastAsia" w:ascii="宋体" w:hAnsi="宋体" w:cs="宋体"/>
          <w:color w:val="000000" w:themeColor="text1"/>
          <w:sz w:val="24"/>
          <w:lang w:val="en-US" w:eastAsia="zh-CN"/>
          <w14:textFill>
            <w14:solidFill>
              <w14:schemeClr w14:val="tx1"/>
            </w14:solidFill>
          </w14:textFill>
        </w:rPr>
        <w:t>通过审查的供应商</w:t>
      </w:r>
      <w:r>
        <w:rPr>
          <w:rFonts w:hint="eastAsia" w:ascii="宋体" w:hAnsi="宋体" w:cs="宋体"/>
          <w:color w:val="000000" w:themeColor="text1"/>
          <w:sz w:val="24"/>
          <w14:textFill>
            <w14:solidFill>
              <w14:schemeClr w14:val="tx1"/>
            </w14:solidFill>
          </w14:textFill>
        </w:rPr>
        <w:t>进行二</w:t>
      </w:r>
      <w:r>
        <w:rPr>
          <w:rFonts w:hint="eastAsia" w:ascii="宋体" w:hAnsi="宋体" w:cs="宋体"/>
          <w:sz w:val="24"/>
        </w:rPr>
        <w:t>次报价（所有报价在公示前均不公开宣布）、综合比较与评价、推荐成交候选供应商名单的工作程序进行评审。在上一步评审中被认定为无效磋商者，不进入下一步的评审。</w:t>
      </w:r>
    </w:p>
    <w:p w14:paraId="6068C663">
      <w:pPr>
        <w:adjustRightInd w:val="0"/>
        <w:snapToGrid w:val="0"/>
        <w:spacing w:line="360" w:lineRule="auto"/>
        <w:ind w:firstLine="480" w:firstLineChars="200"/>
        <w:jc w:val="left"/>
        <w:outlineLvl w:val="9"/>
        <w:rPr>
          <w:rFonts w:hint="eastAsia" w:ascii="宋体" w:hAnsi="宋体" w:cs="宋体"/>
          <w:b/>
          <w:bCs/>
          <w:sz w:val="24"/>
          <w:szCs w:val="24"/>
        </w:rPr>
      </w:pPr>
      <w:r>
        <w:rPr>
          <w:rFonts w:hint="eastAsia" w:ascii="宋体" w:hAnsi="宋体" w:cs="宋体"/>
          <w:bCs/>
          <w:sz w:val="24"/>
        </w:rPr>
        <w:t>3、评审分值：</w:t>
      </w:r>
      <w:r>
        <w:rPr>
          <w:rFonts w:hint="eastAsia" w:ascii="宋体" w:hAnsi="宋体" w:cs="宋体"/>
          <w:b/>
          <w:bCs/>
          <w:sz w:val="24"/>
          <w:szCs w:val="24"/>
        </w:rPr>
        <w:t>评审分值结构表如下</w:t>
      </w:r>
    </w:p>
    <w:p w14:paraId="07135F5E">
      <w:pPr>
        <w:adjustRightInd w:val="0"/>
        <w:snapToGrid w:val="0"/>
        <w:spacing w:line="360" w:lineRule="auto"/>
        <w:ind w:firstLine="424" w:firstLineChars="177"/>
        <w:outlineLvl w:val="9"/>
        <w:rPr>
          <w:rFonts w:hint="eastAsia" w:ascii="宋体" w:hAnsi="宋体" w:cs="宋体"/>
          <w:bCs/>
          <w:sz w:val="24"/>
          <w:szCs w:val="24"/>
        </w:rPr>
      </w:pPr>
      <w:r>
        <w:rPr>
          <w:rFonts w:hint="eastAsia" w:ascii="宋体" w:hAnsi="宋体" w:cs="宋体"/>
          <w:bCs/>
          <w:sz w:val="24"/>
          <w:szCs w:val="24"/>
        </w:rPr>
        <w:t>4、</w:t>
      </w:r>
      <w:r>
        <w:rPr>
          <w:rFonts w:hint="eastAsia" w:ascii="宋体" w:hAnsi="宋体" w:cs="宋体"/>
          <w:bCs/>
          <w:sz w:val="24"/>
          <w:szCs w:val="24"/>
          <w:lang w:val="en-US" w:eastAsia="zh-CN"/>
        </w:rPr>
        <w:t>竞争性磋商</w:t>
      </w:r>
      <w:r>
        <w:rPr>
          <w:rFonts w:hint="eastAsia" w:ascii="宋体" w:hAnsi="宋体" w:cs="宋体"/>
          <w:bCs/>
          <w:sz w:val="24"/>
          <w:szCs w:val="24"/>
        </w:rPr>
        <w:t>文件打分表要求提供的证明资料需在投标文件中附响应的复印件或扫描件，以备</w:t>
      </w:r>
      <w:r>
        <w:rPr>
          <w:rFonts w:hint="eastAsia" w:ascii="宋体" w:hAnsi="宋体" w:cs="宋体"/>
          <w:sz w:val="24"/>
          <w:szCs w:val="24"/>
          <w:lang w:val="en-US" w:eastAsia="zh-CN"/>
        </w:rPr>
        <w:t>磋商小组成员</w:t>
      </w:r>
      <w:r>
        <w:rPr>
          <w:rFonts w:hint="eastAsia" w:ascii="宋体" w:hAnsi="宋体" w:cs="宋体"/>
          <w:bCs/>
          <w:sz w:val="24"/>
          <w:szCs w:val="24"/>
        </w:rPr>
        <w:t>审查。</w:t>
      </w:r>
    </w:p>
    <w:p w14:paraId="3EADC005">
      <w:pPr>
        <w:adjustRightInd w:val="0"/>
        <w:snapToGrid w:val="0"/>
        <w:spacing w:line="360" w:lineRule="auto"/>
        <w:ind w:left="289"/>
        <w:jc w:val="left"/>
        <w:outlineLvl w:val="9"/>
        <w:rPr>
          <w:rFonts w:hint="eastAsia" w:ascii="宋体" w:hAnsi="宋体" w:cs="宋体"/>
          <w:sz w:val="24"/>
        </w:rPr>
      </w:pPr>
      <w:r>
        <w:rPr>
          <w:rFonts w:hint="eastAsia" w:ascii="宋体" w:hAnsi="宋体" w:cs="宋体"/>
          <w:sz w:val="24"/>
        </w:rPr>
        <w:t xml:space="preserve">  5、特殊情况：</w:t>
      </w:r>
    </w:p>
    <w:p w14:paraId="3FD53709">
      <w:pPr>
        <w:adjustRightInd w:val="0"/>
        <w:snapToGrid w:val="0"/>
        <w:spacing w:line="360" w:lineRule="auto"/>
        <w:ind w:firstLine="480" w:firstLineChars="200"/>
        <w:outlineLvl w:val="9"/>
        <w:rPr>
          <w:rFonts w:hint="eastAsia" w:ascii="宋体" w:hAnsi="宋体" w:cs="宋体"/>
          <w:sz w:val="24"/>
        </w:rPr>
      </w:pPr>
      <w:r>
        <w:rPr>
          <w:rFonts w:hint="eastAsia" w:ascii="宋体" w:hAnsi="宋体" w:cs="宋体"/>
          <w:sz w:val="24"/>
        </w:rPr>
        <w:t>1）</w:t>
      </w:r>
      <w:r>
        <w:rPr>
          <w:rFonts w:hint="eastAsia" w:ascii="宋体" w:hAnsi="宋体" w:cs="宋体"/>
          <w:sz w:val="24"/>
          <w:szCs w:val="24"/>
          <w:lang w:val="en-US" w:eastAsia="zh-CN"/>
        </w:rPr>
        <w:t>磋商小组</w:t>
      </w:r>
      <w:r>
        <w:rPr>
          <w:rFonts w:hint="eastAsia" w:ascii="宋体" w:hAnsi="宋体" w:cs="宋体"/>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宋体" w:hAnsi="宋体" w:cs="宋体"/>
          <w:sz w:val="24"/>
          <w:szCs w:val="24"/>
          <w:lang w:val="en-US" w:eastAsia="zh-CN"/>
        </w:rPr>
        <w:t>磋商小组成员</w:t>
      </w:r>
      <w:r>
        <w:rPr>
          <w:rFonts w:hint="eastAsia" w:ascii="宋体" w:hAnsi="宋体" w:cs="宋体"/>
          <w:sz w:val="24"/>
        </w:rPr>
        <w:t>应当将其作为无效投标处理。</w:t>
      </w:r>
    </w:p>
    <w:p w14:paraId="12A18E2E">
      <w:pPr>
        <w:adjustRightInd w:val="0"/>
        <w:snapToGrid w:val="0"/>
        <w:spacing w:line="360" w:lineRule="auto"/>
        <w:ind w:firstLine="480" w:firstLineChars="200"/>
        <w:outlineLvl w:val="9"/>
        <w:rPr>
          <w:rFonts w:hint="eastAsia" w:ascii="宋体" w:hAnsi="宋体" w:cs="宋体"/>
          <w:sz w:val="24"/>
          <w:szCs w:val="22"/>
        </w:rPr>
      </w:pPr>
      <w:r>
        <w:rPr>
          <w:rFonts w:hint="eastAsia" w:ascii="宋体" w:hAnsi="宋体" w:cs="宋体"/>
          <w:sz w:val="24"/>
        </w:rPr>
        <w:t>2）得分相同的，按投标报价由低到高顺序排</w:t>
      </w:r>
      <w:r>
        <w:rPr>
          <w:rFonts w:hint="eastAsia" w:ascii="宋体" w:hAnsi="宋体" w:cs="宋体"/>
          <w:sz w:val="24"/>
          <w:szCs w:val="22"/>
        </w:rPr>
        <w:t>列。</w:t>
      </w:r>
    </w:p>
    <w:p w14:paraId="024A1989">
      <w:pPr>
        <w:adjustRightInd w:val="0"/>
        <w:snapToGrid w:val="0"/>
        <w:spacing w:line="360" w:lineRule="auto"/>
        <w:ind w:firstLine="480" w:firstLineChars="200"/>
        <w:outlineLvl w:val="9"/>
        <w:rPr>
          <w:rFonts w:hint="eastAsia" w:ascii="宋体" w:hAnsi="宋体" w:cs="宋体"/>
          <w:sz w:val="24"/>
          <w:szCs w:val="22"/>
        </w:rPr>
      </w:pPr>
      <w:r>
        <w:rPr>
          <w:rFonts w:hint="eastAsia" w:ascii="宋体" w:hAnsi="宋体" w:cs="宋体"/>
          <w:sz w:val="24"/>
          <w:szCs w:val="22"/>
        </w:rPr>
        <w:t>3）得分且投标报价相同的，比较技术得分，此技术得分高者排在前。</w:t>
      </w:r>
    </w:p>
    <w:p w14:paraId="5D431389">
      <w:pPr>
        <w:adjustRightInd w:val="0"/>
        <w:snapToGrid w:val="0"/>
        <w:spacing w:line="360" w:lineRule="auto"/>
        <w:ind w:firstLine="480" w:firstLineChars="200"/>
        <w:outlineLvl w:val="9"/>
        <w:rPr>
          <w:rFonts w:hint="eastAsia" w:ascii="宋体" w:hAnsi="宋体" w:cs="宋体"/>
          <w:sz w:val="24"/>
        </w:rPr>
      </w:pPr>
      <w:r>
        <w:rPr>
          <w:rFonts w:hint="eastAsia" w:ascii="宋体" w:hAnsi="宋体" w:cs="宋体"/>
          <w:sz w:val="24"/>
          <w:szCs w:val="22"/>
        </w:rPr>
        <w:t>4）</w:t>
      </w:r>
      <w:r>
        <w:rPr>
          <w:rFonts w:hint="eastAsia" w:ascii="宋体" w:hAnsi="宋体" w:cs="宋体"/>
          <w:sz w:val="24"/>
          <w:szCs w:val="24"/>
          <w:lang w:val="en-US" w:eastAsia="zh-CN"/>
        </w:rPr>
        <w:t>磋商小组</w:t>
      </w:r>
      <w:r>
        <w:rPr>
          <w:rFonts w:hint="eastAsia" w:ascii="宋体" w:hAnsi="宋体" w:cs="宋体"/>
          <w:sz w:val="24"/>
          <w:szCs w:val="22"/>
        </w:rPr>
        <w:t>评分超出评分标准范围的、各</w:t>
      </w:r>
      <w:r>
        <w:rPr>
          <w:rFonts w:hint="eastAsia" w:ascii="宋体" w:hAnsi="宋体" w:cs="宋体"/>
          <w:sz w:val="24"/>
          <w:szCs w:val="24"/>
          <w:lang w:val="en-US" w:eastAsia="zh-CN"/>
        </w:rPr>
        <w:t>磋商小组</w:t>
      </w:r>
      <w:r>
        <w:rPr>
          <w:rFonts w:hint="eastAsia" w:ascii="宋体" w:hAnsi="宋体" w:cs="宋体"/>
          <w:sz w:val="24"/>
          <w:szCs w:val="22"/>
        </w:rPr>
        <w:t>对客观评审得分不一致的和</w:t>
      </w:r>
      <w:r>
        <w:rPr>
          <w:rFonts w:hint="eastAsia" w:ascii="宋体" w:hAnsi="宋体" w:cs="宋体"/>
          <w:sz w:val="24"/>
          <w:szCs w:val="24"/>
          <w:lang w:val="en-US" w:eastAsia="zh-CN"/>
        </w:rPr>
        <w:t>磋商小组</w:t>
      </w:r>
      <w:r>
        <w:rPr>
          <w:rFonts w:hint="eastAsia" w:ascii="宋体" w:hAnsi="宋体" w:cs="宋体"/>
          <w:sz w:val="24"/>
          <w:szCs w:val="22"/>
        </w:rPr>
        <w:t>认定评分畸高畸低的，</w:t>
      </w:r>
      <w:r>
        <w:rPr>
          <w:rFonts w:hint="eastAsia" w:ascii="宋体" w:hAnsi="宋体" w:cs="宋体"/>
          <w:sz w:val="24"/>
          <w:szCs w:val="24"/>
          <w:lang w:val="en-US" w:eastAsia="zh-CN"/>
        </w:rPr>
        <w:t>磋商小组</w:t>
      </w:r>
      <w:r>
        <w:rPr>
          <w:rFonts w:hint="eastAsia" w:ascii="宋体" w:hAnsi="宋体" w:cs="宋体"/>
          <w:sz w:val="24"/>
          <w:szCs w:val="22"/>
        </w:rPr>
        <w:t>应当当场修改</w:t>
      </w:r>
      <w:r>
        <w:rPr>
          <w:rFonts w:hint="eastAsia" w:ascii="宋体" w:hAnsi="宋体" w:cs="宋体"/>
          <w:sz w:val="24"/>
        </w:rPr>
        <w:t>。</w:t>
      </w:r>
    </w:p>
    <w:p w14:paraId="1E05B234">
      <w:pPr>
        <w:tabs>
          <w:tab w:val="left" w:pos="1080"/>
        </w:tabs>
        <w:adjustRightInd w:val="0"/>
        <w:snapToGrid w:val="0"/>
        <w:spacing w:line="360" w:lineRule="auto"/>
        <w:ind w:left="465"/>
        <w:outlineLvl w:val="9"/>
        <w:rPr>
          <w:rFonts w:hint="eastAsia" w:ascii="宋体" w:hAnsi="宋体" w:cs="宋体"/>
          <w:sz w:val="24"/>
        </w:rPr>
      </w:pPr>
      <w:r>
        <w:rPr>
          <w:rFonts w:hint="eastAsia" w:ascii="宋体" w:hAnsi="宋体" w:cs="宋体"/>
          <w:sz w:val="24"/>
        </w:rPr>
        <w:t>6、定标</w:t>
      </w:r>
    </w:p>
    <w:p w14:paraId="4B00BC70">
      <w:pPr>
        <w:adjustRightInd w:val="0"/>
        <w:snapToGrid w:val="0"/>
        <w:spacing w:line="360" w:lineRule="auto"/>
        <w:ind w:left="288" w:leftChars="137" w:firstLine="240" w:firstLineChars="100"/>
        <w:jc w:val="left"/>
        <w:outlineLvl w:val="9"/>
        <w:rPr>
          <w:rFonts w:hint="eastAsia" w:ascii="宋体" w:hAnsi="宋体" w:cs="宋体"/>
          <w:sz w:val="24"/>
        </w:rPr>
      </w:pPr>
      <w:r>
        <w:rPr>
          <w:rFonts w:hint="eastAsia" w:ascii="宋体" w:hAnsi="宋体" w:cs="宋体"/>
          <w:sz w:val="24"/>
        </w:rPr>
        <w:t>1）最终得分=取其</w:t>
      </w:r>
      <w:r>
        <w:rPr>
          <w:rFonts w:hint="eastAsia" w:ascii="宋体" w:hAnsi="宋体" w:cs="宋体"/>
          <w:sz w:val="24"/>
          <w:szCs w:val="24"/>
          <w:lang w:val="en-US" w:eastAsia="zh-CN"/>
        </w:rPr>
        <w:t>磋商小组成员</w:t>
      </w:r>
      <w:r>
        <w:rPr>
          <w:rFonts w:hint="eastAsia" w:ascii="宋体" w:hAnsi="宋体" w:cs="宋体"/>
          <w:sz w:val="24"/>
        </w:rPr>
        <w:t>的平均分；按得分由高到低顺序排列，推荐</w:t>
      </w:r>
      <w:r>
        <w:rPr>
          <w:rFonts w:hint="eastAsia" w:ascii="宋体" w:hAnsi="宋体" w:cs="宋体"/>
          <w:sz w:val="24"/>
          <w:lang w:val="en-US" w:eastAsia="zh-CN"/>
        </w:rPr>
        <w:t>不少于3名成交候选供应商，并编制评审报告，</w:t>
      </w:r>
      <w:r>
        <w:rPr>
          <w:rFonts w:hint="eastAsia" w:ascii="宋体" w:hAnsi="宋体" w:cs="宋体"/>
          <w:spacing w:val="4"/>
          <w:sz w:val="24"/>
          <w:szCs w:val="24"/>
        </w:rPr>
        <w:t>评标结果由全体</w:t>
      </w:r>
      <w:r>
        <w:rPr>
          <w:rFonts w:hint="eastAsia" w:ascii="宋体" w:hAnsi="宋体" w:cs="宋体"/>
          <w:sz w:val="24"/>
          <w:szCs w:val="24"/>
          <w:lang w:val="en-US" w:eastAsia="zh-CN"/>
        </w:rPr>
        <w:t>磋商小组成员</w:t>
      </w:r>
      <w:r>
        <w:rPr>
          <w:rFonts w:hint="eastAsia" w:ascii="宋体" w:hAnsi="宋体" w:cs="宋体"/>
          <w:sz w:val="24"/>
        </w:rPr>
        <w:t>签字确认。</w:t>
      </w:r>
    </w:p>
    <w:p w14:paraId="12CAE1B4">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default" w:ascii="宋体" w:hAnsi="宋体" w:eastAsia="宋体" w:cs="宋体"/>
          <w:sz w:val="24"/>
          <w:lang w:val="en-US" w:eastAsia="zh-CN"/>
        </w:rPr>
      </w:pPr>
      <w:r>
        <w:rPr>
          <w:rFonts w:hint="eastAsia" w:ascii="宋体" w:hAnsi="宋体" w:cs="宋体"/>
          <w:sz w:val="24"/>
          <w:lang w:val="en-US" w:eastAsia="zh-CN"/>
        </w:rPr>
        <w:t>2）符合</w:t>
      </w:r>
      <w:r>
        <w:rPr>
          <w:rFonts w:hint="default" w:ascii="宋体" w:hAnsi="宋体" w:cs="宋体"/>
          <w:sz w:val="24"/>
          <w:lang w:val="en-US" w:eastAsia="zh-CN"/>
        </w:rPr>
        <w:t>①</w:t>
      </w:r>
      <w:r>
        <w:rPr>
          <w:rFonts w:hint="eastAsia" w:ascii="宋体" w:hAnsi="宋体" w:cs="宋体"/>
          <w:sz w:val="24"/>
          <w:lang w:val="en-US" w:eastAsia="zh-CN"/>
        </w:rPr>
        <w:t>市场竞争不</w:t>
      </w:r>
      <w:r>
        <w:rPr>
          <w:rFonts w:hint="eastAsia" w:ascii="宋体" w:hAnsi="宋体" w:eastAsia="宋体" w:cs="宋体"/>
          <w:color w:val="auto"/>
          <w:sz w:val="24"/>
          <w:szCs w:val="24"/>
        </w:rPr>
        <w:t>充分的科研项目，以及需要扶持的科技成果</w:t>
      </w:r>
      <w:r>
        <w:rPr>
          <w:rFonts w:hint="eastAsia" w:ascii="宋体" w:hAnsi="宋体" w:eastAsia="宋体" w:cs="宋体"/>
          <w:sz w:val="24"/>
          <w:szCs w:val="24"/>
        </w:rPr>
        <w:t>转化项目；</w:t>
      </w:r>
      <w:r>
        <w:rPr>
          <w:rFonts w:hint="default" w:ascii="宋体" w:hAnsi="宋体" w:cs="宋体"/>
          <w:sz w:val="24"/>
          <w:lang w:val="en-US" w:eastAsia="zh-CN"/>
        </w:rPr>
        <w:t>②</w:t>
      </w:r>
      <w:r>
        <w:rPr>
          <w:rFonts w:hint="eastAsia" w:ascii="宋体" w:hAnsi="宋体" w:cs="宋体"/>
          <w:sz w:val="24"/>
          <w:lang w:val="en-US" w:eastAsia="zh-CN"/>
        </w:rPr>
        <w:t>政府购</w:t>
      </w:r>
      <w:r>
        <w:rPr>
          <w:rFonts w:hint="eastAsia" w:ascii="宋体" w:hAnsi="宋体" w:eastAsia="宋体" w:cs="宋体"/>
          <w:sz w:val="24"/>
          <w:szCs w:val="24"/>
        </w:rPr>
        <w:t>买服务项目（含政府和社会资本项目）</w:t>
      </w:r>
      <w:r>
        <w:rPr>
          <w:rFonts w:hint="eastAsia" w:ascii="宋体" w:hAnsi="宋体" w:cs="宋体"/>
          <w:sz w:val="24"/>
          <w:szCs w:val="24"/>
          <w:lang w:eastAsia="zh-CN"/>
        </w:rPr>
        <w:t>的</w:t>
      </w:r>
      <w:r>
        <w:rPr>
          <w:rFonts w:hint="eastAsia" w:ascii="宋体" w:hAnsi="宋体" w:cs="宋体"/>
          <w:sz w:val="24"/>
          <w:szCs w:val="24"/>
          <w:lang w:val="en-US" w:eastAsia="zh-CN"/>
        </w:rPr>
        <w:t>情形，可以推荐2家成交候选供应商</w:t>
      </w:r>
      <w:r>
        <w:rPr>
          <w:rFonts w:hint="eastAsia" w:ascii="宋体" w:hAnsi="宋体" w:eastAsia="宋体" w:cs="宋体"/>
          <w:sz w:val="24"/>
          <w:szCs w:val="24"/>
        </w:rPr>
        <w:t>。</w:t>
      </w:r>
    </w:p>
    <w:p w14:paraId="7571528A">
      <w:pPr>
        <w:pStyle w:val="14"/>
        <w:ind w:left="0" w:leftChars="0" w:firstLine="480" w:firstLineChars="200"/>
        <w:outlineLvl w:val="9"/>
        <w:rPr>
          <w:rFonts w:hint="eastAsia" w:cs="宋体"/>
        </w:rPr>
        <w:sectPr>
          <w:pgSz w:w="11906" w:h="16838"/>
          <w:pgMar w:top="1219" w:right="1800" w:bottom="1219" w:left="1800" w:header="851" w:footer="992" w:gutter="0"/>
          <w:pgNumType w:fmt="decimal"/>
          <w:cols w:space="720" w:num="1"/>
          <w:docGrid w:type="lines" w:linePitch="312" w:charSpace="0"/>
        </w:sectPr>
      </w:pPr>
      <w:r>
        <w:rPr>
          <w:rFonts w:hint="eastAsia" w:cs="宋体"/>
          <w:lang w:val="en-US" w:eastAsia="zh-CN"/>
        </w:rPr>
        <w:t>3</w:t>
      </w:r>
      <w:r>
        <w:rPr>
          <w:rFonts w:hint="eastAsia" w:cs="宋体"/>
        </w:rPr>
        <w:t>）采购人根据评标报告中推荐的</w:t>
      </w:r>
      <w:r>
        <w:rPr>
          <w:rFonts w:hint="eastAsia" w:cs="宋体"/>
          <w:lang w:val="en-US" w:eastAsia="zh-CN"/>
        </w:rPr>
        <w:t>成交</w:t>
      </w:r>
      <w:r>
        <w:rPr>
          <w:rFonts w:hint="eastAsia" w:cs="宋体"/>
        </w:rPr>
        <w:t>候选人排列顺序确定</w:t>
      </w:r>
      <w:r>
        <w:rPr>
          <w:rFonts w:hint="eastAsia" w:cs="宋体"/>
          <w:lang w:val="en-US" w:eastAsia="zh-CN"/>
        </w:rPr>
        <w:t>成交供应商</w:t>
      </w:r>
      <w:r>
        <w:rPr>
          <w:rFonts w:hint="eastAsia" w:cs="宋体"/>
        </w:rPr>
        <w:t>，以</w:t>
      </w:r>
      <w:r>
        <w:rPr>
          <w:rFonts w:hint="eastAsia" w:cs="宋体"/>
          <w:lang w:val="en-US" w:eastAsia="zh-CN"/>
        </w:rPr>
        <w:t>成交</w:t>
      </w:r>
      <w:r>
        <w:rPr>
          <w:rFonts w:hint="eastAsia" w:cs="宋体"/>
        </w:rPr>
        <w:t>复函通知采购代理机构。</w:t>
      </w:r>
    </w:p>
    <w:p w14:paraId="1A25DEFA">
      <w:pPr>
        <w:widowControl/>
        <w:spacing w:line="360" w:lineRule="auto"/>
        <w:jc w:val="left"/>
        <w:outlineLvl w:val="9"/>
        <w:rPr>
          <w:rFonts w:hint="eastAsia" w:ascii="宋体" w:hAnsi="宋体" w:cs="宋体"/>
          <w:b/>
          <w:bCs/>
          <w:color w:val="000000"/>
          <w:kern w:val="0"/>
          <w:sz w:val="28"/>
          <w:szCs w:val="28"/>
          <w:lang w:bidi="ar"/>
        </w:rPr>
      </w:pPr>
      <w:bookmarkStart w:id="250" w:name="_Toc8989"/>
      <w:r>
        <w:rPr>
          <w:rFonts w:hint="eastAsia" w:ascii="宋体" w:hAnsi="宋体" w:cs="宋体"/>
          <w:b/>
          <w:bCs/>
          <w:color w:val="000000"/>
          <w:kern w:val="0"/>
          <w:sz w:val="28"/>
          <w:szCs w:val="28"/>
          <w:lang w:bidi="ar"/>
        </w:rPr>
        <w:t>二、评审程序</w:t>
      </w:r>
      <w:bookmarkEnd w:id="250"/>
      <w:r>
        <w:rPr>
          <w:rFonts w:hint="eastAsia" w:ascii="宋体" w:hAnsi="宋体" w:cs="宋体"/>
          <w:b/>
          <w:bCs/>
          <w:color w:val="000000"/>
          <w:kern w:val="0"/>
          <w:sz w:val="28"/>
          <w:szCs w:val="28"/>
          <w:lang w:bidi="ar"/>
        </w:rPr>
        <w:t xml:space="preserve"> </w:t>
      </w:r>
    </w:p>
    <w:p w14:paraId="6D052C12">
      <w:pPr>
        <w:widowControl/>
        <w:spacing w:line="360" w:lineRule="auto"/>
        <w:jc w:val="left"/>
        <w:outlineLvl w:val="9"/>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1、初步评审</w:t>
      </w:r>
    </w:p>
    <w:p w14:paraId="7D993B80">
      <w:pPr>
        <w:widowControl/>
        <w:jc w:val="left"/>
        <w:outlineLvl w:val="9"/>
        <w:rPr>
          <w:rFonts w:hint="eastAsia" w:ascii="????" w:hAnsi="????" w:eastAsia="????" w:cs="????"/>
          <w:b/>
          <w:bCs/>
          <w:color w:val="000000"/>
          <w:kern w:val="0"/>
          <w:sz w:val="28"/>
          <w:szCs w:val="28"/>
          <w:lang w:bidi="ar"/>
        </w:rPr>
      </w:pPr>
      <w:r>
        <w:rPr>
          <w:rFonts w:hint="eastAsia" w:ascii="宋体" w:hAnsi="宋体" w:cs="宋体"/>
          <w:b/>
          <w:bCs/>
          <w:color w:val="000000"/>
          <w:kern w:val="0"/>
          <w:sz w:val="28"/>
          <w:szCs w:val="28"/>
          <w:lang w:bidi="ar"/>
        </w:rPr>
        <w:t>1）</w:t>
      </w:r>
      <w:r>
        <w:rPr>
          <w:rFonts w:hint="eastAsia" w:ascii="????" w:hAnsi="????" w:eastAsia="????" w:cs="????"/>
          <w:b/>
          <w:bCs/>
          <w:color w:val="000000"/>
          <w:kern w:val="0"/>
          <w:sz w:val="28"/>
          <w:szCs w:val="28"/>
          <w:lang w:bidi="ar"/>
        </w:rPr>
        <w:t>资格性审查</w:t>
      </w:r>
    </w:p>
    <w:tbl>
      <w:tblPr>
        <w:tblStyle w:val="26"/>
        <w:tblW w:w="9797" w:type="dxa"/>
        <w:jc w:val="center"/>
        <w:tblLayout w:type="fixed"/>
        <w:tblCellMar>
          <w:top w:w="0" w:type="dxa"/>
          <w:left w:w="108" w:type="dxa"/>
          <w:bottom w:w="0" w:type="dxa"/>
          <w:right w:w="108" w:type="dxa"/>
        </w:tblCellMar>
      </w:tblPr>
      <w:tblGrid>
        <w:gridCol w:w="705"/>
        <w:gridCol w:w="2498"/>
        <w:gridCol w:w="6594"/>
      </w:tblGrid>
      <w:tr w14:paraId="14DAD793">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DF42363">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138A5733">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0258915D">
            <w:pPr>
              <w:widowControl/>
              <w:jc w:val="center"/>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评审标准</w:t>
            </w:r>
          </w:p>
        </w:tc>
      </w:tr>
      <w:tr w14:paraId="50977EB9">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E1730B8">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35C95BC5">
            <w:pPr>
              <w:spacing w:line="420" w:lineRule="exact"/>
              <w:jc w:val="center"/>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有效的主体资格</w:t>
            </w:r>
          </w:p>
          <w:p w14:paraId="464637DB">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rPr>
              <w:t>证明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A5BABB1">
            <w:pPr>
              <w:pStyle w:val="11"/>
              <w:spacing w:line="360" w:lineRule="auto"/>
              <w:outlineLvl w:val="9"/>
              <w:rPr>
                <w:rFonts w:hint="eastAsia" w:ascii="宋体" w:hAnsi="宋体" w:eastAsia="宋体" w:cs="宋体"/>
                <w:color w:val="auto"/>
                <w:sz w:val="24"/>
                <w:szCs w:val="24"/>
                <w:lang w:eastAsia="zh-CN"/>
              </w:rPr>
            </w:pPr>
            <w:r>
              <w:rPr>
                <w:rFonts w:hint="eastAsia" w:asciiTheme="majorEastAsia" w:hAnsiTheme="majorEastAsia" w:eastAsiaTheme="majorEastAsia" w:cstheme="majorEastAsia"/>
                <w:i w:val="0"/>
                <w:iCs w:val="0"/>
                <w:caps w:val="0"/>
                <w:color w:val="333333"/>
                <w:spacing w:val="0"/>
                <w:sz w:val="24"/>
                <w:szCs w:val="24"/>
                <w:shd w:val="clear" w:fill="FFFFFF"/>
              </w:rPr>
              <w:t>投标人为具有独立承担民事责任能力的法人、事业法人、其他组织或自然人。企业法人应提供合法有效的标识有统一社会信用代码的营业执照；事业法人应提供事业单位法人证书；其他组织应提供合法登记证明文件；</w:t>
            </w:r>
          </w:p>
        </w:tc>
      </w:tr>
      <w:tr w14:paraId="2F7746D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FEDE73C">
            <w:pPr>
              <w:spacing w:line="42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2D0D2A1D">
            <w:pPr>
              <w:spacing w:line="420" w:lineRule="exact"/>
              <w:jc w:val="center"/>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cs="宋体"/>
                <w:color w:val="auto"/>
                <w:sz w:val="24"/>
                <w:szCs w:val="24"/>
                <w:lang w:val="en-US" w:eastAsia="zh-CN"/>
              </w:rPr>
              <w:t>资质</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2F582F91">
            <w:pPr>
              <w:widowControl/>
              <w:tabs>
                <w:tab w:val="left" w:pos="1620"/>
              </w:tabs>
              <w:adjustRightInd w:val="0"/>
              <w:snapToGrid w:val="0"/>
              <w:spacing w:line="360" w:lineRule="auto"/>
              <w:jc w:val="left"/>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color w:val="auto"/>
                <w:kern w:val="2"/>
                <w:sz w:val="24"/>
                <w:szCs w:val="24"/>
                <w:shd w:val="clear" w:color="auto" w:fill="auto"/>
                <w:lang w:val="en-US" w:eastAsia="zh-CN" w:bidi="ar-SA"/>
              </w:rPr>
              <w:t>具备建设行政主管部门核发的</w:t>
            </w:r>
            <w:r>
              <w:rPr>
                <w:rFonts w:hint="eastAsia" w:ascii="宋体" w:hAnsi="宋体" w:cs="宋体"/>
                <w:color w:val="auto"/>
                <w:kern w:val="2"/>
                <w:sz w:val="24"/>
                <w:szCs w:val="24"/>
                <w:shd w:val="clear" w:color="auto" w:fill="auto"/>
                <w:lang w:val="en-US" w:eastAsia="zh-CN" w:bidi="ar-SA"/>
              </w:rPr>
              <w:t>市政公用工程施工总承包三级及以上资质</w:t>
            </w:r>
            <w:r>
              <w:rPr>
                <w:rFonts w:hint="eastAsia" w:ascii="宋体" w:hAnsi="宋体" w:eastAsia="宋体" w:cs="宋体"/>
                <w:color w:val="auto"/>
                <w:kern w:val="2"/>
                <w:sz w:val="24"/>
                <w:szCs w:val="24"/>
                <w:shd w:val="clear" w:color="auto" w:fill="auto"/>
                <w:lang w:val="en-US" w:eastAsia="zh-CN" w:bidi="ar-SA"/>
              </w:rPr>
              <w:t>，具备有效的安全生产许可证；</w:t>
            </w:r>
          </w:p>
        </w:tc>
      </w:tr>
      <w:tr w14:paraId="56B305E2">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114D721">
            <w:pPr>
              <w:spacing w:line="42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6AB96BB0">
            <w:pPr>
              <w:spacing w:line="420" w:lineRule="exact"/>
              <w:jc w:val="center"/>
              <w:outlineLvl w:val="9"/>
              <w:rPr>
                <w:rFonts w:hint="eastAsia" w:ascii="宋体" w:hAnsi="宋体" w:eastAsia="宋体" w:cs="宋体"/>
                <w:color w:val="auto"/>
                <w:kern w:val="0"/>
                <w:sz w:val="24"/>
                <w:szCs w:val="24"/>
              </w:rPr>
            </w:pPr>
            <w:r>
              <w:rPr>
                <w:rFonts w:hint="eastAsia" w:ascii="宋体" w:hAnsi="宋体" w:eastAsia="宋体" w:cs="宋体"/>
                <w:color w:val="auto"/>
                <w:sz w:val="24"/>
                <w:lang w:val="en-US" w:eastAsia="zh-CN"/>
              </w:rPr>
              <w:t>项目经理</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43B43268">
            <w:pPr>
              <w:widowControl/>
              <w:tabs>
                <w:tab w:val="left" w:pos="1620"/>
              </w:tabs>
              <w:adjustRightInd w:val="0"/>
              <w:snapToGrid w:val="0"/>
              <w:spacing w:line="360" w:lineRule="auto"/>
              <w:jc w:val="left"/>
              <w:outlineLvl w:val="9"/>
              <w:rPr>
                <w:rFonts w:hint="eastAsia" w:ascii="宋体" w:hAnsi="宋体" w:cs="宋体"/>
                <w:color w:val="auto"/>
                <w:kern w:val="0"/>
                <w:sz w:val="24"/>
                <w:szCs w:val="24"/>
              </w:rPr>
            </w:pPr>
            <w:r>
              <w:rPr>
                <w:rFonts w:hint="eastAsia" w:ascii="宋体" w:hAnsi="宋体" w:cs="宋体"/>
                <w:color w:val="auto"/>
                <w:kern w:val="0"/>
                <w:sz w:val="24"/>
                <w:szCs w:val="24"/>
              </w:rPr>
              <w:t>拟派往本项目的建造师必须为本企业注册的建造师，具备</w:t>
            </w:r>
            <w:r>
              <w:rPr>
                <w:rFonts w:hint="eastAsia" w:ascii="宋体" w:hAnsi="宋体" w:cs="宋体"/>
                <w:color w:val="auto"/>
                <w:kern w:val="0"/>
                <w:sz w:val="24"/>
                <w:szCs w:val="24"/>
                <w:lang w:eastAsia="zh-CN"/>
              </w:rPr>
              <w:t>市政公用工程专业二级</w:t>
            </w:r>
            <w:r>
              <w:rPr>
                <w:rFonts w:hint="eastAsia" w:ascii="宋体" w:hAnsi="宋体" w:cs="宋体"/>
                <w:color w:val="auto"/>
                <w:kern w:val="0"/>
                <w:sz w:val="24"/>
                <w:szCs w:val="24"/>
              </w:rPr>
              <w:t>及以上注册建造师执业资格和有效的安全生产考核合格证书(B证)，并提供开标前六个月至今本企业为其缴纳的至少1个月的社会保险缴纳证明材料（五险一金提供一项即可），且未担任其它在建工程的建造师（提供无在建工程声明）；</w:t>
            </w:r>
          </w:p>
        </w:tc>
      </w:tr>
      <w:tr w14:paraId="6236EA5A">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99D135">
            <w:pPr>
              <w:spacing w:line="42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3CA2C97D">
            <w:pPr>
              <w:spacing w:line="420" w:lineRule="exact"/>
              <w:jc w:val="center"/>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sz w:val="24"/>
                <w:szCs w:val="24"/>
              </w:rPr>
              <w:t>税收缴纳证明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29544CA8">
            <w:pPr>
              <w:widowControl/>
              <w:tabs>
                <w:tab w:val="left" w:pos="1620"/>
              </w:tabs>
              <w:adjustRightInd w:val="0"/>
              <w:snapToGrid w:val="0"/>
              <w:spacing w:line="360" w:lineRule="auto"/>
              <w:jc w:val="left"/>
              <w:outlineLvl w:val="9"/>
              <w:rPr>
                <w:rFonts w:hint="eastAsia" w:ascii="宋体" w:hAnsi="宋体" w:eastAsia="宋体" w:cs="宋体"/>
                <w:color w:val="auto"/>
                <w:kern w:val="2"/>
                <w:sz w:val="24"/>
                <w:szCs w:val="24"/>
                <w:shd w:val="clear" w:color="auto" w:fill="auto"/>
                <w:lang w:val="en-US" w:eastAsia="zh-CN" w:bidi="ar-SA"/>
              </w:rPr>
            </w:pPr>
            <w:r>
              <w:rPr>
                <w:rFonts w:hint="eastAsia" w:asciiTheme="majorEastAsia" w:hAnsiTheme="majorEastAsia" w:eastAsiaTheme="majorEastAsia" w:cstheme="majorEastAsia"/>
                <w:i w:val="0"/>
                <w:iCs w:val="0"/>
                <w:caps w:val="0"/>
                <w:color w:val="333333"/>
                <w:spacing w:val="0"/>
                <w:sz w:val="24"/>
                <w:szCs w:val="24"/>
                <w:shd w:val="clear" w:fill="FFFFFF"/>
              </w:rPr>
              <w:t>提供</w:t>
            </w:r>
            <w:r>
              <w:rPr>
                <w:rFonts w:hint="eastAsia" w:asciiTheme="majorEastAsia" w:hAnsiTheme="majorEastAsia" w:eastAsiaTheme="majorEastAsia" w:cstheme="majorEastAsia"/>
                <w:i w:val="0"/>
                <w:iCs w:val="0"/>
                <w:caps w:val="0"/>
                <w:color w:val="333333"/>
                <w:spacing w:val="0"/>
                <w:sz w:val="24"/>
                <w:szCs w:val="24"/>
                <w:shd w:val="clear" w:fill="FFFFFF"/>
                <w:lang w:val="en-US" w:eastAsia="zh-CN"/>
              </w:rPr>
              <w:t>开标前六个月</w:t>
            </w:r>
            <w:r>
              <w:rPr>
                <w:rFonts w:hint="eastAsia" w:asciiTheme="majorEastAsia" w:hAnsiTheme="majorEastAsia" w:eastAsiaTheme="majorEastAsia" w:cstheme="majorEastAsia"/>
                <w:i w:val="0"/>
                <w:iCs w:val="0"/>
                <w:caps w:val="0"/>
                <w:color w:val="333333"/>
                <w:spacing w:val="0"/>
                <w:sz w:val="24"/>
                <w:szCs w:val="24"/>
                <w:shd w:val="clear" w:fill="FFFFFF"/>
              </w:rPr>
              <w:t>至今至少1个月的纳税证明（银行缴费凭证）或完税证明，依法免税的单位应提供相关证明材料； </w:t>
            </w:r>
            <w:r>
              <w:rPr>
                <w:rFonts w:hint="eastAsia" w:ascii="宋体" w:hAnsi="宋体" w:eastAsia="宋体" w:cs="宋体"/>
                <w:sz w:val="24"/>
                <w:szCs w:val="24"/>
              </w:rPr>
              <w:t> </w:t>
            </w:r>
          </w:p>
        </w:tc>
      </w:tr>
      <w:tr w14:paraId="30CE5B76">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123F879">
            <w:pPr>
              <w:spacing w:line="40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2E33D7D">
            <w:pPr>
              <w:spacing w:line="400" w:lineRule="exact"/>
              <w:jc w:val="center"/>
              <w:outlineLvl w:val="9"/>
              <w:rPr>
                <w:rFonts w:hint="eastAsia" w:ascii="宋体" w:hAnsi="宋体" w:eastAsia="宋体" w:cs="宋体"/>
                <w:color w:val="auto"/>
                <w:sz w:val="24"/>
                <w:szCs w:val="24"/>
              </w:rPr>
            </w:pPr>
            <w:r>
              <w:rPr>
                <w:rFonts w:hint="eastAsia" w:ascii="宋体" w:hAnsi="宋体" w:eastAsia="宋体" w:cs="宋体"/>
                <w:sz w:val="24"/>
                <w:szCs w:val="24"/>
              </w:rPr>
              <w:t>社会保障资金缴纳证明</w:t>
            </w:r>
          </w:p>
        </w:tc>
        <w:tc>
          <w:tcPr>
            <w:tcW w:w="6594" w:type="dxa"/>
            <w:tcBorders>
              <w:top w:val="single" w:color="auto" w:sz="4" w:space="0"/>
              <w:left w:val="single" w:color="auto" w:sz="4" w:space="0"/>
              <w:bottom w:val="single" w:color="auto" w:sz="4" w:space="0"/>
              <w:right w:val="single" w:color="auto" w:sz="4" w:space="0"/>
            </w:tcBorders>
            <w:noWrap w:val="0"/>
            <w:vAlign w:val="top"/>
          </w:tcPr>
          <w:p w14:paraId="17651607">
            <w:pPr>
              <w:spacing w:line="400" w:lineRule="exact"/>
              <w:jc w:val="left"/>
              <w:outlineLvl w:val="9"/>
              <w:rPr>
                <w:rFonts w:hint="eastAsia" w:ascii="宋体" w:hAnsi="宋体" w:eastAsia="宋体" w:cs="宋体"/>
                <w:snapToGrid w:val="0"/>
                <w:color w:val="auto"/>
                <w:kern w:val="0"/>
                <w:sz w:val="24"/>
                <w:szCs w:val="24"/>
                <w:lang w:eastAsia="zh-CN"/>
              </w:rPr>
            </w:pPr>
            <w:r>
              <w:rPr>
                <w:rFonts w:hint="eastAsia" w:asciiTheme="majorEastAsia" w:hAnsiTheme="majorEastAsia" w:eastAsiaTheme="majorEastAsia" w:cstheme="majorEastAsia"/>
                <w:i w:val="0"/>
                <w:iCs w:val="0"/>
                <w:caps w:val="0"/>
                <w:color w:val="333333"/>
                <w:spacing w:val="0"/>
                <w:sz w:val="24"/>
                <w:szCs w:val="24"/>
                <w:shd w:val="clear" w:fill="FFFFFF"/>
              </w:rPr>
              <w:t>提供</w:t>
            </w:r>
            <w:r>
              <w:rPr>
                <w:rFonts w:hint="eastAsia" w:asciiTheme="majorEastAsia" w:hAnsiTheme="majorEastAsia" w:eastAsiaTheme="majorEastAsia" w:cstheme="majorEastAsia"/>
                <w:i w:val="0"/>
                <w:iCs w:val="0"/>
                <w:caps w:val="0"/>
                <w:color w:val="333333"/>
                <w:spacing w:val="0"/>
                <w:sz w:val="24"/>
                <w:szCs w:val="24"/>
                <w:shd w:val="clear" w:fill="FFFFFF"/>
                <w:lang w:val="en-US" w:eastAsia="zh-CN"/>
              </w:rPr>
              <w:t>开标前六个月</w:t>
            </w:r>
            <w:r>
              <w:rPr>
                <w:rFonts w:hint="eastAsia" w:asciiTheme="majorEastAsia" w:hAnsiTheme="majorEastAsia" w:eastAsiaTheme="majorEastAsia" w:cstheme="majorEastAsia"/>
                <w:i w:val="0"/>
                <w:iCs w:val="0"/>
                <w:caps w:val="0"/>
                <w:color w:val="333333"/>
                <w:spacing w:val="0"/>
                <w:sz w:val="24"/>
                <w:szCs w:val="24"/>
                <w:shd w:val="clear" w:fill="FFFFFF"/>
              </w:rPr>
              <w:t>至今至少1个月的社会保障资金银行缴费单据或社保机构开具的社会保险参保缴费情况证明，依法不需要缴纳社会保障资金的单位应提供相关证明材料； </w:t>
            </w:r>
            <w:r>
              <w:rPr>
                <w:rFonts w:hint="eastAsia" w:ascii="宋体" w:hAnsi="宋体" w:eastAsia="宋体" w:cs="宋体"/>
                <w:sz w:val="24"/>
                <w:szCs w:val="24"/>
              </w:rPr>
              <w:t> </w:t>
            </w:r>
          </w:p>
        </w:tc>
      </w:tr>
      <w:tr w14:paraId="5A7B135D">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DDEC341">
            <w:pPr>
              <w:spacing w:line="40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53A2D1E">
            <w:pPr>
              <w:spacing w:line="400" w:lineRule="exact"/>
              <w:jc w:val="center"/>
              <w:outlineLvl w:val="9"/>
              <w:rPr>
                <w:rFonts w:hint="eastAsia" w:ascii="宋体" w:hAnsi="宋体" w:eastAsia="宋体" w:cs="宋体"/>
                <w:color w:val="auto"/>
                <w:sz w:val="24"/>
                <w:szCs w:val="24"/>
              </w:rPr>
            </w:pPr>
            <w:r>
              <w:rPr>
                <w:rFonts w:hint="eastAsia" w:ascii="宋体" w:hAnsi="宋体" w:eastAsia="宋体" w:cs="宋体"/>
                <w:sz w:val="24"/>
                <w:szCs w:val="24"/>
              </w:rPr>
              <w:t>财务要求</w:t>
            </w:r>
          </w:p>
        </w:tc>
        <w:tc>
          <w:tcPr>
            <w:tcW w:w="6594" w:type="dxa"/>
            <w:tcBorders>
              <w:top w:val="single" w:color="auto" w:sz="4" w:space="0"/>
              <w:left w:val="single" w:color="auto" w:sz="4" w:space="0"/>
              <w:bottom w:val="single" w:color="auto" w:sz="4" w:space="0"/>
              <w:right w:val="single" w:color="auto" w:sz="4" w:space="0"/>
            </w:tcBorders>
            <w:noWrap w:val="0"/>
            <w:vAlign w:val="top"/>
          </w:tcPr>
          <w:p w14:paraId="31DB93F6">
            <w:pPr>
              <w:spacing w:line="400" w:lineRule="exact"/>
              <w:jc w:val="left"/>
              <w:outlineLvl w:val="9"/>
              <w:rPr>
                <w:rFonts w:hint="eastAsia" w:ascii="宋体" w:hAnsi="宋体" w:cs="宋体"/>
                <w:color w:val="auto"/>
                <w:sz w:val="24"/>
                <w:szCs w:val="24"/>
                <w:shd w:val="clear" w:color="auto" w:fill="auto"/>
                <w:lang w:eastAsia="zh-CN"/>
              </w:rPr>
            </w:pPr>
            <w:r>
              <w:rPr>
                <w:rFonts w:hint="eastAsia" w:asciiTheme="majorEastAsia" w:hAnsiTheme="majorEastAsia" w:eastAsiaTheme="majorEastAsia" w:cstheme="majorEastAsia"/>
                <w:i w:val="0"/>
                <w:iCs w:val="0"/>
                <w:caps w:val="0"/>
                <w:color w:val="333333"/>
                <w:spacing w:val="0"/>
                <w:sz w:val="24"/>
                <w:szCs w:val="24"/>
                <w:shd w:val="clear" w:fill="FFFFFF"/>
              </w:rPr>
              <w:t>提供</w:t>
            </w:r>
            <w:r>
              <w:rPr>
                <w:rFonts w:hint="eastAsia" w:asciiTheme="majorEastAsia" w:hAnsiTheme="majorEastAsia" w:eastAsiaTheme="majorEastAsia" w:cstheme="majorEastAsia"/>
                <w:i w:val="0"/>
                <w:iCs w:val="0"/>
                <w:caps w:val="0"/>
                <w:color w:val="333333"/>
                <w:spacing w:val="0"/>
                <w:sz w:val="24"/>
                <w:szCs w:val="24"/>
                <w:shd w:val="clear" w:fill="FFFFFF"/>
                <w:lang w:eastAsia="zh-CN"/>
              </w:rPr>
              <w:t>2024年度</w:t>
            </w:r>
            <w:r>
              <w:rPr>
                <w:rFonts w:hint="eastAsia" w:asciiTheme="majorEastAsia" w:hAnsiTheme="majorEastAsia" w:eastAsiaTheme="majorEastAsia" w:cstheme="majorEastAsia"/>
                <w:i w:val="0"/>
                <w:iCs w:val="0"/>
                <w:caps w:val="0"/>
                <w:color w:val="333333"/>
                <w:spacing w:val="0"/>
                <w:sz w:val="24"/>
                <w:szCs w:val="24"/>
                <w:shd w:val="clear" w:fill="FFFFFF"/>
              </w:rPr>
              <w:t>财务审计报告；公司成立至开标日期不足一年的提供自成立以来的财务报表（至少包含资产负债表、利润表、现金流量表）或公司基本账户开户行出具自成立以来的资信证明及基本账户开户证明；</w:t>
            </w:r>
          </w:p>
        </w:tc>
      </w:tr>
      <w:tr w14:paraId="0934007F">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AA7C1CD">
            <w:pPr>
              <w:spacing w:line="420" w:lineRule="exact"/>
              <w:jc w:val="center"/>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7</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6A3CAD0C">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sz w:val="24"/>
                <w:szCs w:val="24"/>
                <w:lang w:val="en-US" w:eastAsia="zh-CN"/>
              </w:rPr>
              <w:t>无</w:t>
            </w:r>
            <w:r>
              <w:rPr>
                <w:rFonts w:hint="eastAsia" w:ascii="宋体" w:hAnsi="宋体" w:eastAsia="宋体" w:cs="宋体"/>
                <w:sz w:val="24"/>
                <w:szCs w:val="24"/>
              </w:rPr>
              <w:t>重大违法记录的书面声明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82C2CE9">
            <w:pPr>
              <w:spacing w:line="360" w:lineRule="auto"/>
              <w:jc w:val="left"/>
              <w:outlineLvl w:val="9"/>
              <w:rPr>
                <w:rFonts w:hint="eastAsia" w:ascii="宋体" w:hAnsi="宋体" w:eastAsia="宋体" w:cs="宋体"/>
                <w:color w:val="auto"/>
                <w:sz w:val="24"/>
                <w:szCs w:val="24"/>
                <w:lang w:eastAsia="zh-CN"/>
              </w:rPr>
            </w:pPr>
            <w:r>
              <w:rPr>
                <w:rFonts w:hint="eastAsia" w:asciiTheme="majorEastAsia" w:hAnsiTheme="majorEastAsia" w:eastAsiaTheme="majorEastAsia" w:cstheme="majorEastAsia"/>
                <w:i w:val="0"/>
                <w:iCs w:val="0"/>
                <w:caps w:val="0"/>
                <w:color w:val="333333"/>
                <w:spacing w:val="0"/>
                <w:sz w:val="24"/>
                <w:szCs w:val="24"/>
                <w:shd w:val="clear" w:fill="FFFFFF"/>
              </w:rPr>
              <w:t>参加政府采购活动前三年内，在经营活动中没有重大违法记录的书面声明；</w:t>
            </w:r>
          </w:p>
        </w:tc>
      </w:tr>
      <w:tr w14:paraId="5AE69E06">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9F300F9">
            <w:pPr>
              <w:spacing w:line="420" w:lineRule="exact"/>
              <w:jc w:val="center"/>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8</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46723B0">
            <w:pPr>
              <w:spacing w:line="420" w:lineRule="exact"/>
              <w:jc w:val="center"/>
              <w:outlineLvl w:val="9"/>
              <w:rPr>
                <w:rFonts w:hint="eastAsia" w:ascii="宋体" w:hAnsi="宋体" w:eastAsia="宋体" w:cs="宋体"/>
                <w:sz w:val="24"/>
                <w:szCs w:val="24"/>
                <w:lang w:val="en-US" w:eastAsia="zh-CN"/>
              </w:rPr>
            </w:pPr>
            <w:r>
              <w:rPr>
                <w:rFonts w:hint="eastAsia" w:ascii="宋体" w:hAnsi="宋体" w:eastAsia="宋体" w:cs="宋体"/>
                <w:sz w:val="24"/>
                <w:szCs w:val="24"/>
              </w:rPr>
              <w:t>设备和专业技术能力</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172D5248">
            <w:pPr>
              <w:spacing w:line="360" w:lineRule="auto"/>
              <w:jc w:val="left"/>
              <w:outlineLvl w:val="9"/>
              <w:rPr>
                <w:rFonts w:hint="eastAsia" w:ascii="宋体" w:hAnsi="宋体" w:eastAsia="宋体" w:cs="宋体"/>
                <w:sz w:val="24"/>
                <w:szCs w:val="24"/>
              </w:rPr>
            </w:pPr>
            <w:r>
              <w:rPr>
                <w:rFonts w:hint="eastAsia" w:asciiTheme="majorEastAsia" w:hAnsiTheme="majorEastAsia" w:eastAsiaTheme="majorEastAsia" w:cstheme="majorEastAsia"/>
                <w:i w:val="0"/>
                <w:iCs w:val="0"/>
                <w:caps w:val="0"/>
                <w:color w:val="333333"/>
                <w:spacing w:val="0"/>
                <w:sz w:val="24"/>
                <w:szCs w:val="24"/>
                <w:shd w:val="clear" w:fill="FFFFFF"/>
              </w:rPr>
              <w:t>提供具有履行合同所必需的设备和专业技术能力的证明资料或承诺书；</w:t>
            </w:r>
          </w:p>
        </w:tc>
      </w:tr>
      <w:tr w14:paraId="152B98A7">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8AD7E89">
            <w:pPr>
              <w:spacing w:line="40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4EF195C2">
            <w:pPr>
              <w:spacing w:line="420" w:lineRule="exact"/>
              <w:jc w:val="center"/>
              <w:outlineLvl w:val="9"/>
              <w:rPr>
                <w:rFonts w:hint="default" w:ascii="宋体" w:hAnsi="宋体" w:eastAsia="宋体" w:cs="宋体"/>
                <w:color w:val="auto"/>
                <w:sz w:val="24"/>
                <w:szCs w:val="24"/>
                <w:lang w:val="en-US" w:eastAsia="zh-CN"/>
              </w:rPr>
            </w:pPr>
            <w:r>
              <w:rPr>
                <w:rFonts w:hint="eastAsia" w:ascii="宋体" w:hAnsi="宋体" w:cs="宋体"/>
                <w:sz w:val="24"/>
                <w:szCs w:val="24"/>
                <w:lang w:val="en-US" w:eastAsia="zh-CN"/>
              </w:rPr>
              <w:t>信誉</w:t>
            </w:r>
            <w:r>
              <w:rPr>
                <w:rFonts w:hint="eastAsia" w:ascii="宋体" w:hAnsi="宋体" w:eastAsia="宋体" w:cs="宋体"/>
                <w:sz w:val="24"/>
                <w:szCs w:val="24"/>
                <w:lang w:val="en-US" w:eastAsia="zh-CN"/>
              </w:rPr>
              <w:t>截图</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4DB6D48">
            <w:pPr>
              <w:pStyle w:val="35"/>
              <w:spacing w:line="360" w:lineRule="auto"/>
              <w:ind w:firstLine="0"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不得列入国家企业信用信息公示系统中严重违法失信企业名单；不得列入中国执行信息公开网失信被执行人名单；须提供相应查询结果的网站截图（查询日期为从招标文件获取之日起至投标截止日前但最终以投标截止日当天评审小组查询结果为准）；资质基本信息应在陕西建设网，陕西省建筑市场监管与诚信信息平台，企业库中可查询。</w:t>
            </w:r>
          </w:p>
        </w:tc>
      </w:tr>
      <w:tr w14:paraId="67C4734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6E8AD87">
            <w:pPr>
              <w:spacing w:line="42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7FB123BA">
            <w:pPr>
              <w:spacing w:line="400" w:lineRule="exact"/>
              <w:jc w:val="center"/>
              <w:outlineLvl w:val="9"/>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自主上报信用承诺书</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65D2077E">
            <w:pPr>
              <w:keepNext w:val="0"/>
              <w:keepLines w:val="0"/>
              <w:pageBreakBefore w:val="0"/>
              <w:widowControl w:val="0"/>
              <w:kinsoku/>
              <w:wordWrap/>
              <w:overflowPunct w:val="0"/>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rPr>
            </w:pPr>
            <w:r>
              <w:rPr>
                <w:rFonts w:hint="eastAsia" w:asciiTheme="majorEastAsia" w:hAnsiTheme="majorEastAsia" w:eastAsiaTheme="majorEastAsia" w:cstheme="majorEastAsia"/>
                <w:i w:val="0"/>
                <w:iCs w:val="0"/>
                <w:caps w:val="0"/>
                <w:color w:val="333333"/>
                <w:spacing w:val="0"/>
                <w:sz w:val="24"/>
                <w:szCs w:val="24"/>
                <w:shd w:val="clear" w:fill="FFFFFF"/>
              </w:rPr>
              <w:t>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p>
        </w:tc>
      </w:tr>
      <w:tr w14:paraId="77E768B0">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E841C78">
            <w:pPr>
              <w:snapToGrid w:val="0"/>
              <w:spacing w:line="276" w:lineRule="auto"/>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11</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86883B6">
            <w:pPr>
              <w:snapToGrid w:val="0"/>
              <w:spacing w:line="276" w:lineRule="auto"/>
              <w:jc w:val="center"/>
              <w:outlineLvl w:val="9"/>
              <w:rPr>
                <w:rFonts w:hint="eastAsia" w:ascii="宋体" w:hAnsi="宋体" w:eastAsia="宋体" w:cs="宋体"/>
                <w:color w:val="auto"/>
                <w:sz w:val="24"/>
                <w:szCs w:val="24"/>
              </w:rPr>
            </w:pPr>
            <w:r>
              <w:rPr>
                <w:rFonts w:hint="eastAsia" w:ascii="宋体" w:hAnsi="宋体" w:cs="宋体"/>
                <w:color w:val="auto"/>
                <w:sz w:val="24"/>
                <w:szCs w:val="24"/>
              </w:rPr>
              <w:t>中小企业声明函</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DB17F6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auto"/>
                <w:sz w:val="24"/>
                <w:szCs w:val="24"/>
              </w:rPr>
            </w:pPr>
            <w:r>
              <w:rPr>
                <w:rFonts w:hint="eastAsia" w:ascii="宋体" w:hAnsi="宋体" w:cs="宋体"/>
                <w:sz w:val="24"/>
                <w:szCs w:val="24"/>
                <w:lang w:eastAsia="zh-CN"/>
              </w:rPr>
              <w:t>本项目专门面向中小企业（提供中小企业声明函）</w:t>
            </w:r>
            <w:r>
              <w:rPr>
                <w:rFonts w:hint="eastAsia" w:ascii="宋体" w:hAnsi="宋体" w:eastAsia="宋体" w:cs="宋体"/>
                <w:sz w:val="24"/>
                <w:szCs w:val="24"/>
              </w:rPr>
              <w:t>；</w:t>
            </w:r>
          </w:p>
        </w:tc>
      </w:tr>
      <w:tr w14:paraId="4AC9FE0E">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9D0DD04">
            <w:pPr>
              <w:snapToGrid w:val="0"/>
              <w:spacing w:line="276" w:lineRule="auto"/>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7318EC7D">
            <w:pPr>
              <w:snapToGrid w:val="0"/>
              <w:spacing w:line="276"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非联合体投标声明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465D4745">
            <w:pPr>
              <w:pStyle w:val="11"/>
              <w:tabs>
                <w:tab w:val="left" w:pos="6060"/>
              </w:tabs>
              <w:adjustRightInd w:val="0"/>
              <w:snapToGrid w:val="0"/>
              <w:spacing w:line="360" w:lineRule="auto"/>
              <w:outlineLvl w:val="9"/>
              <w:rPr>
                <w:rFonts w:hint="eastAsia" w:ascii="宋体" w:hAnsi="宋体" w:eastAsia="宋体" w:cs="宋体"/>
                <w:bCs/>
                <w:color w:val="auto"/>
                <w:sz w:val="24"/>
                <w:szCs w:val="24"/>
              </w:rPr>
            </w:pPr>
            <w:r>
              <w:rPr>
                <w:rFonts w:hint="eastAsia" w:ascii="宋体" w:hAnsi="宋体" w:eastAsia="宋体" w:cs="宋体"/>
                <w:sz w:val="24"/>
                <w:szCs w:val="24"/>
              </w:rPr>
              <w:t>本项目不接受联合体投标，单位负责人为同一人或者存在直接控股、管理关系的不同投标人，不得参加同一合同项下的政府采购活动</w:t>
            </w:r>
            <w:r>
              <w:rPr>
                <w:rFonts w:hint="eastAsia" w:ascii="宋体" w:hAnsi="宋体" w:cs="宋体"/>
                <w:sz w:val="24"/>
                <w:szCs w:val="24"/>
                <w:lang w:eastAsia="zh-CN"/>
              </w:rPr>
              <w:t>（</w:t>
            </w:r>
            <w:r>
              <w:rPr>
                <w:rFonts w:hint="eastAsia" w:ascii="宋体" w:hAnsi="宋体" w:cs="宋体"/>
                <w:color w:val="000000" w:themeColor="text1"/>
                <w:sz w:val="24"/>
                <w:szCs w:val="24"/>
                <w:shd w:val="clear" w:color="auto" w:fill="auto"/>
                <w:lang w:val="en-US" w:eastAsia="zh-CN"/>
                <w14:textFill>
                  <w14:solidFill>
                    <w14:schemeClr w14:val="tx1"/>
                  </w14:solidFill>
                </w14:textFill>
              </w:rPr>
              <w:t>提供非联合体投标声明）</w:t>
            </w:r>
            <w:r>
              <w:rPr>
                <w:rFonts w:hint="eastAsia" w:ascii="宋体" w:hAnsi="宋体" w:eastAsia="宋体" w:cs="宋体"/>
                <w:sz w:val="24"/>
                <w:szCs w:val="24"/>
              </w:rPr>
              <w:t>。</w:t>
            </w:r>
          </w:p>
        </w:tc>
      </w:tr>
    </w:tbl>
    <w:p w14:paraId="4A1435E0">
      <w:pPr>
        <w:widowControl/>
        <w:jc w:val="left"/>
        <w:outlineLvl w:val="9"/>
        <w:rPr>
          <w:sz w:val="28"/>
          <w:szCs w:val="28"/>
        </w:rPr>
      </w:pPr>
      <w:r>
        <w:rPr>
          <w:rFonts w:hint="eastAsia" w:ascii="宋体" w:hAnsi="宋体" w:cs="宋体"/>
          <w:b/>
          <w:bCs/>
          <w:color w:val="000000"/>
          <w:kern w:val="0"/>
          <w:sz w:val="28"/>
          <w:szCs w:val="28"/>
          <w:lang w:bidi="ar"/>
        </w:rPr>
        <w:t>2）投标文件有效性、完整性检查（符合性审查）</w:t>
      </w:r>
    </w:p>
    <w:p w14:paraId="73487AC9">
      <w:pPr>
        <w:adjustRightInd w:val="0"/>
        <w:snapToGrid w:val="0"/>
        <w:spacing w:line="240" w:lineRule="auto"/>
        <w:jc w:val="left"/>
        <w:outlineLvl w:val="9"/>
        <w:rPr>
          <w:rFonts w:hint="eastAsia" w:ascii="宋体" w:hAnsi="宋体" w:cs="宋体"/>
          <w:sz w:val="24"/>
        </w:rPr>
      </w:pPr>
      <w:r>
        <w:rPr>
          <w:rFonts w:hint="eastAsia" w:ascii="宋体" w:hAnsi="宋体" w:cs="宋体"/>
          <w:sz w:val="24"/>
        </w:rPr>
        <w:t>按照以下内容对投标文件进行符合性审查，一项不合格其投标即为无效投标。</w:t>
      </w:r>
    </w:p>
    <w:tbl>
      <w:tblPr>
        <w:tblStyle w:val="26"/>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7789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189F189F">
            <w:pPr>
              <w:widowControl/>
              <w:jc w:val="center"/>
              <w:outlineLvl w:val="9"/>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序号</w:t>
            </w:r>
          </w:p>
        </w:tc>
        <w:tc>
          <w:tcPr>
            <w:tcW w:w="2123" w:type="dxa"/>
            <w:noWrap w:val="0"/>
            <w:vAlign w:val="center"/>
          </w:tcPr>
          <w:p w14:paraId="142DED9A">
            <w:pPr>
              <w:widowControl/>
              <w:jc w:val="center"/>
              <w:outlineLvl w:val="9"/>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评审因素</w:t>
            </w:r>
          </w:p>
        </w:tc>
        <w:tc>
          <w:tcPr>
            <w:tcW w:w="6593" w:type="dxa"/>
            <w:noWrap w:val="0"/>
            <w:vAlign w:val="center"/>
          </w:tcPr>
          <w:p w14:paraId="19B441B7">
            <w:pPr>
              <w:widowControl/>
              <w:jc w:val="center"/>
              <w:outlineLvl w:val="9"/>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评审标准</w:t>
            </w:r>
          </w:p>
        </w:tc>
      </w:tr>
      <w:tr w14:paraId="6B2D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A811C07">
            <w:pPr>
              <w:pStyle w:val="24"/>
              <w:ind w:firstLine="0"/>
              <w:jc w:val="center"/>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2123" w:type="dxa"/>
            <w:noWrap w:val="0"/>
            <w:vAlign w:val="center"/>
          </w:tcPr>
          <w:p w14:paraId="64431F0E">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kern w:val="2"/>
                <w:sz w:val="24"/>
                <w:szCs w:val="24"/>
                <w:lang w:val="en-US" w:eastAsia="zh-CN" w:bidi="ar-SA"/>
              </w:rPr>
            </w:pPr>
            <w:r>
              <w:rPr>
                <w:rFonts w:hint="eastAsia" w:ascii="宋体" w:hAnsi="宋体" w:eastAsia="宋体" w:cs="宋体"/>
                <w:sz w:val="24"/>
                <w:szCs w:val="24"/>
              </w:rPr>
              <w:t>响应文件项目名称、项目编号</w:t>
            </w:r>
          </w:p>
        </w:tc>
        <w:tc>
          <w:tcPr>
            <w:tcW w:w="6593" w:type="dxa"/>
            <w:noWrap w:val="0"/>
            <w:vAlign w:val="center"/>
          </w:tcPr>
          <w:p w14:paraId="0F0FAE78">
            <w:pPr>
              <w:spacing w:line="360" w:lineRule="auto"/>
              <w:jc w:val="left"/>
              <w:outlineLvl w:val="9"/>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响应</w:t>
            </w:r>
            <w:r>
              <w:rPr>
                <w:rFonts w:hint="eastAsia" w:ascii="宋体" w:hAnsi="宋体" w:cs="宋体"/>
                <w:sz w:val="24"/>
                <w:szCs w:val="24"/>
              </w:rPr>
              <w:t>文件的项目名称、项目编号与本项目完全一致，且无遗漏。</w:t>
            </w:r>
          </w:p>
        </w:tc>
      </w:tr>
      <w:tr w14:paraId="1C3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14:paraId="59661C78">
            <w:pPr>
              <w:pStyle w:val="24"/>
              <w:ind w:firstLine="0"/>
              <w:jc w:val="center"/>
              <w:outlineLvl w:val="9"/>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2123" w:type="dxa"/>
            <w:noWrap w:val="0"/>
            <w:vAlign w:val="center"/>
          </w:tcPr>
          <w:p w14:paraId="42D7E5C0">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sz w:val="24"/>
                <w:szCs w:val="24"/>
              </w:rPr>
            </w:pPr>
            <w:r>
              <w:rPr>
                <w:rFonts w:hint="eastAsia" w:ascii="宋体" w:hAnsi="宋体" w:eastAsia="宋体" w:cs="宋体"/>
                <w:sz w:val="24"/>
                <w:szCs w:val="24"/>
              </w:rPr>
              <w:t>响应文件组成</w:t>
            </w:r>
          </w:p>
        </w:tc>
        <w:tc>
          <w:tcPr>
            <w:tcW w:w="6593" w:type="dxa"/>
            <w:noWrap w:val="0"/>
            <w:vAlign w:val="center"/>
          </w:tcPr>
          <w:p w14:paraId="06340B40">
            <w:pPr>
              <w:keepNext w:val="0"/>
              <w:keepLines w:val="0"/>
              <w:suppressLineNumbers w:val="0"/>
              <w:spacing w:before="0" w:beforeAutospacing="0" w:after="0" w:afterAutospacing="0" w:line="360" w:lineRule="auto"/>
              <w:ind w:left="0" w:leftChars="0" w:right="0" w:rightChars="0"/>
              <w:jc w:val="left"/>
              <w:outlineLvl w:val="9"/>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没有私自篡改磋商文件中规定的磋商响应文件格式及相关内容，按磋商文件中规定的磋商响应文件格式填写相关内容的。</w:t>
            </w:r>
          </w:p>
        </w:tc>
      </w:tr>
      <w:tr w14:paraId="427D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0ED013A">
            <w:pPr>
              <w:pStyle w:val="24"/>
              <w:ind w:firstLine="0"/>
              <w:jc w:val="center"/>
              <w:outlineLvl w:val="9"/>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2123" w:type="dxa"/>
            <w:noWrap w:val="0"/>
            <w:vAlign w:val="center"/>
          </w:tcPr>
          <w:p w14:paraId="2178F6D0">
            <w:pPr>
              <w:widowControl/>
              <w:jc w:val="center"/>
              <w:outlineLvl w:val="9"/>
              <w:rPr>
                <w:rFonts w:hint="eastAsia" w:ascii="宋体" w:hAnsi="宋体" w:eastAsia="宋体" w:cs="宋体"/>
                <w:kern w:val="2"/>
                <w:sz w:val="24"/>
                <w:szCs w:val="24"/>
                <w:lang w:val="en-US" w:eastAsia="zh-CN" w:bidi="ar-SA"/>
              </w:rPr>
            </w:pPr>
            <w:r>
              <w:rPr>
                <w:rFonts w:hint="eastAsia" w:ascii="宋体" w:hAnsi="宋体" w:cs="宋体"/>
                <w:sz w:val="24"/>
                <w:szCs w:val="24"/>
              </w:rPr>
              <w:t>投标函</w:t>
            </w:r>
          </w:p>
        </w:tc>
        <w:tc>
          <w:tcPr>
            <w:tcW w:w="6593" w:type="dxa"/>
            <w:noWrap w:val="0"/>
            <w:vAlign w:val="center"/>
          </w:tcPr>
          <w:p w14:paraId="360082EE">
            <w:pPr>
              <w:adjustRightInd w:val="0"/>
              <w:snapToGrid w:val="0"/>
              <w:outlineLvl w:val="9"/>
              <w:rPr>
                <w:rFonts w:hint="eastAsia" w:ascii="宋体" w:hAnsi="宋体" w:eastAsia="宋体" w:cs="宋体"/>
                <w:kern w:val="2"/>
                <w:sz w:val="24"/>
                <w:szCs w:val="24"/>
                <w:lang w:val="en-US" w:eastAsia="zh-CN" w:bidi="ar-SA"/>
              </w:rPr>
            </w:pPr>
            <w:r>
              <w:rPr>
                <w:rFonts w:hint="eastAsia" w:ascii="宋体" w:hAnsi="宋体" w:cs="宋体"/>
                <w:sz w:val="24"/>
                <w:szCs w:val="24"/>
              </w:rPr>
              <w:t>加盖投标人公章，且经法定代表人或其授权代表签字或盖章。</w:t>
            </w:r>
          </w:p>
        </w:tc>
      </w:tr>
      <w:tr w14:paraId="4462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61FD70CF">
            <w:pPr>
              <w:pStyle w:val="24"/>
              <w:ind w:firstLine="0"/>
              <w:jc w:val="center"/>
              <w:outlineLvl w:val="9"/>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2123" w:type="dxa"/>
            <w:noWrap w:val="0"/>
            <w:vAlign w:val="center"/>
          </w:tcPr>
          <w:p w14:paraId="3C9393FC">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kern w:val="2"/>
                <w:sz w:val="24"/>
                <w:szCs w:val="24"/>
                <w:lang w:val="en-US" w:eastAsia="zh-CN" w:bidi="ar-SA"/>
              </w:rPr>
            </w:pPr>
            <w:r>
              <w:rPr>
                <w:rFonts w:hint="eastAsia" w:ascii="宋体" w:hAnsi="宋体" w:cs="宋体"/>
                <w:sz w:val="24"/>
                <w:szCs w:val="24"/>
              </w:rPr>
              <w:t>法定代表人授权书</w:t>
            </w:r>
          </w:p>
        </w:tc>
        <w:tc>
          <w:tcPr>
            <w:tcW w:w="6593" w:type="dxa"/>
            <w:noWrap w:val="0"/>
            <w:vAlign w:val="center"/>
          </w:tcPr>
          <w:p w14:paraId="71731D55">
            <w:pPr>
              <w:keepNext w:val="0"/>
              <w:keepLines w:val="0"/>
              <w:suppressLineNumbers w:val="0"/>
              <w:spacing w:before="0" w:beforeAutospacing="0" w:after="0" w:afterAutospacing="0"/>
              <w:ind w:left="0" w:leftChars="0" w:right="0" w:rightChars="0"/>
              <w:outlineLvl w:val="9"/>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响应</w:t>
            </w:r>
            <w:r>
              <w:rPr>
                <w:rFonts w:hint="eastAsia" w:ascii="宋体" w:hAnsi="宋体" w:cs="宋体"/>
                <w:sz w:val="24"/>
                <w:szCs w:val="24"/>
              </w:rPr>
              <w:t>文件有法定代表人授权书（法人直接投标除外）且授权书的合法性和有效性符合竞争性</w:t>
            </w:r>
            <w:r>
              <w:rPr>
                <w:rFonts w:hint="eastAsia" w:ascii="宋体" w:hAnsi="宋体" w:cs="宋体"/>
                <w:sz w:val="24"/>
                <w:szCs w:val="24"/>
                <w:lang w:val="en-US" w:eastAsia="zh-CN"/>
              </w:rPr>
              <w:t>磋商</w:t>
            </w:r>
            <w:r>
              <w:rPr>
                <w:rFonts w:hint="eastAsia" w:ascii="宋体" w:hAnsi="宋体" w:cs="宋体"/>
                <w:sz w:val="24"/>
                <w:szCs w:val="24"/>
              </w:rPr>
              <w:t>文件规定的。</w:t>
            </w:r>
          </w:p>
        </w:tc>
      </w:tr>
      <w:tr w14:paraId="4D3D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781CDE0E">
            <w:pPr>
              <w:pStyle w:val="24"/>
              <w:ind w:firstLine="0"/>
              <w:jc w:val="center"/>
              <w:outlineLvl w:val="9"/>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123" w:type="dxa"/>
            <w:noWrap w:val="0"/>
            <w:vAlign w:val="center"/>
          </w:tcPr>
          <w:p w14:paraId="1F6788A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rPr>
            </w:pPr>
            <w:r>
              <w:rPr>
                <w:rFonts w:hint="eastAsia" w:ascii="宋体" w:hAnsi="宋体" w:eastAsia="宋体" w:cs="宋体"/>
                <w:sz w:val="24"/>
                <w:szCs w:val="24"/>
              </w:rPr>
              <w:t>响应文件签署、盖章</w:t>
            </w:r>
          </w:p>
        </w:tc>
        <w:tc>
          <w:tcPr>
            <w:tcW w:w="6593" w:type="dxa"/>
            <w:noWrap w:val="0"/>
            <w:vAlign w:val="center"/>
          </w:tcPr>
          <w:p w14:paraId="12588839">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sz w:val="24"/>
                <w:szCs w:val="24"/>
              </w:rPr>
            </w:pPr>
            <w:r>
              <w:rPr>
                <w:rFonts w:hint="eastAsia" w:ascii="宋体" w:hAnsi="宋体" w:eastAsia="宋体" w:cs="宋体"/>
                <w:sz w:val="24"/>
                <w:szCs w:val="24"/>
              </w:rPr>
              <w:t>签署、盖章符合</w:t>
            </w:r>
            <w:r>
              <w:rPr>
                <w:rFonts w:hint="eastAsia" w:ascii="宋体" w:hAnsi="宋体" w:cs="宋体"/>
                <w:sz w:val="24"/>
                <w:szCs w:val="24"/>
                <w:lang w:val="en-US" w:eastAsia="zh-CN"/>
              </w:rPr>
              <w:t>磋商</w:t>
            </w:r>
            <w:r>
              <w:rPr>
                <w:rFonts w:hint="eastAsia" w:ascii="宋体" w:hAnsi="宋体" w:eastAsia="宋体" w:cs="宋体"/>
                <w:sz w:val="24"/>
                <w:szCs w:val="24"/>
              </w:rPr>
              <w:t>文件要求，且无遗漏</w:t>
            </w:r>
            <w:r>
              <w:rPr>
                <w:rFonts w:hint="eastAsia" w:ascii="宋体" w:hAnsi="宋体" w:eastAsia="宋体" w:cs="宋体"/>
                <w:sz w:val="24"/>
                <w:szCs w:val="24"/>
                <w:lang w:eastAsia="zh-CN"/>
              </w:rPr>
              <w:t>。</w:t>
            </w:r>
          </w:p>
        </w:tc>
      </w:tr>
      <w:tr w14:paraId="3AAE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04D545EF">
            <w:pPr>
              <w:pStyle w:val="24"/>
              <w:ind w:firstLine="0"/>
              <w:jc w:val="center"/>
              <w:outlineLvl w:val="9"/>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123" w:type="dxa"/>
            <w:noWrap w:val="0"/>
            <w:vAlign w:val="center"/>
          </w:tcPr>
          <w:p w14:paraId="5A3DF110">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rPr>
            </w:pPr>
            <w:r>
              <w:rPr>
                <w:rFonts w:hint="eastAsia" w:ascii="宋体" w:hAnsi="宋体" w:eastAsia="宋体" w:cs="宋体"/>
                <w:sz w:val="24"/>
                <w:szCs w:val="24"/>
              </w:rPr>
              <w:t>响应文件有效期</w:t>
            </w:r>
          </w:p>
        </w:tc>
        <w:tc>
          <w:tcPr>
            <w:tcW w:w="6593" w:type="dxa"/>
            <w:noWrap w:val="0"/>
            <w:vAlign w:val="center"/>
          </w:tcPr>
          <w:p w14:paraId="26A8229F">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sz w:val="24"/>
                <w:szCs w:val="24"/>
              </w:rPr>
            </w:pPr>
            <w:r>
              <w:rPr>
                <w:rFonts w:hint="eastAsia" w:ascii="宋体" w:hAnsi="宋体" w:eastAsia="宋体" w:cs="宋体"/>
                <w:sz w:val="24"/>
                <w:szCs w:val="24"/>
              </w:rPr>
              <w:t>符合</w:t>
            </w:r>
            <w:r>
              <w:rPr>
                <w:rFonts w:hint="eastAsia" w:ascii="宋体" w:hAnsi="宋体" w:cs="宋体"/>
                <w:sz w:val="24"/>
                <w:szCs w:val="24"/>
                <w:lang w:val="en-US" w:eastAsia="zh-CN"/>
              </w:rPr>
              <w:t>磋商</w:t>
            </w:r>
            <w:r>
              <w:rPr>
                <w:rFonts w:hint="eastAsia" w:ascii="宋体" w:hAnsi="宋体" w:eastAsia="宋体" w:cs="宋体"/>
                <w:sz w:val="24"/>
                <w:szCs w:val="24"/>
              </w:rPr>
              <w:t>文件的要求。</w:t>
            </w:r>
          </w:p>
        </w:tc>
      </w:tr>
      <w:tr w14:paraId="611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26F9DE4E">
            <w:pPr>
              <w:pStyle w:val="24"/>
              <w:ind w:firstLine="0"/>
              <w:jc w:val="center"/>
              <w:outlineLvl w:val="9"/>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2123" w:type="dxa"/>
            <w:noWrap w:val="0"/>
            <w:vAlign w:val="center"/>
          </w:tcPr>
          <w:p w14:paraId="7407A4C6">
            <w:pPr>
              <w:keepNext w:val="0"/>
              <w:keepLines w:val="0"/>
              <w:suppressLineNumbers w:val="0"/>
              <w:spacing w:before="0" w:beforeAutospacing="0" w:after="0" w:afterAutospacing="0" w:line="360" w:lineRule="auto"/>
              <w:ind w:left="0" w:leftChars="0" w:right="0" w:rightChars="0"/>
              <w:jc w:val="center"/>
              <w:outlineLvl w:val="9"/>
              <w:rPr>
                <w:rFonts w:hint="eastAsia" w:ascii="宋体" w:hAnsi="宋体" w:eastAsia="宋体" w:cs="宋体"/>
                <w:sz w:val="24"/>
                <w:szCs w:val="24"/>
              </w:rPr>
            </w:pPr>
            <w:r>
              <w:rPr>
                <w:rFonts w:hint="eastAsia" w:ascii="宋体" w:hAnsi="宋体" w:eastAsia="宋体" w:cs="宋体"/>
                <w:sz w:val="24"/>
                <w:szCs w:val="24"/>
                <w:lang w:val="en-US" w:eastAsia="zh-CN"/>
              </w:rPr>
              <w:t>磋商</w:t>
            </w:r>
            <w:r>
              <w:rPr>
                <w:rFonts w:hint="eastAsia" w:ascii="宋体" w:hAnsi="宋体" w:eastAsia="宋体" w:cs="宋体"/>
                <w:sz w:val="24"/>
                <w:szCs w:val="24"/>
              </w:rPr>
              <w:t>报价</w:t>
            </w:r>
          </w:p>
        </w:tc>
        <w:tc>
          <w:tcPr>
            <w:tcW w:w="6593" w:type="dxa"/>
            <w:noWrap w:val="0"/>
            <w:vAlign w:val="center"/>
          </w:tcPr>
          <w:p w14:paraId="6D0D66B6">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rPr>
            </w:pPr>
            <w:r>
              <w:rPr>
                <w:rFonts w:hint="eastAsia" w:ascii="宋体" w:hAnsi="宋体" w:eastAsia="宋体" w:cs="宋体"/>
                <w:sz w:val="24"/>
                <w:szCs w:val="24"/>
              </w:rPr>
              <w:t>同时满足以下条款：</w:t>
            </w:r>
          </w:p>
          <w:p w14:paraId="4937B939">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磋商</w:t>
            </w:r>
            <w:r>
              <w:rPr>
                <w:rFonts w:hint="eastAsia" w:ascii="宋体" w:hAnsi="宋体" w:eastAsia="宋体" w:cs="宋体"/>
                <w:sz w:val="24"/>
                <w:szCs w:val="24"/>
              </w:rPr>
              <w:t>报价符合唯一性要求；</w:t>
            </w:r>
          </w:p>
          <w:p w14:paraId="1231703B">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rPr>
            </w:pPr>
            <w:r>
              <w:rPr>
                <w:rFonts w:hint="eastAsia" w:ascii="宋体" w:hAnsi="宋体" w:eastAsia="宋体" w:cs="宋体"/>
                <w:sz w:val="24"/>
                <w:szCs w:val="24"/>
              </w:rPr>
              <w:t>（2）第一次</w:t>
            </w:r>
            <w:r>
              <w:rPr>
                <w:rFonts w:hint="eastAsia" w:ascii="宋体" w:hAnsi="宋体" w:eastAsia="宋体" w:cs="宋体"/>
                <w:sz w:val="24"/>
                <w:szCs w:val="24"/>
                <w:lang w:val="en-US" w:eastAsia="zh-CN"/>
              </w:rPr>
              <w:t>磋商</w:t>
            </w:r>
            <w:r>
              <w:rPr>
                <w:rFonts w:hint="eastAsia" w:ascii="宋体" w:hAnsi="宋体" w:eastAsia="宋体" w:cs="宋体"/>
                <w:sz w:val="24"/>
                <w:szCs w:val="24"/>
              </w:rPr>
              <w:t>报价表填写符合要求；</w:t>
            </w:r>
          </w:p>
          <w:p w14:paraId="60821DDE">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sz w:val="24"/>
                <w:szCs w:val="24"/>
              </w:rPr>
            </w:pPr>
            <w:r>
              <w:rPr>
                <w:rFonts w:hint="eastAsia" w:ascii="宋体" w:hAnsi="宋体" w:eastAsia="宋体" w:cs="宋体"/>
                <w:sz w:val="24"/>
                <w:szCs w:val="24"/>
              </w:rPr>
              <w:t>（3）报价货币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单位</w:t>
            </w:r>
            <w:r>
              <w:rPr>
                <w:rFonts w:hint="eastAsia" w:ascii="宋体" w:hAnsi="宋体" w:eastAsia="宋体" w:cs="宋体"/>
                <w:sz w:val="24"/>
                <w:szCs w:val="24"/>
              </w:rPr>
              <w:t>符合</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文件要求；</w:t>
            </w:r>
          </w:p>
          <w:p w14:paraId="5D38D786">
            <w:pPr>
              <w:keepNext w:val="0"/>
              <w:keepLines w:val="0"/>
              <w:suppressLineNumbers w:val="0"/>
              <w:spacing w:before="0" w:beforeAutospacing="0" w:after="0" w:afterAutospacing="0" w:line="360" w:lineRule="auto"/>
              <w:ind w:left="0" w:leftChars="0" w:right="0" w:rightChars="0"/>
              <w:jc w:val="left"/>
              <w:outlineLvl w:val="9"/>
              <w:rPr>
                <w:rFonts w:hint="eastAsia" w:ascii="宋体" w:hAnsi="宋体" w:eastAsia="宋体" w:cs="宋体"/>
                <w:sz w:val="24"/>
                <w:szCs w:val="24"/>
              </w:rPr>
            </w:pPr>
            <w:r>
              <w:rPr>
                <w:rFonts w:hint="eastAsia" w:ascii="宋体" w:hAnsi="宋体" w:eastAsia="宋体" w:cs="宋体"/>
                <w:sz w:val="24"/>
                <w:szCs w:val="24"/>
              </w:rPr>
              <w:t>（4）未超出采购预算或</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文件规定的最高限价；</w:t>
            </w:r>
          </w:p>
        </w:tc>
      </w:tr>
      <w:tr w14:paraId="6A67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5DC14558">
            <w:pPr>
              <w:pStyle w:val="24"/>
              <w:ind w:firstLine="0"/>
              <w:jc w:val="center"/>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8</w:t>
            </w:r>
          </w:p>
        </w:tc>
        <w:tc>
          <w:tcPr>
            <w:tcW w:w="2123" w:type="dxa"/>
            <w:noWrap w:val="0"/>
            <w:vAlign w:val="center"/>
          </w:tcPr>
          <w:p w14:paraId="63D758FD">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响应文件编写</w:t>
            </w:r>
          </w:p>
        </w:tc>
        <w:tc>
          <w:tcPr>
            <w:tcW w:w="6593" w:type="dxa"/>
            <w:noWrap w:val="0"/>
            <w:vAlign w:val="center"/>
          </w:tcPr>
          <w:p w14:paraId="67F232AA">
            <w:pPr>
              <w:keepNext w:val="0"/>
              <w:keepLines w:val="0"/>
              <w:suppressLineNumbers w:val="0"/>
              <w:spacing w:before="0" w:beforeAutospacing="0" w:after="0" w:afterAutospacing="0"/>
              <w:ind w:left="0" w:leftChars="0" w:right="0" w:rightChars="0"/>
              <w:outlineLvl w:val="9"/>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响应文件按照竞争性</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文件要求的格式编写及</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响应文件的关键内容字迹清晰、可辨认的。</w:t>
            </w:r>
          </w:p>
        </w:tc>
      </w:tr>
      <w:tr w14:paraId="4F5A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A4B325C">
            <w:pPr>
              <w:pStyle w:val="24"/>
              <w:ind w:firstLine="0"/>
              <w:jc w:val="center"/>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9</w:t>
            </w:r>
          </w:p>
        </w:tc>
        <w:tc>
          <w:tcPr>
            <w:tcW w:w="2123" w:type="dxa"/>
            <w:noWrap w:val="0"/>
            <w:vAlign w:val="center"/>
          </w:tcPr>
          <w:p w14:paraId="64CC12A8">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rPr>
            </w:pPr>
            <w:r>
              <w:rPr>
                <w:rFonts w:hint="eastAsia" w:ascii="宋体" w:hAnsi="宋体" w:cs="宋体"/>
                <w:sz w:val="24"/>
                <w:szCs w:val="24"/>
              </w:rPr>
              <w:t>商务要求</w:t>
            </w:r>
          </w:p>
        </w:tc>
        <w:tc>
          <w:tcPr>
            <w:tcW w:w="6593" w:type="dxa"/>
            <w:noWrap w:val="0"/>
            <w:vAlign w:val="center"/>
          </w:tcPr>
          <w:p w14:paraId="72C853BD">
            <w:pPr>
              <w:keepNext w:val="0"/>
              <w:keepLines w:val="0"/>
              <w:suppressLineNumbers w:val="0"/>
              <w:spacing w:before="0" w:beforeAutospacing="0" w:after="0" w:afterAutospacing="0"/>
              <w:ind w:left="0" w:leftChars="0" w:right="0" w:rightChars="0"/>
              <w:outlineLvl w:val="9"/>
              <w:rPr>
                <w:rFonts w:hint="eastAsia" w:ascii="宋体" w:hAnsi="宋体" w:eastAsia="宋体" w:cs="宋体"/>
                <w:sz w:val="24"/>
                <w:szCs w:val="24"/>
                <w:lang w:eastAsia="zh-CN"/>
              </w:rPr>
            </w:pPr>
            <w:r>
              <w:rPr>
                <w:rFonts w:hint="eastAsia" w:ascii="宋体" w:hAnsi="宋体" w:cs="宋体"/>
                <w:sz w:val="24"/>
                <w:szCs w:val="24"/>
              </w:rPr>
              <w:t>商务要求逐条响应并满足竞争性</w:t>
            </w:r>
            <w:r>
              <w:rPr>
                <w:rFonts w:hint="eastAsia" w:ascii="宋体" w:hAnsi="宋体" w:cs="宋体"/>
                <w:sz w:val="24"/>
                <w:szCs w:val="24"/>
                <w:lang w:val="en-US" w:eastAsia="zh-CN"/>
              </w:rPr>
              <w:t>磋商</w:t>
            </w:r>
            <w:r>
              <w:rPr>
                <w:rFonts w:hint="eastAsia" w:ascii="宋体" w:hAnsi="宋体" w:cs="宋体"/>
                <w:sz w:val="24"/>
                <w:szCs w:val="24"/>
              </w:rPr>
              <w:t>文件要求</w:t>
            </w:r>
            <w:r>
              <w:rPr>
                <w:rFonts w:hint="eastAsia" w:ascii="宋体" w:hAnsi="宋体" w:cs="宋体"/>
                <w:sz w:val="24"/>
                <w:szCs w:val="24"/>
                <w:lang w:eastAsia="zh-CN"/>
              </w:rPr>
              <w:t>；</w:t>
            </w:r>
            <w:r>
              <w:rPr>
                <w:rFonts w:hint="eastAsia" w:ascii="宋体" w:hAnsi="宋体" w:eastAsia="宋体" w:cs="宋体"/>
                <w:sz w:val="24"/>
                <w:szCs w:val="24"/>
              </w:rPr>
              <w:t>投标文件在商务响应方面未附加采购单位难以接受的条件</w:t>
            </w:r>
            <w:r>
              <w:rPr>
                <w:rFonts w:hint="eastAsia" w:ascii="宋体" w:hAnsi="宋体" w:eastAsia="宋体" w:cs="宋体"/>
                <w:sz w:val="24"/>
                <w:szCs w:val="24"/>
                <w:lang w:eastAsia="zh-CN"/>
              </w:rPr>
              <w:t>。</w:t>
            </w:r>
          </w:p>
        </w:tc>
      </w:tr>
      <w:tr w14:paraId="65F9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6BC42CB8">
            <w:pPr>
              <w:pStyle w:val="24"/>
              <w:ind w:firstLine="0"/>
              <w:jc w:val="center"/>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123" w:type="dxa"/>
            <w:noWrap w:val="0"/>
            <w:vAlign w:val="center"/>
          </w:tcPr>
          <w:p w14:paraId="1049B74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sz w:val="24"/>
                <w:szCs w:val="24"/>
              </w:rPr>
            </w:pPr>
            <w:r>
              <w:rPr>
                <w:rFonts w:hint="eastAsia" w:ascii="宋体" w:hAnsi="宋体" w:cs="宋体"/>
                <w:sz w:val="24"/>
                <w:szCs w:val="24"/>
              </w:rPr>
              <w:t>其他要求</w:t>
            </w:r>
          </w:p>
        </w:tc>
        <w:tc>
          <w:tcPr>
            <w:tcW w:w="6593" w:type="dxa"/>
            <w:noWrap w:val="0"/>
            <w:vAlign w:val="center"/>
          </w:tcPr>
          <w:p w14:paraId="4705B20E">
            <w:pPr>
              <w:keepNext w:val="0"/>
              <w:keepLines w:val="0"/>
              <w:suppressLineNumbers w:val="0"/>
              <w:spacing w:before="0" w:beforeAutospacing="0" w:after="0" w:afterAutospacing="0" w:line="360" w:lineRule="auto"/>
              <w:ind w:left="0" w:leftChars="0" w:right="0" w:rightChars="0"/>
              <w:outlineLvl w:val="9"/>
              <w:rPr>
                <w:rFonts w:hint="eastAsia" w:ascii="宋体" w:hAnsi="宋体" w:eastAsia="宋体" w:cs="宋体"/>
                <w:sz w:val="24"/>
                <w:szCs w:val="24"/>
              </w:rPr>
            </w:pPr>
            <w:r>
              <w:rPr>
                <w:rFonts w:hint="eastAsia" w:ascii="宋体" w:hAnsi="宋体" w:cs="宋体"/>
                <w:sz w:val="24"/>
                <w:szCs w:val="24"/>
              </w:rPr>
              <w:t>完全理解并接受法律法规和</w:t>
            </w:r>
            <w:r>
              <w:rPr>
                <w:rFonts w:hint="eastAsia" w:ascii="宋体" w:hAnsi="宋体" w:cs="宋体"/>
                <w:sz w:val="24"/>
                <w:szCs w:val="24"/>
                <w:lang w:val="en-US" w:eastAsia="zh-CN"/>
              </w:rPr>
              <w:t>磋商</w:t>
            </w:r>
            <w:r>
              <w:rPr>
                <w:rFonts w:hint="eastAsia" w:ascii="宋体" w:hAnsi="宋体" w:cs="宋体"/>
                <w:sz w:val="24"/>
                <w:szCs w:val="24"/>
              </w:rPr>
              <w:t>文件对供应商的各项须知、规约要求和责任义务，没有出现法律法规或</w:t>
            </w:r>
            <w:r>
              <w:rPr>
                <w:rFonts w:hint="eastAsia" w:ascii="宋体" w:hAnsi="宋体" w:cs="宋体"/>
                <w:sz w:val="24"/>
                <w:szCs w:val="24"/>
                <w:lang w:val="en-US" w:eastAsia="zh-CN"/>
              </w:rPr>
              <w:t>磋商</w:t>
            </w:r>
            <w:r>
              <w:rPr>
                <w:rFonts w:hint="eastAsia" w:ascii="宋体" w:hAnsi="宋体" w:cs="宋体"/>
                <w:sz w:val="24"/>
                <w:szCs w:val="24"/>
              </w:rPr>
              <w:t>文件明确规定的其他被视为“无效响应”的情形。</w:t>
            </w:r>
          </w:p>
        </w:tc>
      </w:tr>
    </w:tbl>
    <w:p w14:paraId="105E9D38">
      <w:pPr>
        <w:widowControl/>
        <w:jc w:val="left"/>
        <w:outlineLvl w:val="9"/>
        <w:rPr>
          <w:rFonts w:hint="eastAsia" w:ascii="宋体" w:hAnsi="宋体" w:cs="宋体"/>
          <w:b/>
          <w:bCs/>
          <w:color w:val="000000"/>
          <w:kern w:val="0"/>
          <w:sz w:val="28"/>
          <w:szCs w:val="28"/>
          <w:lang w:bidi="ar"/>
        </w:rPr>
        <w:sectPr>
          <w:pgSz w:w="11906" w:h="16838"/>
          <w:pgMar w:top="1219" w:right="1800" w:bottom="1219" w:left="1800" w:header="851" w:footer="992" w:gutter="0"/>
          <w:pgNumType w:fmt="decimal"/>
          <w:cols w:space="720" w:num="1"/>
          <w:docGrid w:type="lines" w:linePitch="312" w:charSpace="0"/>
        </w:sectPr>
      </w:pPr>
    </w:p>
    <w:p w14:paraId="7A64AB78">
      <w:pPr>
        <w:widowControl/>
        <w:numPr>
          <w:ilvl w:val="0"/>
          <w:numId w:val="5"/>
        </w:numPr>
        <w:ind w:left="0" w:leftChars="0" w:firstLine="562" w:firstLineChars="200"/>
        <w:jc w:val="left"/>
        <w:outlineLvl w:val="9"/>
        <w:rPr>
          <w:rFonts w:hint="eastAsia" w:ascii="宋体" w:hAnsi="宋体" w:eastAsia="宋体" w:cs="宋体"/>
          <w:b/>
          <w:bCs/>
          <w:color w:val="000000"/>
          <w:kern w:val="0"/>
          <w:sz w:val="28"/>
          <w:szCs w:val="28"/>
          <w:lang w:bidi="ar"/>
        </w:rPr>
      </w:pPr>
      <w:r>
        <w:rPr>
          <w:rFonts w:hint="eastAsia" w:ascii="宋体" w:hAnsi="宋体" w:eastAsia="宋体" w:cs="宋体"/>
          <w:b/>
          <w:bCs/>
          <w:color w:val="000000"/>
          <w:kern w:val="0"/>
          <w:sz w:val="28"/>
          <w:szCs w:val="28"/>
          <w:lang w:bidi="ar"/>
        </w:rPr>
        <w:t>详细评审</w:t>
      </w:r>
    </w:p>
    <w:tbl>
      <w:tblPr>
        <w:tblStyle w:val="26"/>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41"/>
        <w:gridCol w:w="6767"/>
      </w:tblGrid>
      <w:tr w14:paraId="3264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781" w:type="dxa"/>
            <w:gridSpan w:val="3"/>
            <w:noWrap w:val="0"/>
            <w:vAlign w:val="center"/>
          </w:tcPr>
          <w:p w14:paraId="7F1864FC">
            <w:pPr>
              <w:spacing w:line="360" w:lineRule="auto"/>
              <w:ind w:firstLine="480" w:firstLineChars="200"/>
              <w:jc w:val="center"/>
              <w:outlineLvl w:val="9"/>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4"/>
                <w:szCs w:val="24"/>
                <w:lang w:val="en-US" w:eastAsia="zh-CN" w:bidi="ar"/>
              </w:rPr>
              <w:t>评审分值结构表</w:t>
            </w:r>
          </w:p>
        </w:tc>
      </w:tr>
      <w:tr w14:paraId="07B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dxa"/>
            <w:noWrap w:val="0"/>
            <w:vAlign w:val="center"/>
          </w:tcPr>
          <w:p w14:paraId="618F94F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序号</w:t>
            </w:r>
          </w:p>
        </w:tc>
        <w:tc>
          <w:tcPr>
            <w:tcW w:w="2241" w:type="dxa"/>
            <w:noWrap w:val="0"/>
            <w:vAlign w:val="center"/>
          </w:tcPr>
          <w:p w14:paraId="264D9F7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rPr>
              <w:t>评分项</w:t>
            </w:r>
          </w:p>
        </w:tc>
        <w:tc>
          <w:tcPr>
            <w:tcW w:w="6767" w:type="dxa"/>
            <w:noWrap w:val="0"/>
            <w:vAlign w:val="center"/>
          </w:tcPr>
          <w:p w14:paraId="4717C693">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rPr>
              <w:t>评分标准</w:t>
            </w:r>
          </w:p>
        </w:tc>
      </w:tr>
      <w:tr w14:paraId="364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773" w:type="dxa"/>
            <w:noWrap w:val="0"/>
            <w:vAlign w:val="center"/>
          </w:tcPr>
          <w:p w14:paraId="69BAC98B">
            <w:pPr>
              <w:spacing w:line="360" w:lineRule="auto"/>
              <w:ind w:left="-118" w:leftChars="-56" w:right="-94" w:rightChars="-45"/>
              <w:jc w:val="center"/>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1</w:t>
            </w:r>
          </w:p>
        </w:tc>
        <w:tc>
          <w:tcPr>
            <w:tcW w:w="2241" w:type="dxa"/>
            <w:noWrap w:val="0"/>
            <w:vAlign w:val="center"/>
          </w:tcPr>
          <w:p w14:paraId="3A51E883">
            <w:pPr>
              <w:spacing w:line="440" w:lineRule="exact"/>
              <w:jc w:val="center"/>
              <w:outlineLvl w:val="9"/>
              <w:rPr>
                <w:rFonts w:hint="eastAsia" w:ascii="Times New Roman" w:hAnsi="Times New Roman" w:eastAsia="宋体"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投标报价</w:t>
            </w:r>
          </w:p>
          <w:p w14:paraId="0CCF562A">
            <w:pPr>
              <w:spacing w:line="440" w:lineRule="exact"/>
              <w:jc w:val="center"/>
              <w:outlineLvl w:val="9"/>
              <w:rPr>
                <w:rFonts w:hint="eastAsia" w:ascii="宋体" w:hAnsi="宋体" w:eastAsia="宋体" w:cs="宋体"/>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4"/>
                <w:szCs w:val="22"/>
                <w:lang w:val="en-US" w:eastAsia="zh-CN"/>
              </w:rPr>
              <w:t>（30分）</w:t>
            </w:r>
          </w:p>
        </w:tc>
        <w:tc>
          <w:tcPr>
            <w:tcW w:w="6767" w:type="dxa"/>
            <w:noWrap w:val="0"/>
            <w:tcMar>
              <w:top w:w="0" w:type="dxa"/>
              <w:left w:w="113" w:type="dxa"/>
              <w:bottom w:w="0" w:type="dxa"/>
              <w:right w:w="113" w:type="dxa"/>
            </w:tcMar>
            <w:vAlign w:val="center"/>
          </w:tcPr>
          <w:p w14:paraId="747E6121">
            <w:pPr>
              <w:spacing w:line="360" w:lineRule="auto"/>
              <w:outlineLvl w:val="9"/>
              <w:rPr>
                <w:rFonts w:ascii="宋体" w:hAnsi="宋体" w:cs="宋体"/>
                <w:b w:val="0"/>
                <w:bCs/>
                <w:color w:val="auto"/>
                <w:sz w:val="24"/>
                <w:szCs w:val="24"/>
              </w:rPr>
            </w:pPr>
            <w:r>
              <w:rPr>
                <w:rFonts w:hint="eastAsia" w:ascii="宋体" w:hAnsi="宋体" w:cs="宋体"/>
                <w:b w:val="0"/>
                <w:bCs/>
                <w:color w:val="auto"/>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14:paraId="469D4808">
            <w:pPr>
              <w:adjustRightInd w:val="0"/>
              <w:snapToGrid w:val="0"/>
              <w:spacing w:line="360" w:lineRule="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4"/>
                <w:lang w:val="en-US" w:eastAsia="zh-CN"/>
              </w:rPr>
              <w:t>本项目专门面向中小企业采购，故不再执行价格评审优惠；</w:t>
            </w:r>
          </w:p>
        </w:tc>
      </w:tr>
      <w:tr w14:paraId="4C58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54EC641">
            <w:pPr>
              <w:spacing w:line="360" w:lineRule="auto"/>
              <w:ind w:right="-94" w:rightChars="-45"/>
              <w:jc w:val="center"/>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64A266A">
            <w:pPr>
              <w:spacing w:line="440" w:lineRule="exact"/>
              <w:jc w:val="center"/>
              <w:outlineLvl w:val="9"/>
              <w:rPr>
                <w:rFonts w:hint="default" w:ascii="Times New Roman" w:hAnsi="Times New Roman" w:eastAsia="宋体" w:cs="Times New Roman"/>
                <w:b w:val="0"/>
                <w:bCs/>
                <w:color w:val="auto"/>
                <w:sz w:val="24"/>
                <w:szCs w:val="22"/>
                <w:lang w:val="en-US" w:eastAsia="zh-CN"/>
              </w:rPr>
            </w:pPr>
            <w:r>
              <w:rPr>
                <w:rFonts w:hint="eastAsia" w:ascii="宋体" w:hAnsi="宋体" w:cs="宋体"/>
                <w:color w:val="auto"/>
                <w:sz w:val="24"/>
                <w:lang w:val="en-US" w:eastAsia="zh-CN"/>
              </w:rPr>
              <w:t>主要施工方案与技术措施</w:t>
            </w:r>
            <w:r>
              <w:rPr>
                <w:rFonts w:hint="eastAsia" w:cs="Times New Roman"/>
                <w:b w:val="0"/>
                <w:bCs/>
                <w:color w:val="auto"/>
                <w:sz w:val="24"/>
                <w:szCs w:val="22"/>
                <w:lang w:val="en-US" w:eastAsia="zh-CN"/>
              </w:rPr>
              <w:t>（15分）</w:t>
            </w:r>
          </w:p>
        </w:tc>
        <w:tc>
          <w:tcPr>
            <w:tcW w:w="6767" w:type="dxa"/>
            <w:noWrap w:val="0"/>
            <w:tcMar>
              <w:top w:w="0" w:type="dxa"/>
              <w:left w:w="113" w:type="dxa"/>
              <w:bottom w:w="0" w:type="dxa"/>
              <w:right w:w="113" w:type="dxa"/>
            </w:tcMar>
            <w:vAlign w:val="center"/>
          </w:tcPr>
          <w:p w14:paraId="0CA652C6">
            <w:pPr>
              <w:spacing w:line="360" w:lineRule="auto"/>
              <w:rPr>
                <w:rFonts w:hint="eastAsia" w:ascii="宋体" w:hAnsi="宋体" w:eastAsia="宋体" w:cs="宋体"/>
                <w:b w:val="0"/>
                <w:bCs/>
                <w:color w:val="auto"/>
                <w:kern w:val="2"/>
                <w:sz w:val="24"/>
                <w:szCs w:val="24"/>
                <w:lang w:val="en-US" w:eastAsia="zh-CN" w:bidi="ar-SA"/>
              </w:rPr>
            </w:pPr>
            <w:r>
              <w:rPr>
                <w:rFonts w:ascii="宋体" w:hAnsi="宋体" w:cs="宋体"/>
                <w:color w:val="auto"/>
                <w:sz w:val="24"/>
              </w:rPr>
              <w:t>根据供应商提供的</w:t>
            </w:r>
            <w:r>
              <w:rPr>
                <w:rFonts w:hint="eastAsia" w:ascii="宋体" w:hAnsi="宋体" w:cs="宋体"/>
                <w:color w:val="auto"/>
                <w:sz w:val="24"/>
                <w:lang w:val="en-US" w:eastAsia="zh-CN"/>
              </w:rPr>
              <w:t>主要施工方案与技术措施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15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A4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25EADBB">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79EEF65F">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质量保证体系及措施（6分）</w:t>
            </w:r>
          </w:p>
        </w:tc>
        <w:tc>
          <w:tcPr>
            <w:tcW w:w="6767" w:type="dxa"/>
            <w:noWrap w:val="0"/>
            <w:tcMar>
              <w:top w:w="0" w:type="dxa"/>
              <w:left w:w="113" w:type="dxa"/>
              <w:bottom w:w="0" w:type="dxa"/>
              <w:right w:w="113" w:type="dxa"/>
            </w:tcMar>
            <w:vAlign w:val="center"/>
          </w:tcPr>
          <w:p w14:paraId="1E7A0060">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质量保证体系及措施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6</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45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A1A02A7">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5E4BF13D">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安全生产保证措施（6分）</w:t>
            </w:r>
          </w:p>
        </w:tc>
        <w:tc>
          <w:tcPr>
            <w:tcW w:w="6767" w:type="dxa"/>
            <w:noWrap w:val="0"/>
            <w:tcMar>
              <w:top w:w="0" w:type="dxa"/>
              <w:left w:w="113" w:type="dxa"/>
              <w:bottom w:w="0" w:type="dxa"/>
              <w:right w:w="113" w:type="dxa"/>
            </w:tcMar>
            <w:vAlign w:val="center"/>
          </w:tcPr>
          <w:p w14:paraId="181A0BF8">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安全生产保证措施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6</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810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8687F5A">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32ADB91F">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确保文明</w:t>
            </w:r>
            <w:r>
              <w:rPr>
                <w:rFonts w:hint="eastAsia" w:ascii="Times New Roman" w:hAnsi="Times New Roman" w:eastAsia="宋体" w:cs="Times New Roman"/>
                <w:b w:val="0"/>
                <w:bCs/>
                <w:color w:val="auto"/>
                <w:sz w:val="24"/>
                <w:szCs w:val="22"/>
                <w:lang w:val="en-US" w:eastAsia="zh-CN"/>
              </w:rPr>
              <w:t>施工、环境保护的组织措施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3055D78B">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确保文明</w:t>
            </w:r>
            <w:r>
              <w:rPr>
                <w:rFonts w:hint="eastAsia" w:ascii="Times New Roman" w:hAnsi="Times New Roman" w:eastAsia="宋体" w:cs="Times New Roman"/>
                <w:b w:val="0"/>
                <w:bCs/>
                <w:color w:val="auto"/>
                <w:sz w:val="24"/>
                <w:szCs w:val="22"/>
                <w:lang w:val="en-US" w:eastAsia="zh-CN"/>
              </w:rPr>
              <w:t>施工、环境保护的组织措施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6</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3B4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77C643F">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9EB69CC">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施工进度计划及保证措施</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73EE6E14">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施工进度计划及保证措施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F9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17B7023">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3BC3FE6A">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劳动力计划、设备配备情况</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56C70D44">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劳动力计划、设备配备情况</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F9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6137A81">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16F30F95">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紧急情况应对措施</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3952F97E">
            <w:pPr>
              <w:spacing w:line="360" w:lineRule="auto"/>
              <w:rPr>
                <w:rFonts w:hint="eastAsia" w:ascii="Times New Roman" w:hAnsi="Times New Roman" w:eastAsia="宋体"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根据供应商提供的紧急情况应对措施进行评审，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E0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56DB7A59">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25542F16">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成品保护和工程保修管理措施</w:t>
            </w: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06AD9A2B">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成品保护和工程保修管理措施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5</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C09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1E065893">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7346627B">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对本工程的重点难点分析及对策</w:t>
            </w:r>
            <w:r>
              <w:rPr>
                <w:rFonts w:hint="eastAsia" w:cs="Times New Roman"/>
                <w:b w:val="0"/>
                <w:bCs/>
                <w:color w:val="auto"/>
                <w:sz w:val="24"/>
                <w:szCs w:val="22"/>
                <w:lang w:val="en-US" w:eastAsia="zh-CN"/>
              </w:rPr>
              <w:t>（8分）</w:t>
            </w:r>
          </w:p>
        </w:tc>
        <w:tc>
          <w:tcPr>
            <w:tcW w:w="6767" w:type="dxa"/>
            <w:noWrap w:val="0"/>
            <w:tcMar>
              <w:top w:w="0" w:type="dxa"/>
              <w:left w:w="113" w:type="dxa"/>
              <w:bottom w:w="0" w:type="dxa"/>
              <w:right w:w="113" w:type="dxa"/>
            </w:tcMar>
            <w:vAlign w:val="center"/>
          </w:tcPr>
          <w:p w14:paraId="320187A0">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对本工程的重点难点分析及对策</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8</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5D6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B2C857B">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651BAFBF">
            <w:pPr>
              <w:spacing w:line="440" w:lineRule="exact"/>
              <w:jc w:val="center"/>
              <w:outlineLvl w:val="9"/>
              <w:rPr>
                <w:rFonts w:hint="eastAsia" w:cs="Times New Roman"/>
                <w:b w:val="0"/>
                <w:bCs/>
                <w:color w:val="auto"/>
                <w:sz w:val="24"/>
                <w:szCs w:val="22"/>
                <w:lang w:val="en-US" w:eastAsia="zh-CN"/>
              </w:rPr>
            </w:pPr>
            <w:r>
              <w:rPr>
                <w:rFonts w:hint="eastAsia" w:cs="宋体"/>
                <w:b w:val="0"/>
                <w:bCs/>
                <w:color w:val="auto"/>
                <w:kern w:val="2"/>
                <w:sz w:val="24"/>
                <w:szCs w:val="24"/>
                <w:lang w:val="en-US" w:eastAsia="zh-CN" w:bidi="ar-SA"/>
              </w:rPr>
              <w:t>新技术、新产品、新工艺、新材料应用</w:t>
            </w:r>
            <w:r>
              <w:rPr>
                <w:rFonts w:hint="eastAsia" w:cs="Times New Roman"/>
                <w:b w:val="0"/>
                <w:bCs/>
                <w:color w:val="auto"/>
                <w:sz w:val="24"/>
                <w:szCs w:val="22"/>
                <w:lang w:val="en-US" w:eastAsia="zh-CN"/>
              </w:rPr>
              <w:t>（4分）</w:t>
            </w:r>
          </w:p>
        </w:tc>
        <w:tc>
          <w:tcPr>
            <w:tcW w:w="6767" w:type="dxa"/>
            <w:noWrap w:val="0"/>
            <w:tcMar>
              <w:top w:w="0" w:type="dxa"/>
              <w:left w:w="113" w:type="dxa"/>
              <w:bottom w:w="0" w:type="dxa"/>
              <w:right w:w="113" w:type="dxa"/>
            </w:tcMar>
            <w:vAlign w:val="center"/>
          </w:tcPr>
          <w:p w14:paraId="0201FDDF">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宋体"/>
                <w:b w:val="0"/>
                <w:bCs/>
                <w:color w:val="auto"/>
                <w:kern w:val="2"/>
                <w:sz w:val="24"/>
                <w:szCs w:val="24"/>
                <w:lang w:val="en-US" w:eastAsia="zh-CN" w:bidi="ar-SA"/>
              </w:rPr>
              <w:t>新技术、新产品、新工艺、新材料应用</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w:t>
            </w:r>
            <w:r>
              <w:rPr>
                <w:rFonts w:hint="eastAsia" w:cs="Times New Roman"/>
                <w:b w:val="0"/>
                <w:bCs/>
                <w:color w:val="auto"/>
                <w:sz w:val="24"/>
                <w:szCs w:val="22"/>
                <w:lang w:val="en-US" w:eastAsia="zh-CN"/>
              </w:rPr>
              <w:t>4</w:t>
            </w:r>
            <w:r>
              <w:rPr>
                <w:rFonts w:hint="eastAsia" w:ascii="Times New Roman" w:hAnsi="Times New Roman" w:eastAsia="宋体" w:cs="Times New Roman"/>
                <w:b w:val="0"/>
                <w:bCs/>
                <w:color w:val="auto"/>
                <w:sz w:val="24"/>
                <w:szCs w:val="22"/>
                <w:lang w:val="en-US" w:eastAsia="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A3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19760669">
            <w:pPr>
              <w:spacing w:line="360" w:lineRule="auto"/>
              <w:ind w:right="-94" w:rightChars="-45"/>
              <w:jc w:val="center"/>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1505E509">
            <w:pPr>
              <w:pStyle w:val="23"/>
              <w:keepNext w:val="0"/>
              <w:keepLines w:val="0"/>
              <w:widowControl/>
              <w:suppressLineNumbers w:val="0"/>
              <w:spacing w:before="0" w:beforeAutospacing="0" w:after="0" w:afterAutospacing="0"/>
              <w:ind w:left="0" w:right="0" w:firstLine="0"/>
              <w:jc w:val="center"/>
              <w:outlineLvl w:val="9"/>
              <w:rPr>
                <w:rFonts w:hint="eastAsia" w:ascii="Times New Roman" w:hAnsi="Times New Roman" w:cs="Times New Roman"/>
                <w:b w:val="0"/>
                <w:bCs/>
                <w:color w:val="auto"/>
                <w:kern w:val="2"/>
                <w:sz w:val="24"/>
                <w:szCs w:val="22"/>
                <w:lang w:val="en-US" w:eastAsia="zh-CN" w:bidi="ar-SA"/>
              </w:rPr>
            </w:pPr>
            <w:r>
              <w:rPr>
                <w:rFonts w:hint="eastAsia" w:ascii="Times New Roman" w:hAnsi="Times New Roman" w:cs="Times New Roman"/>
                <w:b w:val="0"/>
                <w:bCs/>
                <w:color w:val="auto"/>
                <w:kern w:val="2"/>
                <w:sz w:val="24"/>
                <w:szCs w:val="22"/>
                <w:lang w:val="en-US" w:eastAsia="zh-CN" w:bidi="ar-SA"/>
              </w:rPr>
              <w:t>类似业绩</w:t>
            </w:r>
          </w:p>
          <w:p w14:paraId="5D538D88">
            <w:pPr>
              <w:pStyle w:val="23"/>
              <w:keepNext w:val="0"/>
              <w:keepLines w:val="0"/>
              <w:widowControl/>
              <w:suppressLineNumbers w:val="0"/>
              <w:spacing w:before="0" w:beforeAutospacing="0" w:after="0" w:afterAutospacing="0"/>
              <w:ind w:left="0" w:right="0" w:firstLine="0"/>
              <w:jc w:val="center"/>
              <w:outlineLvl w:val="9"/>
              <w:rPr>
                <w:rFonts w:hint="default" w:ascii="Times New Roman" w:hAnsi="Times New Roman" w:eastAsia="宋体" w:cs="Times New Roman"/>
                <w:b w:val="0"/>
                <w:bCs/>
                <w:color w:val="auto"/>
                <w:kern w:val="2"/>
                <w:sz w:val="24"/>
                <w:szCs w:val="22"/>
                <w:lang w:val="en-US" w:eastAsia="zh-CN" w:bidi="ar-SA"/>
              </w:rPr>
            </w:pPr>
            <w:r>
              <w:rPr>
                <w:rFonts w:hint="eastAsia" w:cs="Times New Roman"/>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5CB9F505">
            <w:pPr>
              <w:pStyle w:val="23"/>
              <w:keepNext w:val="0"/>
              <w:keepLines w:val="0"/>
              <w:widowControl/>
              <w:suppressLineNumbers w:val="0"/>
              <w:spacing w:before="0" w:beforeAutospacing="0" w:after="0" w:afterAutospacing="0" w:line="360" w:lineRule="auto"/>
              <w:ind w:left="0" w:right="0" w:firstLine="0"/>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（20</w:t>
            </w:r>
            <w:r>
              <w:rPr>
                <w:rFonts w:hint="eastAsia" w:cs="宋体"/>
                <w:b w:val="0"/>
                <w:bCs/>
                <w:color w:val="auto"/>
                <w:kern w:val="2"/>
                <w:sz w:val="24"/>
                <w:szCs w:val="24"/>
                <w:lang w:val="en-US" w:eastAsia="zh-CN" w:bidi="ar-SA"/>
              </w:rPr>
              <w:t>22</w:t>
            </w:r>
            <w:r>
              <w:rPr>
                <w:rFonts w:hint="eastAsia" w:ascii="宋体" w:hAnsi="宋体" w:eastAsia="宋体" w:cs="宋体"/>
                <w:b w:val="0"/>
                <w:bCs/>
                <w:color w:val="auto"/>
                <w:kern w:val="2"/>
                <w:sz w:val="24"/>
                <w:szCs w:val="24"/>
                <w:lang w:val="en-US" w:eastAsia="zh-CN" w:bidi="ar-SA"/>
              </w:rPr>
              <w:t>年0</w:t>
            </w:r>
            <w:r>
              <w:rPr>
                <w:rFonts w:hint="eastAsia" w:cs="宋体"/>
                <w:b w:val="0"/>
                <w:bCs/>
                <w:color w:val="auto"/>
                <w:kern w:val="2"/>
                <w:sz w:val="24"/>
                <w:szCs w:val="24"/>
                <w:lang w:val="en-US" w:eastAsia="zh-CN" w:bidi="ar-SA"/>
              </w:rPr>
              <w:t>1</w:t>
            </w:r>
            <w:r>
              <w:rPr>
                <w:rFonts w:hint="eastAsia" w:ascii="宋体" w:hAnsi="宋体" w:eastAsia="宋体" w:cs="宋体"/>
                <w:b w:val="0"/>
                <w:bCs/>
                <w:color w:val="auto"/>
                <w:kern w:val="2"/>
                <w:sz w:val="24"/>
                <w:szCs w:val="24"/>
                <w:lang w:val="en-US" w:eastAsia="zh-CN" w:bidi="ar-SA"/>
              </w:rPr>
              <w:t>月01日至今）已完成的类似业绩。每提供一个得</w:t>
            </w:r>
            <w:r>
              <w:rPr>
                <w:rFonts w:hint="eastAsia" w:cs="宋体"/>
                <w:b w:val="0"/>
                <w:bCs/>
                <w:color w:val="auto"/>
                <w:kern w:val="2"/>
                <w:sz w:val="24"/>
                <w:szCs w:val="24"/>
                <w:lang w:val="en-US" w:eastAsia="zh-CN" w:bidi="ar-SA"/>
              </w:rPr>
              <w:t>2.5</w:t>
            </w:r>
            <w:r>
              <w:rPr>
                <w:rFonts w:hint="eastAsia" w:ascii="宋体" w:hAnsi="宋体" w:eastAsia="宋体" w:cs="宋体"/>
                <w:b w:val="0"/>
                <w:bCs/>
                <w:color w:val="auto"/>
                <w:kern w:val="2"/>
                <w:sz w:val="24"/>
                <w:szCs w:val="24"/>
                <w:lang w:val="en-US" w:eastAsia="zh-CN" w:bidi="ar-SA"/>
              </w:rPr>
              <w:t>分，最高不超过</w:t>
            </w:r>
            <w:r>
              <w:rPr>
                <w:rFonts w:hint="eastAsia" w:cs="宋体"/>
                <w:b w:val="0"/>
                <w:bCs/>
                <w:color w:val="auto"/>
                <w:kern w:val="2"/>
                <w:sz w:val="24"/>
                <w:szCs w:val="24"/>
                <w:lang w:val="en-US" w:eastAsia="zh-CN" w:bidi="ar-SA"/>
              </w:rPr>
              <w:t>5</w:t>
            </w:r>
            <w:r>
              <w:rPr>
                <w:rFonts w:hint="eastAsia" w:ascii="宋体" w:hAnsi="宋体" w:eastAsia="宋体" w:cs="宋体"/>
                <w:b w:val="0"/>
                <w:bCs/>
                <w:color w:val="auto"/>
                <w:kern w:val="2"/>
                <w:sz w:val="24"/>
                <w:szCs w:val="24"/>
                <w:lang w:val="en-US" w:eastAsia="zh-CN" w:bidi="ar-SA"/>
              </w:rPr>
              <w:t>分。需提供合同签订的首页、合同 金额所在页、合同内容页、签字盖章页作为证明。</w:t>
            </w:r>
          </w:p>
        </w:tc>
      </w:tr>
    </w:tbl>
    <w:p w14:paraId="0667FCBA">
      <w:pPr>
        <w:pStyle w:val="11"/>
        <w:outlineLvl w:val="9"/>
        <w:rPr>
          <w:rFonts w:hint="eastAsia" w:ascii="宋体" w:hAnsi="宋体" w:cs="宋体"/>
        </w:rPr>
      </w:pPr>
    </w:p>
    <w:p w14:paraId="2EE9B4DD">
      <w:pPr>
        <w:outlineLvl w:val="9"/>
        <w:rPr>
          <w:rFonts w:hint="eastAsia" w:ascii="宋体" w:hAnsi="宋体" w:cs="宋体"/>
        </w:rPr>
      </w:pPr>
    </w:p>
    <w:p w14:paraId="7696173F">
      <w:pPr>
        <w:pStyle w:val="11"/>
        <w:outlineLvl w:val="9"/>
        <w:rPr>
          <w:rFonts w:hint="eastAsia" w:ascii="宋体" w:hAnsi="宋体" w:cs="宋体"/>
        </w:rPr>
      </w:pPr>
    </w:p>
    <w:p w14:paraId="66150D05">
      <w:pPr>
        <w:outlineLvl w:val="9"/>
        <w:rPr>
          <w:rFonts w:hint="eastAsia" w:ascii="宋体" w:hAnsi="宋体" w:cs="宋体"/>
        </w:rPr>
        <w:sectPr>
          <w:pgSz w:w="11906" w:h="16838"/>
          <w:pgMar w:top="1219" w:right="1800" w:bottom="1219" w:left="1800" w:header="851" w:footer="992" w:gutter="0"/>
          <w:pgNumType w:fmt="decimal"/>
          <w:cols w:space="720" w:num="1"/>
          <w:docGrid w:type="lines" w:linePitch="312" w:charSpace="0"/>
        </w:sectPr>
      </w:pPr>
    </w:p>
    <w:bookmarkEnd w:id="241"/>
    <w:p w14:paraId="4C7079E0">
      <w:pPr>
        <w:bidi w:val="0"/>
        <w:jc w:val="center"/>
        <w:outlineLvl w:val="0"/>
        <w:rPr>
          <w:rFonts w:hint="eastAsia"/>
          <w:b/>
          <w:bCs/>
          <w:sz w:val="36"/>
          <w:szCs w:val="36"/>
        </w:rPr>
      </w:pPr>
      <w:bookmarkStart w:id="251" w:name="_Toc10531"/>
      <w:bookmarkStart w:id="252" w:name="_Toc17987"/>
      <w:bookmarkStart w:id="253" w:name="_Toc27819"/>
      <w:bookmarkStart w:id="254" w:name="_Toc15866"/>
      <w:bookmarkStart w:id="255" w:name="_Toc29384"/>
      <w:bookmarkStart w:id="256" w:name="_Toc23973"/>
      <w:bookmarkStart w:id="257" w:name="_Toc557"/>
      <w:bookmarkStart w:id="258" w:name="_Toc2619"/>
      <w:bookmarkStart w:id="259" w:name="_Toc14711"/>
      <w:r>
        <w:rPr>
          <w:rFonts w:hint="eastAsia"/>
          <w:b/>
          <w:bCs/>
          <w:sz w:val="36"/>
          <w:szCs w:val="36"/>
          <w:lang w:val="en-US" w:eastAsia="zh-CN"/>
        </w:rPr>
        <w:t>第四章  商务要求</w:t>
      </w:r>
      <w:bookmarkEnd w:id="251"/>
      <w:bookmarkEnd w:id="252"/>
      <w:bookmarkEnd w:id="253"/>
      <w:bookmarkEnd w:id="254"/>
      <w:bookmarkEnd w:id="255"/>
      <w:bookmarkEnd w:id="256"/>
    </w:p>
    <w:p w14:paraId="3676D88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一、</w:t>
      </w:r>
      <w:r>
        <w:rPr>
          <w:rFonts w:hint="eastAsia" w:ascii="宋体" w:hAnsi="宋体" w:eastAsia="宋体" w:cs="宋体"/>
          <w:b/>
          <w:bCs w:val="0"/>
          <w:color w:val="auto"/>
          <w:sz w:val="24"/>
          <w:szCs w:val="24"/>
          <w:lang w:val="en-US" w:eastAsia="zh-CN"/>
        </w:rPr>
        <w:t>工期：</w:t>
      </w:r>
      <w:r>
        <w:rPr>
          <w:rFonts w:hint="eastAsia" w:ascii="宋体" w:hAnsi="宋体" w:cs="宋体"/>
          <w:b/>
          <w:bCs w:val="0"/>
          <w:color w:val="auto"/>
          <w:sz w:val="24"/>
          <w:szCs w:val="24"/>
          <w:lang w:val="en-US" w:eastAsia="zh-CN"/>
        </w:rPr>
        <w:t>50日历天</w:t>
      </w:r>
      <w:r>
        <w:rPr>
          <w:rFonts w:hint="eastAsia" w:ascii="宋体" w:hAnsi="宋体" w:eastAsia="宋体" w:cs="宋体"/>
          <w:b/>
          <w:bCs w:val="0"/>
          <w:color w:val="auto"/>
          <w:sz w:val="24"/>
          <w:szCs w:val="24"/>
          <w:lang w:val="en-US" w:eastAsia="zh-CN"/>
        </w:rPr>
        <w:t>。</w:t>
      </w:r>
    </w:p>
    <w:p w14:paraId="00F77E37">
      <w:pPr>
        <w:spacing w:line="360" w:lineRule="auto"/>
        <w:ind w:firstLine="482" w:firstLineChars="200"/>
        <w:jc w:val="left"/>
        <w:outlineLvl w:val="9"/>
        <w:rPr>
          <w:rFonts w:hint="default" w:ascii="宋体" w:hAnsi="宋体"/>
          <w:b/>
          <w:bCs/>
          <w:color w:val="auto"/>
          <w:sz w:val="24"/>
          <w:highlight w:val="none"/>
          <w:lang w:val="en-US" w:eastAsia="zh-CN"/>
        </w:rPr>
      </w:pPr>
      <w:r>
        <w:rPr>
          <w:rFonts w:hint="eastAsia" w:ascii="宋体" w:hAnsi="宋体" w:cs="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lang w:val="en-US" w:eastAsia="zh-CN"/>
        </w:rPr>
        <w:t>质保期：验收合格后1年。</w:t>
      </w:r>
    </w:p>
    <w:p w14:paraId="11FF66E8">
      <w:pPr>
        <w:spacing w:line="360" w:lineRule="auto"/>
        <w:ind w:left="1925" w:leftChars="228" w:hanging="1446" w:hangingChars="600"/>
        <w:jc w:val="left"/>
        <w:outlineLvl w:val="9"/>
        <w:rPr>
          <w:rFonts w:hint="default" w:ascii="宋体" w:hAnsi="宋体"/>
          <w:b/>
          <w:bCs/>
          <w:color w:val="auto"/>
          <w:sz w:val="24"/>
          <w:highlight w:val="none"/>
          <w:lang w:val="en-US" w:eastAsia="zh-CN"/>
        </w:rPr>
      </w:pPr>
      <w:r>
        <w:rPr>
          <w:rFonts w:hint="eastAsia" w:ascii="宋体" w:hAnsi="宋体"/>
          <w:b/>
          <w:bCs/>
          <w:color w:val="auto"/>
          <w:sz w:val="24"/>
          <w:highlight w:val="none"/>
          <w:lang w:val="en-US" w:eastAsia="zh-CN"/>
        </w:rPr>
        <w:t xml:space="preserve">  工程质量：符合国家合格标准。</w:t>
      </w:r>
    </w:p>
    <w:p w14:paraId="706B6ED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imes New Roman" w:hAnsi="Times New Roman" w:eastAsia="宋体" w:cs="Times New Roman"/>
          <w:kern w:val="2"/>
          <w:sz w:val="24"/>
          <w:szCs w:val="16"/>
          <w:lang w:val="en-US" w:eastAsia="zh-CN" w:bidi="ar-SA"/>
        </w:rPr>
      </w:pPr>
      <w:r>
        <w:rPr>
          <w:rFonts w:hint="eastAsia" w:ascii="宋体" w:hAnsi="宋体" w:cs="宋体"/>
          <w:b/>
          <w:bCs w:val="0"/>
          <w:color w:val="auto"/>
          <w:sz w:val="24"/>
          <w:szCs w:val="24"/>
          <w:lang w:val="en-US" w:eastAsia="zh-CN"/>
        </w:rPr>
        <w:t>施工地点：</w:t>
      </w:r>
      <w:r>
        <w:rPr>
          <w:rFonts w:hint="eastAsia" w:cs="Times New Roman"/>
          <w:b/>
          <w:bCs/>
          <w:kern w:val="2"/>
          <w:sz w:val="24"/>
          <w:szCs w:val="16"/>
          <w:lang w:val="en-US" w:eastAsia="zh-CN" w:bidi="ar-SA"/>
        </w:rPr>
        <w:t>吴堡县张家山镇人民政府指定地点。</w:t>
      </w:r>
    </w:p>
    <w:p w14:paraId="3A4CBF1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合同价款</w:t>
      </w:r>
    </w:p>
    <w:p w14:paraId="18C010D2">
      <w:pPr>
        <w:spacing w:line="360" w:lineRule="auto"/>
        <w:ind w:firstLine="480" w:firstLineChars="200"/>
        <w:jc w:val="left"/>
        <w:outlineLvl w:val="9"/>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olor w:val="auto"/>
          <w:sz w:val="24"/>
          <w:highlight w:val="none"/>
        </w:rPr>
        <w:t>投标报价应为本次投标项目所包含的一切相关费用。</w:t>
      </w:r>
    </w:p>
    <w:p w14:paraId="1FB0D223">
      <w:pPr>
        <w:spacing w:line="360" w:lineRule="auto"/>
        <w:ind w:firstLine="480" w:firstLineChars="200"/>
        <w:jc w:val="left"/>
        <w:outlineLvl w:val="9"/>
        <w:rPr>
          <w:rFonts w:hint="eastAsia" w:ascii="宋体" w:hAnsi="宋体" w:cs="宋体"/>
          <w:color w:val="auto"/>
          <w:sz w:val="24"/>
          <w:highlight w:val="none"/>
        </w:rPr>
      </w:pPr>
      <w:r>
        <w:rPr>
          <w:rFonts w:hint="eastAsia" w:ascii="宋体" w:hAnsi="宋体" w:cs="宋体"/>
          <w:color w:val="auto"/>
          <w:sz w:val="24"/>
          <w:highlight w:val="none"/>
        </w:rPr>
        <w:t>2、合同总价一次包死，不受市场价变化的影响。</w:t>
      </w:r>
    </w:p>
    <w:p w14:paraId="210947F2">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lang w:val="en-US" w:eastAsia="zh-CN"/>
        </w:rPr>
      </w:pPr>
      <w:bookmarkStart w:id="260" w:name="_Toc16112"/>
      <w:r>
        <w:rPr>
          <w:rFonts w:hint="eastAsia" w:ascii="宋体" w:hAnsi="宋体" w:cs="宋体"/>
          <w:b/>
          <w:bCs w:val="0"/>
          <w:color w:val="auto"/>
          <w:sz w:val="24"/>
          <w:szCs w:val="24"/>
          <w:lang w:val="en-US" w:eastAsia="zh-CN"/>
        </w:rPr>
        <w:t>四、</w:t>
      </w:r>
      <w:bookmarkEnd w:id="260"/>
      <w:r>
        <w:rPr>
          <w:rFonts w:hint="eastAsia" w:ascii="宋体" w:hAnsi="宋体" w:cs="宋体"/>
          <w:b/>
          <w:bCs w:val="0"/>
          <w:color w:val="auto"/>
          <w:sz w:val="24"/>
          <w:szCs w:val="24"/>
          <w:lang w:val="en-US" w:eastAsia="zh-CN"/>
        </w:rPr>
        <w:t xml:space="preserve">付款： </w:t>
      </w:r>
    </w:p>
    <w:p w14:paraId="779AFD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1、合同总价即成交价，不受市场价变化或实际工作量变化的影响。 </w:t>
      </w:r>
    </w:p>
    <w:p w14:paraId="1F5D3A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2、付款方式和程序： </w:t>
      </w:r>
    </w:p>
    <w:p w14:paraId="4AD106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2.1 由采购人负责结算，在付款前，供应商必须开具全额发票给采购人 （附详细清单）。 </w:t>
      </w:r>
    </w:p>
    <w:p w14:paraId="309E28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shd w:val="clear"/>
          <w:lang w:val="en-US" w:eastAsia="zh-CN"/>
        </w:rPr>
      </w:pPr>
      <w:r>
        <w:rPr>
          <w:rFonts w:hint="eastAsia" w:ascii="宋体" w:hAnsi="宋体" w:eastAsia="宋体" w:cs="宋体"/>
          <w:b w:val="0"/>
          <w:bCs/>
          <w:color w:val="auto"/>
          <w:sz w:val="24"/>
          <w:szCs w:val="24"/>
          <w:lang w:val="en-US" w:eastAsia="zh-CN"/>
        </w:rPr>
        <w:t>2.2</w:t>
      </w:r>
      <w:r>
        <w:rPr>
          <w:rFonts w:hint="eastAsia" w:ascii="宋体" w:hAnsi="宋体" w:eastAsia="宋体" w:cs="宋体"/>
          <w:b w:val="0"/>
          <w:bCs/>
          <w:color w:val="auto"/>
          <w:sz w:val="24"/>
          <w:szCs w:val="24"/>
          <w:shd w:val="clear"/>
          <w:lang w:val="en-US" w:eastAsia="zh-CN"/>
        </w:rPr>
        <w:t xml:space="preserve"> 付款方式：项目开工后拨付合同价40%预付款，项目建成完工后拨付至合同价的80%(开工到完工期间40%的工程款由建设单位、监理与施工企业按工程进度约定分批支付)，在项目竣工验收后，以决算评审价为准，支付剩余工程款。</w:t>
      </w:r>
    </w:p>
    <w:p w14:paraId="373D018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rPr>
      </w:pPr>
      <w:r>
        <w:rPr>
          <w:rFonts w:hint="eastAsia" w:ascii="宋体" w:hAnsi="宋体" w:cs="宋体"/>
          <w:b/>
          <w:bCs w:val="0"/>
          <w:color w:val="auto"/>
          <w:sz w:val="24"/>
          <w:szCs w:val="24"/>
        </w:rPr>
        <w:t>五、</w:t>
      </w:r>
      <w:r>
        <w:rPr>
          <w:rFonts w:ascii="宋体" w:hAnsi="宋体" w:eastAsia="宋体" w:cs="宋体"/>
          <w:b/>
          <w:bCs w:val="0"/>
          <w:color w:val="auto"/>
          <w:sz w:val="24"/>
          <w:szCs w:val="24"/>
        </w:rPr>
        <w:t>服务保证</w:t>
      </w:r>
    </w:p>
    <w:p w14:paraId="66FFFF8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ascii="宋体" w:hAnsi="宋体" w:eastAsia="宋体" w:cs="宋体"/>
          <w:b w:val="0"/>
          <w:bCs w:val="0"/>
          <w:color w:val="000000"/>
          <w:sz w:val="24"/>
          <w:szCs w:val="24"/>
        </w:rPr>
      </w:pPr>
      <w:r>
        <w:rPr>
          <w:rFonts w:ascii="宋体" w:hAnsi="宋体" w:eastAsia="宋体" w:cs="宋体"/>
          <w:b w:val="0"/>
          <w:bCs w:val="0"/>
          <w:color w:val="000000"/>
          <w:sz w:val="24"/>
          <w:szCs w:val="24"/>
        </w:rPr>
        <w:t>供应商交付的服务及材料必须保证质量可靠，应全面满足</w:t>
      </w:r>
      <w:r>
        <w:rPr>
          <w:rFonts w:hint="eastAsia" w:ascii="宋体" w:hAnsi="宋体" w:eastAsia="宋体" w:cs="宋体"/>
          <w:b w:val="0"/>
          <w:bCs w:val="0"/>
          <w:color w:val="000000"/>
          <w:sz w:val="24"/>
          <w:szCs w:val="24"/>
          <w:lang w:val="en-US" w:eastAsia="zh-CN"/>
        </w:rPr>
        <w:t>招标</w:t>
      </w:r>
      <w:r>
        <w:rPr>
          <w:rFonts w:ascii="宋体" w:hAnsi="宋体" w:eastAsia="宋体" w:cs="宋体"/>
          <w:b w:val="0"/>
          <w:bCs w:val="0"/>
          <w:color w:val="000000"/>
          <w:sz w:val="24"/>
          <w:szCs w:val="24"/>
        </w:rPr>
        <w:t>文件的要求，采购文件未明确要求的内容，供应商按磋商服务要求或以采购人的补充要求为准。所供服务及材料应严格按照国家最新发布的规范标准执行，如发生问题由供应商承担全部责任。</w:t>
      </w:r>
    </w:p>
    <w:p w14:paraId="3BD6BF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ascii="宋体" w:hAnsi="宋体" w:eastAsia="宋体" w:cs="宋体"/>
          <w:b/>
          <w:bCs/>
          <w:color w:val="000000"/>
          <w:sz w:val="24"/>
          <w:szCs w:val="24"/>
        </w:rPr>
      </w:pPr>
      <w:r>
        <w:rPr>
          <w:rFonts w:hint="eastAsia" w:ascii="宋体" w:hAnsi="宋体" w:cs="宋体"/>
          <w:b/>
          <w:bCs/>
          <w:color w:val="000000"/>
          <w:sz w:val="24"/>
          <w:szCs w:val="24"/>
          <w:lang w:val="en-US" w:eastAsia="zh-CN"/>
        </w:rPr>
        <w:t>六、</w:t>
      </w:r>
      <w:r>
        <w:rPr>
          <w:rFonts w:ascii="宋体" w:hAnsi="宋体" w:eastAsia="宋体" w:cs="宋体"/>
          <w:b/>
          <w:bCs/>
          <w:color w:val="000000"/>
          <w:sz w:val="24"/>
          <w:szCs w:val="24"/>
        </w:rPr>
        <w:t>知识产权</w:t>
      </w:r>
    </w:p>
    <w:p w14:paraId="29492E20">
      <w:pPr>
        <w:pStyle w:val="11"/>
        <w:numPr>
          <w:ilvl w:val="0"/>
          <w:numId w:val="0"/>
        </w:numPr>
        <w:spacing w:line="360" w:lineRule="auto"/>
        <w:ind w:firstLine="480" w:firstLineChars="200"/>
        <w:outlineLvl w:val="9"/>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供应商应对所供服务具有或已取得合法知识产权，供应商应保证所供服务不会出现因第三方提出侵犯其专利权、商标权或其它知识产权而引发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14:paraId="1A2DB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七、违约责任</w:t>
      </w:r>
    </w:p>
    <w:p w14:paraId="1201FC97">
      <w:pPr>
        <w:bidi w:val="0"/>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按《中华人民共和国政府采购法》</w:t>
      </w:r>
      <w:r>
        <w:rPr>
          <w:rFonts w:hint="eastAsia" w:ascii="宋体" w:hAnsi="宋体" w:eastAsia="宋体" w:cs="宋体"/>
          <w:sz w:val="24"/>
          <w:szCs w:val="24"/>
          <w:lang w:eastAsia="zh-CN"/>
        </w:rPr>
        <w:t>、</w:t>
      </w:r>
      <w:r>
        <w:rPr>
          <w:rFonts w:hint="eastAsia" w:ascii="宋体" w:hAnsi="宋体" w:eastAsia="宋体" w:cs="宋体"/>
          <w:sz w:val="24"/>
          <w:szCs w:val="24"/>
        </w:rPr>
        <w:t xml:space="preserve">《中华人民共和国民法典》中的相关条款执行。 </w:t>
      </w:r>
    </w:p>
    <w:p w14:paraId="7BDE405E">
      <w:pPr>
        <w:bidi w:val="0"/>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未按合同或</w:t>
      </w:r>
      <w:r>
        <w:rPr>
          <w:rFonts w:hint="eastAsia" w:ascii="宋体" w:hAnsi="宋体" w:eastAsia="宋体" w:cs="宋体"/>
          <w:sz w:val="24"/>
          <w:szCs w:val="24"/>
          <w:lang w:val="en-US" w:eastAsia="zh-CN"/>
        </w:rPr>
        <w:t>招标</w:t>
      </w:r>
      <w:r>
        <w:rPr>
          <w:rFonts w:hint="eastAsia" w:ascii="宋体" w:hAnsi="宋体" w:eastAsia="宋体" w:cs="宋体"/>
          <w:sz w:val="24"/>
          <w:szCs w:val="24"/>
        </w:rPr>
        <w:t xml:space="preserve">文件要求提供服务或供应的服务质量不能满足采购人技术要求，采购单位有权终止合同，甚至对供应商违约行为进行追究。 </w:t>
      </w:r>
    </w:p>
    <w:p w14:paraId="3ED74FE1">
      <w:pPr>
        <w:bidi w:val="0"/>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供应商的响应文件为签订正式书面合同书不可分割的部分，供应商应履行相应的责任。</w:t>
      </w:r>
    </w:p>
    <w:p w14:paraId="5DB364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rPr>
      </w:pPr>
      <w:r>
        <w:rPr>
          <w:rFonts w:hint="eastAsia" w:ascii="宋体" w:hAnsi="宋体" w:eastAsia="宋体" w:cs="宋体"/>
          <w:b/>
          <w:bCs/>
          <w:color w:val="000000"/>
          <w:sz w:val="24"/>
          <w:szCs w:val="24"/>
          <w:lang w:val="en-US" w:eastAsia="zh-CN"/>
        </w:rPr>
        <w:t>八、验收标准</w:t>
      </w:r>
    </w:p>
    <w:p w14:paraId="7CA76D09">
      <w:pPr>
        <w:bidi w:val="0"/>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14:paraId="4C0A63D9">
      <w:pPr>
        <w:bidi w:val="0"/>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验收依据：</w:t>
      </w:r>
      <w:r>
        <w:rPr>
          <w:rFonts w:hint="eastAsia" w:ascii="宋体" w:hAnsi="宋体" w:eastAsia="宋体" w:cs="宋体"/>
          <w:sz w:val="24"/>
          <w:szCs w:val="24"/>
        </w:rPr>
        <w:t>合同文本、磋商文件、磋商响应文件；国家或行业标准、规范等规定的标准和方法。</w:t>
      </w:r>
    </w:p>
    <w:p w14:paraId="47D2B5D2">
      <w:pPr>
        <w:bidi w:val="0"/>
        <w:spacing w:line="360" w:lineRule="auto"/>
        <w:ind w:firstLine="480" w:firstLineChars="200"/>
        <w:outlineLvl w:val="9"/>
        <w:rPr>
          <w:rFonts w:hint="eastAsia" w:ascii="宋体" w:hAnsi="宋体" w:eastAsia="宋体" w:cs="宋体"/>
          <w:sz w:val="24"/>
          <w:szCs w:val="24"/>
        </w:rPr>
        <w:sectPr>
          <w:pgSz w:w="11906" w:h="16838"/>
          <w:pgMar w:top="1219" w:right="1800" w:bottom="1219" w:left="1800" w:header="851" w:footer="992" w:gutter="0"/>
          <w:pgNumType w:fmt="decimal"/>
          <w:cols w:space="720" w:num="1"/>
          <w:docGrid w:type="lines" w:linePitch="312" w:charSpace="0"/>
        </w:sectPr>
      </w:pPr>
    </w:p>
    <w:bookmarkEnd w:id="257"/>
    <w:bookmarkEnd w:id="258"/>
    <w:bookmarkEnd w:id="259"/>
    <w:p w14:paraId="35C8466A">
      <w:pPr>
        <w:bidi w:val="0"/>
        <w:jc w:val="center"/>
        <w:outlineLvl w:val="0"/>
        <w:rPr>
          <w:rFonts w:hint="eastAsia" w:eastAsia="宋体"/>
          <w:b/>
          <w:bCs/>
          <w:sz w:val="36"/>
          <w:szCs w:val="36"/>
          <w:lang w:eastAsia="zh-CN"/>
        </w:rPr>
      </w:pPr>
      <w:bookmarkStart w:id="261" w:name="_Toc31409"/>
      <w:bookmarkStart w:id="262" w:name="_Toc25814"/>
      <w:bookmarkStart w:id="263" w:name="_Toc21882"/>
      <w:bookmarkStart w:id="264" w:name="_Toc28604"/>
      <w:bookmarkStart w:id="265" w:name="_Toc31270"/>
      <w:bookmarkStart w:id="266" w:name="_Toc14952"/>
      <w:bookmarkStart w:id="267" w:name="_Toc24976"/>
      <w:bookmarkStart w:id="268" w:name="_Toc6363"/>
      <w:bookmarkStart w:id="269" w:name="_Toc3752"/>
      <w:bookmarkStart w:id="270" w:name="_Toc1581"/>
      <w:bookmarkStart w:id="271" w:name="_Toc13059"/>
      <w:bookmarkStart w:id="272" w:name="_Toc30843"/>
      <w:bookmarkStart w:id="273" w:name="_Toc17980"/>
      <w:bookmarkStart w:id="274" w:name="_Toc28897"/>
      <w:bookmarkStart w:id="275" w:name="_Toc3157"/>
      <w:bookmarkStart w:id="276" w:name="_Toc26171"/>
      <w:bookmarkStart w:id="277" w:name="_Toc14444"/>
      <w:bookmarkStart w:id="278" w:name="_Toc24168"/>
      <w:bookmarkStart w:id="279" w:name="_Toc6072"/>
      <w:bookmarkStart w:id="280" w:name="_Toc474770760"/>
      <w:bookmarkStart w:id="281" w:name="_Toc510859905"/>
      <w:bookmarkStart w:id="282" w:name="_Toc504605199"/>
      <w:r>
        <w:rPr>
          <w:rFonts w:hint="eastAsia"/>
          <w:b/>
          <w:bCs/>
          <w:sz w:val="36"/>
          <w:szCs w:val="36"/>
          <w:lang w:val="en-US" w:eastAsia="zh-CN"/>
        </w:rPr>
        <w:t>第五章</w:t>
      </w:r>
      <w:r>
        <w:rPr>
          <w:rFonts w:hint="eastAsia"/>
          <w:b/>
          <w:bCs/>
          <w:sz w:val="36"/>
          <w:szCs w:val="36"/>
        </w:rPr>
        <w:t xml:space="preserve"> </w:t>
      </w:r>
      <w:r>
        <w:rPr>
          <w:rFonts w:hint="eastAsia"/>
          <w:b/>
          <w:bCs/>
          <w:sz w:val="36"/>
          <w:szCs w:val="36"/>
          <w:lang w:val="en-US" w:eastAsia="zh-CN"/>
        </w:rPr>
        <w:t xml:space="preserve"> </w:t>
      </w:r>
      <w:bookmarkEnd w:id="261"/>
      <w:r>
        <w:rPr>
          <w:rFonts w:hint="eastAsia"/>
          <w:b/>
          <w:bCs/>
          <w:sz w:val="36"/>
          <w:szCs w:val="36"/>
        </w:rPr>
        <w:t>政府采购合同</w:t>
      </w:r>
      <w:bookmarkEnd w:id="262"/>
      <w:bookmarkEnd w:id="263"/>
      <w:bookmarkEnd w:id="264"/>
      <w:r>
        <w:rPr>
          <w:rFonts w:hint="eastAsia"/>
          <w:b/>
          <w:bCs/>
          <w:sz w:val="36"/>
          <w:szCs w:val="36"/>
          <w:lang w:eastAsia="zh-CN"/>
        </w:rPr>
        <w:t>（</w:t>
      </w:r>
      <w:r>
        <w:rPr>
          <w:rFonts w:hint="eastAsia"/>
          <w:b/>
          <w:bCs/>
          <w:sz w:val="36"/>
          <w:szCs w:val="36"/>
          <w:lang w:val="en-US" w:eastAsia="zh-CN"/>
        </w:rPr>
        <w:t>仅供参考</w:t>
      </w:r>
      <w:r>
        <w:rPr>
          <w:rFonts w:hint="eastAsia"/>
          <w:b/>
          <w:bCs/>
          <w:sz w:val="36"/>
          <w:szCs w:val="36"/>
          <w:lang w:eastAsia="zh-CN"/>
        </w:rPr>
        <w:t>）</w:t>
      </w:r>
      <w:bookmarkEnd w:id="265"/>
      <w:bookmarkEnd w:id="266"/>
      <w:bookmarkEnd w:id="267"/>
    </w:p>
    <w:bookmarkEnd w:id="268"/>
    <w:bookmarkEnd w:id="269"/>
    <w:bookmarkEnd w:id="270"/>
    <w:bookmarkEnd w:id="271"/>
    <w:bookmarkEnd w:id="272"/>
    <w:bookmarkEnd w:id="273"/>
    <w:bookmarkEnd w:id="274"/>
    <w:bookmarkEnd w:id="275"/>
    <w:bookmarkEnd w:id="276"/>
    <w:bookmarkEnd w:id="277"/>
    <w:bookmarkEnd w:id="278"/>
    <w:p w14:paraId="541C4A0B">
      <w:pPr>
        <w:pStyle w:val="3"/>
        <w:tabs>
          <w:tab w:val="left" w:pos="2085"/>
        </w:tabs>
        <w:ind w:left="0" w:firstLine="0"/>
        <w:jc w:val="both"/>
        <w:rPr>
          <w:rFonts w:hint="eastAsia" w:asciiTheme="minorEastAsia" w:hAnsiTheme="minorEastAsia" w:eastAsiaTheme="minorEastAsia" w:cstheme="minorEastAsia"/>
          <w:b/>
          <w:bCs/>
          <w:color w:val="auto"/>
          <w:kern w:val="0"/>
          <w:sz w:val="30"/>
          <w:szCs w:val="30"/>
        </w:rPr>
      </w:pPr>
      <w:bookmarkStart w:id="283" w:name="_Toc247085852"/>
      <w:bookmarkStart w:id="284" w:name="_Toc152042547"/>
      <w:bookmarkStart w:id="285" w:name="_Toc246996337"/>
      <w:bookmarkStart w:id="286" w:name="_Toc411556174"/>
      <w:bookmarkStart w:id="287" w:name="_Toc152045768"/>
      <w:bookmarkStart w:id="288" w:name="_Toc144974827"/>
      <w:bookmarkStart w:id="289" w:name="_Toc9733"/>
      <w:bookmarkStart w:id="290" w:name="_Toc179632786"/>
      <w:bookmarkStart w:id="291" w:name="_Toc246997080"/>
      <w:bookmarkStart w:id="292" w:name="_Toc21474"/>
    </w:p>
    <w:bookmarkEnd w:id="283"/>
    <w:bookmarkEnd w:id="284"/>
    <w:bookmarkEnd w:id="285"/>
    <w:bookmarkEnd w:id="286"/>
    <w:bookmarkEnd w:id="287"/>
    <w:bookmarkEnd w:id="288"/>
    <w:bookmarkEnd w:id="289"/>
    <w:bookmarkEnd w:id="290"/>
    <w:bookmarkEnd w:id="291"/>
    <w:p w14:paraId="7449022A">
      <w:pPr>
        <w:spacing w:line="360" w:lineRule="auto"/>
        <w:jc w:val="center"/>
        <w:rPr>
          <w:rFonts w:hint="eastAsia" w:asciiTheme="minorEastAsia" w:hAnsiTheme="minorEastAsia" w:eastAsiaTheme="minorEastAsia" w:cstheme="minorEastAsia"/>
          <w:bCs/>
          <w:color w:val="auto"/>
          <w:sz w:val="40"/>
          <w:szCs w:val="40"/>
        </w:rPr>
      </w:pPr>
      <w:bookmarkStart w:id="293" w:name="_Toc336804729"/>
      <w:bookmarkStart w:id="294" w:name="_Toc4658"/>
      <w:r>
        <w:rPr>
          <w:rFonts w:hint="eastAsia" w:asciiTheme="minorEastAsia" w:hAnsiTheme="minorEastAsia" w:eastAsiaTheme="minorEastAsia" w:cstheme="minorEastAsia"/>
          <w:bCs/>
          <w:color w:val="auto"/>
          <w:sz w:val="40"/>
          <w:szCs w:val="40"/>
        </w:rPr>
        <w:t>陕西省建设工程施工合同</w:t>
      </w:r>
    </w:p>
    <w:p w14:paraId="0748F03E">
      <w:pPr>
        <w:spacing w:line="360" w:lineRule="auto"/>
        <w:jc w:val="center"/>
        <w:rPr>
          <w:rFonts w:hint="eastAsia" w:asciiTheme="minorEastAsia" w:hAnsiTheme="minorEastAsia" w:eastAsiaTheme="minorEastAsia" w:cstheme="minorEastAsia"/>
          <w:b/>
          <w:bCs/>
          <w:color w:val="auto"/>
          <w:sz w:val="28"/>
          <w:szCs w:val="28"/>
        </w:rPr>
      </w:pPr>
    </w:p>
    <w:p w14:paraId="3B63BD49">
      <w:pPr>
        <w:adjustRightInd w:val="0"/>
        <w:snapToGrid w:val="0"/>
        <w:spacing w:line="360" w:lineRule="auto"/>
        <w:jc w:val="center"/>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bCs/>
          <w:color w:val="auto"/>
          <w:sz w:val="28"/>
          <w:szCs w:val="28"/>
        </w:rPr>
        <w:t xml:space="preserve"> </w:t>
      </w:r>
    </w:p>
    <w:p w14:paraId="670D758F">
      <w:pPr>
        <w:adjustRightInd w:val="0"/>
        <w:snapToGrid w:val="0"/>
        <w:spacing w:line="360" w:lineRule="auto"/>
        <w:jc w:val="center"/>
        <w:rPr>
          <w:rFonts w:hint="eastAsia" w:asciiTheme="minorEastAsia" w:hAnsiTheme="minorEastAsia" w:eastAsiaTheme="minorEastAsia" w:cstheme="minorEastAsia"/>
          <w:b/>
          <w:color w:val="auto"/>
          <w:sz w:val="28"/>
          <w:szCs w:val="28"/>
        </w:rPr>
      </w:pPr>
    </w:p>
    <w:p w14:paraId="727D75A1">
      <w:pPr>
        <w:spacing w:line="360" w:lineRule="auto"/>
        <w:jc w:val="center"/>
        <w:rPr>
          <w:rFonts w:hint="eastAsia" w:asciiTheme="minorEastAsia" w:hAnsiTheme="minorEastAsia" w:eastAsiaTheme="minorEastAsia" w:cstheme="minorEastAsia"/>
          <w:b/>
          <w:bCs/>
          <w:color w:val="auto"/>
          <w:sz w:val="28"/>
          <w:szCs w:val="28"/>
        </w:rPr>
      </w:pPr>
    </w:p>
    <w:p w14:paraId="65C888B5">
      <w:pPr>
        <w:spacing w:line="360" w:lineRule="auto"/>
        <w:jc w:val="center"/>
        <w:rPr>
          <w:rFonts w:hint="eastAsia" w:asciiTheme="minorEastAsia" w:hAnsiTheme="minorEastAsia" w:eastAsiaTheme="minorEastAsia" w:cstheme="minorEastAsia"/>
          <w:color w:val="auto"/>
          <w:sz w:val="28"/>
          <w:szCs w:val="28"/>
        </w:rPr>
      </w:pPr>
    </w:p>
    <w:p w14:paraId="388943F4">
      <w:pPr>
        <w:spacing w:line="360" w:lineRule="auto"/>
        <w:ind w:firstLine="200"/>
        <w:jc w:val="center"/>
        <w:rPr>
          <w:rFonts w:hint="eastAsia" w:asciiTheme="minorEastAsia" w:hAnsiTheme="minorEastAsia" w:eastAsiaTheme="minorEastAsia" w:cstheme="minorEastAsia"/>
          <w:b/>
          <w:bCs/>
          <w:color w:val="auto"/>
          <w:sz w:val="28"/>
          <w:szCs w:val="28"/>
        </w:rPr>
      </w:pPr>
    </w:p>
    <w:p w14:paraId="5B2FC7B9">
      <w:pPr>
        <w:spacing w:line="360" w:lineRule="auto"/>
        <w:ind w:firstLine="200"/>
        <w:jc w:val="center"/>
        <w:rPr>
          <w:rFonts w:hint="eastAsia" w:asciiTheme="minorEastAsia" w:hAnsiTheme="minorEastAsia" w:eastAsiaTheme="minorEastAsia" w:cstheme="minorEastAsia"/>
          <w:b/>
          <w:bCs/>
          <w:color w:val="auto"/>
          <w:sz w:val="28"/>
          <w:szCs w:val="28"/>
        </w:rPr>
      </w:pPr>
    </w:p>
    <w:p w14:paraId="14BA46D6">
      <w:pPr>
        <w:spacing w:line="360" w:lineRule="auto"/>
        <w:ind w:firstLine="200"/>
        <w:jc w:val="center"/>
        <w:rPr>
          <w:rFonts w:hint="eastAsia" w:asciiTheme="minorEastAsia" w:hAnsiTheme="minorEastAsia" w:eastAsiaTheme="minorEastAsia" w:cstheme="minorEastAsia"/>
          <w:b/>
          <w:bCs/>
          <w:color w:val="auto"/>
          <w:sz w:val="28"/>
          <w:szCs w:val="28"/>
        </w:rPr>
      </w:pPr>
    </w:p>
    <w:p w14:paraId="2A912C7C">
      <w:pPr>
        <w:spacing w:line="360" w:lineRule="auto"/>
        <w:ind w:firstLine="200"/>
        <w:jc w:val="center"/>
        <w:rPr>
          <w:rFonts w:hint="eastAsia" w:asciiTheme="minorEastAsia" w:hAnsiTheme="minorEastAsia" w:eastAsiaTheme="minorEastAsia" w:cstheme="minorEastAsia"/>
          <w:b/>
          <w:bCs/>
          <w:color w:val="auto"/>
          <w:sz w:val="28"/>
          <w:szCs w:val="28"/>
        </w:rPr>
      </w:pPr>
    </w:p>
    <w:p w14:paraId="6569FF8F">
      <w:pPr>
        <w:spacing w:line="360" w:lineRule="auto"/>
        <w:ind w:firstLine="200"/>
        <w:jc w:val="center"/>
        <w:rPr>
          <w:rFonts w:hint="eastAsia" w:asciiTheme="minorEastAsia" w:hAnsiTheme="minorEastAsia" w:eastAsiaTheme="minorEastAsia" w:cstheme="minorEastAsia"/>
          <w:b/>
          <w:bCs/>
          <w:color w:val="auto"/>
          <w:sz w:val="28"/>
          <w:szCs w:val="28"/>
        </w:rPr>
      </w:pPr>
    </w:p>
    <w:p w14:paraId="6D84F32E">
      <w:pPr>
        <w:spacing w:line="360" w:lineRule="auto"/>
        <w:rPr>
          <w:rFonts w:hint="eastAsia" w:asciiTheme="minorEastAsia" w:hAnsiTheme="minorEastAsia" w:eastAsiaTheme="minorEastAsia" w:cstheme="minorEastAsia"/>
          <w:b/>
          <w:bCs/>
          <w:color w:val="auto"/>
          <w:sz w:val="28"/>
          <w:szCs w:val="28"/>
        </w:rPr>
      </w:pPr>
    </w:p>
    <w:p w14:paraId="7EE75F51">
      <w:pPr>
        <w:spacing w:line="360" w:lineRule="auto"/>
        <w:jc w:val="both"/>
        <w:rPr>
          <w:rFonts w:hint="eastAsia" w:asciiTheme="minorEastAsia" w:hAnsiTheme="minorEastAsia" w:eastAsiaTheme="minorEastAsia" w:cstheme="minorEastAsia"/>
          <w:b/>
          <w:bCs/>
          <w:color w:val="auto"/>
          <w:sz w:val="28"/>
          <w:szCs w:val="28"/>
        </w:rPr>
      </w:pPr>
    </w:p>
    <w:p w14:paraId="6E37CCD7">
      <w:pPr>
        <w:pStyle w:val="11"/>
        <w:spacing w:line="360" w:lineRule="auto"/>
        <w:rPr>
          <w:rFonts w:hint="eastAsia" w:asciiTheme="minorEastAsia" w:hAnsiTheme="minorEastAsia" w:eastAsiaTheme="minorEastAsia" w:cstheme="minorEastAsia"/>
          <w:b/>
          <w:bCs/>
          <w:color w:val="auto"/>
          <w:sz w:val="28"/>
          <w:szCs w:val="28"/>
        </w:rPr>
      </w:pPr>
    </w:p>
    <w:p w14:paraId="51FA2142">
      <w:pPr>
        <w:spacing w:line="360" w:lineRule="auto"/>
        <w:jc w:val="both"/>
        <w:rPr>
          <w:rFonts w:hint="eastAsia" w:asciiTheme="minorEastAsia" w:hAnsiTheme="minorEastAsia" w:eastAsiaTheme="minorEastAsia" w:cstheme="minorEastAsia"/>
          <w:b/>
          <w:bCs/>
          <w:color w:val="auto"/>
          <w:sz w:val="28"/>
          <w:szCs w:val="28"/>
        </w:rPr>
      </w:pPr>
    </w:p>
    <w:p w14:paraId="55CF1D55">
      <w:pPr>
        <w:spacing w:line="360" w:lineRule="auto"/>
        <w:ind w:firstLine="200"/>
        <w:jc w:val="center"/>
        <w:rPr>
          <w:rFonts w:hint="eastAsia" w:asciiTheme="minorEastAsia" w:hAnsiTheme="minorEastAsia" w:eastAsiaTheme="minorEastAsia" w:cstheme="minorEastAsia"/>
          <w:b/>
          <w:bCs/>
          <w:color w:val="auto"/>
          <w:sz w:val="28"/>
          <w:szCs w:val="28"/>
        </w:rPr>
      </w:pPr>
    </w:p>
    <w:p w14:paraId="003402EB">
      <w:pPr>
        <w:spacing w:line="360" w:lineRule="auto"/>
        <w:ind w:firstLine="200"/>
        <w:jc w:val="center"/>
        <w:rPr>
          <w:rFonts w:hint="eastAsia" w:asciiTheme="minorEastAsia" w:hAnsiTheme="minorEastAsia" w:eastAsiaTheme="minorEastAsia" w:cstheme="minorEastAsia"/>
          <w:b/>
          <w:bCs/>
          <w:color w:val="auto"/>
          <w:sz w:val="28"/>
          <w:szCs w:val="28"/>
        </w:rPr>
      </w:pPr>
    </w:p>
    <w:p w14:paraId="1D53BD74">
      <w:pPr>
        <w:spacing w:line="360" w:lineRule="auto"/>
        <w:ind w:left="0" w:leftChars="0" w:hanging="6"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4457700</wp:posOffset>
                </wp:positionH>
                <wp:positionV relativeFrom="paragraph">
                  <wp:posOffset>113665</wp:posOffset>
                </wp:positionV>
                <wp:extent cx="685800" cy="594360"/>
                <wp:effectExtent l="4445" t="4445" r="14605" b="10795"/>
                <wp:wrapNone/>
                <wp:docPr id="1" name="矩形 1"/>
                <wp:cNvGraphicFramePr/>
                <a:graphic xmlns:a="http://schemas.openxmlformats.org/drawingml/2006/main">
                  <a:graphicData uri="http://schemas.microsoft.com/office/word/2010/wordprocessingShape">
                    <wps:wsp>
                      <wps:cNvSpPr/>
                      <wps:spPr>
                        <a:xfrm>
                          <a:off x="0" y="0"/>
                          <a:ext cx="685800" cy="5943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14866ED6">
                            <w:pPr>
                              <w:rPr>
                                <w:rFonts w:hint="eastAsia" w:ascii="宋体" w:hAnsi="宋体"/>
                                <w:b/>
                                <w:sz w:val="44"/>
                                <w:szCs w:val="44"/>
                              </w:rPr>
                            </w:pPr>
                            <w:r>
                              <w:rPr>
                                <w:rFonts w:hint="eastAsia" w:ascii="宋体" w:hAnsi="宋体"/>
                                <w:b/>
                                <w:sz w:val="44"/>
                                <w:szCs w:val="44"/>
                              </w:rPr>
                              <w:t>制</w:t>
                            </w:r>
                          </w:p>
                        </w:txbxContent>
                      </wps:txbx>
                      <wps:bodyPr upright="1"/>
                    </wps:wsp>
                  </a:graphicData>
                </a:graphic>
              </wp:anchor>
            </w:drawing>
          </mc:Choice>
          <mc:Fallback>
            <w:pict>
              <v:rect id="_x0000_s1026" o:spid="_x0000_s1026" o:spt="1" style="position:absolute;left:0pt;margin-left:351pt;margin-top:8.95pt;height:46.8pt;width:54pt;z-index:251659264;mso-width-relative:page;mso-height-relative:page;" fillcolor="#FFFFFF" filled="t" stroked="t" coordsize="21600,21600" o:gfxdata="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Xmb1gAAAAoBAAAPAAAAAAAAAAEAIAAAACIAAABkcnMvZG93&#10;bnJldi54bWxQSwECFAAUAAAACACHTuJA0d/wNQICAAA2BAAADgAAAAAAAAABACAAAAAlAQAAZHJz&#10;L2Uyb0RvYy54bWxQSwUGAAAAAAYABgBZAQAAmQUAAAAA&#10;">
                <v:fill on="t" focussize="0,0"/>
                <v:stroke color="#FFFFFF" joinstyle="miter"/>
                <v:imagedata o:title=""/>
                <o:lock v:ext="edit" aspectratio="f"/>
                <v:textbox>
                  <w:txbxContent>
                    <w:p w14:paraId="14866ED6">
                      <w:pPr>
                        <w:rPr>
                          <w:rFonts w:hint="eastAsia" w:ascii="宋体" w:hAnsi="宋体"/>
                          <w:b/>
                          <w:sz w:val="44"/>
                          <w:szCs w:val="44"/>
                        </w:rPr>
                      </w:pPr>
                      <w:r>
                        <w:rPr>
                          <w:rFonts w:hint="eastAsia" w:ascii="宋体" w:hAnsi="宋体"/>
                          <w:b/>
                          <w:sz w:val="44"/>
                          <w:szCs w:val="44"/>
                        </w:rPr>
                        <w:t>制</w:t>
                      </w:r>
                    </w:p>
                  </w:txbxContent>
                </v:textbox>
              </v:rect>
            </w:pict>
          </mc:Fallback>
        </mc:AlternateContent>
      </w:r>
      <w:r>
        <w:rPr>
          <w:rFonts w:hint="eastAsia" w:asciiTheme="minorEastAsia" w:hAnsiTheme="minorEastAsia" w:eastAsiaTheme="minorEastAsia" w:cstheme="minorEastAsia"/>
          <w:b/>
          <w:bCs/>
          <w:color w:val="auto"/>
          <w:spacing w:val="143"/>
          <w:sz w:val="28"/>
          <w:szCs w:val="28"/>
        </w:rPr>
        <w:t>陕西省建设</w:t>
      </w:r>
      <w:r>
        <w:rPr>
          <w:rFonts w:hint="eastAsia" w:asciiTheme="minorEastAsia" w:hAnsiTheme="minorEastAsia" w:eastAsiaTheme="minorEastAsia" w:cstheme="minorEastAsia"/>
          <w:b/>
          <w:bCs/>
          <w:color w:val="auto"/>
          <w:spacing w:val="1"/>
          <w:sz w:val="28"/>
          <w:szCs w:val="28"/>
        </w:rPr>
        <w:t>厅</w:t>
      </w:r>
    </w:p>
    <w:p w14:paraId="63548700">
      <w:pPr>
        <w:spacing w:line="360" w:lineRule="auto"/>
        <w:ind w:left="0" w:leftChars="0" w:hanging="6"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pacing w:val="7"/>
          <w:w w:val="96"/>
          <w:sz w:val="28"/>
          <w:szCs w:val="28"/>
        </w:rPr>
        <w:t>陕西省工商行政管理</w:t>
      </w:r>
      <w:r>
        <w:rPr>
          <w:rFonts w:hint="eastAsia" w:asciiTheme="minorEastAsia" w:hAnsiTheme="minorEastAsia" w:eastAsiaTheme="minorEastAsia" w:cstheme="minorEastAsia"/>
          <w:b/>
          <w:bCs/>
          <w:color w:val="auto"/>
          <w:w w:val="96"/>
          <w:sz w:val="28"/>
          <w:szCs w:val="28"/>
        </w:rPr>
        <w:t>局</w:t>
      </w:r>
    </w:p>
    <w:p w14:paraId="663458D1">
      <w:pPr>
        <w:pStyle w:val="2"/>
        <w:pageBreakBefore w:val="0"/>
        <w:kinsoku/>
        <w:wordWrap/>
        <w:overflowPunct/>
        <w:topLinePunct w:val="0"/>
        <w:bidi w:val="0"/>
        <w:snapToGrid/>
        <w:spacing w:line="360" w:lineRule="auto"/>
        <w:jc w:val="center"/>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b/>
          <w:bCs/>
          <w:color w:val="auto"/>
          <w:sz w:val="28"/>
          <w:szCs w:val="28"/>
          <w:lang w:eastAsia="zh-CN"/>
        </w:rPr>
        <w:t>二○二</w:t>
      </w:r>
      <w:r>
        <w:rPr>
          <w:rFonts w:hint="eastAsia" w:asciiTheme="minorEastAsia" w:hAnsiTheme="minorEastAsia" w:eastAsiaTheme="minorEastAsia" w:cstheme="minorEastAsia"/>
          <w:b/>
          <w:bCs/>
          <w:color w:val="auto"/>
          <w:sz w:val="28"/>
          <w:szCs w:val="28"/>
          <w:lang w:val="en-US" w:eastAsia="zh-CN"/>
        </w:rPr>
        <w:t xml:space="preserve">  </w:t>
      </w:r>
      <w:r>
        <w:rPr>
          <w:rFonts w:hint="eastAsia" w:asciiTheme="minorEastAsia" w:hAnsiTheme="minorEastAsia" w:eastAsiaTheme="minorEastAsia" w:cstheme="minorEastAsia"/>
          <w:b/>
          <w:bCs/>
          <w:color w:val="auto"/>
          <w:sz w:val="28"/>
          <w:szCs w:val="28"/>
          <w:lang w:eastAsia="zh-CN"/>
        </w:rPr>
        <w:t>年</w:t>
      </w:r>
      <w:r>
        <w:rPr>
          <w:rFonts w:hint="eastAsia" w:asciiTheme="minorEastAsia" w:hAnsiTheme="minorEastAsia" w:eastAsiaTheme="minorEastAsia" w:cstheme="minorEastAsia"/>
          <w:b/>
          <w:bCs/>
          <w:color w:val="auto"/>
          <w:sz w:val="28"/>
          <w:szCs w:val="28"/>
          <w:lang w:val="en-US" w:eastAsia="zh-CN"/>
        </w:rPr>
        <w:t xml:space="preserve">  </w:t>
      </w:r>
      <w:r>
        <w:rPr>
          <w:rFonts w:hint="eastAsia" w:asciiTheme="minorEastAsia" w:hAnsiTheme="minorEastAsia" w:eastAsiaTheme="minorEastAsia" w:cstheme="minorEastAsia"/>
          <w:b/>
          <w:bCs/>
          <w:color w:val="auto"/>
          <w:sz w:val="28"/>
          <w:szCs w:val="28"/>
          <w:lang w:eastAsia="zh-CN"/>
        </w:rPr>
        <w:t>月</w:t>
      </w:r>
      <w:r>
        <w:rPr>
          <w:rFonts w:hint="eastAsia" w:asciiTheme="minorEastAsia" w:hAnsiTheme="minorEastAsia" w:eastAsiaTheme="minorEastAsia" w:cstheme="minorEastAsia"/>
          <w:b/>
          <w:bCs/>
          <w:color w:val="auto"/>
          <w:sz w:val="28"/>
          <w:szCs w:val="28"/>
        </w:rPr>
        <w:br w:type="page"/>
      </w:r>
      <w:bookmarkStart w:id="295" w:name="_Toc10165"/>
      <w:bookmarkStart w:id="296" w:name="_Toc10348"/>
      <w:bookmarkStart w:id="297" w:name="_Toc21787"/>
      <w:bookmarkStart w:id="298" w:name="_Toc173"/>
      <w:r>
        <w:rPr>
          <w:rFonts w:hint="eastAsia" w:ascii="宋体" w:hAnsi="宋体" w:eastAsia="宋体" w:cs="宋体"/>
          <w:color w:val="auto"/>
          <w:sz w:val="24"/>
          <w:szCs w:val="24"/>
          <w:lang w:eastAsia="zh-CN"/>
        </w:rPr>
        <w:t>建设工程施工合同</w:t>
      </w:r>
      <w:bookmarkEnd w:id="295"/>
      <w:bookmarkEnd w:id="296"/>
    </w:p>
    <w:p w14:paraId="745C0D1C">
      <w:pPr>
        <w:pStyle w:val="23"/>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本工程施工合同采用建设部、国家工商行政管理局</w:t>
      </w:r>
      <w:r>
        <w:rPr>
          <w:rFonts w:hint="eastAsia" w:ascii="宋体" w:hAnsi="宋体" w:eastAsia="宋体" w:cs="宋体"/>
          <w:color w:val="auto"/>
          <w:sz w:val="24"/>
          <w:szCs w:val="24"/>
          <w:lang w:val="en-US" w:eastAsia="zh-CN"/>
        </w:rPr>
        <w:t>2017</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执行</w:t>
      </w:r>
      <w:r>
        <w:rPr>
          <w:rFonts w:hint="eastAsia" w:ascii="宋体" w:hAnsi="宋体" w:eastAsia="宋体" w:cs="宋体"/>
          <w:color w:val="auto"/>
          <w:sz w:val="24"/>
          <w:szCs w:val="24"/>
        </w:rPr>
        <w:t>的：《建设工程施工合同(示范文本)》(GF-2017-0201)</w:t>
      </w:r>
    </w:p>
    <w:p w14:paraId="1C1F845F">
      <w:pPr>
        <w:pStyle w:val="3"/>
        <w:pageBreakBefore w:val="0"/>
        <w:kinsoku/>
        <w:wordWrap/>
        <w:overflowPunct/>
        <w:topLinePunct w:val="0"/>
        <w:bidi w:val="0"/>
        <w:snapToGrid/>
        <w:spacing w:before="0" w:after="0" w:line="360" w:lineRule="auto"/>
        <w:ind w:firstLine="1440" w:firstLineChars="600"/>
        <w:jc w:val="center"/>
        <w:textAlignment w:val="auto"/>
        <w:rPr>
          <w:rFonts w:hint="eastAsia" w:ascii="宋体" w:hAnsi="宋体" w:eastAsia="宋体" w:cs="宋体"/>
          <w:b w:val="0"/>
          <w:bCs/>
          <w:color w:val="auto"/>
          <w:sz w:val="24"/>
          <w:szCs w:val="24"/>
        </w:rPr>
      </w:pPr>
      <w:bookmarkStart w:id="299" w:name="_Toc169940955"/>
      <w:bookmarkStart w:id="300" w:name="_Toc145989449"/>
      <w:bookmarkStart w:id="301" w:name="_Toc132684565"/>
    </w:p>
    <w:bookmarkEnd w:id="297"/>
    <w:bookmarkEnd w:id="298"/>
    <w:bookmarkEnd w:id="299"/>
    <w:bookmarkEnd w:id="300"/>
    <w:bookmarkEnd w:id="301"/>
    <w:p w14:paraId="6F357CC5">
      <w:pPr>
        <w:pStyle w:val="4"/>
        <w:pageBreakBefore w:val="0"/>
        <w:kinsoku/>
        <w:wordWrap/>
        <w:overflowPunct/>
        <w:topLinePunct w:val="0"/>
        <w:bidi w:val="0"/>
        <w:snapToGrid/>
        <w:spacing w:line="360" w:lineRule="auto"/>
        <w:jc w:val="center"/>
        <w:textAlignment w:val="auto"/>
        <w:rPr>
          <w:rFonts w:hint="eastAsia" w:ascii="宋体" w:hAnsi="宋体" w:eastAsia="宋体" w:cs="宋体"/>
          <w:b w:val="0"/>
          <w:color w:val="auto"/>
          <w:sz w:val="24"/>
          <w:szCs w:val="24"/>
        </w:rPr>
      </w:pPr>
      <w:r>
        <w:rPr>
          <w:rFonts w:hint="eastAsia" w:ascii="宋体" w:hAnsi="宋体" w:eastAsia="宋体" w:cs="宋体"/>
          <w:color w:val="auto"/>
          <w:sz w:val="24"/>
          <w:szCs w:val="24"/>
        </w:rPr>
        <w:t>合同协议书</w:t>
      </w:r>
    </w:p>
    <w:p w14:paraId="50D03095">
      <w:pPr>
        <w:pageBreakBefore w:val="0"/>
        <w:kinsoku/>
        <w:wordWrap/>
        <w:overflowPunct/>
        <w:topLinePunct w:val="0"/>
        <w:bidi w:val="0"/>
        <w:snapToGrid/>
        <w:spacing w:line="360" w:lineRule="auto"/>
        <w:textAlignment w:val="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b/>
          <w:color w:val="auto"/>
          <w:sz w:val="24"/>
          <w:szCs w:val="24"/>
          <w:u w:val="single"/>
        </w:rPr>
        <w:t xml:space="preserve">  </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b/>
          <w:color w:val="auto"/>
          <w:sz w:val="24"/>
          <w:szCs w:val="24"/>
          <w:u w:val="single"/>
        </w:rPr>
        <w:t xml:space="preserve">    </w:t>
      </w:r>
    </w:p>
    <w:p w14:paraId="5D52AE32">
      <w:pPr>
        <w:pageBreakBefore w:val="0"/>
        <w:kinsoku/>
        <w:wordWrap/>
        <w:overflowPunct/>
        <w:topLinePunct w:val="0"/>
        <w:bidi w:val="0"/>
        <w:snapToGrid/>
        <w:spacing w:line="360" w:lineRule="auto"/>
        <w:textAlignment w:val="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        </w:t>
      </w:r>
    </w:p>
    <w:p w14:paraId="6CC19968">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根据《中华人民共和国合同法》、《中华人民共和国建筑法》及有关法律规定，遵循平等、自愿、公平和诚实信用的原则，双方就</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b/>
          <w:color w:val="auto"/>
          <w:sz w:val="24"/>
          <w:szCs w:val="24"/>
          <w:u w:val="single"/>
          <w:lang w:val="en-US" w:eastAsia="zh-CN"/>
        </w:rPr>
        <w:t xml:space="preserve">                               </w:t>
      </w:r>
      <w:r>
        <w:rPr>
          <w:rFonts w:hint="eastAsia" w:ascii="宋体" w:hAnsi="宋体" w:eastAsia="宋体" w:cs="宋体"/>
          <w:color w:val="auto"/>
          <w:sz w:val="24"/>
          <w:szCs w:val="24"/>
          <w:lang w:val="en-US" w:eastAsia="zh-CN"/>
        </w:rPr>
        <w:t>施工及有关事项协商一致，共</w:t>
      </w:r>
      <w:r>
        <w:rPr>
          <w:rFonts w:hint="eastAsia" w:ascii="宋体" w:hAnsi="宋体" w:eastAsia="宋体" w:cs="宋体"/>
          <w:color w:val="auto"/>
          <w:sz w:val="24"/>
          <w:szCs w:val="24"/>
        </w:rPr>
        <w:t>同达成如下协议：</w:t>
      </w:r>
    </w:p>
    <w:p w14:paraId="68E61D49">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302" w:name="_Toc351203481"/>
      <w:r>
        <w:rPr>
          <w:rFonts w:hint="eastAsia" w:ascii="宋体" w:hAnsi="宋体" w:eastAsia="宋体" w:cs="宋体"/>
          <w:b w:val="0"/>
          <w:color w:val="auto"/>
          <w:sz w:val="24"/>
          <w:szCs w:val="24"/>
        </w:rPr>
        <w:t>一、工程概况</w:t>
      </w:r>
      <w:bookmarkEnd w:id="302"/>
    </w:p>
    <w:p w14:paraId="01423633">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39F2852">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02D84360">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5A97619E">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5722E05F">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4191566F">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2BB33D58">
      <w:pPr>
        <w:pageBreakBefore w:val="0"/>
        <w:kinsoku/>
        <w:wordWrap/>
        <w:overflowPunct/>
        <w:topLinePunct w:val="0"/>
        <w:bidi w:val="0"/>
        <w:snapToGrid/>
        <w:spacing w:line="360" w:lineRule="auto"/>
        <w:ind w:firstLine="470" w:firstLineChars="196"/>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6.工程承包范围：</w:t>
      </w:r>
    </w:p>
    <w:p w14:paraId="0EE4773D">
      <w:pPr>
        <w:pageBreakBefore w:val="0"/>
        <w:kinsoku/>
        <w:wordWrap/>
        <w:overflowPunct/>
        <w:topLinePunct w:val="0"/>
        <w:bidi w:val="0"/>
        <w:snapToGrid/>
        <w:spacing w:line="360" w:lineRule="auto"/>
        <w:ind w:firstLine="463" w:firstLineChars="19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p>
    <w:p w14:paraId="75007EAC">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1B47ECD">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   </w:t>
      </w:r>
      <w:bookmarkStart w:id="303" w:name="_Toc351203482"/>
      <w:r>
        <w:rPr>
          <w:rFonts w:hint="eastAsia" w:ascii="宋体" w:hAnsi="宋体" w:eastAsia="宋体" w:cs="宋体"/>
          <w:b w:val="0"/>
          <w:color w:val="auto"/>
          <w:sz w:val="24"/>
          <w:szCs w:val="24"/>
        </w:rPr>
        <w:t>二、合同工期</w:t>
      </w:r>
      <w:bookmarkEnd w:id="303"/>
    </w:p>
    <w:p w14:paraId="0D8907B8">
      <w:pPr>
        <w:pageBreakBefore w:val="0"/>
        <w:kinsoku/>
        <w:wordWrap/>
        <w:overflowPunct/>
        <w:topLinePunct w:val="0"/>
        <w:bidi w:val="0"/>
        <w:snapToGrid/>
        <w:spacing w:line="360"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1997B2B5">
      <w:pPr>
        <w:pageBreakBefore w:val="0"/>
        <w:kinsoku/>
        <w:wordWrap/>
        <w:overflowPunct/>
        <w:topLinePunct w:val="0"/>
        <w:bidi w:val="0"/>
        <w:snapToGrid/>
        <w:spacing w:line="360"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7DDB7269">
      <w:pPr>
        <w:pageBreakBefore w:val="0"/>
        <w:kinsoku/>
        <w:wordWrap/>
        <w:overflowPunct/>
        <w:topLinePunct w:val="0"/>
        <w:bidi w:val="0"/>
        <w:snapToGrid/>
        <w:spacing w:line="360"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天。工期总日历天数与根据前述计划开竣工日期计算的工期天数不一致的，以工期总日历天数为准。</w:t>
      </w:r>
    </w:p>
    <w:p w14:paraId="0AB2ABB2">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304" w:name="_Toc351203483"/>
      <w:r>
        <w:rPr>
          <w:rFonts w:hint="eastAsia" w:ascii="宋体" w:hAnsi="宋体" w:eastAsia="宋体" w:cs="宋体"/>
          <w:b w:val="0"/>
          <w:color w:val="auto"/>
          <w:sz w:val="24"/>
          <w:szCs w:val="24"/>
        </w:rPr>
        <w:t>三、质量标准</w:t>
      </w:r>
      <w:bookmarkEnd w:id="304"/>
    </w:p>
    <w:p w14:paraId="533AAAD1">
      <w:pPr>
        <w:pageBreakBefore w:val="0"/>
        <w:kinsoku/>
        <w:wordWrap/>
        <w:overflowPunct/>
        <w:topLinePunct w:val="0"/>
        <w:bidi w:val="0"/>
        <w:snapToGrid/>
        <w:spacing w:line="360" w:lineRule="auto"/>
        <w:ind w:firstLine="459"/>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合格</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标准。</w:t>
      </w:r>
    </w:p>
    <w:p w14:paraId="633C582B">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305" w:name="_Toc351203484"/>
      <w:r>
        <w:rPr>
          <w:rFonts w:hint="eastAsia" w:ascii="宋体" w:hAnsi="宋体" w:eastAsia="宋体" w:cs="宋体"/>
          <w:b w:val="0"/>
          <w:color w:val="auto"/>
          <w:sz w:val="24"/>
          <w:szCs w:val="24"/>
        </w:rPr>
        <w:t>四、签约合同价与合同价格形式</w:t>
      </w:r>
      <w:bookmarkEnd w:id="305"/>
      <w:r>
        <w:rPr>
          <w:rFonts w:hint="eastAsia" w:ascii="宋体" w:hAnsi="宋体" w:eastAsia="宋体" w:cs="宋体"/>
          <w:b w:val="0"/>
          <w:color w:val="auto"/>
          <w:sz w:val="24"/>
          <w:szCs w:val="24"/>
        </w:rPr>
        <w:tab/>
      </w:r>
    </w:p>
    <w:p w14:paraId="529A65FC">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47144F58">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5F8E2E32">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其中：</w:t>
      </w:r>
    </w:p>
    <w:p w14:paraId="303B6501">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（1）安全文明施工费：</w:t>
      </w:r>
    </w:p>
    <w:p w14:paraId="43B1BCCD">
      <w:pPr>
        <w:pageBreakBefore w:val="0"/>
        <w:kinsoku/>
        <w:wordWrap/>
        <w:overflowPunct/>
        <w:topLinePunct w:val="0"/>
        <w:bidi w:val="0"/>
        <w:snapToGrid/>
        <w:spacing w:line="360"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2EC7FCBA">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（2）材料和工程设备暂估价金额：</w:t>
      </w:r>
    </w:p>
    <w:p w14:paraId="249FB880">
      <w:pPr>
        <w:pageBreakBefore w:val="0"/>
        <w:kinsoku/>
        <w:wordWrap/>
        <w:overflowPunct/>
        <w:topLinePunct w:val="0"/>
        <w:bidi w:val="0"/>
        <w:snapToGrid/>
        <w:spacing w:line="360"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3792C211">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（3）专业工程暂估价金额：</w:t>
      </w:r>
    </w:p>
    <w:p w14:paraId="082AAB82">
      <w:pPr>
        <w:pageBreakBefore w:val="0"/>
        <w:kinsoku/>
        <w:wordWrap/>
        <w:overflowPunct/>
        <w:topLinePunct w:val="0"/>
        <w:bidi w:val="0"/>
        <w:snapToGrid/>
        <w:spacing w:line="360"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1812C3C5">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（4）暂列金额：</w:t>
      </w:r>
    </w:p>
    <w:p w14:paraId="785C4C60">
      <w:pPr>
        <w:pageBreakBefore w:val="0"/>
        <w:kinsoku/>
        <w:wordWrap/>
        <w:overflowPunct/>
        <w:topLinePunct w:val="0"/>
        <w:bidi w:val="0"/>
        <w:snapToGrid/>
        <w:spacing w:line="360" w:lineRule="auto"/>
        <w:ind w:firstLine="1080" w:firstLineChars="4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4FE9CFF">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7AA675C">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306" w:name="_Toc351203485"/>
      <w:r>
        <w:rPr>
          <w:rFonts w:hint="eastAsia" w:ascii="宋体" w:hAnsi="宋体" w:eastAsia="宋体" w:cs="宋体"/>
          <w:b w:val="0"/>
          <w:color w:val="auto"/>
          <w:sz w:val="24"/>
          <w:szCs w:val="24"/>
        </w:rPr>
        <w:t>五、</w:t>
      </w:r>
      <w:bookmarkEnd w:id="306"/>
      <w:r>
        <w:rPr>
          <w:rFonts w:hint="eastAsia" w:ascii="宋体" w:hAnsi="宋体" w:eastAsia="宋体" w:cs="宋体"/>
          <w:b w:val="0"/>
          <w:color w:val="auto"/>
          <w:sz w:val="24"/>
          <w:szCs w:val="24"/>
        </w:rPr>
        <w:t>项目经理</w:t>
      </w:r>
    </w:p>
    <w:p w14:paraId="57398A4A">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3B556980">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307" w:name="_Toc351203486"/>
      <w:r>
        <w:rPr>
          <w:rFonts w:hint="eastAsia" w:ascii="宋体" w:hAnsi="宋体" w:eastAsia="宋体" w:cs="宋体"/>
          <w:b w:val="0"/>
          <w:color w:val="auto"/>
          <w:sz w:val="24"/>
          <w:szCs w:val="24"/>
        </w:rPr>
        <w:t>六、合同文件构成</w:t>
      </w:r>
      <w:bookmarkEnd w:id="307"/>
    </w:p>
    <w:p w14:paraId="5244C05E">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本协议书与下列文件一起构成合同文件：</w:t>
      </w:r>
    </w:p>
    <w:p w14:paraId="20F312EE">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通知书（如果有）；</w:t>
      </w:r>
    </w:p>
    <w:p w14:paraId="16E68532">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磋商响应</w:t>
      </w:r>
      <w:r>
        <w:rPr>
          <w:rFonts w:hint="eastAsia" w:ascii="宋体" w:hAnsi="宋体" w:eastAsia="宋体" w:cs="宋体"/>
          <w:color w:val="auto"/>
          <w:sz w:val="24"/>
          <w:szCs w:val="24"/>
        </w:rPr>
        <w:t xml:space="preserve">函及其附录（如果有）； </w:t>
      </w:r>
    </w:p>
    <w:p w14:paraId="660A8412">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415F3A94">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16A145A1">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41351189">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（6）图纸；</w:t>
      </w:r>
    </w:p>
    <w:p w14:paraId="53C46B2B">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（7）已标价工程量清单或预算书；</w:t>
      </w:r>
    </w:p>
    <w:p w14:paraId="26BC744E">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（8）其他合同文件。</w:t>
      </w:r>
    </w:p>
    <w:p w14:paraId="1D757A53">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70C63BF0">
      <w:pPr>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51950C0C">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color w:val="auto"/>
          <w:sz w:val="24"/>
          <w:szCs w:val="24"/>
        </w:rPr>
        <w:t xml:space="preserve"> </w:t>
      </w:r>
      <w:bookmarkStart w:id="308" w:name="_Toc351203487"/>
      <w:r>
        <w:rPr>
          <w:rFonts w:hint="eastAsia" w:ascii="宋体" w:hAnsi="宋体" w:eastAsia="宋体" w:cs="宋体"/>
          <w:b w:val="0"/>
          <w:color w:val="auto"/>
          <w:sz w:val="24"/>
          <w:szCs w:val="24"/>
        </w:rPr>
        <w:t>七、承诺</w:t>
      </w:r>
      <w:bookmarkEnd w:id="308"/>
    </w:p>
    <w:p w14:paraId="0E67E485">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1.发包人承诺按照法律规定履行项目审批手续、筹集工程建设资金并按照合同约定的期限和方式支付合同价款。</w:t>
      </w:r>
    </w:p>
    <w:p w14:paraId="38E51D06">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625D394D">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1DD1A0D6">
      <w:pPr>
        <w:pageBreakBefore w:val="0"/>
        <w:kinsoku/>
        <w:wordWrap/>
        <w:overflowPunct/>
        <w:topLinePunct w:val="0"/>
        <w:bidi w:val="0"/>
        <w:snapToGrid/>
        <w:spacing w:line="360" w:lineRule="auto"/>
        <w:textAlignment w:val="auto"/>
        <w:rPr>
          <w:rFonts w:hint="eastAsia" w:ascii="宋体" w:hAnsi="宋体" w:eastAsia="宋体" w:cs="宋体"/>
          <w:bCs/>
          <w:color w:val="auto"/>
          <w:sz w:val="24"/>
          <w:szCs w:val="24"/>
        </w:rPr>
      </w:pPr>
      <w:bookmarkStart w:id="309" w:name="_Toc351203488"/>
      <w:r>
        <w:rPr>
          <w:rFonts w:hint="eastAsia" w:ascii="宋体" w:hAnsi="宋体" w:eastAsia="宋体" w:cs="宋体"/>
          <w:b/>
          <w:color w:val="auto"/>
          <w:sz w:val="24"/>
          <w:szCs w:val="24"/>
        </w:rPr>
        <w:t xml:space="preserve">    </w:t>
      </w:r>
      <w:r>
        <w:rPr>
          <w:rFonts w:hint="eastAsia" w:ascii="宋体" w:hAnsi="宋体" w:eastAsia="宋体" w:cs="宋体"/>
          <w:b w:val="0"/>
          <w:bCs/>
          <w:color w:val="auto"/>
          <w:sz w:val="24"/>
          <w:szCs w:val="24"/>
        </w:rPr>
        <w:t>八、词语含义</w:t>
      </w:r>
      <w:bookmarkEnd w:id="309"/>
    </w:p>
    <w:p w14:paraId="4E4B74B1">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本协议书中词语含义与第二部分通用合同条款中赋予的含义相同。</w:t>
      </w:r>
    </w:p>
    <w:p w14:paraId="38E453B1">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310" w:name="_Toc351203489"/>
      <w:r>
        <w:rPr>
          <w:rFonts w:hint="eastAsia" w:ascii="宋体" w:hAnsi="宋体" w:eastAsia="宋体" w:cs="宋体"/>
          <w:b w:val="0"/>
          <w:color w:val="auto"/>
          <w:sz w:val="24"/>
          <w:szCs w:val="24"/>
        </w:rPr>
        <w:t>九、签订时间</w:t>
      </w:r>
      <w:bookmarkEnd w:id="310"/>
    </w:p>
    <w:p w14:paraId="6811E22A">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27336688">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311" w:name="_Toc351203490"/>
      <w:r>
        <w:rPr>
          <w:rFonts w:hint="eastAsia" w:ascii="宋体" w:hAnsi="宋体" w:eastAsia="宋体" w:cs="宋体"/>
          <w:b w:val="0"/>
          <w:color w:val="auto"/>
          <w:sz w:val="24"/>
          <w:szCs w:val="24"/>
        </w:rPr>
        <w:t>十、签订地点</w:t>
      </w:r>
      <w:bookmarkEnd w:id="311"/>
    </w:p>
    <w:p w14:paraId="2A15E4AB">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签订。</w:t>
      </w:r>
    </w:p>
    <w:p w14:paraId="76EF9ACB">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312" w:name="_Toc351203491"/>
      <w:r>
        <w:rPr>
          <w:rFonts w:hint="eastAsia" w:ascii="宋体" w:hAnsi="宋体" w:eastAsia="宋体" w:cs="宋体"/>
          <w:b w:val="0"/>
          <w:color w:val="auto"/>
          <w:sz w:val="24"/>
          <w:szCs w:val="24"/>
        </w:rPr>
        <w:t>十一、补充协议</w:t>
      </w:r>
      <w:bookmarkEnd w:id="312"/>
    </w:p>
    <w:p w14:paraId="4F635A6B">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合同未尽事宜，合同当事人另行签订补充协议，补充协议是合同的组成部分。</w:t>
      </w:r>
    </w:p>
    <w:p w14:paraId="0929A47A">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313" w:name="_Toc351203492"/>
      <w:r>
        <w:rPr>
          <w:rFonts w:hint="eastAsia" w:ascii="宋体" w:hAnsi="宋体" w:eastAsia="宋体" w:cs="宋体"/>
          <w:b w:val="0"/>
          <w:color w:val="auto"/>
          <w:sz w:val="24"/>
          <w:szCs w:val="24"/>
        </w:rPr>
        <w:t>十二、合同生效</w:t>
      </w:r>
      <w:bookmarkEnd w:id="313"/>
    </w:p>
    <w:p w14:paraId="3F8A8139">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本合同自</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生效。</w:t>
      </w:r>
    </w:p>
    <w:p w14:paraId="2046A6E7">
      <w:pPr>
        <w:pStyle w:val="5"/>
        <w:pageBreakBefore w:val="0"/>
        <w:tabs>
          <w:tab w:val="left" w:pos="864"/>
        </w:tabs>
        <w:kinsoku/>
        <w:wordWrap/>
        <w:overflowPunct/>
        <w:topLinePunct w:val="0"/>
        <w:bidi w:val="0"/>
        <w:snapToGrid/>
        <w:spacing w:before="120" w:after="120" w:line="360" w:lineRule="auto"/>
        <w:textAlignment w:val="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314" w:name="_Toc351203493"/>
      <w:r>
        <w:rPr>
          <w:rFonts w:hint="eastAsia" w:ascii="宋体" w:hAnsi="宋体" w:eastAsia="宋体" w:cs="宋体"/>
          <w:b w:val="0"/>
          <w:color w:val="auto"/>
          <w:sz w:val="24"/>
          <w:szCs w:val="24"/>
        </w:rPr>
        <w:t>十三、合同份数</w:t>
      </w:r>
      <w:bookmarkEnd w:id="314"/>
    </w:p>
    <w:p w14:paraId="6658C74E">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028B655D">
      <w:pPr>
        <w:pageBreakBefore w:val="0"/>
        <w:kinsoku/>
        <w:wordWrap/>
        <w:overflowPunct/>
        <w:topLinePunct w:val="0"/>
        <w:bidi w:val="0"/>
        <w:snapToGrid/>
        <w:spacing w:line="360" w:lineRule="auto"/>
        <w:textAlignment w:val="auto"/>
        <w:rPr>
          <w:rFonts w:hint="eastAsia" w:ascii="宋体" w:hAnsi="宋体" w:eastAsia="宋体" w:cs="宋体"/>
          <w:bCs/>
          <w:color w:val="auto"/>
          <w:sz w:val="24"/>
          <w:szCs w:val="24"/>
        </w:rPr>
      </w:pPr>
    </w:p>
    <w:p w14:paraId="6777B2D0">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p>
    <w:p w14:paraId="741C7AF9">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67E11ED6">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78A95CF2">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法定代表人或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法定代表人或</w:t>
      </w:r>
    </w:p>
    <w:p w14:paraId="6B0EA8FA">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其委托代理人：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其委托代理人：     </w:t>
      </w:r>
    </w:p>
    <w:p w14:paraId="363ED430">
      <w:pPr>
        <w:pageBreakBefore w:val="0"/>
        <w:kinsoku/>
        <w:wordWrap/>
        <w:overflowPunct/>
        <w:topLinePunct w:val="0"/>
        <w:bidi w:val="0"/>
        <w:snapToGrid/>
        <w:spacing w:line="360" w:lineRule="auto"/>
        <w:ind w:firstLine="2400" w:firstLineChars="10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（签字）</w:t>
      </w:r>
    </w:p>
    <w:p w14:paraId="2A40C109">
      <w:pPr>
        <w:pageBreakBefore w:val="0"/>
        <w:tabs>
          <w:tab w:val="left" w:pos="4410"/>
        </w:tabs>
        <w:kinsoku/>
        <w:wordWrap/>
        <w:overflowPunct/>
        <w:topLinePunct w:val="0"/>
        <w:bidi w:val="0"/>
        <w:snapToGrid/>
        <w:spacing w:line="360" w:lineRule="auto"/>
        <w:textAlignment w:val="auto"/>
        <w:rPr>
          <w:rFonts w:hint="eastAsia" w:ascii="宋体" w:hAnsi="宋体" w:eastAsia="宋体" w:cs="宋体"/>
          <w:color w:val="auto"/>
          <w:sz w:val="24"/>
          <w:szCs w:val="24"/>
        </w:rPr>
      </w:pPr>
    </w:p>
    <w:p w14:paraId="41E50119">
      <w:pPr>
        <w:pageBreakBefore w:val="0"/>
        <w:tabs>
          <w:tab w:val="left" w:pos="4410"/>
        </w:tabs>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组织机构代码：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61D8B6FB">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地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  </w:t>
      </w:r>
    </w:p>
    <w:p w14:paraId="52B49DFB">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5013A5BF">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4899772C">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p>
    <w:p w14:paraId="0EA90F76">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68E0A9EB">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   </w:t>
      </w:r>
    </w:p>
    <w:p w14:paraId="33FDFA02">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p>
    <w:p w14:paraId="4D57B357">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p>
    <w:p w14:paraId="1C3A8E32">
      <w:pPr>
        <w:pageBreakBefore w:val="0"/>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w:t>
      </w:r>
    </w:p>
    <w:p w14:paraId="7414D22A">
      <w:pPr>
        <w:pageBreakBefore w:val="0"/>
        <w:kinsoku/>
        <w:wordWrap/>
        <w:overflowPunct/>
        <w:topLinePunct w:val="0"/>
        <w:bidi w:val="0"/>
        <w:snapToGrid/>
        <w:spacing w:line="360" w:lineRule="auto"/>
        <w:jc w:val="both"/>
        <w:textAlignment w:val="auto"/>
        <w:rPr>
          <w:rFonts w:hint="eastAsia" w:ascii="宋体" w:hAnsi="宋体" w:eastAsia="宋体" w:cs="宋体"/>
          <w:color w:val="auto"/>
          <w:sz w:val="24"/>
          <w:szCs w:val="24"/>
        </w:rPr>
      </w:pPr>
    </w:p>
    <w:p w14:paraId="14D17F48">
      <w:pPr>
        <w:spacing w:line="360" w:lineRule="auto"/>
        <w:rPr>
          <w:rFonts w:hint="eastAsia" w:ascii="宋体" w:hAnsi="宋体" w:eastAsia="宋体" w:cs="宋体"/>
          <w:sz w:val="24"/>
          <w:szCs w:val="24"/>
        </w:rPr>
      </w:pPr>
    </w:p>
    <w:p w14:paraId="66165FFA">
      <w:pPr>
        <w:rPr>
          <w:rFonts w:hint="eastAsia" w:asciiTheme="minorEastAsia" w:hAnsiTheme="minorEastAsia" w:eastAsiaTheme="minorEastAsia" w:cstheme="minorEastAsia"/>
          <w:color w:val="auto"/>
          <w:sz w:val="24"/>
          <w:szCs w:val="24"/>
        </w:rPr>
      </w:pPr>
    </w:p>
    <w:p w14:paraId="10463D4A">
      <w:pPr>
        <w:spacing w:line="360" w:lineRule="auto"/>
        <w:jc w:val="center"/>
        <w:rPr>
          <w:rFonts w:hint="eastAsia" w:asciiTheme="minorEastAsia" w:hAnsiTheme="minorEastAsia" w:eastAsiaTheme="minorEastAsia" w:cstheme="minorEastAsia"/>
          <w:bCs/>
          <w:color w:val="auto"/>
          <w:sz w:val="28"/>
          <w:szCs w:val="28"/>
          <w:lang w:val="en-US" w:eastAsia="zh-CN"/>
        </w:rPr>
      </w:pPr>
      <w:r>
        <w:rPr>
          <w:rFonts w:hint="eastAsia" w:asciiTheme="minorEastAsia" w:hAnsiTheme="minorEastAsia" w:eastAsiaTheme="minorEastAsia" w:cstheme="minorEastAsia"/>
          <w:bCs/>
          <w:color w:val="auto"/>
          <w:sz w:val="28"/>
          <w:szCs w:val="28"/>
          <w:lang w:val="en-US" w:eastAsia="zh-CN"/>
        </w:rPr>
        <w:t xml:space="preserve"> </w:t>
      </w:r>
    </w:p>
    <w:p w14:paraId="2BAF1429">
      <w:pPr>
        <w:rPr>
          <w:rFonts w:hint="eastAsia" w:asciiTheme="minorEastAsia" w:hAnsiTheme="minorEastAsia" w:eastAsiaTheme="minorEastAsia" w:cstheme="minorEastAsia"/>
          <w:color w:val="auto"/>
        </w:rPr>
      </w:pPr>
    </w:p>
    <w:p w14:paraId="69440D27">
      <w:pPr>
        <w:pStyle w:val="3"/>
        <w:tabs>
          <w:tab w:val="left" w:pos="2085"/>
        </w:tabs>
        <w:rPr>
          <w:rFonts w:hint="eastAsia" w:asciiTheme="minorEastAsia" w:hAnsiTheme="minorEastAsia" w:eastAsiaTheme="minorEastAsia" w:cstheme="minorEastAsia"/>
          <w:color w:val="auto"/>
        </w:rPr>
      </w:pPr>
    </w:p>
    <w:p w14:paraId="7520B74F">
      <w:pPr>
        <w:rPr>
          <w:rFonts w:hint="eastAsia" w:asciiTheme="minorEastAsia" w:hAnsiTheme="minorEastAsia" w:eastAsiaTheme="minorEastAsia" w:cstheme="minorEastAsia"/>
          <w:color w:val="auto"/>
        </w:rPr>
      </w:pPr>
    </w:p>
    <w:p w14:paraId="38BDFD6E">
      <w:pPr>
        <w:pStyle w:val="3"/>
        <w:tabs>
          <w:tab w:val="left" w:pos="2085"/>
        </w:tabs>
        <w:rPr>
          <w:rFonts w:hint="eastAsia" w:asciiTheme="minorEastAsia" w:hAnsiTheme="minorEastAsia" w:eastAsiaTheme="minorEastAsia" w:cstheme="minorEastAsia"/>
          <w:color w:val="auto"/>
        </w:rPr>
      </w:pPr>
    </w:p>
    <w:bookmarkEnd w:id="293"/>
    <w:bookmarkEnd w:id="294"/>
    <w:p w14:paraId="42481449">
      <w:pPr>
        <w:rPr>
          <w:rFonts w:hint="eastAsia" w:asciiTheme="minorEastAsia" w:hAnsiTheme="minorEastAsia" w:eastAsiaTheme="minorEastAsia" w:cstheme="minorEastAsia"/>
          <w:lang w:val="en-US" w:eastAsia="zh-CN"/>
        </w:rPr>
      </w:pPr>
    </w:p>
    <w:p w14:paraId="7D317BD0">
      <w:pPr>
        <w:jc w:val="center"/>
        <w:rPr>
          <w:rFonts w:hint="default" w:asciiTheme="minorAscii" w:hAnsiTheme="minorAscii" w:eastAsiaTheme="minorEastAsia"/>
          <w:b/>
          <w:bCs/>
          <w:spacing w:val="57"/>
          <w:sz w:val="72"/>
          <w:szCs w:val="144"/>
        </w:rPr>
      </w:pPr>
    </w:p>
    <w:p w14:paraId="0A26381B">
      <w:pPr>
        <w:rPr>
          <w:rFonts w:hint="eastAsia"/>
          <w:b/>
          <w:bCs/>
          <w:color w:val="auto"/>
          <w:sz w:val="36"/>
          <w:szCs w:val="36"/>
          <w:lang w:eastAsia="zh-CN"/>
        </w:rPr>
      </w:pPr>
      <w:bookmarkStart w:id="315" w:name="_Toc6562"/>
      <w:bookmarkStart w:id="316" w:name="_Toc28228"/>
      <w:bookmarkStart w:id="317" w:name="_Toc21449"/>
      <w:r>
        <w:rPr>
          <w:rFonts w:hint="eastAsia"/>
          <w:b/>
          <w:bCs/>
          <w:color w:val="auto"/>
          <w:sz w:val="36"/>
          <w:szCs w:val="36"/>
          <w:lang w:eastAsia="zh-CN"/>
        </w:rPr>
        <w:br w:type="page"/>
      </w:r>
    </w:p>
    <w:p w14:paraId="3B341C6D">
      <w:pPr>
        <w:numPr>
          <w:ilvl w:val="0"/>
          <w:numId w:val="7"/>
        </w:numPr>
        <w:bidi w:val="0"/>
        <w:jc w:val="center"/>
        <w:outlineLvl w:val="0"/>
        <w:rPr>
          <w:rFonts w:hint="eastAsia"/>
          <w:b/>
          <w:bCs/>
          <w:color w:val="auto"/>
          <w:sz w:val="36"/>
          <w:szCs w:val="36"/>
          <w:lang w:eastAsia="zh-CN"/>
        </w:rPr>
      </w:pPr>
      <w:r>
        <w:rPr>
          <w:rFonts w:hint="eastAsia"/>
          <w:b/>
          <w:bCs/>
          <w:color w:val="auto"/>
          <w:sz w:val="36"/>
          <w:szCs w:val="36"/>
          <w:lang w:eastAsia="zh-CN"/>
        </w:rPr>
        <w:t>工程量清单</w:t>
      </w:r>
      <w:bookmarkEnd w:id="292"/>
      <w:bookmarkEnd w:id="315"/>
      <w:bookmarkEnd w:id="316"/>
      <w:bookmarkEnd w:id="317"/>
    </w:p>
    <w:bookmarkEnd w:id="279"/>
    <w:bookmarkEnd w:id="280"/>
    <w:bookmarkEnd w:id="281"/>
    <w:p w14:paraId="3685C3F7">
      <w:pPr>
        <w:jc w:val="center"/>
        <w:rPr>
          <w:rFonts w:hint="eastAsia" w:asciiTheme="minorEastAsia" w:hAnsiTheme="minorEastAsia" w:eastAsiaTheme="minorEastAsia" w:cstheme="minorEastAsia"/>
          <w:b/>
          <w:bCs/>
          <w:sz w:val="36"/>
          <w:szCs w:val="36"/>
          <w:lang w:val="en-US" w:eastAsia="zh-CN"/>
        </w:rPr>
      </w:pPr>
      <w:bookmarkStart w:id="318" w:name="_Toc14374"/>
      <w:bookmarkStart w:id="319" w:name="_Toc26144"/>
      <w:bookmarkStart w:id="320" w:name="_Toc4993"/>
      <w:bookmarkStart w:id="321" w:name="_Toc513557045"/>
      <w:bookmarkStart w:id="322" w:name="_Toc21629"/>
    </w:p>
    <w:p w14:paraId="2554B9CA">
      <w:pPr>
        <w:spacing w:line="360" w:lineRule="auto"/>
        <w:jc w:val="center"/>
        <w:rPr>
          <w:rFonts w:hint="eastAsia" w:ascii="宋体" w:hAnsi="宋体" w:eastAsia="宋体"/>
          <w:b/>
          <w:bCs/>
          <w:sz w:val="24"/>
          <w:szCs w:val="24"/>
        </w:rPr>
      </w:pPr>
      <w:bookmarkStart w:id="323" w:name="_Toc80953908"/>
      <w:bookmarkStart w:id="324" w:name="_Toc80954153"/>
      <w:bookmarkStart w:id="325" w:name="_Toc108791954"/>
      <w:bookmarkStart w:id="326" w:name="_Toc108792694"/>
      <w:bookmarkStart w:id="327" w:name="_Toc81583193"/>
      <w:bookmarkStart w:id="328" w:name="_Toc109050614"/>
      <w:bookmarkStart w:id="329" w:name="_Toc115700836"/>
      <w:bookmarkStart w:id="330" w:name="_Toc23277"/>
      <w:r>
        <w:rPr>
          <w:rFonts w:hint="eastAsia" w:ascii="宋体" w:hAnsi="宋体" w:eastAsia="宋体"/>
          <w:b/>
          <w:bCs/>
          <w:sz w:val="24"/>
          <w:szCs w:val="24"/>
        </w:rPr>
        <w:t>吴堡县张家山镇宽马家石村道路建设工程</w:t>
      </w:r>
    </w:p>
    <w:p w14:paraId="1FB5AF13">
      <w:pPr>
        <w:spacing w:line="360" w:lineRule="auto"/>
        <w:jc w:val="center"/>
        <w:rPr>
          <w:rFonts w:ascii="宋体" w:hAnsi="宋体" w:eastAsia="宋体"/>
          <w:b/>
          <w:bCs/>
          <w:sz w:val="24"/>
          <w:szCs w:val="24"/>
        </w:rPr>
      </w:pPr>
      <w:r>
        <w:rPr>
          <w:rFonts w:hint="eastAsia" w:ascii="宋体" w:hAnsi="宋体" w:eastAsia="宋体"/>
          <w:b/>
          <w:bCs/>
          <w:sz w:val="24"/>
          <w:szCs w:val="24"/>
        </w:rPr>
        <w:t>采购需求</w:t>
      </w:r>
    </w:p>
    <w:p w14:paraId="52D558EA">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firstLine="480" w:firstLineChars="200"/>
        <w:jc w:val="left"/>
        <w:rPr>
          <w:rFonts w:hint="default" w:ascii="宋体" w:hAnsi="宋体" w:eastAsia="宋体"/>
          <w:sz w:val="24"/>
          <w:szCs w:val="24"/>
          <w:lang w:val="en-US"/>
        </w:rPr>
      </w:pPr>
      <w:r>
        <w:rPr>
          <w:rFonts w:hint="eastAsia" w:ascii="宋体" w:hAnsi="宋体" w:eastAsia="宋体"/>
          <w:sz w:val="24"/>
          <w:szCs w:val="24"/>
          <w:lang w:val="en-US" w:eastAsia="zh-CN"/>
        </w:rPr>
        <w:t>吴堡县张家山镇宽马家石村道路建设工程为村内干道，道路的实施利于村内居民安全出行，有效提高了村内居民的幸福指数。</w:t>
      </w:r>
    </w:p>
    <w:p w14:paraId="2338E748">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一、项目名称：</w:t>
      </w:r>
    </w:p>
    <w:p w14:paraId="3446BACB">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lang w:val="en-US" w:eastAsia="zh-CN"/>
        </w:rPr>
        <w:t>吴堡县张家山镇宽马家石村道路建设工程</w:t>
      </w:r>
    </w:p>
    <w:p w14:paraId="4F9EB0E0">
      <w:pPr>
        <w:spacing w:line="360" w:lineRule="auto"/>
        <w:ind w:firstLine="482" w:firstLineChars="200"/>
        <w:rPr>
          <w:rFonts w:ascii="宋体" w:hAnsi="宋体" w:eastAsia="宋体"/>
          <w:b/>
          <w:bCs/>
          <w:sz w:val="24"/>
          <w:szCs w:val="24"/>
        </w:rPr>
      </w:pPr>
      <w:r>
        <w:rPr>
          <w:rFonts w:ascii="宋体" w:hAnsi="宋体" w:eastAsia="宋体"/>
          <w:b/>
          <w:bCs/>
          <w:sz w:val="24"/>
          <w:szCs w:val="24"/>
        </w:rPr>
        <w:t>二、采购</w:t>
      </w:r>
      <w:r>
        <w:rPr>
          <w:rFonts w:hint="eastAsia" w:ascii="宋体" w:hAnsi="宋体" w:eastAsia="宋体"/>
          <w:b/>
          <w:bCs/>
          <w:sz w:val="24"/>
          <w:szCs w:val="24"/>
        </w:rPr>
        <w:t>项目预算、资金构成：</w:t>
      </w:r>
    </w:p>
    <w:p w14:paraId="69E019AC">
      <w:pPr>
        <w:spacing w:line="360" w:lineRule="auto"/>
        <w:ind w:firstLine="480" w:firstLineChars="20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采购项目</w:t>
      </w:r>
      <w:r>
        <w:rPr>
          <w:rFonts w:hint="eastAsia" w:ascii="宋体" w:hAnsi="宋体" w:eastAsia="宋体"/>
          <w:sz w:val="24"/>
          <w:szCs w:val="24"/>
          <w:lang w:val="en-US" w:eastAsia="zh-CN"/>
        </w:rPr>
        <w:t>评审资金</w:t>
      </w:r>
      <w:r>
        <w:rPr>
          <w:rFonts w:ascii="宋体" w:hAnsi="宋体" w:eastAsia="宋体"/>
          <w:sz w:val="24"/>
          <w:szCs w:val="24"/>
        </w:rPr>
        <w:t>：</w:t>
      </w:r>
      <w:r>
        <w:rPr>
          <w:rFonts w:hint="eastAsia" w:ascii="宋体" w:hAnsi="宋体" w:eastAsia="宋体" w:cs="宋体"/>
          <w:b w:val="0"/>
          <w:bCs w:val="0"/>
          <w:color w:val="000000"/>
          <w:sz w:val="24"/>
          <w:szCs w:val="24"/>
          <w:lang w:val="en-US" w:eastAsia="zh-CN"/>
        </w:rPr>
        <w:t>1162549.76</w:t>
      </w:r>
      <w:r>
        <w:rPr>
          <w:rFonts w:ascii="宋体" w:hAnsi="宋体" w:eastAsia="宋体"/>
          <w:sz w:val="24"/>
          <w:szCs w:val="24"/>
        </w:rPr>
        <w:t>元</w:t>
      </w:r>
    </w:p>
    <w:p w14:paraId="3D7309A4">
      <w:pPr>
        <w:spacing w:line="360" w:lineRule="auto"/>
        <w:ind w:firstLine="480" w:firstLineChars="200"/>
        <w:rPr>
          <w:rFonts w:ascii="宋体" w:hAnsi="宋体" w:eastAsia="宋体"/>
          <w:sz w:val="24"/>
          <w:szCs w:val="24"/>
        </w:rPr>
      </w:pPr>
      <w:r>
        <w:rPr>
          <w:rFonts w:ascii="宋体" w:hAnsi="宋体" w:eastAsia="宋体"/>
          <w:sz w:val="24"/>
          <w:szCs w:val="24"/>
        </w:rPr>
        <w:t>2、资金来源：</w:t>
      </w:r>
      <w:r>
        <w:rPr>
          <w:rFonts w:hint="eastAsia" w:ascii="宋体" w:hAnsi="宋体" w:eastAsia="宋体"/>
          <w:sz w:val="24"/>
          <w:szCs w:val="24"/>
          <w:lang w:val="en-US" w:eastAsia="zh-CN"/>
        </w:rPr>
        <w:t>榆财政预发</w:t>
      </w:r>
      <w:r>
        <w:rPr>
          <w:rFonts w:hint="eastAsia" w:ascii="宋体" w:hAnsi="宋体" w:eastAsia="宋体" w:cs="宋体"/>
          <w:sz w:val="24"/>
          <w:szCs w:val="24"/>
          <w:lang w:val="en-US" w:eastAsia="zh-CN"/>
        </w:rPr>
        <w:t>〔</w:t>
      </w:r>
      <w:r>
        <w:rPr>
          <w:rFonts w:hint="eastAsia" w:ascii="宋体" w:hAnsi="宋体" w:eastAsia="宋体"/>
          <w:sz w:val="24"/>
          <w:szCs w:val="24"/>
          <w:lang w:val="en-US" w:eastAsia="zh-CN"/>
        </w:rPr>
        <w:t>2025</w:t>
      </w:r>
      <w:r>
        <w:rPr>
          <w:rFonts w:hint="eastAsia" w:ascii="宋体" w:hAnsi="宋体" w:eastAsia="宋体" w:cs="宋体"/>
          <w:sz w:val="24"/>
          <w:szCs w:val="24"/>
          <w:lang w:val="en-US" w:eastAsia="zh-CN"/>
        </w:rPr>
        <w:t>〕</w:t>
      </w:r>
      <w:r>
        <w:rPr>
          <w:rFonts w:hint="eastAsia" w:ascii="宋体" w:hAnsi="宋体" w:eastAsia="宋体"/>
          <w:sz w:val="24"/>
          <w:szCs w:val="24"/>
          <w:lang w:val="en-US" w:eastAsia="zh-CN"/>
        </w:rPr>
        <w:t>23号榆林市财政局关于下达农村公益事业发展专项补助资金的通知</w:t>
      </w:r>
    </w:p>
    <w:p w14:paraId="03B95356">
      <w:pPr>
        <w:spacing w:line="360" w:lineRule="auto"/>
        <w:ind w:firstLine="482" w:firstLineChars="200"/>
        <w:rPr>
          <w:rFonts w:ascii="宋体" w:hAnsi="宋体" w:eastAsia="宋体"/>
          <w:b/>
          <w:bCs/>
          <w:sz w:val="24"/>
          <w:szCs w:val="24"/>
        </w:rPr>
      </w:pPr>
      <w:r>
        <w:rPr>
          <w:rFonts w:ascii="宋体" w:hAnsi="宋体" w:eastAsia="宋体"/>
          <w:b/>
          <w:bCs/>
          <w:sz w:val="24"/>
          <w:szCs w:val="24"/>
        </w:rPr>
        <w:t>三</w:t>
      </w:r>
      <w:r>
        <w:rPr>
          <w:rFonts w:hint="eastAsia" w:ascii="宋体" w:hAnsi="宋体" w:eastAsia="宋体"/>
          <w:b/>
          <w:bCs/>
          <w:sz w:val="24"/>
          <w:szCs w:val="24"/>
        </w:rPr>
        <w:t>、项目计划工期、地点、工程概况：</w:t>
      </w:r>
    </w:p>
    <w:p w14:paraId="56CC106F">
      <w:pPr>
        <w:spacing w:line="360" w:lineRule="auto"/>
        <w:ind w:firstLine="480" w:firstLineChars="2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、计划工期：</w:t>
      </w:r>
      <w:r>
        <w:rPr>
          <w:rFonts w:hint="eastAsia" w:ascii="宋体" w:hAnsi="宋体" w:eastAsia="宋体"/>
          <w:sz w:val="24"/>
          <w:szCs w:val="24"/>
          <w:lang w:val="en-US" w:eastAsia="zh-CN"/>
        </w:rPr>
        <w:t>50</w:t>
      </w:r>
      <w:r>
        <w:rPr>
          <w:rFonts w:ascii="宋体" w:hAnsi="宋体" w:eastAsia="宋体"/>
          <w:sz w:val="24"/>
          <w:szCs w:val="24"/>
        </w:rPr>
        <w:t>天</w:t>
      </w:r>
    </w:p>
    <w:p w14:paraId="67A68A20">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rPr>
        <w:t>2</w:t>
      </w:r>
      <w:r>
        <w:rPr>
          <w:rFonts w:ascii="宋体" w:hAnsi="宋体" w:eastAsia="宋体"/>
          <w:sz w:val="24"/>
          <w:szCs w:val="24"/>
        </w:rPr>
        <w:t>、项目实施地点：吴堡县</w:t>
      </w:r>
      <w:r>
        <w:rPr>
          <w:rFonts w:hint="eastAsia" w:ascii="宋体" w:hAnsi="宋体" w:eastAsia="宋体"/>
          <w:sz w:val="24"/>
          <w:szCs w:val="24"/>
          <w:lang w:val="en-US" w:eastAsia="zh-CN"/>
        </w:rPr>
        <w:t>张家山镇宽马家石村</w:t>
      </w:r>
    </w:p>
    <w:p w14:paraId="519D77AC">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rPr>
        <w:t>3</w:t>
      </w:r>
      <w:r>
        <w:rPr>
          <w:rFonts w:ascii="宋体" w:hAnsi="宋体" w:eastAsia="宋体"/>
          <w:sz w:val="24"/>
          <w:szCs w:val="24"/>
        </w:rPr>
        <w:t>、主要建设内容</w:t>
      </w:r>
      <w:r>
        <w:rPr>
          <w:rFonts w:hint="eastAsia" w:ascii="宋体" w:hAnsi="宋体" w:eastAsia="宋体"/>
          <w:sz w:val="24"/>
          <w:szCs w:val="24"/>
        </w:rPr>
        <w:t>：①</w:t>
      </w:r>
      <w:r>
        <w:rPr>
          <w:rFonts w:hint="eastAsia" w:ascii="宋体" w:hAnsi="宋体" w:eastAsia="宋体"/>
          <w:sz w:val="24"/>
          <w:szCs w:val="24"/>
          <w:lang w:val="en-US" w:eastAsia="zh-CN"/>
        </w:rPr>
        <w:t>道路路面硬化工程：拆除砖铺路面594㎡，道路山坡挖方2935m³，弃土方2716.3m³，20cm路基砂砾石1822.5㎡，18cm混凝土硬化路面1620㎡；②挡土墙工程：挡土墙山坡挖土298.8m³，基础土方开挖676.07m³，基础回填574.09m³，片块石挡土墙1246m³；③排水工程：块石渠道长65m，截面为1200mm*500mm，DN800钢筋混凝土管地埋铺设48m等。</w:t>
      </w:r>
    </w:p>
    <w:p w14:paraId="5BC7FAF7">
      <w:pPr>
        <w:spacing w:line="360" w:lineRule="auto"/>
        <w:ind w:firstLine="482" w:firstLineChars="200"/>
        <w:rPr>
          <w:rFonts w:hint="default" w:ascii="宋体" w:hAnsi="宋体" w:eastAsia="宋体" w:cstheme="minorBidi"/>
          <w:b/>
          <w:bCs/>
          <w:color w:val="auto"/>
          <w:kern w:val="2"/>
          <w:sz w:val="24"/>
          <w:szCs w:val="24"/>
          <w:lang w:val="en-US" w:eastAsia="zh-CN" w:bidi="ar-SA"/>
          <w14:ligatures w14:val="standardContextual"/>
        </w:rPr>
      </w:pPr>
      <w:r>
        <w:rPr>
          <w:rFonts w:ascii="宋体" w:hAnsi="宋体" w:eastAsia="宋体"/>
          <w:b/>
          <w:bCs/>
          <w:sz w:val="24"/>
          <w:szCs w:val="24"/>
        </w:rPr>
        <w:t>四、</w:t>
      </w:r>
      <w:r>
        <w:rPr>
          <w:rFonts w:hint="eastAsia" w:ascii="宋体" w:hAnsi="宋体" w:eastAsia="宋体" w:cstheme="minorBidi"/>
          <w:b/>
          <w:bCs/>
          <w:color w:val="auto"/>
          <w:kern w:val="2"/>
          <w:sz w:val="24"/>
          <w:szCs w:val="24"/>
          <w:lang w:val="en-US" w:eastAsia="zh-CN" w:bidi="ar-SA"/>
          <w14:ligatures w14:val="standardContextual"/>
        </w:rPr>
        <w:t>相关</w:t>
      </w:r>
      <w:r>
        <w:rPr>
          <w:rFonts w:hint="default" w:ascii="宋体" w:hAnsi="宋体" w:eastAsia="宋体" w:cstheme="minorBidi"/>
          <w:b/>
          <w:bCs/>
          <w:color w:val="auto"/>
          <w:kern w:val="2"/>
          <w:sz w:val="24"/>
          <w:szCs w:val="24"/>
          <w:lang w:val="en-US" w:eastAsia="zh-CN" w:bidi="ar-SA"/>
          <w14:ligatures w14:val="standardContextual"/>
        </w:rPr>
        <w:t>技术要求：</w:t>
      </w:r>
    </w:p>
    <w:p w14:paraId="1C193498">
      <w:pPr>
        <w:pStyle w:val="5"/>
        <w:keepNext w:val="0"/>
        <w:keepLines w:val="0"/>
        <w:widowControl/>
        <w:suppressLineNumbers w:val="0"/>
        <w:pBdr>
          <w:bottom w:val="none" w:color="auto" w:sz="0" w:space="0"/>
        </w:pBdr>
        <w:shd w:val="clear" w:fill="FFFFFF"/>
        <w:spacing w:line="360" w:lineRule="auto"/>
        <w:ind w:left="0" w:firstLine="0"/>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 xml:space="preserve">  </w:t>
      </w:r>
      <w:r>
        <w:rPr>
          <w:rFonts w:hint="eastAsia" w:ascii="宋体" w:hAnsi="宋体" w:eastAsia="宋体" w:cstheme="minorBidi"/>
          <w:b/>
          <w:bCs/>
          <w:color w:val="auto"/>
          <w:kern w:val="2"/>
          <w:sz w:val="24"/>
          <w:szCs w:val="24"/>
          <w:lang w:val="en-US" w:eastAsia="zh-CN" w:bidi="ar-SA"/>
          <w14:ligatures w14:val="standardContextual"/>
        </w:rPr>
        <w:t xml:space="preserve"> （一）</w:t>
      </w:r>
      <w:r>
        <w:rPr>
          <w:rFonts w:hint="default" w:ascii="宋体" w:hAnsi="宋体" w:eastAsia="宋体" w:cstheme="minorBidi"/>
          <w:b/>
          <w:bCs/>
          <w:color w:val="auto"/>
          <w:kern w:val="2"/>
          <w:sz w:val="24"/>
          <w:szCs w:val="24"/>
          <w:lang w:val="en-US" w:eastAsia="zh-CN" w:bidi="ar-SA"/>
          <w14:ligatures w14:val="standardContextual"/>
        </w:rPr>
        <w:t>路基土方开挖技术要求</w:t>
      </w:r>
      <w:r>
        <w:rPr>
          <w:rFonts w:hint="eastAsia" w:ascii="宋体" w:hAnsi="宋体" w:eastAsia="宋体" w:cstheme="minorBidi"/>
          <w:b/>
          <w:bCs/>
          <w:color w:val="auto"/>
          <w:kern w:val="2"/>
          <w:sz w:val="24"/>
          <w:szCs w:val="24"/>
          <w:lang w:val="en-US" w:eastAsia="zh-CN" w:bidi="ar-SA"/>
          <w14:ligatures w14:val="standardContextual"/>
        </w:rPr>
        <w:t>：</w:t>
      </w:r>
    </w:p>
    <w:p w14:paraId="4E005141">
      <w:pPr>
        <w:keepNext w:val="0"/>
        <w:keepLines w:val="0"/>
        <w:widowControl/>
        <w:numPr>
          <w:ilvl w:val="0"/>
          <w:numId w:val="0"/>
        </w:numPr>
        <w:suppressLineNumbers w:val="0"/>
        <w:pBdr>
          <w:left w:val="none" w:color="auto" w:sz="0" w:space="0"/>
        </w:pBdr>
        <w:spacing w:before="0" w:beforeAutospacing="1" w:after="0" w:afterAutospacing="1" w:line="360" w:lineRule="auto"/>
        <w:ind w:left="360" w:leftChars="0"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1、</w:t>
      </w:r>
      <w:r>
        <w:rPr>
          <w:rFonts w:hint="default" w:ascii="宋体" w:hAnsi="宋体" w:eastAsia="宋体" w:cstheme="minorBidi"/>
          <w:color w:val="auto"/>
          <w:kern w:val="2"/>
          <w:sz w:val="24"/>
          <w:szCs w:val="24"/>
          <w:lang w:val="en-US" w:eastAsia="zh-CN" w:bidi="ar-SA"/>
          <w14:ligatures w14:val="standardContextual"/>
        </w:rPr>
        <w:t>前期准备</w:t>
      </w:r>
      <w:r>
        <w:rPr>
          <w:rFonts w:hint="eastAsia" w:ascii="宋体" w:hAnsi="宋体" w:eastAsia="宋体" w:cstheme="minorBidi"/>
          <w:color w:val="auto"/>
          <w:kern w:val="2"/>
          <w:sz w:val="24"/>
          <w:szCs w:val="24"/>
          <w:lang w:val="en-US" w:eastAsia="zh-CN" w:bidi="ar-SA"/>
          <w14:ligatures w14:val="standardContextual"/>
        </w:rPr>
        <w:t>：</w:t>
      </w:r>
    </w:p>
    <w:p w14:paraId="32B4444A">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①勘察复核：开挖前要仔细核对路基中线、边线、高程，明确软土、岩石层等不良地质的分布情况，针对特殊地质制定专项处理方案，比如软土区域的换填方案、岩石区域的爆破方案等。</w:t>
      </w:r>
    </w:p>
    <w:p w14:paraId="373C5377">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②放线标识：借助全站仪或 GPS 精准放出开挖边界线、坡顶线、坡脚线和高程控制点，并用石灰线、木桩等做好标识，确保开挖范围准确，杜绝超挖或欠挖现象。</w:t>
      </w:r>
    </w:p>
    <w:p w14:paraId="3ADCC333">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default"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③排水设置：</w:t>
      </w:r>
      <w:r>
        <w:rPr>
          <w:rFonts w:hint="eastAsia" w:ascii="宋体" w:hAnsi="宋体" w:eastAsia="宋体" w:cstheme="minorBidi"/>
          <w:color w:val="auto"/>
          <w:kern w:val="2"/>
          <w:sz w:val="24"/>
          <w:szCs w:val="24"/>
          <w:lang w:val="en-US" w:eastAsia="zh-CN" w:bidi="ar-SA"/>
          <w14:ligatures w14:val="standardContextual"/>
        </w:rPr>
        <w:t>根据道路长度及地块环境需要布设波纹排水管道。管径根据道路长度及出水口排放环境进行处理。</w:t>
      </w:r>
    </w:p>
    <w:p w14:paraId="4B3E3AD1">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2、</w:t>
      </w:r>
      <w:r>
        <w:rPr>
          <w:rFonts w:hint="default" w:ascii="宋体" w:hAnsi="宋体" w:eastAsia="宋体" w:cstheme="minorBidi"/>
          <w:color w:val="auto"/>
          <w:kern w:val="2"/>
          <w:sz w:val="24"/>
          <w:szCs w:val="24"/>
          <w:lang w:val="en-US" w:eastAsia="zh-CN" w:bidi="ar-SA"/>
          <w14:ligatures w14:val="standardContextual"/>
        </w:rPr>
        <w:t>开挖过程控制</w:t>
      </w:r>
      <w:r>
        <w:rPr>
          <w:rFonts w:hint="eastAsia" w:ascii="宋体" w:hAnsi="宋体" w:eastAsia="宋体" w:cstheme="minorBidi"/>
          <w:color w:val="auto"/>
          <w:kern w:val="2"/>
          <w:sz w:val="24"/>
          <w:szCs w:val="24"/>
          <w:lang w:val="en-US" w:eastAsia="zh-CN" w:bidi="ar-SA"/>
          <w14:ligatures w14:val="standardContextual"/>
        </w:rPr>
        <w:t>：</w:t>
      </w:r>
    </w:p>
    <w:p w14:paraId="4DB85E84">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①遵循 “分层开挖、由上而下” 的原则，严禁 “掏底开挖” 或 “顺坡开挖”，以避免边坡坍塌。机械开挖至距离设计高程 20-30 厘米时，改用人工清底，防止机械对原状土造成扰动。</w:t>
      </w:r>
    </w:p>
    <w:p w14:paraId="327C9F5B">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②根据地质条件控制边坡坡度，例如黏性土边坡坡度为 1:1.2-1:1.5，砂土为 1:1.5-1:2.0。当开挖深度超过 5 米时，需设置宽度不小于 1 米的分级平台，平台处要设置截水沟。</w:t>
      </w:r>
    </w:p>
    <w:p w14:paraId="73A957A9">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default"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③遇到软土或淤泥，应立即停止开挖，采用换填碎石或抛石挤淤的方式处理；若遇到岩石层，软质岩可用破碎锤破碎，硬质岩则需进行控制爆破，且爆破后的岩块粒径不得超过 30 厘米。</w:t>
      </w:r>
    </w:p>
    <w:p w14:paraId="61C4C57F">
      <w:pPr>
        <w:keepNext w:val="0"/>
        <w:keepLines w:val="0"/>
        <w:widowControl/>
        <w:numPr>
          <w:ilvl w:val="0"/>
          <w:numId w:val="0"/>
        </w:numPr>
        <w:suppressLineNumbers w:val="0"/>
        <w:pBdr>
          <w:left w:val="none" w:color="auto" w:sz="0" w:space="0"/>
        </w:pBdr>
        <w:spacing w:before="0" w:beforeAutospacing="1" w:after="0" w:afterAutospacing="1" w:line="360" w:lineRule="auto"/>
        <w:ind w:firstLine="482" w:firstLineChars="200"/>
        <w:rPr>
          <w:rFonts w:hint="default" w:ascii="宋体" w:hAnsi="宋体" w:eastAsia="宋体" w:cstheme="minorBidi"/>
          <w:b/>
          <w:bCs/>
          <w:color w:val="auto"/>
          <w:kern w:val="2"/>
          <w:sz w:val="24"/>
          <w:szCs w:val="24"/>
          <w:lang w:val="en-US" w:eastAsia="zh-CN" w:bidi="ar-SA"/>
          <w14:ligatures w14:val="standardContextual"/>
        </w:rPr>
      </w:pPr>
      <w:r>
        <w:rPr>
          <w:rFonts w:hint="eastAsia" w:ascii="宋体" w:hAnsi="宋体" w:eastAsia="宋体" w:cstheme="minorBidi"/>
          <w:b/>
          <w:bCs/>
          <w:color w:val="auto"/>
          <w:kern w:val="2"/>
          <w:sz w:val="24"/>
          <w:szCs w:val="24"/>
          <w:lang w:val="en-US" w:eastAsia="zh-CN" w:bidi="ar-SA"/>
          <w14:ligatures w14:val="standardContextual"/>
        </w:rPr>
        <w:t>（二）利用土方回填：</w:t>
      </w:r>
    </w:p>
    <w:p w14:paraId="1324D15C">
      <w:pPr>
        <w:pStyle w:val="5"/>
        <w:keepNext w:val="0"/>
        <w:keepLines w:val="0"/>
        <w:widowControl/>
        <w:suppressLineNumbers w:val="0"/>
        <w:pBdr>
          <w:bottom w:val="none" w:color="auto" w:sz="0" w:space="0"/>
        </w:pBdr>
        <w:shd w:val="clear" w:fill="FFFFFF"/>
        <w:spacing w:line="360" w:lineRule="auto"/>
        <w:ind w:left="0" w:firstLine="482" w:firstLineChars="200"/>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1、</w:t>
      </w:r>
      <w:r>
        <w:rPr>
          <w:rFonts w:hint="default" w:ascii="宋体" w:hAnsi="宋体" w:eastAsia="宋体" w:cstheme="minorBidi"/>
          <w:color w:val="auto"/>
          <w:kern w:val="2"/>
          <w:sz w:val="24"/>
          <w:szCs w:val="24"/>
          <w:lang w:val="en-US" w:eastAsia="zh-CN" w:bidi="ar-SA"/>
          <w14:ligatures w14:val="standardContextual"/>
        </w:rPr>
        <w:t>路基土方回填技术要求</w:t>
      </w:r>
      <w:r>
        <w:rPr>
          <w:rFonts w:hint="eastAsia" w:ascii="宋体" w:hAnsi="宋体" w:eastAsia="宋体" w:cstheme="minorBidi"/>
          <w:color w:val="auto"/>
          <w:kern w:val="2"/>
          <w:sz w:val="24"/>
          <w:szCs w:val="24"/>
          <w:lang w:val="en-US" w:eastAsia="zh-CN" w:bidi="ar-SA"/>
          <w14:ligatures w14:val="standardContextual"/>
        </w:rPr>
        <w:t>：</w:t>
      </w:r>
    </w:p>
    <w:p w14:paraId="5BA9D9E9">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①回填前准备</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填料选择：优先选用级配良好的透水性土，如砂土、碎石土、粉质黏土等，严禁使用淤泥、腐殖土、生活垃圾以及粒径大于 10 厘米的块石。</w:t>
      </w:r>
    </w:p>
    <w:p w14:paraId="625FCEAC">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②基底处理：清除基底的杂物和积水，当原地面坡度大于 1:5 时，需开挖宽度不小于 1 米、向内倾斜 2%-3% 的台阶，确保填料与基底能够紧密结合。</w:t>
      </w:r>
    </w:p>
    <w:p w14:paraId="1930EA4B">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③回填过程控制</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分层回填与碾压：机械碾压时，每层厚度不超过 30 厘米，人工夯实则不超过 20 厘米。压实设备按照 “先轻后重” 的原则选择，狭窄区域可使用蛙式打夯机。回填土的压实度要符合设计要求，例如路基顶 0-80 厘米范围压实度不低于 96%，80-150 厘米不低于 94%，每分层碾压后需用环刀法或灌砂法检测，合格后方可继续回填。</w:t>
      </w:r>
    </w:p>
    <w:p w14:paraId="62D7E4C7">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④特殊区域处理：管道周边回填应采用砂或级配砂石等细粒土，通过人工分层夯实，压实度不低于 95%，避免机械碾压损坏管道；桥台背回填需使用碎石等透水性材料，分层厚度不超过 20 厘米，采用小型振动碾压实。</w:t>
      </w:r>
    </w:p>
    <w:p w14:paraId="595F808A">
      <w:pPr>
        <w:keepNext w:val="0"/>
        <w:keepLines w:val="0"/>
        <w:widowControl/>
        <w:numPr>
          <w:ilvl w:val="0"/>
          <w:numId w:val="0"/>
        </w:numPr>
        <w:suppressLineNumbers w:val="0"/>
        <w:pBdr>
          <w:left w:val="none" w:color="auto" w:sz="0" w:space="0"/>
        </w:pBdr>
        <w:spacing w:before="0" w:beforeAutospacing="1" w:after="0" w:afterAutospacing="1" w:line="360" w:lineRule="auto"/>
        <w:ind w:left="660" w:leftChars="0"/>
        <w:rPr>
          <w:rFonts w:hint="default" w:ascii="宋体" w:hAnsi="宋体" w:eastAsia="宋体" w:cstheme="minorBidi"/>
          <w:b/>
          <w:bCs/>
          <w:color w:val="auto"/>
          <w:kern w:val="2"/>
          <w:sz w:val="24"/>
          <w:szCs w:val="24"/>
          <w:lang w:val="en-US" w:eastAsia="zh-CN" w:bidi="ar-SA"/>
          <w14:ligatures w14:val="standardContextual"/>
        </w:rPr>
      </w:pPr>
      <w:r>
        <w:rPr>
          <w:rFonts w:hint="eastAsia" w:ascii="宋体" w:hAnsi="宋体" w:eastAsia="宋体" w:cstheme="minorBidi"/>
          <w:b/>
          <w:bCs/>
          <w:color w:val="auto"/>
          <w:kern w:val="2"/>
          <w:sz w:val="24"/>
          <w:szCs w:val="24"/>
          <w:lang w:val="en-US" w:eastAsia="zh-CN" w:bidi="ar-SA"/>
          <w14:ligatures w14:val="standardContextual"/>
        </w:rPr>
        <w:t>（三）硬化路面技术要求：</w:t>
      </w:r>
    </w:p>
    <w:p w14:paraId="530CBE3B">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default" w:ascii="宋体" w:hAnsi="宋体" w:eastAsia="宋体" w:cstheme="minorBidi"/>
          <w:color w:val="auto"/>
          <w:kern w:val="2"/>
          <w:sz w:val="24"/>
          <w:szCs w:val="24"/>
          <w:lang w:val="en-US" w:eastAsia="zh-CN" w:bidi="ar-SA"/>
          <w14:ligatures w14:val="standardContextual"/>
        </w:rPr>
      </w:pPr>
      <w:r>
        <w:rPr>
          <w:rFonts w:hint="default" w:ascii="宋体" w:hAnsi="宋体" w:eastAsia="宋体" w:cstheme="minorBidi"/>
          <w:color w:val="auto"/>
          <w:kern w:val="2"/>
          <w:sz w:val="24"/>
          <w:szCs w:val="24"/>
          <w:lang w:val="en-US" w:eastAsia="zh-CN" w:bidi="ar-SA"/>
          <w14:ligatures w14:val="standardContextual"/>
        </w:rPr>
        <w:t>道路硬化的技术指标是衡量路面施工质量、结构性能及使用功能的关键参数，涵盖路基、基层、面层等多个结构层。以下是核心技术指标说明：</w:t>
      </w:r>
    </w:p>
    <w:p w14:paraId="5E662782">
      <w:pPr>
        <w:keepNext w:val="0"/>
        <w:keepLines w:val="0"/>
        <w:widowControl/>
        <w:numPr>
          <w:ilvl w:val="0"/>
          <w:numId w:val="8"/>
        </w:numPr>
        <w:suppressLineNumbers w:val="0"/>
        <w:pBdr>
          <w:left w:val="none" w:color="auto" w:sz="0" w:space="0"/>
        </w:pBdr>
        <w:spacing w:before="0" w:beforeAutospacing="1" w:after="0" w:afterAutospacing="1" w:line="360" w:lineRule="auto"/>
        <w:ind w:firstLine="480" w:firstLineChars="200"/>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路基技术要求：①压实度需达到</w:t>
      </w:r>
      <w:r>
        <w:rPr>
          <w:rFonts w:ascii="Segoe UI" w:hAnsi="Segoe UI" w:eastAsia="Segoe UI" w:cs="Segoe UI"/>
          <w:i w:val="0"/>
          <w:iCs w:val="0"/>
          <w:caps w:val="0"/>
          <w:spacing w:val="0"/>
          <w:sz w:val="24"/>
          <w:szCs w:val="24"/>
          <w:shd w:val="clear" w:fill="FFFFFF"/>
        </w:rPr>
        <w:t>三</w:t>
      </w:r>
      <w:r>
        <w:rPr>
          <w:rFonts w:hint="default" w:ascii="宋体" w:hAnsi="宋体" w:eastAsia="宋体" w:cstheme="minorBidi"/>
          <w:color w:val="auto"/>
          <w:kern w:val="2"/>
          <w:sz w:val="24"/>
          <w:szCs w:val="24"/>
          <w:lang w:val="en-US" w:eastAsia="zh-CN" w:bidi="ar-SA"/>
          <w14:ligatures w14:val="standardContextual"/>
        </w:rPr>
        <w:t>级及以下公路路床≥94%，下路堤≥90%（采用环刀法、灌砂法检测）</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②</w:t>
      </w:r>
      <w:r>
        <w:rPr>
          <w:rFonts w:hint="eastAsia" w:ascii="宋体" w:hAnsi="宋体" w:eastAsia="宋体" w:cstheme="minorBidi"/>
          <w:color w:val="auto"/>
          <w:kern w:val="2"/>
          <w:sz w:val="24"/>
          <w:szCs w:val="24"/>
          <w:lang w:val="en-US" w:eastAsia="zh-CN" w:bidi="ar-SA"/>
          <w14:ligatures w14:val="standardContextual"/>
        </w:rPr>
        <w:t>地基承载力</w:t>
      </w:r>
      <w:r>
        <w:rPr>
          <w:rFonts w:hint="default" w:ascii="宋体" w:hAnsi="宋体" w:eastAsia="宋体" w:cstheme="minorBidi"/>
          <w:color w:val="auto"/>
          <w:kern w:val="2"/>
          <w:sz w:val="24"/>
          <w:szCs w:val="24"/>
          <w:lang w:val="en-US" w:eastAsia="zh-CN" w:bidi="ar-SA"/>
          <w14:ligatures w14:val="standardContextual"/>
        </w:rPr>
        <w:t>路床顶面地基承载力需≥150kPa</w:t>
      </w:r>
      <w:r>
        <w:rPr>
          <w:rFonts w:hint="eastAsia" w:ascii="宋体" w:hAnsi="宋体" w:eastAsia="宋体" w:cstheme="minorBidi"/>
          <w:color w:val="auto"/>
          <w:kern w:val="2"/>
          <w:sz w:val="24"/>
          <w:szCs w:val="24"/>
          <w:lang w:val="en-US" w:eastAsia="zh-CN" w:bidi="ar-SA"/>
          <w14:ligatures w14:val="standardContextual"/>
        </w:rPr>
        <w:t>；③平整度路基顶面平整度（3m 直尺检测）≤15mm，避免后续结构层厚度不均。</w:t>
      </w:r>
    </w:p>
    <w:p w14:paraId="3E4AD993">
      <w:pPr>
        <w:keepNext w:val="0"/>
        <w:keepLines w:val="0"/>
        <w:widowControl/>
        <w:numPr>
          <w:ilvl w:val="0"/>
          <w:numId w:val="8"/>
        </w:numPr>
        <w:suppressLineNumbers w:val="0"/>
        <w:pBdr>
          <w:left w:val="none" w:color="auto" w:sz="0" w:space="0"/>
        </w:pBdr>
        <w:spacing w:before="0" w:beforeAutospacing="1" w:after="0" w:afterAutospacing="1" w:line="360" w:lineRule="auto"/>
        <w:ind w:firstLine="480" w:firstLineChars="200"/>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基层与底基层技术要求：基层（底基层）起承上启下作用，支撑面层并传递荷载，指标包括①压实度砂砾石稳定基层≥97%；②四级道路基层≥2.5-3.0MPa，底基层≥1.0-1.5MPa。③基层厚度允许偏差：±10mm（采用钻芯法检测），底基层 ±15mm，确保结构层承载能力均匀。④道路基层平整度≤15mm。</w:t>
      </w:r>
    </w:p>
    <w:p w14:paraId="2C3A7C62">
      <w:pPr>
        <w:keepNext w:val="0"/>
        <w:keepLines w:val="0"/>
        <w:widowControl/>
        <w:numPr>
          <w:ilvl w:val="0"/>
          <w:numId w:val="8"/>
        </w:numPr>
        <w:suppressLineNumbers w:val="0"/>
        <w:pBdr>
          <w:left w:val="none" w:color="auto" w:sz="0" w:space="0"/>
        </w:pBdr>
        <w:spacing w:before="0" w:beforeAutospacing="1" w:after="0" w:afterAutospacing="1" w:line="360" w:lineRule="auto"/>
        <w:ind w:firstLine="480" w:firstLineChars="200"/>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水泥混凝土路面技术要求：①弯拉强度需达到三级及以下公路≥4.0MPa（28 天标准养护试件检测）。②抗压强度辅助指标，通常≥30MPa（C30 混凝土），与弯拉强度配套控制。③厚度偏差，面板厚度允许偏差：±5mm（采用钻芯法检测），厚度不足会导致局部承载能力不足。④平整度其他等级道路≤3.0m/km。⑤外观质量，表面无裂缝、松散、坑槽、离析等缺陷，接缝平顺，边线直顺。</w:t>
      </w:r>
    </w:p>
    <w:p w14:paraId="6CB146E2">
      <w:pPr>
        <w:keepNext w:val="0"/>
        <w:keepLines w:val="0"/>
        <w:widowControl/>
        <w:numPr>
          <w:ilvl w:val="0"/>
          <w:numId w:val="0"/>
        </w:numPr>
        <w:suppressLineNumbers w:val="0"/>
        <w:pBdr>
          <w:left w:val="none" w:color="auto" w:sz="0" w:space="0"/>
        </w:pBdr>
        <w:spacing w:before="0" w:beforeAutospacing="1" w:after="0" w:afterAutospacing="1" w:line="360" w:lineRule="auto"/>
        <w:ind w:firstLine="480" w:firstLineChars="200"/>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上述技术指标需通过现场检测（如钻芯、弯沉试验、平整度仪等）和实验室试验（如抗压强度、级配分析等）验证，最终需满足《城镇道路工程施工与质量验收规范》（CJJ 1-2008）等规范要求。</w:t>
      </w:r>
    </w:p>
    <w:p w14:paraId="1FF5F8C4">
      <w:pPr>
        <w:keepNext w:val="0"/>
        <w:keepLines w:val="0"/>
        <w:widowControl/>
        <w:numPr>
          <w:ilvl w:val="0"/>
          <w:numId w:val="9"/>
        </w:numPr>
        <w:suppressLineNumbers w:val="0"/>
        <w:pBdr>
          <w:left w:val="none" w:color="auto" w:sz="0" w:space="0"/>
        </w:pBdr>
        <w:spacing w:before="0" w:beforeAutospacing="1" w:after="0" w:afterAutospacing="1" w:line="360" w:lineRule="auto"/>
        <w:ind w:left="660" w:leftChars="0"/>
        <w:rPr>
          <w:rFonts w:hint="eastAsia" w:ascii="宋体" w:hAnsi="宋体" w:eastAsia="宋体" w:cstheme="minorBidi"/>
          <w:b/>
          <w:bCs/>
          <w:color w:val="auto"/>
          <w:kern w:val="2"/>
          <w:sz w:val="24"/>
          <w:szCs w:val="24"/>
          <w:lang w:val="en-US" w:eastAsia="zh-CN" w:bidi="ar-SA"/>
          <w14:ligatures w14:val="standardContextual"/>
        </w:rPr>
      </w:pPr>
      <w:r>
        <w:rPr>
          <w:rFonts w:hint="eastAsia" w:ascii="宋体" w:hAnsi="宋体" w:eastAsia="宋体" w:cstheme="minorBidi"/>
          <w:b/>
          <w:bCs/>
          <w:color w:val="auto"/>
          <w:kern w:val="2"/>
          <w:sz w:val="24"/>
          <w:szCs w:val="24"/>
          <w:lang w:val="en-US" w:eastAsia="zh-CN" w:bidi="ar-SA"/>
          <w14:ligatures w14:val="standardContextual"/>
        </w:rPr>
        <w:t>道路挡土墙技术要求：</w:t>
      </w:r>
    </w:p>
    <w:p w14:paraId="0805CA1A">
      <w:pPr>
        <w:keepNext w:val="0"/>
        <w:keepLines w:val="0"/>
        <w:pageBreakBefore w:val="0"/>
        <w:widowControl w:val="0"/>
        <w:numPr>
          <w:ilvl w:val="0"/>
          <w:numId w:val="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641"/>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道路石挡土墙（多为浆砌或干砌块石结构）是道路工程中用于支挡路基填土、边坡或山体，保障路基稳定的关键构造物，其技术指标需满足强度、稳定性、耐久性及安全性要求，具体如下：</w:t>
      </w:r>
    </w:p>
    <w:p w14:paraId="5FB7A104">
      <w:pPr>
        <w:keepNext w:val="0"/>
        <w:keepLines w:val="0"/>
        <w:pageBreakBefore w:val="0"/>
        <w:widowControl w:val="0"/>
        <w:numPr>
          <w:ilvl w:val="0"/>
          <w:numId w:val="1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641"/>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材料技术要求：①选用未风化、质地坚硬的片石、块石或料石，严禁使用风化石、裂缝石或软质岩（如页岩、泥岩）；天然石材抗压强度≥30MPa（MU30）；块石最小边长≥30cm，厚度≥20cm；片石中部厚度≥15cm，镶面石需修凿平整，边缘直顺。</w:t>
      </w:r>
    </w:p>
    <w:p w14:paraId="361443E5">
      <w:pPr>
        <w:keepNext w:val="0"/>
        <w:keepLines w:val="0"/>
        <w:pageBreakBefore w:val="0"/>
        <w:widowControl w:val="0"/>
        <w:numPr>
          <w:ilvl w:val="0"/>
          <w:numId w:val="1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641"/>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砌筑砂浆：墙高≤6m：M5.0 水泥砂浆（抗压强度≥5MPa）；6m＜墙高≤12m：M7.5 水泥砂浆（≥7.5MPa）；和易性：砂浆稠度 50-70mm（利于砌筑时饱满度），分层度≤30mm（避免离析）。</w:t>
      </w:r>
    </w:p>
    <w:p w14:paraId="42BA0AE1">
      <w:pPr>
        <w:keepNext w:val="0"/>
        <w:keepLines w:val="0"/>
        <w:pageBreakBefore w:val="0"/>
        <w:widowControl w:val="0"/>
        <w:numPr>
          <w:ilvl w:val="0"/>
          <w:numId w:val="1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641"/>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砌筑工艺：块石坐浆饱满（灰缝厚度 2-3cm，严禁干砌后灌浆），上下层错缝搭接（搭接长度≥10cm），外侧竖缝宽≤4cm；浆砌挡土墙采用平缝或凸缝，勾缝砂浆强度≥M7.5，缝宽 2-3cm，表面压实抹光（防止雨水渗入）。</w:t>
      </w:r>
    </w:p>
    <w:p w14:paraId="2496E26B">
      <w:pPr>
        <w:keepNext w:val="0"/>
        <w:keepLines w:val="0"/>
        <w:pageBreakBefore w:val="0"/>
        <w:widowControl w:val="0"/>
        <w:numPr>
          <w:ilvl w:val="0"/>
          <w:numId w:val="1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641"/>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质量验收：墙面平整度：偏差≤5cm（2m 靠尺检查）；勾缝：无裂缝、空鼓，接缝平顺，无漏勾；块石：无松动、脱落，表面清洁（无明显污渍）。</w:t>
      </w:r>
    </w:p>
    <w:p w14:paraId="7D2FB66D">
      <w:pPr>
        <w:keepNext w:val="0"/>
        <w:keepLines w:val="0"/>
        <w:pageBreakBefore w:val="0"/>
        <w:widowControl w:val="0"/>
        <w:numPr>
          <w:ilvl w:val="0"/>
          <w:numId w:val="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 xml:space="preserve">    以上指标需符合《砌体结构工程施工质量验收规范》（GB50203-2011）等国家标准，确保石挡土墙长期稳定。</w:t>
      </w:r>
    </w:p>
    <w:p w14:paraId="5512301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1" w:after="0" w:afterAutospacing="1" w:line="360" w:lineRule="auto"/>
        <w:ind w:firstLine="482" w:firstLineChars="200"/>
        <w:textAlignment w:val="auto"/>
        <w:rPr>
          <w:rFonts w:hint="eastAsia" w:ascii="宋体" w:hAnsi="宋体" w:eastAsia="宋体" w:cstheme="minorBidi"/>
          <w:b/>
          <w:bCs/>
          <w:color w:val="auto"/>
          <w:kern w:val="2"/>
          <w:sz w:val="24"/>
          <w:szCs w:val="24"/>
          <w:lang w:val="en-US" w:eastAsia="zh-CN" w:bidi="ar-SA"/>
          <w14:ligatures w14:val="standardContextual"/>
        </w:rPr>
      </w:pPr>
      <w:r>
        <w:rPr>
          <w:rFonts w:hint="eastAsia" w:ascii="宋体" w:hAnsi="宋体" w:eastAsia="宋体" w:cstheme="minorBidi"/>
          <w:b/>
          <w:bCs/>
          <w:color w:val="auto"/>
          <w:kern w:val="2"/>
          <w:sz w:val="24"/>
          <w:szCs w:val="24"/>
          <w:lang w:val="en-US" w:eastAsia="zh-CN" w:bidi="ar-SA"/>
          <w14:ligatures w14:val="standardContextual"/>
        </w:rPr>
        <w:t xml:space="preserve">（五）石砌排洪渠技术要求技术要求：                                                   </w:t>
      </w:r>
    </w:p>
    <w:p w14:paraId="41D661E9">
      <w:pPr>
        <w:keepNext w:val="0"/>
        <w:keepLines w:val="0"/>
        <w:pageBreakBefore w:val="0"/>
        <w:widowControl w:val="0"/>
        <w:numPr>
          <w:ilvl w:val="0"/>
          <w:numId w:val="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石砌排洪渠（明渠）和钢筋混凝土管道（地埋）是排水工程中常用的两种形式，前者适用于地表汇水排放，后者适用于地下隐蔽式排水，两者技术要求需分别满足</w:t>
      </w:r>
      <w:r>
        <w:rPr>
          <w:rFonts w:hint="default" w:ascii="宋体" w:hAnsi="宋体" w:eastAsia="宋体" w:cstheme="minorBidi"/>
          <w:color w:val="auto"/>
          <w:kern w:val="2"/>
          <w:sz w:val="24"/>
          <w:szCs w:val="24"/>
          <w:lang w:val="en-US" w:eastAsia="zh-CN" w:bidi="ar-SA"/>
          <w14:ligatures w14:val="standardContextual"/>
        </w:rPr>
        <w:t>过水能力、结构稳定性、耐久性及施工精度，具体如下：</w:t>
      </w:r>
    </w:p>
    <w:p w14:paraId="53F27E54">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材料技术要求：</w:t>
      </w:r>
      <w:r>
        <w:rPr>
          <w:rFonts w:hint="default" w:ascii="宋体" w:hAnsi="宋体" w:eastAsia="宋体" w:cstheme="minorBidi"/>
          <w:color w:val="auto"/>
          <w:kern w:val="2"/>
          <w:sz w:val="24"/>
          <w:szCs w:val="24"/>
          <w:lang w:val="en-US" w:eastAsia="zh-CN" w:bidi="ar-SA"/>
          <w14:ligatures w14:val="standardContextual"/>
        </w:rPr>
        <w:t>选用坚硬、未风化的片石、块石（如花岗岩、石灰岩），严禁使用风化石、裂隙石或软化系数＜0.8 的软质岩（如泥岩）</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抗压强度≥30MPa（MU30），用于流速＞3m/s 的渠道时≥40MPa（MU40）</w:t>
      </w:r>
      <w:r>
        <w:rPr>
          <w:rFonts w:hint="eastAsia" w:ascii="宋体" w:hAnsi="宋体" w:eastAsia="宋体" w:cstheme="minorBidi"/>
          <w:color w:val="auto"/>
          <w:kern w:val="2"/>
          <w:sz w:val="24"/>
          <w:szCs w:val="24"/>
          <w:lang w:val="en-US" w:eastAsia="zh-CN" w:bidi="ar-SA"/>
          <w14:ligatures w14:val="standardContextual"/>
        </w:rPr>
        <w:t>。</w:t>
      </w:r>
    </w:p>
    <w:p w14:paraId="221D291A">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砌筑砂浆：</w:t>
      </w:r>
      <w:r>
        <w:rPr>
          <w:rFonts w:hint="default" w:ascii="宋体" w:hAnsi="宋体" w:eastAsia="宋体" w:cstheme="minorBidi"/>
          <w:color w:val="auto"/>
          <w:kern w:val="2"/>
          <w:sz w:val="24"/>
          <w:szCs w:val="24"/>
          <w:lang w:val="en-US" w:eastAsia="zh-CN" w:bidi="ar-SA"/>
          <w14:ligatures w14:val="standardContextual"/>
        </w:rPr>
        <w:t>2m/s＜流速≤4m/s：M7.5 水泥砂浆（≥7.5MPa）</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流速＞4m/s 或防渗要求高（如农田灌溉渠）：M10 水泥砂浆（≥10MPa），且可掺加防渗剂（如氯化物系，掺量 3%-5%）</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和易性：稠度 50-70mm（便于砌筑时灰缝饱满），保水性≥80%（避免泌水导致强度降低）</w:t>
      </w:r>
      <w:r>
        <w:rPr>
          <w:rFonts w:hint="eastAsia" w:ascii="宋体" w:hAnsi="宋体" w:eastAsia="宋体" w:cstheme="minorBidi"/>
          <w:color w:val="auto"/>
          <w:kern w:val="2"/>
          <w:sz w:val="24"/>
          <w:szCs w:val="24"/>
          <w:lang w:val="en-US" w:eastAsia="zh-CN" w:bidi="ar-SA"/>
          <w14:ligatures w14:val="standardContextual"/>
        </w:rPr>
        <w:t>。</w:t>
      </w:r>
    </w:p>
    <w:p w14:paraId="386C4310">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护底材料：</w:t>
      </w:r>
      <w:r>
        <w:rPr>
          <w:rFonts w:hint="default" w:ascii="宋体" w:hAnsi="宋体" w:eastAsia="宋体" w:cstheme="minorBidi"/>
          <w:color w:val="auto"/>
          <w:kern w:val="2"/>
          <w:sz w:val="24"/>
          <w:szCs w:val="24"/>
          <w:lang w:val="en-US" w:eastAsia="zh-CN" w:bidi="ar-SA"/>
          <w14:ligatures w14:val="standardContextual"/>
        </w:rPr>
        <w:t>流速较大（＞3m/s）时，渠底可增设 10-20cm 厚块石（粒径 30-50cm）或混凝土预制块（C20 混凝土，尺寸 50×50cm），防止冲刷淘空</w:t>
      </w:r>
      <w:r>
        <w:rPr>
          <w:rFonts w:hint="eastAsia" w:ascii="宋体" w:hAnsi="宋体" w:eastAsia="宋体" w:cstheme="minorBidi"/>
          <w:color w:val="auto"/>
          <w:kern w:val="2"/>
          <w:sz w:val="24"/>
          <w:szCs w:val="24"/>
          <w:lang w:val="en-US" w:eastAsia="zh-CN" w:bidi="ar-SA"/>
          <w14:ligatures w14:val="standardContextual"/>
        </w:rPr>
        <w:t>。</w:t>
      </w:r>
    </w:p>
    <w:p w14:paraId="3273117C">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基坑开挖：</w:t>
      </w:r>
      <w:r>
        <w:rPr>
          <w:rFonts w:hint="default" w:ascii="宋体" w:hAnsi="宋体" w:eastAsia="宋体" w:cstheme="minorBidi"/>
          <w:color w:val="auto"/>
          <w:kern w:val="2"/>
          <w:sz w:val="24"/>
          <w:szCs w:val="24"/>
          <w:lang w:val="en-US" w:eastAsia="zh-CN" w:bidi="ar-SA"/>
          <w14:ligatures w14:val="standardContextual"/>
        </w:rPr>
        <w:t>按设计断面开挖，边坡按 1:0.5-1:1 放坡（避免坍塌），基底预留 20cm 保护层（人工清理至设计高程）。清除浮土、淤泥，碾压密实（压实度≥90%）；岩质地基需凿平（起伏差≤5cm），并冲洗干净（便于砂浆粘结）。</w:t>
      </w:r>
    </w:p>
    <w:p w14:paraId="3C7C46BA">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砌筑工艺：</w:t>
      </w:r>
      <w:r>
        <w:rPr>
          <w:rFonts w:hint="default" w:ascii="宋体" w:hAnsi="宋体" w:eastAsia="宋体" w:cstheme="minorBidi"/>
          <w:color w:val="auto"/>
          <w:kern w:val="2"/>
          <w:sz w:val="24"/>
          <w:szCs w:val="24"/>
          <w:lang w:val="en-US" w:eastAsia="zh-CN" w:bidi="ar-SA"/>
          <w14:ligatures w14:val="standardContextual"/>
        </w:rPr>
        <w:t>块石 “坐浆砌筑”，灰缝厚度 2-3cm（饱满度≥80%，严禁干砌后灌浆）</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上下层错缝搭接（搭接长度≥10cm），外侧竖缝宽≤4cm，内侧用小石块填塞（避免空洞）</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渠底与边坡连接处采用 “八字角” 砌筑（半径≥30cm），减少水流阻力</w:t>
      </w:r>
      <w:r>
        <w:rPr>
          <w:rFonts w:hint="eastAsia" w:ascii="宋体" w:hAnsi="宋体" w:eastAsia="宋体" w:cstheme="minorBidi"/>
          <w:color w:val="auto"/>
          <w:kern w:val="2"/>
          <w:sz w:val="24"/>
          <w:szCs w:val="24"/>
          <w:lang w:val="en-US" w:eastAsia="zh-CN" w:bidi="ar-SA"/>
          <w14:ligatures w14:val="standardContextual"/>
        </w:rPr>
        <w:t>。</w:t>
      </w:r>
    </w:p>
    <w:p w14:paraId="2BFB7058">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勾缝与防渗：浆砌渠道采用平缝或凸缝（缝宽 2-3cm），勾缝砂浆强度≥M7.5，表面压实抹光（初凝后洒水养护 7d），确保无裂缝、空鼓；防渗：如需抹面，先将砌体表面凿毛，涂刷水泥净浆（水灰比 0.4-0.5），再抹 3-5cm 厚 M10 水泥砂浆（分两次抹，间隔 24h），表面压光后养护 14d。</w:t>
      </w:r>
    </w:p>
    <w:p w14:paraId="2D34C8D9">
      <w:pPr>
        <w:keepNext w:val="0"/>
        <w:keepLines w:val="0"/>
        <w:pageBreakBefore w:val="0"/>
        <w:widowControl w:val="0"/>
        <w:numPr>
          <w:ilvl w:val="0"/>
          <w:numId w:val="11"/>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外观：墙面平整（2m 靠尺偏差≤5cm），勾缝平顺，无漏勾、裂缝；块石无松动、脱落。</w:t>
      </w:r>
    </w:p>
    <w:p w14:paraId="2BC127D0">
      <w:pPr>
        <w:keepNext w:val="0"/>
        <w:keepLines w:val="0"/>
        <w:pageBreakBefore w:val="0"/>
        <w:widowControl w:val="0"/>
        <w:numPr>
          <w:ilvl w:val="0"/>
          <w:numId w:val="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left="660" w:leftChars="0"/>
        <w:textAlignment w:val="auto"/>
        <w:rPr>
          <w:rFonts w:hint="eastAsia" w:ascii="宋体" w:hAnsi="宋体" w:eastAsia="宋体" w:cstheme="minorBidi"/>
          <w:b/>
          <w:bCs/>
          <w:color w:val="auto"/>
          <w:kern w:val="2"/>
          <w:sz w:val="24"/>
          <w:szCs w:val="24"/>
          <w:lang w:val="en-US" w:eastAsia="zh-CN" w:bidi="ar-SA"/>
          <w14:ligatures w14:val="standardContextual"/>
        </w:rPr>
      </w:pPr>
      <w:r>
        <w:rPr>
          <w:rFonts w:hint="eastAsia" w:ascii="宋体" w:hAnsi="宋体" w:eastAsia="宋体" w:cstheme="minorBidi"/>
          <w:b/>
          <w:bCs/>
          <w:color w:val="auto"/>
          <w:kern w:val="2"/>
          <w:sz w:val="24"/>
          <w:szCs w:val="24"/>
          <w:lang w:val="en-US" w:eastAsia="zh-CN" w:bidi="ar-SA"/>
          <w14:ligatures w14:val="standardContextual"/>
        </w:rPr>
        <w:t>（六）钢筋混凝土管道地埋技术要求：</w:t>
      </w:r>
    </w:p>
    <w:p w14:paraId="6D690011">
      <w:pPr>
        <w:keepNext w:val="0"/>
        <w:keepLines w:val="0"/>
        <w:pageBreakBefore w:val="0"/>
        <w:widowControl w:val="0"/>
        <w:numPr>
          <w:ilvl w:val="0"/>
          <w:numId w:val="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钢筋混凝土管道（RCP）地埋铺设需满足</w:t>
      </w:r>
      <w:r>
        <w:rPr>
          <w:rFonts w:hint="default" w:ascii="宋体" w:hAnsi="宋体" w:eastAsia="宋体" w:cstheme="minorBidi"/>
          <w:color w:val="auto"/>
          <w:kern w:val="2"/>
          <w:sz w:val="24"/>
          <w:szCs w:val="24"/>
          <w:lang w:val="en-US" w:eastAsia="zh-CN" w:bidi="ar-SA"/>
          <w14:ligatures w14:val="standardContextual"/>
        </w:rPr>
        <w:t>密封性、抗荷载、抗沉降要求，技术指标涵盖管材、设计、施工及验收四方面：</w:t>
      </w:r>
    </w:p>
    <w:p w14:paraId="45D0D05B">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管材技术要求：管身混凝土≥C30（柔性接口管）或 C40（刚性接口管），保护层厚度≥30mm（防止钢筋锈蚀）。抗渗等级：≥P6（压力管道≥P8），确保在 0.6MPa 水压下 30min 无渗漏。接口：采用水泥砂浆抹带（强度≥M10）。</w:t>
      </w:r>
    </w:p>
    <w:p w14:paraId="0AF8811C">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管材外观：表面：无裂缝、蜂窝、露筋，管内壁平整（偏差≤3mm）；尺寸：管径偏差 ±5mm，壁厚偏差 ±10%，长度偏差 ±20mm。</w:t>
      </w:r>
    </w:p>
    <w:p w14:paraId="6178FEC5">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eastAsia"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施工要求：开挖：沟底宽度 = 管外径 + 两侧工作面（每侧 30-50cm，便于安装），边坡坡度根据土质确定：</w:t>
      </w:r>
      <w:r>
        <w:rPr>
          <w:rFonts w:hint="default" w:ascii="宋体" w:hAnsi="宋体" w:eastAsia="宋体" w:cstheme="minorBidi"/>
          <w:color w:val="auto"/>
          <w:kern w:val="2"/>
          <w:sz w:val="24"/>
          <w:szCs w:val="24"/>
          <w:lang w:val="en-US" w:eastAsia="zh-CN" w:bidi="ar-SA"/>
          <w14:ligatures w14:val="standardContextual"/>
        </w:rPr>
        <w:t>砂土：1:1.2-1:1.5；黏土：1:0.5-1:1.0；岩石：1:0.1-1:0.2。</w:t>
      </w:r>
      <w:r>
        <w:rPr>
          <w:rFonts w:hint="eastAsia" w:ascii="宋体" w:hAnsi="宋体" w:eastAsia="宋体" w:cstheme="minorBidi"/>
          <w:color w:val="auto"/>
          <w:kern w:val="2"/>
          <w:sz w:val="24"/>
          <w:szCs w:val="24"/>
          <w:lang w:val="en-US" w:eastAsia="zh-CN" w:bidi="ar-SA"/>
          <w14:ligatures w14:val="standardContextual"/>
        </w:rPr>
        <w:t>支护：</w:t>
      </w:r>
      <w:r>
        <w:rPr>
          <w:rFonts w:hint="default" w:ascii="宋体" w:hAnsi="宋体" w:eastAsia="宋体" w:cstheme="minorBidi"/>
          <w:color w:val="auto"/>
          <w:kern w:val="2"/>
          <w:sz w:val="24"/>
          <w:szCs w:val="24"/>
          <w:lang w:val="en-US" w:eastAsia="zh-CN" w:bidi="ar-SA"/>
          <w14:ligatures w14:val="standardContextual"/>
        </w:rPr>
        <w:t>深度＞3m 或软土地段需设钢板桩（拉森桩，长度≥沟深 1.2 倍）或槽钢支护（间距 1.5-2.0m），防止坍塌。</w:t>
      </w:r>
      <w:r>
        <w:rPr>
          <w:rFonts w:hint="eastAsia" w:ascii="宋体" w:hAnsi="宋体" w:eastAsia="宋体" w:cstheme="minorBidi"/>
          <w:color w:val="auto"/>
          <w:kern w:val="2"/>
          <w:sz w:val="24"/>
          <w:szCs w:val="24"/>
          <w:lang w:val="en-US" w:eastAsia="zh-CN" w:bidi="ar-SA"/>
          <w14:ligatures w14:val="standardContextual"/>
        </w:rPr>
        <w:t>基底处理：</w:t>
      </w:r>
      <w:r>
        <w:rPr>
          <w:rFonts w:hint="default" w:ascii="宋体" w:hAnsi="宋体" w:eastAsia="宋体" w:cstheme="minorBidi"/>
          <w:color w:val="auto"/>
          <w:kern w:val="2"/>
          <w:sz w:val="24"/>
          <w:szCs w:val="24"/>
          <w:lang w:val="en-US" w:eastAsia="zh-CN" w:bidi="ar-SA"/>
          <w14:ligatures w14:val="standardContextual"/>
        </w:rPr>
        <w:t>清除浮土，碾压密实（压实度≥90%）；软土地基需换填碎石（厚度≥50cm）或打碎石桩（间距 1.0-1.5m），处理后地基承载力≥100kPa。</w:t>
      </w:r>
    </w:p>
    <w:p w14:paraId="7BCFCD32">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管道安装：测量放线：</w:t>
      </w:r>
      <w:r>
        <w:rPr>
          <w:rFonts w:hint="default" w:ascii="宋体" w:hAnsi="宋体" w:eastAsia="宋体" w:cstheme="minorBidi"/>
          <w:color w:val="auto"/>
          <w:kern w:val="2"/>
          <w:sz w:val="24"/>
          <w:szCs w:val="24"/>
          <w:lang w:val="en-US" w:eastAsia="zh-CN" w:bidi="ar-SA"/>
          <w14:ligatures w14:val="standardContextual"/>
        </w:rPr>
        <w:t>设置中线桩和高程桩，确保管道轴线偏差≤15mm，高程偏差 ±20mm（雨水管）、±10mm（污水管）。</w:t>
      </w:r>
      <w:r>
        <w:rPr>
          <w:rFonts w:hint="eastAsia" w:ascii="宋体" w:hAnsi="宋体" w:eastAsia="宋体" w:cstheme="minorBidi"/>
          <w:color w:val="auto"/>
          <w:kern w:val="2"/>
          <w:sz w:val="24"/>
          <w:szCs w:val="24"/>
          <w:lang w:val="en-US" w:eastAsia="zh-CN" w:bidi="ar-SA"/>
          <w14:ligatures w14:val="standardContextual"/>
        </w:rPr>
        <w:t>接口处理：</w:t>
      </w:r>
      <w:r>
        <w:rPr>
          <w:rFonts w:hint="default" w:ascii="宋体" w:hAnsi="宋体" w:eastAsia="宋体" w:cstheme="minorBidi"/>
          <w:color w:val="auto"/>
          <w:kern w:val="2"/>
          <w:sz w:val="24"/>
          <w:szCs w:val="24"/>
          <w:lang w:val="en-US" w:eastAsia="zh-CN" w:bidi="ar-SA"/>
          <w14:ligatures w14:val="standardContextual"/>
        </w:rPr>
        <w:t>管端凿毛，涂刷水泥净浆，用 M10 水泥砂浆抹带（带宽 20-30cm，厚 10-15cm），内置 1-2 层钢丝网（直径 4mm，网格 20×20cm），抹面后养护 7d。</w:t>
      </w:r>
    </w:p>
    <w:p w14:paraId="466CBBA8">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回填要求：</w:t>
      </w:r>
      <w:r>
        <w:rPr>
          <w:rFonts w:hint="default" w:ascii="宋体" w:hAnsi="宋体" w:eastAsia="宋体" w:cstheme="minorBidi"/>
          <w:color w:val="auto"/>
          <w:kern w:val="2"/>
          <w:sz w:val="24"/>
          <w:szCs w:val="24"/>
          <w:lang w:val="en-US" w:eastAsia="zh-CN" w:bidi="ar-SA"/>
          <w14:ligatures w14:val="standardContextual"/>
        </w:rPr>
        <w:t>管胸腔及管顶 50cm 内用素土或级配砂石（粒径≤50mm，含泥量≤5%），严禁填石块、砖块或冻土。胸腔部分：分层填筑（厚度≤20cm），用小型夯实机（蛙式打夯机）压实，压实度≥95%</w:t>
      </w:r>
      <w:r>
        <w:rPr>
          <w:rFonts w:hint="eastAsia" w:ascii="宋体" w:hAnsi="宋体" w:eastAsia="宋体" w:cstheme="minorBidi"/>
          <w:color w:val="auto"/>
          <w:kern w:val="2"/>
          <w:sz w:val="24"/>
          <w:szCs w:val="24"/>
          <w:lang w:val="en-US" w:eastAsia="zh-CN" w:bidi="ar-SA"/>
          <w14:ligatures w14:val="standardContextual"/>
        </w:rPr>
        <w:t>；管顶50cm以上：</w:t>
      </w:r>
      <w:r>
        <w:rPr>
          <w:rFonts w:hint="default" w:ascii="宋体" w:hAnsi="宋体" w:eastAsia="宋体" w:cstheme="minorBidi"/>
          <w:color w:val="auto"/>
          <w:kern w:val="2"/>
          <w:sz w:val="24"/>
          <w:szCs w:val="24"/>
          <w:lang w:val="en-US" w:eastAsia="zh-CN" w:bidi="ar-SA"/>
          <w14:ligatures w14:val="standardContextual"/>
        </w:rPr>
        <w:t>分层填筑（厚度≤30cm），用压路机压实，压实度：车行道下≥96%，非车行道≥93%。回填顺序：两侧对称回填（高差≤30cm），避免管道偏移</w:t>
      </w:r>
      <w:r>
        <w:rPr>
          <w:rFonts w:hint="eastAsia" w:ascii="宋体" w:hAnsi="宋体" w:eastAsia="宋体" w:cstheme="minorBidi"/>
          <w:color w:val="auto"/>
          <w:kern w:val="2"/>
          <w:sz w:val="24"/>
          <w:szCs w:val="24"/>
          <w:lang w:val="en-US" w:eastAsia="zh-CN" w:bidi="ar-SA"/>
          <w14:ligatures w14:val="standardContextual"/>
        </w:rPr>
        <w:t>。</w:t>
      </w:r>
    </w:p>
    <w:p w14:paraId="65DCB148">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闭水试验：</w:t>
      </w:r>
      <w:r>
        <w:rPr>
          <w:rFonts w:hint="default" w:ascii="宋体" w:hAnsi="宋体" w:eastAsia="宋体" w:cstheme="minorBidi"/>
          <w:color w:val="auto"/>
          <w:kern w:val="2"/>
          <w:sz w:val="24"/>
          <w:szCs w:val="24"/>
          <w:lang w:val="en-US" w:eastAsia="zh-CN" w:bidi="ar-SA"/>
          <w14:ligatures w14:val="standardContextual"/>
        </w:rPr>
        <w:t>试验段长度</w:t>
      </w:r>
      <w:r>
        <w:rPr>
          <w:rFonts w:hint="eastAsia" w:ascii="宋体" w:hAnsi="宋体" w:eastAsia="宋体" w:cstheme="minorBidi"/>
          <w:color w:val="auto"/>
          <w:kern w:val="2"/>
          <w:sz w:val="24"/>
          <w:szCs w:val="24"/>
          <w:lang w:val="en-US" w:eastAsia="zh-CN" w:bidi="ar-SA"/>
          <w14:ligatures w14:val="standardContextual"/>
        </w:rPr>
        <w:t>：</w:t>
      </w:r>
      <w:r>
        <w:rPr>
          <w:rFonts w:hint="default" w:ascii="宋体" w:hAnsi="宋体" w:eastAsia="宋体" w:cstheme="minorBidi"/>
          <w:color w:val="auto"/>
          <w:kern w:val="2"/>
          <w:sz w:val="24"/>
          <w:szCs w:val="24"/>
          <w:lang w:val="en-US" w:eastAsia="zh-CN" w:bidi="ar-SA"/>
          <w14:ligatures w14:val="standardContextual"/>
        </w:rPr>
        <w:t>≤1000m，两端用砖砌堵头（M10 水泥砂浆，厚度≥37cm），养护 3d 后注水（水头高度≥2m，浸泡 24h）。</w:t>
      </w:r>
      <w:r>
        <w:rPr>
          <w:rFonts w:hint="eastAsia" w:ascii="宋体" w:hAnsi="宋体" w:eastAsia="宋体" w:cstheme="minorBidi"/>
          <w:color w:val="auto"/>
          <w:kern w:val="2"/>
          <w:sz w:val="24"/>
          <w:szCs w:val="24"/>
          <w:lang w:val="en-US" w:eastAsia="zh-CN" w:bidi="ar-SA"/>
          <w14:ligatures w14:val="standardContextual"/>
        </w:rPr>
        <w:t>合格标准：</w:t>
      </w:r>
      <w:r>
        <w:rPr>
          <w:rFonts w:hint="default" w:ascii="宋体" w:hAnsi="宋体" w:eastAsia="宋体" w:cstheme="minorBidi"/>
          <w:color w:val="auto"/>
          <w:kern w:val="2"/>
          <w:sz w:val="24"/>
          <w:szCs w:val="24"/>
          <w:lang w:val="en-US" w:eastAsia="zh-CN" w:bidi="ar-SA"/>
          <w14:ligatures w14:val="standardContextual"/>
        </w:rPr>
        <w:t>30min 内渗水量≤允许值（如 DN300mm 管≤1.25m³/(d・km)，DN500mm 管≤2.0m³/(d・km)，具体按规范查表）</w:t>
      </w:r>
      <w:r>
        <w:rPr>
          <w:rFonts w:hint="eastAsia" w:ascii="宋体" w:hAnsi="宋体" w:eastAsia="宋体" w:cstheme="minorBidi"/>
          <w:color w:val="auto"/>
          <w:kern w:val="2"/>
          <w:sz w:val="24"/>
          <w:szCs w:val="24"/>
          <w:lang w:val="en-US" w:eastAsia="zh-CN" w:bidi="ar-SA"/>
          <w14:ligatures w14:val="standardContextual"/>
        </w:rPr>
        <w:t>。</w:t>
      </w:r>
    </w:p>
    <w:p w14:paraId="3AF1E85F">
      <w:pPr>
        <w:keepNext w:val="0"/>
        <w:keepLines w:val="0"/>
        <w:pageBreakBefore w:val="0"/>
        <w:widowControl w:val="0"/>
        <w:numPr>
          <w:ilvl w:val="0"/>
          <w:numId w:val="12"/>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ind w:firstLine="480" w:firstLineChars="200"/>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质量验收指标：</w:t>
      </w:r>
      <w:r>
        <w:rPr>
          <w:rFonts w:hint="default" w:ascii="宋体" w:hAnsi="宋体" w:eastAsia="宋体" w:cstheme="minorBidi"/>
          <w:color w:val="auto"/>
          <w:kern w:val="2"/>
          <w:sz w:val="24"/>
          <w:szCs w:val="24"/>
          <w:lang w:val="en-US" w:eastAsia="zh-CN" w:bidi="ar-SA"/>
          <w14:ligatures w14:val="standardContextual"/>
        </w:rPr>
        <w:t>管材：出厂合格证、强度及抗渗试验报告齐全，外观无缺陷</w:t>
      </w:r>
      <w:r>
        <w:rPr>
          <w:rFonts w:hint="eastAsia" w:ascii="宋体" w:hAnsi="宋体" w:eastAsia="宋体" w:cstheme="minorBidi"/>
          <w:color w:val="auto"/>
          <w:kern w:val="2"/>
          <w:sz w:val="24"/>
          <w:szCs w:val="24"/>
          <w:lang w:val="en-US" w:eastAsia="zh-CN" w:bidi="ar-SA"/>
          <w14:ligatures w14:val="standardContextual"/>
        </w:rPr>
        <w:t>。安装：</w:t>
      </w:r>
      <w:r>
        <w:rPr>
          <w:rFonts w:hint="default" w:ascii="宋体" w:hAnsi="宋体" w:eastAsia="宋体" w:cstheme="minorBidi"/>
          <w:color w:val="auto"/>
          <w:kern w:val="2"/>
          <w:sz w:val="24"/>
          <w:szCs w:val="24"/>
          <w:lang w:val="en-US" w:eastAsia="zh-CN" w:bidi="ar-SA"/>
          <w14:ligatures w14:val="standardContextual"/>
        </w:rPr>
        <w:t>轴线偏位≤15mm，高程偏差 ±10mm（污水）/±20mm（雨水），接口严密（无渗漏）。</w:t>
      </w:r>
      <w:r>
        <w:rPr>
          <w:rFonts w:hint="eastAsia" w:ascii="宋体" w:hAnsi="宋体" w:eastAsia="宋体" w:cstheme="minorBidi"/>
          <w:color w:val="auto"/>
          <w:kern w:val="2"/>
          <w:sz w:val="24"/>
          <w:szCs w:val="24"/>
          <w:lang w:val="en-US" w:eastAsia="zh-CN" w:bidi="ar-SA"/>
          <w14:ligatures w14:val="standardContextual"/>
        </w:rPr>
        <w:t>回填：</w:t>
      </w:r>
      <w:r>
        <w:rPr>
          <w:rFonts w:hint="default" w:ascii="宋体" w:hAnsi="宋体" w:eastAsia="宋体" w:cstheme="minorBidi"/>
          <w:color w:val="auto"/>
          <w:kern w:val="2"/>
          <w:sz w:val="24"/>
          <w:szCs w:val="24"/>
          <w:lang w:val="en-US" w:eastAsia="zh-CN" w:bidi="ar-SA"/>
          <w14:ligatures w14:val="standardContextual"/>
        </w:rPr>
        <w:t>压实度达标（按环刀法取样检测），闭水试验合格。</w:t>
      </w:r>
    </w:p>
    <w:p w14:paraId="4D907C1A">
      <w:pPr>
        <w:keepNext w:val="0"/>
        <w:keepLines w:val="0"/>
        <w:pageBreakBefore w:val="0"/>
        <w:widowControl w:val="0"/>
        <w:numPr>
          <w:ilvl w:val="0"/>
          <w:numId w:val="0"/>
        </w:numPr>
        <w:suppressLineNumbers w:val="0"/>
        <w:pBdr>
          <w:left w:val="none" w:color="auto" w:sz="0" w:space="0"/>
        </w:pBdr>
        <w:kinsoku/>
        <w:wordWrap/>
        <w:overflowPunct w:val="0"/>
        <w:topLinePunct w:val="0"/>
        <w:autoSpaceDE/>
        <w:autoSpaceDN/>
        <w:bidi w:val="0"/>
        <w:adjustRightInd w:val="0"/>
        <w:snapToGrid/>
        <w:spacing w:before="0" w:beforeAutospacing="1" w:after="0" w:afterAutospacing="1" w:line="360" w:lineRule="auto"/>
        <w:textAlignment w:val="auto"/>
        <w:rPr>
          <w:rFonts w:hint="default" w:ascii="宋体" w:hAnsi="宋体" w:eastAsia="宋体" w:cstheme="minorBidi"/>
          <w:color w:val="auto"/>
          <w:kern w:val="2"/>
          <w:sz w:val="24"/>
          <w:szCs w:val="24"/>
          <w:lang w:val="en-US" w:eastAsia="zh-CN" w:bidi="ar-SA"/>
          <w14:ligatures w14:val="standardContextual"/>
        </w:rPr>
      </w:pPr>
      <w:r>
        <w:rPr>
          <w:rFonts w:hint="eastAsia" w:ascii="宋体" w:hAnsi="宋体" w:eastAsia="宋体" w:cstheme="minorBidi"/>
          <w:color w:val="auto"/>
          <w:kern w:val="2"/>
          <w:sz w:val="24"/>
          <w:szCs w:val="24"/>
          <w:lang w:val="en-US" w:eastAsia="zh-CN" w:bidi="ar-SA"/>
          <w14:ligatures w14:val="standardContextual"/>
        </w:rPr>
        <w:t xml:space="preserve">    </w:t>
      </w:r>
      <w:r>
        <w:rPr>
          <w:rFonts w:hint="default" w:ascii="宋体" w:hAnsi="宋体" w:eastAsia="宋体" w:cstheme="minorBidi"/>
          <w:color w:val="auto"/>
          <w:kern w:val="2"/>
          <w:sz w:val="24"/>
          <w:szCs w:val="24"/>
          <w:lang w:val="en-US" w:eastAsia="zh-CN" w:bidi="ar-SA"/>
          <w14:ligatures w14:val="standardContextual"/>
        </w:rPr>
        <w:t>以上技术要求需符合《室外排水设计规范》（GB50014-2021）、《给水排水管道工程施工及验收规范》（GB50268-2008）、《砌体结构工程施工质量验收规范》（GB50203-2011）等国家标准，确保排水系统长期稳定运行。</w:t>
      </w:r>
    </w:p>
    <w:p w14:paraId="0DD1824C">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五、履约验收标准和方法：</w:t>
      </w:r>
    </w:p>
    <w:p w14:paraId="5C9323E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1、履约验收时间：实际时间以施工合同为准。</w:t>
      </w:r>
    </w:p>
    <w:p w14:paraId="3BED4A49">
      <w:pPr>
        <w:spacing w:line="360" w:lineRule="auto"/>
        <w:ind w:firstLine="480" w:firstLineChars="200"/>
        <w:rPr>
          <w:rFonts w:ascii="宋体" w:hAnsi="宋体" w:eastAsia="宋体"/>
          <w:sz w:val="24"/>
          <w:szCs w:val="24"/>
        </w:rPr>
      </w:pPr>
      <w:r>
        <w:rPr>
          <w:rFonts w:hint="eastAsia" w:ascii="宋体" w:hAnsi="宋体" w:eastAsia="宋体"/>
          <w:sz w:val="24"/>
          <w:szCs w:val="24"/>
        </w:rPr>
        <w:t>2、履约验收主体及内容：</w:t>
      </w:r>
      <w:r>
        <w:rPr>
          <w:rFonts w:hint="eastAsia" w:ascii="宋体" w:hAnsi="宋体" w:eastAsia="宋体"/>
          <w:sz w:val="24"/>
          <w:szCs w:val="24"/>
          <w:lang w:val="en-US" w:eastAsia="zh-CN"/>
        </w:rPr>
        <w:t>吴堡县张家山镇人民政府。内容为道路硬化工程，挡土墙工程，道路排水工程等</w:t>
      </w:r>
      <w:r>
        <w:rPr>
          <w:rFonts w:hint="eastAsia" w:ascii="宋体" w:hAnsi="宋体" w:eastAsia="宋体"/>
          <w:sz w:val="24"/>
          <w:szCs w:val="24"/>
        </w:rPr>
        <w:t>。</w:t>
      </w:r>
    </w:p>
    <w:p w14:paraId="140F46F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验收程序：供应商应当严格按合同约定的内容提供工程服务。对供应商所提供的工程服务组织相关人员进行验收，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08B1F1A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4、验收方式：由采购单位组织有关专业人员按相关的国家标准、质量标准和采购文件所列的各项要求进行验收。</w:t>
      </w:r>
    </w:p>
    <w:p w14:paraId="39B5E552">
      <w:pPr>
        <w:spacing w:line="360" w:lineRule="auto"/>
        <w:ind w:firstLine="482" w:firstLineChars="200"/>
        <w:rPr>
          <w:rFonts w:hint="eastAsia" w:ascii="宋体" w:hAnsi="宋体" w:eastAsia="宋体"/>
          <w:b/>
          <w:bCs/>
          <w:sz w:val="24"/>
          <w:szCs w:val="24"/>
        </w:rPr>
      </w:pPr>
      <w:r>
        <w:rPr>
          <w:rFonts w:hint="eastAsia" w:ascii="宋体" w:hAnsi="宋体" w:eastAsia="宋体"/>
          <w:b/>
          <w:bCs/>
          <w:sz w:val="24"/>
          <w:szCs w:val="24"/>
        </w:rPr>
        <w:t>六、质量标准</w:t>
      </w:r>
    </w:p>
    <w:p w14:paraId="40113AA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1、工程施工质量需符合</w:t>
      </w:r>
      <w:r>
        <w:rPr>
          <w:rFonts w:hint="eastAsia" w:ascii="宋体" w:hAnsi="宋体" w:eastAsia="宋体"/>
          <w:sz w:val="24"/>
          <w:szCs w:val="24"/>
          <w:lang w:val="en-US" w:eastAsia="zh-CN"/>
        </w:rPr>
        <w:t>道路、挡墙砌筑、排洪渠道建设、钢筋混凝土管地埋等</w:t>
      </w:r>
      <w:r>
        <w:rPr>
          <w:rFonts w:hint="eastAsia" w:ascii="宋体" w:hAnsi="宋体" w:eastAsia="宋体"/>
          <w:sz w:val="24"/>
          <w:szCs w:val="24"/>
        </w:rPr>
        <w:t>施工质量验收规范、标准及设计文件要求，达到合格工程标准。</w:t>
      </w:r>
    </w:p>
    <w:p w14:paraId="119538D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w:t>
      </w:r>
      <w:r>
        <w:rPr>
          <w:rFonts w:hint="eastAsia" w:ascii="宋体" w:hAnsi="宋体" w:eastAsia="宋体"/>
          <w:sz w:val="24"/>
          <w:szCs w:val="24"/>
          <w:lang w:val="en-US" w:eastAsia="zh-CN"/>
        </w:rPr>
        <w:t>施工</w:t>
      </w:r>
      <w:r>
        <w:rPr>
          <w:rFonts w:hint="eastAsia" w:ascii="宋体" w:hAnsi="宋体" w:eastAsia="宋体"/>
          <w:sz w:val="24"/>
          <w:szCs w:val="24"/>
        </w:rPr>
        <w:t>质量需符合相关国家标准与行业规范，进场时需进行严格检验与试验，不合格产品严禁用于工程施工。</w:t>
      </w:r>
    </w:p>
    <w:p w14:paraId="7DD22CF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3、各分项工程施工过程中，需严格按照施工工艺标准与操作规程进行，加强质量过程控制，做好隐蔽工程验收记录，确保每道工序质量合格。</w:t>
      </w:r>
    </w:p>
    <w:p w14:paraId="7FAE81D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4、工程竣工后，需按照相关规定进行竣工验收，验收合格后交付使用，质量保修期内出现质量问题，施工单位需及时进行维修处理。</w:t>
      </w:r>
    </w:p>
    <w:p w14:paraId="5A553E13">
      <w:pPr>
        <w:spacing w:line="360" w:lineRule="auto"/>
        <w:ind w:firstLine="482" w:firstLineChars="200"/>
        <w:rPr>
          <w:rFonts w:hint="eastAsia" w:ascii="宋体" w:hAnsi="宋体" w:eastAsia="宋体"/>
          <w:b/>
          <w:bCs/>
          <w:sz w:val="24"/>
          <w:szCs w:val="24"/>
        </w:rPr>
      </w:pPr>
      <w:r>
        <w:rPr>
          <w:rFonts w:hint="eastAsia" w:ascii="宋体" w:hAnsi="宋体" w:eastAsia="宋体"/>
          <w:b/>
          <w:bCs/>
          <w:sz w:val="24"/>
          <w:szCs w:val="24"/>
        </w:rPr>
        <w:t>七、其他说明：</w:t>
      </w:r>
    </w:p>
    <w:p w14:paraId="096DD0E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1、供应商需具有良好的商业信誉与履约能力。</w:t>
      </w:r>
    </w:p>
    <w:p w14:paraId="3B20D16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2、施工过程中需严格遵守国家及地方安全生产法律法规，做好施工现场安全防护措施，确保施工安全，若发生安全事故，由施工单位承担全部责任。</w:t>
      </w:r>
    </w:p>
    <w:p w14:paraId="173A6DD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3、施工单位需做好环境保护工作，采取有效措施减少施工扬尘、噪声、废水等污染，避免对周边环境及居民生活造成影响。</w:t>
      </w:r>
    </w:p>
    <w:p w14:paraId="2DDC0A9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4、采购合同签订后，双方需严格履行合同条款，如有争议，通过友好协商解决；协商不成，可向当地有管辖权的人民法院提起诉讼。</w:t>
      </w:r>
    </w:p>
    <w:p w14:paraId="74F91809">
      <w:pPr>
        <w:spacing w:line="360" w:lineRule="auto"/>
        <w:ind w:firstLine="640" w:firstLineChars="200"/>
        <w:rPr>
          <w:rFonts w:hint="eastAsia" w:ascii="宋体" w:hAnsi="宋体" w:eastAsia="宋体"/>
          <w:sz w:val="32"/>
          <w:szCs w:val="32"/>
        </w:rPr>
      </w:pPr>
    </w:p>
    <w:p w14:paraId="15B878D6">
      <w:pPr>
        <w:spacing w:line="360" w:lineRule="auto"/>
        <w:ind w:firstLine="640" w:firstLineChars="200"/>
        <w:rPr>
          <w:rFonts w:hint="eastAsia" w:ascii="宋体" w:hAnsi="宋体" w:eastAsia="宋体"/>
          <w:sz w:val="32"/>
          <w:szCs w:val="32"/>
        </w:rPr>
      </w:pPr>
    </w:p>
    <w:p w14:paraId="3BF539EE">
      <w:pPr>
        <w:spacing w:line="360" w:lineRule="auto"/>
        <w:ind w:firstLine="640" w:firstLineChars="200"/>
        <w:rPr>
          <w:rFonts w:hint="eastAsia" w:ascii="宋体" w:hAnsi="宋体" w:eastAsia="宋体"/>
          <w:sz w:val="32"/>
          <w:szCs w:val="32"/>
        </w:rPr>
      </w:pPr>
    </w:p>
    <w:p w14:paraId="54BB4F85">
      <w:pPr>
        <w:spacing w:line="360" w:lineRule="auto"/>
        <w:ind w:firstLine="640" w:firstLineChars="200"/>
        <w:rPr>
          <w:rFonts w:hint="eastAsia" w:ascii="宋体" w:hAnsi="宋体" w:eastAsia="宋体"/>
          <w:sz w:val="32"/>
          <w:szCs w:val="32"/>
        </w:rPr>
      </w:pPr>
    </w:p>
    <w:p w14:paraId="5668F20D">
      <w:pPr>
        <w:spacing w:line="360" w:lineRule="auto"/>
        <w:ind w:firstLine="640" w:firstLineChars="200"/>
        <w:jc w:val="right"/>
        <w:rPr>
          <w:rFonts w:ascii="宋体" w:hAnsi="宋体" w:eastAsia="宋体"/>
          <w:sz w:val="32"/>
          <w:szCs w:val="32"/>
        </w:rPr>
      </w:pPr>
    </w:p>
    <w:p w14:paraId="5D9A922C">
      <w:pPr>
        <w:spacing w:line="360" w:lineRule="auto"/>
        <w:ind w:firstLine="640" w:firstLineChars="200"/>
        <w:jc w:val="right"/>
        <w:rPr>
          <w:rFonts w:ascii="宋体" w:hAnsi="宋体" w:eastAsia="宋体"/>
          <w:sz w:val="32"/>
          <w:szCs w:val="32"/>
        </w:rPr>
      </w:pPr>
    </w:p>
    <w:p w14:paraId="0392FFD2">
      <w:pPr>
        <w:rPr>
          <w:rFonts w:ascii="宋体" w:hAnsi="宋体" w:eastAsia="宋体"/>
          <w:sz w:val="32"/>
          <w:szCs w:val="32"/>
        </w:rPr>
      </w:pPr>
      <w:r>
        <w:rPr>
          <w:rFonts w:ascii="宋体" w:hAnsi="宋体" w:eastAsia="宋体"/>
          <w:sz w:val="32"/>
          <w:szCs w:val="32"/>
        </w:rPr>
        <w:br w:type="page"/>
      </w:r>
    </w:p>
    <w:tbl>
      <w:tblPr>
        <w:tblStyle w:val="26"/>
        <w:tblW w:w="88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2"/>
        <w:gridCol w:w="1054"/>
        <w:gridCol w:w="1542"/>
        <w:gridCol w:w="1715"/>
        <w:gridCol w:w="630"/>
        <w:gridCol w:w="1035"/>
        <w:gridCol w:w="1215"/>
        <w:gridCol w:w="1125"/>
      </w:tblGrid>
      <w:tr w14:paraId="212F2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848" w:type="dxa"/>
            <w:gridSpan w:val="8"/>
            <w:tcBorders>
              <w:top w:val="single" w:color="000000" w:sz="8" w:space="0"/>
              <w:left w:val="single" w:color="000000" w:sz="8" w:space="0"/>
              <w:bottom w:val="single" w:color="000000" w:sz="4" w:space="0"/>
              <w:right w:val="single" w:color="000000" w:sz="8" w:space="0"/>
            </w:tcBorders>
            <w:shd w:val="clear" w:color="auto" w:fill="auto"/>
            <w:vAlign w:val="center"/>
          </w:tcPr>
          <w:p w14:paraId="351C0D12">
            <w:pPr>
              <w:spacing w:line="360" w:lineRule="auto"/>
              <w:ind w:left="4498" w:hanging="4498" w:hangingChars="1400"/>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吴堡县张家山镇宽马家石村道路建设工程</w:t>
            </w:r>
          </w:p>
          <w:p w14:paraId="36941D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14:ligatures w14:val="standardContextual"/>
              </w:rPr>
            </w:pPr>
            <w:r>
              <w:rPr>
                <w:rFonts w:hint="eastAsia" w:ascii="宋体" w:hAnsi="宋体" w:eastAsia="宋体"/>
                <w:b/>
                <w:bCs/>
                <w:sz w:val="32"/>
                <w:szCs w:val="32"/>
              </w:rPr>
              <w:t>采购清单</w:t>
            </w:r>
          </w:p>
        </w:tc>
      </w:tr>
      <w:tr w14:paraId="12C1B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3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2D9C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序号</w:t>
            </w:r>
          </w:p>
        </w:tc>
        <w:tc>
          <w:tcPr>
            <w:tcW w:w="105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5589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项目编码</w:t>
            </w:r>
          </w:p>
        </w:tc>
        <w:tc>
          <w:tcPr>
            <w:tcW w:w="154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CF21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项目名称</w:t>
            </w:r>
          </w:p>
        </w:tc>
        <w:tc>
          <w:tcPr>
            <w:tcW w:w="17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D3D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项目特征描述</w:t>
            </w:r>
          </w:p>
        </w:tc>
        <w:tc>
          <w:tcPr>
            <w:tcW w:w="6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2E56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计量单位</w:t>
            </w:r>
          </w:p>
        </w:tc>
        <w:tc>
          <w:tcPr>
            <w:tcW w:w="103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28FC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工程数量</w:t>
            </w:r>
          </w:p>
        </w:tc>
        <w:tc>
          <w:tcPr>
            <w:tcW w:w="2340" w:type="dxa"/>
            <w:gridSpan w:val="2"/>
            <w:tcBorders>
              <w:top w:val="single" w:color="000000" w:sz="8" w:space="0"/>
              <w:left w:val="single" w:color="000000" w:sz="4" w:space="0"/>
              <w:bottom w:val="single" w:color="000000" w:sz="4" w:space="0"/>
              <w:right w:val="single" w:color="000000" w:sz="8" w:space="0"/>
            </w:tcBorders>
            <w:shd w:val="clear" w:color="auto" w:fill="auto"/>
            <w:vAlign w:val="center"/>
          </w:tcPr>
          <w:p w14:paraId="5AA8B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金 额（元）</w:t>
            </w:r>
          </w:p>
        </w:tc>
      </w:tr>
      <w:tr w14:paraId="0F12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53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D92624E">
            <w:pPr>
              <w:jc w:val="center"/>
              <w:rPr>
                <w:rFonts w:hint="eastAsia" w:ascii="宋体" w:hAnsi="宋体" w:eastAsia="宋体" w:cs="宋体"/>
                <w:i w:val="0"/>
                <w:iCs w:val="0"/>
                <w:color w:val="000000"/>
                <w:sz w:val="20"/>
                <w:szCs w:val="20"/>
                <w:u w:val="none"/>
              </w:rPr>
            </w:pPr>
          </w:p>
        </w:tc>
        <w:tc>
          <w:tcPr>
            <w:tcW w:w="10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C6FE74D">
            <w:pPr>
              <w:jc w:val="center"/>
              <w:rPr>
                <w:rFonts w:hint="eastAsia" w:ascii="宋体" w:hAnsi="宋体" w:eastAsia="宋体" w:cs="宋体"/>
                <w:i w:val="0"/>
                <w:iCs w:val="0"/>
                <w:color w:val="000000"/>
                <w:sz w:val="20"/>
                <w:szCs w:val="20"/>
                <w:u w:val="none"/>
              </w:rPr>
            </w:pPr>
          </w:p>
        </w:tc>
        <w:tc>
          <w:tcPr>
            <w:tcW w:w="154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BCFB7C2">
            <w:pPr>
              <w:jc w:val="center"/>
              <w:rPr>
                <w:rFonts w:hint="eastAsia" w:ascii="宋体" w:hAnsi="宋体" w:eastAsia="宋体" w:cs="宋体"/>
                <w:i w:val="0"/>
                <w:iCs w:val="0"/>
                <w:color w:val="000000"/>
                <w:sz w:val="20"/>
                <w:szCs w:val="20"/>
                <w:u w:val="none"/>
              </w:rPr>
            </w:pPr>
          </w:p>
        </w:tc>
        <w:tc>
          <w:tcPr>
            <w:tcW w:w="17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0E12B36">
            <w:pPr>
              <w:jc w:val="center"/>
              <w:rPr>
                <w:rFonts w:hint="eastAsia" w:ascii="宋体" w:hAnsi="宋体" w:eastAsia="宋体" w:cs="宋体"/>
                <w:i w:val="0"/>
                <w:iCs w:val="0"/>
                <w:color w:val="000000"/>
                <w:sz w:val="20"/>
                <w:szCs w:val="20"/>
                <w:u w:val="none"/>
              </w:rPr>
            </w:pPr>
          </w:p>
        </w:tc>
        <w:tc>
          <w:tcPr>
            <w:tcW w:w="6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503D136">
            <w:pPr>
              <w:jc w:val="center"/>
              <w:rPr>
                <w:rFonts w:hint="eastAsia" w:ascii="宋体" w:hAnsi="宋体" w:eastAsia="宋体" w:cs="宋体"/>
                <w:i w:val="0"/>
                <w:iCs w:val="0"/>
                <w:color w:val="000000"/>
                <w:sz w:val="20"/>
                <w:szCs w:val="20"/>
                <w:u w:val="none"/>
              </w:rPr>
            </w:pPr>
          </w:p>
        </w:tc>
        <w:tc>
          <w:tcPr>
            <w:tcW w:w="10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EE51629">
            <w:pPr>
              <w:jc w:val="center"/>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7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综合单价</w:t>
            </w: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FB5E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合 价</w:t>
            </w:r>
          </w:p>
        </w:tc>
      </w:tr>
      <w:tr w14:paraId="5FDA8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C1E167A">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1AE1">
            <w:pPr>
              <w:jc w:val="left"/>
              <w:rPr>
                <w:rFonts w:hint="eastAsia" w:ascii="宋体" w:hAnsi="宋体" w:eastAsia="宋体" w:cs="宋体"/>
                <w:i w:val="0"/>
                <w:iCs w:val="0"/>
                <w:color w:val="000000"/>
                <w:sz w:val="20"/>
                <w:szCs w:val="20"/>
                <w:u w:val="none"/>
              </w:rPr>
            </w:pP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51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道路工程</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370E">
            <w:pPr>
              <w:jc w:val="left"/>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1209">
            <w:pPr>
              <w:jc w:val="center"/>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1B3E">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324C">
            <w:pPr>
              <w:jc w:val="left"/>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3522DA">
            <w:pPr>
              <w:jc w:val="center"/>
              <w:rPr>
                <w:rFonts w:hint="eastAsia" w:ascii="宋体" w:hAnsi="宋体" w:eastAsia="宋体" w:cs="宋体"/>
                <w:i w:val="0"/>
                <w:iCs w:val="0"/>
                <w:color w:val="000000"/>
                <w:sz w:val="20"/>
                <w:szCs w:val="20"/>
                <w:u w:val="none"/>
              </w:rPr>
            </w:pPr>
          </w:p>
        </w:tc>
      </w:tr>
      <w:tr w14:paraId="7421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9"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0718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4B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041001002001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17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拆除人行道</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BD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1.材质:机制红砖</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2.厚度:侧铺砖12cm</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3.运距:残渣外运5km以内</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6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1CA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594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8C02">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24683B5">
            <w:pPr>
              <w:jc w:val="center"/>
              <w:rPr>
                <w:rFonts w:hint="eastAsia" w:ascii="宋体" w:hAnsi="宋体" w:eastAsia="宋体" w:cs="宋体"/>
                <w:i w:val="0"/>
                <w:iCs w:val="0"/>
                <w:color w:val="000000"/>
                <w:sz w:val="20"/>
                <w:szCs w:val="20"/>
                <w:u w:val="none"/>
              </w:rPr>
            </w:pPr>
          </w:p>
        </w:tc>
      </w:tr>
      <w:tr w14:paraId="5FBDD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6"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4F5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76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040101001001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17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挖一般土方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B8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1.土类别:一、二类土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2.挖掘方式:机械开挖</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3.山坡切土</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C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FF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2935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574D">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FBC9C13">
            <w:pPr>
              <w:jc w:val="center"/>
              <w:rPr>
                <w:rFonts w:hint="eastAsia" w:ascii="宋体" w:hAnsi="宋体" w:eastAsia="宋体" w:cs="宋体"/>
                <w:i w:val="0"/>
                <w:iCs w:val="0"/>
                <w:color w:val="000000"/>
                <w:sz w:val="20"/>
                <w:szCs w:val="20"/>
                <w:u w:val="none"/>
              </w:rPr>
            </w:pPr>
          </w:p>
        </w:tc>
      </w:tr>
      <w:tr w14:paraId="1975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9FF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3</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A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050101002001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3C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表土清理</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0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1.植物种类:表层清理</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 xml:space="preserve"> 2.运距:5Km以内</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4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380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1431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75AD">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0C5B0A7">
            <w:pPr>
              <w:jc w:val="center"/>
              <w:rPr>
                <w:rFonts w:hint="eastAsia" w:ascii="宋体" w:hAnsi="宋体" w:eastAsia="宋体" w:cs="宋体"/>
                <w:i w:val="0"/>
                <w:iCs w:val="0"/>
                <w:color w:val="000000"/>
                <w:sz w:val="20"/>
                <w:szCs w:val="20"/>
                <w:u w:val="none"/>
              </w:rPr>
            </w:pPr>
          </w:p>
        </w:tc>
      </w:tr>
      <w:tr w14:paraId="670C2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75A0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4</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03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040103003001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8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土方倒运</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31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1.品种:土方</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2.运距:1km以内</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3.运输机械:自卸汽车</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E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1D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648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E770">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46E5172">
            <w:pPr>
              <w:jc w:val="center"/>
              <w:rPr>
                <w:rFonts w:hint="eastAsia" w:ascii="宋体" w:hAnsi="宋体" w:eastAsia="宋体" w:cs="宋体"/>
                <w:i w:val="0"/>
                <w:iCs w:val="0"/>
                <w:color w:val="000000"/>
                <w:sz w:val="20"/>
                <w:szCs w:val="20"/>
                <w:u w:val="none"/>
              </w:rPr>
            </w:pPr>
          </w:p>
        </w:tc>
      </w:tr>
      <w:tr w14:paraId="00FFE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081C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5</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80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040103002001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06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一般回填方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A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1.填土方式:机械填土碾压</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2.填方材料品种:素土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3.密实度要求:压实系数0.9以下</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4.填方来源:场内倒运土方</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6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374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648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608E">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7C7A639">
            <w:pPr>
              <w:jc w:val="center"/>
              <w:rPr>
                <w:rFonts w:hint="eastAsia" w:ascii="宋体" w:hAnsi="宋体" w:eastAsia="宋体" w:cs="宋体"/>
                <w:i w:val="0"/>
                <w:iCs w:val="0"/>
                <w:color w:val="000000"/>
                <w:sz w:val="20"/>
                <w:szCs w:val="20"/>
                <w:u w:val="none"/>
              </w:rPr>
            </w:pPr>
          </w:p>
        </w:tc>
      </w:tr>
      <w:tr w14:paraId="312E2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6"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D87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6</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E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040103003002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F3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余方弃置</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FB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1.弃料品种:土方</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2.运距:8km以内</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3.运输机械:自卸汽车</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0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58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2716.3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4F39">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2DDCD5">
            <w:pPr>
              <w:jc w:val="center"/>
              <w:rPr>
                <w:rFonts w:hint="eastAsia" w:ascii="宋体" w:hAnsi="宋体" w:eastAsia="宋体" w:cs="宋体"/>
                <w:i w:val="0"/>
                <w:iCs w:val="0"/>
                <w:color w:val="000000"/>
                <w:sz w:val="20"/>
                <w:szCs w:val="20"/>
                <w:u w:val="none"/>
              </w:rPr>
            </w:pPr>
          </w:p>
        </w:tc>
      </w:tr>
      <w:tr w14:paraId="0287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9" w:hRule="atLeast"/>
        </w:trPr>
        <w:tc>
          <w:tcPr>
            <w:tcW w:w="5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2825E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7</w:t>
            </w:r>
          </w:p>
        </w:tc>
        <w:tc>
          <w:tcPr>
            <w:tcW w:w="105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4B44A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040202008001</w:t>
            </w:r>
          </w:p>
        </w:tc>
        <w:tc>
          <w:tcPr>
            <w:tcW w:w="1542"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20FB0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砂砾石</w:t>
            </w:r>
          </w:p>
        </w:tc>
        <w:tc>
          <w:tcPr>
            <w:tcW w:w="17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506B6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1.类型:级配砂石底基层（机械铺筑）</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2.石料规格:级配砂石</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3.厚度:20cm</w:t>
            </w:r>
          </w:p>
        </w:tc>
        <w:tc>
          <w:tcPr>
            <w:tcW w:w="6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EDDA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m2</w:t>
            </w:r>
          </w:p>
        </w:tc>
        <w:tc>
          <w:tcPr>
            <w:tcW w:w="103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A2ADC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1822.5</w:t>
            </w:r>
          </w:p>
        </w:tc>
        <w:tc>
          <w:tcPr>
            <w:tcW w:w="12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51CDC7D">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53C5BC5F">
            <w:pPr>
              <w:jc w:val="center"/>
              <w:rPr>
                <w:rFonts w:hint="eastAsia" w:ascii="宋体" w:hAnsi="宋体" w:eastAsia="宋体" w:cs="宋体"/>
                <w:i w:val="0"/>
                <w:iCs w:val="0"/>
                <w:color w:val="000000"/>
                <w:sz w:val="20"/>
                <w:szCs w:val="20"/>
                <w:u w:val="none"/>
              </w:rPr>
            </w:pPr>
          </w:p>
        </w:tc>
      </w:tr>
      <w:tr w14:paraId="0F93A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7"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D6C16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8</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A6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040203007001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1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水泥混凝土</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04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1.类型:水泥混凝土路面</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2.混凝土强度等级:C20</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3.厚度:20cm，表面刻槽</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4.胀缝:每200m设胀缝、道路传力杆，沥青玛蹄脂嵌缝</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5.缩缝:每15m设缩缝，油膏嵌缝</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6.养生:洒水养生</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4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DE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1620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EEA0">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81F432C">
            <w:pPr>
              <w:jc w:val="center"/>
              <w:rPr>
                <w:rFonts w:hint="eastAsia" w:ascii="宋体" w:hAnsi="宋体" w:eastAsia="宋体" w:cs="宋体"/>
                <w:i w:val="0"/>
                <w:iCs w:val="0"/>
                <w:color w:val="000000"/>
                <w:sz w:val="20"/>
                <w:szCs w:val="20"/>
                <w:u w:val="none"/>
              </w:rPr>
            </w:pPr>
          </w:p>
        </w:tc>
      </w:tr>
      <w:tr w14:paraId="34EF0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C78AD8C">
            <w:pPr>
              <w:jc w:val="center"/>
              <w:rPr>
                <w:rFonts w:hint="eastAsia" w:ascii="宋体" w:hAnsi="宋体" w:eastAsia="宋体" w:cs="宋体"/>
                <w:i w:val="0"/>
                <w:iCs w:val="0"/>
                <w:color w:val="000000"/>
                <w:sz w:val="20"/>
                <w:szCs w:val="20"/>
                <w:u w:val="none"/>
              </w:rPr>
            </w:pP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CCDE">
            <w:pPr>
              <w:jc w:val="left"/>
              <w:rPr>
                <w:rFonts w:hint="eastAsia" w:ascii="宋体" w:hAnsi="宋体" w:eastAsia="宋体" w:cs="宋体"/>
                <w:i w:val="0"/>
                <w:iCs w:val="0"/>
                <w:color w:val="000000"/>
                <w:sz w:val="20"/>
                <w:szCs w:val="20"/>
                <w:u w:val="none"/>
              </w:rPr>
            </w:pP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1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挡土墙工程</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C745">
            <w:pPr>
              <w:jc w:val="left"/>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4117">
            <w:pPr>
              <w:jc w:val="center"/>
              <w:rPr>
                <w:rFonts w:hint="eastAsia" w:ascii="宋体" w:hAnsi="宋体" w:eastAsia="宋体" w:cs="宋体"/>
                <w:i w:val="0"/>
                <w:iCs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B135">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4A50">
            <w:pPr>
              <w:jc w:val="left"/>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8FBB94">
            <w:pPr>
              <w:jc w:val="center"/>
              <w:rPr>
                <w:rFonts w:hint="eastAsia" w:ascii="宋体" w:hAnsi="宋体" w:eastAsia="宋体" w:cs="宋体"/>
                <w:i w:val="0"/>
                <w:iCs w:val="0"/>
                <w:color w:val="000000"/>
                <w:sz w:val="20"/>
                <w:szCs w:val="20"/>
                <w:u w:val="none"/>
              </w:rPr>
            </w:pPr>
          </w:p>
        </w:tc>
      </w:tr>
      <w:tr w14:paraId="32A6A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6"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1771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9</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87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040101001002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2E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挖一般土方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3E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1.土类别:一、二类土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2.挖土深度:5m以内</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3.挖掘方式:机械开挖</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4.弃土:不装车，就地堆放</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C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FD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298.8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ECB9">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6CF4CAF">
            <w:pPr>
              <w:jc w:val="center"/>
              <w:rPr>
                <w:rFonts w:hint="eastAsia" w:ascii="宋体" w:hAnsi="宋体" w:eastAsia="宋体" w:cs="宋体"/>
                <w:i w:val="0"/>
                <w:iCs w:val="0"/>
                <w:color w:val="000000"/>
                <w:sz w:val="20"/>
                <w:szCs w:val="20"/>
                <w:u w:val="none"/>
              </w:rPr>
            </w:pPr>
          </w:p>
        </w:tc>
      </w:tr>
      <w:tr w14:paraId="71FF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E6D2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10</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47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040101002001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AB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挖沟槽土方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67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1.土类别:一二类土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2.挡土墙基础开挖</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4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F98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676.07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D5E2">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CF5956D">
            <w:pPr>
              <w:jc w:val="center"/>
              <w:rPr>
                <w:rFonts w:hint="eastAsia" w:ascii="宋体" w:hAnsi="宋体" w:eastAsia="宋体" w:cs="宋体"/>
                <w:i w:val="0"/>
                <w:iCs w:val="0"/>
                <w:color w:val="000000"/>
                <w:sz w:val="20"/>
                <w:szCs w:val="20"/>
                <w:u w:val="none"/>
              </w:rPr>
            </w:pPr>
          </w:p>
        </w:tc>
      </w:tr>
      <w:tr w14:paraId="2D69A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6"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EC4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11</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42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040102001001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C4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挖一般石方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AB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1.岩石类别:石渣</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2.开挖方式:机械开挖</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3.运距：5km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7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824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35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C132">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6948399">
            <w:pPr>
              <w:jc w:val="center"/>
              <w:rPr>
                <w:rFonts w:hint="eastAsia" w:ascii="宋体" w:hAnsi="宋体" w:eastAsia="宋体" w:cs="宋体"/>
                <w:i w:val="0"/>
                <w:iCs w:val="0"/>
                <w:color w:val="000000"/>
                <w:sz w:val="20"/>
                <w:szCs w:val="20"/>
                <w:u w:val="none"/>
              </w:rPr>
            </w:pPr>
          </w:p>
        </w:tc>
      </w:tr>
      <w:tr w14:paraId="537C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9"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A3C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12</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EB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040103001002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36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沟槽、基坑回填方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A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1.填方来源:场内堆土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2.密实度:压实系数0.9以下</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3.材料品种、规格:素土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4.填土方式:机械填土、震动压路机碾压</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E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5D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574.09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7B8">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801827F">
            <w:pPr>
              <w:jc w:val="center"/>
              <w:rPr>
                <w:rFonts w:hint="eastAsia" w:ascii="宋体" w:hAnsi="宋体" w:eastAsia="宋体" w:cs="宋体"/>
                <w:i w:val="0"/>
                <w:iCs w:val="0"/>
                <w:color w:val="000000"/>
                <w:sz w:val="20"/>
                <w:szCs w:val="20"/>
                <w:u w:val="none"/>
              </w:rPr>
            </w:pPr>
          </w:p>
        </w:tc>
      </w:tr>
      <w:tr w14:paraId="1247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6"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55CC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13</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7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040103003003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4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余方弃置</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7B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1.弃料品种:土方</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2.运距:8km以内</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3.运输机械:自卸汽车</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B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9B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480.44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0070">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7C12696">
            <w:pPr>
              <w:jc w:val="center"/>
              <w:rPr>
                <w:rFonts w:hint="eastAsia" w:ascii="宋体" w:hAnsi="宋体" w:eastAsia="宋体" w:cs="宋体"/>
                <w:i w:val="0"/>
                <w:iCs w:val="0"/>
                <w:color w:val="000000"/>
                <w:sz w:val="20"/>
                <w:szCs w:val="20"/>
                <w:u w:val="none"/>
              </w:rPr>
            </w:pPr>
          </w:p>
        </w:tc>
      </w:tr>
      <w:tr w14:paraId="23046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5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6774E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14</w:t>
            </w:r>
          </w:p>
        </w:tc>
        <w:tc>
          <w:tcPr>
            <w:tcW w:w="105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4125D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040305003001</w:t>
            </w:r>
          </w:p>
        </w:tc>
        <w:tc>
          <w:tcPr>
            <w:tcW w:w="1542"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0F4E5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浆砌块料（挡土墙）</w:t>
            </w:r>
          </w:p>
        </w:tc>
        <w:tc>
          <w:tcPr>
            <w:tcW w:w="17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8327B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1.材料品种、规格:片块石</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2.砂浆种类、强度等级:干混砌筑砂浆</w:t>
            </w:r>
          </w:p>
        </w:tc>
        <w:tc>
          <w:tcPr>
            <w:tcW w:w="6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3DA1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2EFF8B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1246</w:t>
            </w:r>
          </w:p>
        </w:tc>
        <w:tc>
          <w:tcPr>
            <w:tcW w:w="12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A09993E">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547527E2">
            <w:pPr>
              <w:jc w:val="center"/>
              <w:rPr>
                <w:rFonts w:hint="eastAsia" w:ascii="宋体" w:hAnsi="宋体" w:eastAsia="宋体" w:cs="宋体"/>
                <w:i w:val="0"/>
                <w:iCs w:val="0"/>
                <w:color w:val="000000"/>
                <w:sz w:val="20"/>
                <w:szCs w:val="20"/>
                <w:u w:val="none"/>
              </w:rPr>
            </w:pPr>
          </w:p>
        </w:tc>
      </w:tr>
      <w:tr w14:paraId="0762F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5A7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15</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9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040101002002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8F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挖沟槽土方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40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1.土类别:一二类土</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2.挡土墙基础开挖</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4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B69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294.38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57AB">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608FB9">
            <w:pPr>
              <w:jc w:val="center"/>
              <w:rPr>
                <w:rFonts w:hint="eastAsia" w:ascii="宋体" w:hAnsi="宋体" w:eastAsia="宋体" w:cs="宋体"/>
                <w:i w:val="0"/>
                <w:iCs w:val="0"/>
                <w:color w:val="000000"/>
                <w:sz w:val="20"/>
                <w:szCs w:val="20"/>
                <w:u w:val="none"/>
              </w:rPr>
            </w:pPr>
          </w:p>
        </w:tc>
      </w:tr>
      <w:tr w14:paraId="073E9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801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16</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FD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040103001003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C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沟槽、基坑回填方</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6B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1.填方来源:利用挖方回填</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2.材料品种、规格:一二类土</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7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34E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198.86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7B3A">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F11FA7E">
            <w:pPr>
              <w:jc w:val="center"/>
              <w:rPr>
                <w:rFonts w:hint="eastAsia" w:ascii="宋体" w:hAnsi="宋体" w:eastAsia="宋体" w:cs="宋体"/>
                <w:i w:val="0"/>
                <w:iCs w:val="0"/>
                <w:color w:val="000000"/>
                <w:sz w:val="20"/>
                <w:szCs w:val="20"/>
                <w:u w:val="none"/>
              </w:rPr>
            </w:pPr>
          </w:p>
        </w:tc>
      </w:tr>
      <w:tr w14:paraId="6D52E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6"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E139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17</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43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040103003004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3A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余方弃置</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B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1.弃料品种:土方</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2.运距:8km以内</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3.运输机械:自卸汽车</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9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BF0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95.52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25C7">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A2EE192">
            <w:pPr>
              <w:jc w:val="center"/>
              <w:rPr>
                <w:rFonts w:hint="eastAsia" w:ascii="宋体" w:hAnsi="宋体" w:eastAsia="宋体" w:cs="宋体"/>
                <w:i w:val="0"/>
                <w:iCs w:val="0"/>
                <w:color w:val="000000"/>
                <w:sz w:val="20"/>
                <w:szCs w:val="20"/>
                <w:u w:val="none"/>
              </w:rPr>
            </w:pPr>
          </w:p>
        </w:tc>
      </w:tr>
      <w:tr w14:paraId="7E016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2"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59B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18</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2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040501019001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58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砌体渠道</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C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1.断面规格:B×H=1200*500mm</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2.墙身砌筑材料:MU40块石</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0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D6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65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263D">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326CB06">
            <w:pPr>
              <w:jc w:val="center"/>
              <w:rPr>
                <w:rFonts w:hint="eastAsia" w:ascii="宋体" w:hAnsi="宋体" w:eastAsia="宋体" w:cs="宋体"/>
                <w:i w:val="0"/>
                <w:iCs w:val="0"/>
                <w:color w:val="000000"/>
                <w:sz w:val="20"/>
                <w:szCs w:val="20"/>
                <w:u w:val="none"/>
              </w:rPr>
            </w:pPr>
          </w:p>
        </w:tc>
      </w:tr>
      <w:tr w14:paraId="7CCE3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1" w:hRule="atLeast"/>
        </w:trPr>
        <w:tc>
          <w:tcPr>
            <w:tcW w:w="5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D998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19</w:t>
            </w:r>
          </w:p>
        </w:tc>
        <w:tc>
          <w:tcPr>
            <w:tcW w:w="1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B4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040501001002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9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混凝土管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24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1.管道类型: II级钢筋混凝土管</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2.管道规格:DN800</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3.连接方式:套箍式</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4.垫层：C15混凝土100mm厚</w:t>
            </w:r>
            <w:r>
              <w:rPr>
                <w:rFonts w:hint="eastAsia" w:ascii="宋体" w:hAnsi="宋体" w:eastAsia="宋体" w:cs="宋体"/>
                <w:i w:val="0"/>
                <w:iCs w:val="0"/>
                <w:color w:val="000000"/>
                <w:kern w:val="0"/>
                <w:sz w:val="20"/>
                <w:szCs w:val="20"/>
                <w:u w:val="none"/>
                <w:lang w:val="en-US" w:eastAsia="zh-CN" w:bidi="ar"/>
                <w14:ligatures w14:val="standardContextual"/>
              </w:rPr>
              <w:br w:type="textWrapping"/>
            </w:r>
            <w:r>
              <w:rPr>
                <w:rFonts w:hint="eastAsia" w:ascii="宋体" w:hAnsi="宋体" w:eastAsia="宋体" w:cs="宋体"/>
                <w:i w:val="0"/>
                <w:iCs w:val="0"/>
                <w:color w:val="000000"/>
                <w:kern w:val="0"/>
                <w:sz w:val="20"/>
                <w:szCs w:val="20"/>
                <w:u w:val="none"/>
                <w:lang w:val="en-US" w:eastAsia="zh-CN" w:bidi="ar"/>
                <w14:ligatures w14:val="standardContextual"/>
              </w:rPr>
              <w:t>5.管座基础：C25混凝土</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1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746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14:ligatures w14:val="standardContextual"/>
              </w:rPr>
              <w:t>48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0FB6">
            <w:pPr>
              <w:jc w:val="center"/>
              <w:rPr>
                <w:rFonts w:hint="eastAsia" w:ascii="宋体" w:hAnsi="宋体" w:eastAsia="宋体" w:cs="宋体"/>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A46B9F1">
            <w:pPr>
              <w:jc w:val="center"/>
              <w:rPr>
                <w:rFonts w:hint="eastAsia" w:ascii="宋体" w:hAnsi="宋体" w:eastAsia="宋体" w:cs="宋体"/>
                <w:i w:val="0"/>
                <w:iCs w:val="0"/>
                <w:color w:val="000000"/>
                <w:sz w:val="20"/>
                <w:szCs w:val="20"/>
                <w:u w:val="none"/>
              </w:rPr>
            </w:pPr>
          </w:p>
        </w:tc>
      </w:tr>
    </w:tbl>
    <w:p w14:paraId="0EC33CE2">
      <w:pPr>
        <w:spacing w:line="360" w:lineRule="auto"/>
        <w:rPr>
          <w:rFonts w:hint="eastAsia" w:ascii="宋体" w:hAnsi="宋体" w:eastAsia="宋体"/>
          <w:sz w:val="32"/>
          <w:szCs w:val="32"/>
        </w:rPr>
      </w:pPr>
    </w:p>
    <w:p w14:paraId="0F2AC383">
      <w:pPr>
        <w:widowControl w:val="0"/>
        <w:kinsoku/>
        <w:autoSpaceDE/>
        <w:autoSpaceDN/>
        <w:adjustRightInd/>
        <w:snapToGrid/>
        <w:spacing w:line="360" w:lineRule="auto"/>
        <w:jc w:val="center"/>
        <w:textAlignment w:val="auto"/>
        <w:rPr>
          <w:rFonts w:hint="eastAsia" w:asciiTheme="minorEastAsia" w:hAnsiTheme="minorEastAsia" w:eastAsiaTheme="minorEastAsia" w:cstheme="minorEastAsia"/>
          <w:b/>
          <w:bCs/>
          <w:snapToGrid/>
          <w:kern w:val="2"/>
          <w:sz w:val="36"/>
          <w:szCs w:val="36"/>
          <w:lang w:val="en-US" w:eastAsia="zh-CN" w:bidi="ar-SA"/>
        </w:rPr>
      </w:pPr>
    </w:p>
    <w:bookmarkEnd w:id="323"/>
    <w:bookmarkEnd w:id="324"/>
    <w:bookmarkEnd w:id="325"/>
    <w:bookmarkEnd w:id="326"/>
    <w:bookmarkEnd w:id="327"/>
    <w:bookmarkEnd w:id="328"/>
    <w:bookmarkEnd w:id="329"/>
    <w:p w14:paraId="210E37F4">
      <w:pPr>
        <w:bidi w:val="0"/>
        <w:jc w:val="center"/>
        <w:outlineLvl w:val="0"/>
        <w:rPr>
          <w:rFonts w:hint="eastAsia"/>
          <w:b/>
          <w:bCs/>
          <w:sz w:val="36"/>
          <w:szCs w:val="36"/>
          <w:lang w:eastAsia="zh-CN"/>
        </w:rPr>
      </w:pPr>
      <w:bookmarkStart w:id="331" w:name="_Toc8746"/>
    </w:p>
    <w:p w14:paraId="2811CC9D">
      <w:pPr>
        <w:bidi w:val="0"/>
        <w:jc w:val="center"/>
        <w:outlineLvl w:val="0"/>
        <w:rPr>
          <w:rFonts w:hint="eastAsia"/>
          <w:b/>
          <w:bCs/>
          <w:sz w:val="36"/>
          <w:szCs w:val="36"/>
          <w:lang w:eastAsia="zh-CN"/>
        </w:rPr>
      </w:pPr>
    </w:p>
    <w:p w14:paraId="5533D032">
      <w:pPr>
        <w:rPr>
          <w:rFonts w:hint="eastAsia"/>
          <w:b/>
          <w:bCs/>
          <w:sz w:val="36"/>
          <w:szCs w:val="36"/>
          <w:lang w:eastAsia="zh-CN"/>
        </w:rPr>
      </w:pPr>
      <w:r>
        <w:rPr>
          <w:rFonts w:hint="eastAsia"/>
          <w:b/>
          <w:bCs/>
          <w:sz w:val="36"/>
          <w:szCs w:val="36"/>
          <w:lang w:eastAsia="zh-CN"/>
        </w:rPr>
        <w:br w:type="page"/>
      </w:r>
    </w:p>
    <w:p w14:paraId="742322FA">
      <w:pPr>
        <w:bidi w:val="0"/>
        <w:jc w:val="center"/>
        <w:outlineLvl w:val="0"/>
        <w:rPr>
          <w:rFonts w:hint="eastAsia" w:hAnsi="宋体"/>
          <w:b/>
          <w:bCs/>
          <w:szCs w:val="44"/>
          <w:lang w:eastAsia="zh-CN"/>
        </w:rPr>
      </w:pPr>
      <w:bookmarkStart w:id="332" w:name="_Toc17519"/>
      <w:r>
        <w:rPr>
          <w:rFonts w:hint="eastAsia"/>
          <w:b/>
          <w:bCs/>
          <w:sz w:val="36"/>
          <w:szCs w:val="36"/>
          <w:lang w:eastAsia="zh-CN"/>
        </w:rPr>
        <w:t>第</w:t>
      </w:r>
      <w:r>
        <w:rPr>
          <w:rFonts w:hint="eastAsia"/>
          <w:b/>
          <w:bCs/>
          <w:sz w:val="36"/>
          <w:szCs w:val="36"/>
          <w:lang w:val="en-US" w:eastAsia="zh-CN"/>
        </w:rPr>
        <w:t>七</w:t>
      </w:r>
      <w:r>
        <w:rPr>
          <w:rFonts w:hint="eastAsia"/>
          <w:b/>
          <w:bCs/>
          <w:sz w:val="36"/>
          <w:szCs w:val="36"/>
          <w:lang w:eastAsia="zh-CN"/>
        </w:rPr>
        <w:t>章  竞争性磋商响应文件格式</w:t>
      </w:r>
      <w:bookmarkEnd w:id="318"/>
      <w:bookmarkEnd w:id="319"/>
      <w:bookmarkEnd w:id="320"/>
      <w:bookmarkEnd w:id="330"/>
      <w:bookmarkEnd w:id="331"/>
      <w:bookmarkEnd w:id="332"/>
    </w:p>
    <w:p w14:paraId="04473FD3">
      <w:pPr>
        <w:spacing w:line="360" w:lineRule="auto"/>
        <w:jc w:val="both"/>
        <w:outlineLvl w:val="9"/>
        <w:rPr>
          <w:rFonts w:hint="eastAsia" w:hAnsi="宋体"/>
          <w:b/>
          <w:sz w:val="44"/>
          <w:szCs w:val="44"/>
          <w:lang w:eastAsia="zh-CN"/>
        </w:rPr>
      </w:pPr>
    </w:p>
    <w:p w14:paraId="162C7668">
      <w:pPr>
        <w:spacing w:line="360" w:lineRule="auto"/>
        <w:jc w:val="left"/>
        <w:outlineLvl w:val="9"/>
        <w:rPr>
          <w:rFonts w:hint="eastAsia" w:ascii="宋体" w:hAnsi="宋体" w:cs="仿宋_GB2312"/>
          <w:b/>
          <w:sz w:val="32"/>
          <w:szCs w:val="22"/>
          <w:lang w:eastAsia="zh-CN"/>
        </w:rPr>
      </w:pPr>
      <w:bookmarkStart w:id="333" w:name="_Toc11120"/>
      <w:bookmarkStart w:id="334" w:name="_Toc31931"/>
      <w:bookmarkStart w:id="335" w:name="_Toc18625"/>
      <w:bookmarkStart w:id="336" w:name="_Toc20828"/>
      <w:bookmarkStart w:id="337" w:name="_Toc1997"/>
      <w:r>
        <w:rPr>
          <w:rFonts w:hint="eastAsia" w:ascii="宋体" w:hAnsi="宋体" w:cs="仿宋_GB2312"/>
          <w:b/>
          <w:sz w:val="32"/>
          <w:szCs w:val="22"/>
          <w:lang w:eastAsia="zh-CN"/>
        </w:rPr>
        <w:t>采购项目编号：</w:t>
      </w:r>
      <w:r>
        <w:rPr>
          <w:rFonts w:hint="eastAsia" w:ascii="宋体" w:hAnsi="宋体" w:cs="仿宋_GB2312"/>
          <w:b/>
          <w:sz w:val="32"/>
          <w:szCs w:val="22"/>
          <w:lang w:val="en-US" w:eastAsia="zh-CN"/>
        </w:rPr>
        <w:t xml:space="preserve"> </w:t>
      </w:r>
      <w:r>
        <w:rPr>
          <w:rFonts w:hint="eastAsia" w:ascii="宋体" w:hAnsi="宋体" w:cs="仿宋_GB2312"/>
          <w:b/>
          <w:sz w:val="32"/>
          <w:szCs w:val="22"/>
          <w:lang w:eastAsia="zh-CN"/>
        </w:rPr>
        <w:t xml:space="preserve">            </w:t>
      </w:r>
      <w:r>
        <w:rPr>
          <w:rFonts w:hint="eastAsia" w:ascii="宋体" w:hAnsi="宋体" w:cs="仿宋_GB2312"/>
          <w:b/>
          <w:sz w:val="32"/>
          <w:szCs w:val="22"/>
          <w:lang w:val="en-US" w:eastAsia="zh-CN"/>
        </w:rPr>
        <w:t xml:space="preserve">                 </w:t>
      </w:r>
      <w:r>
        <w:rPr>
          <w:rFonts w:hint="eastAsia" w:ascii="宋体" w:hAnsi="宋体" w:cs="仿宋_GB2312"/>
          <w:b/>
          <w:sz w:val="32"/>
          <w:szCs w:val="22"/>
          <w:lang w:eastAsia="zh-CN"/>
        </w:rPr>
        <w:t>（正/副本）</w:t>
      </w:r>
      <w:bookmarkEnd w:id="333"/>
      <w:bookmarkEnd w:id="334"/>
      <w:bookmarkEnd w:id="335"/>
      <w:bookmarkEnd w:id="336"/>
      <w:bookmarkEnd w:id="337"/>
    </w:p>
    <w:p w14:paraId="68655C8B">
      <w:pPr>
        <w:spacing w:line="360" w:lineRule="auto"/>
        <w:jc w:val="left"/>
        <w:outlineLvl w:val="9"/>
        <w:rPr>
          <w:rFonts w:hint="eastAsia" w:hAnsi="宋体"/>
          <w:b/>
          <w:sz w:val="32"/>
          <w:szCs w:val="32"/>
          <w:lang w:eastAsia="zh-CN"/>
        </w:rPr>
      </w:pPr>
    </w:p>
    <w:p w14:paraId="224018C2">
      <w:pPr>
        <w:spacing w:line="360" w:lineRule="auto"/>
        <w:jc w:val="left"/>
        <w:outlineLvl w:val="9"/>
        <w:rPr>
          <w:rFonts w:hint="eastAsia" w:hAnsi="宋体"/>
          <w:b/>
          <w:sz w:val="32"/>
          <w:szCs w:val="32"/>
          <w:lang w:eastAsia="zh-CN"/>
        </w:rPr>
      </w:pPr>
    </w:p>
    <w:p w14:paraId="7FC2421C">
      <w:pPr>
        <w:pStyle w:val="11"/>
        <w:jc w:val="center"/>
        <w:outlineLvl w:val="9"/>
      </w:pPr>
      <w:r>
        <w:rPr>
          <w:rFonts w:hint="eastAsia" w:hAnsi="宋体"/>
          <w:b/>
          <w:sz w:val="44"/>
          <w:szCs w:val="44"/>
          <w:u w:val="single"/>
          <w:lang w:val="en-US" w:eastAsia="zh-CN"/>
        </w:rPr>
        <w:t xml:space="preserve">                            </w:t>
      </w:r>
      <w:r>
        <w:rPr>
          <w:rFonts w:hint="eastAsia" w:hAnsi="宋体"/>
          <w:b/>
          <w:sz w:val="44"/>
          <w:szCs w:val="44"/>
          <w:lang w:eastAsia="zh-CN"/>
        </w:rPr>
        <w:t>采购项目</w:t>
      </w:r>
    </w:p>
    <w:p w14:paraId="6D42502E">
      <w:pPr>
        <w:pStyle w:val="11"/>
        <w:outlineLvl w:val="9"/>
      </w:pPr>
    </w:p>
    <w:p w14:paraId="0F977662">
      <w:pPr>
        <w:jc w:val="both"/>
        <w:outlineLvl w:val="9"/>
        <w:rPr>
          <w:rFonts w:hAnsi="宋体"/>
          <w:b/>
          <w:sz w:val="52"/>
          <w:szCs w:val="52"/>
        </w:rPr>
      </w:pPr>
    </w:p>
    <w:p w14:paraId="6F368577">
      <w:pPr>
        <w:jc w:val="center"/>
        <w:outlineLvl w:val="9"/>
        <w:rPr>
          <w:rFonts w:hint="eastAsia" w:hAnsi="宋体"/>
          <w:b/>
          <w:sz w:val="52"/>
          <w:szCs w:val="52"/>
        </w:rPr>
      </w:pPr>
    </w:p>
    <w:p w14:paraId="3666F6B0">
      <w:pPr>
        <w:jc w:val="center"/>
        <w:outlineLvl w:val="9"/>
        <w:rPr>
          <w:rFonts w:hint="eastAsia" w:hAnsi="宋体"/>
          <w:b/>
          <w:sz w:val="52"/>
          <w:szCs w:val="52"/>
        </w:rPr>
      </w:pPr>
    </w:p>
    <w:p w14:paraId="0AD59406">
      <w:pPr>
        <w:jc w:val="center"/>
        <w:outlineLvl w:val="9"/>
        <w:rPr>
          <w:rFonts w:hAnsi="宋体"/>
          <w:b/>
          <w:sz w:val="72"/>
          <w:szCs w:val="72"/>
        </w:rPr>
      </w:pPr>
      <w:r>
        <w:rPr>
          <w:rFonts w:hint="eastAsia" w:hAnsi="宋体"/>
          <w:b/>
          <w:sz w:val="72"/>
          <w:szCs w:val="72"/>
        </w:rPr>
        <w:t>竞争性磋商响应文件</w:t>
      </w:r>
    </w:p>
    <w:p w14:paraId="3245CAF7">
      <w:pPr>
        <w:outlineLvl w:val="9"/>
        <w:rPr>
          <w:rFonts w:hAnsi="宋体"/>
          <w:b/>
          <w:sz w:val="36"/>
          <w:szCs w:val="36"/>
        </w:rPr>
      </w:pPr>
      <w:r>
        <w:rPr>
          <w:rFonts w:hint="eastAsia" w:hAnsi="宋体"/>
          <w:b/>
          <w:sz w:val="36"/>
          <w:szCs w:val="36"/>
        </w:rPr>
        <w:t xml:space="preserve">               </w:t>
      </w:r>
    </w:p>
    <w:p w14:paraId="3C87D073">
      <w:pPr>
        <w:jc w:val="center"/>
        <w:outlineLvl w:val="9"/>
        <w:rPr>
          <w:rFonts w:hAnsi="宋体"/>
          <w:b/>
          <w:sz w:val="36"/>
          <w:szCs w:val="36"/>
        </w:rPr>
      </w:pPr>
    </w:p>
    <w:p w14:paraId="0F7D17CD">
      <w:pPr>
        <w:jc w:val="center"/>
        <w:outlineLvl w:val="9"/>
        <w:rPr>
          <w:rFonts w:hAnsi="宋体"/>
          <w:b/>
          <w:sz w:val="36"/>
          <w:szCs w:val="36"/>
        </w:rPr>
      </w:pPr>
    </w:p>
    <w:p w14:paraId="603B672F">
      <w:pPr>
        <w:pStyle w:val="11"/>
        <w:outlineLvl w:val="9"/>
      </w:pPr>
    </w:p>
    <w:p w14:paraId="4723FABA">
      <w:pPr>
        <w:pStyle w:val="11"/>
        <w:outlineLvl w:val="9"/>
      </w:pPr>
    </w:p>
    <w:p w14:paraId="568217C2">
      <w:pPr>
        <w:pStyle w:val="11"/>
        <w:outlineLvl w:val="9"/>
      </w:pPr>
    </w:p>
    <w:p w14:paraId="3586E2CF">
      <w:pPr>
        <w:outlineLvl w:val="9"/>
        <w:rPr>
          <w:rFonts w:hAnsi="宋体"/>
          <w:b/>
          <w:sz w:val="36"/>
          <w:szCs w:val="36"/>
        </w:rPr>
      </w:pPr>
    </w:p>
    <w:p w14:paraId="30F005A8">
      <w:pPr>
        <w:tabs>
          <w:tab w:val="center" w:pos="5346"/>
        </w:tabs>
        <w:spacing w:line="480" w:lineRule="auto"/>
        <w:ind w:firstLine="1928" w:firstLineChars="600"/>
        <w:outlineLvl w:val="9"/>
        <w:rPr>
          <w:rFonts w:hAnsi="宋体"/>
          <w:b/>
          <w:sz w:val="32"/>
          <w:szCs w:val="32"/>
          <w:u w:val="single"/>
        </w:rPr>
      </w:pPr>
      <w:bookmarkStart w:id="338" w:name="_Toc393"/>
      <w:bookmarkStart w:id="339" w:name="_Toc17368"/>
      <w:bookmarkStart w:id="340" w:name="_Toc26671"/>
      <w:bookmarkStart w:id="341" w:name="_Toc4952"/>
      <w:bookmarkStart w:id="342" w:name="_Toc6010"/>
      <w:r>
        <w:rPr>
          <w:rFonts w:hint="eastAsia" w:hAnsi="宋体"/>
          <w:b/>
          <w:sz w:val="32"/>
          <w:szCs w:val="32"/>
        </w:rPr>
        <w:t>供应商名称（公章）</w:t>
      </w:r>
      <w:bookmarkEnd w:id="338"/>
      <w:bookmarkEnd w:id="339"/>
      <w:bookmarkEnd w:id="340"/>
      <w:bookmarkEnd w:id="341"/>
      <w:bookmarkEnd w:id="342"/>
      <w:r>
        <w:rPr>
          <w:rFonts w:hint="eastAsia" w:hAnsi="宋体"/>
          <w:b/>
          <w:sz w:val="32"/>
          <w:szCs w:val="32"/>
          <w:u w:val="single"/>
        </w:rPr>
        <w:t xml:space="preserve">                  </w:t>
      </w:r>
    </w:p>
    <w:p w14:paraId="1230AC3D">
      <w:pPr>
        <w:pStyle w:val="11"/>
        <w:outlineLvl w:val="9"/>
      </w:pPr>
    </w:p>
    <w:p w14:paraId="39D9B165">
      <w:pPr>
        <w:tabs>
          <w:tab w:val="center" w:pos="5346"/>
        </w:tabs>
        <w:spacing w:line="480" w:lineRule="auto"/>
        <w:ind w:firstLine="1928" w:firstLineChars="600"/>
        <w:outlineLvl w:val="9"/>
        <w:rPr>
          <w:rFonts w:hAnsi="宋体"/>
          <w:b/>
          <w:sz w:val="32"/>
          <w:szCs w:val="32"/>
          <w:u w:val="single"/>
        </w:rPr>
      </w:pPr>
      <w:bookmarkStart w:id="343" w:name="_Toc1193"/>
      <w:bookmarkStart w:id="344" w:name="_Toc5300"/>
      <w:bookmarkStart w:id="345" w:name="_Toc22265"/>
      <w:bookmarkStart w:id="346" w:name="_Toc18783"/>
      <w:bookmarkStart w:id="347" w:name="_Toc28374"/>
      <w:bookmarkStart w:id="348" w:name="_Toc20251"/>
      <w:r>
        <w:rPr>
          <w:rFonts w:hint="eastAsia" w:hAnsi="宋体"/>
          <w:b/>
          <w:sz w:val="32"/>
          <w:szCs w:val="32"/>
        </w:rPr>
        <w:t>法人或授权人签字或盖章：</w:t>
      </w:r>
      <w:bookmarkEnd w:id="343"/>
      <w:bookmarkEnd w:id="344"/>
      <w:bookmarkEnd w:id="345"/>
      <w:bookmarkEnd w:id="346"/>
      <w:bookmarkEnd w:id="347"/>
      <w:bookmarkEnd w:id="348"/>
      <w:r>
        <w:rPr>
          <w:rFonts w:hint="eastAsia" w:hAnsi="宋体"/>
          <w:b/>
          <w:sz w:val="32"/>
          <w:szCs w:val="32"/>
          <w:u w:val="single"/>
        </w:rPr>
        <w:t xml:space="preserve">            </w:t>
      </w:r>
    </w:p>
    <w:p w14:paraId="0880BF12">
      <w:pPr>
        <w:spacing w:line="360" w:lineRule="auto"/>
        <w:jc w:val="center"/>
        <w:outlineLvl w:val="9"/>
        <w:rPr>
          <w:rFonts w:hint="eastAsia" w:hAnsi="宋体"/>
          <w:b/>
          <w:sz w:val="32"/>
          <w:szCs w:val="32"/>
          <w:lang w:val="en-US" w:eastAsia="zh-CN"/>
        </w:rPr>
      </w:pPr>
      <w:r>
        <w:rPr>
          <w:rFonts w:hint="eastAsia" w:hAnsi="宋体"/>
          <w:b/>
          <w:sz w:val="32"/>
          <w:szCs w:val="32"/>
          <w:u w:val="single"/>
          <w:lang w:val="en-US" w:eastAsia="zh-CN"/>
        </w:rPr>
        <w:t xml:space="preserve">     </w:t>
      </w:r>
      <w:r>
        <w:rPr>
          <w:rFonts w:hint="eastAsia" w:hAnsi="宋体"/>
          <w:b/>
          <w:sz w:val="32"/>
          <w:szCs w:val="32"/>
        </w:rPr>
        <w:t>年</w:t>
      </w:r>
      <w:r>
        <w:rPr>
          <w:rFonts w:hint="eastAsia" w:hAnsi="宋体"/>
          <w:b/>
          <w:sz w:val="32"/>
          <w:szCs w:val="32"/>
          <w:u w:val="single"/>
        </w:rPr>
        <w:t xml:space="preserve">   </w:t>
      </w:r>
      <w:r>
        <w:rPr>
          <w:rFonts w:hint="eastAsia" w:hAnsi="宋体"/>
          <w:b/>
          <w:sz w:val="32"/>
          <w:szCs w:val="32"/>
        </w:rPr>
        <w:t>月</w:t>
      </w:r>
      <w:r>
        <w:rPr>
          <w:rFonts w:hint="eastAsia" w:hAnsi="宋体"/>
          <w:b/>
          <w:sz w:val="32"/>
          <w:szCs w:val="32"/>
          <w:u w:val="single"/>
        </w:rPr>
        <w:t xml:space="preserve">   </w:t>
      </w:r>
      <w:bookmarkStart w:id="349" w:name="_Toc344572156"/>
      <w:r>
        <w:rPr>
          <w:rFonts w:hint="eastAsia" w:hAnsi="宋体"/>
          <w:b/>
          <w:sz w:val="32"/>
          <w:szCs w:val="32"/>
          <w:lang w:val="en-US" w:eastAsia="zh-CN"/>
        </w:rPr>
        <w:t>日</w:t>
      </w:r>
    </w:p>
    <w:p w14:paraId="7C2175B2">
      <w:pPr>
        <w:spacing w:line="360" w:lineRule="auto"/>
        <w:jc w:val="center"/>
        <w:outlineLvl w:val="9"/>
        <w:rPr>
          <w:rFonts w:hint="eastAsia" w:hAnsi="宋体"/>
          <w:b/>
          <w:sz w:val="32"/>
          <w:szCs w:val="32"/>
          <w:lang w:val="en-US" w:eastAsia="zh-CN"/>
        </w:rPr>
      </w:pPr>
    </w:p>
    <w:p w14:paraId="520C7389">
      <w:pPr>
        <w:spacing w:line="360" w:lineRule="auto"/>
        <w:jc w:val="center"/>
        <w:outlineLvl w:val="9"/>
        <w:rPr>
          <w:rFonts w:hint="eastAsia" w:hAnsi="宋体"/>
          <w:b/>
          <w:sz w:val="32"/>
          <w:szCs w:val="32"/>
          <w:lang w:val="en-US" w:eastAsia="zh-CN"/>
        </w:rPr>
      </w:pPr>
    </w:p>
    <w:p w14:paraId="0946FD6A">
      <w:pPr>
        <w:spacing w:line="360" w:lineRule="auto"/>
        <w:jc w:val="center"/>
        <w:outlineLvl w:val="9"/>
        <w:rPr>
          <w:rFonts w:hint="eastAsia" w:hAnsi="宋体"/>
          <w:b/>
          <w:sz w:val="32"/>
          <w:szCs w:val="32"/>
          <w:lang w:val="en-US" w:eastAsia="zh-CN"/>
        </w:rPr>
      </w:pPr>
    </w:p>
    <w:p w14:paraId="43EA1262">
      <w:pPr>
        <w:spacing w:line="360" w:lineRule="auto"/>
        <w:jc w:val="center"/>
        <w:outlineLvl w:val="9"/>
        <w:rPr>
          <w:b/>
          <w:sz w:val="44"/>
        </w:rPr>
      </w:pPr>
      <w:r>
        <w:rPr>
          <w:rFonts w:hint="eastAsia"/>
          <w:b/>
          <w:sz w:val="44"/>
        </w:rPr>
        <w:t>目  录</w:t>
      </w:r>
    </w:p>
    <w:p w14:paraId="6A884412">
      <w:pPr>
        <w:spacing w:line="360" w:lineRule="auto"/>
        <w:ind w:firstLine="3520" w:firstLineChars="1100"/>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须自动索引</w:t>
      </w:r>
      <w:r>
        <w:rPr>
          <w:rFonts w:hint="eastAsia" w:ascii="宋体" w:hAnsi="宋体" w:eastAsia="宋体" w:cs="宋体"/>
          <w:sz w:val="32"/>
          <w:szCs w:val="32"/>
          <w:lang w:eastAsia="zh-CN"/>
        </w:rPr>
        <w:t>）</w:t>
      </w:r>
    </w:p>
    <w:p w14:paraId="150314F7">
      <w:pPr>
        <w:pStyle w:val="7"/>
        <w:spacing w:line="360" w:lineRule="auto"/>
        <w:ind w:firstLine="400"/>
        <w:jc w:val="center"/>
        <w:outlineLvl w:val="9"/>
      </w:pPr>
      <w:r>
        <w:rPr>
          <w:rFonts w:hint="eastAsia" w:ascii="宋体" w:hAnsi="宋体" w:eastAsia="宋体" w:cs="宋体"/>
          <w:color w:val="auto"/>
        </w:rPr>
        <w:br w:type="page"/>
      </w:r>
    </w:p>
    <w:bookmarkEnd w:id="349"/>
    <w:p w14:paraId="1575D813">
      <w:pPr>
        <w:spacing w:line="360" w:lineRule="auto"/>
        <w:jc w:val="center"/>
        <w:outlineLvl w:val="1"/>
        <w:rPr>
          <w:rFonts w:hint="eastAsia" w:ascii="宋体" w:hAnsi="宋体" w:eastAsia="宋体" w:cs="宋体"/>
          <w:b/>
          <w:sz w:val="32"/>
          <w:szCs w:val="32"/>
        </w:rPr>
      </w:pPr>
      <w:bookmarkStart w:id="350" w:name="_Toc363474027"/>
      <w:bookmarkStart w:id="351" w:name="_Toc403077648"/>
      <w:bookmarkStart w:id="352" w:name="_Toc15940"/>
      <w:bookmarkStart w:id="353" w:name="_Toc15830"/>
      <w:bookmarkStart w:id="354" w:name="_Toc30588"/>
      <w:bookmarkStart w:id="355" w:name="_Toc13223"/>
      <w:bookmarkStart w:id="356" w:name="_Toc20261"/>
      <w:bookmarkStart w:id="357" w:name="_Toc9981"/>
      <w:bookmarkStart w:id="358" w:name="_Toc12920"/>
      <w:bookmarkStart w:id="359" w:name="_Toc24357"/>
      <w:bookmarkStart w:id="360" w:name="_Toc19670"/>
      <w:bookmarkStart w:id="361" w:name="_Toc204524343"/>
      <w:r>
        <w:rPr>
          <w:rFonts w:hint="eastAsia" w:ascii="宋体" w:hAnsi="宋体" w:cs="宋体"/>
          <w:b/>
          <w:sz w:val="32"/>
          <w:szCs w:val="32"/>
          <w:lang w:val="en-US" w:eastAsia="zh-CN"/>
        </w:rPr>
        <w:t>一、</w:t>
      </w:r>
      <w:bookmarkEnd w:id="350"/>
      <w:bookmarkEnd w:id="351"/>
      <w:r>
        <w:rPr>
          <w:rFonts w:hint="eastAsia" w:ascii="宋体" w:hAnsi="宋体" w:eastAsia="宋体" w:cs="宋体"/>
          <w:b/>
          <w:sz w:val="32"/>
          <w:szCs w:val="32"/>
        </w:rPr>
        <w:t>响应函</w:t>
      </w:r>
      <w:bookmarkEnd w:id="352"/>
      <w:bookmarkEnd w:id="353"/>
      <w:bookmarkEnd w:id="354"/>
      <w:bookmarkEnd w:id="355"/>
      <w:bookmarkEnd w:id="356"/>
      <w:bookmarkEnd w:id="357"/>
      <w:bookmarkEnd w:id="358"/>
      <w:bookmarkEnd w:id="359"/>
      <w:bookmarkEnd w:id="360"/>
    </w:p>
    <w:p w14:paraId="398B2C09">
      <w:pPr>
        <w:spacing w:line="360" w:lineRule="auto"/>
        <w:jc w:val="left"/>
        <w:outlineLvl w:val="9"/>
        <w:rPr>
          <w:rFonts w:hint="eastAsia" w:hAnsi="宋体" w:eastAsia="宋体"/>
          <w:spacing w:val="4"/>
          <w:sz w:val="24"/>
          <w:szCs w:val="24"/>
          <w:lang w:eastAsia="zh-CN"/>
        </w:rPr>
      </w:pPr>
      <w:r>
        <w:rPr>
          <w:rFonts w:hint="eastAsia" w:hAnsi="宋体"/>
          <w:spacing w:val="4"/>
          <w:sz w:val="24"/>
          <w:szCs w:val="24"/>
        </w:rPr>
        <w:t>致：</w:t>
      </w:r>
      <w:r>
        <w:rPr>
          <w:rFonts w:hint="eastAsia" w:hAnsi="宋体"/>
          <w:spacing w:val="4"/>
          <w:sz w:val="24"/>
          <w:szCs w:val="24"/>
          <w:lang w:eastAsia="zh-CN"/>
        </w:rPr>
        <w:t>陕西华旭晟信项目管理有限责任公司</w:t>
      </w:r>
    </w:p>
    <w:p w14:paraId="3466F748">
      <w:pPr>
        <w:spacing w:line="360" w:lineRule="auto"/>
        <w:ind w:firstLine="496" w:firstLineChars="200"/>
        <w:outlineLvl w:val="9"/>
        <w:rPr>
          <w:rFonts w:hint="eastAsia" w:hAnsi="宋体" w:eastAsia="宋体"/>
          <w:spacing w:val="4"/>
          <w:sz w:val="24"/>
          <w:szCs w:val="24"/>
          <w:u w:val="single"/>
          <w:lang w:eastAsia="zh-CN"/>
        </w:rPr>
      </w:pPr>
      <w:r>
        <w:rPr>
          <w:rFonts w:hint="eastAsia" w:hAnsi="宋体"/>
          <w:spacing w:val="4"/>
          <w:sz w:val="24"/>
          <w:szCs w:val="24"/>
        </w:rPr>
        <w:t>根据贵方“</w:t>
      </w:r>
      <w:r>
        <w:rPr>
          <w:rFonts w:hint="eastAsia" w:hAnsi="宋体"/>
          <w:spacing w:val="4"/>
          <w:sz w:val="24"/>
          <w:szCs w:val="24"/>
          <w:u w:val="single"/>
        </w:rPr>
        <w:t xml:space="preserve">          </w:t>
      </w:r>
      <w:r>
        <w:rPr>
          <w:rFonts w:hint="eastAsia" w:hAnsi="宋体"/>
          <w:spacing w:val="4"/>
          <w:sz w:val="24"/>
          <w:szCs w:val="24"/>
        </w:rPr>
        <w:t>”项目的磋商文件</w:t>
      </w:r>
      <w:r>
        <w:rPr>
          <w:rFonts w:hint="eastAsia" w:hAnsi="宋体"/>
          <w:spacing w:val="4"/>
          <w:sz w:val="24"/>
          <w:szCs w:val="24"/>
          <w:u w:val="single"/>
        </w:rPr>
        <w:t>(编号：      )</w:t>
      </w:r>
      <w:r>
        <w:rPr>
          <w:rFonts w:hint="eastAsia" w:hAnsi="宋体"/>
          <w:spacing w:val="4"/>
          <w:sz w:val="24"/>
          <w:szCs w:val="24"/>
        </w:rPr>
        <w:t>，签字代表</w:t>
      </w:r>
      <w:r>
        <w:rPr>
          <w:rFonts w:hint="eastAsia" w:hAnsi="宋体"/>
          <w:spacing w:val="4"/>
          <w:sz w:val="24"/>
          <w:szCs w:val="24"/>
          <w:u w:val="single"/>
        </w:rPr>
        <w:t>（全名、职务）</w:t>
      </w:r>
      <w:r>
        <w:rPr>
          <w:rFonts w:hint="eastAsia" w:hAnsi="宋体"/>
          <w:spacing w:val="4"/>
          <w:sz w:val="24"/>
          <w:szCs w:val="24"/>
        </w:rPr>
        <w:t>经正式授权并代表供应商</w:t>
      </w:r>
      <w:r>
        <w:rPr>
          <w:rFonts w:hint="eastAsia" w:hAnsi="宋体"/>
          <w:spacing w:val="4"/>
          <w:sz w:val="24"/>
          <w:szCs w:val="24"/>
          <w:u w:val="single"/>
        </w:rPr>
        <w:t>(供应商名称、地址、统一社会信用代码)</w:t>
      </w:r>
      <w:r>
        <w:rPr>
          <w:rFonts w:hint="eastAsia" w:hAnsi="宋体"/>
          <w:spacing w:val="4"/>
          <w:sz w:val="24"/>
          <w:szCs w:val="24"/>
        </w:rPr>
        <w:t xml:space="preserve"> 提交竞争性磋商响应文件</w:t>
      </w:r>
      <w:r>
        <w:rPr>
          <w:rFonts w:hint="eastAsia" w:hAnsi="宋体"/>
          <w:spacing w:val="4"/>
          <w:sz w:val="24"/>
          <w:szCs w:val="24"/>
          <w:lang w:eastAsia="zh-CN"/>
        </w:rPr>
        <w:t>。</w:t>
      </w:r>
    </w:p>
    <w:p w14:paraId="0D20358C">
      <w:pPr>
        <w:spacing w:line="360" w:lineRule="auto"/>
        <w:ind w:left="549" w:leftChars="251" w:hanging="22" w:hangingChars="9"/>
        <w:jc w:val="left"/>
        <w:outlineLvl w:val="9"/>
        <w:rPr>
          <w:rFonts w:hAnsi="宋体"/>
          <w:spacing w:val="4"/>
          <w:sz w:val="24"/>
          <w:szCs w:val="24"/>
        </w:rPr>
      </w:pPr>
      <w:r>
        <w:rPr>
          <w:rFonts w:hint="eastAsia" w:hAnsi="宋体"/>
          <w:spacing w:val="4"/>
          <w:sz w:val="24"/>
          <w:szCs w:val="24"/>
        </w:rPr>
        <w:t>我方承诺如下：</w:t>
      </w:r>
    </w:p>
    <w:p w14:paraId="52D3167A">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 xml:space="preserve">1）磋商总价为 </w:t>
      </w:r>
      <w:r>
        <w:rPr>
          <w:rFonts w:hint="eastAsia" w:hAnsi="宋体"/>
          <w:spacing w:val="4"/>
          <w:sz w:val="24"/>
          <w:szCs w:val="24"/>
          <w:u w:val="single"/>
        </w:rPr>
        <w:t xml:space="preserve">        </w:t>
      </w:r>
      <w:r>
        <w:rPr>
          <w:rFonts w:hint="eastAsia" w:hAnsi="宋体"/>
          <w:spacing w:val="4"/>
          <w:sz w:val="24"/>
          <w:szCs w:val="24"/>
        </w:rPr>
        <w:t>（人民币）（用文字和数字表示的磋商总价）。</w:t>
      </w:r>
    </w:p>
    <w:p w14:paraId="6C8A4E8D">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2）如果成交，我们根据竞争性磋商文件的规定，履行合同的责任和义务。</w:t>
      </w:r>
    </w:p>
    <w:p w14:paraId="42F01BC5">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3）我们已详细阅读和审核全部竞争性磋商文件（含修改部分，如有的话），及有关附件，我们知道必须放弃提出含糊不清或误解的问题的权利。</w:t>
      </w:r>
    </w:p>
    <w:p w14:paraId="7D936AF3">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4）我们同意在磋商有效期内（</w:t>
      </w:r>
      <w:r>
        <w:rPr>
          <w:rFonts w:hint="eastAsia" w:hAnsi="宋体"/>
          <w:spacing w:val="4"/>
          <w:sz w:val="24"/>
          <w:szCs w:val="24"/>
          <w:u w:val="single"/>
        </w:rPr>
        <w:t xml:space="preserve">自磋商之日起 </w:t>
      </w:r>
      <w:r>
        <w:rPr>
          <w:rFonts w:hint="eastAsia" w:hAnsi="宋体"/>
          <w:spacing w:val="4"/>
          <w:sz w:val="24"/>
          <w:szCs w:val="24"/>
          <w:u w:val="single"/>
          <w:lang w:val="en-US" w:eastAsia="zh-CN"/>
        </w:rPr>
        <w:t xml:space="preserve"> </w:t>
      </w:r>
      <w:r>
        <w:rPr>
          <w:rFonts w:hint="eastAsia" w:hAnsi="宋体"/>
          <w:spacing w:val="4"/>
          <w:sz w:val="24"/>
          <w:szCs w:val="24"/>
          <w:u w:val="single"/>
        </w:rPr>
        <w:t>天内</w:t>
      </w:r>
      <w:r>
        <w:rPr>
          <w:rFonts w:hint="eastAsia" w:hAnsi="宋体"/>
          <w:spacing w:val="4"/>
          <w:sz w:val="24"/>
          <w:szCs w:val="24"/>
        </w:rPr>
        <w:t>），本磋商响应函对我方具有约束力。</w:t>
      </w:r>
    </w:p>
    <w:p w14:paraId="2C2D2C53">
      <w:pPr>
        <w:tabs>
          <w:tab w:val="left" w:pos="2160"/>
        </w:tabs>
        <w:spacing w:line="360" w:lineRule="auto"/>
        <w:ind w:firstLine="496" w:firstLineChars="200"/>
        <w:jc w:val="left"/>
        <w:outlineLvl w:val="9"/>
        <w:rPr>
          <w:rFonts w:hint="eastAsia" w:ascii="Times New Roman" w:hAnsi="宋体" w:eastAsia="宋体" w:cs="Times New Roman"/>
          <w:spacing w:val="4"/>
          <w:sz w:val="24"/>
          <w:szCs w:val="24"/>
        </w:rPr>
      </w:pPr>
      <w:r>
        <w:rPr>
          <w:rFonts w:hint="eastAsia" w:hAnsi="宋体"/>
          <w:spacing w:val="4"/>
          <w:sz w:val="24"/>
          <w:szCs w:val="24"/>
        </w:rPr>
        <w:t>5）如果在磋商后规定的磋商有效</w:t>
      </w:r>
      <w:r>
        <w:rPr>
          <w:rFonts w:hint="eastAsia" w:ascii="Times New Roman" w:hAnsi="宋体" w:eastAsia="宋体" w:cs="Times New Roman"/>
          <w:spacing w:val="4"/>
          <w:sz w:val="24"/>
          <w:szCs w:val="24"/>
        </w:rPr>
        <w:t>期内撤销磋商文件，我们</w:t>
      </w:r>
      <w:r>
        <w:rPr>
          <w:rFonts w:hint="eastAsia" w:ascii="Times New Roman" w:hAnsi="宋体" w:eastAsia="宋体" w:cs="Times New Roman"/>
          <w:spacing w:val="4"/>
          <w:sz w:val="24"/>
          <w:szCs w:val="24"/>
          <w:lang w:val="en-US" w:eastAsia="zh-CN"/>
        </w:rPr>
        <w:t>自愿根据投标信用承诺书有关规定执行。</w:t>
      </w:r>
    </w:p>
    <w:p w14:paraId="33FDDE60">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rPr>
        <w:t xml:space="preserve">6）同意提供贵方可能另外要求的与本磋商有关的任何证据和资料。 </w:t>
      </w:r>
    </w:p>
    <w:p w14:paraId="5E90C4F4">
      <w:pPr>
        <w:tabs>
          <w:tab w:val="left" w:pos="2160"/>
        </w:tabs>
        <w:spacing w:line="360" w:lineRule="auto"/>
        <w:ind w:firstLine="496" w:firstLineChars="200"/>
        <w:jc w:val="left"/>
        <w:outlineLvl w:val="9"/>
        <w:rPr>
          <w:rFonts w:hAnsi="宋体"/>
          <w:spacing w:val="4"/>
          <w:sz w:val="24"/>
          <w:szCs w:val="24"/>
        </w:rPr>
      </w:pPr>
      <w:r>
        <w:rPr>
          <w:rFonts w:hint="eastAsia" w:hAnsi="宋体"/>
          <w:spacing w:val="4"/>
          <w:sz w:val="24"/>
          <w:szCs w:val="24"/>
          <w:lang w:val="en-US" w:eastAsia="zh-CN"/>
        </w:rPr>
        <w:t>7</w:t>
      </w:r>
      <w:r>
        <w:rPr>
          <w:rFonts w:hint="eastAsia" w:hAnsi="宋体"/>
          <w:spacing w:val="4"/>
          <w:sz w:val="24"/>
          <w:szCs w:val="24"/>
        </w:rPr>
        <w:t>）与本磋商有关的一切正式往来通讯为：</w:t>
      </w:r>
    </w:p>
    <w:p w14:paraId="5109D877">
      <w:pPr>
        <w:spacing w:line="360" w:lineRule="auto"/>
        <w:ind w:firstLine="1240" w:firstLineChars="500"/>
        <w:jc w:val="left"/>
        <w:outlineLvl w:val="9"/>
        <w:rPr>
          <w:rFonts w:hint="eastAsia" w:hAnsi="宋体"/>
          <w:spacing w:val="4"/>
          <w:sz w:val="24"/>
          <w:szCs w:val="24"/>
        </w:rPr>
      </w:pPr>
    </w:p>
    <w:p w14:paraId="67F03261">
      <w:pPr>
        <w:spacing w:line="360" w:lineRule="auto"/>
        <w:ind w:firstLine="1240" w:firstLineChars="500"/>
        <w:jc w:val="left"/>
        <w:outlineLvl w:val="9"/>
        <w:rPr>
          <w:rFonts w:hAnsi="宋体"/>
          <w:spacing w:val="4"/>
          <w:sz w:val="24"/>
          <w:szCs w:val="24"/>
        </w:rPr>
      </w:pPr>
      <w:r>
        <w:rPr>
          <w:rFonts w:hint="eastAsia" w:hAnsi="宋体"/>
          <w:spacing w:val="4"/>
          <w:sz w:val="24"/>
          <w:szCs w:val="24"/>
        </w:rPr>
        <w:t>联系地址：</w:t>
      </w:r>
    </w:p>
    <w:p w14:paraId="2FD4FB37">
      <w:pPr>
        <w:spacing w:line="360" w:lineRule="auto"/>
        <w:ind w:firstLine="1240" w:firstLineChars="500"/>
        <w:jc w:val="left"/>
        <w:outlineLvl w:val="9"/>
        <w:rPr>
          <w:rFonts w:hAnsi="宋体"/>
          <w:spacing w:val="4"/>
          <w:sz w:val="24"/>
          <w:szCs w:val="24"/>
        </w:rPr>
      </w:pPr>
      <w:r>
        <w:rPr>
          <w:rFonts w:hint="eastAsia" w:hAnsi="宋体"/>
          <w:spacing w:val="4"/>
          <w:sz w:val="24"/>
          <w:szCs w:val="24"/>
        </w:rPr>
        <w:t>邮政编码：</w:t>
      </w:r>
    </w:p>
    <w:p w14:paraId="2E5D603F">
      <w:pPr>
        <w:spacing w:line="360" w:lineRule="auto"/>
        <w:ind w:firstLine="1240" w:firstLineChars="500"/>
        <w:jc w:val="left"/>
        <w:outlineLvl w:val="9"/>
        <w:rPr>
          <w:rFonts w:hAnsi="宋体"/>
          <w:spacing w:val="4"/>
          <w:sz w:val="24"/>
          <w:szCs w:val="24"/>
        </w:rPr>
      </w:pPr>
      <w:r>
        <w:rPr>
          <w:rFonts w:hint="eastAsia" w:hAnsi="宋体"/>
          <w:spacing w:val="4"/>
          <w:sz w:val="24"/>
          <w:szCs w:val="24"/>
        </w:rPr>
        <w:t>电    话：</w:t>
      </w:r>
    </w:p>
    <w:p w14:paraId="74D93F71">
      <w:pPr>
        <w:spacing w:line="360" w:lineRule="auto"/>
        <w:ind w:firstLine="1240" w:firstLineChars="500"/>
        <w:jc w:val="left"/>
        <w:outlineLvl w:val="9"/>
        <w:rPr>
          <w:rFonts w:hAnsi="宋体"/>
          <w:spacing w:val="4"/>
          <w:sz w:val="24"/>
          <w:szCs w:val="24"/>
        </w:rPr>
      </w:pPr>
      <w:r>
        <w:rPr>
          <w:rFonts w:hint="eastAsia" w:hAnsi="宋体"/>
          <w:spacing w:val="4"/>
          <w:sz w:val="24"/>
          <w:szCs w:val="24"/>
        </w:rPr>
        <w:t>传    真：</w:t>
      </w:r>
    </w:p>
    <w:p w14:paraId="586BAEBD">
      <w:pPr>
        <w:spacing w:line="360" w:lineRule="auto"/>
        <w:ind w:firstLine="1240" w:firstLineChars="500"/>
        <w:jc w:val="left"/>
        <w:outlineLvl w:val="9"/>
        <w:rPr>
          <w:rFonts w:hAnsi="宋体"/>
          <w:spacing w:val="4"/>
          <w:sz w:val="24"/>
          <w:szCs w:val="24"/>
        </w:rPr>
      </w:pPr>
      <w:r>
        <w:rPr>
          <w:rFonts w:hint="eastAsia" w:hAnsi="宋体"/>
          <w:spacing w:val="4"/>
          <w:sz w:val="24"/>
          <w:szCs w:val="24"/>
        </w:rPr>
        <w:t>供应商名称（盖章）：</w:t>
      </w:r>
    </w:p>
    <w:p w14:paraId="0874F90B">
      <w:pPr>
        <w:spacing w:line="360" w:lineRule="auto"/>
        <w:ind w:firstLine="1240" w:firstLineChars="500"/>
        <w:jc w:val="left"/>
        <w:outlineLvl w:val="9"/>
        <w:rPr>
          <w:rFonts w:hAnsi="宋体"/>
          <w:spacing w:val="4"/>
          <w:sz w:val="24"/>
          <w:szCs w:val="24"/>
        </w:rPr>
      </w:pPr>
      <w:r>
        <w:rPr>
          <w:rFonts w:hint="eastAsia" w:hAnsi="宋体"/>
          <w:spacing w:val="4"/>
          <w:sz w:val="24"/>
          <w:szCs w:val="24"/>
        </w:rPr>
        <w:t>供应商法定代表人签字</w:t>
      </w:r>
      <w:r>
        <w:rPr>
          <w:rFonts w:hint="eastAsia" w:hAnsi="宋体"/>
          <w:spacing w:val="4"/>
          <w:sz w:val="24"/>
          <w:szCs w:val="24"/>
          <w:lang w:val="en-US" w:eastAsia="zh-CN"/>
        </w:rPr>
        <w:t>或盖章</w:t>
      </w:r>
      <w:r>
        <w:rPr>
          <w:rFonts w:hint="eastAsia" w:hAnsi="宋体"/>
          <w:spacing w:val="4"/>
          <w:sz w:val="24"/>
          <w:szCs w:val="24"/>
        </w:rPr>
        <w:t>：</w:t>
      </w:r>
    </w:p>
    <w:p w14:paraId="7B7FF1E7">
      <w:pPr>
        <w:spacing w:line="360" w:lineRule="auto"/>
        <w:ind w:firstLine="1240" w:firstLineChars="500"/>
        <w:jc w:val="left"/>
        <w:outlineLvl w:val="9"/>
        <w:rPr>
          <w:rFonts w:hAnsi="宋体"/>
          <w:spacing w:val="4"/>
          <w:sz w:val="24"/>
          <w:szCs w:val="24"/>
        </w:rPr>
      </w:pPr>
      <w:r>
        <w:rPr>
          <w:rFonts w:hint="eastAsia" w:hAnsi="宋体"/>
          <w:spacing w:val="4"/>
          <w:sz w:val="24"/>
          <w:szCs w:val="24"/>
        </w:rPr>
        <w:t>日    期：</w:t>
      </w:r>
    </w:p>
    <w:p w14:paraId="66816120">
      <w:pPr>
        <w:spacing w:before="312" w:beforeLines="100"/>
        <w:jc w:val="center"/>
        <w:outlineLvl w:val="1"/>
        <w:rPr>
          <w:rFonts w:hint="eastAsia" w:eastAsia="宋体"/>
          <w:sz w:val="30"/>
          <w:szCs w:val="30"/>
          <w:lang w:eastAsia="zh-CN"/>
        </w:rPr>
      </w:pPr>
      <w:r>
        <w:rPr>
          <w:rFonts w:hint="eastAsia"/>
        </w:rPr>
        <w:br w:type="page"/>
      </w:r>
      <w:bookmarkStart w:id="362" w:name="_Toc4565"/>
      <w:bookmarkStart w:id="363" w:name="_Toc25792"/>
      <w:bookmarkStart w:id="364" w:name="_Toc31101"/>
      <w:bookmarkStart w:id="365" w:name="_Toc485"/>
      <w:bookmarkStart w:id="366" w:name="_Toc16109"/>
      <w:bookmarkStart w:id="367" w:name="_Toc18764"/>
      <w:bookmarkStart w:id="368" w:name="_Toc403077649"/>
      <w:bookmarkStart w:id="369" w:name="_Toc363474028"/>
      <w:r>
        <w:rPr>
          <w:rFonts w:hint="eastAsia" w:ascii="宋体" w:hAnsi="宋体" w:eastAsia="宋体" w:cs="宋体"/>
          <w:b/>
          <w:sz w:val="32"/>
          <w:szCs w:val="32"/>
          <w:lang w:val="en-US" w:eastAsia="zh-CN"/>
        </w:rPr>
        <w:t>二、第一次</w:t>
      </w:r>
      <w:r>
        <w:rPr>
          <w:rFonts w:hint="eastAsia" w:ascii="宋体" w:hAnsi="宋体" w:eastAsia="宋体" w:cs="宋体"/>
          <w:b/>
          <w:sz w:val="32"/>
          <w:szCs w:val="32"/>
          <w:lang w:eastAsia="zh-CN"/>
        </w:rPr>
        <w:t>磋商报价表</w:t>
      </w:r>
      <w:bookmarkEnd w:id="362"/>
      <w:bookmarkEnd w:id="363"/>
      <w:bookmarkEnd w:id="364"/>
      <w:bookmarkEnd w:id="365"/>
      <w:bookmarkEnd w:id="366"/>
    </w:p>
    <w:p w14:paraId="798A259E">
      <w:pPr>
        <w:spacing w:line="360" w:lineRule="auto"/>
        <w:outlineLvl w:val="9"/>
        <w:rPr>
          <w:rFonts w:hint="eastAsia" w:ascii="宋体" w:hAnsi="宋体" w:cs="宋体"/>
          <w:b/>
          <w:bCs/>
          <w:sz w:val="28"/>
          <w:szCs w:val="28"/>
        </w:rPr>
      </w:pPr>
      <w:r>
        <w:rPr>
          <w:rFonts w:hint="eastAsia" w:ascii="宋体" w:hAnsi="宋体" w:cs="宋体"/>
          <w:b/>
          <w:bCs/>
          <w:sz w:val="28"/>
          <w:szCs w:val="28"/>
        </w:rPr>
        <w:t>项目编号：</w:t>
      </w:r>
    </w:p>
    <w:p w14:paraId="75B3A9F8">
      <w:pPr>
        <w:pStyle w:val="11"/>
        <w:spacing w:line="360" w:lineRule="auto"/>
        <w:outlineLvl w:val="9"/>
        <w:rPr>
          <w:rFonts w:hint="eastAsia" w:ascii="宋体" w:hAnsi="宋体" w:cs="宋体"/>
        </w:rPr>
      </w:pPr>
      <w:r>
        <w:rPr>
          <w:rFonts w:hint="eastAsia" w:ascii="宋体" w:hAnsi="宋体" w:eastAsia="宋体" w:cs="宋体"/>
          <w:b/>
          <w:bCs/>
          <w:kern w:val="2"/>
          <w:sz w:val="28"/>
          <w:szCs w:val="28"/>
          <w:lang w:val="en-US" w:eastAsia="zh-CN" w:bidi="ar-SA"/>
        </w:rPr>
        <w:t>项目名称：</w:t>
      </w:r>
    </w:p>
    <w:tbl>
      <w:tblPr>
        <w:tblStyle w:val="26"/>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7BFC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60643E53">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投标总价</w:t>
            </w:r>
          </w:p>
          <w:p w14:paraId="2C4EDCC3">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（人民币）</w:t>
            </w:r>
          </w:p>
        </w:tc>
        <w:tc>
          <w:tcPr>
            <w:tcW w:w="7560" w:type="dxa"/>
            <w:noWrap w:val="0"/>
            <w:vAlign w:val="center"/>
          </w:tcPr>
          <w:p w14:paraId="3568D479">
            <w:pPr>
              <w:spacing w:line="360" w:lineRule="auto"/>
              <w:outlineLvl w:val="9"/>
              <w:rPr>
                <w:rFonts w:hint="eastAsia" w:ascii="宋体" w:hAnsi="宋体" w:cs="宋体"/>
                <w:b/>
                <w:bCs/>
                <w:sz w:val="24"/>
                <w:szCs w:val="24"/>
              </w:rPr>
            </w:pPr>
            <w:r>
              <w:rPr>
                <w:rFonts w:hint="eastAsia" w:ascii="宋体" w:hAnsi="宋体" w:cs="宋体"/>
                <w:b/>
                <w:bCs/>
                <w:sz w:val="24"/>
                <w:szCs w:val="24"/>
              </w:rPr>
              <w:t>小写金额：</w:t>
            </w:r>
            <w:r>
              <w:rPr>
                <w:rFonts w:hint="eastAsia" w:ascii="宋体" w:hAnsi="宋体" w:cs="宋体"/>
                <w:b/>
                <w:bCs/>
                <w:sz w:val="24"/>
                <w:szCs w:val="24"/>
                <w:u w:val="single"/>
              </w:rPr>
              <w:t xml:space="preserve">                        </w:t>
            </w:r>
            <w:r>
              <w:rPr>
                <w:rFonts w:hint="eastAsia" w:ascii="宋体" w:hAnsi="宋体" w:cs="宋体"/>
                <w:b/>
                <w:bCs/>
                <w:sz w:val="24"/>
                <w:szCs w:val="24"/>
              </w:rPr>
              <w:t xml:space="preserve"> </w:t>
            </w:r>
          </w:p>
          <w:p w14:paraId="1B54E5C8">
            <w:pPr>
              <w:spacing w:line="360" w:lineRule="auto"/>
              <w:outlineLvl w:val="9"/>
              <w:rPr>
                <w:rFonts w:hint="eastAsia" w:ascii="宋体" w:hAnsi="宋体" w:cs="宋体"/>
                <w:sz w:val="24"/>
                <w:szCs w:val="24"/>
              </w:rPr>
            </w:pPr>
            <w:r>
              <w:rPr>
                <w:rFonts w:hint="eastAsia" w:ascii="宋体" w:hAnsi="宋体" w:cs="宋体"/>
                <w:b/>
                <w:bCs/>
                <w:sz w:val="24"/>
                <w:szCs w:val="24"/>
              </w:rPr>
              <w:t>大写金额：</w:t>
            </w:r>
            <w:r>
              <w:rPr>
                <w:rFonts w:hint="eastAsia" w:ascii="宋体" w:hAnsi="宋体" w:cs="宋体"/>
                <w:b/>
                <w:bCs/>
                <w:sz w:val="24"/>
                <w:szCs w:val="24"/>
                <w:u w:val="single"/>
              </w:rPr>
              <w:t xml:space="preserve">                        </w:t>
            </w:r>
          </w:p>
        </w:tc>
      </w:tr>
      <w:tr w14:paraId="3054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6D47DBF7">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投标人</w:t>
            </w:r>
          </w:p>
          <w:p w14:paraId="4BCEABD1">
            <w:pPr>
              <w:spacing w:line="360" w:lineRule="auto"/>
              <w:jc w:val="center"/>
              <w:outlineLvl w:val="9"/>
              <w:rPr>
                <w:rFonts w:hint="eastAsia" w:ascii="宋体" w:hAnsi="宋体" w:cs="宋体"/>
                <w:b/>
                <w:bCs/>
                <w:sz w:val="24"/>
                <w:szCs w:val="24"/>
              </w:rPr>
            </w:pPr>
            <w:r>
              <w:rPr>
                <w:rFonts w:hint="eastAsia" w:ascii="宋体" w:hAnsi="宋体" w:cs="宋体"/>
                <w:b/>
                <w:bCs/>
                <w:sz w:val="24"/>
                <w:szCs w:val="24"/>
              </w:rPr>
              <w:t>（公司名称）</w:t>
            </w:r>
          </w:p>
        </w:tc>
        <w:tc>
          <w:tcPr>
            <w:tcW w:w="7560" w:type="dxa"/>
            <w:noWrap w:val="0"/>
            <w:vAlign w:val="center"/>
          </w:tcPr>
          <w:p w14:paraId="3F6FC7B9">
            <w:pPr>
              <w:spacing w:line="360" w:lineRule="auto"/>
              <w:outlineLvl w:val="9"/>
              <w:rPr>
                <w:rFonts w:hint="eastAsia" w:ascii="宋体" w:hAnsi="宋体" w:cs="宋体"/>
                <w:sz w:val="24"/>
                <w:szCs w:val="24"/>
              </w:rPr>
            </w:pPr>
          </w:p>
        </w:tc>
      </w:tr>
      <w:tr w14:paraId="7DAB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C32063D">
            <w:pPr>
              <w:spacing w:line="360" w:lineRule="auto"/>
              <w:jc w:val="center"/>
              <w:outlineLvl w:val="9"/>
              <w:rPr>
                <w:rFonts w:hint="eastAsia" w:ascii="宋体" w:hAnsi="宋体" w:eastAsia="宋体"/>
                <w:b/>
                <w:sz w:val="24"/>
                <w:szCs w:val="24"/>
                <w:lang w:eastAsia="zh-CN"/>
              </w:rPr>
            </w:pPr>
            <w:r>
              <w:rPr>
                <w:rFonts w:hint="eastAsia" w:ascii="宋体" w:hAnsi="宋体"/>
                <w:b/>
                <w:sz w:val="24"/>
                <w:szCs w:val="24"/>
                <w:lang w:val="en-US" w:eastAsia="zh-CN"/>
              </w:rPr>
              <w:t>工期</w:t>
            </w:r>
          </w:p>
        </w:tc>
        <w:tc>
          <w:tcPr>
            <w:tcW w:w="7560" w:type="dxa"/>
            <w:noWrap w:val="0"/>
            <w:vAlign w:val="center"/>
          </w:tcPr>
          <w:p w14:paraId="24903DCE">
            <w:pPr>
              <w:spacing w:line="360" w:lineRule="auto"/>
              <w:outlineLvl w:val="9"/>
              <w:rPr>
                <w:rFonts w:hint="eastAsia" w:ascii="宋体" w:hAnsi="宋体" w:cs="宋体"/>
                <w:sz w:val="24"/>
                <w:szCs w:val="24"/>
              </w:rPr>
            </w:pPr>
          </w:p>
        </w:tc>
      </w:tr>
      <w:tr w14:paraId="6A4E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840623B">
            <w:pPr>
              <w:spacing w:line="360" w:lineRule="auto"/>
              <w:jc w:val="center"/>
              <w:outlineLvl w:val="9"/>
              <w:rPr>
                <w:rFonts w:hint="default" w:ascii="宋体" w:hAnsi="宋体"/>
                <w:b/>
                <w:sz w:val="24"/>
                <w:szCs w:val="24"/>
                <w:lang w:val="en-US" w:eastAsia="zh-CN"/>
              </w:rPr>
            </w:pPr>
            <w:r>
              <w:rPr>
                <w:rFonts w:hint="eastAsia" w:ascii="宋体" w:hAnsi="宋体"/>
                <w:b/>
                <w:sz w:val="24"/>
                <w:szCs w:val="24"/>
                <w:lang w:val="en-US" w:eastAsia="zh-CN"/>
              </w:rPr>
              <w:t>质保期</w:t>
            </w:r>
          </w:p>
        </w:tc>
        <w:tc>
          <w:tcPr>
            <w:tcW w:w="7560" w:type="dxa"/>
            <w:noWrap w:val="0"/>
            <w:vAlign w:val="center"/>
          </w:tcPr>
          <w:p w14:paraId="7717C156">
            <w:pPr>
              <w:spacing w:line="360" w:lineRule="auto"/>
              <w:outlineLvl w:val="9"/>
              <w:rPr>
                <w:rFonts w:hint="eastAsia" w:ascii="宋体" w:hAnsi="宋体" w:cs="宋体"/>
                <w:sz w:val="24"/>
                <w:szCs w:val="24"/>
              </w:rPr>
            </w:pPr>
          </w:p>
        </w:tc>
      </w:tr>
      <w:tr w14:paraId="73D7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70D007F">
            <w:pPr>
              <w:spacing w:line="360" w:lineRule="auto"/>
              <w:jc w:val="center"/>
              <w:outlineLvl w:val="9"/>
              <w:rPr>
                <w:rFonts w:hint="default" w:ascii="宋体" w:hAnsi="宋体"/>
                <w:b/>
                <w:sz w:val="24"/>
                <w:szCs w:val="24"/>
                <w:lang w:val="en-US" w:eastAsia="zh-CN"/>
              </w:rPr>
            </w:pPr>
            <w:r>
              <w:rPr>
                <w:rFonts w:hint="eastAsia" w:ascii="宋体" w:hAnsi="宋体"/>
                <w:b/>
                <w:sz w:val="24"/>
                <w:szCs w:val="24"/>
                <w:lang w:val="en-US" w:eastAsia="zh-CN"/>
              </w:rPr>
              <w:t>工程质量</w:t>
            </w:r>
          </w:p>
        </w:tc>
        <w:tc>
          <w:tcPr>
            <w:tcW w:w="7560" w:type="dxa"/>
            <w:noWrap w:val="0"/>
            <w:vAlign w:val="center"/>
          </w:tcPr>
          <w:p w14:paraId="59162028">
            <w:pPr>
              <w:spacing w:line="360" w:lineRule="auto"/>
              <w:outlineLvl w:val="9"/>
              <w:rPr>
                <w:rFonts w:hint="eastAsia" w:ascii="宋体" w:hAnsi="宋体" w:cs="宋体"/>
                <w:sz w:val="24"/>
                <w:szCs w:val="24"/>
              </w:rPr>
            </w:pPr>
          </w:p>
        </w:tc>
      </w:tr>
      <w:tr w14:paraId="6ECC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497E32E8">
            <w:pPr>
              <w:spacing w:line="360" w:lineRule="auto"/>
              <w:jc w:val="center"/>
              <w:outlineLvl w:val="9"/>
              <w:rPr>
                <w:rFonts w:hint="eastAsia" w:ascii="宋体" w:hAnsi="宋体" w:cs="宋体"/>
                <w:b/>
                <w:bCs/>
                <w:sz w:val="24"/>
              </w:rPr>
            </w:pPr>
            <w:r>
              <w:rPr>
                <w:rFonts w:hint="eastAsia" w:ascii="宋体" w:hAnsi="宋体" w:cs="宋体"/>
                <w:b/>
                <w:bCs/>
                <w:sz w:val="24"/>
              </w:rPr>
              <w:t>投标声明</w:t>
            </w:r>
          </w:p>
        </w:tc>
        <w:tc>
          <w:tcPr>
            <w:tcW w:w="7560" w:type="dxa"/>
            <w:noWrap w:val="0"/>
            <w:vAlign w:val="center"/>
          </w:tcPr>
          <w:p w14:paraId="29D67FA1">
            <w:pPr>
              <w:spacing w:line="360" w:lineRule="auto"/>
              <w:outlineLvl w:val="9"/>
              <w:rPr>
                <w:rFonts w:hint="eastAsia" w:ascii="宋体" w:hAnsi="宋体" w:cs="宋体"/>
                <w:sz w:val="24"/>
                <w:szCs w:val="24"/>
              </w:rPr>
            </w:pPr>
          </w:p>
        </w:tc>
      </w:tr>
    </w:tbl>
    <w:p w14:paraId="11AD07AD">
      <w:pPr>
        <w:outlineLvl w:val="9"/>
        <w:rPr>
          <w:rFonts w:hint="eastAsia" w:ascii="宋体" w:hAnsi="宋体" w:cs="宋体"/>
        </w:rPr>
      </w:pPr>
    </w:p>
    <w:p w14:paraId="550C70DC">
      <w:pPr>
        <w:spacing w:line="360" w:lineRule="auto"/>
        <w:outlineLvl w:val="9"/>
        <w:rPr>
          <w:rFonts w:hint="eastAsia" w:ascii="宋体" w:hAnsi="宋体" w:cs="宋体"/>
          <w:sz w:val="24"/>
        </w:rPr>
      </w:pPr>
    </w:p>
    <w:p w14:paraId="1A83AAC4">
      <w:pPr>
        <w:widowControl/>
        <w:jc w:val="right"/>
        <w:outlineLvl w:val="9"/>
      </w:pPr>
      <w:r>
        <w:rPr>
          <w:rFonts w:hint="eastAsia" w:ascii="宋体" w:hAnsi="宋体" w:cs="宋体"/>
          <w:sz w:val="24"/>
          <w:szCs w:val="24"/>
        </w:rPr>
        <w:t xml:space="preserve">  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（盖章或签字） </w:t>
      </w:r>
    </w:p>
    <w:p w14:paraId="4E79D2CB">
      <w:pPr>
        <w:ind w:right="-161"/>
        <w:outlineLvl w:val="9"/>
        <w:rPr>
          <w:rFonts w:hint="eastAsia" w:ascii="宋体" w:hAnsi="宋体" w:cs="宋体"/>
          <w:sz w:val="24"/>
          <w:szCs w:val="24"/>
          <w:u w:val="single"/>
        </w:rPr>
      </w:pPr>
    </w:p>
    <w:p w14:paraId="42ECB9E7">
      <w:pPr>
        <w:widowControl/>
        <w:spacing w:line="360" w:lineRule="auto"/>
        <w:jc w:val="center"/>
        <w:outlineLvl w:val="9"/>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14:paraId="4E382508">
      <w:pPr>
        <w:ind w:right="-161" w:firstLine="2160" w:firstLineChars="900"/>
        <w:outlineLvl w:val="9"/>
        <w:rPr>
          <w:rFonts w:hint="eastAsia"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p>
    <w:p w14:paraId="734E1DAC">
      <w:pPr>
        <w:ind w:right="-161" w:firstLine="2640" w:firstLineChars="1100"/>
        <w:outlineLvl w:val="9"/>
        <w:rPr>
          <w:rFonts w:hint="eastAsia" w:ascii="宋体" w:hAnsi="宋体" w:cs="宋体"/>
          <w:sz w:val="24"/>
          <w:szCs w:val="24"/>
          <w:u w:val="single"/>
        </w:rPr>
      </w:pPr>
    </w:p>
    <w:p w14:paraId="6D510DCD">
      <w:pPr>
        <w:spacing w:line="120" w:lineRule="exact"/>
        <w:outlineLvl w:val="9"/>
        <w:rPr>
          <w:rFonts w:ascii="宋体" w:hAnsi="宋体" w:cs="宋体"/>
          <w:sz w:val="24"/>
          <w:szCs w:val="24"/>
        </w:rPr>
      </w:pPr>
    </w:p>
    <w:p w14:paraId="50852738">
      <w:pPr>
        <w:pStyle w:val="11"/>
        <w:outlineLvl w:val="9"/>
      </w:pPr>
    </w:p>
    <w:p w14:paraId="7E3B4178">
      <w:pPr>
        <w:spacing w:line="480" w:lineRule="auto"/>
        <w:ind w:right="-161"/>
        <w:jc w:val="center"/>
        <w:outlineLvl w:val="9"/>
        <w:rPr>
          <w:rFonts w:hint="eastAsia"/>
          <w:b/>
          <w:bCs/>
          <w:sz w:val="36"/>
          <w:szCs w:val="16"/>
        </w:rPr>
        <w:sectPr>
          <w:headerReference r:id="rId9" w:type="default"/>
          <w:footerReference r:id="rId10" w:type="default"/>
          <w:pgSz w:w="11906" w:h="16838"/>
          <w:pgMar w:top="1383" w:right="1383" w:bottom="1383" w:left="1383" w:header="851" w:footer="992" w:gutter="0"/>
          <w:pgNumType w:fmt="decimal"/>
          <w:cols w:space="720" w:num="1"/>
          <w:docGrid w:linePitch="312" w:charSpace="0"/>
        </w:sectPr>
      </w:pPr>
      <w:bookmarkStart w:id="370" w:name="_Toc14005"/>
      <w:bookmarkStart w:id="371" w:name="_Toc1408"/>
      <w:bookmarkStart w:id="372" w:name="_Toc5971"/>
      <w:bookmarkStart w:id="373" w:name="_Toc26878"/>
      <w:bookmarkStart w:id="374" w:name="_Toc1083"/>
      <w:bookmarkStart w:id="375" w:name="_Toc30603"/>
      <w:bookmarkStart w:id="376" w:name="_Toc776"/>
      <w:bookmarkStart w:id="377" w:name="_Toc29346"/>
      <w:bookmarkStart w:id="378" w:name="_Toc16078"/>
      <w:bookmarkStart w:id="379" w:name="_Toc27665"/>
      <w:bookmarkStart w:id="380" w:name="_Toc859"/>
      <w:bookmarkStart w:id="381" w:name="_Toc8483"/>
      <w:bookmarkStart w:id="382" w:name="_Toc3758"/>
      <w:bookmarkStart w:id="383" w:name="_Toc9067"/>
      <w:bookmarkStart w:id="384" w:name="_Toc21755"/>
    </w:p>
    <w:p w14:paraId="090CEA94">
      <w:pPr>
        <w:snapToGrid w:val="0"/>
        <w:spacing w:line="360" w:lineRule="auto"/>
        <w:jc w:val="center"/>
        <w:outlineLvl w:val="1"/>
        <w:rPr>
          <w:rFonts w:ascii="宋体" w:hAnsi="宋体" w:cs="宋体"/>
          <w:b/>
          <w:sz w:val="32"/>
          <w:szCs w:val="32"/>
        </w:rPr>
      </w:pPr>
      <w:bookmarkStart w:id="385" w:name="_Toc29692"/>
      <w:bookmarkStart w:id="386" w:name="_Toc15407"/>
      <w:bookmarkStart w:id="387" w:name="_Toc20086"/>
      <w:bookmarkStart w:id="388" w:name="_Toc32049"/>
      <w:r>
        <w:rPr>
          <w:rFonts w:hint="eastAsia" w:ascii="宋体" w:hAnsi="宋体" w:cs="宋体"/>
          <w:b/>
          <w:sz w:val="32"/>
          <w:szCs w:val="32"/>
          <w:lang w:val="en-US" w:eastAsia="zh-CN"/>
        </w:rPr>
        <w:t>三、</w:t>
      </w:r>
      <w:r>
        <w:rPr>
          <w:rFonts w:hint="eastAsia" w:ascii="宋体" w:hAnsi="宋体" w:cs="宋体"/>
          <w:b/>
          <w:sz w:val="32"/>
          <w:szCs w:val="32"/>
        </w:rPr>
        <w:t>磋商分项报价表</w:t>
      </w:r>
      <w:bookmarkEnd w:id="385"/>
      <w:bookmarkEnd w:id="386"/>
      <w:bookmarkEnd w:id="387"/>
      <w:bookmarkEnd w:id="388"/>
    </w:p>
    <w:p w14:paraId="42567467">
      <w:pPr>
        <w:jc w:val="center"/>
        <w:outlineLvl w:val="9"/>
      </w:pPr>
    </w:p>
    <w:p w14:paraId="74B33049">
      <w:pPr>
        <w:spacing w:line="480" w:lineRule="auto"/>
        <w:ind w:right="-161"/>
        <w:jc w:val="center"/>
        <w:outlineLvl w:val="9"/>
        <w:rPr>
          <w:rFonts w:hint="eastAsia" w:eastAsia="宋体"/>
          <w:b w:val="0"/>
          <w:bCs w:val="0"/>
          <w:sz w:val="24"/>
          <w:szCs w:val="24"/>
          <w:lang w:eastAsia="zh-CN"/>
        </w:rPr>
      </w:pPr>
      <w:r>
        <w:rPr>
          <w:rFonts w:hint="eastAsia"/>
          <w:b w:val="0"/>
          <w:bCs w:val="0"/>
          <w:sz w:val="24"/>
          <w:szCs w:val="24"/>
          <w:lang w:eastAsia="zh-CN"/>
        </w:rPr>
        <w:t>（</w:t>
      </w:r>
      <w:r>
        <w:rPr>
          <w:rFonts w:hint="eastAsia"/>
          <w:b w:val="0"/>
          <w:bCs w:val="0"/>
          <w:sz w:val="24"/>
          <w:szCs w:val="24"/>
          <w:lang w:val="en-US" w:eastAsia="zh-CN"/>
        </w:rPr>
        <w:t>以广联达软件生成为准</w:t>
      </w:r>
      <w:r>
        <w:rPr>
          <w:rFonts w:hint="eastAsia"/>
          <w:b w:val="0"/>
          <w:bCs w:val="0"/>
          <w:sz w:val="24"/>
          <w:szCs w:val="24"/>
          <w:lang w:eastAsia="zh-CN"/>
        </w:rPr>
        <w:t>）</w:t>
      </w:r>
    </w:p>
    <w:p w14:paraId="2EE11340">
      <w:pPr>
        <w:outlineLvl w:val="9"/>
        <w:rPr>
          <w:rFonts w:hint="eastAsia"/>
        </w:rPr>
      </w:pPr>
    </w:p>
    <w:p w14:paraId="34AABD0E">
      <w:pPr>
        <w:spacing w:line="480" w:lineRule="auto"/>
        <w:ind w:right="-161"/>
        <w:jc w:val="center"/>
        <w:outlineLvl w:val="9"/>
        <w:rPr>
          <w:rFonts w:hint="eastAsia"/>
          <w:b/>
          <w:bCs/>
          <w:sz w:val="36"/>
          <w:szCs w:val="16"/>
          <w:lang w:val="en-US" w:eastAsia="zh-CN"/>
        </w:rPr>
        <w:sectPr>
          <w:pgSz w:w="11906" w:h="16838"/>
          <w:pgMar w:top="1383" w:right="1383" w:bottom="1383" w:left="1383" w:header="851" w:footer="992" w:gutter="0"/>
          <w:pgNumType w:fmt="decimal"/>
          <w:cols w:space="720" w:num="1"/>
          <w:docGrid w:linePitch="312" w:charSpace="0"/>
        </w:sectPr>
      </w:pPr>
    </w:p>
    <w:p w14:paraId="4FB5311A">
      <w:pPr>
        <w:spacing w:line="480" w:lineRule="auto"/>
        <w:ind w:right="-161"/>
        <w:jc w:val="center"/>
        <w:outlineLvl w:val="1"/>
        <w:rPr>
          <w:rFonts w:hint="eastAsia" w:ascii="宋体" w:hAnsi="宋体" w:cs="宋体"/>
          <w:b/>
          <w:bCs/>
          <w:sz w:val="24"/>
          <w:szCs w:val="24"/>
          <w:u w:val="single"/>
        </w:rPr>
      </w:pPr>
      <w:bookmarkStart w:id="389" w:name="_Toc5857"/>
      <w:bookmarkStart w:id="390" w:name="_Toc20801"/>
      <w:bookmarkStart w:id="391" w:name="_Toc2279"/>
      <w:bookmarkStart w:id="392" w:name="_Toc31177"/>
      <w:r>
        <w:rPr>
          <w:rFonts w:hint="eastAsia"/>
          <w:b/>
          <w:bCs/>
          <w:sz w:val="36"/>
          <w:szCs w:val="16"/>
          <w:lang w:val="en-US" w:eastAsia="zh-CN"/>
        </w:rPr>
        <w:t>四</w:t>
      </w:r>
      <w:r>
        <w:rPr>
          <w:rFonts w:hint="eastAsia"/>
          <w:b/>
          <w:bCs/>
          <w:sz w:val="36"/>
          <w:szCs w:val="16"/>
        </w:rPr>
        <w:t>、资格证明文件</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9"/>
      <w:bookmarkEnd w:id="390"/>
      <w:bookmarkEnd w:id="391"/>
      <w:bookmarkEnd w:id="392"/>
    </w:p>
    <w:p w14:paraId="6C915556">
      <w:pPr>
        <w:spacing w:before="120" w:beforeLines="50" w:line="400" w:lineRule="exact"/>
        <w:ind w:left="-141" w:leftChars="-67" w:firstLine="480" w:firstLineChars="200"/>
        <w:outlineLvl w:val="9"/>
        <w:rPr>
          <w:rFonts w:hint="eastAsia" w:ascii="宋体" w:hAnsi="宋体" w:eastAsia="宋体" w:cs="宋体"/>
          <w:color w:val="auto"/>
          <w:sz w:val="24"/>
          <w:szCs w:val="24"/>
        </w:rPr>
        <w:sectPr>
          <w:pgSz w:w="11906" w:h="16838"/>
          <w:pgMar w:top="1440" w:right="1287" w:bottom="1440" w:left="1440" w:header="850" w:footer="992" w:gutter="0"/>
          <w:pgNumType w:fmt="decimal"/>
          <w:cols w:space="720" w:num="1"/>
          <w:titlePg/>
          <w:docGrid w:linePitch="360" w:charSpace="0"/>
        </w:sectPr>
      </w:pPr>
      <w:r>
        <w:rPr>
          <w:rFonts w:hint="eastAsia" w:ascii="宋体" w:hAnsi="宋体" w:eastAsia="宋体" w:cs="宋体"/>
          <w:color w:val="auto"/>
          <w:sz w:val="24"/>
          <w:szCs w:val="24"/>
        </w:rPr>
        <w:t>投标人按“第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 xml:space="preserve">章 </w:t>
      </w:r>
      <w:r>
        <w:rPr>
          <w:rFonts w:hint="eastAsia" w:ascii="宋体" w:hAnsi="宋体" w:eastAsia="宋体" w:cs="宋体"/>
          <w:color w:val="auto"/>
          <w:sz w:val="24"/>
          <w:szCs w:val="24"/>
          <w:lang w:val="en-US" w:eastAsia="zh-CN"/>
        </w:rPr>
        <w:t>招标公告 二、申请人的资格要求 3.本项目的特定资格要求</w:t>
      </w:r>
      <w:r>
        <w:rPr>
          <w:rFonts w:hint="eastAsia" w:ascii="宋体" w:hAnsi="宋体" w:eastAsia="宋体" w:cs="宋体"/>
          <w:color w:val="auto"/>
          <w:sz w:val="24"/>
          <w:szCs w:val="24"/>
        </w:rPr>
        <w:t>”逐一提供全部资料，缺少其中任何一项，其投标文件将被视为无效文件。其中，《</w:t>
      </w:r>
      <w:r>
        <w:rPr>
          <w:rFonts w:hint="eastAsia" w:ascii="宋体" w:hAnsi="宋体" w:eastAsia="宋体" w:cs="宋体"/>
          <w:color w:val="auto"/>
          <w:sz w:val="24"/>
          <w:szCs w:val="24"/>
          <w:lang w:eastAsia="zh-CN"/>
        </w:rPr>
        <w:t>榆林市政府采购工程类项目供应商信用承诺书</w:t>
      </w:r>
      <w:r>
        <w:rPr>
          <w:rFonts w:hint="eastAsia" w:ascii="宋体" w:hAnsi="宋体" w:eastAsia="宋体" w:cs="宋体"/>
          <w:color w:val="auto"/>
          <w:sz w:val="24"/>
          <w:szCs w:val="24"/>
        </w:rPr>
        <w:t>》、《投标人信用承诺》、《投标信用承诺》、《投标人委托代理人员信用承诺书》（如有）应按下文给定格式填写，否则</w:t>
      </w:r>
      <w:r>
        <w:rPr>
          <w:rFonts w:hint="eastAsia" w:ascii="宋体" w:hAnsi="宋体" w:eastAsia="宋体" w:cs="宋体"/>
          <w:b/>
          <w:bCs/>
          <w:color w:val="auto"/>
          <w:sz w:val="24"/>
          <w:szCs w:val="24"/>
        </w:rPr>
        <w:t>按无效处理</w:t>
      </w:r>
      <w:r>
        <w:rPr>
          <w:rFonts w:hint="eastAsia" w:ascii="宋体" w:hAnsi="宋体" w:eastAsia="宋体" w:cs="宋体"/>
          <w:color w:val="auto"/>
          <w:sz w:val="24"/>
          <w:szCs w:val="24"/>
        </w:rPr>
        <w:t>。</w:t>
      </w:r>
    </w:p>
    <w:p w14:paraId="604290E8">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sz w:val="24"/>
          <w:szCs w:val="24"/>
          <w:lang w:eastAsia="zh-CN"/>
        </w:rPr>
      </w:pPr>
      <w:r>
        <w:rPr>
          <w:rFonts w:hint="eastAsia" w:ascii="宋体" w:hAnsi="宋体" w:eastAsia="宋体" w:cs="宋体"/>
          <w:b/>
          <w:sz w:val="24"/>
          <w:szCs w:val="24"/>
          <w:lang w:eastAsia="zh-CN"/>
        </w:rPr>
        <w:t>榆林市政府采购工程类项目供应商信用承诺书</w:t>
      </w:r>
    </w:p>
    <w:p w14:paraId="17FA4BD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p>
    <w:p w14:paraId="2916025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市场主体名称：</w:t>
      </w:r>
    </w:p>
    <w:p w14:paraId="0CB59F7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证件类型：统一社会信用代码</w:t>
      </w:r>
    </w:p>
    <w:p w14:paraId="1B13BD7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证件号码：</w:t>
      </w:r>
    </w:p>
    <w:p w14:paraId="60DB380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法人代表：</w:t>
      </w:r>
    </w:p>
    <w:p w14:paraId="3C162B9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承诺有效期限：    年    月    日—    年    月    日</w:t>
      </w:r>
    </w:p>
    <w:p w14:paraId="667D1CF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承诺内容：</w:t>
      </w:r>
    </w:p>
    <w:p w14:paraId="13798EA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14:paraId="0A2D1D6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14:paraId="0C6DD34D">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3BBFBEA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14:paraId="7B1F1AF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14:paraId="7CE61A9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14:paraId="7C581B3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14:paraId="7DF4E2A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七、根据政府采购相关法律法规的规定需要作出的其他诺：</w:t>
      </w:r>
      <w:r>
        <w:rPr>
          <w:rFonts w:hint="eastAsia" w:ascii="宋体" w:hAnsi="宋体" w:eastAsia="宋体" w:cs="宋体"/>
          <w:sz w:val="24"/>
          <w:szCs w:val="24"/>
          <w:u w:val="single"/>
        </w:rPr>
        <w:t>         </w:t>
      </w:r>
      <w:r>
        <w:rPr>
          <w:rFonts w:hint="eastAsia" w:ascii="宋体" w:hAnsi="宋体" w:eastAsia="宋体" w:cs="宋体"/>
          <w:sz w:val="24"/>
          <w:szCs w:val="24"/>
        </w:rPr>
        <w:t>。</w:t>
      </w:r>
    </w:p>
    <w:p w14:paraId="0046E16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53DEA1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p>
    <w:p w14:paraId="398C48F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承诺单位（盖章）：</w:t>
      </w:r>
    </w:p>
    <w:p w14:paraId="26FDEE1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法定代表人（负责人）：</w:t>
      </w:r>
    </w:p>
    <w:p w14:paraId="26F3A47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法定代表人（负责人）身份证号：</w:t>
      </w:r>
    </w:p>
    <w:p w14:paraId="7A993D5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承诺日期：</w:t>
      </w:r>
    </w:p>
    <w:p w14:paraId="28C94329">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sz w:val="24"/>
          <w:szCs w:val="24"/>
        </w:rPr>
      </w:pPr>
    </w:p>
    <w:p w14:paraId="6EB3123D">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sz w:val="24"/>
          <w:szCs w:val="24"/>
        </w:rPr>
      </w:pPr>
    </w:p>
    <w:p w14:paraId="3D043E26">
      <w:pPr>
        <w:pStyle w:val="5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sz w:val="24"/>
          <w:szCs w:val="24"/>
        </w:rPr>
      </w:pPr>
      <w:r>
        <w:rPr>
          <w:rFonts w:hint="eastAsia" w:ascii="宋体" w:hAnsi="宋体" w:eastAsia="宋体" w:cs="宋体"/>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宋体" w:hAnsi="宋体" w:eastAsia="宋体" w:cs="宋体"/>
          <w:kern w:val="2"/>
          <w:sz w:val="21"/>
          <w:szCs w:val="21"/>
          <w:lang w:val="en-US" w:eastAsia="zh-CN" w:bidi="ar-SA"/>
        </w:rPr>
        <w:br w:type="page"/>
      </w:r>
      <w:r>
        <w:rPr>
          <w:rFonts w:hint="eastAsia" w:ascii="宋体" w:hAnsi="宋体" w:eastAsia="宋体" w:cs="宋体"/>
          <w:b/>
          <w:bCs/>
          <w:sz w:val="24"/>
          <w:szCs w:val="24"/>
        </w:rPr>
        <w:t>投标人信用承诺</w:t>
      </w:r>
    </w:p>
    <w:p w14:paraId="665B0CC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14:paraId="7DCC946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统一社会信用代码：</w:t>
      </w:r>
      <w:r>
        <w:rPr>
          <w:rFonts w:hint="eastAsia" w:ascii="宋体" w:hAnsi="宋体" w:eastAsia="宋体" w:cs="宋体"/>
          <w:sz w:val="24"/>
          <w:szCs w:val="24"/>
          <w:u w:val="single"/>
        </w:rPr>
        <w:t xml:space="preserve">                             </w:t>
      </w:r>
      <w:r>
        <w:rPr>
          <w:rFonts w:hint="eastAsia" w:ascii="宋体" w:hAnsi="宋体" w:eastAsia="宋体" w:cs="宋体"/>
          <w:sz w:val="24"/>
          <w:szCs w:val="24"/>
        </w:rPr>
        <w:t>法人代表：</w:t>
      </w:r>
      <w:r>
        <w:rPr>
          <w:rFonts w:hint="eastAsia" w:ascii="宋体" w:hAnsi="宋体" w:eastAsia="宋体" w:cs="宋体"/>
          <w:sz w:val="24"/>
          <w:szCs w:val="24"/>
          <w:u w:val="single"/>
        </w:rPr>
        <w:t xml:space="preserve">                  </w:t>
      </w:r>
    </w:p>
    <w:p w14:paraId="03772C3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6AB995AC">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rPr>
        <w:t>项目招投标活动中，我公司（单位）郑重作出以下信用承诺：</w:t>
      </w:r>
    </w:p>
    <w:p w14:paraId="71EB9FD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F3C10D6">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谈判文件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谈判文件</w:t>
      </w:r>
      <w:r>
        <w:rPr>
          <w:rFonts w:hint="eastAsia" w:ascii="宋体" w:hAnsi="宋体" w:eastAsia="宋体" w:cs="宋体"/>
          <w:sz w:val="24"/>
          <w:szCs w:val="24"/>
        </w:rPr>
        <w:t>的规定提交履约保证金。5.招投标法规定的其它违法违规行为。</w:t>
      </w:r>
    </w:p>
    <w:p w14:paraId="77B1403F">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（三）自愿接受招投标监督部门和有关行政监督部门的依法检查。</w:t>
      </w:r>
    </w:p>
    <w:p w14:paraId="5B77ED8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（四）同意将此信用承诺纳入陕西省公共信用信息平台和榆林市公共信用信息共享平台，并上网公示，接受社会监督。</w:t>
      </w:r>
    </w:p>
    <w:p w14:paraId="0F5F028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8EBE91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法定代表人（签章）：                           投标人（盖章）：</w:t>
      </w:r>
    </w:p>
    <w:p w14:paraId="73C0C9E6">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p>
    <w:p w14:paraId="7F3FB334">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A3E125A">
      <w:pPr>
        <w:keepNext w:val="0"/>
        <w:keepLines w:val="0"/>
        <w:pageBreakBefore w:val="0"/>
        <w:kinsoku/>
        <w:wordWrap/>
        <w:overflowPunct/>
        <w:topLinePunct w:val="0"/>
        <w:autoSpaceDE/>
        <w:autoSpaceDN/>
        <w:bidi w:val="0"/>
        <w:spacing w:line="360" w:lineRule="auto"/>
        <w:jc w:val="center"/>
        <w:textAlignment w:val="auto"/>
        <w:outlineLvl w:val="9"/>
        <w:rPr>
          <w:rFonts w:hint="eastAsia" w:ascii="宋体" w:hAnsi="宋体" w:eastAsia="宋体" w:cs="宋体"/>
          <w:b/>
          <w:bCs/>
          <w:sz w:val="24"/>
          <w:szCs w:val="24"/>
        </w:rPr>
      </w:pPr>
      <w:r>
        <w:rPr>
          <w:rFonts w:hint="eastAsia" w:ascii="宋体" w:hAnsi="宋体" w:eastAsia="宋体" w:cs="宋体"/>
          <w:b/>
          <w:bCs/>
          <w:sz w:val="21"/>
          <w:szCs w:val="21"/>
        </w:rPr>
        <w:t>注：</w:t>
      </w:r>
      <w:r>
        <w:rPr>
          <w:rFonts w:hint="eastAsia" w:ascii="宋体" w:hAnsi="宋体" w:eastAsia="宋体" w:cs="宋体"/>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宋体" w:hAnsi="宋体" w:eastAsia="宋体" w:cs="宋体"/>
          <w:sz w:val="21"/>
          <w:szCs w:val="21"/>
        </w:rPr>
        <w:br w:type="page"/>
      </w:r>
      <w:r>
        <w:rPr>
          <w:rFonts w:hint="eastAsia" w:ascii="宋体" w:hAnsi="宋体" w:eastAsia="宋体" w:cs="宋体"/>
          <w:b/>
          <w:bCs/>
          <w:sz w:val="24"/>
          <w:szCs w:val="24"/>
        </w:rPr>
        <w:t>投标信用承诺书</w:t>
      </w:r>
    </w:p>
    <w:p w14:paraId="0903ECC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rPr>
      </w:pPr>
    </w:p>
    <w:p w14:paraId="6DD10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项目标段：</w:t>
      </w:r>
      <w:r>
        <w:rPr>
          <w:rFonts w:hint="eastAsia" w:ascii="宋体" w:hAnsi="宋体" w:eastAsia="宋体" w:cs="宋体"/>
          <w:sz w:val="24"/>
          <w:szCs w:val="24"/>
          <w:u w:val="single"/>
        </w:rPr>
        <w:t xml:space="preserve">                                                                  </w:t>
      </w:r>
    </w:p>
    <w:p w14:paraId="5B49E59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14:paraId="2C5E666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统一社会信用代码：</w:t>
      </w:r>
      <w:r>
        <w:rPr>
          <w:rFonts w:hint="eastAsia" w:ascii="宋体" w:hAnsi="宋体" w:eastAsia="宋体" w:cs="宋体"/>
          <w:sz w:val="24"/>
          <w:szCs w:val="24"/>
          <w:u w:val="single"/>
        </w:rPr>
        <w:t xml:space="preserve">                               </w:t>
      </w:r>
      <w:r>
        <w:rPr>
          <w:rFonts w:hint="eastAsia" w:ascii="宋体" w:hAnsi="宋体" w:eastAsia="宋体" w:cs="宋体"/>
          <w:sz w:val="24"/>
          <w:szCs w:val="24"/>
        </w:rPr>
        <w:t>法人代表：</w:t>
      </w:r>
      <w:r>
        <w:rPr>
          <w:rFonts w:hint="eastAsia" w:ascii="宋体" w:hAnsi="宋体" w:eastAsia="宋体" w:cs="宋体"/>
          <w:sz w:val="24"/>
          <w:szCs w:val="24"/>
          <w:u w:val="single"/>
        </w:rPr>
        <w:t xml:space="preserve">                 </w:t>
      </w:r>
    </w:p>
    <w:p w14:paraId="7A2F441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在本项目标段招投标活动中，我公司（单位）自愿作出以下投标信用承诺：</w:t>
      </w:r>
    </w:p>
    <w:p w14:paraId="659E66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w:t>
      </w:r>
    </w:p>
    <w:p w14:paraId="6C616E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谈判文件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谈判文件</w:t>
      </w:r>
      <w:r>
        <w:rPr>
          <w:rFonts w:hint="eastAsia" w:ascii="宋体" w:hAnsi="宋体" w:eastAsia="宋体" w:cs="宋体"/>
          <w:sz w:val="24"/>
          <w:szCs w:val="24"/>
        </w:rPr>
        <w:t>的规定提交履约保证金。5.招投标法规定的其它违法违规行为。</w:t>
      </w:r>
    </w:p>
    <w:p w14:paraId="375D13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C50CD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sz w:val="24"/>
          <w:szCs w:val="24"/>
        </w:rPr>
      </w:pPr>
    </w:p>
    <w:p w14:paraId="1CCC5B03">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法定代表人（签章）：                           投标人（盖章）：</w:t>
      </w:r>
    </w:p>
    <w:p w14:paraId="34B5C616">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sz w:val="24"/>
          <w:szCs w:val="24"/>
        </w:rPr>
      </w:pPr>
    </w:p>
    <w:p w14:paraId="31028B5F">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AD4BC3B">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sz w:val="24"/>
          <w:szCs w:val="24"/>
        </w:rPr>
      </w:pPr>
    </w:p>
    <w:p w14:paraId="08A590F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rPr>
      </w:pPr>
    </w:p>
    <w:p w14:paraId="27FED78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rPr>
      </w:pPr>
    </w:p>
    <w:p w14:paraId="29CC77B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sz w:val="24"/>
          <w:szCs w:val="24"/>
        </w:rPr>
      </w:pPr>
    </w:p>
    <w:p w14:paraId="7A4ADFA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rPr>
      </w:pPr>
      <w:r>
        <w:rPr>
          <w:rFonts w:hint="eastAsia" w:ascii="宋体" w:hAnsi="宋体" w:eastAsia="宋体" w:cs="宋体"/>
          <w:b/>
          <w:sz w:val="21"/>
          <w:szCs w:val="21"/>
        </w:rPr>
        <w:t>说明：本承诺书效力和作用等同投标保证金，其有效期与投标有效期一致。</w:t>
      </w:r>
      <w:r>
        <w:rPr>
          <w:rFonts w:hint="eastAsia" w:ascii="宋体" w:hAnsi="宋体" w:eastAsia="宋体" w:cs="宋体"/>
          <w:sz w:val="21"/>
          <w:szCs w:val="21"/>
        </w:rPr>
        <w:t xml:space="preserve"> </w:t>
      </w:r>
    </w:p>
    <w:p w14:paraId="6476C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rPr>
      </w:pPr>
    </w:p>
    <w:p w14:paraId="1D8410D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sz w:val="21"/>
          <w:szCs w:val="21"/>
        </w:rPr>
        <w:sectPr>
          <w:pgSz w:w="11906" w:h="16838"/>
          <w:pgMar w:top="1440" w:right="1287" w:bottom="1440" w:left="1440" w:header="850" w:footer="992" w:gutter="0"/>
          <w:pgNumType w:fmt="decimal"/>
          <w:cols w:space="720" w:num="1"/>
          <w:titlePg/>
          <w:docGrid w:linePitch="360" w:charSpace="0"/>
        </w:sectPr>
      </w:pPr>
      <w:r>
        <w:rPr>
          <w:rFonts w:hint="eastAsia" w:ascii="宋体" w:hAnsi="宋体" w:eastAsia="宋体" w:cs="宋体"/>
          <w:b/>
          <w:bCs/>
          <w:sz w:val="21"/>
          <w:szCs w:val="21"/>
        </w:rPr>
        <w:t>注：</w:t>
      </w:r>
      <w:r>
        <w:rPr>
          <w:rFonts w:hint="eastAsia" w:ascii="宋体" w:hAnsi="宋体" w:eastAsia="宋体" w:cs="宋体"/>
          <w:sz w:val="21"/>
          <w:szCs w:val="21"/>
        </w:rPr>
        <w:t>此承诺书除附在投标文件中外还须上传至“信用中国（陕西榆林）”网站投标人自主上报信用承诺书附件。（须后附截图）</w:t>
      </w:r>
    </w:p>
    <w:p w14:paraId="70353986">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投标人委托代理人员信用承诺书</w:t>
      </w:r>
    </w:p>
    <w:p w14:paraId="6CAC233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p>
    <w:p w14:paraId="460CEF80">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rPr>
        <w:t>项目招投标活动中，我个人郑重作出以下信用承诺：</w:t>
      </w:r>
    </w:p>
    <w:p w14:paraId="41FA0FB7">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5A9577A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谈判文件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谈判文件</w:t>
      </w:r>
      <w:r>
        <w:rPr>
          <w:rFonts w:hint="eastAsia" w:ascii="宋体" w:hAnsi="宋体" w:eastAsia="宋体" w:cs="宋体"/>
          <w:sz w:val="24"/>
          <w:szCs w:val="24"/>
        </w:rPr>
        <w:t>的规定提交履约保证金。5.招投标法规定的其它违法违规行为。</w:t>
      </w:r>
    </w:p>
    <w:p w14:paraId="0BFB34F3">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（三）自愿接受招投标监督部门和有关行政监督部门的依法检查。</w:t>
      </w:r>
    </w:p>
    <w:p w14:paraId="10456435">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（四）同意将此信用承诺纳入陕西省公共信用信息平台和榆林市公共信用信息共享平台，并接受社会监督。</w:t>
      </w:r>
    </w:p>
    <w:p w14:paraId="348F97FA">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048E44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p>
    <w:p w14:paraId="503E7AC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u w:val="single"/>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6AA6B383">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14:paraId="12BE7CB5">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u w:val="single"/>
        </w:rPr>
      </w:pPr>
      <w:r>
        <w:rPr>
          <w:rFonts w:hint="eastAsia" w:ascii="宋体" w:hAnsi="宋体" w:eastAsia="宋体" w:cs="宋体"/>
          <w:sz w:val="24"/>
          <w:szCs w:val="24"/>
        </w:rPr>
        <w:t>承诺人（签字）：</w:t>
      </w:r>
      <w:r>
        <w:rPr>
          <w:rFonts w:hint="eastAsia" w:ascii="宋体" w:hAnsi="宋体" w:eastAsia="宋体" w:cs="宋体"/>
          <w:sz w:val="24"/>
          <w:szCs w:val="24"/>
          <w:u w:val="single"/>
        </w:rPr>
        <w:t xml:space="preserve">                 </w:t>
      </w:r>
    </w:p>
    <w:p w14:paraId="1FA92F5D">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67E8ABFA">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宋体" w:hAnsi="宋体" w:eastAsia="宋体" w:cs="宋体"/>
          <w:sz w:val="24"/>
          <w:szCs w:val="24"/>
        </w:rPr>
      </w:pPr>
    </w:p>
    <w:p w14:paraId="6CB8AA90">
      <w:pPr>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b/>
          <w:bCs/>
          <w:sz w:val="24"/>
          <w:szCs w:val="24"/>
        </w:rPr>
      </w:pPr>
    </w:p>
    <w:p w14:paraId="1F17A68C">
      <w:pPr>
        <w:pStyle w:val="11"/>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lang w:eastAsia="zh-CN"/>
        </w:rPr>
      </w:pPr>
      <w:r>
        <w:rPr>
          <w:rFonts w:hint="eastAsia" w:ascii="宋体" w:hAnsi="宋体" w:eastAsia="宋体" w:cs="宋体"/>
          <w:b/>
          <w:bCs/>
          <w:sz w:val="21"/>
          <w:szCs w:val="21"/>
        </w:rPr>
        <w:t>注：</w:t>
      </w:r>
      <w:r>
        <w:rPr>
          <w:rFonts w:hint="eastAsia" w:ascii="宋体" w:hAnsi="宋体" w:eastAsia="宋体" w:cs="宋体"/>
          <w:sz w:val="21"/>
          <w:szCs w:val="21"/>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326C4483">
      <w:pPr>
        <w:outlineLvl w:val="9"/>
        <w:rPr>
          <w:rFonts w:hint="eastAsia" w:ascii="宋体" w:hAnsi="宋体" w:eastAsia="宋体" w:cs="宋体"/>
          <w:lang w:eastAsia="zh-CN"/>
        </w:rPr>
        <w:sectPr>
          <w:pgSz w:w="11906" w:h="16838"/>
          <w:pgMar w:top="1440" w:right="1287" w:bottom="1440" w:left="1440" w:header="850" w:footer="992" w:gutter="0"/>
          <w:pgNumType w:fmt="decimal"/>
          <w:cols w:space="720" w:num="1"/>
          <w:titlePg/>
          <w:docGrid w:linePitch="360" w:charSpace="0"/>
        </w:sectPr>
      </w:pPr>
    </w:p>
    <w:p w14:paraId="019E023C">
      <w:pPr>
        <w:spacing w:line="360" w:lineRule="atLeast"/>
        <w:ind w:firstLine="723" w:firstLineChars="200"/>
        <w:jc w:val="center"/>
        <w:outlineLvl w:val="1"/>
        <w:rPr>
          <w:rFonts w:hint="eastAsia" w:ascii="宋体" w:hAnsi="宋体" w:cs="宋体"/>
          <w:b/>
          <w:bCs/>
          <w:sz w:val="36"/>
          <w:szCs w:val="36"/>
        </w:rPr>
      </w:pPr>
      <w:bookmarkStart w:id="393" w:name="_Toc30459"/>
      <w:bookmarkStart w:id="394" w:name="_Toc23098"/>
      <w:bookmarkStart w:id="395" w:name="_Toc9290"/>
      <w:bookmarkStart w:id="396" w:name="_Toc31576"/>
      <w:bookmarkStart w:id="397" w:name="_Toc10654"/>
      <w:r>
        <w:rPr>
          <w:rFonts w:hint="eastAsia" w:ascii="宋体" w:hAnsi="宋体" w:cs="宋体"/>
          <w:b/>
          <w:bCs/>
          <w:sz w:val="36"/>
          <w:szCs w:val="36"/>
          <w:lang w:val="en-US" w:eastAsia="zh-CN"/>
        </w:rPr>
        <w:t>五</w:t>
      </w:r>
      <w:r>
        <w:rPr>
          <w:rFonts w:hint="eastAsia" w:ascii="宋体" w:hAnsi="宋体" w:cs="宋体"/>
          <w:b/>
          <w:bCs/>
          <w:sz w:val="36"/>
          <w:szCs w:val="36"/>
        </w:rPr>
        <w:t>、供应商参加政府采购活动承诺书</w:t>
      </w:r>
      <w:bookmarkEnd w:id="393"/>
      <w:bookmarkEnd w:id="394"/>
      <w:bookmarkEnd w:id="395"/>
      <w:bookmarkEnd w:id="396"/>
      <w:bookmarkEnd w:id="397"/>
    </w:p>
    <w:p w14:paraId="0527CE45">
      <w:pPr>
        <w:pStyle w:val="49"/>
        <w:outlineLvl w:val="9"/>
        <w:rPr>
          <w:rFonts w:hint="eastAsia" w:ascii="宋体" w:hAnsi="宋体" w:cs="宋体"/>
        </w:rPr>
      </w:pPr>
    </w:p>
    <w:p w14:paraId="203010DA">
      <w:pPr>
        <w:pStyle w:val="15"/>
        <w:spacing w:line="360" w:lineRule="auto"/>
        <w:jc w:val="center"/>
        <w:outlineLvl w:val="9"/>
        <w:rPr>
          <w:rFonts w:hAnsi="宋体" w:cs="宋体"/>
          <w:b/>
          <w:sz w:val="32"/>
        </w:rPr>
      </w:pPr>
      <w:r>
        <w:rPr>
          <w:rFonts w:hAnsi="宋体" w:cs="宋体"/>
          <w:b/>
          <w:sz w:val="32"/>
        </w:rPr>
        <w:t>承诺书</w:t>
      </w:r>
      <w:r>
        <w:rPr>
          <w:rFonts w:hAnsi="宋体" w:cs="宋体"/>
          <w:b/>
          <w:sz w:val="32"/>
          <w:szCs w:val="32"/>
        </w:rPr>
        <w:t>Ⅰ</w:t>
      </w:r>
    </w:p>
    <w:p w14:paraId="23B4C345">
      <w:pPr>
        <w:outlineLvl w:val="9"/>
        <w:rPr>
          <w:rFonts w:hint="eastAsia" w:ascii="宋体" w:hAnsi="宋体" w:cs="宋体"/>
        </w:rPr>
      </w:pPr>
    </w:p>
    <w:p w14:paraId="778EDF0D">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为响应党中央、国务院关于治理政府采购领域商业贿赂行为的号召，我公司在此庄严承诺：</w:t>
      </w:r>
    </w:p>
    <w:p w14:paraId="6DC27471">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1、在参与政府采购活动中遵纪守法、诚信经营、公平竞标。</w:t>
      </w:r>
    </w:p>
    <w:p w14:paraId="2F1C780E">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2、不向政府采购人、采购代理机构和政府采购评审专家进行任何形式的商业贿赂以谋取交易机会。</w:t>
      </w:r>
    </w:p>
    <w:p w14:paraId="786047B3">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3、不向政府采购代理机构和采购人提供虚假资质文件或采用虚假应标方式参与政府采购市场竞争并谋取中标、成交。</w:t>
      </w:r>
    </w:p>
    <w:p w14:paraId="35B1F806">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4、不采取“围标、陪标”等商业欺诈手段获得政府采购定单。</w:t>
      </w:r>
    </w:p>
    <w:p w14:paraId="03CAC6D8">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5、不采取不正当手段诋毁、排挤其他供应商。</w:t>
      </w:r>
    </w:p>
    <w:p w14:paraId="718423A1">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6、不在提供商品和服务时“偷梁换柱、以次充好”损害采购人的合法权益。</w:t>
      </w:r>
    </w:p>
    <w:p w14:paraId="385C27AE">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7、不与采购人、采购代理机构政府采购评审专家或其它供应商恶意串通，进行质疑和投诉，维护政府采购市场秩序。</w:t>
      </w:r>
    </w:p>
    <w:p w14:paraId="18246665">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8、尊重和接受政府采购监督管理部门的监督和政府采购代理机构招标采购要求，承担因违约行为给采购人造成的损失。</w:t>
      </w:r>
    </w:p>
    <w:p w14:paraId="2A5277FC">
      <w:pPr>
        <w:widowControl/>
        <w:spacing w:line="360" w:lineRule="auto"/>
        <w:ind w:left="239" w:leftChars="114" w:firstLine="470" w:firstLineChars="196"/>
        <w:jc w:val="left"/>
        <w:outlineLvl w:val="9"/>
        <w:rPr>
          <w:rFonts w:hint="eastAsia" w:ascii="宋体" w:hAnsi="宋体" w:eastAsia="宋体" w:cs="宋体"/>
          <w:kern w:val="0"/>
          <w:sz w:val="24"/>
          <w:lang w:eastAsia="zh-CN"/>
        </w:rPr>
      </w:pPr>
      <w:r>
        <w:rPr>
          <w:rFonts w:hint="eastAsia" w:ascii="宋体" w:hAnsi="宋体" w:eastAsia="宋体" w:cs="宋体"/>
          <w:kern w:val="0"/>
          <w:sz w:val="24"/>
        </w:rPr>
        <w:t>9、不发生其他有悖于政府采购公开、公平、公正和诚信原则的行为。</w:t>
      </w:r>
    </w:p>
    <w:p w14:paraId="514A3BDF">
      <w:pPr>
        <w:pStyle w:val="11"/>
        <w:outlineLvl w:val="9"/>
        <w:rPr>
          <w:rFonts w:hint="eastAsia"/>
          <w:lang w:eastAsia="zh-CN"/>
        </w:rPr>
      </w:pPr>
    </w:p>
    <w:p w14:paraId="4CC08E27">
      <w:pPr>
        <w:widowControl/>
        <w:spacing w:line="360" w:lineRule="auto"/>
        <w:ind w:left="239" w:leftChars="114"/>
        <w:jc w:val="left"/>
        <w:outlineLvl w:val="9"/>
        <w:rPr>
          <w:rFonts w:hint="eastAsia" w:ascii="宋体" w:hAnsi="宋体" w:eastAsia="宋体" w:cs="宋体"/>
          <w:kern w:val="0"/>
          <w:sz w:val="24"/>
          <w:lang w:eastAsia="zh-CN"/>
        </w:rPr>
      </w:pPr>
      <w:r>
        <w:rPr>
          <w:rFonts w:hint="eastAsia" w:ascii="宋体" w:hAnsi="宋体" w:eastAsia="宋体" w:cs="宋体"/>
          <w:kern w:val="0"/>
          <w:sz w:val="24"/>
        </w:rPr>
        <w:t>承诺单位名称：</w:t>
      </w:r>
      <w:r>
        <w:rPr>
          <w:rFonts w:hint="eastAsia" w:ascii="宋体" w:hAnsi="宋体" w:eastAsia="宋体" w:cs="宋体"/>
          <w:kern w:val="0"/>
          <w:sz w:val="24"/>
          <w:u w:val="single"/>
        </w:rPr>
        <w:t xml:space="preserve">             </w:t>
      </w:r>
      <w:r>
        <w:rPr>
          <w:rFonts w:hint="eastAsia" w:ascii="宋体" w:hAnsi="宋体" w:eastAsia="宋体" w:cs="宋体"/>
          <w:kern w:val="0"/>
          <w:sz w:val="24"/>
        </w:rPr>
        <w:t>（盖章）</w:t>
      </w:r>
    </w:p>
    <w:p w14:paraId="4B81C0C9">
      <w:pPr>
        <w:widowControl/>
        <w:spacing w:line="360" w:lineRule="auto"/>
        <w:ind w:left="239" w:leftChars="114"/>
        <w:jc w:val="left"/>
        <w:outlineLvl w:val="9"/>
        <w:rPr>
          <w:rFonts w:hint="eastAsia" w:ascii="宋体" w:hAnsi="宋体" w:eastAsia="宋体" w:cs="宋体"/>
          <w:kern w:val="0"/>
          <w:sz w:val="24"/>
          <w:lang w:eastAsia="zh-CN"/>
        </w:rPr>
      </w:pPr>
      <w:r>
        <w:rPr>
          <w:rFonts w:hint="eastAsia" w:ascii="宋体" w:hAnsi="宋体" w:eastAsia="宋体" w:cs="宋体"/>
          <w:sz w:val="24"/>
          <w:szCs w:val="24"/>
        </w:rPr>
        <w:t>法定代表人/单位负责人/或被授权人签字：</w:t>
      </w:r>
      <w:r>
        <w:rPr>
          <w:rFonts w:hint="eastAsia" w:ascii="宋体" w:hAnsi="宋体" w:cs="宋体"/>
          <w:sz w:val="24"/>
          <w:szCs w:val="24"/>
          <w:u w:val="single"/>
          <w:lang w:val="en-US" w:eastAsia="zh-CN"/>
        </w:rPr>
        <w:t xml:space="preserve">           </w:t>
      </w:r>
      <w:r>
        <w:rPr>
          <w:rFonts w:hint="eastAsia" w:ascii="宋体" w:hAnsi="宋体" w:eastAsia="宋体" w:cs="宋体"/>
          <w:kern w:val="0"/>
          <w:sz w:val="24"/>
        </w:rPr>
        <w:t>（签字）</w:t>
      </w:r>
    </w:p>
    <w:p w14:paraId="7702ABF6">
      <w:pPr>
        <w:widowControl/>
        <w:spacing w:line="360" w:lineRule="auto"/>
        <w:ind w:left="239" w:leftChars="114"/>
        <w:jc w:val="left"/>
        <w:outlineLvl w:val="9"/>
        <w:rPr>
          <w:rFonts w:hint="eastAsia" w:ascii="宋体" w:hAnsi="宋体" w:eastAsia="宋体" w:cs="宋体"/>
          <w:kern w:val="0"/>
          <w:sz w:val="24"/>
        </w:rPr>
      </w:pPr>
      <w:r>
        <w:rPr>
          <w:rFonts w:hint="eastAsia" w:ascii="宋体" w:hAnsi="宋体" w:eastAsia="宋体" w:cs="宋体"/>
          <w:kern w:val="0"/>
          <w:sz w:val="24"/>
        </w:rPr>
        <w:t>地  址：</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                     </w:t>
      </w:r>
    </w:p>
    <w:p w14:paraId="659F6E05">
      <w:pPr>
        <w:widowControl/>
        <w:spacing w:line="360" w:lineRule="auto"/>
        <w:ind w:left="239" w:leftChars="114"/>
        <w:jc w:val="left"/>
        <w:outlineLvl w:val="9"/>
        <w:rPr>
          <w:rFonts w:hint="eastAsia" w:ascii="宋体" w:hAnsi="宋体" w:eastAsia="宋体" w:cs="宋体"/>
          <w:kern w:val="0"/>
          <w:sz w:val="24"/>
          <w:lang w:eastAsia="zh-CN"/>
        </w:rPr>
      </w:pPr>
      <w:r>
        <w:rPr>
          <w:rFonts w:hint="eastAsia" w:ascii="宋体" w:hAnsi="宋体" w:eastAsia="宋体" w:cs="宋体"/>
          <w:kern w:val="0"/>
          <w:sz w:val="24"/>
        </w:rPr>
        <w:t>邮  编：</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p>
    <w:p w14:paraId="665365AC">
      <w:pPr>
        <w:widowControl/>
        <w:spacing w:line="360" w:lineRule="auto"/>
        <w:ind w:left="239" w:leftChars="114"/>
        <w:jc w:val="left"/>
        <w:outlineLvl w:val="9"/>
        <w:rPr>
          <w:rFonts w:hint="eastAsia" w:ascii="宋体" w:hAnsi="宋体" w:eastAsia="宋体" w:cs="宋体"/>
          <w:kern w:val="0"/>
          <w:sz w:val="24"/>
        </w:rPr>
      </w:pPr>
      <w:r>
        <w:rPr>
          <w:rFonts w:hint="eastAsia" w:ascii="宋体" w:hAnsi="宋体" w:eastAsia="宋体" w:cs="宋体"/>
          <w:kern w:val="0"/>
          <w:sz w:val="24"/>
        </w:rPr>
        <w:t>电  话：</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rPr>
        <w:t>   </w:t>
      </w:r>
    </w:p>
    <w:p w14:paraId="099004CA">
      <w:pPr>
        <w:spacing w:line="360" w:lineRule="atLeast"/>
        <w:ind w:firstLine="240" w:firstLineChars="100"/>
        <w:jc w:val="both"/>
        <w:outlineLvl w:val="9"/>
        <w:rPr>
          <w:rFonts w:hint="eastAsia" w:ascii="宋体" w:hAnsi="宋体" w:cs="宋体"/>
          <w:b/>
          <w:sz w:val="32"/>
          <w:szCs w:val="32"/>
        </w:rPr>
      </w:pPr>
      <w:r>
        <w:rPr>
          <w:rFonts w:hint="eastAsia" w:ascii="宋体" w:hAnsi="宋体" w:cs="宋体"/>
          <w:kern w:val="0"/>
          <w:sz w:val="24"/>
          <w:lang w:val="en-US" w:eastAsia="zh-CN"/>
        </w:rPr>
        <w:t>日    期：</w:t>
      </w:r>
      <w:r>
        <w:rPr>
          <w:rFonts w:hint="eastAsia" w:ascii="宋体" w:hAnsi="宋体" w:eastAsia="宋体" w:cs="宋体"/>
          <w:kern w:val="0"/>
          <w:sz w:val="24"/>
          <w:u w:val="single"/>
        </w:rPr>
        <w:t>       </w:t>
      </w:r>
      <w:r>
        <w:rPr>
          <w:rFonts w:hint="eastAsia" w:ascii="宋体" w:hAnsi="宋体" w:eastAsia="宋体" w:cs="宋体"/>
          <w:kern w:val="0"/>
          <w:sz w:val="24"/>
        </w:rPr>
        <w:t>            </w:t>
      </w:r>
    </w:p>
    <w:p w14:paraId="1E956EDE">
      <w:pPr>
        <w:spacing w:line="360" w:lineRule="atLeast"/>
        <w:jc w:val="center"/>
        <w:outlineLvl w:val="9"/>
        <w:rPr>
          <w:rFonts w:hint="eastAsia" w:ascii="宋体" w:hAnsi="宋体" w:cs="宋体"/>
          <w:b/>
          <w:sz w:val="32"/>
          <w:szCs w:val="32"/>
        </w:rPr>
      </w:pPr>
    </w:p>
    <w:p w14:paraId="3C61BCEE">
      <w:pPr>
        <w:spacing w:line="360" w:lineRule="atLeast"/>
        <w:jc w:val="center"/>
        <w:outlineLvl w:val="9"/>
        <w:rPr>
          <w:rFonts w:hint="eastAsia" w:ascii="宋体" w:hAnsi="宋体" w:cs="宋体"/>
          <w:b/>
          <w:sz w:val="32"/>
          <w:szCs w:val="32"/>
        </w:rPr>
      </w:pPr>
    </w:p>
    <w:p w14:paraId="5C61D3E6">
      <w:pPr>
        <w:spacing w:line="360" w:lineRule="atLeast"/>
        <w:jc w:val="center"/>
        <w:outlineLvl w:val="9"/>
        <w:rPr>
          <w:rFonts w:hint="eastAsia" w:ascii="宋体" w:hAnsi="宋体" w:cs="宋体"/>
          <w:b/>
          <w:sz w:val="32"/>
          <w:szCs w:val="32"/>
        </w:rPr>
      </w:pPr>
    </w:p>
    <w:p w14:paraId="33C2E188">
      <w:pPr>
        <w:spacing w:line="360" w:lineRule="atLeast"/>
        <w:jc w:val="center"/>
        <w:outlineLvl w:val="9"/>
        <w:rPr>
          <w:rFonts w:hint="eastAsia" w:ascii="宋体" w:hAnsi="宋体" w:cs="宋体"/>
          <w:b/>
          <w:sz w:val="32"/>
          <w:szCs w:val="32"/>
        </w:rPr>
      </w:pPr>
    </w:p>
    <w:p w14:paraId="02CD53D4">
      <w:pPr>
        <w:spacing w:line="360" w:lineRule="atLeast"/>
        <w:jc w:val="center"/>
        <w:outlineLvl w:val="9"/>
        <w:rPr>
          <w:rFonts w:hint="eastAsia" w:ascii="宋体" w:hAnsi="宋体" w:cs="宋体"/>
          <w:b/>
          <w:sz w:val="32"/>
          <w:szCs w:val="32"/>
        </w:rPr>
      </w:pPr>
    </w:p>
    <w:p w14:paraId="3729D916">
      <w:pPr>
        <w:spacing w:line="360" w:lineRule="atLeast"/>
        <w:jc w:val="center"/>
        <w:outlineLvl w:val="9"/>
        <w:rPr>
          <w:rFonts w:hint="eastAsia" w:ascii="宋体" w:hAnsi="宋体" w:cs="宋体"/>
          <w:b/>
          <w:sz w:val="32"/>
          <w:szCs w:val="32"/>
        </w:rPr>
      </w:pPr>
      <w:r>
        <w:rPr>
          <w:rFonts w:hint="eastAsia" w:ascii="宋体" w:hAnsi="宋体" w:cs="宋体"/>
          <w:b/>
          <w:sz w:val="32"/>
          <w:szCs w:val="32"/>
        </w:rPr>
        <w:t>承诺书Ⅱ</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4F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818E07D">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14:paraId="0EFD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91C76F6">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作为参加贵公司组织的招标采购项目的投标单位，本公司承诺：在参加本项目招标之前不存在被依法禁止经营行为、财产被接管或冻结的情况，如有隐瞒实情，愿承担一切责任及后果。</w:t>
            </w:r>
          </w:p>
        </w:tc>
      </w:tr>
      <w:tr w14:paraId="44C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E4865BC">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14:paraId="3704F2A3">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14:paraId="6A2AA66B">
            <w:pPr>
              <w:spacing w:line="360" w:lineRule="atLeast"/>
              <w:jc w:val="center"/>
              <w:outlineLvl w:val="9"/>
              <w:rPr>
                <w:rFonts w:hint="eastAsia" w:ascii="宋体" w:hAnsi="宋体" w:cs="宋体"/>
                <w:sz w:val="24"/>
              </w:rPr>
            </w:pPr>
            <w:r>
              <w:rPr>
                <w:rFonts w:hint="eastAsia" w:ascii="宋体" w:hAnsi="宋体" w:cs="宋体"/>
                <w:sz w:val="24"/>
              </w:rPr>
              <w:t>日  期</w:t>
            </w:r>
          </w:p>
        </w:tc>
      </w:tr>
      <w:tr w14:paraId="131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D4B91CE">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14:paraId="436F275C">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14:paraId="7F4A30F4">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14:paraId="441ACC0B">
      <w:pPr>
        <w:spacing w:line="360" w:lineRule="atLeast"/>
        <w:outlineLvl w:val="9"/>
        <w:rPr>
          <w:rFonts w:hint="eastAsia" w:ascii="宋体" w:hAnsi="宋体" w:cs="宋体"/>
          <w:b/>
          <w:sz w:val="42"/>
          <w:szCs w:val="42"/>
        </w:rPr>
      </w:pPr>
    </w:p>
    <w:p w14:paraId="2489A734">
      <w:pPr>
        <w:outlineLvl w:val="9"/>
        <w:rPr>
          <w:rFonts w:hint="eastAsia" w:ascii="宋体" w:hAnsi="宋体" w:cs="宋体"/>
          <w:b/>
          <w:sz w:val="42"/>
          <w:szCs w:val="42"/>
        </w:rPr>
      </w:pPr>
    </w:p>
    <w:p w14:paraId="2C28C5D3">
      <w:pPr>
        <w:spacing w:line="360" w:lineRule="atLeast"/>
        <w:jc w:val="center"/>
        <w:outlineLvl w:val="9"/>
        <w:rPr>
          <w:rFonts w:hint="eastAsia" w:ascii="宋体" w:hAnsi="宋体" w:cs="宋体"/>
          <w:b/>
          <w:sz w:val="32"/>
          <w:szCs w:val="32"/>
        </w:rPr>
      </w:pPr>
      <w:r>
        <w:rPr>
          <w:rFonts w:hint="eastAsia" w:ascii="宋体" w:hAnsi="宋体" w:cs="宋体"/>
          <w:b/>
          <w:sz w:val="32"/>
          <w:szCs w:val="32"/>
        </w:rPr>
        <w:t>承诺书Ⅲ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149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842890">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14:paraId="6C0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44C019C">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作为参加贵公司组织的招标采购项目的投标单位，本公司郑重申告并承诺：近三年受到有关行政主管部门的行政处理、不良行为记录为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14:paraId="16C5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2D810B6">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14:paraId="283A4CC5">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14:paraId="76B591C4">
            <w:pPr>
              <w:spacing w:line="360" w:lineRule="atLeast"/>
              <w:jc w:val="center"/>
              <w:outlineLvl w:val="9"/>
              <w:rPr>
                <w:rFonts w:hint="eastAsia" w:ascii="宋体" w:hAnsi="宋体" w:cs="宋体"/>
                <w:sz w:val="24"/>
              </w:rPr>
            </w:pPr>
            <w:r>
              <w:rPr>
                <w:rFonts w:hint="eastAsia" w:ascii="宋体" w:hAnsi="宋体" w:cs="宋体"/>
                <w:sz w:val="24"/>
              </w:rPr>
              <w:t>日  期</w:t>
            </w:r>
          </w:p>
        </w:tc>
      </w:tr>
      <w:tr w14:paraId="37A8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E165299">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14:paraId="256BCEF6">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14:paraId="466143D8">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14:paraId="50949B4F">
      <w:pPr>
        <w:spacing w:line="360" w:lineRule="atLeast"/>
        <w:outlineLvl w:val="9"/>
        <w:rPr>
          <w:rFonts w:hint="eastAsia" w:ascii="宋体" w:hAnsi="宋体" w:cs="宋体"/>
          <w:b/>
          <w:sz w:val="32"/>
          <w:szCs w:val="32"/>
        </w:rPr>
      </w:pPr>
    </w:p>
    <w:p w14:paraId="7687D418">
      <w:pPr>
        <w:pStyle w:val="11"/>
        <w:outlineLvl w:val="9"/>
        <w:rPr>
          <w:rFonts w:hint="eastAsia" w:ascii="宋体" w:hAnsi="宋体" w:cs="宋体"/>
          <w:sz w:val="32"/>
          <w:szCs w:val="32"/>
        </w:rPr>
      </w:pPr>
    </w:p>
    <w:p w14:paraId="49696CFB">
      <w:pPr>
        <w:spacing w:line="360" w:lineRule="atLeast"/>
        <w:jc w:val="center"/>
        <w:outlineLvl w:val="9"/>
        <w:rPr>
          <w:rFonts w:hint="eastAsia" w:ascii="宋体" w:hAnsi="宋体" w:cs="宋体"/>
          <w:b/>
          <w:sz w:val="32"/>
          <w:szCs w:val="32"/>
        </w:rPr>
      </w:pPr>
    </w:p>
    <w:p w14:paraId="208FFEFE">
      <w:pPr>
        <w:spacing w:line="360" w:lineRule="atLeast"/>
        <w:jc w:val="center"/>
        <w:outlineLvl w:val="9"/>
        <w:rPr>
          <w:rFonts w:hint="eastAsia" w:ascii="宋体" w:hAnsi="宋体" w:cs="宋体"/>
          <w:b/>
          <w:sz w:val="32"/>
          <w:szCs w:val="32"/>
        </w:rPr>
      </w:pPr>
    </w:p>
    <w:p w14:paraId="16B92C3A">
      <w:pPr>
        <w:spacing w:line="360" w:lineRule="atLeast"/>
        <w:jc w:val="center"/>
        <w:outlineLvl w:val="9"/>
        <w:rPr>
          <w:rFonts w:hint="eastAsia" w:ascii="宋体" w:hAnsi="宋体" w:cs="宋体"/>
          <w:b/>
          <w:sz w:val="32"/>
          <w:szCs w:val="32"/>
        </w:rPr>
      </w:pPr>
      <w:r>
        <w:rPr>
          <w:rFonts w:hint="eastAsia" w:ascii="宋体" w:hAnsi="宋体" w:cs="宋体"/>
          <w:b/>
          <w:sz w:val="32"/>
          <w:szCs w:val="32"/>
        </w:rPr>
        <w:t>承诺书Ⅳ</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3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7FFADB7">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14:paraId="6A2E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716C160">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作为参加贵公司组织的招标采购项目的投标单位，本公司郑重申告：近三年因项目质量问题的不法行为记录为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14:paraId="7F0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5C40E7E">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14:paraId="5BFD94EA">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14:paraId="390B4489">
            <w:pPr>
              <w:spacing w:line="360" w:lineRule="atLeast"/>
              <w:jc w:val="center"/>
              <w:outlineLvl w:val="9"/>
              <w:rPr>
                <w:rFonts w:hint="eastAsia" w:ascii="宋体" w:hAnsi="宋体" w:cs="宋体"/>
                <w:sz w:val="24"/>
              </w:rPr>
            </w:pPr>
            <w:r>
              <w:rPr>
                <w:rFonts w:hint="eastAsia" w:ascii="宋体" w:hAnsi="宋体" w:cs="宋体"/>
                <w:sz w:val="24"/>
              </w:rPr>
              <w:t>日   期</w:t>
            </w:r>
          </w:p>
        </w:tc>
      </w:tr>
      <w:tr w14:paraId="2BFA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0DFBD9B">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14:paraId="4D313B9A">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14:paraId="4D70F134">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14:paraId="2D850B63">
      <w:pPr>
        <w:spacing w:line="360" w:lineRule="auto"/>
        <w:ind w:right="480"/>
        <w:outlineLvl w:val="9"/>
        <w:rPr>
          <w:rFonts w:hint="eastAsia" w:ascii="宋体" w:hAnsi="宋体" w:cs="宋体"/>
          <w:sz w:val="24"/>
          <w:szCs w:val="28"/>
        </w:rPr>
      </w:pPr>
    </w:p>
    <w:p w14:paraId="550568A3">
      <w:pPr>
        <w:spacing w:line="360" w:lineRule="atLeast"/>
        <w:jc w:val="center"/>
        <w:outlineLvl w:val="9"/>
        <w:rPr>
          <w:rFonts w:hint="eastAsia" w:ascii="宋体" w:hAnsi="宋体" w:cs="宋体"/>
          <w:b/>
          <w:sz w:val="32"/>
          <w:szCs w:val="32"/>
        </w:rPr>
      </w:pPr>
      <w:bookmarkStart w:id="398" w:name="_Toc27080"/>
      <w:r>
        <w:rPr>
          <w:rFonts w:hint="eastAsia" w:ascii="宋体" w:hAnsi="宋体" w:cs="宋体"/>
          <w:b/>
          <w:sz w:val="32"/>
          <w:szCs w:val="32"/>
        </w:rPr>
        <w:t>承诺书</w:t>
      </w:r>
      <w:r>
        <w:rPr>
          <w:rFonts w:hint="eastAsia" w:ascii="宋体" w:hAnsi="宋体" w:cs="宋体"/>
          <w:b/>
          <w:sz w:val="36"/>
          <w:szCs w:val="36"/>
        </w:rPr>
        <w:fldChar w:fldCharType="begin"/>
      </w:r>
      <w:r>
        <w:rPr>
          <w:rFonts w:hint="eastAsia" w:ascii="宋体" w:hAnsi="宋体" w:cs="宋体"/>
          <w:b/>
          <w:sz w:val="36"/>
          <w:szCs w:val="36"/>
        </w:rPr>
        <w:instrText xml:space="preserve"> = 5 \* ROMAN </w:instrText>
      </w:r>
      <w:r>
        <w:rPr>
          <w:rFonts w:hint="eastAsia" w:ascii="宋体" w:hAnsi="宋体" w:cs="宋体"/>
          <w:b/>
          <w:sz w:val="36"/>
          <w:szCs w:val="36"/>
        </w:rPr>
        <w:fldChar w:fldCharType="separate"/>
      </w:r>
      <w:r>
        <w:rPr>
          <w:rFonts w:hint="eastAsia" w:ascii="宋体" w:hAnsi="宋体" w:cs="宋体"/>
          <w:b/>
          <w:sz w:val="36"/>
          <w:szCs w:val="36"/>
        </w:rPr>
        <w:t>V</w:t>
      </w:r>
      <w:r>
        <w:rPr>
          <w:rFonts w:hint="eastAsia" w:ascii="宋体" w:hAnsi="宋体" w:cs="宋体"/>
          <w:b/>
          <w:sz w:val="36"/>
          <w:szCs w:val="36"/>
        </w:rPr>
        <w:fldChar w:fldCharType="end"/>
      </w:r>
      <w:bookmarkEnd w:id="398"/>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D5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8A3C7C">
            <w:pPr>
              <w:spacing w:line="360" w:lineRule="atLeast"/>
              <w:outlineLvl w:val="9"/>
              <w:rPr>
                <w:rFonts w:hint="eastAsia" w:ascii="宋体" w:hAnsi="宋体" w:eastAsia="宋体" w:cs="宋体"/>
                <w:sz w:val="24"/>
                <w:lang w:eastAsia="zh-CN"/>
              </w:rPr>
            </w:pPr>
            <w:r>
              <w:rPr>
                <w:rFonts w:hint="eastAsia" w:ascii="宋体" w:hAnsi="宋体" w:cs="宋体"/>
                <w:sz w:val="24"/>
              </w:rPr>
              <w:t>致：</w:t>
            </w:r>
            <w:r>
              <w:rPr>
                <w:rFonts w:hint="eastAsia" w:ascii="宋体" w:hAnsi="宋体" w:cs="宋体"/>
                <w:sz w:val="24"/>
                <w:lang w:eastAsia="zh-CN"/>
              </w:rPr>
              <w:t>陕西华旭晟信项目管理有限责任公司</w:t>
            </w:r>
          </w:p>
        </w:tc>
      </w:tr>
      <w:tr w14:paraId="6477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3761E19">
            <w:pPr>
              <w:spacing w:line="360" w:lineRule="atLeast"/>
              <w:ind w:firstLine="480" w:firstLineChars="200"/>
              <w:outlineLvl w:val="9"/>
              <w:rPr>
                <w:rFonts w:hint="eastAsia" w:ascii="宋体" w:hAnsi="宋体" w:cs="宋体"/>
                <w:sz w:val="24"/>
              </w:rPr>
            </w:pPr>
            <w:r>
              <w:rPr>
                <w:rFonts w:hint="eastAsia" w:ascii="宋体" w:hAnsi="宋体" w:cs="宋体"/>
                <w:sz w:val="24"/>
              </w:rPr>
              <w:t>作为参加贵公司组织的招标采购项目的投标单位，本公司承诺：参加本次投标提交的所有资质证明文件及业绩证明是真实的、有效的，如有隐瞒实情，愿承担一切责任及后果。</w:t>
            </w:r>
          </w:p>
        </w:tc>
      </w:tr>
      <w:tr w14:paraId="171D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498BFB4">
            <w:pPr>
              <w:spacing w:line="360" w:lineRule="atLeast"/>
              <w:jc w:val="center"/>
              <w:outlineLvl w:val="9"/>
              <w:rPr>
                <w:rFonts w:hint="eastAsia" w:ascii="宋体" w:hAnsi="宋体" w:cs="宋体"/>
                <w:sz w:val="24"/>
              </w:rPr>
            </w:pPr>
            <w:r>
              <w:rPr>
                <w:rFonts w:hint="eastAsia" w:ascii="宋体" w:hAnsi="宋体" w:cs="宋体"/>
                <w:sz w:val="24"/>
              </w:rPr>
              <w:t>投标单位</w:t>
            </w:r>
          </w:p>
        </w:tc>
        <w:tc>
          <w:tcPr>
            <w:tcW w:w="3420" w:type="dxa"/>
            <w:noWrap w:val="0"/>
            <w:vAlign w:val="center"/>
          </w:tcPr>
          <w:p w14:paraId="3B461181">
            <w:pPr>
              <w:spacing w:line="360" w:lineRule="atLeast"/>
              <w:jc w:val="center"/>
              <w:outlineLvl w:val="9"/>
              <w:rPr>
                <w:rFonts w:hint="eastAsia" w:ascii="宋体" w:hAnsi="宋体" w:cs="宋体"/>
                <w:sz w:val="24"/>
              </w:rPr>
            </w:pPr>
            <w:r>
              <w:rPr>
                <w:rFonts w:hint="eastAsia" w:ascii="宋体" w:hAnsi="宋体" w:cs="宋体"/>
                <w:sz w:val="24"/>
              </w:rPr>
              <w:t>法定代表人</w:t>
            </w:r>
          </w:p>
        </w:tc>
        <w:tc>
          <w:tcPr>
            <w:tcW w:w="2340" w:type="dxa"/>
            <w:noWrap w:val="0"/>
            <w:vAlign w:val="center"/>
          </w:tcPr>
          <w:p w14:paraId="0ECA4CF5">
            <w:pPr>
              <w:spacing w:line="360" w:lineRule="atLeast"/>
              <w:jc w:val="center"/>
              <w:outlineLvl w:val="9"/>
              <w:rPr>
                <w:rFonts w:hint="eastAsia" w:ascii="宋体" w:hAnsi="宋体" w:cs="宋体"/>
                <w:sz w:val="24"/>
              </w:rPr>
            </w:pPr>
            <w:r>
              <w:rPr>
                <w:rFonts w:hint="eastAsia" w:ascii="宋体" w:hAnsi="宋体" w:cs="宋体"/>
                <w:sz w:val="24"/>
              </w:rPr>
              <w:t>日   期</w:t>
            </w:r>
          </w:p>
        </w:tc>
      </w:tr>
      <w:tr w14:paraId="3600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0D816E2">
            <w:pPr>
              <w:spacing w:line="360" w:lineRule="atLeast"/>
              <w:jc w:val="center"/>
              <w:outlineLvl w:val="9"/>
              <w:rPr>
                <w:rFonts w:hint="eastAsia" w:ascii="宋体" w:hAnsi="宋体" w:cs="宋体"/>
                <w:sz w:val="24"/>
              </w:rPr>
            </w:pPr>
            <w:r>
              <w:rPr>
                <w:rFonts w:hint="eastAsia" w:ascii="宋体" w:hAnsi="宋体" w:cs="宋体"/>
                <w:sz w:val="24"/>
              </w:rPr>
              <w:t>（公章）</w:t>
            </w:r>
          </w:p>
        </w:tc>
        <w:tc>
          <w:tcPr>
            <w:tcW w:w="3420" w:type="dxa"/>
            <w:noWrap w:val="0"/>
            <w:vAlign w:val="center"/>
          </w:tcPr>
          <w:p w14:paraId="44A90229">
            <w:pPr>
              <w:spacing w:line="360" w:lineRule="atLeast"/>
              <w:jc w:val="center"/>
              <w:outlineLvl w:val="9"/>
              <w:rPr>
                <w:rFonts w:hint="eastAsia" w:ascii="宋体" w:hAnsi="宋体" w:cs="宋体"/>
                <w:sz w:val="24"/>
              </w:rPr>
            </w:pPr>
            <w:r>
              <w:rPr>
                <w:rFonts w:hint="eastAsia" w:ascii="宋体" w:hAnsi="宋体" w:cs="宋体"/>
                <w:sz w:val="24"/>
              </w:rPr>
              <w:t>（签字或盖章）</w:t>
            </w:r>
          </w:p>
        </w:tc>
        <w:tc>
          <w:tcPr>
            <w:tcW w:w="2340" w:type="dxa"/>
            <w:noWrap w:val="0"/>
            <w:vAlign w:val="center"/>
          </w:tcPr>
          <w:p w14:paraId="02EBA619">
            <w:pPr>
              <w:spacing w:line="360" w:lineRule="atLeast"/>
              <w:ind w:firstLine="240" w:firstLineChars="100"/>
              <w:jc w:val="center"/>
              <w:outlineLvl w:val="9"/>
              <w:rPr>
                <w:rFonts w:hint="eastAsia" w:ascii="宋体" w:hAnsi="宋体" w:cs="宋体"/>
                <w:sz w:val="24"/>
              </w:rPr>
            </w:pPr>
            <w:r>
              <w:rPr>
                <w:rFonts w:hint="eastAsia" w:ascii="宋体" w:hAnsi="宋体" w:cs="宋体"/>
                <w:sz w:val="24"/>
              </w:rPr>
              <w:t>年  月  日</w:t>
            </w:r>
          </w:p>
        </w:tc>
      </w:tr>
    </w:tbl>
    <w:p w14:paraId="5204731A">
      <w:pPr>
        <w:outlineLvl w:val="9"/>
        <w:rPr>
          <w:rFonts w:ascii="宋体" w:hAnsi="宋体" w:cs="宋体"/>
          <w:b/>
          <w:sz w:val="24"/>
          <w:szCs w:val="24"/>
          <w:u w:val="single"/>
        </w:rPr>
      </w:pPr>
    </w:p>
    <w:p w14:paraId="710345CA">
      <w:pPr>
        <w:pStyle w:val="11"/>
        <w:outlineLvl w:val="9"/>
        <w:rPr>
          <w:rFonts w:hint="eastAsia" w:ascii="宋体" w:hAnsi="宋体" w:cs="宋体"/>
          <w:b w:val="0"/>
          <w:sz w:val="24"/>
          <w:szCs w:val="24"/>
          <w:u w:val="single"/>
        </w:rPr>
      </w:pPr>
    </w:p>
    <w:p w14:paraId="0E4875BF">
      <w:pPr>
        <w:outlineLvl w:val="9"/>
        <w:rPr>
          <w:rFonts w:hint="eastAsia" w:ascii="宋体" w:hAnsi="宋体" w:cs="宋体"/>
          <w:b/>
          <w:sz w:val="24"/>
          <w:szCs w:val="24"/>
          <w:u w:val="single"/>
        </w:rPr>
      </w:pPr>
    </w:p>
    <w:p w14:paraId="0F13EECD">
      <w:pPr>
        <w:pStyle w:val="11"/>
        <w:outlineLvl w:val="9"/>
        <w:rPr>
          <w:rFonts w:hint="eastAsia" w:ascii="宋体" w:hAnsi="宋体" w:cs="宋体"/>
          <w:b w:val="0"/>
          <w:sz w:val="24"/>
          <w:szCs w:val="24"/>
          <w:u w:val="single"/>
        </w:rPr>
      </w:pPr>
    </w:p>
    <w:p w14:paraId="34D6923A">
      <w:pPr>
        <w:outlineLvl w:val="9"/>
        <w:rPr>
          <w:rFonts w:hint="eastAsia" w:ascii="宋体" w:hAnsi="宋体" w:cs="宋体"/>
          <w:b/>
          <w:sz w:val="24"/>
          <w:szCs w:val="24"/>
          <w:u w:val="single"/>
        </w:rPr>
      </w:pPr>
    </w:p>
    <w:p w14:paraId="00CAA37B">
      <w:pPr>
        <w:spacing w:line="360" w:lineRule="auto"/>
        <w:jc w:val="center"/>
        <w:outlineLvl w:val="9"/>
        <w:rPr>
          <w:rFonts w:hint="eastAsia" w:ascii="宋体" w:hAnsi="宋体" w:cs="宋体"/>
          <w:b/>
          <w:sz w:val="32"/>
          <w:szCs w:val="32"/>
        </w:rPr>
        <w:sectPr>
          <w:pgSz w:w="11906" w:h="16838"/>
          <w:pgMar w:top="1383" w:right="1383" w:bottom="1383" w:left="1383" w:header="851" w:footer="992" w:gutter="0"/>
          <w:pgNumType w:fmt="decimal"/>
          <w:cols w:space="720" w:num="1"/>
          <w:docGrid w:linePitch="312" w:charSpace="0"/>
        </w:sectPr>
      </w:pPr>
    </w:p>
    <w:p w14:paraId="454EFEF5">
      <w:pPr>
        <w:spacing w:line="360" w:lineRule="auto"/>
        <w:jc w:val="center"/>
        <w:outlineLvl w:val="1"/>
        <w:rPr>
          <w:rFonts w:hint="eastAsia" w:ascii="宋体" w:hAnsi="宋体" w:cs="宋体"/>
          <w:b/>
          <w:sz w:val="32"/>
          <w:szCs w:val="32"/>
        </w:rPr>
      </w:pPr>
      <w:bookmarkStart w:id="399" w:name="_Toc1893"/>
      <w:bookmarkStart w:id="400" w:name="_Toc21718"/>
      <w:bookmarkStart w:id="401" w:name="_Toc11048"/>
      <w:bookmarkStart w:id="402" w:name="_Toc10991"/>
      <w:bookmarkStart w:id="403" w:name="_Toc28928"/>
      <w:r>
        <w:rPr>
          <w:rFonts w:hint="eastAsia" w:ascii="宋体" w:hAnsi="宋体" w:cs="宋体"/>
          <w:b/>
          <w:sz w:val="32"/>
          <w:szCs w:val="32"/>
          <w:lang w:val="en-US" w:eastAsia="zh-CN"/>
        </w:rPr>
        <w:t>六</w:t>
      </w:r>
      <w:r>
        <w:rPr>
          <w:rFonts w:hint="eastAsia" w:ascii="宋体" w:hAnsi="宋体" w:cs="宋体"/>
          <w:b/>
          <w:sz w:val="32"/>
          <w:szCs w:val="32"/>
        </w:rPr>
        <w:t>、投标方案</w:t>
      </w:r>
      <w:bookmarkEnd w:id="399"/>
      <w:bookmarkEnd w:id="400"/>
      <w:bookmarkEnd w:id="401"/>
      <w:bookmarkEnd w:id="402"/>
      <w:bookmarkEnd w:id="403"/>
    </w:p>
    <w:p w14:paraId="554C4720">
      <w:pPr>
        <w:spacing w:line="360" w:lineRule="auto"/>
        <w:ind w:firstLine="241" w:firstLineChars="100"/>
        <w:jc w:val="both"/>
        <w:outlineLvl w:val="9"/>
        <w:rPr>
          <w:rFonts w:hint="eastAsia" w:ascii="宋体" w:hAnsi="宋体" w:eastAsia="宋体" w:cs="宋体"/>
          <w:b/>
          <w:bCs/>
          <w:sz w:val="24"/>
          <w:lang w:val="en-US" w:eastAsia="zh-CN"/>
        </w:rPr>
      </w:pPr>
      <w:r>
        <w:rPr>
          <w:rFonts w:hint="eastAsia" w:ascii="宋体" w:hAnsi="宋体" w:eastAsia="宋体" w:cs="宋体"/>
          <w:b/>
          <w:bCs/>
          <w:sz w:val="24"/>
        </w:rPr>
        <w:t>各投标人根据采购内容及评审办法自主编</w:t>
      </w:r>
      <w:r>
        <w:rPr>
          <w:rFonts w:hint="eastAsia" w:ascii="宋体" w:hAnsi="宋体" w:eastAsia="宋体" w:cs="宋体"/>
          <w:b/>
          <w:bCs/>
          <w:sz w:val="24"/>
          <w:lang w:val="en-US" w:eastAsia="zh-CN"/>
        </w:rPr>
        <w:t>写。</w:t>
      </w:r>
    </w:p>
    <w:p w14:paraId="151CD15F">
      <w:pPr>
        <w:pStyle w:val="35"/>
        <w:outlineLvl w:val="9"/>
        <w:rPr>
          <w:rFonts w:hint="eastAsia" w:ascii="宋体" w:hAnsi="宋体" w:eastAsia="宋体" w:cs="宋体"/>
          <w:b/>
          <w:bCs/>
          <w:sz w:val="24"/>
          <w:lang w:val="en-US" w:eastAsia="zh-CN"/>
        </w:rPr>
      </w:pPr>
    </w:p>
    <w:p w14:paraId="0C2403B8">
      <w:pPr>
        <w:pStyle w:val="35"/>
        <w:outlineLvl w:val="9"/>
        <w:rPr>
          <w:rFonts w:hint="eastAsia" w:ascii="宋体" w:hAnsi="宋体" w:eastAsia="宋体" w:cs="宋体"/>
          <w:b/>
          <w:bCs/>
          <w:sz w:val="24"/>
          <w:lang w:val="en-US" w:eastAsia="zh-CN"/>
        </w:rPr>
      </w:pPr>
    </w:p>
    <w:p w14:paraId="41C80804">
      <w:pPr>
        <w:pStyle w:val="35"/>
        <w:outlineLvl w:val="9"/>
        <w:rPr>
          <w:rFonts w:hint="eastAsia" w:ascii="宋体" w:hAnsi="宋体" w:eastAsia="宋体" w:cs="宋体"/>
          <w:b/>
          <w:bCs/>
          <w:sz w:val="24"/>
          <w:lang w:val="en-US" w:eastAsia="zh-CN"/>
        </w:rPr>
      </w:pPr>
    </w:p>
    <w:p w14:paraId="0D8EDC8F">
      <w:pPr>
        <w:pStyle w:val="35"/>
        <w:outlineLvl w:val="9"/>
        <w:rPr>
          <w:rFonts w:hint="eastAsia" w:ascii="宋体" w:hAnsi="宋体" w:eastAsia="宋体" w:cs="宋体"/>
          <w:b/>
          <w:bCs/>
          <w:sz w:val="24"/>
          <w:lang w:val="en-US" w:eastAsia="zh-CN"/>
        </w:rPr>
      </w:pPr>
    </w:p>
    <w:p w14:paraId="0CC39879">
      <w:pPr>
        <w:pStyle w:val="35"/>
        <w:outlineLvl w:val="9"/>
        <w:rPr>
          <w:rFonts w:hint="eastAsia" w:ascii="宋体" w:hAnsi="宋体" w:eastAsia="宋体" w:cs="宋体"/>
          <w:b/>
          <w:bCs/>
          <w:sz w:val="24"/>
          <w:lang w:val="en-US" w:eastAsia="zh-CN"/>
        </w:rPr>
      </w:pPr>
    </w:p>
    <w:p w14:paraId="1789AC3D">
      <w:pPr>
        <w:pStyle w:val="35"/>
        <w:outlineLvl w:val="9"/>
        <w:rPr>
          <w:rFonts w:hint="eastAsia" w:ascii="宋体" w:hAnsi="宋体" w:eastAsia="宋体" w:cs="宋体"/>
          <w:b/>
          <w:bCs/>
          <w:sz w:val="24"/>
          <w:lang w:val="en-US" w:eastAsia="zh-CN"/>
        </w:rPr>
      </w:pPr>
    </w:p>
    <w:p w14:paraId="578C9765">
      <w:pPr>
        <w:pStyle w:val="35"/>
        <w:outlineLvl w:val="9"/>
        <w:rPr>
          <w:rFonts w:hint="eastAsia" w:ascii="宋体" w:hAnsi="宋体" w:eastAsia="宋体" w:cs="宋体"/>
          <w:b/>
          <w:bCs/>
          <w:sz w:val="24"/>
          <w:lang w:val="en-US" w:eastAsia="zh-CN"/>
        </w:rPr>
      </w:pPr>
    </w:p>
    <w:p w14:paraId="4FF9CE1E">
      <w:pPr>
        <w:pStyle w:val="35"/>
        <w:outlineLvl w:val="9"/>
        <w:rPr>
          <w:rFonts w:hint="eastAsia" w:ascii="宋体" w:hAnsi="宋体" w:eastAsia="宋体" w:cs="宋体"/>
          <w:b/>
          <w:bCs/>
          <w:sz w:val="24"/>
          <w:lang w:val="en-US" w:eastAsia="zh-CN"/>
        </w:rPr>
      </w:pPr>
    </w:p>
    <w:p w14:paraId="40E5976C">
      <w:pPr>
        <w:pStyle w:val="35"/>
        <w:outlineLvl w:val="9"/>
        <w:rPr>
          <w:rFonts w:hint="eastAsia" w:ascii="宋体" w:hAnsi="宋体" w:eastAsia="宋体" w:cs="宋体"/>
          <w:b/>
          <w:bCs/>
          <w:sz w:val="24"/>
          <w:lang w:val="en-US" w:eastAsia="zh-CN"/>
        </w:rPr>
      </w:pPr>
    </w:p>
    <w:p w14:paraId="69307F12">
      <w:pPr>
        <w:pStyle w:val="35"/>
        <w:outlineLvl w:val="9"/>
        <w:rPr>
          <w:rFonts w:hint="eastAsia" w:ascii="宋体" w:hAnsi="宋体" w:eastAsia="宋体" w:cs="宋体"/>
          <w:b/>
          <w:bCs/>
          <w:sz w:val="24"/>
          <w:lang w:val="en-US" w:eastAsia="zh-CN"/>
        </w:rPr>
      </w:pPr>
    </w:p>
    <w:p w14:paraId="7AB9AAEC">
      <w:pPr>
        <w:pStyle w:val="35"/>
        <w:outlineLvl w:val="9"/>
        <w:rPr>
          <w:rFonts w:hint="eastAsia" w:ascii="宋体" w:hAnsi="宋体" w:eastAsia="宋体" w:cs="宋体"/>
          <w:b/>
          <w:bCs/>
          <w:sz w:val="24"/>
          <w:lang w:val="en-US" w:eastAsia="zh-CN"/>
        </w:rPr>
      </w:pPr>
    </w:p>
    <w:p w14:paraId="685274CE">
      <w:pPr>
        <w:pStyle w:val="35"/>
        <w:outlineLvl w:val="9"/>
        <w:rPr>
          <w:rFonts w:hint="eastAsia" w:ascii="宋体" w:hAnsi="宋体" w:eastAsia="宋体" w:cs="宋体"/>
          <w:b/>
          <w:bCs/>
          <w:sz w:val="24"/>
          <w:lang w:val="en-US" w:eastAsia="zh-CN"/>
        </w:rPr>
      </w:pPr>
    </w:p>
    <w:p w14:paraId="65309687">
      <w:pPr>
        <w:pStyle w:val="35"/>
        <w:outlineLvl w:val="9"/>
        <w:rPr>
          <w:rFonts w:hint="eastAsia" w:ascii="宋体" w:hAnsi="宋体" w:eastAsia="宋体" w:cs="宋体"/>
          <w:b/>
          <w:bCs/>
          <w:sz w:val="24"/>
          <w:lang w:val="en-US" w:eastAsia="zh-CN"/>
        </w:rPr>
      </w:pPr>
    </w:p>
    <w:p w14:paraId="3E82B6C7">
      <w:pPr>
        <w:pStyle w:val="35"/>
        <w:outlineLvl w:val="9"/>
        <w:rPr>
          <w:rFonts w:hint="eastAsia" w:ascii="宋体" w:hAnsi="宋体" w:eastAsia="宋体" w:cs="宋体"/>
          <w:b/>
          <w:bCs/>
          <w:sz w:val="24"/>
          <w:lang w:val="en-US" w:eastAsia="zh-CN"/>
        </w:rPr>
      </w:pPr>
    </w:p>
    <w:p w14:paraId="213969F9">
      <w:pPr>
        <w:pStyle w:val="35"/>
        <w:outlineLvl w:val="9"/>
        <w:rPr>
          <w:rFonts w:hint="eastAsia" w:ascii="宋体" w:hAnsi="宋体" w:eastAsia="宋体" w:cs="宋体"/>
          <w:b/>
          <w:bCs/>
          <w:sz w:val="24"/>
          <w:lang w:val="en-US" w:eastAsia="zh-CN"/>
        </w:rPr>
      </w:pPr>
    </w:p>
    <w:p w14:paraId="5FF4CC9A">
      <w:pPr>
        <w:pStyle w:val="35"/>
        <w:outlineLvl w:val="9"/>
        <w:rPr>
          <w:rFonts w:hint="eastAsia" w:ascii="宋体" w:hAnsi="宋体" w:eastAsia="宋体" w:cs="宋体"/>
          <w:b/>
          <w:bCs/>
          <w:sz w:val="24"/>
          <w:lang w:val="en-US" w:eastAsia="zh-CN"/>
        </w:rPr>
      </w:pPr>
    </w:p>
    <w:p w14:paraId="617DE36D">
      <w:pPr>
        <w:pStyle w:val="35"/>
        <w:outlineLvl w:val="9"/>
        <w:rPr>
          <w:rFonts w:hint="eastAsia" w:ascii="宋体" w:hAnsi="宋体" w:eastAsia="宋体" w:cs="宋体"/>
          <w:b/>
          <w:bCs/>
          <w:sz w:val="24"/>
          <w:lang w:val="en-US" w:eastAsia="zh-CN"/>
        </w:rPr>
      </w:pPr>
    </w:p>
    <w:p w14:paraId="05D43C10">
      <w:pPr>
        <w:pStyle w:val="35"/>
        <w:outlineLvl w:val="9"/>
        <w:rPr>
          <w:rFonts w:hint="eastAsia" w:ascii="宋体" w:hAnsi="宋体" w:eastAsia="宋体" w:cs="宋体"/>
          <w:b/>
          <w:bCs/>
          <w:sz w:val="24"/>
          <w:lang w:val="en-US" w:eastAsia="zh-CN"/>
        </w:rPr>
      </w:pPr>
    </w:p>
    <w:p w14:paraId="056B180A">
      <w:pPr>
        <w:pStyle w:val="35"/>
        <w:outlineLvl w:val="9"/>
        <w:rPr>
          <w:rFonts w:hint="eastAsia" w:ascii="宋体" w:hAnsi="宋体" w:eastAsia="宋体" w:cs="宋体"/>
          <w:b/>
          <w:bCs/>
          <w:sz w:val="24"/>
          <w:lang w:val="en-US" w:eastAsia="zh-CN"/>
        </w:rPr>
      </w:pPr>
    </w:p>
    <w:p w14:paraId="5690F174">
      <w:pPr>
        <w:pStyle w:val="35"/>
        <w:outlineLvl w:val="9"/>
        <w:rPr>
          <w:rFonts w:hint="eastAsia" w:ascii="宋体" w:hAnsi="宋体" w:eastAsia="宋体" w:cs="宋体"/>
          <w:b/>
          <w:bCs/>
          <w:sz w:val="24"/>
          <w:lang w:val="en-US" w:eastAsia="zh-CN"/>
        </w:rPr>
      </w:pPr>
    </w:p>
    <w:p w14:paraId="66F1AA24">
      <w:pPr>
        <w:pStyle w:val="35"/>
        <w:outlineLvl w:val="9"/>
        <w:rPr>
          <w:rFonts w:hint="eastAsia" w:ascii="宋体" w:hAnsi="宋体" w:eastAsia="宋体" w:cs="宋体"/>
          <w:b/>
          <w:bCs/>
          <w:sz w:val="24"/>
          <w:lang w:val="en-US" w:eastAsia="zh-CN"/>
        </w:rPr>
      </w:pPr>
    </w:p>
    <w:p w14:paraId="29F7F8C4">
      <w:pPr>
        <w:pStyle w:val="35"/>
        <w:outlineLvl w:val="9"/>
        <w:rPr>
          <w:rFonts w:hint="eastAsia" w:ascii="宋体" w:hAnsi="宋体" w:eastAsia="宋体" w:cs="宋体"/>
          <w:b/>
          <w:bCs/>
          <w:sz w:val="24"/>
          <w:lang w:val="en-US" w:eastAsia="zh-CN"/>
        </w:rPr>
      </w:pPr>
    </w:p>
    <w:p w14:paraId="1B7CC7E2">
      <w:pPr>
        <w:pStyle w:val="35"/>
        <w:outlineLvl w:val="9"/>
        <w:rPr>
          <w:rFonts w:hint="eastAsia" w:ascii="宋体" w:hAnsi="宋体" w:eastAsia="宋体" w:cs="宋体"/>
          <w:b/>
          <w:bCs/>
          <w:sz w:val="24"/>
          <w:lang w:val="en-US" w:eastAsia="zh-CN"/>
        </w:rPr>
      </w:pPr>
    </w:p>
    <w:p w14:paraId="69502BBA">
      <w:pPr>
        <w:pStyle w:val="35"/>
        <w:outlineLvl w:val="9"/>
        <w:rPr>
          <w:rFonts w:hint="eastAsia" w:ascii="宋体" w:hAnsi="宋体" w:eastAsia="宋体" w:cs="宋体"/>
          <w:b/>
          <w:bCs/>
          <w:sz w:val="24"/>
          <w:lang w:val="en-US" w:eastAsia="zh-CN"/>
        </w:rPr>
      </w:pPr>
    </w:p>
    <w:p w14:paraId="196D72C2">
      <w:pPr>
        <w:pStyle w:val="35"/>
        <w:outlineLvl w:val="9"/>
        <w:rPr>
          <w:rFonts w:hint="eastAsia" w:ascii="宋体" w:hAnsi="宋体" w:eastAsia="宋体" w:cs="宋体"/>
          <w:b/>
          <w:bCs/>
          <w:sz w:val="24"/>
          <w:lang w:val="en-US" w:eastAsia="zh-CN"/>
        </w:rPr>
      </w:pPr>
    </w:p>
    <w:p w14:paraId="7671A5BE">
      <w:pPr>
        <w:pStyle w:val="35"/>
        <w:outlineLvl w:val="9"/>
        <w:rPr>
          <w:rFonts w:hint="eastAsia" w:ascii="宋体" w:hAnsi="宋体" w:eastAsia="宋体" w:cs="宋体"/>
          <w:b/>
          <w:bCs/>
          <w:sz w:val="24"/>
          <w:lang w:val="en-US" w:eastAsia="zh-CN"/>
        </w:rPr>
      </w:pPr>
    </w:p>
    <w:p w14:paraId="733B4B3F">
      <w:pPr>
        <w:pStyle w:val="35"/>
        <w:outlineLvl w:val="9"/>
        <w:rPr>
          <w:rFonts w:hint="eastAsia" w:ascii="宋体" w:hAnsi="宋体" w:eastAsia="宋体" w:cs="宋体"/>
          <w:b/>
          <w:bCs/>
          <w:sz w:val="24"/>
          <w:lang w:val="en-US" w:eastAsia="zh-CN"/>
        </w:rPr>
      </w:pPr>
    </w:p>
    <w:p w14:paraId="6B66A41D">
      <w:pPr>
        <w:pStyle w:val="35"/>
        <w:outlineLvl w:val="9"/>
        <w:rPr>
          <w:rFonts w:hint="eastAsia" w:ascii="宋体" w:hAnsi="宋体" w:eastAsia="宋体" w:cs="宋体"/>
          <w:b/>
          <w:bCs/>
          <w:sz w:val="24"/>
          <w:lang w:val="en-US" w:eastAsia="zh-CN"/>
        </w:rPr>
      </w:pPr>
    </w:p>
    <w:p w14:paraId="3F5DAE9D">
      <w:pPr>
        <w:pStyle w:val="35"/>
        <w:outlineLvl w:val="9"/>
        <w:rPr>
          <w:rFonts w:hint="eastAsia" w:ascii="宋体" w:hAnsi="宋体" w:eastAsia="宋体" w:cs="宋体"/>
          <w:b/>
          <w:bCs/>
          <w:sz w:val="24"/>
          <w:lang w:val="en-US" w:eastAsia="zh-CN"/>
        </w:rPr>
      </w:pPr>
    </w:p>
    <w:p w14:paraId="76A617D9">
      <w:pPr>
        <w:pStyle w:val="35"/>
        <w:outlineLvl w:val="9"/>
        <w:rPr>
          <w:rFonts w:hint="eastAsia" w:ascii="宋体" w:hAnsi="宋体" w:eastAsia="宋体" w:cs="宋体"/>
          <w:b/>
          <w:bCs/>
          <w:sz w:val="24"/>
          <w:lang w:val="en-US" w:eastAsia="zh-CN"/>
        </w:rPr>
      </w:pPr>
    </w:p>
    <w:p w14:paraId="185EB605">
      <w:pPr>
        <w:pStyle w:val="35"/>
        <w:outlineLvl w:val="9"/>
        <w:rPr>
          <w:rFonts w:hint="eastAsia" w:ascii="宋体" w:hAnsi="宋体" w:eastAsia="宋体" w:cs="宋体"/>
          <w:b/>
          <w:bCs/>
          <w:sz w:val="24"/>
          <w:lang w:val="en-US" w:eastAsia="zh-CN"/>
        </w:rPr>
      </w:pPr>
    </w:p>
    <w:p w14:paraId="028DFE76">
      <w:pPr>
        <w:pStyle w:val="35"/>
        <w:outlineLvl w:val="9"/>
        <w:rPr>
          <w:rFonts w:hint="eastAsia" w:ascii="宋体" w:hAnsi="宋体" w:eastAsia="宋体" w:cs="宋体"/>
          <w:b/>
          <w:bCs/>
          <w:sz w:val="24"/>
          <w:lang w:val="en-US" w:eastAsia="zh-CN"/>
        </w:rPr>
      </w:pPr>
    </w:p>
    <w:p w14:paraId="57BF5FE2">
      <w:pPr>
        <w:pStyle w:val="35"/>
        <w:outlineLvl w:val="9"/>
        <w:rPr>
          <w:rFonts w:hint="eastAsia" w:ascii="宋体" w:hAnsi="宋体" w:eastAsia="宋体" w:cs="宋体"/>
          <w:b/>
          <w:bCs/>
          <w:sz w:val="24"/>
          <w:lang w:val="en-US" w:eastAsia="zh-CN"/>
        </w:rPr>
      </w:pPr>
    </w:p>
    <w:p w14:paraId="7116D1D4">
      <w:pPr>
        <w:pStyle w:val="35"/>
        <w:outlineLvl w:val="9"/>
        <w:rPr>
          <w:rFonts w:hint="eastAsia" w:ascii="宋体" w:hAnsi="宋体" w:eastAsia="宋体" w:cs="宋体"/>
          <w:b/>
          <w:bCs/>
          <w:sz w:val="24"/>
          <w:lang w:val="en-US" w:eastAsia="zh-CN"/>
        </w:rPr>
      </w:pPr>
    </w:p>
    <w:p w14:paraId="456B500E">
      <w:pPr>
        <w:pStyle w:val="35"/>
        <w:outlineLvl w:val="9"/>
        <w:rPr>
          <w:rFonts w:hint="eastAsia" w:ascii="宋体" w:hAnsi="宋体" w:eastAsia="宋体" w:cs="宋体"/>
          <w:b/>
          <w:bCs/>
          <w:sz w:val="24"/>
          <w:lang w:val="en-US" w:eastAsia="zh-CN"/>
        </w:rPr>
      </w:pPr>
    </w:p>
    <w:p w14:paraId="19CB6654">
      <w:pPr>
        <w:pStyle w:val="35"/>
        <w:outlineLvl w:val="9"/>
        <w:rPr>
          <w:rFonts w:hint="eastAsia" w:ascii="宋体" w:hAnsi="宋体" w:eastAsia="宋体" w:cs="宋体"/>
          <w:b/>
          <w:bCs/>
          <w:sz w:val="24"/>
          <w:lang w:val="en-US" w:eastAsia="zh-CN"/>
        </w:rPr>
      </w:pPr>
    </w:p>
    <w:p w14:paraId="6524EA6B">
      <w:pPr>
        <w:pStyle w:val="35"/>
        <w:outlineLvl w:val="9"/>
        <w:rPr>
          <w:rFonts w:hint="eastAsia" w:ascii="宋体" w:hAnsi="宋体" w:eastAsia="宋体" w:cs="宋体"/>
          <w:b/>
          <w:bCs/>
          <w:sz w:val="24"/>
          <w:lang w:val="en-US" w:eastAsia="zh-CN"/>
        </w:rPr>
      </w:pPr>
    </w:p>
    <w:p w14:paraId="21D30C1D">
      <w:pPr>
        <w:pStyle w:val="35"/>
        <w:outlineLvl w:val="9"/>
        <w:rPr>
          <w:rFonts w:hint="eastAsia" w:ascii="宋体" w:hAnsi="宋体" w:eastAsia="宋体" w:cs="宋体"/>
          <w:b/>
          <w:bCs/>
          <w:sz w:val="24"/>
          <w:lang w:val="en-US" w:eastAsia="zh-CN"/>
        </w:rPr>
      </w:pPr>
    </w:p>
    <w:p w14:paraId="05C81DAA">
      <w:pPr>
        <w:pStyle w:val="35"/>
        <w:outlineLvl w:val="9"/>
        <w:rPr>
          <w:rFonts w:hint="eastAsia" w:ascii="宋体" w:hAnsi="宋体" w:eastAsia="宋体" w:cs="宋体"/>
          <w:b/>
          <w:bCs/>
          <w:sz w:val="24"/>
          <w:lang w:val="en-US" w:eastAsia="zh-CN"/>
        </w:rPr>
      </w:pPr>
    </w:p>
    <w:bookmarkEnd w:id="282"/>
    <w:bookmarkEnd w:id="321"/>
    <w:bookmarkEnd w:id="322"/>
    <w:bookmarkEnd w:id="361"/>
    <w:bookmarkEnd w:id="367"/>
    <w:bookmarkEnd w:id="368"/>
    <w:bookmarkEnd w:id="369"/>
    <w:p w14:paraId="26E712F6">
      <w:pPr>
        <w:numPr>
          <w:ilvl w:val="0"/>
          <w:numId w:val="0"/>
        </w:numPr>
        <w:spacing w:line="360" w:lineRule="auto"/>
        <w:jc w:val="center"/>
        <w:outlineLvl w:val="1"/>
        <w:rPr>
          <w:rFonts w:hint="eastAsia" w:ascii="宋体" w:hAnsi="宋体" w:cs="宋体"/>
          <w:b/>
          <w:sz w:val="36"/>
          <w:szCs w:val="24"/>
          <w:lang w:val="en-US" w:eastAsia="zh-CN"/>
        </w:rPr>
        <w:sectPr>
          <w:pgSz w:w="11906" w:h="16838"/>
          <w:pgMar w:top="1417" w:right="1669" w:bottom="1361" w:left="1417" w:header="851" w:footer="992" w:gutter="0"/>
          <w:pgNumType w:fmt="decimal"/>
          <w:cols w:space="720" w:num="1"/>
          <w:docGrid w:linePitch="312" w:charSpace="0"/>
        </w:sectPr>
      </w:pPr>
      <w:bookmarkStart w:id="404" w:name="_Toc4907"/>
      <w:bookmarkStart w:id="405" w:name="_Toc15686"/>
      <w:bookmarkStart w:id="406" w:name="_Toc7932"/>
      <w:bookmarkStart w:id="407" w:name="_Toc26336"/>
    </w:p>
    <w:p w14:paraId="2BC769CF">
      <w:pPr>
        <w:numPr>
          <w:ilvl w:val="0"/>
          <w:numId w:val="0"/>
        </w:numPr>
        <w:spacing w:line="360" w:lineRule="auto"/>
        <w:jc w:val="center"/>
        <w:outlineLvl w:val="1"/>
        <w:rPr>
          <w:rFonts w:hint="eastAsia" w:ascii="宋体" w:hAnsi="宋体" w:eastAsia="宋体" w:cs="宋体"/>
          <w:b/>
          <w:sz w:val="36"/>
          <w:szCs w:val="24"/>
        </w:rPr>
      </w:pPr>
      <w:bookmarkStart w:id="408" w:name="_Toc14558"/>
      <w:bookmarkStart w:id="409" w:name="_Toc15908"/>
      <w:bookmarkStart w:id="410" w:name="_Toc30692"/>
      <w:r>
        <w:rPr>
          <w:rFonts w:hint="eastAsia" w:ascii="宋体" w:hAnsi="宋体" w:cs="宋体"/>
          <w:b/>
          <w:sz w:val="36"/>
          <w:szCs w:val="24"/>
          <w:lang w:val="en-US" w:eastAsia="zh-CN"/>
        </w:rPr>
        <w:t>七、</w:t>
      </w:r>
      <w:r>
        <w:rPr>
          <w:rFonts w:hint="eastAsia" w:ascii="宋体" w:hAnsi="宋体" w:eastAsia="宋体" w:cs="宋体"/>
          <w:b/>
          <w:sz w:val="36"/>
          <w:szCs w:val="24"/>
        </w:rPr>
        <w:t>商务偏离表</w:t>
      </w:r>
      <w:bookmarkEnd w:id="404"/>
      <w:bookmarkEnd w:id="405"/>
      <w:bookmarkEnd w:id="406"/>
      <w:bookmarkEnd w:id="407"/>
      <w:bookmarkEnd w:id="408"/>
      <w:bookmarkEnd w:id="409"/>
      <w:bookmarkEnd w:id="410"/>
    </w:p>
    <w:p w14:paraId="5BBF74D0">
      <w:pPr>
        <w:spacing w:line="360" w:lineRule="auto"/>
        <w:outlineLvl w:val="9"/>
        <w:rPr>
          <w:rFonts w:hint="eastAsia"/>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 xml:space="preserve">            采购项目编号：</w:t>
      </w:r>
      <w:r>
        <w:rPr>
          <w:rFonts w:hint="eastAsia" w:ascii="宋体" w:hAnsi="宋体" w:cs="宋体"/>
          <w:color w:val="000000"/>
          <w:sz w:val="24"/>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13B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52FBE82D">
            <w:pPr>
              <w:spacing w:line="360" w:lineRule="auto"/>
              <w:jc w:val="center"/>
              <w:outlineLvl w:val="9"/>
              <w:rPr>
                <w:rFonts w:hint="eastAsia" w:ascii="宋体" w:hAnsi="宋体" w:cs="宋体"/>
                <w:b/>
                <w:color w:val="000000"/>
                <w:sz w:val="24"/>
              </w:rPr>
            </w:pPr>
            <w:r>
              <w:rPr>
                <w:rFonts w:hint="eastAsia" w:ascii="宋体" w:hAnsi="宋体" w:cs="宋体"/>
                <w:b/>
                <w:sz w:val="24"/>
              </w:rPr>
              <w:t>序号</w:t>
            </w:r>
          </w:p>
        </w:tc>
        <w:tc>
          <w:tcPr>
            <w:tcW w:w="2931" w:type="dxa"/>
            <w:noWrap w:val="0"/>
            <w:vAlign w:val="top"/>
          </w:tcPr>
          <w:p w14:paraId="27E36F54">
            <w:pPr>
              <w:spacing w:line="360" w:lineRule="auto"/>
              <w:jc w:val="center"/>
              <w:outlineLvl w:val="9"/>
              <w:rPr>
                <w:rFonts w:hint="eastAsia" w:ascii="宋体" w:hAnsi="宋体" w:cs="宋体"/>
                <w:b/>
                <w:color w:val="000000"/>
                <w:sz w:val="24"/>
              </w:rPr>
            </w:pPr>
            <w:r>
              <w:rPr>
                <w:rFonts w:hint="eastAsia" w:ascii="宋体" w:hAnsi="宋体" w:cs="宋体"/>
                <w:b/>
                <w:sz w:val="24"/>
              </w:rPr>
              <w:t>竞争性磋商文件商务要求</w:t>
            </w:r>
          </w:p>
        </w:tc>
        <w:tc>
          <w:tcPr>
            <w:tcW w:w="3231" w:type="dxa"/>
            <w:noWrap w:val="0"/>
            <w:vAlign w:val="top"/>
          </w:tcPr>
          <w:p w14:paraId="1385EC64">
            <w:pPr>
              <w:spacing w:line="360" w:lineRule="auto"/>
              <w:jc w:val="center"/>
              <w:outlineLvl w:val="9"/>
              <w:rPr>
                <w:rFonts w:hint="eastAsia" w:ascii="宋体" w:hAnsi="宋体" w:cs="宋体"/>
                <w:b/>
                <w:color w:val="000000"/>
                <w:sz w:val="24"/>
              </w:rPr>
            </w:pPr>
            <w:r>
              <w:rPr>
                <w:rFonts w:hint="eastAsia" w:ascii="宋体" w:hAnsi="宋体" w:cs="宋体"/>
                <w:b/>
                <w:sz w:val="24"/>
              </w:rPr>
              <w:t>竞争性磋商响应文件商务响应</w:t>
            </w:r>
          </w:p>
        </w:tc>
        <w:tc>
          <w:tcPr>
            <w:tcW w:w="1202" w:type="dxa"/>
            <w:noWrap w:val="0"/>
            <w:vAlign w:val="top"/>
          </w:tcPr>
          <w:p w14:paraId="15F6C3BD">
            <w:pPr>
              <w:spacing w:line="360" w:lineRule="auto"/>
              <w:jc w:val="center"/>
              <w:outlineLvl w:val="9"/>
              <w:rPr>
                <w:rFonts w:hint="eastAsia" w:ascii="宋体" w:hAnsi="宋体" w:cs="宋体"/>
                <w:b/>
                <w:color w:val="000000"/>
                <w:sz w:val="24"/>
              </w:rPr>
            </w:pPr>
            <w:r>
              <w:rPr>
                <w:rFonts w:hint="eastAsia" w:ascii="宋体" w:hAnsi="宋体" w:cs="宋体"/>
                <w:b/>
                <w:sz w:val="24"/>
              </w:rPr>
              <w:t>偏离情况</w:t>
            </w:r>
          </w:p>
        </w:tc>
        <w:tc>
          <w:tcPr>
            <w:tcW w:w="1350" w:type="dxa"/>
            <w:noWrap w:val="0"/>
            <w:vAlign w:val="top"/>
          </w:tcPr>
          <w:p w14:paraId="305CD74A">
            <w:pPr>
              <w:spacing w:line="360" w:lineRule="auto"/>
              <w:jc w:val="center"/>
              <w:outlineLvl w:val="9"/>
              <w:rPr>
                <w:rFonts w:hint="eastAsia" w:ascii="宋体" w:hAnsi="宋体" w:cs="宋体"/>
                <w:b/>
                <w:color w:val="000000"/>
                <w:sz w:val="24"/>
              </w:rPr>
            </w:pPr>
            <w:r>
              <w:rPr>
                <w:rFonts w:hint="eastAsia" w:ascii="宋体" w:hAnsi="宋体" w:cs="宋体"/>
                <w:b/>
                <w:sz w:val="24"/>
              </w:rPr>
              <w:t>响应说明</w:t>
            </w:r>
          </w:p>
        </w:tc>
      </w:tr>
      <w:tr w14:paraId="2172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90E4E3">
            <w:pPr>
              <w:spacing w:line="360" w:lineRule="auto"/>
              <w:jc w:val="center"/>
              <w:outlineLvl w:val="9"/>
              <w:rPr>
                <w:rFonts w:hint="eastAsia" w:ascii="宋体" w:hAnsi="宋体" w:cs="宋体"/>
                <w:color w:val="000000"/>
                <w:sz w:val="24"/>
              </w:rPr>
            </w:pPr>
          </w:p>
        </w:tc>
        <w:tc>
          <w:tcPr>
            <w:tcW w:w="2931" w:type="dxa"/>
            <w:noWrap w:val="0"/>
            <w:vAlign w:val="top"/>
          </w:tcPr>
          <w:p w14:paraId="6A328D2F">
            <w:pPr>
              <w:spacing w:line="360" w:lineRule="auto"/>
              <w:jc w:val="center"/>
              <w:outlineLvl w:val="9"/>
              <w:rPr>
                <w:rFonts w:hint="eastAsia" w:ascii="宋体" w:hAnsi="宋体" w:cs="宋体"/>
                <w:color w:val="000000"/>
                <w:sz w:val="24"/>
              </w:rPr>
            </w:pPr>
          </w:p>
        </w:tc>
        <w:tc>
          <w:tcPr>
            <w:tcW w:w="3231" w:type="dxa"/>
            <w:noWrap w:val="0"/>
            <w:vAlign w:val="top"/>
          </w:tcPr>
          <w:p w14:paraId="6643DF68">
            <w:pPr>
              <w:spacing w:line="360" w:lineRule="auto"/>
              <w:jc w:val="center"/>
              <w:outlineLvl w:val="9"/>
              <w:rPr>
                <w:rFonts w:hint="eastAsia" w:ascii="宋体" w:hAnsi="宋体" w:cs="宋体"/>
                <w:color w:val="000000"/>
                <w:sz w:val="24"/>
              </w:rPr>
            </w:pPr>
          </w:p>
        </w:tc>
        <w:tc>
          <w:tcPr>
            <w:tcW w:w="1202" w:type="dxa"/>
            <w:noWrap w:val="0"/>
            <w:vAlign w:val="top"/>
          </w:tcPr>
          <w:p w14:paraId="15D1C897">
            <w:pPr>
              <w:spacing w:line="360" w:lineRule="auto"/>
              <w:jc w:val="center"/>
              <w:outlineLvl w:val="9"/>
              <w:rPr>
                <w:rFonts w:hint="eastAsia" w:ascii="宋体" w:hAnsi="宋体" w:cs="宋体"/>
                <w:color w:val="000000"/>
                <w:sz w:val="24"/>
              </w:rPr>
            </w:pPr>
          </w:p>
        </w:tc>
        <w:tc>
          <w:tcPr>
            <w:tcW w:w="1350" w:type="dxa"/>
            <w:noWrap w:val="0"/>
            <w:vAlign w:val="top"/>
          </w:tcPr>
          <w:p w14:paraId="1ED27CCE">
            <w:pPr>
              <w:spacing w:line="360" w:lineRule="auto"/>
              <w:jc w:val="center"/>
              <w:outlineLvl w:val="9"/>
              <w:rPr>
                <w:rFonts w:hint="eastAsia" w:ascii="宋体" w:hAnsi="宋体" w:cs="宋体"/>
                <w:color w:val="000000"/>
                <w:sz w:val="24"/>
              </w:rPr>
            </w:pPr>
          </w:p>
        </w:tc>
      </w:tr>
      <w:tr w14:paraId="4595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2A6FBB">
            <w:pPr>
              <w:spacing w:line="360" w:lineRule="auto"/>
              <w:jc w:val="center"/>
              <w:outlineLvl w:val="9"/>
              <w:rPr>
                <w:rFonts w:hint="eastAsia" w:ascii="宋体" w:hAnsi="宋体" w:cs="宋体"/>
                <w:color w:val="000000"/>
                <w:sz w:val="24"/>
              </w:rPr>
            </w:pPr>
          </w:p>
        </w:tc>
        <w:tc>
          <w:tcPr>
            <w:tcW w:w="2931" w:type="dxa"/>
            <w:noWrap w:val="0"/>
            <w:vAlign w:val="top"/>
          </w:tcPr>
          <w:p w14:paraId="005822A2">
            <w:pPr>
              <w:spacing w:line="360" w:lineRule="auto"/>
              <w:jc w:val="center"/>
              <w:outlineLvl w:val="9"/>
              <w:rPr>
                <w:rFonts w:hint="eastAsia" w:ascii="宋体" w:hAnsi="宋体" w:cs="宋体"/>
                <w:color w:val="000000"/>
                <w:sz w:val="24"/>
              </w:rPr>
            </w:pPr>
          </w:p>
        </w:tc>
        <w:tc>
          <w:tcPr>
            <w:tcW w:w="3231" w:type="dxa"/>
            <w:noWrap w:val="0"/>
            <w:vAlign w:val="top"/>
          </w:tcPr>
          <w:p w14:paraId="05C4DA24">
            <w:pPr>
              <w:spacing w:line="360" w:lineRule="auto"/>
              <w:jc w:val="center"/>
              <w:outlineLvl w:val="9"/>
              <w:rPr>
                <w:rFonts w:hint="eastAsia" w:ascii="宋体" w:hAnsi="宋体" w:cs="宋体"/>
                <w:color w:val="000000"/>
                <w:sz w:val="24"/>
              </w:rPr>
            </w:pPr>
          </w:p>
        </w:tc>
        <w:tc>
          <w:tcPr>
            <w:tcW w:w="1202" w:type="dxa"/>
            <w:noWrap w:val="0"/>
            <w:vAlign w:val="top"/>
          </w:tcPr>
          <w:p w14:paraId="0D2C997B">
            <w:pPr>
              <w:spacing w:line="360" w:lineRule="auto"/>
              <w:jc w:val="center"/>
              <w:outlineLvl w:val="9"/>
              <w:rPr>
                <w:rFonts w:hint="eastAsia" w:ascii="宋体" w:hAnsi="宋体" w:cs="宋体"/>
                <w:color w:val="000000"/>
                <w:sz w:val="24"/>
              </w:rPr>
            </w:pPr>
          </w:p>
        </w:tc>
        <w:tc>
          <w:tcPr>
            <w:tcW w:w="1350" w:type="dxa"/>
            <w:noWrap w:val="0"/>
            <w:vAlign w:val="top"/>
          </w:tcPr>
          <w:p w14:paraId="4C732BB1">
            <w:pPr>
              <w:spacing w:line="360" w:lineRule="auto"/>
              <w:jc w:val="center"/>
              <w:outlineLvl w:val="9"/>
              <w:rPr>
                <w:rFonts w:hint="eastAsia" w:ascii="宋体" w:hAnsi="宋体" w:cs="宋体"/>
                <w:color w:val="000000"/>
                <w:sz w:val="24"/>
              </w:rPr>
            </w:pPr>
          </w:p>
        </w:tc>
      </w:tr>
      <w:tr w14:paraId="02DBF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0587961">
            <w:pPr>
              <w:spacing w:line="360" w:lineRule="auto"/>
              <w:jc w:val="center"/>
              <w:outlineLvl w:val="9"/>
              <w:rPr>
                <w:rFonts w:hint="eastAsia" w:ascii="宋体" w:hAnsi="宋体" w:cs="宋体"/>
                <w:color w:val="000000"/>
                <w:sz w:val="24"/>
              </w:rPr>
            </w:pPr>
          </w:p>
        </w:tc>
        <w:tc>
          <w:tcPr>
            <w:tcW w:w="2931" w:type="dxa"/>
            <w:noWrap w:val="0"/>
            <w:vAlign w:val="top"/>
          </w:tcPr>
          <w:p w14:paraId="39EF93E2">
            <w:pPr>
              <w:spacing w:line="360" w:lineRule="auto"/>
              <w:jc w:val="center"/>
              <w:outlineLvl w:val="9"/>
              <w:rPr>
                <w:rFonts w:hint="eastAsia" w:ascii="宋体" w:hAnsi="宋体" w:cs="宋体"/>
                <w:color w:val="000000"/>
                <w:sz w:val="24"/>
              </w:rPr>
            </w:pPr>
          </w:p>
        </w:tc>
        <w:tc>
          <w:tcPr>
            <w:tcW w:w="3231" w:type="dxa"/>
            <w:noWrap w:val="0"/>
            <w:vAlign w:val="top"/>
          </w:tcPr>
          <w:p w14:paraId="73A2DC92">
            <w:pPr>
              <w:spacing w:line="360" w:lineRule="auto"/>
              <w:jc w:val="center"/>
              <w:outlineLvl w:val="9"/>
              <w:rPr>
                <w:rFonts w:hint="eastAsia" w:ascii="宋体" w:hAnsi="宋体" w:cs="宋体"/>
                <w:color w:val="000000"/>
                <w:sz w:val="24"/>
              </w:rPr>
            </w:pPr>
          </w:p>
        </w:tc>
        <w:tc>
          <w:tcPr>
            <w:tcW w:w="1202" w:type="dxa"/>
            <w:noWrap w:val="0"/>
            <w:vAlign w:val="top"/>
          </w:tcPr>
          <w:p w14:paraId="658FF46F">
            <w:pPr>
              <w:spacing w:line="360" w:lineRule="auto"/>
              <w:jc w:val="center"/>
              <w:outlineLvl w:val="9"/>
              <w:rPr>
                <w:rFonts w:hint="eastAsia" w:ascii="宋体" w:hAnsi="宋体" w:cs="宋体"/>
                <w:color w:val="000000"/>
                <w:sz w:val="24"/>
              </w:rPr>
            </w:pPr>
          </w:p>
        </w:tc>
        <w:tc>
          <w:tcPr>
            <w:tcW w:w="1350" w:type="dxa"/>
            <w:noWrap w:val="0"/>
            <w:vAlign w:val="top"/>
          </w:tcPr>
          <w:p w14:paraId="4EDED950">
            <w:pPr>
              <w:spacing w:line="360" w:lineRule="auto"/>
              <w:jc w:val="center"/>
              <w:outlineLvl w:val="9"/>
              <w:rPr>
                <w:rFonts w:hint="eastAsia" w:ascii="宋体" w:hAnsi="宋体" w:cs="宋体"/>
                <w:color w:val="000000"/>
                <w:sz w:val="24"/>
              </w:rPr>
            </w:pPr>
          </w:p>
        </w:tc>
      </w:tr>
      <w:tr w14:paraId="7E18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6948317">
            <w:pPr>
              <w:spacing w:line="360" w:lineRule="auto"/>
              <w:jc w:val="center"/>
              <w:outlineLvl w:val="9"/>
              <w:rPr>
                <w:rFonts w:hint="eastAsia" w:ascii="宋体" w:hAnsi="宋体" w:cs="宋体"/>
                <w:color w:val="000000"/>
                <w:sz w:val="24"/>
              </w:rPr>
            </w:pPr>
          </w:p>
        </w:tc>
        <w:tc>
          <w:tcPr>
            <w:tcW w:w="2931" w:type="dxa"/>
            <w:noWrap w:val="0"/>
            <w:vAlign w:val="top"/>
          </w:tcPr>
          <w:p w14:paraId="2523FA2E">
            <w:pPr>
              <w:spacing w:line="360" w:lineRule="auto"/>
              <w:jc w:val="center"/>
              <w:outlineLvl w:val="9"/>
              <w:rPr>
                <w:rFonts w:hint="eastAsia" w:ascii="宋体" w:hAnsi="宋体" w:cs="宋体"/>
                <w:color w:val="000000"/>
                <w:sz w:val="24"/>
              </w:rPr>
            </w:pPr>
          </w:p>
        </w:tc>
        <w:tc>
          <w:tcPr>
            <w:tcW w:w="3231" w:type="dxa"/>
            <w:noWrap w:val="0"/>
            <w:vAlign w:val="top"/>
          </w:tcPr>
          <w:p w14:paraId="34235B33">
            <w:pPr>
              <w:spacing w:line="360" w:lineRule="auto"/>
              <w:jc w:val="center"/>
              <w:outlineLvl w:val="9"/>
              <w:rPr>
                <w:rFonts w:hint="eastAsia" w:ascii="宋体" w:hAnsi="宋体" w:cs="宋体"/>
                <w:color w:val="000000"/>
                <w:sz w:val="24"/>
              </w:rPr>
            </w:pPr>
          </w:p>
        </w:tc>
        <w:tc>
          <w:tcPr>
            <w:tcW w:w="1202" w:type="dxa"/>
            <w:noWrap w:val="0"/>
            <w:vAlign w:val="top"/>
          </w:tcPr>
          <w:p w14:paraId="61D2F05C">
            <w:pPr>
              <w:spacing w:line="360" w:lineRule="auto"/>
              <w:jc w:val="center"/>
              <w:outlineLvl w:val="9"/>
              <w:rPr>
                <w:rFonts w:hint="eastAsia" w:ascii="宋体" w:hAnsi="宋体" w:cs="宋体"/>
                <w:color w:val="000000"/>
                <w:sz w:val="24"/>
              </w:rPr>
            </w:pPr>
          </w:p>
        </w:tc>
        <w:tc>
          <w:tcPr>
            <w:tcW w:w="1350" w:type="dxa"/>
            <w:noWrap w:val="0"/>
            <w:vAlign w:val="top"/>
          </w:tcPr>
          <w:p w14:paraId="3BC55D09">
            <w:pPr>
              <w:spacing w:line="360" w:lineRule="auto"/>
              <w:jc w:val="center"/>
              <w:outlineLvl w:val="9"/>
              <w:rPr>
                <w:rFonts w:hint="eastAsia" w:ascii="宋体" w:hAnsi="宋体" w:cs="宋体"/>
                <w:color w:val="000000"/>
                <w:sz w:val="24"/>
              </w:rPr>
            </w:pPr>
          </w:p>
        </w:tc>
      </w:tr>
      <w:tr w14:paraId="3507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802970">
            <w:pPr>
              <w:spacing w:line="360" w:lineRule="auto"/>
              <w:jc w:val="center"/>
              <w:outlineLvl w:val="9"/>
              <w:rPr>
                <w:rFonts w:hint="eastAsia" w:ascii="宋体" w:hAnsi="宋体" w:cs="宋体"/>
                <w:color w:val="000000"/>
                <w:sz w:val="24"/>
              </w:rPr>
            </w:pPr>
          </w:p>
        </w:tc>
        <w:tc>
          <w:tcPr>
            <w:tcW w:w="2931" w:type="dxa"/>
            <w:noWrap w:val="0"/>
            <w:vAlign w:val="top"/>
          </w:tcPr>
          <w:p w14:paraId="41398964">
            <w:pPr>
              <w:spacing w:line="360" w:lineRule="auto"/>
              <w:jc w:val="center"/>
              <w:outlineLvl w:val="9"/>
              <w:rPr>
                <w:rFonts w:hint="eastAsia" w:ascii="宋体" w:hAnsi="宋体" w:cs="宋体"/>
                <w:color w:val="000000"/>
                <w:sz w:val="24"/>
              </w:rPr>
            </w:pPr>
          </w:p>
        </w:tc>
        <w:tc>
          <w:tcPr>
            <w:tcW w:w="3231" w:type="dxa"/>
            <w:noWrap w:val="0"/>
            <w:vAlign w:val="top"/>
          </w:tcPr>
          <w:p w14:paraId="6B109760">
            <w:pPr>
              <w:spacing w:line="360" w:lineRule="auto"/>
              <w:jc w:val="center"/>
              <w:outlineLvl w:val="9"/>
              <w:rPr>
                <w:rFonts w:hint="eastAsia" w:ascii="宋体" w:hAnsi="宋体" w:cs="宋体"/>
                <w:color w:val="000000"/>
                <w:sz w:val="24"/>
              </w:rPr>
            </w:pPr>
          </w:p>
        </w:tc>
        <w:tc>
          <w:tcPr>
            <w:tcW w:w="1202" w:type="dxa"/>
            <w:noWrap w:val="0"/>
            <w:vAlign w:val="top"/>
          </w:tcPr>
          <w:p w14:paraId="1964F042">
            <w:pPr>
              <w:spacing w:line="360" w:lineRule="auto"/>
              <w:jc w:val="center"/>
              <w:outlineLvl w:val="9"/>
              <w:rPr>
                <w:rFonts w:hint="eastAsia" w:ascii="宋体" w:hAnsi="宋体" w:cs="宋体"/>
                <w:color w:val="000000"/>
                <w:sz w:val="24"/>
              </w:rPr>
            </w:pPr>
          </w:p>
        </w:tc>
        <w:tc>
          <w:tcPr>
            <w:tcW w:w="1350" w:type="dxa"/>
            <w:noWrap w:val="0"/>
            <w:vAlign w:val="top"/>
          </w:tcPr>
          <w:p w14:paraId="76133745">
            <w:pPr>
              <w:spacing w:line="360" w:lineRule="auto"/>
              <w:jc w:val="center"/>
              <w:outlineLvl w:val="9"/>
              <w:rPr>
                <w:rFonts w:hint="eastAsia" w:ascii="宋体" w:hAnsi="宋体" w:cs="宋体"/>
                <w:color w:val="000000"/>
                <w:sz w:val="24"/>
              </w:rPr>
            </w:pPr>
          </w:p>
        </w:tc>
      </w:tr>
      <w:tr w14:paraId="4041D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CAB951D">
            <w:pPr>
              <w:spacing w:line="360" w:lineRule="auto"/>
              <w:jc w:val="center"/>
              <w:outlineLvl w:val="9"/>
              <w:rPr>
                <w:rFonts w:hint="eastAsia" w:ascii="宋体" w:hAnsi="宋体" w:cs="宋体"/>
                <w:color w:val="000000"/>
                <w:sz w:val="24"/>
              </w:rPr>
            </w:pPr>
          </w:p>
        </w:tc>
        <w:tc>
          <w:tcPr>
            <w:tcW w:w="2931" w:type="dxa"/>
            <w:noWrap w:val="0"/>
            <w:vAlign w:val="top"/>
          </w:tcPr>
          <w:p w14:paraId="6561A3E3">
            <w:pPr>
              <w:spacing w:line="360" w:lineRule="auto"/>
              <w:jc w:val="center"/>
              <w:outlineLvl w:val="9"/>
              <w:rPr>
                <w:rFonts w:hint="eastAsia" w:ascii="宋体" w:hAnsi="宋体" w:cs="宋体"/>
                <w:color w:val="000000"/>
                <w:sz w:val="24"/>
              </w:rPr>
            </w:pPr>
          </w:p>
        </w:tc>
        <w:tc>
          <w:tcPr>
            <w:tcW w:w="3231" w:type="dxa"/>
            <w:noWrap w:val="0"/>
            <w:vAlign w:val="top"/>
          </w:tcPr>
          <w:p w14:paraId="1B0734A0">
            <w:pPr>
              <w:spacing w:line="360" w:lineRule="auto"/>
              <w:jc w:val="center"/>
              <w:outlineLvl w:val="9"/>
              <w:rPr>
                <w:rFonts w:hint="eastAsia" w:ascii="宋体" w:hAnsi="宋体" w:cs="宋体"/>
                <w:color w:val="000000"/>
                <w:sz w:val="24"/>
              </w:rPr>
            </w:pPr>
          </w:p>
        </w:tc>
        <w:tc>
          <w:tcPr>
            <w:tcW w:w="1202" w:type="dxa"/>
            <w:noWrap w:val="0"/>
            <w:vAlign w:val="top"/>
          </w:tcPr>
          <w:p w14:paraId="11AF1FDD">
            <w:pPr>
              <w:spacing w:line="360" w:lineRule="auto"/>
              <w:jc w:val="center"/>
              <w:outlineLvl w:val="9"/>
              <w:rPr>
                <w:rFonts w:hint="eastAsia" w:ascii="宋体" w:hAnsi="宋体" w:cs="宋体"/>
                <w:color w:val="000000"/>
                <w:sz w:val="24"/>
              </w:rPr>
            </w:pPr>
          </w:p>
        </w:tc>
        <w:tc>
          <w:tcPr>
            <w:tcW w:w="1350" w:type="dxa"/>
            <w:noWrap w:val="0"/>
            <w:vAlign w:val="top"/>
          </w:tcPr>
          <w:p w14:paraId="039CB804">
            <w:pPr>
              <w:spacing w:line="360" w:lineRule="auto"/>
              <w:jc w:val="center"/>
              <w:outlineLvl w:val="9"/>
              <w:rPr>
                <w:rFonts w:hint="eastAsia" w:ascii="宋体" w:hAnsi="宋体" w:cs="宋体"/>
                <w:color w:val="000000"/>
                <w:sz w:val="24"/>
              </w:rPr>
            </w:pPr>
          </w:p>
        </w:tc>
      </w:tr>
      <w:tr w14:paraId="598E6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74C636A">
            <w:pPr>
              <w:spacing w:line="360" w:lineRule="auto"/>
              <w:jc w:val="center"/>
              <w:outlineLvl w:val="9"/>
              <w:rPr>
                <w:rFonts w:hint="eastAsia" w:ascii="宋体" w:hAnsi="宋体" w:cs="宋体"/>
                <w:color w:val="000000"/>
                <w:sz w:val="24"/>
              </w:rPr>
            </w:pPr>
          </w:p>
        </w:tc>
        <w:tc>
          <w:tcPr>
            <w:tcW w:w="2931" w:type="dxa"/>
            <w:noWrap w:val="0"/>
            <w:vAlign w:val="top"/>
          </w:tcPr>
          <w:p w14:paraId="5B0012CE">
            <w:pPr>
              <w:spacing w:line="360" w:lineRule="auto"/>
              <w:jc w:val="center"/>
              <w:outlineLvl w:val="9"/>
              <w:rPr>
                <w:rFonts w:hint="eastAsia" w:ascii="宋体" w:hAnsi="宋体" w:cs="宋体"/>
                <w:color w:val="000000"/>
                <w:sz w:val="24"/>
              </w:rPr>
            </w:pPr>
          </w:p>
        </w:tc>
        <w:tc>
          <w:tcPr>
            <w:tcW w:w="3231" w:type="dxa"/>
            <w:noWrap w:val="0"/>
            <w:vAlign w:val="top"/>
          </w:tcPr>
          <w:p w14:paraId="5B7FD6A4">
            <w:pPr>
              <w:spacing w:line="360" w:lineRule="auto"/>
              <w:jc w:val="center"/>
              <w:outlineLvl w:val="9"/>
              <w:rPr>
                <w:rFonts w:hint="eastAsia" w:ascii="宋体" w:hAnsi="宋体" w:cs="宋体"/>
                <w:color w:val="000000"/>
                <w:sz w:val="24"/>
              </w:rPr>
            </w:pPr>
          </w:p>
        </w:tc>
        <w:tc>
          <w:tcPr>
            <w:tcW w:w="1202" w:type="dxa"/>
            <w:noWrap w:val="0"/>
            <w:vAlign w:val="top"/>
          </w:tcPr>
          <w:p w14:paraId="229A30D7">
            <w:pPr>
              <w:spacing w:line="360" w:lineRule="auto"/>
              <w:jc w:val="center"/>
              <w:outlineLvl w:val="9"/>
              <w:rPr>
                <w:rFonts w:hint="eastAsia" w:ascii="宋体" w:hAnsi="宋体" w:cs="宋体"/>
                <w:color w:val="000000"/>
                <w:sz w:val="24"/>
              </w:rPr>
            </w:pPr>
          </w:p>
        </w:tc>
        <w:tc>
          <w:tcPr>
            <w:tcW w:w="1350" w:type="dxa"/>
            <w:noWrap w:val="0"/>
            <w:vAlign w:val="top"/>
          </w:tcPr>
          <w:p w14:paraId="5149987D">
            <w:pPr>
              <w:spacing w:line="360" w:lineRule="auto"/>
              <w:jc w:val="center"/>
              <w:outlineLvl w:val="9"/>
              <w:rPr>
                <w:rFonts w:hint="eastAsia" w:ascii="宋体" w:hAnsi="宋体" w:cs="宋体"/>
                <w:color w:val="000000"/>
                <w:sz w:val="24"/>
              </w:rPr>
            </w:pPr>
          </w:p>
        </w:tc>
      </w:tr>
      <w:tr w14:paraId="061A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A17BF76">
            <w:pPr>
              <w:spacing w:line="360" w:lineRule="auto"/>
              <w:jc w:val="center"/>
              <w:outlineLvl w:val="9"/>
              <w:rPr>
                <w:rFonts w:hint="eastAsia" w:ascii="宋体" w:hAnsi="宋体" w:cs="宋体"/>
                <w:color w:val="000000"/>
                <w:sz w:val="24"/>
              </w:rPr>
            </w:pPr>
          </w:p>
        </w:tc>
        <w:tc>
          <w:tcPr>
            <w:tcW w:w="2931" w:type="dxa"/>
            <w:noWrap w:val="0"/>
            <w:vAlign w:val="top"/>
          </w:tcPr>
          <w:p w14:paraId="36ADB999">
            <w:pPr>
              <w:spacing w:line="360" w:lineRule="auto"/>
              <w:jc w:val="center"/>
              <w:outlineLvl w:val="9"/>
              <w:rPr>
                <w:rFonts w:hint="eastAsia" w:ascii="宋体" w:hAnsi="宋体" w:cs="宋体"/>
                <w:color w:val="000000"/>
                <w:sz w:val="24"/>
              </w:rPr>
            </w:pPr>
          </w:p>
        </w:tc>
        <w:tc>
          <w:tcPr>
            <w:tcW w:w="3231" w:type="dxa"/>
            <w:noWrap w:val="0"/>
            <w:vAlign w:val="top"/>
          </w:tcPr>
          <w:p w14:paraId="706D9040">
            <w:pPr>
              <w:spacing w:line="360" w:lineRule="auto"/>
              <w:jc w:val="center"/>
              <w:outlineLvl w:val="9"/>
              <w:rPr>
                <w:rFonts w:hint="eastAsia" w:ascii="宋体" w:hAnsi="宋体" w:cs="宋体"/>
                <w:color w:val="000000"/>
                <w:sz w:val="24"/>
              </w:rPr>
            </w:pPr>
          </w:p>
        </w:tc>
        <w:tc>
          <w:tcPr>
            <w:tcW w:w="1202" w:type="dxa"/>
            <w:noWrap w:val="0"/>
            <w:vAlign w:val="top"/>
          </w:tcPr>
          <w:p w14:paraId="771D1E20">
            <w:pPr>
              <w:spacing w:line="360" w:lineRule="auto"/>
              <w:jc w:val="center"/>
              <w:outlineLvl w:val="9"/>
              <w:rPr>
                <w:rFonts w:hint="eastAsia" w:ascii="宋体" w:hAnsi="宋体" w:cs="宋体"/>
                <w:color w:val="000000"/>
                <w:sz w:val="24"/>
              </w:rPr>
            </w:pPr>
          </w:p>
        </w:tc>
        <w:tc>
          <w:tcPr>
            <w:tcW w:w="1350" w:type="dxa"/>
            <w:noWrap w:val="0"/>
            <w:vAlign w:val="top"/>
          </w:tcPr>
          <w:p w14:paraId="1BD0E88F">
            <w:pPr>
              <w:spacing w:line="360" w:lineRule="auto"/>
              <w:jc w:val="center"/>
              <w:outlineLvl w:val="9"/>
              <w:rPr>
                <w:rFonts w:hint="eastAsia" w:ascii="宋体" w:hAnsi="宋体" w:cs="宋体"/>
                <w:color w:val="000000"/>
                <w:sz w:val="24"/>
              </w:rPr>
            </w:pPr>
          </w:p>
        </w:tc>
      </w:tr>
      <w:tr w14:paraId="65CA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E0B6844">
            <w:pPr>
              <w:spacing w:line="360" w:lineRule="auto"/>
              <w:jc w:val="center"/>
              <w:outlineLvl w:val="9"/>
              <w:rPr>
                <w:rFonts w:hint="eastAsia" w:ascii="宋体" w:hAnsi="宋体" w:cs="宋体"/>
                <w:color w:val="000000"/>
                <w:sz w:val="24"/>
              </w:rPr>
            </w:pPr>
          </w:p>
        </w:tc>
        <w:tc>
          <w:tcPr>
            <w:tcW w:w="2931" w:type="dxa"/>
            <w:noWrap w:val="0"/>
            <w:vAlign w:val="top"/>
          </w:tcPr>
          <w:p w14:paraId="1D78F7A1">
            <w:pPr>
              <w:spacing w:line="360" w:lineRule="auto"/>
              <w:jc w:val="center"/>
              <w:outlineLvl w:val="9"/>
              <w:rPr>
                <w:rFonts w:hint="eastAsia" w:ascii="宋体" w:hAnsi="宋体" w:cs="宋体"/>
                <w:color w:val="000000"/>
                <w:sz w:val="24"/>
              </w:rPr>
            </w:pPr>
          </w:p>
        </w:tc>
        <w:tc>
          <w:tcPr>
            <w:tcW w:w="3231" w:type="dxa"/>
            <w:noWrap w:val="0"/>
            <w:vAlign w:val="top"/>
          </w:tcPr>
          <w:p w14:paraId="628049D2">
            <w:pPr>
              <w:spacing w:line="360" w:lineRule="auto"/>
              <w:jc w:val="center"/>
              <w:outlineLvl w:val="9"/>
              <w:rPr>
                <w:rFonts w:hint="eastAsia" w:ascii="宋体" w:hAnsi="宋体" w:cs="宋体"/>
                <w:color w:val="000000"/>
                <w:sz w:val="24"/>
              </w:rPr>
            </w:pPr>
          </w:p>
        </w:tc>
        <w:tc>
          <w:tcPr>
            <w:tcW w:w="1202" w:type="dxa"/>
            <w:noWrap w:val="0"/>
            <w:vAlign w:val="top"/>
          </w:tcPr>
          <w:p w14:paraId="6D343859">
            <w:pPr>
              <w:spacing w:line="360" w:lineRule="auto"/>
              <w:jc w:val="center"/>
              <w:outlineLvl w:val="9"/>
              <w:rPr>
                <w:rFonts w:hint="eastAsia" w:ascii="宋体" w:hAnsi="宋体" w:cs="宋体"/>
                <w:color w:val="000000"/>
                <w:sz w:val="24"/>
              </w:rPr>
            </w:pPr>
          </w:p>
        </w:tc>
        <w:tc>
          <w:tcPr>
            <w:tcW w:w="1350" w:type="dxa"/>
            <w:noWrap w:val="0"/>
            <w:vAlign w:val="top"/>
          </w:tcPr>
          <w:p w14:paraId="6BC1DE28">
            <w:pPr>
              <w:spacing w:line="360" w:lineRule="auto"/>
              <w:jc w:val="center"/>
              <w:outlineLvl w:val="9"/>
              <w:rPr>
                <w:rFonts w:hint="eastAsia" w:ascii="宋体" w:hAnsi="宋体" w:cs="宋体"/>
                <w:color w:val="000000"/>
                <w:sz w:val="24"/>
              </w:rPr>
            </w:pPr>
          </w:p>
        </w:tc>
      </w:tr>
      <w:tr w14:paraId="156F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32FAC4F">
            <w:pPr>
              <w:spacing w:line="360" w:lineRule="auto"/>
              <w:jc w:val="center"/>
              <w:outlineLvl w:val="9"/>
              <w:rPr>
                <w:rFonts w:hint="eastAsia" w:ascii="宋体" w:hAnsi="宋体" w:cs="宋体"/>
                <w:color w:val="000000"/>
                <w:sz w:val="24"/>
              </w:rPr>
            </w:pPr>
          </w:p>
        </w:tc>
        <w:tc>
          <w:tcPr>
            <w:tcW w:w="2931" w:type="dxa"/>
            <w:noWrap w:val="0"/>
            <w:vAlign w:val="top"/>
          </w:tcPr>
          <w:p w14:paraId="7620F84A">
            <w:pPr>
              <w:spacing w:line="360" w:lineRule="auto"/>
              <w:jc w:val="center"/>
              <w:outlineLvl w:val="9"/>
              <w:rPr>
                <w:rFonts w:hint="eastAsia" w:ascii="宋体" w:hAnsi="宋体" w:cs="宋体"/>
                <w:color w:val="000000"/>
                <w:sz w:val="24"/>
              </w:rPr>
            </w:pPr>
          </w:p>
        </w:tc>
        <w:tc>
          <w:tcPr>
            <w:tcW w:w="3231" w:type="dxa"/>
            <w:noWrap w:val="0"/>
            <w:vAlign w:val="top"/>
          </w:tcPr>
          <w:p w14:paraId="4034817F">
            <w:pPr>
              <w:spacing w:line="360" w:lineRule="auto"/>
              <w:jc w:val="center"/>
              <w:outlineLvl w:val="9"/>
              <w:rPr>
                <w:rFonts w:hint="eastAsia" w:ascii="宋体" w:hAnsi="宋体" w:cs="宋体"/>
                <w:color w:val="000000"/>
                <w:sz w:val="24"/>
              </w:rPr>
            </w:pPr>
          </w:p>
        </w:tc>
        <w:tc>
          <w:tcPr>
            <w:tcW w:w="1202" w:type="dxa"/>
            <w:noWrap w:val="0"/>
            <w:vAlign w:val="top"/>
          </w:tcPr>
          <w:p w14:paraId="14C18998">
            <w:pPr>
              <w:spacing w:line="360" w:lineRule="auto"/>
              <w:jc w:val="center"/>
              <w:outlineLvl w:val="9"/>
              <w:rPr>
                <w:rFonts w:hint="eastAsia" w:ascii="宋体" w:hAnsi="宋体" w:cs="宋体"/>
                <w:color w:val="000000"/>
                <w:sz w:val="24"/>
              </w:rPr>
            </w:pPr>
          </w:p>
        </w:tc>
        <w:tc>
          <w:tcPr>
            <w:tcW w:w="1350" w:type="dxa"/>
            <w:noWrap w:val="0"/>
            <w:vAlign w:val="top"/>
          </w:tcPr>
          <w:p w14:paraId="35B03A9C">
            <w:pPr>
              <w:spacing w:line="360" w:lineRule="auto"/>
              <w:jc w:val="center"/>
              <w:outlineLvl w:val="9"/>
              <w:rPr>
                <w:rFonts w:hint="eastAsia" w:ascii="宋体" w:hAnsi="宋体" w:cs="宋体"/>
                <w:color w:val="000000"/>
                <w:sz w:val="24"/>
              </w:rPr>
            </w:pPr>
          </w:p>
        </w:tc>
      </w:tr>
      <w:tr w14:paraId="1C70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D451C2B">
            <w:pPr>
              <w:spacing w:line="360" w:lineRule="auto"/>
              <w:jc w:val="center"/>
              <w:outlineLvl w:val="9"/>
              <w:rPr>
                <w:rFonts w:hint="eastAsia" w:ascii="宋体" w:hAnsi="宋体" w:cs="宋体"/>
                <w:color w:val="000000"/>
                <w:sz w:val="24"/>
              </w:rPr>
            </w:pPr>
          </w:p>
        </w:tc>
        <w:tc>
          <w:tcPr>
            <w:tcW w:w="2931" w:type="dxa"/>
            <w:noWrap w:val="0"/>
            <w:vAlign w:val="top"/>
          </w:tcPr>
          <w:p w14:paraId="09C39550">
            <w:pPr>
              <w:spacing w:line="360" w:lineRule="auto"/>
              <w:jc w:val="center"/>
              <w:outlineLvl w:val="9"/>
              <w:rPr>
                <w:rFonts w:hint="eastAsia" w:ascii="宋体" w:hAnsi="宋体" w:cs="宋体"/>
                <w:color w:val="000000"/>
                <w:sz w:val="24"/>
              </w:rPr>
            </w:pPr>
          </w:p>
        </w:tc>
        <w:tc>
          <w:tcPr>
            <w:tcW w:w="3231" w:type="dxa"/>
            <w:noWrap w:val="0"/>
            <w:vAlign w:val="top"/>
          </w:tcPr>
          <w:p w14:paraId="77E293BF">
            <w:pPr>
              <w:spacing w:line="360" w:lineRule="auto"/>
              <w:jc w:val="center"/>
              <w:outlineLvl w:val="9"/>
              <w:rPr>
                <w:rFonts w:hint="eastAsia" w:ascii="宋体" w:hAnsi="宋体" w:cs="宋体"/>
                <w:color w:val="000000"/>
                <w:sz w:val="24"/>
              </w:rPr>
            </w:pPr>
          </w:p>
        </w:tc>
        <w:tc>
          <w:tcPr>
            <w:tcW w:w="1202" w:type="dxa"/>
            <w:noWrap w:val="0"/>
            <w:vAlign w:val="top"/>
          </w:tcPr>
          <w:p w14:paraId="5E75C55D">
            <w:pPr>
              <w:spacing w:line="360" w:lineRule="auto"/>
              <w:jc w:val="center"/>
              <w:outlineLvl w:val="9"/>
              <w:rPr>
                <w:rFonts w:hint="eastAsia" w:ascii="宋体" w:hAnsi="宋体" w:cs="宋体"/>
                <w:color w:val="000000"/>
                <w:sz w:val="24"/>
              </w:rPr>
            </w:pPr>
          </w:p>
        </w:tc>
        <w:tc>
          <w:tcPr>
            <w:tcW w:w="1350" w:type="dxa"/>
            <w:noWrap w:val="0"/>
            <w:vAlign w:val="top"/>
          </w:tcPr>
          <w:p w14:paraId="02A5615D">
            <w:pPr>
              <w:spacing w:line="360" w:lineRule="auto"/>
              <w:jc w:val="center"/>
              <w:outlineLvl w:val="9"/>
              <w:rPr>
                <w:rFonts w:hint="eastAsia" w:ascii="宋体" w:hAnsi="宋体" w:cs="宋体"/>
                <w:color w:val="000000"/>
                <w:sz w:val="24"/>
              </w:rPr>
            </w:pPr>
          </w:p>
        </w:tc>
      </w:tr>
      <w:tr w14:paraId="3904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C38686A">
            <w:pPr>
              <w:spacing w:line="360" w:lineRule="auto"/>
              <w:jc w:val="center"/>
              <w:outlineLvl w:val="9"/>
              <w:rPr>
                <w:rFonts w:hint="eastAsia" w:ascii="宋体" w:hAnsi="宋体" w:cs="宋体"/>
                <w:color w:val="000000"/>
                <w:sz w:val="24"/>
              </w:rPr>
            </w:pPr>
          </w:p>
        </w:tc>
        <w:tc>
          <w:tcPr>
            <w:tcW w:w="2931" w:type="dxa"/>
            <w:noWrap w:val="0"/>
            <w:vAlign w:val="top"/>
          </w:tcPr>
          <w:p w14:paraId="01DDDCA9">
            <w:pPr>
              <w:spacing w:line="360" w:lineRule="auto"/>
              <w:jc w:val="center"/>
              <w:outlineLvl w:val="9"/>
              <w:rPr>
                <w:rFonts w:hint="eastAsia" w:ascii="宋体" w:hAnsi="宋体" w:cs="宋体"/>
                <w:color w:val="000000"/>
                <w:sz w:val="24"/>
              </w:rPr>
            </w:pPr>
          </w:p>
        </w:tc>
        <w:tc>
          <w:tcPr>
            <w:tcW w:w="3231" w:type="dxa"/>
            <w:noWrap w:val="0"/>
            <w:vAlign w:val="top"/>
          </w:tcPr>
          <w:p w14:paraId="49131E98">
            <w:pPr>
              <w:spacing w:line="360" w:lineRule="auto"/>
              <w:jc w:val="center"/>
              <w:outlineLvl w:val="9"/>
              <w:rPr>
                <w:rFonts w:hint="eastAsia" w:ascii="宋体" w:hAnsi="宋体" w:cs="宋体"/>
                <w:color w:val="000000"/>
                <w:sz w:val="24"/>
              </w:rPr>
            </w:pPr>
          </w:p>
        </w:tc>
        <w:tc>
          <w:tcPr>
            <w:tcW w:w="1202" w:type="dxa"/>
            <w:noWrap w:val="0"/>
            <w:vAlign w:val="top"/>
          </w:tcPr>
          <w:p w14:paraId="5508C1D5">
            <w:pPr>
              <w:spacing w:line="360" w:lineRule="auto"/>
              <w:jc w:val="center"/>
              <w:outlineLvl w:val="9"/>
              <w:rPr>
                <w:rFonts w:hint="eastAsia" w:ascii="宋体" w:hAnsi="宋体" w:cs="宋体"/>
                <w:color w:val="000000"/>
                <w:sz w:val="24"/>
              </w:rPr>
            </w:pPr>
          </w:p>
        </w:tc>
        <w:tc>
          <w:tcPr>
            <w:tcW w:w="1350" w:type="dxa"/>
            <w:noWrap w:val="0"/>
            <w:vAlign w:val="top"/>
          </w:tcPr>
          <w:p w14:paraId="17EA065C">
            <w:pPr>
              <w:spacing w:line="360" w:lineRule="auto"/>
              <w:jc w:val="center"/>
              <w:outlineLvl w:val="9"/>
              <w:rPr>
                <w:rFonts w:hint="eastAsia" w:ascii="宋体" w:hAnsi="宋体" w:cs="宋体"/>
                <w:color w:val="000000"/>
                <w:sz w:val="24"/>
              </w:rPr>
            </w:pPr>
          </w:p>
        </w:tc>
      </w:tr>
    </w:tbl>
    <w:p w14:paraId="6D50D3F1">
      <w:pPr>
        <w:spacing w:line="360" w:lineRule="auto"/>
        <w:ind w:right="-161"/>
        <w:outlineLvl w:val="9"/>
        <w:rPr>
          <w:rFonts w:hint="eastAsia" w:ascii="宋体" w:hAnsi="宋体" w:cs="宋体"/>
          <w:color w:val="000000"/>
          <w:sz w:val="24"/>
        </w:rPr>
      </w:pPr>
      <w:r>
        <w:rPr>
          <w:rFonts w:hint="eastAsia" w:ascii="宋体" w:hAnsi="宋体" w:cs="宋体"/>
          <w:color w:val="000000"/>
          <w:sz w:val="24"/>
        </w:rPr>
        <w:t>说明：</w:t>
      </w:r>
    </w:p>
    <w:p w14:paraId="43DB1448">
      <w:pPr>
        <w:spacing w:line="360" w:lineRule="auto"/>
        <w:ind w:right="-161" w:firstLine="480" w:firstLineChars="200"/>
        <w:outlineLvl w:val="9"/>
        <w:rPr>
          <w:rFonts w:ascii="宋体" w:hAnsi="宋体" w:cs="宋体"/>
          <w:color w:val="000000"/>
          <w:sz w:val="24"/>
        </w:rPr>
      </w:pPr>
      <w:r>
        <w:rPr>
          <w:rFonts w:hint="eastAsia" w:ascii="宋体" w:hAnsi="宋体" w:cs="宋体"/>
          <w:color w:val="000000"/>
          <w:sz w:val="24"/>
        </w:rPr>
        <w:t>1、竞争性磋商响应文件根据磋商文件的商务要求</w:t>
      </w:r>
      <w:r>
        <w:rPr>
          <w:rFonts w:hint="eastAsia" w:ascii="宋体" w:hAnsi="宋体" w:cs="宋体"/>
          <w:color w:val="000000"/>
          <w:sz w:val="24"/>
          <w:szCs w:val="22"/>
        </w:rPr>
        <w:t>如</w:t>
      </w:r>
      <w:r>
        <w:rPr>
          <w:rFonts w:hint="eastAsia" w:ascii="宋体" w:hAnsi="宋体" w:cs="宋体"/>
          <w:color w:val="000000"/>
          <w:sz w:val="24"/>
        </w:rPr>
        <w:t>实填写。</w:t>
      </w:r>
    </w:p>
    <w:p w14:paraId="1D074AB7">
      <w:pPr>
        <w:spacing w:line="360" w:lineRule="auto"/>
        <w:ind w:right="-161" w:firstLine="480" w:firstLineChars="200"/>
        <w:outlineLvl w:val="9"/>
        <w:rPr>
          <w:rFonts w:ascii="宋体" w:hAnsi="宋体" w:cs="宋体"/>
          <w:color w:val="000000"/>
          <w:sz w:val="24"/>
        </w:rPr>
      </w:pPr>
      <w:r>
        <w:rPr>
          <w:rFonts w:hint="eastAsia" w:ascii="宋体" w:hAnsi="宋体" w:cs="宋体"/>
          <w:color w:val="000000"/>
          <w:sz w:val="24"/>
        </w:rPr>
        <w:t>2、偏离情况填写：正偏离、无偏离、负偏离。</w:t>
      </w:r>
    </w:p>
    <w:p w14:paraId="1BEB2040">
      <w:pPr>
        <w:spacing w:line="360" w:lineRule="auto"/>
        <w:ind w:firstLine="480" w:firstLineChars="200"/>
        <w:outlineLvl w:val="9"/>
        <w:rPr>
          <w:rFonts w:ascii="宋体" w:hAnsi="宋体" w:cs="宋体"/>
          <w:sz w:val="24"/>
        </w:rPr>
      </w:pPr>
      <w:r>
        <w:rPr>
          <w:rFonts w:hint="eastAsia" w:ascii="宋体" w:hAnsi="宋体" w:cs="宋体"/>
          <w:color w:val="000000"/>
          <w:sz w:val="24"/>
        </w:rPr>
        <w:t>3、响应说明填写：优于、相同、低于并对偏离情况做出详细的说明。</w:t>
      </w:r>
    </w:p>
    <w:p w14:paraId="15560F67">
      <w:pPr>
        <w:spacing w:line="360" w:lineRule="auto"/>
        <w:ind w:right="-161" w:firstLine="2640" w:firstLineChars="1100"/>
        <w:outlineLvl w:val="9"/>
        <w:rPr>
          <w:rFonts w:hint="eastAsia" w:ascii="宋体" w:hAnsi="宋体" w:cs="宋体"/>
          <w:color w:val="000000"/>
          <w:sz w:val="24"/>
          <w:szCs w:val="24"/>
        </w:rPr>
      </w:pPr>
    </w:p>
    <w:p w14:paraId="7DFDDAE7">
      <w:pPr>
        <w:spacing w:line="360" w:lineRule="auto"/>
        <w:ind w:right="-161"/>
        <w:jc w:val="right"/>
        <w:outlineLvl w:val="9"/>
        <w:rPr>
          <w:rFonts w:hint="eastAsia" w:ascii="宋体" w:hAnsi="宋体" w:cs="宋体"/>
          <w:sz w:val="24"/>
          <w:szCs w:val="24"/>
          <w:u w:val="single"/>
        </w:rPr>
      </w:pPr>
      <w:r>
        <w:rPr>
          <w:rFonts w:hint="eastAsia" w:ascii="宋体" w:hAnsi="宋体" w:cs="宋体"/>
          <w:sz w:val="24"/>
          <w:szCs w:val="24"/>
        </w:rPr>
        <w:t xml:space="preserve">   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（盖章或签字）</w:t>
      </w:r>
    </w:p>
    <w:p w14:paraId="573C6631">
      <w:pPr>
        <w:widowControl/>
        <w:spacing w:line="360" w:lineRule="auto"/>
        <w:jc w:val="center"/>
        <w:outlineLvl w:val="9"/>
        <w:rPr>
          <w:rFonts w:hint="eastAsia" w:ascii="宋体" w:hAnsi="宋体" w:cs="宋体"/>
          <w:sz w:val="24"/>
          <w:szCs w:val="24"/>
          <w:u w:val="single"/>
        </w:rPr>
      </w:pPr>
      <w:r>
        <w:rPr>
          <w:rFonts w:hint="eastAsia" w:ascii="宋体" w:hAnsi="宋体" w:cs="宋体"/>
          <w:sz w:val="24"/>
          <w:szCs w:val="24"/>
        </w:rPr>
        <w:t xml:space="preserve">            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14:paraId="2A4C436C">
      <w:pPr>
        <w:spacing w:line="360" w:lineRule="auto"/>
        <w:ind w:firstLine="2160" w:firstLineChars="900"/>
        <w:outlineLvl w:val="9"/>
        <w:rPr>
          <w:rFonts w:hint="eastAsia" w:ascii="宋体" w:hAnsi="宋体" w:cs="宋体"/>
          <w:b/>
          <w:sz w:val="32"/>
          <w:szCs w:val="22"/>
        </w:rPr>
      </w:pPr>
      <w:r>
        <w:rPr>
          <w:rFonts w:hint="eastAsia" w:ascii="宋体" w:hAnsi="宋体" w:cs="宋体"/>
          <w:sz w:val="24"/>
          <w:szCs w:val="24"/>
        </w:rPr>
        <w:t>日                 期：</w:t>
      </w:r>
      <w:r>
        <w:rPr>
          <w:rFonts w:hint="eastAsia" w:ascii="宋体" w:hAnsi="宋体" w:cs="宋体"/>
          <w:sz w:val="24"/>
          <w:szCs w:val="24"/>
          <w:u w:val="single"/>
        </w:rPr>
        <w:t xml:space="preserve">                      </w:t>
      </w:r>
    </w:p>
    <w:p w14:paraId="23377C88">
      <w:pPr>
        <w:spacing w:line="360" w:lineRule="auto"/>
        <w:jc w:val="center"/>
        <w:outlineLvl w:val="9"/>
        <w:rPr>
          <w:rFonts w:hint="eastAsia" w:ascii="宋体" w:hAnsi="宋体" w:eastAsia="宋体" w:cs="宋体"/>
          <w:b/>
          <w:color w:val="auto"/>
          <w:sz w:val="32"/>
          <w:szCs w:val="32"/>
          <w:lang w:eastAsia="zh-CN"/>
        </w:rPr>
        <w:sectPr>
          <w:pgSz w:w="11906" w:h="16838"/>
          <w:pgMar w:top="1417" w:right="1669" w:bottom="1361" w:left="1417" w:header="851" w:footer="992" w:gutter="0"/>
          <w:pgNumType w:fmt="decimal"/>
          <w:cols w:space="720" w:num="1"/>
          <w:docGrid w:linePitch="312" w:charSpace="0"/>
        </w:sectPr>
      </w:pPr>
      <w:bookmarkStart w:id="411" w:name="_Toc6574"/>
      <w:bookmarkStart w:id="412" w:name="_Toc16973"/>
      <w:bookmarkStart w:id="413" w:name="_Toc20312"/>
      <w:bookmarkStart w:id="414" w:name="_Toc18580"/>
      <w:bookmarkStart w:id="415" w:name="_Toc25773"/>
      <w:bookmarkStart w:id="416" w:name="_Toc14309"/>
      <w:bookmarkStart w:id="417" w:name="_Toc16651"/>
      <w:bookmarkStart w:id="418" w:name="_Toc1722"/>
      <w:bookmarkStart w:id="419" w:name="_Toc29582"/>
      <w:bookmarkStart w:id="420" w:name="_Toc10877"/>
    </w:p>
    <w:p w14:paraId="5CEAAC8F">
      <w:pPr>
        <w:spacing w:line="360" w:lineRule="auto"/>
        <w:jc w:val="center"/>
        <w:outlineLvl w:val="1"/>
        <w:rPr>
          <w:rFonts w:hint="eastAsia"/>
          <w:b/>
          <w:bCs/>
          <w:sz w:val="36"/>
          <w:szCs w:val="16"/>
        </w:rPr>
      </w:pPr>
      <w:bookmarkStart w:id="421" w:name="_Toc26057"/>
      <w:bookmarkStart w:id="422" w:name="_Toc9935"/>
      <w:bookmarkStart w:id="423" w:name="_Toc9517"/>
      <w:bookmarkStart w:id="424" w:name="_Toc28299"/>
      <w:bookmarkStart w:id="425" w:name="_Toc5129"/>
      <w:bookmarkStart w:id="426" w:name="_Toc5757"/>
      <w:bookmarkStart w:id="427" w:name="_Toc30566"/>
      <w:bookmarkStart w:id="428" w:name="_Toc21191"/>
      <w:bookmarkStart w:id="429" w:name="_Toc23463"/>
      <w:bookmarkStart w:id="430" w:name="_Toc22784"/>
      <w:r>
        <w:rPr>
          <w:rFonts w:hint="eastAsia"/>
          <w:b/>
          <w:bCs/>
          <w:sz w:val="36"/>
          <w:szCs w:val="16"/>
          <w:lang w:val="en-US" w:eastAsia="zh-CN"/>
        </w:rPr>
        <w:t>八</w:t>
      </w:r>
      <w:r>
        <w:rPr>
          <w:rFonts w:hint="eastAsia"/>
          <w:b/>
          <w:bCs/>
          <w:sz w:val="36"/>
          <w:szCs w:val="16"/>
        </w:rPr>
        <w:t>、法定代表人证明书及法定代表人授权书</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CFF7086">
      <w:pPr>
        <w:pStyle w:val="11"/>
        <w:spacing w:line="360" w:lineRule="auto"/>
        <w:ind w:left="372" w:leftChars="177"/>
        <w:jc w:val="center"/>
        <w:outlineLvl w:val="9"/>
        <w:rPr>
          <w:rFonts w:hint="eastAsia" w:ascii="宋体" w:hAnsi="宋体" w:cs="宋体"/>
          <w:b/>
          <w:bCs/>
          <w:kern w:val="0"/>
          <w:sz w:val="36"/>
          <w:szCs w:val="36"/>
        </w:rPr>
      </w:pPr>
      <w:r>
        <w:rPr>
          <w:rFonts w:hint="eastAsia"/>
          <w:b/>
          <w:bCs/>
          <w:sz w:val="36"/>
          <w:szCs w:val="36"/>
        </w:rPr>
        <w:t>（一）</w:t>
      </w:r>
      <w:r>
        <w:rPr>
          <w:rFonts w:hint="eastAsia" w:ascii="宋体" w:hAnsi="宋体" w:cs="宋体"/>
          <w:b/>
          <w:bCs/>
          <w:sz w:val="36"/>
          <w:szCs w:val="36"/>
        </w:rPr>
        <w:t>法定代表人证明书</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58C8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7B7D7F26">
            <w:pPr>
              <w:tabs>
                <w:tab w:val="left" w:pos="210"/>
              </w:tabs>
              <w:spacing w:line="320" w:lineRule="exact"/>
              <w:outlineLvl w:val="9"/>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陕西华旭晟信项目管理有限责任公司</w:t>
            </w:r>
          </w:p>
        </w:tc>
      </w:tr>
      <w:tr w14:paraId="5C5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1EA38180">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企</w:t>
            </w:r>
          </w:p>
          <w:p w14:paraId="2AAF7674">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业</w:t>
            </w:r>
          </w:p>
          <w:p w14:paraId="4BAD6971">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w:t>
            </w:r>
          </w:p>
          <w:p w14:paraId="28E260B6">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人</w:t>
            </w:r>
          </w:p>
        </w:tc>
        <w:tc>
          <w:tcPr>
            <w:tcW w:w="2067" w:type="dxa"/>
            <w:noWrap w:val="0"/>
            <w:vAlign w:val="center"/>
          </w:tcPr>
          <w:p w14:paraId="5B4EC40E">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企业名称</w:t>
            </w:r>
          </w:p>
        </w:tc>
        <w:tc>
          <w:tcPr>
            <w:tcW w:w="7225" w:type="dxa"/>
            <w:gridSpan w:val="3"/>
            <w:noWrap w:val="0"/>
            <w:vAlign w:val="center"/>
          </w:tcPr>
          <w:p w14:paraId="7808E19A">
            <w:pPr>
              <w:tabs>
                <w:tab w:val="left" w:pos="210"/>
              </w:tabs>
              <w:spacing w:line="320" w:lineRule="exact"/>
              <w:jc w:val="center"/>
              <w:outlineLvl w:val="9"/>
              <w:rPr>
                <w:rFonts w:hint="eastAsia" w:ascii="宋体" w:hAnsi="宋体" w:cs="宋体"/>
                <w:kern w:val="0"/>
                <w:sz w:val="24"/>
              </w:rPr>
            </w:pPr>
          </w:p>
        </w:tc>
      </w:tr>
      <w:tr w14:paraId="028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90A5B3B">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14:paraId="443AD7C6">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法定地址</w:t>
            </w:r>
          </w:p>
        </w:tc>
        <w:tc>
          <w:tcPr>
            <w:tcW w:w="7225" w:type="dxa"/>
            <w:gridSpan w:val="3"/>
            <w:noWrap w:val="0"/>
            <w:vAlign w:val="center"/>
          </w:tcPr>
          <w:p w14:paraId="7EE1AE82">
            <w:pPr>
              <w:tabs>
                <w:tab w:val="left" w:pos="210"/>
              </w:tabs>
              <w:spacing w:line="320" w:lineRule="exact"/>
              <w:jc w:val="center"/>
              <w:outlineLvl w:val="9"/>
              <w:rPr>
                <w:rFonts w:hint="eastAsia" w:ascii="宋体" w:hAnsi="宋体" w:cs="宋体"/>
                <w:kern w:val="0"/>
                <w:sz w:val="24"/>
              </w:rPr>
            </w:pPr>
          </w:p>
        </w:tc>
      </w:tr>
      <w:tr w14:paraId="2F5F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6E03A45">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14:paraId="6127B0E2">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邮政编码</w:t>
            </w:r>
          </w:p>
        </w:tc>
        <w:tc>
          <w:tcPr>
            <w:tcW w:w="7225" w:type="dxa"/>
            <w:gridSpan w:val="3"/>
            <w:noWrap w:val="0"/>
            <w:vAlign w:val="center"/>
          </w:tcPr>
          <w:p w14:paraId="1E143147">
            <w:pPr>
              <w:tabs>
                <w:tab w:val="left" w:pos="210"/>
              </w:tabs>
              <w:spacing w:line="320" w:lineRule="exact"/>
              <w:jc w:val="center"/>
              <w:outlineLvl w:val="9"/>
              <w:rPr>
                <w:rFonts w:hint="eastAsia" w:ascii="宋体" w:hAnsi="宋体" w:cs="宋体"/>
                <w:kern w:val="0"/>
                <w:sz w:val="24"/>
              </w:rPr>
            </w:pPr>
          </w:p>
        </w:tc>
      </w:tr>
      <w:tr w14:paraId="7BED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FD50B09">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14:paraId="71F21D5D">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工商登记机关</w:t>
            </w:r>
          </w:p>
        </w:tc>
        <w:tc>
          <w:tcPr>
            <w:tcW w:w="7225" w:type="dxa"/>
            <w:gridSpan w:val="3"/>
            <w:noWrap w:val="0"/>
            <w:vAlign w:val="center"/>
          </w:tcPr>
          <w:p w14:paraId="42C0AC56">
            <w:pPr>
              <w:tabs>
                <w:tab w:val="left" w:pos="210"/>
              </w:tabs>
              <w:spacing w:line="320" w:lineRule="exact"/>
              <w:jc w:val="center"/>
              <w:outlineLvl w:val="9"/>
              <w:rPr>
                <w:rFonts w:hint="eastAsia" w:ascii="宋体" w:hAnsi="宋体" w:cs="宋体"/>
                <w:kern w:val="0"/>
                <w:sz w:val="24"/>
              </w:rPr>
            </w:pPr>
          </w:p>
        </w:tc>
      </w:tr>
      <w:tr w14:paraId="51B3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36F0996">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14:paraId="1E2AD267">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机构代码证号</w:t>
            </w:r>
          </w:p>
        </w:tc>
        <w:tc>
          <w:tcPr>
            <w:tcW w:w="7225" w:type="dxa"/>
            <w:gridSpan w:val="3"/>
            <w:noWrap w:val="0"/>
            <w:vAlign w:val="center"/>
          </w:tcPr>
          <w:p w14:paraId="711A79A1">
            <w:pPr>
              <w:tabs>
                <w:tab w:val="left" w:pos="210"/>
              </w:tabs>
              <w:spacing w:line="320" w:lineRule="exact"/>
              <w:jc w:val="center"/>
              <w:outlineLvl w:val="9"/>
              <w:rPr>
                <w:rFonts w:hint="eastAsia" w:ascii="宋体" w:hAnsi="宋体" w:cs="宋体"/>
                <w:kern w:val="0"/>
                <w:sz w:val="24"/>
              </w:rPr>
            </w:pPr>
          </w:p>
        </w:tc>
      </w:tr>
      <w:tr w14:paraId="23FB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039CB99E">
            <w:pPr>
              <w:tabs>
                <w:tab w:val="left" w:pos="210"/>
              </w:tabs>
              <w:spacing w:line="320" w:lineRule="exact"/>
              <w:jc w:val="center"/>
              <w:outlineLvl w:val="9"/>
              <w:rPr>
                <w:rFonts w:hint="eastAsia" w:ascii="宋体" w:hAnsi="宋体" w:cs="宋体"/>
                <w:kern w:val="0"/>
                <w:sz w:val="24"/>
              </w:rPr>
            </w:pPr>
            <w:r>
              <w:rPr>
                <w:rFonts w:hint="eastAsia" w:ascii="宋体" w:hAnsi="宋体" w:cs="宋体"/>
                <w:sz w:val="24"/>
                <w:szCs w:val="24"/>
              </w:rPr>
              <w:t>项目名称</w:t>
            </w:r>
          </w:p>
        </w:tc>
        <w:tc>
          <w:tcPr>
            <w:tcW w:w="7225" w:type="dxa"/>
            <w:gridSpan w:val="3"/>
            <w:noWrap w:val="0"/>
            <w:vAlign w:val="center"/>
          </w:tcPr>
          <w:p w14:paraId="01D50CCE">
            <w:pPr>
              <w:tabs>
                <w:tab w:val="left" w:pos="210"/>
              </w:tabs>
              <w:spacing w:line="320" w:lineRule="exact"/>
              <w:jc w:val="center"/>
              <w:outlineLvl w:val="9"/>
              <w:rPr>
                <w:rFonts w:hint="eastAsia" w:ascii="宋体" w:hAnsi="宋体" w:cs="宋体"/>
                <w:kern w:val="0"/>
                <w:sz w:val="24"/>
              </w:rPr>
            </w:pPr>
          </w:p>
        </w:tc>
      </w:tr>
      <w:tr w14:paraId="1309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364CC5B8">
            <w:pPr>
              <w:tabs>
                <w:tab w:val="left" w:pos="210"/>
              </w:tabs>
              <w:spacing w:line="320" w:lineRule="exact"/>
              <w:jc w:val="center"/>
              <w:outlineLvl w:val="9"/>
              <w:rPr>
                <w:rFonts w:hint="eastAsia" w:ascii="宋体" w:hAnsi="宋体" w:cs="宋体"/>
                <w:kern w:val="0"/>
                <w:sz w:val="24"/>
              </w:rPr>
            </w:pPr>
            <w:r>
              <w:rPr>
                <w:rFonts w:hint="eastAsia" w:ascii="宋体" w:hAnsi="宋体" w:cs="宋体"/>
                <w:sz w:val="24"/>
                <w:szCs w:val="24"/>
              </w:rPr>
              <w:t>项目编号</w:t>
            </w:r>
          </w:p>
        </w:tc>
        <w:tc>
          <w:tcPr>
            <w:tcW w:w="7225" w:type="dxa"/>
            <w:gridSpan w:val="3"/>
            <w:noWrap w:val="0"/>
            <w:vAlign w:val="center"/>
          </w:tcPr>
          <w:p w14:paraId="0110417F">
            <w:pPr>
              <w:tabs>
                <w:tab w:val="left" w:pos="210"/>
              </w:tabs>
              <w:spacing w:line="320" w:lineRule="exact"/>
              <w:jc w:val="center"/>
              <w:outlineLvl w:val="9"/>
              <w:rPr>
                <w:rFonts w:hint="eastAsia" w:ascii="宋体" w:hAnsi="宋体" w:cs="宋体"/>
                <w:kern w:val="0"/>
                <w:sz w:val="24"/>
              </w:rPr>
            </w:pPr>
          </w:p>
        </w:tc>
      </w:tr>
      <w:tr w14:paraId="706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4F229E87">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法定代表人</w:t>
            </w:r>
          </w:p>
        </w:tc>
        <w:tc>
          <w:tcPr>
            <w:tcW w:w="2067" w:type="dxa"/>
            <w:noWrap w:val="0"/>
            <w:vAlign w:val="center"/>
          </w:tcPr>
          <w:p w14:paraId="1D8DC21F">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姓名</w:t>
            </w:r>
          </w:p>
        </w:tc>
        <w:tc>
          <w:tcPr>
            <w:tcW w:w="2551" w:type="dxa"/>
            <w:noWrap w:val="0"/>
            <w:vAlign w:val="center"/>
          </w:tcPr>
          <w:p w14:paraId="4537C901">
            <w:pPr>
              <w:tabs>
                <w:tab w:val="left" w:pos="210"/>
              </w:tabs>
              <w:spacing w:line="320" w:lineRule="exact"/>
              <w:jc w:val="center"/>
              <w:outlineLvl w:val="9"/>
              <w:rPr>
                <w:rFonts w:hint="eastAsia" w:ascii="宋体" w:hAnsi="宋体" w:cs="宋体"/>
                <w:kern w:val="0"/>
                <w:sz w:val="24"/>
              </w:rPr>
            </w:pPr>
          </w:p>
        </w:tc>
        <w:tc>
          <w:tcPr>
            <w:tcW w:w="2346" w:type="dxa"/>
            <w:noWrap w:val="0"/>
            <w:vAlign w:val="center"/>
          </w:tcPr>
          <w:p w14:paraId="0ADA78B3">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性别</w:t>
            </w:r>
          </w:p>
        </w:tc>
        <w:tc>
          <w:tcPr>
            <w:tcW w:w="2328" w:type="dxa"/>
            <w:noWrap w:val="0"/>
            <w:vAlign w:val="center"/>
          </w:tcPr>
          <w:p w14:paraId="3453684E">
            <w:pPr>
              <w:tabs>
                <w:tab w:val="left" w:pos="210"/>
              </w:tabs>
              <w:spacing w:line="320" w:lineRule="exact"/>
              <w:jc w:val="center"/>
              <w:outlineLvl w:val="9"/>
              <w:rPr>
                <w:rFonts w:hint="eastAsia" w:ascii="宋体" w:hAnsi="宋体" w:cs="宋体"/>
                <w:kern w:val="0"/>
                <w:sz w:val="24"/>
              </w:rPr>
            </w:pPr>
          </w:p>
        </w:tc>
      </w:tr>
      <w:tr w14:paraId="752C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8F03DC7">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14:paraId="6D1E8B68">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职务</w:t>
            </w:r>
          </w:p>
        </w:tc>
        <w:tc>
          <w:tcPr>
            <w:tcW w:w="2551" w:type="dxa"/>
            <w:noWrap w:val="0"/>
            <w:vAlign w:val="center"/>
          </w:tcPr>
          <w:p w14:paraId="24AD7C61">
            <w:pPr>
              <w:tabs>
                <w:tab w:val="left" w:pos="210"/>
              </w:tabs>
              <w:spacing w:line="320" w:lineRule="exact"/>
              <w:jc w:val="center"/>
              <w:outlineLvl w:val="9"/>
              <w:rPr>
                <w:rFonts w:hint="eastAsia" w:ascii="宋体" w:hAnsi="宋体" w:cs="宋体"/>
                <w:kern w:val="0"/>
                <w:sz w:val="24"/>
              </w:rPr>
            </w:pPr>
          </w:p>
        </w:tc>
        <w:tc>
          <w:tcPr>
            <w:tcW w:w="2346" w:type="dxa"/>
            <w:noWrap w:val="0"/>
            <w:vAlign w:val="center"/>
          </w:tcPr>
          <w:p w14:paraId="0621113B">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联系电话</w:t>
            </w:r>
          </w:p>
        </w:tc>
        <w:tc>
          <w:tcPr>
            <w:tcW w:w="2328" w:type="dxa"/>
            <w:noWrap w:val="0"/>
            <w:vAlign w:val="center"/>
          </w:tcPr>
          <w:p w14:paraId="550978E3">
            <w:pPr>
              <w:tabs>
                <w:tab w:val="left" w:pos="210"/>
              </w:tabs>
              <w:spacing w:line="320" w:lineRule="exact"/>
              <w:jc w:val="center"/>
              <w:outlineLvl w:val="9"/>
              <w:rPr>
                <w:rFonts w:hint="eastAsia" w:ascii="宋体" w:hAnsi="宋体" w:cs="宋体"/>
                <w:kern w:val="0"/>
                <w:sz w:val="24"/>
              </w:rPr>
            </w:pPr>
          </w:p>
        </w:tc>
      </w:tr>
      <w:tr w14:paraId="718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3601C929">
            <w:pPr>
              <w:tabs>
                <w:tab w:val="left" w:pos="210"/>
              </w:tabs>
              <w:spacing w:line="320" w:lineRule="exact"/>
              <w:jc w:val="center"/>
              <w:outlineLvl w:val="9"/>
              <w:rPr>
                <w:rFonts w:hint="eastAsia" w:ascii="宋体" w:hAnsi="宋体" w:cs="宋体"/>
                <w:kern w:val="0"/>
                <w:sz w:val="24"/>
              </w:rPr>
            </w:pPr>
          </w:p>
        </w:tc>
        <w:tc>
          <w:tcPr>
            <w:tcW w:w="2067" w:type="dxa"/>
            <w:noWrap w:val="0"/>
            <w:vAlign w:val="center"/>
          </w:tcPr>
          <w:p w14:paraId="56EA208B">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传真</w:t>
            </w:r>
          </w:p>
        </w:tc>
        <w:tc>
          <w:tcPr>
            <w:tcW w:w="7225" w:type="dxa"/>
            <w:gridSpan w:val="3"/>
            <w:noWrap w:val="0"/>
            <w:vAlign w:val="center"/>
          </w:tcPr>
          <w:p w14:paraId="54EF7488">
            <w:pPr>
              <w:tabs>
                <w:tab w:val="left" w:pos="210"/>
              </w:tabs>
              <w:spacing w:line="320" w:lineRule="exact"/>
              <w:jc w:val="center"/>
              <w:outlineLvl w:val="9"/>
              <w:rPr>
                <w:rFonts w:hint="eastAsia" w:ascii="宋体" w:hAnsi="宋体" w:cs="宋体"/>
                <w:kern w:val="0"/>
                <w:sz w:val="24"/>
              </w:rPr>
            </w:pPr>
          </w:p>
        </w:tc>
      </w:tr>
      <w:tr w14:paraId="1C4C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119745F0">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法定代表人身份证复印件</w:t>
            </w:r>
          </w:p>
        </w:tc>
        <w:tc>
          <w:tcPr>
            <w:tcW w:w="4618" w:type="dxa"/>
            <w:gridSpan w:val="2"/>
            <w:vMerge w:val="restart"/>
            <w:noWrap w:val="0"/>
            <w:vAlign w:val="center"/>
          </w:tcPr>
          <w:p w14:paraId="6D18A79B">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（粘贴处）</w:t>
            </w:r>
          </w:p>
        </w:tc>
        <w:tc>
          <w:tcPr>
            <w:tcW w:w="4674" w:type="dxa"/>
            <w:gridSpan w:val="2"/>
            <w:noWrap w:val="0"/>
            <w:vAlign w:val="center"/>
          </w:tcPr>
          <w:p w14:paraId="56A91894">
            <w:pPr>
              <w:tabs>
                <w:tab w:val="left" w:pos="210"/>
              </w:tabs>
              <w:spacing w:line="320" w:lineRule="exact"/>
              <w:jc w:val="center"/>
              <w:outlineLvl w:val="9"/>
              <w:rPr>
                <w:rFonts w:hint="eastAsia" w:ascii="宋体" w:hAnsi="宋体" w:eastAsia="宋体" w:cs="宋体"/>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1A11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5315EC18">
            <w:pPr>
              <w:tabs>
                <w:tab w:val="left" w:pos="210"/>
              </w:tabs>
              <w:spacing w:line="320" w:lineRule="exact"/>
              <w:jc w:val="center"/>
              <w:outlineLvl w:val="9"/>
              <w:rPr>
                <w:rFonts w:hint="eastAsia" w:ascii="宋体" w:hAnsi="宋体" w:cs="宋体"/>
                <w:kern w:val="0"/>
                <w:sz w:val="24"/>
              </w:rPr>
            </w:pPr>
          </w:p>
        </w:tc>
        <w:tc>
          <w:tcPr>
            <w:tcW w:w="4618" w:type="dxa"/>
            <w:gridSpan w:val="2"/>
            <w:vMerge w:val="continue"/>
            <w:noWrap w:val="0"/>
            <w:vAlign w:val="center"/>
          </w:tcPr>
          <w:p w14:paraId="004BDDCF">
            <w:pPr>
              <w:tabs>
                <w:tab w:val="left" w:pos="210"/>
              </w:tabs>
              <w:spacing w:line="320" w:lineRule="exact"/>
              <w:jc w:val="center"/>
              <w:outlineLvl w:val="9"/>
              <w:rPr>
                <w:rFonts w:hint="eastAsia" w:ascii="宋体" w:hAnsi="宋体" w:cs="宋体"/>
                <w:kern w:val="0"/>
                <w:sz w:val="24"/>
              </w:rPr>
            </w:pPr>
          </w:p>
        </w:tc>
        <w:tc>
          <w:tcPr>
            <w:tcW w:w="4674" w:type="dxa"/>
            <w:gridSpan w:val="2"/>
            <w:noWrap w:val="0"/>
            <w:vAlign w:val="bottom"/>
          </w:tcPr>
          <w:p w14:paraId="50C80549">
            <w:pPr>
              <w:tabs>
                <w:tab w:val="left" w:pos="210"/>
              </w:tabs>
              <w:spacing w:line="320" w:lineRule="exact"/>
              <w:jc w:val="center"/>
              <w:outlineLvl w:val="9"/>
              <w:rPr>
                <w:rFonts w:hint="eastAsia" w:ascii="宋体" w:hAnsi="宋体" w:cs="宋体"/>
                <w:kern w:val="0"/>
                <w:sz w:val="24"/>
              </w:rPr>
            </w:pPr>
            <w:r>
              <w:rPr>
                <w:rFonts w:hint="eastAsia" w:ascii="宋体" w:hAnsi="宋体" w:cs="宋体"/>
                <w:kern w:val="0"/>
                <w:sz w:val="24"/>
              </w:rPr>
              <w:t>（公章）</w:t>
            </w:r>
          </w:p>
          <w:p w14:paraId="05DBC3BC">
            <w:pPr>
              <w:tabs>
                <w:tab w:val="left" w:pos="210"/>
              </w:tabs>
              <w:spacing w:line="320" w:lineRule="exact"/>
              <w:jc w:val="center"/>
              <w:outlineLvl w:val="9"/>
              <w:rPr>
                <w:rFonts w:hint="eastAsia" w:ascii="宋体" w:hAnsi="宋体" w:cs="宋体"/>
                <w:kern w:val="0"/>
                <w:sz w:val="24"/>
              </w:rPr>
            </w:pPr>
          </w:p>
          <w:p w14:paraId="2793DB90">
            <w:pPr>
              <w:tabs>
                <w:tab w:val="left" w:pos="210"/>
              </w:tabs>
              <w:spacing w:line="320" w:lineRule="exact"/>
              <w:jc w:val="center"/>
              <w:outlineLvl w:val="9"/>
              <w:rPr>
                <w:rFonts w:hint="eastAsia" w:ascii="宋体" w:hAnsi="宋体" w:cs="宋体"/>
                <w:kern w:val="0"/>
                <w:sz w:val="24"/>
              </w:rPr>
            </w:pPr>
          </w:p>
          <w:p w14:paraId="7D04630C">
            <w:pPr>
              <w:tabs>
                <w:tab w:val="left" w:pos="210"/>
              </w:tabs>
              <w:spacing w:line="320" w:lineRule="exact"/>
              <w:jc w:val="center"/>
              <w:outlineLvl w:val="9"/>
              <w:rPr>
                <w:rFonts w:hint="eastAsia" w:ascii="宋体" w:hAnsi="宋体" w:cs="宋体"/>
                <w:kern w:val="0"/>
                <w:sz w:val="24"/>
              </w:rPr>
            </w:pPr>
          </w:p>
          <w:p w14:paraId="628BB81F">
            <w:pPr>
              <w:tabs>
                <w:tab w:val="left" w:pos="210"/>
              </w:tabs>
              <w:spacing w:line="320" w:lineRule="exact"/>
              <w:jc w:val="right"/>
              <w:outlineLvl w:val="9"/>
              <w:rPr>
                <w:rFonts w:hint="eastAsia" w:ascii="宋体" w:hAnsi="宋体" w:cs="宋体"/>
                <w:kern w:val="0"/>
                <w:sz w:val="24"/>
              </w:rPr>
            </w:pPr>
            <w:r>
              <w:rPr>
                <w:rFonts w:hint="eastAsia" w:ascii="宋体" w:hAnsi="宋体" w:cs="宋体"/>
                <w:kern w:val="0"/>
                <w:sz w:val="24"/>
              </w:rPr>
              <w:t xml:space="preserve">年  月  日 </w:t>
            </w:r>
          </w:p>
        </w:tc>
      </w:tr>
    </w:tbl>
    <w:p w14:paraId="611234D9">
      <w:pPr>
        <w:tabs>
          <w:tab w:val="left" w:pos="329"/>
        </w:tabs>
        <w:jc w:val="center"/>
        <w:outlineLvl w:val="9"/>
        <w:rPr>
          <w:rFonts w:hint="eastAsia" w:ascii="宋体" w:hAnsi="宋体" w:cs="宋体"/>
          <w:b/>
          <w:sz w:val="32"/>
          <w:szCs w:val="32"/>
        </w:rPr>
      </w:pPr>
    </w:p>
    <w:p w14:paraId="315E9FED">
      <w:pPr>
        <w:tabs>
          <w:tab w:val="left" w:pos="329"/>
        </w:tabs>
        <w:jc w:val="center"/>
        <w:outlineLvl w:val="9"/>
        <w:rPr>
          <w:rFonts w:hint="eastAsia" w:ascii="宋体" w:hAnsi="宋体" w:cs="宋体"/>
        </w:rPr>
      </w:pPr>
      <w:r>
        <w:rPr>
          <w:rFonts w:hint="eastAsia" w:ascii="宋体" w:hAnsi="宋体" w:cs="宋体"/>
          <w:b/>
          <w:sz w:val="32"/>
          <w:szCs w:val="32"/>
        </w:rPr>
        <w:t>（二）法定代表人授权书</w:t>
      </w:r>
    </w:p>
    <w:p w14:paraId="1A52343C">
      <w:pPr>
        <w:tabs>
          <w:tab w:val="left" w:pos="8820"/>
        </w:tabs>
        <w:spacing w:line="360" w:lineRule="auto"/>
        <w:ind w:firstLine="570"/>
        <w:outlineLvl w:val="9"/>
        <w:rPr>
          <w:rFonts w:hint="eastAsia" w:ascii="宋体" w:hAnsi="宋体" w:cs="宋体"/>
          <w:sz w:val="24"/>
          <w:szCs w:val="24"/>
          <w:u w:val="single"/>
        </w:rPr>
      </w:pPr>
      <w:r>
        <w:rPr>
          <w:rFonts w:hint="eastAsia" w:ascii="宋体" w:hAnsi="宋体" w:cs="宋体"/>
          <w:sz w:val="24"/>
          <w:szCs w:val="24"/>
        </w:rPr>
        <w:t>本授权委托书声明：我</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（法定代表人姓名）</w:t>
      </w:r>
      <w:r>
        <w:rPr>
          <w:rFonts w:hint="eastAsia" w:ascii="宋体" w:hAnsi="宋体" w:cs="宋体"/>
          <w:sz w:val="24"/>
          <w:szCs w:val="24"/>
        </w:rPr>
        <w:t>系注册于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（投标人地址）</w:t>
      </w:r>
      <w:r>
        <w:rPr>
          <w:rFonts w:hint="eastAsia" w:ascii="宋体" w:hAnsi="宋体" w:cs="宋体"/>
          <w:sz w:val="24"/>
          <w:szCs w:val="24"/>
        </w:rPr>
        <w:t>的</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（投标人名称）  </w:t>
      </w:r>
      <w:r>
        <w:rPr>
          <w:rFonts w:hint="eastAsia" w:ascii="宋体" w:hAnsi="宋体" w:cs="宋体"/>
          <w:sz w:val="24"/>
          <w:szCs w:val="24"/>
        </w:rPr>
        <w:t>的法定代表人，现代表公司授权下面签字的</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（被授权人的姓名、职务）</w:t>
      </w:r>
      <w:r>
        <w:rPr>
          <w:rFonts w:hint="eastAsia" w:ascii="宋体" w:hAnsi="宋体" w:cs="宋体"/>
          <w:sz w:val="24"/>
          <w:szCs w:val="24"/>
        </w:rPr>
        <w:t>为我公司合法代理人，代表本公司参加</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（采购项目名称）</w:t>
      </w:r>
      <w:r>
        <w:rPr>
          <w:rFonts w:hint="eastAsia" w:ascii="宋体" w:hAnsi="宋体" w:cs="宋体"/>
          <w:sz w:val="24"/>
          <w:szCs w:val="24"/>
        </w:rPr>
        <w:t>采购项目编号：</w:t>
      </w:r>
      <w:r>
        <w:rPr>
          <w:rFonts w:hint="eastAsia" w:ascii="宋体" w:hAnsi="宋体" w:cs="宋体"/>
          <w:sz w:val="24"/>
          <w:szCs w:val="24"/>
          <w:u w:val="single"/>
          <w:lang w:val="en-US" w:eastAsia="zh-CN"/>
        </w:rPr>
        <w:t xml:space="preserve">          </w:t>
      </w:r>
      <w:r>
        <w:rPr>
          <w:rFonts w:hint="eastAsia" w:ascii="宋体" w:hAnsi="宋体" w:cs="宋体"/>
          <w:sz w:val="24"/>
          <w:szCs w:val="24"/>
        </w:rPr>
        <w:t>的投标活动。代理人在本次投标中所签署的一切文件和处理的一切有关事务，我公司均予承认。</w:t>
      </w:r>
    </w:p>
    <w:p w14:paraId="153D9BFE">
      <w:pPr>
        <w:spacing w:line="360" w:lineRule="auto"/>
        <w:ind w:firstLine="570"/>
        <w:outlineLvl w:val="9"/>
        <w:rPr>
          <w:rFonts w:hint="eastAsia" w:ascii="宋体" w:hAnsi="宋体" w:cs="宋体"/>
          <w:sz w:val="24"/>
          <w:szCs w:val="24"/>
        </w:rPr>
      </w:pPr>
      <w:r>
        <w:rPr>
          <w:rFonts w:hint="eastAsia" w:ascii="宋体" w:hAnsi="宋体" w:cs="宋体"/>
          <w:sz w:val="24"/>
          <w:szCs w:val="24"/>
        </w:rPr>
        <w:t>本授权书于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rPr>
        <w:t>日签字</w:t>
      </w:r>
      <w:r>
        <w:rPr>
          <w:rFonts w:hint="eastAsia" w:ascii="宋体" w:hAnsi="宋体" w:cs="宋体"/>
          <w:color w:val="000000"/>
          <w:sz w:val="24"/>
          <w:szCs w:val="24"/>
        </w:rPr>
        <w:t>（盖章）</w:t>
      </w:r>
      <w:r>
        <w:rPr>
          <w:rFonts w:hint="eastAsia" w:ascii="宋体" w:hAnsi="宋体" w:cs="宋体"/>
          <w:sz w:val="24"/>
          <w:szCs w:val="24"/>
        </w:rPr>
        <w:t>生效，有效期自开标之日起</w:t>
      </w:r>
      <w:r>
        <w:rPr>
          <w:rFonts w:hint="eastAsia" w:ascii="宋体" w:hAnsi="宋体" w:cs="宋体"/>
          <w:sz w:val="24"/>
          <w:szCs w:val="24"/>
          <w:u w:val="single"/>
        </w:rPr>
        <w:t xml:space="preserve"> </w:t>
      </w:r>
      <w:r>
        <w:rPr>
          <w:rFonts w:hint="eastAsia" w:ascii="宋体" w:hAnsi="宋体" w:cs="宋体"/>
          <w:sz w:val="24"/>
          <w:szCs w:val="24"/>
        </w:rPr>
        <w:t>天；特此声明。</w:t>
      </w:r>
    </w:p>
    <w:tbl>
      <w:tblPr>
        <w:tblStyle w:val="26"/>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2F841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233B921F">
            <w:pPr>
              <w:spacing w:line="360" w:lineRule="auto"/>
              <w:jc w:val="center"/>
              <w:outlineLvl w:val="9"/>
              <w:rPr>
                <w:rFonts w:hint="eastAsia" w:ascii="宋体" w:hAnsi="宋体" w:cs="宋体"/>
                <w:sz w:val="24"/>
                <w:szCs w:val="24"/>
              </w:rPr>
            </w:pPr>
            <w:r>
              <w:rPr>
                <w:rFonts w:hint="eastAsia" w:ascii="宋体" w:hAnsi="宋体" w:cs="宋体"/>
                <w:sz w:val="24"/>
                <w:szCs w:val="24"/>
              </w:rPr>
              <w:t>法定代表人身份证复印件</w:t>
            </w:r>
          </w:p>
          <w:p w14:paraId="6F9644D7">
            <w:pPr>
              <w:spacing w:line="360" w:lineRule="auto"/>
              <w:jc w:val="center"/>
              <w:outlineLvl w:val="9"/>
              <w:rPr>
                <w:rFonts w:hint="eastAsia" w:ascii="宋体" w:hAnsi="宋体" w:cs="宋体"/>
                <w:sz w:val="24"/>
                <w:szCs w:val="24"/>
              </w:rPr>
            </w:pPr>
          </w:p>
        </w:tc>
        <w:tc>
          <w:tcPr>
            <w:tcW w:w="4470" w:type="dxa"/>
            <w:noWrap w:val="0"/>
            <w:vAlign w:val="center"/>
          </w:tcPr>
          <w:p w14:paraId="760A5C90">
            <w:pPr>
              <w:spacing w:line="360" w:lineRule="auto"/>
              <w:jc w:val="center"/>
              <w:outlineLvl w:val="9"/>
              <w:rPr>
                <w:rFonts w:hint="eastAsia" w:ascii="宋体" w:hAnsi="宋体" w:cs="宋体"/>
                <w:sz w:val="24"/>
                <w:szCs w:val="24"/>
              </w:rPr>
            </w:pPr>
            <w:r>
              <w:rPr>
                <w:rFonts w:hint="eastAsia" w:ascii="宋体" w:hAnsi="宋体" w:cs="宋体"/>
                <w:sz w:val="24"/>
                <w:szCs w:val="24"/>
              </w:rPr>
              <w:t>授权代表身份证复印件</w:t>
            </w:r>
          </w:p>
          <w:p w14:paraId="1EA5B734">
            <w:pPr>
              <w:spacing w:line="360" w:lineRule="auto"/>
              <w:jc w:val="center"/>
              <w:outlineLvl w:val="9"/>
              <w:rPr>
                <w:rFonts w:hint="eastAsia" w:ascii="宋体" w:hAnsi="宋体" w:cs="宋体"/>
                <w:sz w:val="24"/>
                <w:szCs w:val="24"/>
              </w:rPr>
            </w:pPr>
          </w:p>
        </w:tc>
      </w:tr>
      <w:tr w14:paraId="783F7D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2BF86FDC">
            <w:pPr>
              <w:spacing w:line="360" w:lineRule="auto"/>
              <w:jc w:val="center"/>
              <w:outlineLvl w:val="9"/>
              <w:rPr>
                <w:rFonts w:hint="eastAsia" w:ascii="宋体" w:hAnsi="宋体" w:cs="宋体"/>
                <w:sz w:val="24"/>
                <w:szCs w:val="24"/>
              </w:rPr>
            </w:pPr>
            <w:r>
              <w:rPr>
                <w:rFonts w:hint="eastAsia" w:ascii="宋体" w:hAnsi="宋体" w:cs="宋体"/>
                <w:sz w:val="24"/>
                <w:szCs w:val="24"/>
              </w:rPr>
              <w:t>法定代表人身份证复印件</w:t>
            </w:r>
          </w:p>
          <w:p w14:paraId="7C4746A9">
            <w:pPr>
              <w:spacing w:line="360" w:lineRule="auto"/>
              <w:jc w:val="center"/>
              <w:outlineLvl w:val="9"/>
              <w:rPr>
                <w:rFonts w:hint="eastAsia" w:ascii="宋体" w:hAnsi="宋体" w:cs="宋体"/>
                <w:sz w:val="24"/>
                <w:szCs w:val="24"/>
              </w:rPr>
            </w:pPr>
          </w:p>
        </w:tc>
        <w:tc>
          <w:tcPr>
            <w:tcW w:w="4470" w:type="dxa"/>
            <w:noWrap w:val="0"/>
            <w:vAlign w:val="center"/>
          </w:tcPr>
          <w:p w14:paraId="4B1C0C3D">
            <w:pPr>
              <w:spacing w:line="360" w:lineRule="auto"/>
              <w:jc w:val="center"/>
              <w:outlineLvl w:val="9"/>
              <w:rPr>
                <w:rFonts w:hint="eastAsia" w:ascii="宋体" w:hAnsi="宋体" w:cs="宋体"/>
                <w:sz w:val="24"/>
                <w:szCs w:val="24"/>
              </w:rPr>
            </w:pPr>
            <w:r>
              <w:rPr>
                <w:rFonts w:hint="eastAsia" w:ascii="宋体" w:hAnsi="宋体" w:cs="宋体"/>
                <w:sz w:val="24"/>
                <w:szCs w:val="24"/>
              </w:rPr>
              <w:t>授权代表身份证复印件</w:t>
            </w:r>
          </w:p>
          <w:p w14:paraId="0F47696F">
            <w:pPr>
              <w:spacing w:line="360" w:lineRule="auto"/>
              <w:jc w:val="center"/>
              <w:outlineLvl w:val="9"/>
              <w:rPr>
                <w:rFonts w:hint="eastAsia" w:ascii="宋体" w:hAnsi="宋体" w:cs="宋体"/>
                <w:sz w:val="24"/>
                <w:szCs w:val="24"/>
              </w:rPr>
            </w:pPr>
          </w:p>
        </w:tc>
      </w:tr>
    </w:tbl>
    <w:p w14:paraId="386A4438">
      <w:pPr>
        <w:spacing w:line="360" w:lineRule="auto"/>
        <w:ind w:firstLine="482" w:firstLineChars="200"/>
        <w:outlineLvl w:val="9"/>
        <w:rPr>
          <w:rFonts w:hint="eastAsia" w:ascii="宋体" w:hAnsi="宋体" w:cs="宋体"/>
          <w:b/>
          <w:bCs/>
          <w:sz w:val="24"/>
          <w:szCs w:val="22"/>
        </w:rPr>
      </w:pPr>
      <w:r>
        <w:rPr>
          <w:rFonts w:hint="eastAsia" w:ascii="宋体" w:hAnsi="宋体" w:cs="宋体"/>
          <w:b/>
          <w:bCs/>
          <w:sz w:val="24"/>
          <w:szCs w:val="24"/>
        </w:rPr>
        <w:t>注：此授权书的有效期应与投标文件有效期一致。身份证正反面复印件必须依次加盖单位鲜章。</w:t>
      </w:r>
    </w:p>
    <w:p w14:paraId="6842C3E2">
      <w:pPr>
        <w:spacing w:line="360" w:lineRule="auto"/>
        <w:outlineLvl w:val="9"/>
        <w:rPr>
          <w:rFonts w:hint="eastAsia" w:ascii="宋体" w:hAnsi="宋体" w:cs="宋体"/>
          <w:sz w:val="24"/>
          <w:szCs w:val="24"/>
        </w:rPr>
      </w:pPr>
      <w:r>
        <w:rPr>
          <w:rFonts w:hint="eastAsia" w:ascii="宋体" w:hAnsi="宋体" w:cs="宋体"/>
          <w:sz w:val="24"/>
          <w:szCs w:val="24"/>
        </w:rPr>
        <w:t xml:space="preserve">                       </w:t>
      </w:r>
    </w:p>
    <w:p w14:paraId="4ABFD5BD">
      <w:pPr>
        <w:spacing w:line="360" w:lineRule="auto"/>
        <w:ind w:firstLine="3600" w:firstLineChars="1500"/>
        <w:outlineLvl w:val="9"/>
        <w:rPr>
          <w:rFonts w:hint="eastAsia" w:ascii="宋体" w:hAnsi="宋体" w:cs="宋体"/>
          <w:sz w:val="24"/>
          <w:szCs w:val="24"/>
        </w:rPr>
      </w:pPr>
      <w:r>
        <w:rPr>
          <w:rFonts w:hint="eastAsia" w:ascii="宋体" w:hAnsi="宋体" w:cs="宋体"/>
          <w:sz w:val="24"/>
          <w:szCs w:val="24"/>
        </w:rPr>
        <w:t>投标人：</w:t>
      </w:r>
      <w:r>
        <w:rPr>
          <w:rFonts w:hint="eastAsia" w:ascii="宋体" w:hAnsi="宋体" w:cs="宋体"/>
          <w:sz w:val="24"/>
          <w:szCs w:val="24"/>
          <w:u w:val="single"/>
        </w:rPr>
        <w:t xml:space="preserve">                           </w:t>
      </w:r>
      <w:r>
        <w:rPr>
          <w:rFonts w:hint="eastAsia" w:ascii="宋体" w:hAnsi="宋体" w:cs="宋体"/>
          <w:sz w:val="24"/>
          <w:szCs w:val="24"/>
        </w:rPr>
        <w:t>（公章）</w:t>
      </w:r>
    </w:p>
    <w:p w14:paraId="294913B0">
      <w:pPr>
        <w:spacing w:line="360" w:lineRule="auto"/>
        <w:ind w:left="3120" w:hanging="3120" w:hangingChars="1300"/>
        <w:outlineLvl w:val="9"/>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rPr>
        <w:t>（签字</w:t>
      </w:r>
      <w:r>
        <w:rPr>
          <w:rFonts w:hint="eastAsia" w:ascii="宋体" w:hAnsi="宋体" w:cs="宋体"/>
          <w:sz w:val="24"/>
          <w:szCs w:val="24"/>
          <w:lang w:eastAsia="zh-CN"/>
        </w:rPr>
        <w:t>或</w:t>
      </w:r>
      <w:r>
        <w:rPr>
          <w:rFonts w:hint="eastAsia" w:ascii="宋体" w:hAnsi="宋体" w:cs="宋体"/>
          <w:sz w:val="24"/>
          <w:szCs w:val="24"/>
        </w:rPr>
        <w:t>盖章）</w:t>
      </w:r>
    </w:p>
    <w:p w14:paraId="62327872">
      <w:pPr>
        <w:pStyle w:val="11"/>
        <w:ind w:firstLine="3360" w:firstLineChars="1400"/>
        <w:outlineLvl w:val="9"/>
        <w:rPr>
          <w:rFonts w:hint="eastAsia" w:eastAsia="宋体"/>
          <w:lang w:eastAsia="zh-CN"/>
        </w:rPr>
      </w:pPr>
      <w:r>
        <w:rPr>
          <w:rFonts w:hint="eastAsia" w:ascii="宋体" w:hAnsi="宋体" w:eastAsia="宋体" w:cs="宋体"/>
          <w:kern w:val="2"/>
          <w:sz w:val="24"/>
          <w:szCs w:val="24"/>
          <w:lang w:val="en-US" w:eastAsia="zh-CN" w:bidi="ar-SA"/>
        </w:rPr>
        <w:t>授权代表</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u w:val="none"/>
          <w:lang w:eastAsia="zh-CN"/>
        </w:rPr>
        <w:t>（</w:t>
      </w:r>
      <w:r>
        <w:rPr>
          <w:rFonts w:hint="eastAsia" w:ascii="宋体" w:hAnsi="宋体" w:cs="宋体"/>
          <w:sz w:val="24"/>
          <w:szCs w:val="24"/>
          <w:u w:val="none"/>
          <w:lang w:val="en-US" w:eastAsia="zh-CN"/>
        </w:rPr>
        <w:t>签字</w:t>
      </w:r>
      <w:r>
        <w:rPr>
          <w:rFonts w:hint="eastAsia" w:ascii="宋体" w:hAnsi="宋体" w:cs="宋体"/>
          <w:sz w:val="24"/>
          <w:szCs w:val="24"/>
          <w:u w:val="none"/>
          <w:lang w:eastAsia="zh-CN"/>
        </w:rPr>
        <w:t>）</w:t>
      </w:r>
    </w:p>
    <w:p w14:paraId="7C947BAD">
      <w:pPr>
        <w:pStyle w:val="11"/>
        <w:ind w:firstLine="3360" w:firstLineChars="1400"/>
        <w:outlineLvl w:val="9"/>
        <w:rPr>
          <w:rFonts w:hint="eastAsia" w:ascii="宋体" w:hAnsi="宋体" w:cs="宋体"/>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宋体" w:hAnsi="宋体" w:cs="宋体"/>
          <w:sz w:val="24"/>
          <w:szCs w:val="24"/>
        </w:rPr>
        <w:t>日    期：</w:t>
      </w:r>
      <w:r>
        <w:rPr>
          <w:rFonts w:hint="eastAsia" w:ascii="宋体" w:hAnsi="宋体" w:cs="宋体"/>
          <w:sz w:val="24"/>
          <w:szCs w:val="24"/>
          <w:u w:val="single"/>
        </w:rPr>
        <w:t xml:space="preserve">                             </w:t>
      </w:r>
    </w:p>
    <w:p w14:paraId="34E9AA35">
      <w:pPr>
        <w:spacing w:line="360" w:lineRule="auto"/>
        <w:jc w:val="center"/>
        <w:outlineLvl w:val="1"/>
        <w:rPr>
          <w:rFonts w:hint="eastAsia" w:ascii="宋体" w:hAnsi="宋体" w:eastAsia="宋体" w:cs="宋体"/>
          <w:b/>
          <w:sz w:val="32"/>
          <w:szCs w:val="32"/>
        </w:rPr>
      </w:pPr>
      <w:bookmarkStart w:id="431" w:name="_Toc27147"/>
      <w:bookmarkStart w:id="432" w:name="_Toc4340"/>
      <w:bookmarkStart w:id="433" w:name="_Toc28711"/>
      <w:bookmarkStart w:id="434" w:name="_Toc24901"/>
      <w:bookmarkStart w:id="435" w:name="_Toc12973"/>
      <w:bookmarkStart w:id="436" w:name="_Toc31996"/>
      <w:bookmarkStart w:id="437" w:name="_Toc2388"/>
      <w:bookmarkStart w:id="438" w:name="_Toc22538"/>
      <w:bookmarkStart w:id="439" w:name="_Toc9724"/>
      <w:bookmarkStart w:id="440" w:name="_Toc21538"/>
      <w:r>
        <w:rPr>
          <w:rFonts w:hint="eastAsia" w:ascii="宋体" w:hAnsi="宋体" w:cs="宋体"/>
          <w:b/>
          <w:bCs/>
          <w:color w:val="000000"/>
          <w:kern w:val="0"/>
          <w:sz w:val="36"/>
          <w:szCs w:val="36"/>
          <w:lang w:val="en-US" w:eastAsia="zh-CN" w:bidi="ar"/>
        </w:rPr>
        <w:t>九</w:t>
      </w:r>
      <w:r>
        <w:rPr>
          <w:rFonts w:hint="eastAsia" w:ascii="宋体" w:hAnsi="宋体" w:cs="宋体"/>
          <w:b/>
          <w:bCs/>
          <w:color w:val="000000"/>
          <w:kern w:val="0"/>
          <w:sz w:val="36"/>
          <w:szCs w:val="36"/>
          <w:lang w:bidi="ar"/>
        </w:rPr>
        <w:t>、</w:t>
      </w:r>
      <w:bookmarkEnd w:id="431"/>
      <w:bookmarkEnd w:id="432"/>
      <w:bookmarkEnd w:id="433"/>
      <w:bookmarkEnd w:id="434"/>
      <w:bookmarkEnd w:id="435"/>
      <w:bookmarkEnd w:id="436"/>
      <w:bookmarkStart w:id="441" w:name="_Toc1221"/>
      <w:bookmarkStart w:id="442" w:name="_Toc10427"/>
      <w:bookmarkStart w:id="443" w:name="_Toc5108"/>
      <w:bookmarkStart w:id="444" w:name="_Toc21962"/>
      <w:bookmarkStart w:id="445" w:name="_Toc2265"/>
      <w:r>
        <w:rPr>
          <w:rFonts w:hint="eastAsia" w:ascii="宋体" w:hAnsi="宋体" w:eastAsia="宋体" w:cs="宋体"/>
          <w:b/>
          <w:sz w:val="32"/>
          <w:szCs w:val="32"/>
          <w:lang w:val="en-US" w:eastAsia="zh-CN"/>
        </w:rPr>
        <w:t>中小</w:t>
      </w:r>
      <w:r>
        <w:rPr>
          <w:rFonts w:hint="eastAsia" w:ascii="宋体" w:hAnsi="宋体" w:eastAsia="宋体" w:cs="宋体"/>
          <w:b/>
          <w:sz w:val="32"/>
          <w:szCs w:val="32"/>
        </w:rPr>
        <w:t>企业、监狱企业、残疾人福利单位声明函或证明</w:t>
      </w:r>
      <w:bookmarkEnd w:id="437"/>
      <w:bookmarkEnd w:id="438"/>
      <w:bookmarkEnd w:id="439"/>
      <w:bookmarkEnd w:id="440"/>
    </w:p>
    <w:p w14:paraId="2FDD02BE">
      <w:pPr>
        <w:pStyle w:val="11"/>
        <w:outlineLvl w:val="9"/>
        <w:rPr>
          <w:rFonts w:hint="eastAsia" w:ascii="宋体" w:hAnsi="宋体" w:eastAsia="宋体" w:cs="宋体"/>
          <w:lang w:val="en-US"/>
        </w:rPr>
      </w:pPr>
    </w:p>
    <w:p w14:paraId="560203FE">
      <w:pPr>
        <w:spacing w:line="500" w:lineRule="exact"/>
        <w:jc w:val="center"/>
        <w:outlineLvl w:val="9"/>
        <w:rPr>
          <w:rFonts w:hint="eastAsia" w:ascii="宋体" w:hAnsi="宋体" w:eastAsia="宋体" w:cs="宋体"/>
          <w:b/>
          <w:color w:val="auto"/>
          <w:spacing w:val="6"/>
          <w:sz w:val="28"/>
          <w:szCs w:val="28"/>
        </w:rPr>
      </w:pPr>
      <w:bookmarkStart w:id="446" w:name="_Toc6863"/>
      <w:bookmarkStart w:id="447" w:name="_Toc15759"/>
      <w:bookmarkStart w:id="448" w:name="_Toc25215"/>
      <w:bookmarkStart w:id="449" w:name="_Toc8674"/>
      <w:r>
        <w:rPr>
          <w:rFonts w:hint="eastAsia" w:ascii="宋体" w:hAnsi="宋体" w:eastAsia="宋体" w:cs="宋体"/>
          <w:b/>
          <w:color w:val="auto"/>
          <w:spacing w:val="6"/>
          <w:sz w:val="28"/>
          <w:szCs w:val="28"/>
        </w:rPr>
        <w:t>1.</w:t>
      </w:r>
      <w:r>
        <w:rPr>
          <w:rFonts w:hint="eastAsia" w:ascii="宋体" w:hAnsi="宋体" w:eastAsia="宋体" w:cs="宋体"/>
          <w:b/>
          <w:color w:val="auto"/>
          <w:spacing w:val="6"/>
          <w:sz w:val="28"/>
          <w:szCs w:val="28"/>
          <w:lang w:val="en-US" w:eastAsia="zh-CN"/>
        </w:rPr>
        <w:t>中小</w:t>
      </w:r>
      <w:r>
        <w:rPr>
          <w:rFonts w:hint="eastAsia" w:ascii="宋体" w:hAnsi="宋体" w:eastAsia="宋体" w:cs="宋体"/>
          <w:b/>
          <w:color w:val="auto"/>
          <w:spacing w:val="6"/>
          <w:sz w:val="28"/>
          <w:szCs w:val="28"/>
        </w:rPr>
        <w:t>企业声明函</w:t>
      </w:r>
      <w:bookmarkEnd w:id="446"/>
      <w:bookmarkEnd w:id="447"/>
      <w:bookmarkEnd w:id="448"/>
    </w:p>
    <w:p w14:paraId="5D0B311E">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本公司（联合体）郑重声明，根据《政府采购促进中小企业发展管理办法》（财库﹝2020﹞46 号）的规定，本公司（联合体）参加</w:t>
      </w:r>
      <w:r>
        <w:rPr>
          <w:rFonts w:hint="eastAsia" w:ascii="宋体" w:hAnsi="宋体" w:eastAsia="宋体" w:cs="宋体"/>
          <w:color w:val="auto"/>
          <w:sz w:val="24"/>
          <w:u w:val="single"/>
        </w:rPr>
        <w:t>（单位名称）</w:t>
      </w:r>
      <w:r>
        <w:rPr>
          <w:rFonts w:hint="eastAsia" w:ascii="宋体" w:hAnsi="宋体" w:eastAsia="宋体" w:cs="宋体"/>
          <w:color w:val="auto"/>
          <w:sz w:val="24"/>
        </w:rPr>
        <w:t>的</w:t>
      </w:r>
      <w:r>
        <w:rPr>
          <w:rFonts w:hint="eastAsia" w:ascii="宋体" w:hAnsi="宋体" w:eastAsia="宋体" w:cs="宋体"/>
          <w:color w:val="auto"/>
          <w:sz w:val="24"/>
          <w:u w:val="single"/>
        </w:rPr>
        <w:t>（项目名称）</w:t>
      </w:r>
      <w:r>
        <w:rPr>
          <w:rFonts w:hint="eastAsia" w:ascii="宋体" w:hAnsi="宋体" w:eastAsia="宋体" w:cs="宋体"/>
          <w:color w:val="auto"/>
          <w:sz w:val="24"/>
        </w:rPr>
        <w:t>采购活动，</w:t>
      </w:r>
      <w:r>
        <w:rPr>
          <w:rFonts w:hint="eastAsia" w:ascii="宋体" w:hAnsi="宋体" w:eastAsia="宋体" w:cs="宋体"/>
          <w:color w:val="auto"/>
          <w:sz w:val="24"/>
          <w:lang w:val="en-US" w:eastAsia="zh-CN"/>
        </w:rPr>
        <w:t>工程的施工单位全部为符合政策要求的中小企业。相关企业（含联合体中的中小企业、签订分包意向协议的中小企业）的具体情 况如下</w:t>
      </w:r>
      <w:r>
        <w:rPr>
          <w:rFonts w:hint="eastAsia" w:ascii="宋体" w:hAnsi="宋体" w:eastAsia="宋体" w:cs="宋体"/>
          <w:color w:val="auto"/>
          <w:sz w:val="24"/>
        </w:rPr>
        <w:t>：</w:t>
      </w:r>
    </w:p>
    <w:p w14:paraId="48CB87E0">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14:paraId="0B845DAD">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14:paraId="0842AB18">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14:paraId="1FEB201D">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以上企业，不属于大企业的分支机构，不存在控股股东为大企业的情形，也不存在与大企业的负责人为同一人的情形。</w:t>
      </w:r>
    </w:p>
    <w:p w14:paraId="6E2C7A6E">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本企业对上述声明内容的真实性负责。如有虚假，将依法承担相应责任。</w:t>
      </w:r>
    </w:p>
    <w:p w14:paraId="502C5683">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14:paraId="73F4B9FB">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日期：</w:t>
      </w:r>
    </w:p>
    <w:p w14:paraId="4EE9FCF8">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备注：</w:t>
      </w:r>
    </w:p>
    <w:p w14:paraId="7248AC15">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 xml:space="preserve">从业人员、营业收入、资产总额填报上一年度数据，无上一年度数据的新成立企业可不填报。 </w:t>
      </w:r>
    </w:p>
    <w:p w14:paraId="742047D5">
      <w:pPr>
        <w:spacing w:line="500" w:lineRule="exact"/>
        <w:jc w:val="center"/>
        <w:outlineLvl w:val="9"/>
        <w:rPr>
          <w:rFonts w:hint="eastAsia" w:ascii="宋体" w:hAnsi="宋体" w:eastAsia="宋体" w:cs="宋体"/>
          <w:b/>
          <w:color w:val="auto"/>
          <w:spacing w:val="6"/>
          <w:sz w:val="28"/>
          <w:szCs w:val="28"/>
        </w:rPr>
        <w:sectPr>
          <w:footerReference r:id="rId11" w:type="default"/>
          <w:pgSz w:w="11906" w:h="16838"/>
          <w:pgMar w:top="1440" w:right="1800" w:bottom="1440" w:left="1800" w:header="851" w:footer="992" w:gutter="0"/>
          <w:pgNumType w:fmt="decimal"/>
          <w:cols w:space="720" w:num="1"/>
          <w:docGrid w:type="lines" w:linePitch="312" w:charSpace="0"/>
        </w:sectPr>
      </w:pPr>
    </w:p>
    <w:p w14:paraId="3E9D7E00">
      <w:pPr>
        <w:spacing w:line="500" w:lineRule="exact"/>
        <w:jc w:val="center"/>
        <w:outlineLvl w:val="9"/>
        <w:rPr>
          <w:rFonts w:hint="eastAsia" w:ascii="宋体" w:hAnsi="宋体" w:eastAsia="宋体" w:cs="宋体"/>
          <w:b/>
          <w:spacing w:val="6"/>
          <w:sz w:val="28"/>
          <w:szCs w:val="28"/>
        </w:rPr>
      </w:pPr>
      <w:r>
        <w:rPr>
          <w:rFonts w:hint="eastAsia" w:ascii="宋体" w:hAnsi="宋体" w:eastAsia="宋体" w:cs="宋体"/>
          <w:b/>
          <w:spacing w:val="6"/>
          <w:sz w:val="28"/>
          <w:szCs w:val="28"/>
        </w:rPr>
        <w:t>2.残疾人福利性单位声明函</w:t>
      </w:r>
      <w:bookmarkEnd w:id="449"/>
    </w:p>
    <w:p w14:paraId="311F1A53">
      <w:pPr>
        <w:spacing w:line="500" w:lineRule="exact"/>
        <w:ind w:firstLine="1200" w:firstLineChars="500"/>
        <w:outlineLvl w:val="9"/>
        <w:rPr>
          <w:rFonts w:hint="eastAsia" w:ascii="宋体" w:hAnsi="宋体" w:eastAsia="宋体" w:cs="宋体"/>
          <w:sz w:val="24"/>
        </w:rPr>
      </w:pPr>
      <w:r>
        <w:rPr>
          <w:rFonts w:hint="eastAsia" w:ascii="宋体" w:hAnsi="宋体" w:eastAsia="宋体" w:cs="宋体"/>
          <w:sz w:val="24"/>
        </w:rPr>
        <w:t>（注：符合条件的残疾人福利性单位请提供本函，不符合的不提供本函）</w:t>
      </w:r>
    </w:p>
    <w:p w14:paraId="68D66100">
      <w:pPr>
        <w:pStyle w:val="11"/>
        <w:outlineLvl w:val="9"/>
        <w:rPr>
          <w:rFonts w:hint="eastAsia" w:ascii="宋体" w:hAnsi="宋体" w:eastAsia="宋体" w:cs="宋体"/>
        </w:rPr>
      </w:pPr>
    </w:p>
    <w:p w14:paraId="506AB83A">
      <w:pPr>
        <w:spacing w:line="500" w:lineRule="exact"/>
        <w:ind w:firstLine="504" w:firstLineChars="200"/>
        <w:outlineLvl w:val="9"/>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w:t>
      </w:r>
      <w:r>
        <w:rPr>
          <w:rFonts w:hint="eastAsia" w:ascii="宋体" w:hAnsi="宋体" w:eastAsia="宋体" w:cs="宋体"/>
          <w:sz w:val="24"/>
          <w:u w:val="single"/>
        </w:rPr>
        <w:t xml:space="preserve">            </w:t>
      </w:r>
      <w:r>
        <w:rPr>
          <w:rFonts w:hint="eastAsia" w:ascii="宋体" w:hAnsi="宋体" w:eastAsia="宋体" w:cs="宋体"/>
          <w:spacing w:val="6"/>
          <w:sz w:val="24"/>
        </w:rPr>
        <w:t>单位的</w:t>
      </w:r>
      <w:r>
        <w:rPr>
          <w:rFonts w:hint="eastAsia" w:ascii="宋体" w:hAnsi="宋体" w:eastAsia="宋体" w:cs="宋体"/>
          <w:b/>
          <w:bCs/>
          <w:spacing w:val="6"/>
          <w:sz w:val="24"/>
          <w:u w:val="single"/>
        </w:rPr>
        <w:t xml:space="preserve">         </w:t>
      </w:r>
      <w:r>
        <w:rPr>
          <w:rFonts w:hint="eastAsia" w:ascii="宋体" w:hAnsi="宋体" w:eastAsia="宋体" w:cs="宋体"/>
          <w:spacing w:val="6"/>
          <w:sz w:val="24"/>
        </w:rPr>
        <w:t>项目采购活动提供本单位制造的货物（由本单位承担工程/提供服务），或者提供其他残疾人福利性单位制造的货物（不包括使用非残疾人福利性单位注册商标的货物）。</w:t>
      </w:r>
    </w:p>
    <w:p w14:paraId="10B5AA7E">
      <w:pPr>
        <w:spacing w:line="500" w:lineRule="exact"/>
        <w:ind w:firstLine="504" w:firstLineChars="200"/>
        <w:outlineLvl w:val="9"/>
        <w:rPr>
          <w:rFonts w:hint="eastAsia"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14:paraId="4F510179">
      <w:pPr>
        <w:spacing w:line="500" w:lineRule="exact"/>
        <w:outlineLvl w:val="9"/>
        <w:rPr>
          <w:rFonts w:hint="eastAsia" w:ascii="宋体" w:hAnsi="宋体" w:eastAsia="宋体" w:cs="宋体"/>
          <w:spacing w:val="6"/>
          <w:sz w:val="24"/>
        </w:rPr>
      </w:pPr>
    </w:p>
    <w:p w14:paraId="2586A274">
      <w:pPr>
        <w:tabs>
          <w:tab w:val="left" w:pos="4860"/>
        </w:tabs>
        <w:spacing w:line="500" w:lineRule="exact"/>
        <w:ind w:right="1560" w:firstLine="504" w:firstLineChars="200"/>
        <w:jc w:val="center"/>
        <w:outlineLvl w:val="9"/>
        <w:rPr>
          <w:rFonts w:hint="eastAsia" w:ascii="宋体" w:hAnsi="宋体" w:eastAsia="宋体" w:cs="宋体"/>
          <w:spacing w:val="6"/>
          <w:sz w:val="24"/>
        </w:rPr>
      </w:pPr>
      <w:r>
        <w:rPr>
          <w:rFonts w:hint="eastAsia" w:ascii="宋体" w:hAnsi="宋体" w:eastAsia="宋体" w:cs="宋体"/>
          <w:spacing w:val="6"/>
          <w:sz w:val="24"/>
        </w:rPr>
        <w:t xml:space="preserve">                                  单位名称（盖章）：</w:t>
      </w:r>
    </w:p>
    <w:p w14:paraId="36FCDDF4">
      <w:pPr>
        <w:adjustRightInd w:val="0"/>
        <w:snapToGrid w:val="0"/>
        <w:spacing w:line="500" w:lineRule="exact"/>
        <w:ind w:firstLine="630" w:firstLineChars="250"/>
        <w:outlineLvl w:val="9"/>
        <w:rPr>
          <w:rFonts w:hint="eastAsia" w:ascii="宋体" w:hAnsi="宋体" w:eastAsia="宋体" w:cs="宋体"/>
          <w:szCs w:val="21"/>
        </w:rPr>
      </w:pPr>
      <w:r>
        <w:rPr>
          <w:rFonts w:hint="eastAsia" w:ascii="宋体" w:hAnsi="宋体" w:eastAsia="宋体" w:cs="宋体"/>
          <w:spacing w:val="6"/>
          <w:sz w:val="24"/>
        </w:rPr>
        <w:t xml:space="preserve">                                         日  期：</w:t>
      </w:r>
    </w:p>
    <w:p w14:paraId="6BA2AF88">
      <w:pPr>
        <w:adjustRightInd w:val="0"/>
        <w:snapToGrid w:val="0"/>
        <w:spacing w:line="500" w:lineRule="exact"/>
        <w:outlineLvl w:val="9"/>
        <w:rPr>
          <w:rFonts w:hint="eastAsia" w:ascii="宋体" w:hAnsi="宋体" w:eastAsia="宋体" w:cs="宋体"/>
          <w:szCs w:val="21"/>
        </w:rPr>
      </w:pPr>
    </w:p>
    <w:p w14:paraId="52CAFC18">
      <w:pPr>
        <w:tabs>
          <w:tab w:val="left" w:pos="5670"/>
        </w:tabs>
        <w:ind w:firstLine="566"/>
        <w:outlineLvl w:val="9"/>
        <w:rPr>
          <w:rFonts w:hint="eastAsia" w:ascii="宋体" w:hAnsi="宋体" w:eastAsia="宋体" w:cs="宋体"/>
          <w:szCs w:val="21"/>
        </w:rPr>
      </w:pPr>
      <w:r>
        <w:rPr>
          <w:rFonts w:hint="eastAsia" w:ascii="宋体" w:hAnsi="宋体" w:eastAsia="宋体" w:cs="宋体"/>
          <w:b/>
          <w:bCs/>
          <w:szCs w:val="21"/>
        </w:rPr>
        <w:t>备注：</w:t>
      </w:r>
      <w:r>
        <w:rPr>
          <w:rFonts w:hint="eastAsia" w:ascii="宋体" w:hAnsi="宋体" w:eastAsia="宋体" w:cs="宋体"/>
          <w:szCs w:val="21"/>
        </w:rPr>
        <w:t>项目不分标段的，第___标段空白处填写“/”。</w:t>
      </w:r>
    </w:p>
    <w:p w14:paraId="6AA236F4">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根据《财政部 民政部 中国残疾人联合会关于促进残疾人就业政府采购政策的通知》（财库〔2017〕141号）的规定：</w:t>
      </w:r>
    </w:p>
    <w:p w14:paraId="6FD8C8C2">
      <w:pPr>
        <w:tabs>
          <w:tab w:val="left" w:pos="5670"/>
        </w:tabs>
        <w:ind w:firstLine="420" w:firstLineChars="200"/>
        <w:outlineLvl w:val="9"/>
        <w:rPr>
          <w:rFonts w:hint="eastAsia" w:ascii="宋体" w:hAnsi="宋体" w:eastAsia="宋体" w:cs="宋体"/>
          <w:szCs w:val="21"/>
        </w:rPr>
      </w:pPr>
      <w:r>
        <w:rPr>
          <w:rFonts w:hint="eastAsia" w:ascii="宋体" w:hAnsi="宋体" w:eastAsia="宋体" w:cs="宋体"/>
          <w:szCs w:val="21"/>
        </w:rPr>
        <w:t>一、享受政府采购支持政策的残疾人福利性单位应当同时满足以下条件：</w:t>
      </w:r>
    </w:p>
    <w:p w14:paraId="416C4D49">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（一）安置的残疾人占本单位在职职工人数的比例不低于25%（含25%），并且安置的残疾人人数不少于10人（含10人）；</w:t>
      </w:r>
    </w:p>
    <w:p w14:paraId="0B654D27">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（二）依法与安置的每位残疾人签订了一年以上（含一年）的劳动合同或服务协议；</w:t>
      </w:r>
    </w:p>
    <w:p w14:paraId="69063B40">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（三）为安置的每位残疾人按月足额缴纳了基本养老保险、基本医疗保险、失业保险、工伤保险和生育保险等社会保险费；</w:t>
      </w:r>
    </w:p>
    <w:p w14:paraId="5039791F">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（四）通过银行等金融机构向安置的每位残疾人，按月支付了不低于单位所在区县适用的经省级人民政府批准的月最低工资标准的工资；</w:t>
      </w:r>
    </w:p>
    <w:p w14:paraId="602C49C5">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（五）提供本单位承担的服务（以下简称产品），或者提供其他残疾人福利性单位提供的服。</w:t>
      </w:r>
    </w:p>
    <w:p w14:paraId="1D553C45">
      <w:pPr>
        <w:tabs>
          <w:tab w:val="left" w:pos="5670"/>
        </w:tabs>
        <w:ind w:firstLine="566"/>
        <w:outlineLvl w:val="9"/>
        <w:rPr>
          <w:rFonts w:hint="eastAsia" w:ascii="宋体" w:hAnsi="宋体" w:eastAsia="宋体" w:cs="宋体"/>
          <w:szCs w:val="21"/>
        </w:rPr>
      </w:pPr>
      <w:r>
        <w:rPr>
          <w:rFonts w:hint="eastAsia" w:ascii="宋体" w:hAnsi="宋体" w:eastAsia="宋体" w:cs="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8A3AE00">
      <w:pPr>
        <w:tabs>
          <w:tab w:val="left" w:pos="5670"/>
        </w:tabs>
        <w:ind w:firstLine="420" w:firstLineChars="200"/>
        <w:outlineLvl w:val="9"/>
        <w:rPr>
          <w:rFonts w:hint="eastAsia" w:ascii="宋体" w:hAnsi="宋体" w:eastAsia="宋体" w:cs="宋体"/>
          <w:szCs w:val="21"/>
        </w:rPr>
      </w:pPr>
      <w:r>
        <w:rPr>
          <w:rFonts w:hint="eastAsia" w:ascii="宋体" w:hAnsi="宋体" w:eastAsia="宋体" w:cs="宋体"/>
          <w:szCs w:val="21"/>
        </w:rPr>
        <w:t>二、中标、成交供应商为残疾人福利性单位的，采购人或者其委托的采购代理机构应当随中标、成交结果同时公告其《残疾人福利性单位声明函》，接受社会监督。</w:t>
      </w:r>
    </w:p>
    <w:p w14:paraId="3E4442BD">
      <w:pPr>
        <w:tabs>
          <w:tab w:val="left" w:pos="5670"/>
        </w:tabs>
        <w:jc w:val="center"/>
        <w:outlineLvl w:val="9"/>
        <w:rPr>
          <w:rFonts w:hint="eastAsia" w:ascii="宋体" w:hAnsi="宋体" w:eastAsia="宋体" w:cs="宋体"/>
          <w:b/>
          <w:spacing w:val="6"/>
          <w:sz w:val="28"/>
          <w:szCs w:val="28"/>
        </w:rPr>
      </w:pPr>
      <w:r>
        <w:rPr>
          <w:rFonts w:hint="eastAsia" w:ascii="宋体" w:hAnsi="宋体" w:eastAsia="宋体" w:cs="宋体"/>
          <w:b/>
          <w:bCs/>
          <w:sz w:val="36"/>
          <w:szCs w:val="36"/>
        </w:rPr>
        <w:br w:type="page"/>
      </w:r>
      <w:bookmarkStart w:id="450" w:name="_Toc23398"/>
      <w:r>
        <w:rPr>
          <w:rFonts w:hint="eastAsia" w:ascii="宋体" w:hAnsi="宋体" w:eastAsia="宋体" w:cs="宋体"/>
          <w:b/>
          <w:bCs/>
          <w:sz w:val="28"/>
          <w:szCs w:val="28"/>
        </w:rPr>
        <w:t>3.</w:t>
      </w:r>
      <w:r>
        <w:rPr>
          <w:rFonts w:hint="eastAsia" w:ascii="宋体" w:hAnsi="宋体" w:eastAsia="宋体" w:cs="宋体"/>
          <w:b/>
          <w:spacing w:val="6"/>
          <w:sz w:val="28"/>
          <w:szCs w:val="28"/>
        </w:rPr>
        <w:t>监狱企业证明函</w:t>
      </w:r>
      <w:bookmarkEnd w:id="450"/>
    </w:p>
    <w:p w14:paraId="67FE8ECD">
      <w:pPr>
        <w:jc w:val="center"/>
        <w:outlineLvl w:val="9"/>
        <w:rPr>
          <w:rFonts w:hint="eastAsia" w:ascii="宋体" w:hAnsi="宋体" w:eastAsia="宋体" w:cs="宋体"/>
          <w:sz w:val="24"/>
        </w:rPr>
      </w:pPr>
      <w:r>
        <w:rPr>
          <w:rFonts w:hint="eastAsia" w:ascii="宋体" w:hAnsi="宋体" w:eastAsia="宋体" w:cs="宋体"/>
          <w:sz w:val="24"/>
        </w:rPr>
        <w:t>（注：符合条件的监狱企业请提供本函，不符合的不提供本函）</w:t>
      </w:r>
    </w:p>
    <w:p w14:paraId="571B6D11">
      <w:pPr>
        <w:outlineLvl w:val="9"/>
        <w:rPr>
          <w:rFonts w:hint="eastAsia" w:ascii="宋体" w:hAnsi="宋体" w:eastAsia="宋体" w:cs="宋体"/>
        </w:rPr>
      </w:pPr>
    </w:p>
    <w:p w14:paraId="28270ADF">
      <w:pPr>
        <w:spacing w:line="500" w:lineRule="exact"/>
        <w:ind w:firstLine="480" w:firstLineChars="200"/>
        <w:outlineLvl w:val="9"/>
        <w:rPr>
          <w:rFonts w:hint="eastAsia" w:ascii="宋体" w:hAnsi="宋体" w:eastAsia="宋体" w:cs="宋体"/>
          <w:sz w:val="24"/>
        </w:rPr>
      </w:pPr>
      <w:r>
        <w:rPr>
          <w:rFonts w:hint="eastAsia" w:ascii="宋体" w:hAnsi="宋体" w:eastAsia="宋体" w:cs="宋体"/>
          <w:sz w:val="24"/>
        </w:rPr>
        <w:t>监狱企业参加政府采购活动，要求享受相关优惠政策的，应当提供由省级以上监狱管理局、戒毒管理局（含新疆生产建设兵团）出具的属于监狱企业的证明文件。</w:t>
      </w:r>
    </w:p>
    <w:p w14:paraId="24A1EC52">
      <w:pPr>
        <w:spacing w:line="500" w:lineRule="exact"/>
        <w:ind w:firstLine="480" w:firstLineChars="200"/>
        <w:outlineLvl w:val="9"/>
        <w:rPr>
          <w:rFonts w:hint="eastAsia" w:ascii="宋体" w:hAnsi="宋体" w:eastAsia="宋体" w:cs="宋体"/>
          <w:sz w:val="24"/>
        </w:rPr>
      </w:pPr>
      <w:r>
        <w:rPr>
          <w:rFonts w:hint="eastAsia" w:ascii="宋体" w:hAnsi="宋体" w:eastAsia="宋体" w:cs="宋体"/>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D4BBEDE">
      <w:pPr>
        <w:pStyle w:val="24"/>
        <w:ind w:firstLine="183"/>
        <w:outlineLvl w:val="9"/>
        <w:rPr>
          <w:rFonts w:hint="eastAsia" w:ascii="宋体" w:hAnsi="宋体" w:eastAsia="宋体" w:cs="宋体"/>
        </w:rPr>
      </w:pPr>
    </w:p>
    <w:p w14:paraId="53882AEA">
      <w:pPr>
        <w:outlineLvl w:val="9"/>
        <w:rPr>
          <w:rFonts w:hint="eastAsia" w:ascii="宋体" w:hAnsi="宋体" w:eastAsia="宋体" w:cs="宋体"/>
        </w:rPr>
      </w:pPr>
    </w:p>
    <w:p w14:paraId="094BD4E1">
      <w:pPr>
        <w:outlineLvl w:val="9"/>
        <w:rPr>
          <w:rFonts w:hint="eastAsia" w:ascii="宋体" w:hAnsi="宋体" w:eastAsia="宋体" w:cs="宋体"/>
        </w:rPr>
      </w:pPr>
    </w:p>
    <w:p w14:paraId="36F28F55">
      <w:pPr>
        <w:outlineLvl w:val="9"/>
        <w:rPr>
          <w:rFonts w:hint="eastAsia" w:ascii="宋体" w:hAnsi="宋体" w:eastAsia="宋体" w:cs="宋体"/>
        </w:rPr>
      </w:pPr>
    </w:p>
    <w:p w14:paraId="1F97206A">
      <w:pPr>
        <w:outlineLvl w:val="9"/>
        <w:rPr>
          <w:rFonts w:hint="eastAsia" w:ascii="宋体" w:hAnsi="宋体" w:eastAsia="宋体" w:cs="宋体"/>
        </w:rPr>
      </w:pPr>
    </w:p>
    <w:p w14:paraId="342C35CF">
      <w:pPr>
        <w:outlineLvl w:val="9"/>
        <w:rPr>
          <w:rFonts w:hint="eastAsia" w:ascii="宋体" w:hAnsi="宋体" w:eastAsia="宋体" w:cs="宋体"/>
        </w:rPr>
      </w:pPr>
    </w:p>
    <w:p w14:paraId="5AE0FFC6">
      <w:pPr>
        <w:outlineLvl w:val="9"/>
        <w:rPr>
          <w:rFonts w:hint="eastAsia" w:ascii="宋体" w:hAnsi="宋体" w:eastAsia="宋体" w:cs="宋体"/>
        </w:rPr>
      </w:pPr>
    </w:p>
    <w:p w14:paraId="4D81B6D8">
      <w:pPr>
        <w:widowControl/>
        <w:jc w:val="left"/>
        <w:outlineLvl w:val="9"/>
        <w:rPr>
          <w:rFonts w:hint="eastAsia" w:ascii="宋体" w:hAnsi="宋体" w:eastAsia="宋体" w:cs="宋体"/>
          <w:kern w:val="0"/>
          <w:sz w:val="24"/>
          <w:u w:val="single"/>
        </w:rPr>
      </w:pPr>
      <w:r>
        <w:rPr>
          <w:rFonts w:hint="eastAsia" w:ascii="宋体" w:hAnsi="宋体" w:eastAsia="宋体" w:cs="宋体"/>
        </w:rPr>
        <w:tab/>
      </w:r>
      <w:r>
        <w:rPr>
          <w:rFonts w:hint="eastAsia" w:ascii="宋体" w:hAnsi="宋体" w:eastAsia="宋体" w:cs="宋体"/>
        </w:rPr>
        <w:t xml:space="preserve"> </w:t>
      </w:r>
      <w:r>
        <w:rPr>
          <w:rFonts w:hint="eastAsia" w:ascii="宋体" w:hAnsi="宋体" w:eastAsia="宋体" w:cs="宋体"/>
          <w:kern w:val="0"/>
          <w:sz w:val="24"/>
        </w:rPr>
        <w:t>供应商（盖章）：</w:t>
      </w:r>
      <w:r>
        <w:rPr>
          <w:rFonts w:hint="eastAsia" w:ascii="宋体" w:hAnsi="宋体" w:eastAsia="宋体" w:cs="宋体"/>
          <w:kern w:val="0"/>
          <w:sz w:val="24"/>
          <w:u w:val="single"/>
        </w:rPr>
        <w:t xml:space="preserve">                                               </w:t>
      </w:r>
    </w:p>
    <w:p w14:paraId="2D2F35B3">
      <w:pPr>
        <w:widowControl/>
        <w:ind w:firstLine="482"/>
        <w:jc w:val="left"/>
        <w:outlineLvl w:val="9"/>
        <w:rPr>
          <w:rFonts w:hint="eastAsia" w:ascii="宋体" w:hAnsi="宋体" w:eastAsia="宋体" w:cs="宋体"/>
          <w:kern w:val="0"/>
          <w:sz w:val="24"/>
        </w:rPr>
      </w:pPr>
    </w:p>
    <w:p w14:paraId="0D4053F1">
      <w:pPr>
        <w:widowControl/>
        <w:ind w:firstLine="480" w:firstLineChars="200"/>
        <w:jc w:val="left"/>
        <w:outlineLvl w:val="9"/>
        <w:rPr>
          <w:rFonts w:hint="eastAsia" w:ascii="宋体" w:hAnsi="宋体" w:eastAsia="宋体" w:cs="宋体"/>
          <w:kern w:val="0"/>
          <w:sz w:val="24"/>
          <w:u w:val="single"/>
        </w:rPr>
      </w:pPr>
      <w:r>
        <w:rPr>
          <w:rFonts w:hint="eastAsia" w:ascii="宋体" w:hAnsi="宋体" w:eastAsia="宋体" w:cs="宋体"/>
          <w:kern w:val="0"/>
          <w:sz w:val="24"/>
        </w:rPr>
        <w:t>承诺人（签字）：</w:t>
      </w:r>
      <w:r>
        <w:rPr>
          <w:rFonts w:hint="eastAsia" w:ascii="宋体" w:hAnsi="宋体" w:eastAsia="宋体" w:cs="宋体"/>
          <w:kern w:val="0"/>
          <w:sz w:val="24"/>
          <w:u w:val="single"/>
        </w:rPr>
        <w:t xml:space="preserve">                 </w:t>
      </w:r>
    </w:p>
    <w:p w14:paraId="7D632474">
      <w:pPr>
        <w:widowControl/>
        <w:ind w:firstLine="482"/>
        <w:jc w:val="left"/>
        <w:outlineLvl w:val="9"/>
        <w:rPr>
          <w:rFonts w:hint="eastAsia" w:ascii="宋体" w:hAnsi="宋体" w:eastAsia="宋体" w:cs="宋体"/>
          <w:kern w:val="0"/>
          <w:sz w:val="24"/>
          <w:u w:val="single"/>
        </w:rPr>
      </w:pPr>
    </w:p>
    <w:p w14:paraId="457C2163">
      <w:pPr>
        <w:widowControl/>
        <w:ind w:firstLine="480" w:firstLineChars="200"/>
        <w:jc w:val="left"/>
        <w:outlineLvl w:val="9"/>
        <w:rPr>
          <w:rFonts w:hint="eastAsia" w:ascii="宋体" w:hAnsi="宋体" w:eastAsia="宋体" w:cs="宋体"/>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6FACC702">
      <w:pPr>
        <w:pStyle w:val="17"/>
        <w:outlineLvl w:val="9"/>
        <w:rPr>
          <w:rFonts w:hint="eastAsia" w:ascii="宋体" w:hAnsi="宋体" w:eastAsia="宋体" w:cs="宋体"/>
          <w:kern w:val="0"/>
          <w:sz w:val="24"/>
        </w:rPr>
      </w:pPr>
    </w:p>
    <w:bookmarkEnd w:id="441"/>
    <w:bookmarkEnd w:id="442"/>
    <w:bookmarkEnd w:id="443"/>
    <w:bookmarkEnd w:id="444"/>
    <w:bookmarkEnd w:id="445"/>
    <w:p w14:paraId="6D9F2256">
      <w:pPr>
        <w:rPr>
          <w:rFonts w:hint="eastAsia" w:ascii="宋体" w:hAnsi="宋体" w:cs="宋体"/>
          <w:b/>
          <w:bCs/>
          <w:sz w:val="32"/>
          <w:szCs w:val="28"/>
          <w:lang w:val="en-US" w:eastAsia="zh-CN"/>
        </w:rPr>
      </w:pPr>
      <w:bookmarkStart w:id="451" w:name="_Toc23524"/>
      <w:bookmarkStart w:id="452" w:name="_Toc10444"/>
      <w:bookmarkStart w:id="453" w:name="_Toc26945"/>
      <w:bookmarkStart w:id="454" w:name="_Toc1810"/>
      <w:bookmarkStart w:id="455" w:name="_Toc11256"/>
      <w:bookmarkStart w:id="456" w:name="_Toc25531"/>
      <w:bookmarkStart w:id="457" w:name="_Toc7372"/>
      <w:bookmarkStart w:id="458" w:name="_Toc30245"/>
      <w:bookmarkStart w:id="459" w:name="_Toc13397"/>
      <w:bookmarkStart w:id="460" w:name="_Toc3826"/>
      <w:bookmarkStart w:id="461" w:name="_Toc8066"/>
      <w:bookmarkStart w:id="462" w:name="_Toc3658"/>
      <w:bookmarkStart w:id="463" w:name="_Toc2007"/>
      <w:r>
        <w:rPr>
          <w:rFonts w:hint="eastAsia" w:ascii="宋体" w:hAnsi="宋体" w:cs="宋体"/>
          <w:b/>
          <w:bCs/>
          <w:sz w:val="32"/>
          <w:szCs w:val="28"/>
          <w:lang w:val="en-US" w:eastAsia="zh-CN"/>
        </w:rPr>
        <w:br w:type="page"/>
      </w:r>
    </w:p>
    <w:p w14:paraId="516993E2">
      <w:pPr>
        <w:adjustRightInd w:val="0"/>
        <w:snapToGrid w:val="0"/>
        <w:spacing w:line="500" w:lineRule="exact"/>
        <w:jc w:val="center"/>
        <w:outlineLvl w:val="0"/>
        <w:rPr>
          <w:b/>
          <w:bCs/>
          <w:sz w:val="32"/>
          <w:szCs w:val="28"/>
        </w:rPr>
      </w:pPr>
      <w:bookmarkStart w:id="464" w:name="_Toc31528"/>
      <w:bookmarkStart w:id="465" w:name="_Toc28459"/>
      <w:bookmarkStart w:id="466" w:name="_Toc21898"/>
      <w:r>
        <w:rPr>
          <w:rFonts w:hint="eastAsia" w:ascii="宋体" w:hAnsi="宋体" w:cs="宋体"/>
          <w:b/>
          <w:bCs/>
          <w:sz w:val="32"/>
          <w:szCs w:val="28"/>
          <w:lang w:val="en-US" w:eastAsia="zh-CN"/>
        </w:rPr>
        <w:t xml:space="preserve">第八章  </w:t>
      </w:r>
      <w:bookmarkEnd w:id="451"/>
      <w:bookmarkEnd w:id="452"/>
      <w:bookmarkEnd w:id="453"/>
      <w:bookmarkEnd w:id="454"/>
      <w:bookmarkEnd w:id="455"/>
      <w:bookmarkEnd w:id="456"/>
      <w:bookmarkEnd w:id="457"/>
      <w:bookmarkEnd w:id="458"/>
      <w:bookmarkEnd w:id="459"/>
      <w:bookmarkStart w:id="467" w:name="_Toc4420"/>
      <w:bookmarkStart w:id="468" w:name="_Toc27221"/>
      <w:r>
        <w:rPr>
          <w:rFonts w:hint="eastAsia" w:ascii="宋体" w:hAnsi="宋体" w:cs="宋体"/>
          <w:b/>
          <w:bCs/>
          <w:sz w:val="32"/>
          <w:szCs w:val="28"/>
        </w:rPr>
        <w:t>关于信用承诺网上公示的通知及操作指南</w:t>
      </w:r>
      <w:bookmarkEnd w:id="460"/>
      <w:bookmarkEnd w:id="464"/>
      <w:bookmarkEnd w:id="465"/>
      <w:bookmarkEnd w:id="466"/>
      <w:bookmarkEnd w:id="467"/>
      <w:bookmarkEnd w:id="468"/>
    </w:p>
    <w:bookmarkEnd w:id="461"/>
    <w:bookmarkEnd w:id="462"/>
    <w:bookmarkEnd w:id="463"/>
    <w:p w14:paraId="2AAD48DC">
      <w:pPr>
        <w:pageBreakBefore w:val="0"/>
        <w:bidi w:val="0"/>
        <w:spacing w:line="360" w:lineRule="auto"/>
        <w:ind w:left="0" w:leftChars="0" w:right="0"/>
        <w:jc w:val="center"/>
        <w:outlineLvl w:val="9"/>
        <w:rPr>
          <w:rFonts w:hint="eastAsia" w:ascii="仿宋" w:hAnsi="仿宋" w:eastAsia="仿宋" w:cs="仿宋"/>
          <w:spacing w:val="0"/>
          <w:w w:val="100"/>
          <w:position w:val="0"/>
        </w:rPr>
      </w:pPr>
      <w:r>
        <w:rPr>
          <w:rFonts w:hint="eastAsia" w:ascii="仿宋" w:hAnsi="仿宋" w:eastAsia="仿宋" w:cs="仿宋"/>
          <w:b/>
          <w:bCs/>
          <w:color w:val="auto"/>
          <w:spacing w:val="0"/>
          <w:w w:val="100"/>
          <w:position w:val="0"/>
          <w:sz w:val="28"/>
          <w:szCs w:val="24"/>
          <w:highlight w:val="none"/>
          <w:lang w:val="en-US" w:eastAsia="zh-CN"/>
        </w:rPr>
        <w:t>（此附件不作为投标文件格式）</w:t>
      </w:r>
      <w:r>
        <w:rPr>
          <w:rFonts w:hint="eastAsia" w:ascii="仿宋" w:hAnsi="仿宋" w:eastAsia="仿宋" w:cs="仿宋"/>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5"/>
                    <a:stretch>
                      <a:fillRect/>
                    </a:stretch>
                  </pic:blipFill>
                  <pic:spPr>
                    <a:xfrm>
                      <a:off x="0" y="0"/>
                      <a:ext cx="5318760" cy="7411720"/>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6"/>
                    <a:stretch>
                      <a:fillRect/>
                    </a:stretch>
                  </pic:blipFill>
                  <pic:spPr>
                    <a:xfrm>
                      <a:off x="0" y="0"/>
                      <a:ext cx="5918200" cy="7924165"/>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br w:type="page"/>
      </w:r>
      <w:r>
        <w:rPr>
          <w:rFonts w:hint="eastAsia" w:ascii="仿宋" w:hAnsi="仿宋" w:eastAsia="仿宋" w:cs="仿宋"/>
          <w:spacing w:val="0"/>
          <w:w w:val="100"/>
          <w:position w:val="0"/>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7"/>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仿宋" w:hAnsi="仿宋" w:eastAsia="仿宋" w:cs="仿宋"/>
          <w:spacing w:val="0"/>
          <w:w w:val="100"/>
          <w:position w:val="0"/>
        </w:rPr>
      </w:pPr>
    </w:p>
    <w:p w14:paraId="39FCBCCE">
      <w:pPr>
        <w:pageBreakBefore w:val="0"/>
        <w:bidi w:val="0"/>
        <w:spacing w:line="360" w:lineRule="auto"/>
        <w:ind w:left="0" w:leftChars="0" w:right="0"/>
        <w:jc w:val="center"/>
        <w:outlineLvl w:val="9"/>
        <w:rPr>
          <w:rFonts w:hint="eastAsia" w:ascii="仿宋" w:hAnsi="仿宋" w:eastAsia="仿宋" w:cs="仿宋"/>
          <w:spacing w:val="0"/>
          <w:w w:val="100"/>
          <w:position w:val="0"/>
        </w:rPr>
      </w:pPr>
      <w:r>
        <w:rPr>
          <w:rFonts w:hint="eastAsia" w:ascii="仿宋" w:hAnsi="仿宋" w:eastAsia="仿宋" w:cs="仿宋"/>
          <w:spacing w:val="0"/>
          <w:w w:val="100"/>
          <w:position w:val="0"/>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8"/>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仿宋" w:hAnsi="仿宋" w:eastAsia="仿宋" w:cs="仿宋"/>
          <w:spacing w:val="0"/>
          <w:w w:val="100"/>
          <w:position w:val="0"/>
        </w:rPr>
      </w:pPr>
      <w:r>
        <w:rPr>
          <w:rFonts w:hint="eastAsia" w:ascii="仿宋" w:hAnsi="仿宋" w:eastAsia="仿宋" w:cs="仿宋"/>
          <w:spacing w:val="0"/>
          <w:w w:val="100"/>
          <w:position w:val="0"/>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9"/>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仿宋" w:hAnsi="仿宋" w:eastAsia="仿宋" w:cs="仿宋"/>
          <w:spacing w:val="0"/>
          <w:w w:val="100"/>
          <w:position w:val="0"/>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0"/>
                    <a:stretch>
                      <a:fillRect/>
                    </a:stretch>
                  </pic:blipFill>
                  <pic:spPr>
                    <a:xfrm>
                      <a:off x="0" y="0"/>
                      <a:ext cx="6069330" cy="3575050"/>
                    </a:xfrm>
                    <a:prstGeom prst="rect">
                      <a:avLst/>
                    </a:prstGeom>
                    <a:noFill/>
                    <a:ln>
                      <a:noFill/>
                    </a:ln>
                  </pic:spPr>
                </pic:pic>
              </a:graphicData>
            </a:graphic>
          </wp:inline>
        </w:drawing>
      </w:r>
    </w:p>
    <w:p w14:paraId="4CA5EA5B">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color w:val="auto"/>
          <w:spacing w:val="0"/>
          <w:w w:val="100"/>
          <w:position w:val="0"/>
          <w:szCs w:val="24"/>
          <w:highlight w:val="none"/>
          <w:u w:val="single"/>
        </w:rPr>
        <w:br w:type="page"/>
      </w:r>
      <w:r>
        <w:rPr>
          <w:rFonts w:hint="eastAsia" w:ascii="仿宋" w:hAnsi="仿宋" w:eastAsia="仿宋" w:cs="仿宋"/>
          <w:b/>
          <w:bCs/>
          <w:color w:val="auto"/>
          <w:spacing w:val="0"/>
          <w:w w:val="100"/>
          <w:position w:val="0"/>
          <w:sz w:val="28"/>
          <w:szCs w:val="24"/>
          <w:highlight w:val="none"/>
          <w:lang w:val="en-US" w:eastAsia="zh-CN"/>
        </w:rPr>
        <w:t>其他附件2  关于推进政采信用融资业务的通知</w:t>
      </w:r>
    </w:p>
    <w:p w14:paraId="4BDEF04E">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b/>
          <w:bCs/>
          <w:color w:val="auto"/>
          <w:spacing w:val="0"/>
          <w:w w:val="100"/>
          <w:position w:val="0"/>
          <w:sz w:val="24"/>
          <w:szCs w:val="22"/>
          <w:highlight w:val="none"/>
          <w:lang w:val="en-US" w:eastAsia="zh-CN"/>
        </w:rPr>
        <w:t>（此附件不作为投标文件格式，信用融资业务具体联系方式详见供应商须知前附表）</w:t>
      </w:r>
    </w:p>
    <w:p w14:paraId="6BDB9552">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p>
    <w:p w14:paraId="5D877098">
      <w:pPr>
        <w:rPr>
          <w:rFonts w:hint="eastAsia"/>
          <w:lang w:eastAsia="zh-CN"/>
        </w:rPr>
      </w:pP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1"/>
                    <a:stretch>
                      <a:fillRect/>
                    </a:stretch>
                  </pic:blipFill>
                  <pic:spPr>
                    <a:xfrm>
                      <a:off x="0" y="0"/>
                      <a:ext cx="4926330" cy="7385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2"/>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23"/>
                    <a:stretch>
                      <a:fillRect/>
                    </a:stretch>
                  </pic:blipFill>
                  <pic:spPr>
                    <a:xfrm>
                      <a:off x="0" y="0"/>
                      <a:ext cx="5580380" cy="82169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24"/>
                    <a:stretch>
                      <a:fillRect/>
                    </a:stretch>
                  </pic:blipFill>
                  <pic:spPr>
                    <a:xfrm>
                      <a:off x="0" y="0"/>
                      <a:ext cx="5530215" cy="8274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25"/>
                    <a:stretch>
                      <a:fillRect/>
                    </a:stretch>
                  </pic:blipFill>
                  <pic:spPr>
                    <a:xfrm>
                      <a:off x="0" y="0"/>
                      <a:ext cx="5621655" cy="80708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26"/>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27"/>
                    <a:stretch>
                      <a:fillRect/>
                    </a:stretch>
                  </pic:blipFill>
                  <pic:spPr>
                    <a:xfrm>
                      <a:off x="0" y="0"/>
                      <a:ext cx="5546725" cy="825182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28"/>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29"/>
                    <a:stretch>
                      <a:fillRect/>
                    </a:stretch>
                  </pic:blipFill>
                  <pic:spPr>
                    <a:xfrm>
                      <a:off x="0" y="0"/>
                      <a:ext cx="5888990" cy="832548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0"/>
                    <a:stretch>
                      <a:fillRect/>
                    </a:stretch>
                  </pic:blipFill>
                  <pic:spPr>
                    <a:xfrm>
                      <a:off x="0" y="0"/>
                      <a:ext cx="5843270" cy="835279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1"/>
                    <a:stretch>
                      <a:fillRect/>
                    </a:stretch>
                  </pic:blipFill>
                  <pic:spPr>
                    <a:xfrm>
                      <a:off x="0" y="0"/>
                      <a:ext cx="5380355" cy="8125460"/>
                    </a:xfrm>
                    <a:prstGeom prst="rect">
                      <a:avLst/>
                    </a:prstGeom>
                    <a:noFill/>
                    <a:ln>
                      <a:noFill/>
                    </a:ln>
                  </pic:spPr>
                </pic:pic>
              </a:graphicData>
            </a:graphic>
          </wp:inline>
        </w:drawing>
      </w:r>
    </w:p>
    <w:sectPr>
      <w:headerReference r:id="rId12" w:type="default"/>
      <w:footerReference r:id="rId13"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BF89">
    <w:pPr>
      <w:pStyle w:val="17"/>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51E7E">
    <w:pPr>
      <w:pStyle w:val="17"/>
      <w:jc w:val="center"/>
    </w:pPr>
    <w:r>
      <w:fldChar w:fldCharType="begin"/>
    </w:r>
    <w:r>
      <w:instrText xml:space="preserve">PAGE   \* MERGEFORMAT</w:instrText>
    </w:r>
    <w:r>
      <w:fldChar w:fldCharType="separate"/>
    </w:r>
    <w:r>
      <w:rPr>
        <w:lang w:val="zh-CN"/>
      </w:rPr>
      <w:t>-</w:t>
    </w:r>
    <w:r>
      <w:t xml:space="preserve"> 3 -</w:t>
    </w:r>
    <w:r>
      <w:fldChar w:fldCharType="end"/>
    </w:r>
  </w:p>
  <w:p w14:paraId="0CEC78C9">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566D5">
    <w:pPr>
      <w:pStyle w:val="17"/>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9A773">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669A773">
                    <w:pPr>
                      <w:pStyle w:val="17"/>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DA59">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40CFA">
                          <w:pPr>
                            <w:pStyle w:val="17"/>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6740CFA">
                    <w:pPr>
                      <w:pStyle w:val="17"/>
                    </w:pPr>
                    <w:r>
                      <w:fldChar w:fldCharType="begin"/>
                    </w:r>
                    <w:r>
                      <w:instrText xml:space="preserve"> PAGE  \* MERGEFORMAT </w:instrText>
                    </w:r>
                    <w:r>
                      <w:fldChar w:fldCharType="separate"/>
                    </w:r>
                    <w:r>
                      <w:t>- 6 -</w:t>
                    </w:r>
                    <w:r>
                      <w:fldChar w:fldCharType="end"/>
                    </w:r>
                  </w:p>
                </w:txbxContent>
              </v:textbox>
            </v:shape>
          </w:pict>
        </mc:Fallback>
      </mc:AlternateContent>
    </w:r>
  </w:p>
  <w:p w14:paraId="31F37326">
    <w:pPr>
      <w:pStyle w:val="1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B334">
    <w:pPr>
      <w:pStyle w:val="17"/>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02528">
                          <w:pPr>
                            <w:pStyle w:val="17"/>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6F02528">
                    <w:pPr>
                      <w:pStyle w:val="17"/>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9995">
    <w:pPr>
      <w:pStyle w:val="17"/>
      <w:ind w:right="360"/>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AFC8C">
                          <w:pPr>
                            <w:pStyle w:val="17"/>
                          </w:pPr>
                          <w:r>
                            <w:fldChar w:fldCharType="begin"/>
                          </w:r>
                          <w:r>
                            <w:instrText xml:space="preserve"> PAGE  \* MERGEFORMAT </w:instrText>
                          </w:r>
                          <w:r>
                            <w:fldChar w:fldCharType="separate"/>
                          </w:r>
                          <w:r>
                            <w:t>- 73 -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BAAFC8C">
                    <w:pPr>
                      <w:pStyle w:val="17"/>
                    </w:pPr>
                    <w:r>
                      <w:fldChar w:fldCharType="begin"/>
                    </w:r>
                    <w:r>
                      <w:instrText xml:space="preserve"> PAGE  \* MERGEFORMAT </w:instrText>
                    </w:r>
                    <w:r>
                      <w:fldChar w:fldCharType="separate"/>
                    </w:r>
                    <w:r>
                      <w:t>- 73 -</w:t>
                    </w:r>
                    <w: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F93B">
    <w:pPr>
      <w:pStyle w:val="17"/>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E89A6">
                          <w:pPr>
                            <w:pStyle w:val="17"/>
                          </w:pPr>
                          <w:r>
                            <w:fldChar w:fldCharType="begin"/>
                          </w:r>
                          <w:r>
                            <w:instrText xml:space="preserve"> PAGE  \* MERGEFORMAT </w:instrText>
                          </w:r>
                          <w:r>
                            <w:fldChar w:fldCharType="separate"/>
                          </w:r>
                          <w:r>
                            <w:t>- 78 -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8BE89A6">
                    <w:pPr>
                      <w:pStyle w:val="17"/>
                    </w:pPr>
                    <w:r>
                      <w:fldChar w:fldCharType="begin"/>
                    </w:r>
                    <w:r>
                      <w:instrText xml:space="preserve"> PAGE  \* MERGEFORMAT </w:instrText>
                    </w:r>
                    <w:r>
                      <w:fldChar w:fldCharType="separate"/>
                    </w:r>
                    <w:r>
                      <w:t>- 78 -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EF82">
    <w:pPr>
      <w:pStyle w:val="19"/>
      <w:pBdr>
        <w:bottom w:val="none" w:color="auto" w:sz="0" w:space="1"/>
      </w:pBdr>
      <w:tabs>
        <w:tab w:val="left" w:pos="8097"/>
      </w:tabs>
      <w:jc w:val="left"/>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D8DF">
    <w:pPr>
      <w:pStyle w:val="19"/>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5B59">
    <w:pPr>
      <w:pStyle w:val="19"/>
      <w:pBdr>
        <w:bottom w:val="none" w:color="auto" w:sz="0" w:space="0"/>
      </w:pBdr>
      <w:jc w:val="right"/>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550B">
    <w:pPr>
      <w:pStyle w:val="19"/>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FCDBC"/>
    <w:multiLevelType w:val="singleLevel"/>
    <w:tmpl w:val="9D1FCDBC"/>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C97A92E2"/>
    <w:multiLevelType w:val="singleLevel"/>
    <w:tmpl w:val="C97A92E2"/>
    <w:lvl w:ilvl="0" w:tentative="0">
      <w:start w:val="2"/>
      <w:numFmt w:val="chineseCounting"/>
      <w:suff w:val="nothing"/>
      <w:lvlText w:val="%1、"/>
      <w:lvlJc w:val="left"/>
      <w:rPr>
        <w:rFonts w:hint="eastAsia"/>
      </w:rPr>
    </w:lvl>
  </w:abstractNum>
  <w:abstractNum w:abstractNumId="3">
    <w:nsid w:val="D8A1DD42"/>
    <w:multiLevelType w:val="singleLevel"/>
    <w:tmpl w:val="D8A1DD42"/>
    <w:lvl w:ilvl="0" w:tentative="0">
      <w:start w:val="1"/>
      <w:numFmt w:val="decimal"/>
      <w:suff w:val="nothing"/>
      <w:lvlText w:val="%1、"/>
      <w:lvlJc w:val="left"/>
    </w:lvl>
  </w:abstractNum>
  <w:abstractNum w:abstractNumId="4">
    <w:nsid w:val="F23027D0"/>
    <w:multiLevelType w:val="singleLevel"/>
    <w:tmpl w:val="F23027D0"/>
    <w:lvl w:ilvl="0" w:tentative="0">
      <w:start w:val="1"/>
      <w:numFmt w:val="decimal"/>
      <w:lvlText w:val="%1."/>
      <w:lvlJc w:val="left"/>
      <w:pPr>
        <w:tabs>
          <w:tab w:val="left" w:pos="312"/>
        </w:tabs>
      </w:pPr>
    </w:lvl>
  </w:abstractNum>
  <w:abstractNum w:abstractNumId="5">
    <w:nsid w:val="F724F89B"/>
    <w:multiLevelType w:val="singleLevel"/>
    <w:tmpl w:val="F724F89B"/>
    <w:lvl w:ilvl="0" w:tentative="0">
      <w:start w:val="1"/>
      <w:numFmt w:val="decimal"/>
      <w:lvlText w:val="%1."/>
      <w:lvlJc w:val="left"/>
      <w:pPr>
        <w:tabs>
          <w:tab w:val="left" w:pos="312"/>
        </w:tabs>
      </w:pPr>
    </w:lvl>
  </w:abstractNum>
  <w:abstractNum w:abstractNumId="6">
    <w:nsid w:val="F8EA444D"/>
    <w:multiLevelType w:val="singleLevel"/>
    <w:tmpl w:val="F8EA444D"/>
    <w:lvl w:ilvl="0" w:tentative="0">
      <w:start w:val="1"/>
      <w:numFmt w:val="decimal"/>
      <w:suff w:val="nothing"/>
      <w:lvlText w:val="%1、"/>
      <w:lvlJc w:val="left"/>
    </w:lvl>
  </w:abstractNum>
  <w:abstractNum w:abstractNumId="7">
    <w:nsid w:val="08B2D8E5"/>
    <w:multiLevelType w:val="singleLevel"/>
    <w:tmpl w:val="08B2D8E5"/>
    <w:lvl w:ilvl="0" w:tentative="0">
      <w:start w:val="9"/>
      <w:numFmt w:val="decimal"/>
      <w:suff w:val="nothing"/>
      <w:lvlText w:val="%1、"/>
      <w:lvlJc w:val="left"/>
    </w:lvl>
  </w:abstractNum>
  <w:abstractNum w:abstractNumId="8">
    <w:nsid w:val="42F35F4B"/>
    <w:multiLevelType w:val="singleLevel"/>
    <w:tmpl w:val="42F35F4B"/>
    <w:lvl w:ilvl="0" w:tentative="0">
      <w:start w:val="1"/>
      <w:numFmt w:val="decimal"/>
      <w:lvlText w:val="%1."/>
      <w:lvlJc w:val="left"/>
      <w:pPr>
        <w:tabs>
          <w:tab w:val="left" w:pos="312"/>
        </w:tabs>
      </w:pPr>
    </w:lvl>
  </w:abstractNum>
  <w:abstractNum w:abstractNumId="9">
    <w:nsid w:val="4670638B"/>
    <w:multiLevelType w:val="singleLevel"/>
    <w:tmpl w:val="4670638B"/>
    <w:lvl w:ilvl="0" w:tentative="0">
      <w:start w:val="6"/>
      <w:numFmt w:val="chineseCounting"/>
      <w:suff w:val="space"/>
      <w:lvlText w:val="第%1章"/>
      <w:lvlJc w:val="left"/>
      <w:rPr>
        <w:rFonts w:hint="eastAsia"/>
      </w:rPr>
    </w:lvl>
  </w:abstractNum>
  <w:abstractNum w:abstractNumId="10">
    <w:nsid w:val="59FB0796"/>
    <w:multiLevelType w:val="singleLevel"/>
    <w:tmpl w:val="59FB0796"/>
    <w:lvl w:ilvl="0" w:tentative="0">
      <w:start w:val="1"/>
      <w:numFmt w:val="decimal"/>
      <w:suff w:val="nothing"/>
      <w:lvlText w:val="%1、"/>
      <w:lvlJc w:val="left"/>
    </w:lvl>
  </w:abstractNum>
  <w:abstractNum w:abstractNumId="11">
    <w:nsid w:val="7DFD0FE5"/>
    <w:multiLevelType w:val="singleLevel"/>
    <w:tmpl w:val="7DFD0FE5"/>
    <w:lvl w:ilvl="0" w:tentative="0">
      <w:start w:val="1"/>
      <w:numFmt w:val="decimal"/>
      <w:lvlText w:val="%1."/>
      <w:lvlJc w:val="left"/>
      <w:pPr>
        <w:tabs>
          <w:tab w:val="left" w:pos="312"/>
        </w:tabs>
      </w:pPr>
    </w:lvl>
  </w:abstractNum>
  <w:num w:numId="1">
    <w:abstractNumId w:val="10"/>
  </w:num>
  <w:num w:numId="2">
    <w:abstractNumId w:val="1"/>
  </w:num>
  <w:num w:numId="3">
    <w:abstractNumId w:val="6"/>
  </w:num>
  <w:num w:numId="4">
    <w:abstractNumId w:val="7"/>
  </w:num>
  <w:num w:numId="5">
    <w:abstractNumId w:val="3"/>
  </w:num>
  <w:num w:numId="6">
    <w:abstractNumId w:val="2"/>
  </w:num>
  <w:num w:numId="7">
    <w:abstractNumId w:val="9"/>
  </w:num>
  <w:num w:numId="8">
    <w:abstractNumId w:val="5"/>
  </w:num>
  <w:num w:numId="9">
    <w:abstractNumId w:val="0"/>
  </w:num>
  <w:num w:numId="10">
    <w:abstractNumId w:val="8"/>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CF0046"/>
    <w:rsid w:val="01DA477F"/>
    <w:rsid w:val="01DE1AD3"/>
    <w:rsid w:val="01FD609D"/>
    <w:rsid w:val="021A09FD"/>
    <w:rsid w:val="023B6BC5"/>
    <w:rsid w:val="023D293E"/>
    <w:rsid w:val="02467A44"/>
    <w:rsid w:val="026B74AB"/>
    <w:rsid w:val="02720839"/>
    <w:rsid w:val="02753E85"/>
    <w:rsid w:val="027F153C"/>
    <w:rsid w:val="029B159F"/>
    <w:rsid w:val="02A73BD6"/>
    <w:rsid w:val="02A824AD"/>
    <w:rsid w:val="02B250DA"/>
    <w:rsid w:val="02DA11CE"/>
    <w:rsid w:val="02DF57A3"/>
    <w:rsid w:val="02E4208D"/>
    <w:rsid w:val="02EA3A9D"/>
    <w:rsid w:val="02F76F90"/>
    <w:rsid w:val="030B1CD5"/>
    <w:rsid w:val="030B2A3C"/>
    <w:rsid w:val="03263951"/>
    <w:rsid w:val="034C4B6E"/>
    <w:rsid w:val="03767AF5"/>
    <w:rsid w:val="03870314"/>
    <w:rsid w:val="03B278E6"/>
    <w:rsid w:val="03C6567D"/>
    <w:rsid w:val="03E5590A"/>
    <w:rsid w:val="03E85211"/>
    <w:rsid w:val="03F62171"/>
    <w:rsid w:val="040A684F"/>
    <w:rsid w:val="040D0631"/>
    <w:rsid w:val="041575B8"/>
    <w:rsid w:val="04243DB5"/>
    <w:rsid w:val="043438CC"/>
    <w:rsid w:val="046917C8"/>
    <w:rsid w:val="046B5540"/>
    <w:rsid w:val="048B3E34"/>
    <w:rsid w:val="04AD6853"/>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C3413"/>
    <w:rsid w:val="066E5BC6"/>
    <w:rsid w:val="067A7CBC"/>
    <w:rsid w:val="06916ADF"/>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54496"/>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5C592B"/>
    <w:rsid w:val="0A6767AA"/>
    <w:rsid w:val="0A717628"/>
    <w:rsid w:val="0A96708F"/>
    <w:rsid w:val="0A9B3379"/>
    <w:rsid w:val="0AAA2B3A"/>
    <w:rsid w:val="0AAC0660"/>
    <w:rsid w:val="0AB47515"/>
    <w:rsid w:val="0AD007F3"/>
    <w:rsid w:val="0ADF4592"/>
    <w:rsid w:val="0AEC3153"/>
    <w:rsid w:val="0AF10769"/>
    <w:rsid w:val="0AF225B3"/>
    <w:rsid w:val="0B00285D"/>
    <w:rsid w:val="0B022976"/>
    <w:rsid w:val="0B047D8E"/>
    <w:rsid w:val="0B1B1342"/>
    <w:rsid w:val="0B2B77D7"/>
    <w:rsid w:val="0B2D21BD"/>
    <w:rsid w:val="0B36513E"/>
    <w:rsid w:val="0B381EF4"/>
    <w:rsid w:val="0B4C1340"/>
    <w:rsid w:val="0B5C03AF"/>
    <w:rsid w:val="0B703F6E"/>
    <w:rsid w:val="0B723658"/>
    <w:rsid w:val="0B980BE5"/>
    <w:rsid w:val="0BD32CF6"/>
    <w:rsid w:val="0BDC69EE"/>
    <w:rsid w:val="0BEC07AD"/>
    <w:rsid w:val="0BF12D0A"/>
    <w:rsid w:val="0C101DEE"/>
    <w:rsid w:val="0C225FA5"/>
    <w:rsid w:val="0C36122D"/>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37F2"/>
    <w:rsid w:val="0D4B23B2"/>
    <w:rsid w:val="0D682F64"/>
    <w:rsid w:val="0D6C7F50"/>
    <w:rsid w:val="0D74027F"/>
    <w:rsid w:val="0D7A5A18"/>
    <w:rsid w:val="0D7C256C"/>
    <w:rsid w:val="0DA844A6"/>
    <w:rsid w:val="0DC66732"/>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225629"/>
    <w:rsid w:val="0F227CFE"/>
    <w:rsid w:val="0F377F2C"/>
    <w:rsid w:val="0F381D7B"/>
    <w:rsid w:val="0F475EA9"/>
    <w:rsid w:val="0F4B669A"/>
    <w:rsid w:val="0F517A28"/>
    <w:rsid w:val="0F615EBD"/>
    <w:rsid w:val="0F8200B8"/>
    <w:rsid w:val="0F9207AD"/>
    <w:rsid w:val="0FA56A89"/>
    <w:rsid w:val="0FD541B5"/>
    <w:rsid w:val="0FF00FEF"/>
    <w:rsid w:val="0FF46A27"/>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C10E95"/>
    <w:rsid w:val="11C24C0D"/>
    <w:rsid w:val="11F16D5E"/>
    <w:rsid w:val="11FE3E97"/>
    <w:rsid w:val="12142E4D"/>
    <w:rsid w:val="121865DB"/>
    <w:rsid w:val="1223332E"/>
    <w:rsid w:val="1225502D"/>
    <w:rsid w:val="122574BC"/>
    <w:rsid w:val="12273C58"/>
    <w:rsid w:val="12316C28"/>
    <w:rsid w:val="125B2AB5"/>
    <w:rsid w:val="128D6FC9"/>
    <w:rsid w:val="12AD31C8"/>
    <w:rsid w:val="12BE3627"/>
    <w:rsid w:val="12CB7D62"/>
    <w:rsid w:val="12F36384"/>
    <w:rsid w:val="13365721"/>
    <w:rsid w:val="133833D9"/>
    <w:rsid w:val="13421B62"/>
    <w:rsid w:val="134A310C"/>
    <w:rsid w:val="13617714"/>
    <w:rsid w:val="13631AD8"/>
    <w:rsid w:val="137A57A0"/>
    <w:rsid w:val="137C732D"/>
    <w:rsid w:val="137F7E6F"/>
    <w:rsid w:val="138A0316"/>
    <w:rsid w:val="13AF55AA"/>
    <w:rsid w:val="13B647DF"/>
    <w:rsid w:val="13CE3A45"/>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4E362FF"/>
    <w:rsid w:val="15064E11"/>
    <w:rsid w:val="153041A6"/>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0E1A7D"/>
    <w:rsid w:val="181810E3"/>
    <w:rsid w:val="1820443C"/>
    <w:rsid w:val="18383533"/>
    <w:rsid w:val="18510A99"/>
    <w:rsid w:val="18570964"/>
    <w:rsid w:val="18585984"/>
    <w:rsid w:val="18624A54"/>
    <w:rsid w:val="18814EDA"/>
    <w:rsid w:val="188C387F"/>
    <w:rsid w:val="18932E60"/>
    <w:rsid w:val="18A10C75"/>
    <w:rsid w:val="18A62B93"/>
    <w:rsid w:val="18B82B11"/>
    <w:rsid w:val="18CE3E98"/>
    <w:rsid w:val="18D36D47"/>
    <w:rsid w:val="18EE0096"/>
    <w:rsid w:val="1902223E"/>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C53B5"/>
    <w:rsid w:val="1BFD0D1C"/>
    <w:rsid w:val="1C136791"/>
    <w:rsid w:val="1C1C7C94"/>
    <w:rsid w:val="1C262333"/>
    <w:rsid w:val="1C3362E1"/>
    <w:rsid w:val="1C5514CB"/>
    <w:rsid w:val="1C632B49"/>
    <w:rsid w:val="1C8D362E"/>
    <w:rsid w:val="1C9753F9"/>
    <w:rsid w:val="1CA97058"/>
    <w:rsid w:val="1CB03FE0"/>
    <w:rsid w:val="1CBB4CEA"/>
    <w:rsid w:val="1CC23D13"/>
    <w:rsid w:val="1CD13F56"/>
    <w:rsid w:val="1CE67A02"/>
    <w:rsid w:val="1CEA771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54540E"/>
    <w:rsid w:val="226118D9"/>
    <w:rsid w:val="22630287"/>
    <w:rsid w:val="22660462"/>
    <w:rsid w:val="227817C2"/>
    <w:rsid w:val="227B299A"/>
    <w:rsid w:val="22A46395"/>
    <w:rsid w:val="22F34C27"/>
    <w:rsid w:val="231B6DD4"/>
    <w:rsid w:val="232C2B22"/>
    <w:rsid w:val="233139A1"/>
    <w:rsid w:val="233A0AA7"/>
    <w:rsid w:val="234522A4"/>
    <w:rsid w:val="235B2F2E"/>
    <w:rsid w:val="23645D40"/>
    <w:rsid w:val="23871813"/>
    <w:rsid w:val="23A14CC0"/>
    <w:rsid w:val="23A94E6A"/>
    <w:rsid w:val="23C91E2B"/>
    <w:rsid w:val="23D20CE0"/>
    <w:rsid w:val="23EB4639"/>
    <w:rsid w:val="23F752D7"/>
    <w:rsid w:val="240864B0"/>
    <w:rsid w:val="242157C3"/>
    <w:rsid w:val="24253E98"/>
    <w:rsid w:val="24280900"/>
    <w:rsid w:val="24311EAA"/>
    <w:rsid w:val="246F29D3"/>
    <w:rsid w:val="24727DCD"/>
    <w:rsid w:val="24950F82"/>
    <w:rsid w:val="249661B1"/>
    <w:rsid w:val="249A48C2"/>
    <w:rsid w:val="249D12EE"/>
    <w:rsid w:val="24A43A28"/>
    <w:rsid w:val="24B403E6"/>
    <w:rsid w:val="24B76319"/>
    <w:rsid w:val="24C74FB8"/>
    <w:rsid w:val="24C76BD4"/>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E37751"/>
    <w:rsid w:val="25E82A3D"/>
    <w:rsid w:val="25EA2F9C"/>
    <w:rsid w:val="25FC109E"/>
    <w:rsid w:val="260F3265"/>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93BEB"/>
    <w:rsid w:val="28490586"/>
    <w:rsid w:val="28497097"/>
    <w:rsid w:val="285223EF"/>
    <w:rsid w:val="28577471"/>
    <w:rsid w:val="287E36F4"/>
    <w:rsid w:val="287E4F92"/>
    <w:rsid w:val="28950E82"/>
    <w:rsid w:val="28A15125"/>
    <w:rsid w:val="28CA467C"/>
    <w:rsid w:val="28E0583E"/>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7165A"/>
    <w:rsid w:val="2A351FC9"/>
    <w:rsid w:val="2A424D20"/>
    <w:rsid w:val="2A4A2EAA"/>
    <w:rsid w:val="2A510807"/>
    <w:rsid w:val="2A522B7B"/>
    <w:rsid w:val="2A5306A1"/>
    <w:rsid w:val="2A6B1546"/>
    <w:rsid w:val="2A7918AF"/>
    <w:rsid w:val="2A897878"/>
    <w:rsid w:val="2A932D82"/>
    <w:rsid w:val="2AAB4039"/>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A0622A"/>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D016192"/>
    <w:rsid w:val="2D0F6994"/>
    <w:rsid w:val="2D17277F"/>
    <w:rsid w:val="2D281971"/>
    <w:rsid w:val="2D410C84"/>
    <w:rsid w:val="2D502C75"/>
    <w:rsid w:val="2D5664DE"/>
    <w:rsid w:val="2D6F535B"/>
    <w:rsid w:val="2D766B80"/>
    <w:rsid w:val="2D7971C6"/>
    <w:rsid w:val="2D8E2DF0"/>
    <w:rsid w:val="2D9A4A11"/>
    <w:rsid w:val="2D9B0395"/>
    <w:rsid w:val="2D9C5EBB"/>
    <w:rsid w:val="2DD13DB6"/>
    <w:rsid w:val="2DFB0E33"/>
    <w:rsid w:val="2E114561"/>
    <w:rsid w:val="2E255193"/>
    <w:rsid w:val="2E2A6AAB"/>
    <w:rsid w:val="2E3305CD"/>
    <w:rsid w:val="2E513149"/>
    <w:rsid w:val="2E7F52E1"/>
    <w:rsid w:val="2E9949CD"/>
    <w:rsid w:val="2EA17C2D"/>
    <w:rsid w:val="2EAB3BA0"/>
    <w:rsid w:val="2EBE07DF"/>
    <w:rsid w:val="2EC549F9"/>
    <w:rsid w:val="2EC5717E"/>
    <w:rsid w:val="2ECA7717"/>
    <w:rsid w:val="2ED406E8"/>
    <w:rsid w:val="2EDC6090"/>
    <w:rsid w:val="2EE63891"/>
    <w:rsid w:val="2EE6563F"/>
    <w:rsid w:val="2EE67D35"/>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1E63BA8"/>
    <w:rsid w:val="320A7897"/>
    <w:rsid w:val="32130E41"/>
    <w:rsid w:val="321B7CF6"/>
    <w:rsid w:val="321E77E6"/>
    <w:rsid w:val="32297AFD"/>
    <w:rsid w:val="322F3459"/>
    <w:rsid w:val="32346C69"/>
    <w:rsid w:val="32394CA9"/>
    <w:rsid w:val="32435C97"/>
    <w:rsid w:val="32586854"/>
    <w:rsid w:val="32700AC1"/>
    <w:rsid w:val="32721814"/>
    <w:rsid w:val="32806CA0"/>
    <w:rsid w:val="32BA12BD"/>
    <w:rsid w:val="32C15FF8"/>
    <w:rsid w:val="32CC2D9E"/>
    <w:rsid w:val="32D66952"/>
    <w:rsid w:val="32DD3D4A"/>
    <w:rsid w:val="32E96D73"/>
    <w:rsid w:val="32EB483E"/>
    <w:rsid w:val="32F04786"/>
    <w:rsid w:val="331C3D26"/>
    <w:rsid w:val="33291F9F"/>
    <w:rsid w:val="33370FEA"/>
    <w:rsid w:val="333E1EEE"/>
    <w:rsid w:val="335C0083"/>
    <w:rsid w:val="33754C06"/>
    <w:rsid w:val="3378463D"/>
    <w:rsid w:val="337C6572"/>
    <w:rsid w:val="33BC2E13"/>
    <w:rsid w:val="33D463AE"/>
    <w:rsid w:val="33E35BA8"/>
    <w:rsid w:val="34254E5C"/>
    <w:rsid w:val="342804A8"/>
    <w:rsid w:val="346239BA"/>
    <w:rsid w:val="34724719"/>
    <w:rsid w:val="34921223"/>
    <w:rsid w:val="34955FD2"/>
    <w:rsid w:val="3498562E"/>
    <w:rsid w:val="34A30758"/>
    <w:rsid w:val="34BA45C5"/>
    <w:rsid w:val="34BB756E"/>
    <w:rsid w:val="34DC1AF0"/>
    <w:rsid w:val="34E24AFB"/>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62E3D"/>
    <w:rsid w:val="360C2B63"/>
    <w:rsid w:val="360D5BA8"/>
    <w:rsid w:val="36173C37"/>
    <w:rsid w:val="361A2790"/>
    <w:rsid w:val="364F7F6E"/>
    <w:rsid w:val="365B0D17"/>
    <w:rsid w:val="36653C36"/>
    <w:rsid w:val="3679148F"/>
    <w:rsid w:val="367C3503"/>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2E4232"/>
    <w:rsid w:val="38381034"/>
    <w:rsid w:val="38487848"/>
    <w:rsid w:val="38507FCD"/>
    <w:rsid w:val="38717B72"/>
    <w:rsid w:val="38750761"/>
    <w:rsid w:val="38804D57"/>
    <w:rsid w:val="38B96C99"/>
    <w:rsid w:val="38C84008"/>
    <w:rsid w:val="38F368E2"/>
    <w:rsid w:val="38F92413"/>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250FF2"/>
    <w:rsid w:val="3B4E004F"/>
    <w:rsid w:val="3B5E633C"/>
    <w:rsid w:val="3B7312B9"/>
    <w:rsid w:val="3B847F81"/>
    <w:rsid w:val="3B9E47CD"/>
    <w:rsid w:val="3BB16FD5"/>
    <w:rsid w:val="3BDF7FE6"/>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737FCC"/>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070E62"/>
    <w:rsid w:val="403D4CF2"/>
    <w:rsid w:val="403E177F"/>
    <w:rsid w:val="40556AC9"/>
    <w:rsid w:val="407C4056"/>
    <w:rsid w:val="4081166C"/>
    <w:rsid w:val="40A435AC"/>
    <w:rsid w:val="40C8729B"/>
    <w:rsid w:val="40D61330"/>
    <w:rsid w:val="411918A4"/>
    <w:rsid w:val="41197C65"/>
    <w:rsid w:val="41214BFD"/>
    <w:rsid w:val="412A1D04"/>
    <w:rsid w:val="413E2C75"/>
    <w:rsid w:val="41444ACB"/>
    <w:rsid w:val="414C3A28"/>
    <w:rsid w:val="414F52C6"/>
    <w:rsid w:val="417E40C0"/>
    <w:rsid w:val="418A09F4"/>
    <w:rsid w:val="41CA5CC4"/>
    <w:rsid w:val="41F01EAA"/>
    <w:rsid w:val="41F70A0F"/>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8C5A72"/>
    <w:rsid w:val="439E42E3"/>
    <w:rsid w:val="43A80903"/>
    <w:rsid w:val="43E20674"/>
    <w:rsid w:val="43EA577A"/>
    <w:rsid w:val="43EB73AA"/>
    <w:rsid w:val="43F565F9"/>
    <w:rsid w:val="44136783"/>
    <w:rsid w:val="44150A49"/>
    <w:rsid w:val="44233E12"/>
    <w:rsid w:val="4432552D"/>
    <w:rsid w:val="445350CD"/>
    <w:rsid w:val="445B185E"/>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667082"/>
    <w:rsid w:val="456B41CA"/>
    <w:rsid w:val="458B6AE9"/>
    <w:rsid w:val="459C7154"/>
    <w:rsid w:val="45B147A1"/>
    <w:rsid w:val="45CC15DB"/>
    <w:rsid w:val="45CE5353"/>
    <w:rsid w:val="45D13BEB"/>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713C7F"/>
    <w:rsid w:val="477261B2"/>
    <w:rsid w:val="47783365"/>
    <w:rsid w:val="478D6B48"/>
    <w:rsid w:val="478F41FD"/>
    <w:rsid w:val="479640A9"/>
    <w:rsid w:val="47AC3472"/>
    <w:rsid w:val="47D227AD"/>
    <w:rsid w:val="47E10C1D"/>
    <w:rsid w:val="47EC1AC1"/>
    <w:rsid w:val="47F97128"/>
    <w:rsid w:val="482079BC"/>
    <w:rsid w:val="4821760A"/>
    <w:rsid w:val="48291245"/>
    <w:rsid w:val="484E254C"/>
    <w:rsid w:val="485B6C46"/>
    <w:rsid w:val="48662BA5"/>
    <w:rsid w:val="48744696"/>
    <w:rsid w:val="48981C49"/>
    <w:rsid w:val="48B8168E"/>
    <w:rsid w:val="490B41C9"/>
    <w:rsid w:val="490E3CB9"/>
    <w:rsid w:val="49137521"/>
    <w:rsid w:val="491D3164"/>
    <w:rsid w:val="49303C2F"/>
    <w:rsid w:val="494823F1"/>
    <w:rsid w:val="49553696"/>
    <w:rsid w:val="495A05DD"/>
    <w:rsid w:val="495E69EE"/>
    <w:rsid w:val="49610ABA"/>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DF7E46"/>
    <w:rsid w:val="4CE25C17"/>
    <w:rsid w:val="4CFF4B86"/>
    <w:rsid w:val="4D165792"/>
    <w:rsid w:val="4D2B629C"/>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D156B"/>
    <w:rsid w:val="5051457C"/>
    <w:rsid w:val="50525383"/>
    <w:rsid w:val="505A4B1C"/>
    <w:rsid w:val="50620693"/>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9A258E"/>
    <w:rsid w:val="519F4486"/>
    <w:rsid w:val="51A72EFC"/>
    <w:rsid w:val="51A74305"/>
    <w:rsid w:val="51A927D1"/>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A3DFE"/>
    <w:rsid w:val="560E52F8"/>
    <w:rsid w:val="561C1DF7"/>
    <w:rsid w:val="561D378D"/>
    <w:rsid w:val="561E0347"/>
    <w:rsid w:val="56262CB0"/>
    <w:rsid w:val="563805C7"/>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204EFB"/>
    <w:rsid w:val="573C60CD"/>
    <w:rsid w:val="575415CB"/>
    <w:rsid w:val="577536F9"/>
    <w:rsid w:val="579E445A"/>
    <w:rsid w:val="57B8376D"/>
    <w:rsid w:val="57BD5228"/>
    <w:rsid w:val="57BF5BC4"/>
    <w:rsid w:val="57C975DB"/>
    <w:rsid w:val="580E5A83"/>
    <w:rsid w:val="58164938"/>
    <w:rsid w:val="58213456"/>
    <w:rsid w:val="58225CBE"/>
    <w:rsid w:val="58240E03"/>
    <w:rsid w:val="5825158A"/>
    <w:rsid w:val="582E3475"/>
    <w:rsid w:val="58466D6B"/>
    <w:rsid w:val="584F7EF2"/>
    <w:rsid w:val="586456A3"/>
    <w:rsid w:val="58740F21"/>
    <w:rsid w:val="58896EB8"/>
    <w:rsid w:val="588B70D4"/>
    <w:rsid w:val="58B37ACE"/>
    <w:rsid w:val="58B73599"/>
    <w:rsid w:val="58B75292"/>
    <w:rsid w:val="58BC4D55"/>
    <w:rsid w:val="58BF6D7E"/>
    <w:rsid w:val="58C05D2A"/>
    <w:rsid w:val="58C61EBA"/>
    <w:rsid w:val="594D5C94"/>
    <w:rsid w:val="59981AA8"/>
    <w:rsid w:val="59B5219E"/>
    <w:rsid w:val="59B82194"/>
    <w:rsid w:val="59D851F4"/>
    <w:rsid w:val="59EC2FB2"/>
    <w:rsid w:val="59EF3692"/>
    <w:rsid w:val="5A0C522A"/>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51623"/>
    <w:rsid w:val="5BCA59B2"/>
    <w:rsid w:val="5BCF1086"/>
    <w:rsid w:val="5BDB0397"/>
    <w:rsid w:val="5BDB3ECE"/>
    <w:rsid w:val="5BE23CB3"/>
    <w:rsid w:val="5BE34E7F"/>
    <w:rsid w:val="5BEC49BF"/>
    <w:rsid w:val="5BF907F8"/>
    <w:rsid w:val="5C294C3A"/>
    <w:rsid w:val="5C341831"/>
    <w:rsid w:val="5C350A03"/>
    <w:rsid w:val="5C540CEB"/>
    <w:rsid w:val="5C6043D4"/>
    <w:rsid w:val="5C7A5495"/>
    <w:rsid w:val="5C7B745F"/>
    <w:rsid w:val="5C874A01"/>
    <w:rsid w:val="5C8E747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B8080B"/>
    <w:rsid w:val="5EC96260"/>
    <w:rsid w:val="5EDD7F5D"/>
    <w:rsid w:val="5EE9110F"/>
    <w:rsid w:val="5EFA0B0F"/>
    <w:rsid w:val="5F053F00"/>
    <w:rsid w:val="5F0D1409"/>
    <w:rsid w:val="5F351B48"/>
    <w:rsid w:val="5F3F6A72"/>
    <w:rsid w:val="5F4F0039"/>
    <w:rsid w:val="5F5003C9"/>
    <w:rsid w:val="5F506981"/>
    <w:rsid w:val="5F5D2E4C"/>
    <w:rsid w:val="5F697A43"/>
    <w:rsid w:val="5F7E34EF"/>
    <w:rsid w:val="5F881C77"/>
    <w:rsid w:val="5FB24F46"/>
    <w:rsid w:val="5FB756AF"/>
    <w:rsid w:val="5FB76F8F"/>
    <w:rsid w:val="5FC90D16"/>
    <w:rsid w:val="5FDF3861"/>
    <w:rsid w:val="5FEC330E"/>
    <w:rsid w:val="5FFE26B1"/>
    <w:rsid w:val="600664AF"/>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23605"/>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8362C"/>
    <w:rsid w:val="63EC39A0"/>
    <w:rsid w:val="63FB0133"/>
    <w:rsid w:val="63FF248C"/>
    <w:rsid w:val="640B731B"/>
    <w:rsid w:val="640E5125"/>
    <w:rsid w:val="640F72BA"/>
    <w:rsid w:val="6410048D"/>
    <w:rsid w:val="641066DF"/>
    <w:rsid w:val="641B57B0"/>
    <w:rsid w:val="641C7510"/>
    <w:rsid w:val="642A4B6E"/>
    <w:rsid w:val="64300B2F"/>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3B04E6"/>
    <w:rsid w:val="6B572E46"/>
    <w:rsid w:val="6B70570C"/>
    <w:rsid w:val="6B791415"/>
    <w:rsid w:val="6B94551F"/>
    <w:rsid w:val="6BA33A90"/>
    <w:rsid w:val="6BA8544F"/>
    <w:rsid w:val="6BB122F3"/>
    <w:rsid w:val="6BB81B36"/>
    <w:rsid w:val="6BBB515E"/>
    <w:rsid w:val="6BDA5F51"/>
    <w:rsid w:val="6BF52F1B"/>
    <w:rsid w:val="6BFF1513"/>
    <w:rsid w:val="6C186A79"/>
    <w:rsid w:val="6C195BB1"/>
    <w:rsid w:val="6C1A1401"/>
    <w:rsid w:val="6C44161C"/>
    <w:rsid w:val="6C4909E0"/>
    <w:rsid w:val="6C57598C"/>
    <w:rsid w:val="6C5B06C1"/>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8E7B48"/>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25F9E"/>
    <w:rsid w:val="6E7C5B14"/>
    <w:rsid w:val="6E7F2DDF"/>
    <w:rsid w:val="6E7F693B"/>
    <w:rsid w:val="6E810905"/>
    <w:rsid w:val="6E862D78"/>
    <w:rsid w:val="6EA17E97"/>
    <w:rsid w:val="6EB73CB1"/>
    <w:rsid w:val="6EB83BFB"/>
    <w:rsid w:val="6EC31970"/>
    <w:rsid w:val="6ED0363B"/>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0F33AB0"/>
    <w:rsid w:val="71193077"/>
    <w:rsid w:val="712B4B58"/>
    <w:rsid w:val="713954C7"/>
    <w:rsid w:val="713A4D9B"/>
    <w:rsid w:val="713C4FB8"/>
    <w:rsid w:val="71791D68"/>
    <w:rsid w:val="71942602"/>
    <w:rsid w:val="719F49E4"/>
    <w:rsid w:val="71A15DCC"/>
    <w:rsid w:val="71CB2A38"/>
    <w:rsid w:val="71D62D16"/>
    <w:rsid w:val="71D84CE0"/>
    <w:rsid w:val="72014BEC"/>
    <w:rsid w:val="72127AC6"/>
    <w:rsid w:val="72181581"/>
    <w:rsid w:val="721D379A"/>
    <w:rsid w:val="72226E2C"/>
    <w:rsid w:val="72291610"/>
    <w:rsid w:val="722C0B88"/>
    <w:rsid w:val="722C7F52"/>
    <w:rsid w:val="72444124"/>
    <w:rsid w:val="72491472"/>
    <w:rsid w:val="7249173A"/>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8F6533"/>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7CB4"/>
    <w:rsid w:val="78EE0759"/>
    <w:rsid w:val="78FB5758"/>
    <w:rsid w:val="790A599B"/>
    <w:rsid w:val="79144124"/>
    <w:rsid w:val="79172C15"/>
    <w:rsid w:val="792F71B0"/>
    <w:rsid w:val="79444A09"/>
    <w:rsid w:val="79563D5A"/>
    <w:rsid w:val="796E7CD8"/>
    <w:rsid w:val="79773C4C"/>
    <w:rsid w:val="79880533"/>
    <w:rsid w:val="798B6ADC"/>
    <w:rsid w:val="7993773F"/>
    <w:rsid w:val="799C723E"/>
    <w:rsid w:val="79AC325B"/>
    <w:rsid w:val="79BA116F"/>
    <w:rsid w:val="79C124FE"/>
    <w:rsid w:val="79E26407"/>
    <w:rsid w:val="79EB31D2"/>
    <w:rsid w:val="79EF3BFA"/>
    <w:rsid w:val="7A0A5C53"/>
    <w:rsid w:val="7A105D2C"/>
    <w:rsid w:val="7A1563A6"/>
    <w:rsid w:val="7A48677B"/>
    <w:rsid w:val="7A4A18CD"/>
    <w:rsid w:val="7A6115EB"/>
    <w:rsid w:val="7A7371DA"/>
    <w:rsid w:val="7A7A445B"/>
    <w:rsid w:val="7A811C8D"/>
    <w:rsid w:val="7A872C09"/>
    <w:rsid w:val="7A87426C"/>
    <w:rsid w:val="7A8C2505"/>
    <w:rsid w:val="7A8F02BC"/>
    <w:rsid w:val="7AA716F4"/>
    <w:rsid w:val="7AAA4D40"/>
    <w:rsid w:val="7AB20098"/>
    <w:rsid w:val="7ACA3634"/>
    <w:rsid w:val="7B004782"/>
    <w:rsid w:val="7B082817"/>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3504C"/>
    <w:rsid w:val="7E357016"/>
    <w:rsid w:val="7E3A287F"/>
    <w:rsid w:val="7E5F22E5"/>
    <w:rsid w:val="7E6E6608"/>
    <w:rsid w:val="7E771BAC"/>
    <w:rsid w:val="7E800BC1"/>
    <w:rsid w:val="7E891110"/>
    <w:rsid w:val="7E8A5C21"/>
    <w:rsid w:val="7EA452E1"/>
    <w:rsid w:val="7EC0795C"/>
    <w:rsid w:val="7ED964CE"/>
    <w:rsid w:val="7EDE76AE"/>
    <w:rsid w:val="7EE76FBE"/>
    <w:rsid w:val="7EEF71C5"/>
    <w:rsid w:val="7F056578"/>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4"/>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99"/>
    <w:pPr>
      <w:ind w:firstLine="420" w:firstLineChars="200"/>
    </w:pPr>
    <w:rPr>
      <w:rFonts w:ascii="Calibri" w:hAnsi="Calibri"/>
      <w:kern w:val="0"/>
      <w:sz w:val="20"/>
    </w:rPr>
  </w:style>
  <w:style w:type="paragraph" w:styleId="8">
    <w:name w:val="toc 4"/>
    <w:basedOn w:val="1"/>
    <w:next w:val="1"/>
    <w:unhideWhenUsed/>
    <w:qFormat/>
    <w:uiPriority w:val="39"/>
    <w:pPr>
      <w:ind w:left="1260" w:leftChars="600"/>
    </w:pPr>
  </w:style>
  <w:style w:type="paragraph" w:styleId="9">
    <w:name w:val="toa heading"/>
    <w:basedOn w:val="1"/>
    <w:next w:val="1"/>
    <w:qFormat/>
    <w:uiPriority w:val="0"/>
    <w:pPr>
      <w:spacing w:before="120"/>
    </w:pPr>
    <w:rPr>
      <w:rFonts w:ascii="Arial" w:hAnsi="Arial"/>
      <w:b/>
      <w:bCs/>
    </w:rPr>
  </w:style>
  <w:style w:type="paragraph" w:styleId="10">
    <w:name w:val="Body Text 3"/>
    <w:basedOn w:val="1"/>
    <w:qFormat/>
    <w:uiPriority w:val="99"/>
    <w:pPr>
      <w:spacing w:after="120"/>
    </w:pPr>
    <w:rPr>
      <w:sz w:val="16"/>
      <w:szCs w:val="16"/>
    </w:rPr>
  </w:style>
  <w:style w:type="paragraph" w:styleId="11">
    <w:name w:val="Body Text"/>
    <w:basedOn w:val="1"/>
    <w:next w:val="1"/>
    <w:qFormat/>
    <w:uiPriority w:val="99"/>
    <w:pPr>
      <w:spacing w:after="120"/>
    </w:pPr>
    <w:rPr>
      <w:szCs w:val="24"/>
    </w:rPr>
  </w:style>
  <w:style w:type="paragraph" w:styleId="12">
    <w:name w:val="Body Text Indent"/>
    <w:basedOn w:val="1"/>
    <w:next w:val="11"/>
    <w:qFormat/>
    <w:uiPriority w:val="0"/>
    <w:pPr>
      <w:ind w:left="1083" w:leftChars="30" w:hanging="1020" w:hangingChars="425"/>
    </w:pPr>
    <w:rPr>
      <w:rFonts w:ascii="宋体" w:hAnsi="宋体"/>
      <w:sz w:val="24"/>
    </w:rPr>
  </w:style>
  <w:style w:type="paragraph" w:styleId="13">
    <w:name w:val="List 2"/>
    <w:basedOn w:val="1"/>
    <w:qFormat/>
    <w:uiPriority w:val="0"/>
    <w:pPr>
      <w:spacing w:line="360" w:lineRule="auto"/>
      <w:ind w:left="100" w:leftChars="200" w:hanging="200" w:hangingChars="200"/>
    </w:pPr>
    <w:rPr>
      <w:szCs w:val="20"/>
    </w:rPr>
  </w:style>
  <w:style w:type="paragraph" w:styleId="14">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5">
    <w:name w:val="Plain Text"/>
    <w:basedOn w:val="1"/>
    <w:qFormat/>
    <w:uiPriority w:val="99"/>
    <w:rPr>
      <w:rFonts w:ascii="宋体" w:hAnsi="Courier New"/>
    </w:rPr>
  </w:style>
  <w:style w:type="paragraph" w:styleId="16">
    <w:name w:val="Body Text Indent 2"/>
    <w:basedOn w:val="1"/>
    <w:semiHidden/>
    <w:unhideWhenUsed/>
    <w:qFormat/>
    <w:uiPriority w:val="99"/>
    <w:pPr>
      <w:spacing w:after="120" w:line="480" w:lineRule="auto"/>
      <w:ind w:left="420" w:leftChars="200"/>
    </w:pPr>
  </w:style>
  <w:style w:type="paragraph" w:styleId="17">
    <w:name w:val="footer"/>
    <w:basedOn w:val="1"/>
    <w:qFormat/>
    <w:uiPriority w:val="99"/>
    <w:pPr>
      <w:tabs>
        <w:tab w:val="center" w:pos="4153"/>
        <w:tab w:val="right" w:pos="8306"/>
      </w:tabs>
      <w:adjustRightInd w:val="0"/>
      <w:spacing w:line="240" w:lineRule="atLeast"/>
      <w:jc w:val="left"/>
      <w:textAlignment w:val="baseline"/>
    </w:pPr>
    <w:rPr>
      <w:kern w:val="0"/>
      <w:sz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99"/>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0"/>
  </w:style>
  <w:style w:type="paragraph" w:styleId="21">
    <w:name w:val="toc 2"/>
    <w:basedOn w:val="1"/>
    <w:next w:val="1"/>
    <w:qFormat/>
    <w:uiPriority w:val="0"/>
    <w:pPr>
      <w:ind w:left="420" w:leftChars="200"/>
    </w:pPr>
  </w:style>
  <w:style w:type="paragraph" w:styleId="22">
    <w:name w:val="HTML Preformatted"/>
    <w:basedOn w:val="1"/>
    <w:qFormat/>
    <w:uiPriority w:val="0"/>
    <w:rPr>
      <w:rFonts w:ascii="Courier New" w:hAnsi="Courier New"/>
      <w:sz w:val="20"/>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4">
    <w:name w:val="Body Text First Indent"/>
    <w:basedOn w:val="11"/>
    <w:next w:val="1"/>
    <w:qFormat/>
    <w:uiPriority w:val="0"/>
    <w:pPr>
      <w:adjustRightInd w:val="0"/>
      <w:ind w:firstLine="420"/>
      <w:jc w:val="left"/>
      <w:textAlignment w:val="baseline"/>
    </w:pPr>
    <w:rPr>
      <w:kern w:val="0"/>
      <w:sz w:val="21"/>
    </w:rPr>
  </w:style>
  <w:style w:type="paragraph" w:styleId="25">
    <w:name w:val="Body Text First Indent 2"/>
    <w:basedOn w:val="12"/>
    <w:next w:val="1"/>
    <w:qFormat/>
    <w:uiPriority w:val="0"/>
    <w:pPr>
      <w:ind w:firstLine="420"/>
    </w:pPr>
    <w:rPr>
      <w:rFonts w:hint="eastAsia"/>
      <w:sz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cs="Times New Roman"/>
    </w:rPr>
  </w:style>
  <w:style w:type="character" w:styleId="31">
    <w:name w:val="FollowedHyperlink"/>
    <w:basedOn w:val="28"/>
    <w:qFormat/>
    <w:uiPriority w:val="0"/>
    <w:rPr>
      <w:color w:val="551A8B"/>
      <w:u w:val="single"/>
    </w:rPr>
  </w:style>
  <w:style w:type="character" w:styleId="32">
    <w:name w:val="Emphasis"/>
    <w:basedOn w:val="28"/>
    <w:qFormat/>
    <w:uiPriority w:val="0"/>
    <w:rPr>
      <w:color w:val="D73130"/>
      <w:sz w:val="24"/>
      <w:szCs w:val="24"/>
    </w:rPr>
  </w:style>
  <w:style w:type="character" w:styleId="33">
    <w:name w:val="Hyperlink"/>
    <w:basedOn w:val="28"/>
    <w:qFormat/>
    <w:uiPriority w:val="0"/>
    <w:rPr>
      <w:color w:val="0000FF"/>
      <w:u w:val="none"/>
    </w:rPr>
  </w:style>
  <w:style w:type="character" w:styleId="34">
    <w:name w:val="HTML Cite"/>
    <w:basedOn w:val="28"/>
    <w:qFormat/>
    <w:uiPriority w:val="0"/>
    <w:rPr>
      <w:sz w:val="24"/>
      <w:szCs w:val="24"/>
    </w:rPr>
  </w:style>
  <w:style w:type="paragraph" w:customStyle="1" w:styleId="35">
    <w:name w:val="正文缩进1"/>
    <w:basedOn w:val="1"/>
    <w:qFormat/>
    <w:uiPriority w:val="0"/>
    <w:pPr>
      <w:ind w:firstLine="420" w:firstLineChars="200"/>
    </w:pPr>
  </w:style>
  <w:style w:type="paragraph" w:customStyle="1" w:styleId="36">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37">
    <w:name w:val="List Paragraph"/>
    <w:basedOn w:val="1"/>
    <w:next w:val="38"/>
    <w:qFormat/>
    <w:uiPriority w:val="34"/>
    <w:pPr>
      <w:ind w:firstLine="420" w:firstLineChars="200"/>
    </w:pPr>
    <w:rPr>
      <w:rFonts w:ascii="Calibri" w:hAnsi="Calibri"/>
      <w:szCs w:val="22"/>
    </w:rPr>
  </w:style>
  <w:style w:type="paragraph" w:customStyle="1" w:styleId="38">
    <w:name w:val="正文1"/>
    <w:next w:val="23"/>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9">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40">
    <w:name w:val="WPSOffice手动目录 1"/>
    <w:qFormat/>
    <w:uiPriority w:val="0"/>
    <w:rPr>
      <w:rFonts w:ascii="Calibri" w:hAnsi="Calibri" w:eastAsia="宋体" w:cs="Times New Roman"/>
      <w:lang w:val="en-US" w:eastAsia="zh-CN" w:bidi="ar-SA"/>
    </w:rPr>
  </w:style>
  <w:style w:type="paragraph" w:customStyle="1" w:styleId="41">
    <w:name w:val="WPSOffice手动目录 2"/>
    <w:qFormat/>
    <w:uiPriority w:val="0"/>
    <w:pPr>
      <w:ind w:left="200" w:leftChars="200"/>
    </w:pPr>
    <w:rPr>
      <w:rFonts w:ascii="Calibri" w:hAnsi="Calibri" w:eastAsia="宋体" w:cs="Times New Roman"/>
      <w:lang w:val="en-US" w:eastAsia="zh-CN" w:bidi="ar-SA"/>
    </w:rPr>
  </w:style>
  <w:style w:type="paragraph" w:customStyle="1" w:styleId="42">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43">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44">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45">
    <w:name w:val="目录"/>
    <w:basedOn w:val="1"/>
    <w:qFormat/>
    <w:uiPriority w:val="99"/>
    <w:pPr>
      <w:jc w:val="center"/>
    </w:pPr>
    <w:rPr>
      <w:rFonts w:ascii="宋体" w:hAnsi="Calibri"/>
      <w:b/>
      <w:sz w:val="36"/>
      <w:szCs w:val="22"/>
    </w:rPr>
  </w:style>
  <w:style w:type="paragraph" w:customStyle="1" w:styleId="46">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7">
    <w:name w:val="首行缩进"/>
    <w:basedOn w:val="1"/>
    <w:qFormat/>
    <w:uiPriority w:val="0"/>
    <w:pPr>
      <w:spacing w:line="360" w:lineRule="auto"/>
      <w:ind w:firstLine="480" w:firstLineChars="200"/>
    </w:pPr>
    <w:rPr>
      <w:sz w:val="24"/>
      <w:szCs w:val="22"/>
      <w:lang w:val="zh-CN"/>
    </w:rPr>
  </w:style>
  <w:style w:type="paragraph" w:customStyle="1" w:styleId="48">
    <w:name w:val="Table Paragraph"/>
    <w:basedOn w:val="1"/>
    <w:qFormat/>
    <w:uiPriority w:val="1"/>
    <w:rPr>
      <w:rFonts w:ascii="仿宋" w:hAnsi="仿宋" w:eastAsia="仿宋" w:cs="仿宋"/>
      <w:lang w:val="zh-CN" w:eastAsia="zh-CN" w:bidi="zh-CN"/>
    </w:rPr>
  </w:style>
  <w:style w:type="paragraph" w:customStyle="1" w:styleId="49">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50">
    <w:name w:val="Table Normal"/>
    <w:unhideWhenUsed/>
    <w:qFormat/>
    <w:uiPriority w:val="0"/>
    <w:tblPr>
      <w:tblCellMar>
        <w:top w:w="0" w:type="dxa"/>
        <w:left w:w="0" w:type="dxa"/>
        <w:bottom w:w="0" w:type="dxa"/>
        <w:right w:w="0" w:type="dxa"/>
      </w:tblCellMar>
    </w:tblPr>
  </w:style>
  <w:style w:type="character" w:customStyle="1" w:styleId="51">
    <w:name w:val="font11"/>
    <w:basedOn w:val="28"/>
    <w:qFormat/>
    <w:uiPriority w:val="0"/>
    <w:rPr>
      <w:rFonts w:hint="eastAsia" w:ascii="宋体" w:hAnsi="宋体" w:eastAsia="宋体" w:cs="宋体"/>
      <w:color w:val="000000"/>
      <w:sz w:val="24"/>
      <w:szCs w:val="24"/>
      <w:u w:val="none"/>
    </w:rPr>
  </w:style>
  <w:style w:type="paragraph" w:customStyle="1" w:styleId="52">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53">
    <w:name w:val="正文（缩进 2 字符）"/>
    <w:basedOn w:val="1"/>
    <w:qFormat/>
    <w:uiPriority w:val="0"/>
    <w:pPr>
      <w:ind w:firstLine="200" w:firstLineChars="200"/>
    </w:pPr>
  </w:style>
  <w:style w:type="paragraph" w:customStyle="1" w:styleId="54">
    <w:name w:val="列出段落1"/>
    <w:basedOn w:val="1"/>
    <w:qFormat/>
    <w:uiPriority w:val="99"/>
    <w:pPr>
      <w:ind w:firstLine="420" w:firstLineChars="200"/>
    </w:pPr>
  </w:style>
  <w:style w:type="paragraph" w:customStyle="1" w:styleId="55">
    <w:name w:val="列出段落1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21642</Words>
  <Characters>23985</Characters>
  <Lines>0</Lines>
  <Paragraphs>0</Paragraphs>
  <TotalTime>9</TotalTime>
  <ScaleCrop>false</ScaleCrop>
  <LinksUpToDate>false</LinksUpToDate>
  <CharactersWithSpaces>24284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张扬</cp:lastModifiedBy>
  <cp:lastPrinted>2023-09-25T02:57:00Z</cp:lastPrinted>
  <dcterms:modified xsi:type="dcterms:W3CDTF">2025-09-03T10:17:13Z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ECB63400E7714EA7B0E099BFC1130F4C_13</vt:lpwstr>
  </property>
  <property fmtid="{D5CDD505-2E9C-101B-9397-08002B2CF9AE}" pid="4" name="KSOTemplateDocerSaveRecord">
    <vt:lpwstr>eyJoZGlkIjoiODI1OTA5NGFmZjkzYmQyMGU3MjMwNTlhMDY0MTdiMDQiLCJ1c2VySWQiOiIxMTAwMzA0NDI5In0=</vt:lpwstr>
  </property>
</Properties>
</file>