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52771">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center"/>
        <w:rPr>
          <w:rFonts w:hint="eastAsia" w:ascii="微软雅黑" w:hAnsi="微软雅黑" w:eastAsia="微软雅黑" w:cs="微软雅黑"/>
          <w:i w:val="0"/>
          <w:iCs w:val="0"/>
          <w:caps w:val="0"/>
          <w:color w:val="333333"/>
          <w:spacing w:val="0"/>
          <w:kern w:val="0"/>
          <w:sz w:val="21"/>
          <w:szCs w:val="21"/>
          <w:shd w:val="clear" w:fill="FFFFFF"/>
          <w:lang w:val="en-US" w:eastAsia="zh-CN" w:bidi="ar-SA"/>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SA"/>
        </w:rPr>
        <w:t>木瓜镇九年制学校校舍维修改造项目竞争性谈判公告</w:t>
      </w:r>
    </w:p>
    <w:p w14:paraId="742B1FF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240" w:lineRule="auto"/>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0747CA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240" w:lineRule="auto"/>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木瓜镇九年制学校校舍维修改造项目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全国公共资源交易中心平台（陕西省）使用CA锁投标确认后自行下载</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2025年09月26日 15时00分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68739A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2735301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项目编号：ZCSP-府谷县-2025-01275</w:t>
      </w:r>
    </w:p>
    <w:p w14:paraId="5F90BD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项目名称：木瓜镇九年制学校校舍维修改造项目</w:t>
      </w:r>
    </w:p>
    <w:p w14:paraId="369D30F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采购方式：竞争性谈判</w:t>
      </w:r>
    </w:p>
    <w:p w14:paraId="0B31CD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预算金额：1,693,631.92元</w:t>
      </w:r>
    </w:p>
    <w:p w14:paraId="58969C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714D05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合同包1(木瓜镇九年制学校校舍维修改造项目):</w:t>
      </w:r>
    </w:p>
    <w:p w14:paraId="711F1B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合同包预算金额：1,693,631.92元</w:t>
      </w:r>
    </w:p>
    <w:p w14:paraId="466074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合同包最高限价：1,693,631.92元</w:t>
      </w:r>
    </w:p>
    <w:tbl>
      <w:tblPr>
        <w:tblW w:w="95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20"/>
        <w:gridCol w:w="1802"/>
        <w:gridCol w:w="3257"/>
        <w:gridCol w:w="818"/>
        <w:gridCol w:w="1409"/>
        <w:gridCol w:w="1691"/>
      </w:tblGrid>
      <w:tr w14:paraId="6751F9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97" w:hRule="atLeast"/>
          <w:tblHeader/>
        </w:trPr>
        <w:tc>
          <w:tcPr>
            <w:tcW w:w="64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6DECAD1">
            <w:pPr>
              <w:keepNext w:val="0"/>
              <w:keepLines w:val="0"/>
              <w:widowControl/>
              <w:suppressLineNumbers w:val="0"/>
              <w:wordWrap w:val="0"/>
              <w:spacing w:before="0" w:beforeAutospacing="0" w:after="0" w:afterAutospacing="0" w:line="240" w:lineRule="auto"/>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96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72A9431">
            <w:pPr>
              <w:keepNext w:val="0"/>
              <w:keepLines w:val="0"/>
              <w:widowControl/>
              <w:suppressLineNumbers w:val="0"/>
              <w:wordWrap w:val="0"/>
              <w:spacing w:before="0" w:beforeAutospacing="0" w:after="0" w:afterAutospacing="0" w:line="240" w:lineRule="auto"/>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9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E6C1AB3">
            <w:pPr>
              <w:keepNext w:val="0"/>
              <w:keepLines w:val="0"/>
              <w:widowControl/>
              <w:suppressLineNumbers w:val="0"/>
              <w:wordWrap w:val="0"/>
              <w:spacing w:before="0" w:beforeAutospacing="0" w:after="0" w:afterAutospacing="0" w:line="240" w:lineRule="auto"/>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83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BBB1E7F">
            <w:pPr>
              <w:keepNext w:val="0"/>
              <w:keepLines w:val="0"/>
              <w:widowControl/>
              <w:suppressLineNumbers w:val="0"/>
              <w:wordWrap w:val="0"/>
              <w:spacing w:before="0" w:beforeAutospacing="0" w:after="0" w:afterAutospacing="0" w:line="240" w:lineRule="auto"/>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43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71EDDCE">
            <w:pPr>
              <w:keepNext w:val="0"/>
              <w:keepLines w:val="0"/>
              <w:widowControl/>
              <w:suppressLineNumbers w:val="0"/>
              <w:wordWrap w:val="0"/>
              <w:spacing w:before="0" w:beforeAutospacing="0" w:after="0" w:afterAutospacing="0" w:line="240" w:lineRule="auto"/>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71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357AB2">
            <w:pPr>
              <w:keepNext w:val="0"/>
              <w:keepLines w:val="0"/>
              <w:widowControl/>
              <w:suppressLineNumbers w:val="0"/>
              <w:wordWrap w:val="0"/>
              <w:spacing w:before="0" w:beforeAutospacing="0" w:after="0" w:afterAutospacing="0" w:line="240" w:lineRule="auto"/>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r>
      <w:tr w14:paraId="67888F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9"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4100EFB">
            <w:pPr>
              <w:keepNext w:val="0"/>
              <w:keepLines w:val="0"/>
              <w:widowControl/>
              <w:suppressLineNumbers w:val="0"/>
              <w:wordWrap w:val="0"/>
              <w:spacing w:before="0" w:beforeAutospacing="0" w:after="0" w:afterAutospacing="0" w:line="240" w:lineRule="auto"/>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8509F04">
            <w:pPr>
              <w:keepNext w:val="0"/>
              <w:keepLines w:val="0"/>
              <w:widowControl/>
              <w:suppressLineNumbers w:val="0"/>
              <w:wordWrap w:val="0"/>
              <w:spacing w:before="0" w:beforeAutospacing="0" w:after="0" w:afterAutospacing="0" w:line="240" w:lineRule="auto"/>
              <w:ind w:left="0" w:right="0"/>
              <w:jc w:val="center"/>
              <w:rPr>
                <w:sz w:val="21"/>
                <w:szCs w:val="21"/>
              </w:rPr>
            </w:pPr>
            <w:r>
              <w:rPr>
                <w:rFonts w:ascii="宋体" w:hAnsi="宋体" w:eastAsia="宋体" w:cs="宋体"/>
                <w:kern w:val="0"/>
                <w:sz w:val="21"/>
                <w:szCs w:val="21"/>
                <w:bdr w:val="none" w:color="auto" w:sz="0" w:space="0"/>
                <w:lang w:val="en-US" w:eastAsia="zh-CN" w:bidi="ar"/>
              </w:rPr>
              <w:t>其他建筑工程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6FB6881">
            <w:pPr>
              <w:keepNext w:val="0"/>
              <w:keepLines w:val="0"/>
              <w:widowControl/>
              <w:suppressLineNumbers w:val="0"/>
              <w:wordWrap w:val="0"/>
              <w:spacing w:before="0" w:beforeAutospacing="0" w:after="0" w:afterAutospacing="0" w:line="240" w:lineRule="auto"/>
              <w:ind w:left="0" w:right="0"/>
              <w:jc w:val="center"/>
              <w:rPr>
                <w:sz w:val="21"/>
                <w:szCs w:val="21"/>
              </w:rPr>
            </w:pPr>
            <w:r>
              <w:rPr>
                <w:rFonts w:ascii="宋体" w:hAnsi="宋体" w:eastAsia="宋体" w:cs="宋体"/>
                <w:kern w:val="0"/>
                <w:sz w:val="21"/>
                <w:szCs w:val="21"/>
                <w:bdr w:val="none" w:color="auto" w:sz="0" w:space="0"/>
                <w:lang w:val="en-US" w:eastAsia="zh-CN" w:bidi="ar"/>
              </w:rPr>
              <w:t>木瓜镇九年制学校校舍维修改造项目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9B13302">
            <w:pPr>
              <w:keepNext w:val="0"/>
              <w:keepLines w:val="0"/>
              <w:widowControl/>
              <w:suppressLineNumbers w:val="0"/>
              <w:wordWrap w:val="0"/>
              <w:spacing w:before="0" w:beforeAutospacing="0" w:after="0" w:afterAutospacing="0" w:line="240" w:lineRule="auto"/>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916CCE2">
            <w:pPr>
              <w:keepNext w:val="0"/>
              <w:keepLines w:val="0"/>
              <w:widowControl/>
              <w:suppressLineNumbers w:val="0"/>
              <w:wordWrap w:val="0"/>
              <w:spacing w:before="0" w:beforeAutospacing="0" w:after="0" w:afterAutospacing="0" w:line="240" w:lineRule="auto"/>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D7ED448">
            <w:pPr>
              <w:keepNext w:val="0"/>
              <w:keepLines w:val="0"/>
              <w:widowControl/>
              <w:suppressLineNumbers w:val="0"/>
              <w:wordWrap/>
              <w:spacing w:before="0" w:beforeAutospacing="0" w:after="0" w:afterAutospacing="0" w:line="240" w:lineRule="auto"/>
              <w:ind w:left="0" w:right="0"/>
              <w:jc w:val="right"/>
              <w:rPr>
                <w:sz w:val="21"/>
                <w:szCs w:val="21"/>
              </w:rPr>
            </w:pPr>
            <w:r>
              <w:rPr>
                <w:rFonts w:ascii="宋体" w:hAnsi="宋体" w:eastAsia="宋体" w:cs="宋体"/>
                <w:kern w:val="0"/>
                <w:sz w:val="21"/>
                <w:szCs w:val="21"/>
                <w:bdr w:val="none" w:color="auto" w:sz="0" w:space="0"/>
                <w:lang w:val="en-US" w:eastAsia="zh-CN" w:bidi="ar"/>
              </w:rPr>
              <w:t>1,693,631.92</w:t>
            </w:r>
          </w:p>
        </w:tc>
      </w:tr>
    </w:tbl>
    <w:p w14:paraId="789145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0B826C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合同履行期限：合同签订之日起30日历天内完成。</w:t>
      </w:r>
    </w:p>
    <w:p w14:paraId="4725E4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14:paraId="56C7A6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6103FA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43B076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合同包1(木瓜镇九年制学校校舍维修改造项目)落实政府采购政策需满足的资格要求如下:</w:t>
      </w:r>
    </w:p>
    <w:p w14:paraId="2F54E6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①、《政府采购促进中小企业发展管理办法》（财库〔2020〕46号）；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②、《三部门联合发布关于促进残疾人就业政府采购政策的通知》（财库[2017] 141号）；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③、《财政部司法部关于政府采购支持监狱企业发展有关问题的通知》（财库〔2014〕68号）；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④、《国务院办公厅关于建立政府强制采购节能产品制度的通知》（国办发[2007]51号）；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⑤、《财政部发展改革委生态环境部市场监管总局关于调整优化节能产品、环境标志产品政府采购执行机制的通知》（财库〔2019〕9号）；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⑥、《陕西省中小企业政府采购信用融资办法》（陕财办采〔2018〕23号）；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⑦、《关于进一步加大政府采购支持中小企业力度的通知》（财库〔2022〕19号）；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⑧、落实其它相关政策。</w:t>
      </w:r>
    </w:p>
    <w:p w14:paraId="4EFA47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512E6E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合同包1(木瓜镇九年制学校校舍维修改造项目)特定资格要求如下:</w:t>
      </w:r>
    </w:p>
    <w:p w14:paraId="01010F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①、供应商需具有独立承担民事责任能力的法人、其他组织或自然人。企业法人应提供合法有效的统一社会信用代码的营业执照（附营业执照2024年企业年度报告书）；事业法人应提供事业单位法人证书；其他组织应提供合法登记证明文件；自然人应提供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②、供应商须具备【建筑工程施工总承包三级】及其以上资质的独立企业法人，并在人员、设备、资金等方面具有相应的能力，具备有效的安全生产许可证；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③、供应商拟派项目负责人需具备建筑工程专业二级及以上建造师注册证书、安全生产考核合格证书（建安B证）以及社保经办机构出具的2025年7月、8月或9月份至少一个月的本企业社保缴纳证明材料（五险一金其中一项即可，应可查询）且未担任其他在建工程的项目负责人；</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④、财务状况报告：财务状况良好，提供2024年财务审计报告（公司成立不足一年的需提供银行出具的资信证明及基本账号开户许可证或开户银行出具的基本存款账户信息表）；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⑤、税收缴纳证明：提供2024年9月至今已缴纳的至少一个月的纳税证明材料或完税证明，依法免税的单位应提供相关证明材料；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⑥、社会保障资金缴纳证明：提供2024年9月至今已缴纳的至少一个月的社会保障资金缴存单据或社保机构开具的社会保险参保缴费情况证明。依法不需要缴纳社会保障资金的供应商应提供相关文件证明；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⑦、信誉要求：供应商在中国政府采购网（www.ccgp.gov.cn）中未被列入政府采购严重违法失信行为记录名单；供应商、法定代表人、项目负责人在“信用中国”网站（https://www.creditchina.gov.cn/）中未被列入失信被执行人行为记录名单，供应商提供企业信用报告（信用报告正文部分“六、信用承诺信息”较多，此项可不提供，其余内容须完整），供应商、法定代表人、项目负责人提供网页查询截图加盖企业原色印章（“信用中国”网站中失信被执行人查询截图以“中国执行信息公开网”网站（http://zxgk.court.gov.cn/shixin/）中全国范围内查询为准）。提供本项目发出公告之日至响应文件递交截止时间前查询的相关信誉要求完整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⑧、供应商需提供榆林市政府采购工程类项目供应商信用承诺书、投标人信用承诺书、投标人委托代理人员信用承诺书以及在“信用中国（陕西榆林）”网站上传附件后的网页截图；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⑨、书面声明：参加本次政府采购活动前三年内在经营活动中没有重大违法记录的声明函；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⑩、履约能力：供应商需提供具有履行合同所必需的设备和专业技术能力的承诺函；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⑪、本项目采用投标信用承诺书代替投标保证金的形式，供应商需提供投标信用承诺书及在“信用中国（陕西榆林）”网站上传附件后的网页截图；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⑫、本项目不接受联合体谈判，单位负责人为同一人或者存在直接控股、管理关系的不同供应商，不得同时参加本项目采购活动，提供《供应商企业关系关联承诺书》；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⑬、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本项目采购标的对应的中小企业划分标准所属行业为建筑业。</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详细内容见本项目竞争性谈判文件。</w:t>
      </w:r>
    </w:p>
    <w:p w14:paraId="0369F1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14:paraId="0E1307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2025年09月18日 至 2025年09月22日 ，每天上午 08:30:00 至 12:00:00 ，下午 15:00:00 至 18:00:00 （北京时间）</w:t>
      </w:r>
    </w:p>
    <w:p w14:paraId="297E8F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全国公共资源交易中心平台（陕西省）使用CA锁投标确认后自行下载</w:t>
      </w:r>
    </w:p>
    <w:p w14:paraId="4DE4071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14:paraId="29E564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14:paraId="596EB9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14:paraId="38D84B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2025年09月26日 15时00分00秒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0C39F1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府谷县新区盛尚嘉宴左边电梯上5楼8561室</w:t>
      </w:r>
    </w:p>
    <w:p w14:paraId="228BD5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14:paraId="1A5A88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2025年09月26日 15时00分00秒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31A496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府谷县新区盛尚嘉宴左边电梯上5楼8561室</w:t>
      </w:r>
    </w:p>
    <w:p w14:paraId="2DE275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14:paraId="7E1D36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503D60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14:paraId="70F546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360" w:afterAutospacing="0" w:line="240" w:lineRule="auto"/>
        <w:ind w:left="0" w:right="0" w:firstLine="480"/>
        <w:jc w:val="left"/>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线上与线下需同时确认，二者缺一不可，否则视为确认无效。</w:t>
      </w:r>
    </w:p>
    <w:p w14:paraId="12DE25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360" w:afterAutospacing="0" w:line="240" w:lineRule="auto"/>
        <w:ind w:left="0" w:right="0" w:firstLine="480"/>
        <w:jc w:val="left"/>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1、供应商可登录全国公共资源交易中心平台（陕西省）（http://www.sxggzyjy.cn/）,选择“电子交易平台-政府采购交易系统-企业端进行登录，登录后选择“交易乙方”身份进入供应商界面进行投标确认并免费下载竞争性谈判文件。</w:t>
      </w:r>
    </w:p>
    <w:p w14:paraId="5DA103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360" w:afterAutospacing="0" w:line="240" w:lineRule="auto"/>
        <w:ind w:left="0" w:right="0" w:firstLine="480"/>
        <w:jc w:val="left"/>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2、线上与线下投标确认需同时进行，线上投标确认成功后请携带网上投标确认回执单、单位介绍信原件、经办人身份证原件、复印件以及经办人社保经办机构出具的2025年7月、8月或9月份至少一个月的本企业社保缴纳证明材料（五险一金其中一项即可，应可查询）加盖公章到信宏工程咨询有限公司(府谷县新区盛尚嘉宴左边电梯5楼8561室）进行线下确认，线上与线下投标确认信息须一致，否则视为无效。线上线下投标确认时间：2025年09月18日至2025年09月22日（双休日除外），每天上午08:30:00至12:00:00下午15:00:00至18:00:00。</w:t>
      </w:r>
    </w:p>
    <w:p w14:paraId="26A7B1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360" w:afterAutospacing="0" w:line="240" w:lineRule="auto"/>
        <w:ind w:left="0" w:right="0" w:firstLine="480"/>
        <w:jc w:val="left"/>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3、办理CA锁方式（仅供参考）：榆林市市民大厦，联系电话：0912-3452148。</w:t>
      </w:r>
    </w:p>
    <w:p w14:paraId="258129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60" w:beforeAutospacing="0" w:after="360" w:afterAutospacing="0" w:line="240" w:lineRule="auto"/>
        <w:ind w:left="0" w:right="0" w:firstLine="480"/>
        <w:jc w:val="left"/>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4、请供应商按照陕西省财政厅关于政府采购供应商注册登记有关事项的通知中的要求，通过陕西省政府采购网（http://www.ccgp-shaanxi.gov.cn/）注册登记加入陕西省政府采购供应商库</w:t>
      </w:r>
      <w:bookmarkStart w:id="0" w:name="_GoBack"/>
      <w:bookmarkEnd w:id="0"/>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w:t>
      </w:r>
    </w:p>
    <w:p w14:paraId="465D22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14:paraId="1736F8C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5FB414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府谷县木瓜镇九年制学校</w:t>
      </w:r>
    </w:p>
    <w:p w14:paraId="1FE9F0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府谷县木瓜镇铺塔村</w:t>
      </w:r>
    </w:p>
    <w:p w14:paraId="5E34CD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13571201199</w:t>
      </w:r>
    </w:p>
    <w:p w14:paraId="38B002C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5BC33D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信宏工程咨询有限公司</w:t>
      </w:r>
    </w:p>
    <w:p w14:paraId="15EA2F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府谷县新区盛尚嘉宴左边电梯上5楼8561室</w:t>
      </w:r>
    </w:p>
    <w:p w14:paraId="684AE1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13209122729</w:t>
      </w:r>
    </w:p>
    <w:p w14:paraId="098BA5F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555D2A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刘工</w:t>
      </w:r>
    </w:p>
    <w:p w14:paraId="7D4323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13209122729</w:t>
      </w:r>
    </w:p>
    <w:p w14:paraId="70FD44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信宏工程咨询有限公司</w:t>
      </w:r>
    </w:p>
    <w:p w14:paraId="0D5D911F">
      <w:pPr>
        <w:keepNext w:val="0"/>
        <w:keepLines w:val="0"/>
        <w:widowControl/>
        <w:suppressLineNumbers w:val="0"/>
        <w:wordWrap w:val="0"/>
        <w:spacing w:line="240" w:lineRule="auto"/>
        <w:jc w:val="both"/>
        <w:rPr>
          <w:rFonts w:hint="eastAsia" w:ascii="微软雅黑" w:hAnsi="微软雅黑" w:eastAsia="微软雅黑" w:cs="微软雅黑"/>
          <w:sz w:val="21"/>
          <w:szCs w:val="21"/>
        </w:rPr>
      </w:pPr>
    </w:p>
    <w:p w14:paraId="29F0DA8A">
      <w:pPr>
        <w:spacing w:line="24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41359E"/>
    <w:rsid w:val="62413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2025-09-17T08:36:00Z</dcterms:created>
  <dc:creator>平安喜乐</dc:creator>
  <cp:lastModifiedBy>平安喜乐</cp:lastModifiedBy>
  <cp:lastPrinted>2025-09-17T08:40:48Z</cp:lastPrinted>
  <dcterms:modified xsi:type="dcterms:W3CDTF">2025-09-17T08:40:55Z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ABCAC604A6B14BECB9EA502E052BAF53_11</vt:lpwstr>
  </property>
  <property fmtid="{D5CDD505-2E9C-101B-9397-08002B2CF9AE}" pid="4" name="KSOTemplateDocerSaveRecord">
    <vt:lpwstr>eyJoZGlkIjoiNjIyM2UxYTQ0OWViNDIyMWNmMTk0MGZjOWY2N2Y5MzUiLCJ1c2VySWQiOiI2MTUyMzY4NzQifQ==</vt:lpwstr>
  </property>
</Properties>
</file>