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ED6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采购需求</w:t>
      </w:r>
    </w:p>
    <w:p w14:paraId="75ECF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项目名称</w:t>
      </w:r>
    </w:p>
    <w:p w14:paraId="498E9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对外贸易领域相关研究专项工作</w:t>
      </w:r>
    </w:p>
    <w:bookmarkEnd w:id="0"/>
    <w:p w14:paraId="763F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概况</w:t>
      </w:r>
    </w:p>
    <w:p w14:paraId="0D676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为聚力打好省、市外贸拓展硬仗，聚焦稳规模、优结构、提质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效精准发力，加快培育外贸新业态新模式，推动外贸进出口扩量提质，需进一步借助专业力量，整合贸易、财税、金融、产业等领域政策资源，破解外贸发展壁垒，推动高新区外贸重点事项、重点项目、重大改革纳入全省 “十五五”开放型经济高质量发展规划，加快全区跨境电商、海外仓等外贸新业态快速发展，切实做大做强高新区外贸基本盘。现拟聘请第三方智库，参与对外贸易领域政策研究及相关服务工作。</w:t>
      </w:r>
    </w:p>
    <w:p w14:paraId="3AFC3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三、服务内容</w:t>
      </w:r>
    </w:p>
    <w:p w14:paraId="1DBB78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第三方机构主要承担以下工作：</w:t>
      </w:r>
    </w:p>
    <w:p w14:paraId="06FCB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（一）按月跟踪分析外贸数据，结合高新区实际提供对外贸易分析报告，提出针对性政策措施；</w:t>
      </w:r>
    </w:p>
    <w:p w14:paraId="37EBF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（二）协助培育外贸新业态新模式，重点推动跨境电商、保税维修、二手车出口等发展，助力完成市考指标任务；</w:t>
      </w:r>
    </w:p>
    <w:p w14:paraId="3B4DA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（三）结合“十五五”全省开放型经济高质量发展编制进度， 推动西安高新区对外贸易重点事项、 重点改革、 重点项目纳入省、市规划。</w:t>
      </w:r>
    </w:p>
    <w:p w14:paraId="61F0F1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（四）系统梳理国家、省、市外经贸政策，研究分析适用对象，开展政策宣讲与申报指导，协助完成项目初审；</w:t>
      </w:r>
    </w:p>
    <w:p w14:paraId="294287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（五）开展外贸企业走访调研，总结提炼对外贸易领域工作亮点和创新经验，对接上级部门，推动高新区典型改革报送商务部；</w:t>
      </w:r>
    </w:p>
    <w:p w14:paraId="54654F2C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-SA"/>
        </w:rPr>
        <w:t>（六）安排1名有工作经验的专职人员常驻高新区商务局，协助开展日常工作和专项任务。</w:t>
      </w:r>
    </w:p>
    <w:p w14:paraId="2B54A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四、服务要求</w:t>
      </w:r>
    </w:p>
    <w:p w14:paraId="40531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曾承担省、市级外贸相关课题或服务项目，业绩良好；核心</w:t>
      </w:r>
    </w:p>
    <w:p w14:paraId="26AF0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团队负责人应具有高级职称，理论基础扎实、实践经验丰富；能</w:t>
      </w:r>
    </w:p>
    <w:p w14:paraId="73443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够专注投入，为政策创新和落实提供有力支持。</w:t>
      </w:r>
    </w:p>
    <w:p w14:paraId="3C3C2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本项目采购预算为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150000.00元。</w:t>
      </w:r>
    </w:p>
    <w:p w14:paraId="47132930">
      <w:pPr>
        <w:ind w:firstLine="643" w:firstLineChars="200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服务期：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自合同签订之日起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15B8"/>
    <w:rsid w:val="2D3576C1"/>
    <w:rsid w:val="2E0115B8"/>
    <w:rsid w:val="3E1E037D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kern w:val="0"/>
    </w:rPr>
  </w:style>
  <w:style w:type="character" w:customStyle="1" w:styleId="14">
    <w:name w:val="标题 1 Char"/>
    <w:link w:val="3"/>
    <w:qFormat/>
    <w:uiPriority w:val="0"/>
    <w:rPr>
      <w:rFonts w:ascii="黑体" w:hAnsi="黑体" w:eastAsia="宋体"/>
      <w:b/>
      <w:sz w:val="44"/>
    </w:rPr>
  </w:style>
  <w:style w:type="character" w:customStyle="1" w:styleId="15">
    <w:name w:val="标题 2 Char"/>
    <w:link w:val="4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2025-09-19T06:53:00Z</dcterms:created>
  <dc:creator>陕西华采招标有限公司</dc:creator>
  <cp:lastModifiedBy>陕西华采招标有限公司</cp:lastModifiedBy>
  <dcterms:modified xsi:type="dcterms:W3CDTF">2025-09-19T06:54:43Z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A104C5188BAC4C5CA0D463AFD3BEF949_11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