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SXZCZB2025-ZCCS-0917</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优秀军休干部培训活动</w:t>
      </w:r>
    </w:p>
    <w:p w14:paraId="1F83C4B3">
      <w:pPr>
        <w:pStyle w:val="20"/>
        <w:rPr>
          <w:rFonts w:hint="eastAsia" w:hAnsi="宋体" w:cs="宋体"/>
          <w:b/>
          <w:sz w:val="56"/>
          <w:szCs w:val="56"/>
          <w:highlight w:val="none"/>
        </w:rPr>
      </w:pPr>
    </w:p>
    <w:p w14:paraId="41EE3700">
      <w:pPr>
        <w:pStyle w:val="21"/>
        <w:rPr>
          <w:rFonts w:hint="eastAsia"/>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9"/>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19886"/>
          <w:bookmarkStart w:id="2" w:name="_Toc5293"/>
          <w:bookmarkStart w:id="3" w:name="_Toc21518"/>
          <w:bookmarkStart w:id="4" w:name="_Toc20858"/>
          <w:bookmarkStart w:id="5" w:name="_Toc20652"/>
          <w:bookmarkStart w:id="6" w:name="_Toc389582033"/>
          <w:bookmarkStart w:id="7" w:name="_Toc16218"/>
          <w:bookmarkStart w:id="8" w:name="_Toc27420"/>
          <w:bookmarkStart w:id="9" w:name="_Toc403077638"/>
          <w:bookmarkStart w:id="10" w:name="_Toc363473971"/>
          <w:bookmarkStart w:id="11" w:name="_Toc363474016"/>
        </w:p>
        <w:p w14:paraId="0D45EBA6">
          <w:pPr>
            <w:pStyle w:val="16"/>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2E80456">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62FD9EC6">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25</w:t>
          </w:r>
          <w:r>
            <w:rPr>
              <w:sz w:val="28"/>
              <w:szCs w:val="21"/>
              <w:highlight w:val="none"/>
            </w:rPr>
            <w:fldChar w:fldCharType="end"/>
          </w:r>
          <w:r>
            <w:rPr>
              <w:sz w:val="28"/>
              <w:szCs w:val="21"/>
              <w:highlight w:val="none"/>
            </w:rPr>
            <w:fldChar w:fldCharType="end"/>
          </w:r>
        </w:p>
        <w:p w14:paraId="7FAA6FE1">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sz w:val="28"/>
              <w:szCs w:val="21"/>
              <w:highlight w:val="none"/>
            </w:rPr>
            <w:fldChar w:fldCharType="end"/>
          </w:r>
        </w:p>
        <w:p w14:paraId="6101C1E2">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36</w:t>
          </w:r>
          <w:r>
            <w:rPr>
              <w:sz w:val="28"/>
              <w:szCs w:val="21"/>
              <w:highlight w:val="none"/>
            </w:rPr>
            <w:fldChar w:fldCharType="end"/>
          </w:r>
          <w:r>
            <w:rPr>
              <w:sz w:val="28"/>
              <w:szCs w:val="21"/>
              <w:highlight w:val="none"/>
            </w:rPr>
            <w:fldChar w:fldCharType="end"/>
          </w:r>
        </w:p>
        <w:p w14:paraId="1F44FD70">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046C3339">
          <w:pPr>
            <w:pStyle w:val="16"/>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423973071"/>
      <w:bookmarkStart w:id="14" w:name="_Toc30717"/>
      <w:bookmarkStart w:id="15" w:name="_Toc25782"/>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2929"/>
      <w:bookmarkStart w:id="17" w:name="_Toc389582035"/>
      <w:bookmarkStart w:id="18" w:name="_Toc423973072"/>
      <w:bookmarkStart w:id="19" w:name="_Toc3334"/>
      <w:bookmarkStart w:id="20" w:name="_Toc29249"/>
      <w:bookmarkStart w:id="21" w:name="_Toc14793"/>
      <w:bookmarkStart w:id="22" w:name="_Toc4831"/>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优秀军休干部培训活动</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18</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SXZCZB2025-ZCCS-0917</w:t>
      </w:r>
    </w:p>
    <w:p w14:paraId="46B7CFD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优秀军休干部培训活动</w:t>
      </w:r>
    </w:p>
    <w:p w14:paraId="546CAD7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245971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优秀军休干部培训活动</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290000.00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3"/>
        <w:gridCol w:w="1204"/>
        <w:gridCol w:w="1301"/>
        <w:gridCol w:w="1126"/>
        <w:gridCol w:w="1556"/>
        <w:gridCol w:w="1687"/>
        <w:gridCol w:w="1687"/>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培训服务</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cs="宋体"/>
                <w:sz w:val="24"/>
                <w:szCs w:val="24"/>
                <w:highlight w:val="none"/>
                <w:lang w:eastAsia="zh-CN"/>
              </w:rPr>
              <w:t>优秀军休干部培训活动</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290000.00</w:t>
            </w:r>
          </w:p>
        </w:tc>
      </w:tr>
    </w:tbl>
    <w:p w14:paraId="623F4A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cs="宋体"/>
          <w:i w:val="0"/>
          <w:iCs w:val="0"/>
          <w:caps w:val="0"/>
          <w:color w:val="333333"/>
          <w:spacing w:val="0"/>
          <w:sz w:val="24"/>
          <w:szCs w:val="24"/>
          <w:highlight w:val="none"/>
          <w:shd w:val="clear" w:fill="FFFFFF"/>
          <w:vertAlign w:val="baseline"/>
          <w:lang w:val="en-US" w:eastAsia="zh-CN"/>
        </w:rPr>
        <w:t>投标</w:t>
      </w:r>
    </w:p>
    <w:p w14:paraId="34A8E37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合同履行期限：自合同签订之日起至2025年12月31日止（如遇不可抗力因素，</w:t>
      </w:r>
      <w:r>
        <w:rPr>
          <w:rFonts w:ascii="宋体" w:hAnsi="宋体" w:eastAsia="宋体" w:cs="宋体"/>
          <w:sz w:val="24"/>
          <w:szCs w:val="24"/>
          <w:highlight w:val="none"/>
        </w:rPr>
        <w:t>截止日期顺延）</w:t>
      </w:r>
      <w:r>
        <w:rPr>
          <w:rFonts w:ascii="微软雅黑" w:hAnsi="微软雅黑" w:eastAsia="微软雅黑" w:cs="微软雅黑"/>
          <w:i w:val="0"/>
          <w:iCs w:val="0"/>
          <w:caps w:val="0"/>
          <w:color w:val="333333"/>
          <w:spacing w:val="0"/>
          <w:sz w:val="21"/>
          <w:szCs w:val="21"/>
          <w:highlight w:val="none"/>
          <w:shd w:val="clear" w:fill="FFFFFF"/>
        </w:rPr>
        <w:t>。</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优秀军休干部培训活动</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333333"/>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优秀军休干部培训活动</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4956B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ACF1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15BF6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24178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7984F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601D0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1A17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2B8E4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012A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）供应商须提供中小企业声明函； </w:t>
      </w:r>
    </w:p>
    <w:p w14:paraId="598E9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ascii="宋体" w:hAnsi="宋体" w:cs="宋体"/>
          <w:i w:val="0"/>
          <w:iCs w:val="0"/>
          <w:caps w:val="0"/>
          <w:color w:val="333333"/>
          <w:spacing w:val="0"/>
          <w:sz w:val="24"/>
          <w:szCs w:val="24"/>
          <w:highlight w:val="none"/>
          <w:shd w:val="clear" w:fill="FFFFFF"/>
          <w:vertAlign w:val="baseline"/>
          <w:lang w:val="en-US" w:eastAsia="zh-CN"/>
        </w:rPr>
        <w:t>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ascii="宋体" w:hAnsi="宋体" w:cs="宋体"/>
          <w:i w:val="0"/>
          <w:iCs w:val="0"/>
          <w:caps w:val="0"/>
          <w:color w:val="333333"/>
          <w:spacing w:val="0"/>
          <w:sz w:val="24"/>
          <w:szCs w:val="24"/>
          <w:highlight w:val="none"/>
          <w:shd w:val="clear" w:fill="FFFFFF"/>
          <w:vertAlign w:val="baseline"/>
          <w:lang w:val="en-US" w:eastAsia="zh-CN"/>
        </w:rPr>
        <w:t>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日，每天上午 09:00:00 至 12:00:00 ，下午 14:00:00 至 17:00:00 （北京时间）</w:t>
      </w:r>
    </w:p>
    <w:p w14:paraId="420A2A5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F5DD69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18</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 （北京时间）</w:t>
      </w:r>
    </w:p>
    <w:p w14:paraId="0F5B165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18</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62843BE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为</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52A51E1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西安市军队离休退休干部管理服务中心</w:t>
      </w:r>
    </w:p>
    <w:p w14:paraId="47D9F2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西安市曲江大道70号</w:t>
      </w:r>
    </w:p>
    <w:p w14:paraId="14B746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pPr>
      <w:r>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t>联系方式：</w:t>
      </w:r>
      <w:r>
        <w:rPr>
          <w:rFonts w:hint="eastAsia" w:cs="宋体"/>
          <w:b w:val="0"/>
          <w:bCs w:val="0"/>
          <w:i w:val="0"/>
          <w:iCs w:val="0"/>
          <w:caps w:val="0"/>
          <w:color w:val="333333"/>
          <w:spacing w:val="0"/>
          <w:sz w:val="24"/>
          <w:szCs w:val="24"/>
          <w:highlight w:val="none"/>
          <w:shd w:val="clear" w:fill="FFFFFF"/>
          <w:vertAlign w:val="baseline"/>
          <w:lang w:val="en-US" w:eastAsia="zh-CN" w:bidi="ar-SA"/>
        </w:rPr>
        <w:t>029-</w:t>
      </w:r>
      <w:r>
        <w:rPr>
          <w:rFonts w:hint="eastAsia" w:ascii="宋体" w:hAnsi="宋体" w:eastAsia="宋体" w:cs="宋体"/>
          <w:b w:val="0"/>
          <w:bCs w:val="0"/>
          <w:i w:val="0"/>
          <w:iCs w:val="0"/>
          <w:caps w:val="0"/>
          <w:color w:val="333333"/>
          <w:spacing w:val="0"/>
          <w:sz w:val="24"/>
          <w:szCs w:val="24"/>
          <w:highlight w:val="none"/>
          <w:shd w:val="clear" w:fill="FFFFFF"/>
          <w:vertAlign w:val="baseline"/>
          <w:lang w:val="en-US" w:eastAsia="zh-CN" w:bidi="ar-SA"/>
        </w:rPr>
        <w:t>81546882</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DD3B824">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sz w:val="32"/>
          <w:szCs w:val="32"/>
          <w:highlight w:val="none"/>
        </w:rPr>
      </w:pPr>
      <w:bookmarkStart w:id="24" w:name="_Toc23180"/>
      <w:bookmarkStart w:id="25" w:name="_Toc16830"/>
      <w:bookmarkStart w:id="26" w:name="_Toc18299"/>
      <w:bookmarkStart w:id="27" w:name="_Toc8846"/>
      <w:r>
        <w:rPr>
          <w:rFonts w:hint="eastAsia" w:hAnsi="宋体" w:cs="宋体"/>
          <w:b/>
          <w:bCs/>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14BA4060">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19"/>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spacing w:line="360" w:lineRule="auto"/>
              <w:rPr>
                <w:rFonts w:hAnsi="宋体" w:cs="宋体"/>
                <w:szCs w:val="24"/>
                <w:highlight w:val="none"/>
              </w:rPr>
            </w:pPr>
            <w:r>
              <w:rPr>
                <w:rFonts w:hint="eastAsia" w:hAnsi="宋体" w:cs="宋体"/>
                <w:szCs w:val="24"/>
                <w:highlight w:val="none"/>
              </w:rPr>
              <w:t>邮        编：710021</w:t>
            </w:r>
          </w:p>
          <w:p w14:paraId="4C19FDF9">
            <w:pPr>
              <w:spacing w:line="360" w:lineRule="auto"/>
              <w:rPr>
                <w:rFonts w:hAnsi="宋体" w:cs="宋体"/>
                <w:szCs w:val="24"/>
                <w:highlight w:val="none"/>
              </w:rPr>
            </w:pPr>
            <w:r>
              <w:rPr>
                <w:rFonts w:hint="eastAsia" w:hAnsi="宋体" w:cs="宋体"/>
                <w:szCs w:val="24"/>
                <w:highlight w:val="none"/>
              </w:rPr>
              <w:t>电        话：029-88219779</w:t>
            </w:r>
          </w:p>
          <w:p w14:paraId="7DCD0920">
            <w:pPr>
              <w:spacing w:line="360" w:lineRule="auto"/>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spacing w:line="360" w:lineRule="auto"/>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spacing w:line="360" w:lineRule="auto"/>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04C442EB">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磋商报价：是供应商为完成本项目要求的全部服务内容最终价格的体现，包括但不限于人工费、服务费、交通费、</w:t>
            </w:r>
            <w:r>
              <w:rPr>
                <w:rFonts w:hint="eastAsia" w:hAnsi="宋体" w:cs="宋体"/>
                <w:szCs w:val="24"/>
                <w:highlight w:val="none"/>
                <w:lang w:val="en-US" w:eastAsia="zh-CN"/>
              </w:rPr>
              <w:t>住宿费、培训费、</w:t>
            </w:r>
            <w:r>
              <w:rPr>
                <w:rFonts w:hint="eastAsia" w:hAnsi="宋体" w:cs="宋体"/>
                <w:szCs w:val="24"/>
                <w:highlight w:val="none"/>
              </w:rPr>
              <w:t>招标代理服务费、税金等其他一切相关费用。</w:t>
            </w:r>
          </w:p>
          <w:p w14:paraId="5D150899">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2A93D752">
            <w:pPr>
              <w:spacing w:line="360" w:lineRule="auto"/>
              <w:rPr>
                <w:rFonts w:hAnsi="宋体" w:cs="宋体"/>
                <w:szCs w:val="24"/>
                <w:highlight w:val="none"/>
              </w:rPr>
            </w:pPr>
            <w:r>
              <w:rPr>
                <w:rFonts w:hint="eastAsia" w:hAnsi="宋体" w:cs="宋体"/>
                <w:szCs w:val="24"/>
                <w:highlight w:val="none"/>
              </w:rPr>
              <w:t>特定资格证明文件：</w:t>
            </w:r>
          </w:p>
          <w:p w14:paraId="121B17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2EC2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3EFFF4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4A2B3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24054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07B23C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0440E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10B3C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4E1CB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）供应商须提供中小企业声明函； </w:t>
            </w:r>
          </w:p>
          <w:p w14:paraId="6B564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0406D030">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1CBECE4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spacing w:line="360" w:lineRule="auto"/>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789B9391">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spacing w:line="360" w:lineRule="auto"/>
              <w:rPr>
                <w:rFonts w:hAnsi="宋体" w:cs="宋体"/>
                <w:szCs w:val="24"/>
                <w:highlight w:val="none"/>
              </w:rPr>
            </w:pPr>
            <w:r>
              <w:rPr>
                <w:rFonts w:hint="eastAsia" w:hAnsi="宋体" w:cs="宋体"/>
                <w:szCs w:val="24"/>
                <w:highlight w:val="none"/>
              </w:rPr>
              <w:t>磋商时间：详见竞争性磋商公告</w:t>
            </w:r>
          </w:p>
          <w:p w14:paraId="72779D1B">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spacing w:line="360" w:lineRule="auto"/>
              <w:rPr>
                <w:rFonts w:hAnsi="宋体" w:cs="宋体"/>
                <w:szCs w:val="24"/>
                <w:highlight w:val="none"/>
              </w:rPr>
            </w:pPr>
            <w:r>
              <w:rPr>
                <w:rFonts w:hint="eastAsia" w:hAnsi="宋体" w:cs="宋体"/>
                <w:szCs w:val="24"/>
                <w:highlight w:val="none"/>
              </w:rPr>
              <w:t>磋商代理服务费：</w:t>
            </w:r>
          </w:p>
          <w:p w14:paraId="4B9344A7">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8" w:name="OLE_LINK9"/>
            <w:bookmarkStart w:id="29"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bookmarkEnd w:id="28"/>
            <w:bookmarkEnd w:id="29"/>
          </w:p>
          <w:p w14:paraId="552B5776">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spacing w:line="360" w:lineRule="auto"/>
              <w:jc w:val="center"/>
              <w:rPr>
                <w:rFonts w:hAnsi="宋体" w:cs="宋体"/>
                <w:szCs w:val="24"/>
                <w:highlight w:val="none"/>
              </w:rPr>
            </w:pPr>
            <w:r>
              <w:rPr>
                <w:rFonts w:hint="eastAsia" w:hAnsi="宋体" w:cs="宋体"/>
                <w:szCs w:val="24"/>
                <w:highlight w:val="none"/>
              </w:rPr>
              <w:t>踏勘</w:t>
            </w:r>
          </w:p>
          <w:p w14:paraId="5D8B84F3">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jc w:val="center"/>
              <w:rPr>
                <w:rFonts w:hAnsi="宋体" w:cs="宋体"/>
                <w:b/>
                <w:bCs/>
                <w:szCs w:val="24"/>
                <w:highlight w:val="none"/>
              </w:rPr>
            </w:pPr>
            <w:r>
              <w:rPr>
                <w:rFonts w:hint="eastAsia" w:hAnsi="宋体" w:cs="宋体"/>
                <w:b/>
                <w:bCs/>
                <w:szCs w:val="24"/>
                <w:highlight w:val="none"/>
              </w:rPr>
              <w:t>银行</w:t>
            </w:r>
          </w:p>
          <w:p w14:paraId="1409E823">
            <w:pPr>
              <w:jc w:val="center"/>
              <w:rPr>
                <w:rFonts w:hAnsi="宋体" w:cs="宋体"/>
                <w:b/>
                <w:bCs/>
                <w:szCs w:val="24"/>
                <w:highlight w:val="none"/>
              </w:rPr>
            </w:pPr>
            <w:r>
              <w:rPr>
                <w:rFonts w:hint="eastAsia" w:hAnsi="宋体" w:cs="宋体"/>
                <w:b/>
                <w:bCs/>
                <w:szCs w:val="24"/>
                <w:highlight w:val="none"/>
              </w:rPr>
              <w:t>账户</w:t>
            </w:r>
          </w:p>
          <w:p w14:paraId="67FF4321">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spacing w:line="520" w:lineRule="exact"/>
              <w:rPr>
                <w:rFonts w:hAnsi="宋体" w:cs="宋体"/>
                <w:b/>
                <w:bCs/>
                <w:szCs w:val="24"/>
                <w:highlight w:val="none"/>
              </w:rPr>
            </w:pPr>
            <w:r>
              <w:rPr>
                <w:rFonts w:hint="eastAsia" w:hAnsi="宋体" w:cs="宋体"/>
                <w:b/>
                <w:bCs/>
                <w:szCs w:val="24"/>
                <w:highlight w:val="none"/>
              </w:rPr>
              <w:t>1、代理服务费账户：</w:t>
            </w:r>
          </w:p>
          <w:p w14:paraId="136BB492">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14:paraId="25DBE080">
            <w:pPr>
              <w:widowControl/>
              <w:spacing w:line="360" w:lineRule="auto"/>
              <w:jc w:val="center"/>
              <w:rPr>
                <w:rFonts w:hAnsi="宋体" w:cs="宋体"/>
                <w:b/>
                <w:bCs/>
                <w:szCs w:val="24"/>
                <w:highlight w:val="none"/>
              </w:rPr>
            </w:pPr>
            <w:r>
              <w:rPr>
                <w:rFonts w:hint="eastAsia" w:hAnsi="宋体" w:cs="宋体"/>
                <w:b/>
                <w:bCs/>
                <w:szCs w:val="24"/>
                <w:highlight w:val="none"/>
              </w:rPr>
              <w:t>项目</w:t>
            </w:r>
          </w:p>
          <w:p w14:paraId="442E1D93">
            <w:pPr>
              <w:widowControl/>
              <w:spacing w:line="360" w:lineRule="auto"/>
              <w:jc w:val="center"/>
              <w:rPr>
                <w:rFonts w:hAnsi="宋体" w:cs="宋体"/>
                <w:b/>
                <w:bCs/>
                <w:szCs w:val="24"/>
                <w:highlight w:val="none"/>
              </w:rPr>
            </w:pPr>
            <w:r>
              <w:rPr>
                <w:rFonts w:hint="eastAsia" w:hAnsi="宋体" w:cs="宋体"/>
                <w:b/>
                <w:bCs/>
                <w:szCs w:val="24"/>
                <w:highlight w:val="none"/>
              </w:rPr>
              <w:t>性质</w:t>
            </w:r>
          </w:p>
        </w:tc>
        <w:tc>
          <w:tcPr>
            <w:tcW w:w="7354" w:type="dxa"/>
            <w:vAlign w:val="center"/>
          </w:tcPr>
          <w:p w14:paraId="759B1271">
            <w:pPr>
              <w:spacing w:line="500" w:lineRule="exact"/>
              <w:rPr>
                <w:rFonts w:hAnsi="宋体" w:cs="宋体"/>
                <w:b/>
                <w:bCs/>
                <w:szCs w:val="24"/>
                <w:highlight w:val="none"/>
              </w:rPr>
            </w:pPr>
            <w:r>
              <w:rPr>
                <w:rFonts w:hint="eastAsia" w:hAnsi="宋体" w:cs="宋体"/>
                <w:b/>
                <w:bCs/>
                <w:szCs w:val="24"/>
                <w:highlight w:val="none"/>
              </w:rPr>
              <w:t>供应商须提供中小企业声明函；</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spacing w:line="360" w:lineRule="auto"/>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spacing w:line="500" w:lineRule="exact"/>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spacing w:line="360" w:lineRule="auto"/>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spacing w:line="360" w:lineRule="auto"/>
              <w:ind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14:paraId="0CAB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24C3608">
            <w:pPr>
              <w:widowControl/>
              <w:spacing w:line="360" w:lineRule="auto"/>
              <w:jc w:val="center"/>
              <w:rPr>
                <w:rFonts w:hint="default" w:hAnsi="宋体" w:cs="宋体"/>
                <w:b/>
                <w:bCs/>
                <w:szCs w:val="24"/>
                <w:highlight w:val="none"/>
                <w:lang w:val="en-US" w:eastAsia="zh-CN"/>
              </w:rPr>
            </w:pPr>
            <w:bookmarkStart w:id="30" w:name="_Toc363473972"/>
            <w:bookmarkStart w:id="31" w:name="_Toc403077639"/>
            <w:bookmarkStart w:id="32" w:name="_Toc363474017"/>
            <w:r>
              <w:rPr>
                <w:rFonts w:hint="eastAsia" w:hAnsi="宋体" w:cs="宋体"/>
                <w:b/>
                <w:bCs/>
                <w:szCs w:val="24"/>
                <w:highlight w:val="none"/>
                <w:lang w:val="en-US" w:eastAsia="zh-CN"/>
              </w:rPr>
              <w:t>21</w:t>
            </w:r>
          </w:p>
        </w:tc>
        <w:tc>
          <w:tcPr>
            <w:tcW w:w="951" w:type="dxa"/>
            <w:vAlign w:val="center"/>
          </w:tcPr>
          <w:p w14:paraId="3A6FC389">
            <w:pPr>
              <w:widowControl/>
              <w:spacing w:line="360" w:lineRule="auto"/>
              <w:jc w:val="center"/>
              <w:rPr>
                <w:rFonts w:hint="eastAsia" w:hAnsi="宋体" w:eastAsia="宋体" w:cs="宋体"/>
                <w:b/>
                <w:bCs/>
                <w:szCs w:val="24"/>
                <w:highlight w:val="none"/>
                <w:lang w:val="en-US" w:eastAsia="zh-CN"/>
              </w:rPr>
            </w:pPr>
            <w:r>
              <w:rPr>
                <w:rFonts w:hint="eastAsia" w:hAnsi="宋体" w:cs="宋体"/>
                <w:b/>
                <w:bCs/>
                <w:szCs w:val="24"/>
                <w:highlight w:val="none"/>
                <w:lang w:val="en-US" w:eastAsia="zh-CN"/>
              </w:rPr>
              <w:t>限价</w:t>
            </w:r>
          </w:p>
        </w:tc>
        <w:tc>
          <w:tcPr>
            <w:tcW w:w="7354" w:type="dxa"/>
            <w:vAlign w:val="center"/>
          </w:tcPr>
          <w:p w14:paraId="50083EAE">
            <w:pPr>
              <w:spacing w:line="500" w:lineRule="exact"/>
              <w:ind w:firstLine="482" w:firstLineChars="200"/>
              <w:rPr>
                <w:rFonts w:hint="default" w:hAnsi="宋体" w:eastAsia="宋体" w:cs="宋体"/>
                <w:b/>
                <w:bCs/>
                <w:szCs w:val="24"/>
                <w:highlight w:val="none"/>
                <w:lang w:val="en-US" w:eastAsia="zh-CN"/>
              </w:rPr>
            </w:pPr>
            <w:r>
              <w:rPr>
                <w:rFonts w:hint="eastAsia" w:hAnsi="宋体" w:cs="宋体"/>
                <w:b/>
                <w:bCs/>
                <w:szCs w:val="24"/>
                <w:highlight w:val="none"/>
                <w:lang w:val="en-US" w:eastAsia="zh-CN"/>
              </w:rPr>
              <w:t>投标报价不得超过单价限价，超过单价限价按无效响应。</w:t>
            </w:r>
          </w:p>
        </w:tc>
      </w:tr>
      <w:bookmarkEnd w:id="9"/>
      <w:bookmarkEnd w:id="10"/>
      <w:bookmarkEnd w:id="11"/>
    </w:tbl>
    <w:p w14:paraId="7E9814FB">
      <w:pPr>
        <w:spacing w:before="156" w:beforeLines="50" w:after="156" w:afterLines="50"/>
        <w:jc w:val="center"/>
        <w:outlineLvl w:val="2"/>
        <w:rPr>
          <w:rFonts w:hAnsi="宋体" w:cs="宋体"/>
          <w:sz w:val="32"/>
          <w:szCs w:val="32"/>
          <w:highlight w:val="none"/>
        </w:rPr>
      </w:pPr>
      <w:r>
        <w:rPr>
          <w:rFonts w:hint="eastAsia" w:hAnsi="宋体" w:cs="宋体"/>
          <w:b/>
          <w:sz w:val="32"/>
          <w:szCs w:val="32"/>
          <w:highlight w:val="none"/>
        </w:rPr>
        <w:br w:type="page"/>
      </w:r>
      <w:bookmarkStart w:id="33" w:name="_Toc27537"/>
      <w:bookmarkStart w:id="34" w:name="_Toc4670"/>
      <w:bookmarkStart w:id="35" w:name="_Toc3623"/>
      <w:r>
        <w:rPr>
          <w:rFonts w:hint="eastAsia" w:hAnsi="宋体" w:cs="宋体"/>
          <w:b/>
          <w:sz w:val="32"/>
          <w:szCs w:val="32"/>
          <w:highlight w:val="none"/>
        </w:rPr>
        <w:t>一.总  则</w:t>
      </w:r>
      <w:bookmarkEnd w:id="30"/>
      <w:bookmarkEnd w:id="31"/>
      <w:bookmarkEnd w:id="32"/>
      <w:bookmarkEnd w:id="33"/>
      <w:bookmarkEnd w:id="34"/>
      <w:bookmarkEnd w:id="35"/>
    </w:p>
    <w:p w14:paraId="141C4AE5">
      <w:pPr>
        <w:spacing w:line="360" w:lineRule="auto"/>
        <w:rPr>
          <w:rFonts w:hAnsi="宋体" w:cs="宋体"/>
          <w:b/>
          <w:szCs w:val="24"/>
          <w:highlight w:val="none"/>
        </w:rPr>
      </w:pPr>
      <w:r>
        <w:rPr>
          <w:rFonts w:hint="eastAsia" w:hAnsi="宋体" w:cs="宋体"/>
          <w:b/>
          <w:szCs w:val="24"/>
          <w:highlight w:val="none"/>
        </w:rPr>
        <w:t>1.资金来源</w:t>
      </w:r>
    </w:p>
    <w:p w14:paraId="3D60B541">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财政资金</w:t>
      </w:r>
      <w:r>
        <w:rPr>
          <w:rFonts w:hint="eastAsia" w:hAnsi="宋体" w:cs="宋体"/>
          <w:szCs w:val="24"/>
          <w:highlight w:val="none"/>
        </w:rPr>
        <w:t>支付，资金已落实到位。</w:t>
      </w:r>
    </w:p>
    <w:p w14:paraId="3B65836D">
      <w:pPr>
        <w:numPr>
          <w:ilvl w:val="0"/>
          <w:numId w:val="1"/>
        </w:numPr>
        <w:spacing w:line="500" w:lineRule="exact"/>
        <w:rPr>
          <w:rFonts w:hAnsi="宋体" w:cs="宋体"/>
          <w:b/>
          <w:szCs w:val="24"/>
          <w:highlight w:val="none"/>
        </w:rPr>
      </w:pPr>
      <w:bookmarkStart w:id="36" w:name="_Toc403077640"/>
      <w:bookmarkStart w:id="37" w:name="_Toc363474018"/>
      <w:bookmarkStart w:id="38" w:name="_Toc363473973"/>
      <w:r>
        <w:rPr>
          <w:rFonts w:hint="eastAsia" w:hAnsi="宋体" w:cs="宋体"/>
          <w:b/>
          <w:szCs w:val="24"/>
          <w:highlight w:val="none"/>
        </w:rPr>
        <w:t>名词解释</w:t>
      </w:r>
    </w:p>
    <w:p w14:paraId="723FD223">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西安市军队离休退休干部管理服务中心</w:t>
      </w:r>
    </w:p>
    <w:p w14:paraId="33469030">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szCs w:val="24"/>
          <w:highlight w:val="none"/>
        </w:rPr>
      </w:pPr>
      <w:r>
        <w:rPr>
          <w:rFonts w:hint="eastAsia" w:hAnsi="宋体" w:cs="宋体"/>
          <w:b/>
          <w:szCs w:val="24"/>
          <w:highlight w:val="none"/>
        </w:rPr>
        <w:t>3.合格的供应商</w:t>
      </w:r>
    </w:p>
    <w:p w14:paraId="4DEB954E">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1915A53F">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4802E22F">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sz w:val="32"/>
          <w:szCs w:val="32"/>
          <w:highlight w:val="none"/>
        </w:rPr>
      </w:pPr>
      <w:bookmarkStart w:id="39" w:name="_Toc31742"/>
      <w:bookmarkStart w:id="40" w:name="_Toc30698"/>
      <w:bookmarkStart w:id="41" w:name="_Toc27903"/>
      <w:r>
        <w:rPr>
          <w:rFonts w:hint="eastAsia" w:hAnsi="宋体" w:cs="宋体"/>
          <w:b/>
          <w:sz w:val="32"/>
          <w:szCs w:val="32"/>
          <w:highlight w:val="none"/>
        </w:rPr>
        <w:t>二.竞争性磋商文件</w:t>
      </w:r>
      <w:bookmarkEnd w:id="36"/>
      <w:bookmarkEnd w:id="37"/>
      <w:bookmarkEnd w:id="38"/>
      <w:bookmarkEnd w:id="39"/>
      <w:bookmarkEnd w:id="40"/>
      <w:bookmarkEnd w:id="41"/>
    </w:p>
    <w:p w14:paraId="65B3BE6D">
      <w:pPr>
        <w:spacing w:line="360" w:lineRule="auto"/>
        <w:rPr>
          <w:rFonts w:hAnsi="宋体" w:cs="宋体"/>
          <w:b/>
          <w:szCs w:val="24"/>
          <w:highlight w:val="none"/>
        </w:rPr>
      </w:pPr>
      <w:r>
        <w:rPr>
          <w:rFonts w:hint="eastAsia" w:hAnsi="宋体" w:cs="宋体"/>
          <w:b/>
          <w:szCs w:val="24"/>
          <w:highlight w:val="none"/>
        </w:rPr>
        <w:t>6.竞争性磋商文件构成</w:t>
      </w:r>
    </w:p>
    <w:p w14:paraId="145C2259">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63B83665">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60A1998E">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180C489A">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4BC9330F">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szCs w:val="24"/>
          <w:highlight w:val="none"/>
        </w:rPr>
      </w:pPr>
      <w:r>
        <w:rPr>
          <w:rFonts w:hint="eastAsia" w:hAnsi="宋体" w:cs="宋体"/>
          <w:b/>
          <w:szCs w:val="24"/>
          <w:highlight w:val="none"/>
        </w:rPr>
        <w:t>7.竞争性磋商文件的修改和澄清</w:t>
      </w:r>
    </w:p>
    <w:p w14:paraId="5D225456">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sz w:val="32"/>
          <w:szCs w:val="32"/>
          <w:highlight w:val="none"/>
        </w:rPr>
      </w:pPr>
      <w:bookmarkStart w:id="42" w:name="_Toc403077641"/>
      <w:bookmarkStart w:id="43" w:name="_Toc26653"/>
      <w:bookmarkStart w:id="44" w:name="_Toc13771"/>
      <w:bookmarkStart w:id="45" w:name="_Toc363473974"/>
      <w:bookmarkStart w:id="46" w:name="_Toc28227"/>
      <w:bookmarkStart w:id="47" w:name="_Toc363474019"/>
      <w:r>
        <w:rPr>
          <w:rFonts w:hint="eastAsia" w:hAnsi="宋体" w:cs="宋体"/>
          <w:b/>
          <w:sz w:val="32"/>
          <w:szCs w:val="32"/>
          <w:highlight w:val="none"/>
        </w:rPr>
        <w:t>三.磋商响应文件的编制</w:t>
      </w:r>
      <w:bookmarkEnd w:id="42"/>
      <w:bookmarkEnd w:id="43"/>
      <w:bookmarkEnd w:id="44"/>
      <w:bookmarkEnd w:id="45"/>
      <w:bookmarkEnd w:id="46"/>
      <w:bookmarkEnd w:id="47"/>
    </w:p>
    <w:p w14:paraId="78371B52">
      <w:pPr>
        <w:spacing w:line="360" w:lineRule="auto"/>
        <w:rPr>
          <w:rFonts w:hAnsi="宋体" w:cs="宋体"/>
          <w:b/>
          <w:szCs w:val="24"/>
          <w:highlight w:val="none"/>
        </w:rPr>
      </w:pPr>
      <w:r>
        <w:rPr>
          <w:rFonts w:hint="eastAsia" w:hAnsi="宋体" w:cs="宋体"/>
          <w:b/>
          <w:szCs w:val="24"/>
          <w:highlight w:val="none"/>
        </w:rPr>
        <w:t>8. 磋商语言和磋商货币</w:t>
      </w:r>
    </w:p>
    <w:p w14:paraId="5366F7BF">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spacing w:line="360" w:lineRule="auto"/>
        <w:rPr>
          <w:rFonts w:hAnsi="宋体" w:cs="宋体"/>
          <w:b/>
          <w:szCs w:val="24"/>
          <w:highlight w:val="none"/>
        </w:rPr>
      </w:pPr>
      <w:r>
        <w:rPr>
          <w:rFonts w:hint="eastAsia" w:hAnsi="宋体" w:cs="宋体"/>
          <w:b/>
          <w:szCs w:val="24"/>
          <w:highlight w:val="none"/>
        </w:rPr>
        <w:t>9.竞争性磋商响应文件的构成</w:t>
      </w:r>
    </w:p>
    <w:p w14:paraId="139CF0F9">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AAFE589">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szCs w:val="24"/>
          <w:highlight w:val="none"/>
        </w:rPr>
      </w:pPr>
      <w:r>
        <w:rPr>
          <w:rFonts w:hint="eastAsia" w:hAnsi="宋体" w:cs="宋体"/>
          <w:b/>
          <w:szCs w:val="24"/>
          <w:highlight w:val="none"/>
        </w:rPr>
        <w:t>11.磋商报价</w:t>
      </w:r>
    </w:p>
    <w:p w14:paraId="46A2FE27">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5E53EF73">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373891F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szCs w:val="24"/>
          <w:highlight w:val="none"/>
        </w:rPr>
      </w:pPr>
      <w:r>
        <w:rPr>
          <w:rFonts w:hint="eastAsia" w:hAnsi="宋体" w:cs="宋体"/>
          <w:b/>
          <w:szCs w:val="24"/>
          <w:highlight w:val="none"/>
        </w:rPr>
        <w:t>15.磋商有效期</w:t>
      </w:r>
    </w:p>
    <w:p w14:paraId="4B918852">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60400B2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266AB26">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sz w:val="32"/>
          <w:szCs w:val="32"/>
          <w:highlight w:val="none"/>
        </w:rPr>
      </w:pPr>
      <w:bookmarkStart w:id="49" w:name="_Toc20799"/>
      <w:bookmarkStart w:id="50" w:name="_Toc12266"/>
      <w:bookmarkStart w:id="51" w:name="_Toc18686"/>
      <w:r>
        <w:rPr>
          <w:rFonts w:hint="eastAsia" w:hAnsi="宋体" w:cs="宋体"/>
          <w:b/>
          <w:sz w:val="32"/>
          <w:szCs w:val="32"/>
          <w:highlight w:val="none"/>
        </w:rPr>
        <w:t>四.竞争性磋商响应文件的递交</w:t>
      </w:r>
      <w:bookmarkEnd w:id="49"/>
      <w:bookmarkEnd w:id="50"/>
      <w:bookmarkEnd w:id="51"/>
    </w:p>
    <w:p w14:paraId="32007DFF">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18439836">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2530633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4D7745A0">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szCs w:val="24"/>
          <w:highlight w:val="none"/>
        </w:rPr>
      </w:pPr>
      <w:r>
        <w:rPr>
          <w:rFonts w:hint="eastAsia" w:hAnsi="宋体" w:cs="宋体"/>
          <w:b/>
          <w:szCs w:val="24"/>
          <w:highlight w:val="none"/>
        </w:rPr>
        <w:t>18．竞争性磋商响应文件的递交</w:t>
      </w:r>
    </w:p>
    <w:p w14:paraId="690875DA">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spacing w:line="360" w:lineRule="auto"/>
        <w:rPr>
          <w:rFonts w:hAnsi="宋体" w:cs="宋体"/>
          <w:b/>
          <w:szCs w:val="24"/>
          <w:highlight w:val="none"/>
        </w:rPr>
      </w:pPr>
      <w:r>
        <w:rPr>
          <w:rFonts w:hint="eastAsia" w:hAnsi="宋体" w:cs="宋体"/>
          <w:b/>
          <w:szCs w:val="24"/>
          <w:highlight w:val="none"/>
        </w:rPr>
        <w:t>19．递交的竞争性磋商响应文件</w:t>
      </w:r>
    </w:p>
    <w:p w14:paraId="6E233596">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szCs w:val="24"/>
          <w:highlight w:val="none"/>
        </w:rPr>
      </w:pPr>
      <w:r>
        <w:rPr>
          <w:rFonts w:hint="eastAsia" w:hAnsi="宋体" w:cs="宋体"/>
          <w:b/>
          <w:szCs w:val="24"/>
          <w:highlight w:val="none"/>
        </w:rPr>
        <w:t>20．磋商的修改与撤回</w:t>
      </w:r>
    </w:p>
    <w:p w14:paraId="43AF122E">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rPr>
          <w:rFonts w:hint="eastAsia" w:hAnsi="宋体" w:cs="宋体"/>
          <w:b/>
          <w:sz w:val="32"/>
          <w:szCs w:val="32"/>
          <w:highlight w:val="none"/>
        </w:rPr>
      </w:pPr>
      <w:bookmarkStart w:id="52" w:name="_Toc13669"/>
      <w:bookmarkStart w:id="53" w:name="_Toc25852"/>
      <w:bookmarkStart w:id="54" w:name="_Toc363474021"/>
      <w:bookmarkStart w:id="55" w:name="_Toc363473976"/>
      <w:bookmarkStart w:id="56" w:name="_Toc403077643"/>
      <w:bookmarkStart w:id="57" w:name="_Toc15436"/>
      <w:r>
        <w:rPr>
          <w:rFonts w:hint="eastAsia" w:hAnsi="宋体" w:cs="宋体"/>
          <w:b/>
          <w:sz w:val="32"/>
          <w:szCs w:val="32"/>
          <w:highlight w:val="none"/>
        </w:rPr>
        <w:br w:type="page"/>
      </w:r>
    </w:p>
    <w:p w14:paraId="429B15CA">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7F52E8A1">
      <w:pPr>
        <w:spacing w:line="360" w:lineRule="auto"/>
        <w:rPr>
          <w:rFonts w:hAnsi="宋体" w:cs="宋体"/>
          <w:b/>
          <w:szCs w:val="24"/>
          <w:highlight w:val="none"/>
        </w:rPr>
      </w:pPr>
      <w:r>
        <w:rPr>
          <w:rFonts w:hint="eastAsia" w:hAnsi="宋体" w:cs="宋体"/>
          <w:b/>
          <w:szCs w:val="24"/>
          <w:highlight w:val="none"/>
        </w:rPr>
        <w:t>21.磋商大会</w:t>
      </w:r>
    </w:p>
    <w:p w14:paraId="7A197907">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spacing w:line="360" w:lineRule="auto"/>
        <w:rPr>
          <w:rFonts w:hAnsi="宋体" w:cs="宋体"/>
          <w:b/>
          <w:szCs w:val="24"/>
          <w:highlight w:val="none"/>
        </w:rPr>
      </w:pPr>
      <w:r>
        <w:rPr>
          <w:rFonts w:hint="eastAsia" w:hAnsi="宋体" w:cs="宋体"/>
          <w:b/>
          <w:szCs w:val="24"/>
          <w:highlight w:val="none"/>
        </w:rPr>
        <w:t>22．评审程序</w:t>
      </w:r>
    </w:p>
    <w:p w14:paraId="5FC0B725">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szCs w:val="24"/>
          <w:highlight w:val="none"/>
        </w:rPr>
      </w:pPr>
      <w:r>
        <w:rPr>
          <w:rFonts w:hint="eastAsia" w:hAnsi="宋体" w:cs="宋体"/>
          <w:b/>
          <w:szCs w:val="24"/>
          <w:highlight w:val="none"/>
        </w:rPr>
        <w:t>23．评审组织及评审原则</w:t>
      </w:r>
    </w:p>
    <w:p w14:paraId="6F162F4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0EF6F9B2">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19"/>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19"/>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0CC4A48B">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spacing w:line="360" w:lineRule="auto"/>
        <w:rPr>
          <w:rFonts w:hAnsi="宋体" w:cs="宋体"/>
          <w:b/>
          <w:szCs w:val="24"/>
          <w:highlight w:val="none"/>
        </w:rPr>
      </w:pPr>
      <w:r>
        <w:rPr>
          <w:rFonts w:hint="eastAsia" w:hAnsi="宋体" w:cs="宋体"/>
          <w:b/>
          <w:szCs w:val="24"/>
          <w:highlight w:val="none"/>
        </w:rPr>
        <w:t>24．评审过程的保密</w:t>
      </w:r>
    </w:p>
    <w:p w14:paraId="1B711CBE">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szCs w:val="24"/>
          <w:highlight w:val="none"/>
        </w:rPr>
      </w:pPr>
      <w:r>
        <w:rPr>
          <w:rFonts w:hint="eastAsia" w:hAnsi="宋体" w:cs="宋体"/>
          <w:b/>
          <w:szCs w:val="24"/>
          <w:highlight w:val="none"/>
        </w:rPr>
        <w:t>25．评审方法</w:t>
      </w:r>
    </w:p>
    <w:p w14:paraId="1FD4ECDC">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14:paraId="37BC02A1">
      <w:pPr>
        <w:rPr>
          <w:rFonts w:hint="eastAsia" w:hAnsi="宋体" w:cs="宋体"/>
          <w:b/>
          <w:sz w:val="32"/>
          <w:szCs w:val="32"/>
          <w:highlight w:val="none"/>
        </w:rPr>
      </w:pPr>
      <w:bookmarkStart w:id="58" w:name="_Toc29146"/>
      <w:bookmarkStart w:id="59" w:name="_Toc15100"/>
      <w:bookmarkStart w:id="60" w:name="_Toc24420"/>
      <w:r>
        <w:rPr>
          <w:rFonts w:hint="eastAsia" w:hAnsi="宋体" w:cs="宋体"/>
          <w:b/>
          <w:sz w:val="32"/>
          <w:szCs w:val="32"/>
          <w:highlight w:val="none"/>
        </w:rPr>
        <w:br w:type="page"/>
      </w:r>
    </w:p>
    <w:p w14:paraId="499C45E8">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六.成交、通知与签约</w:t>
      </w:r>
      <w:bookmarkEnd w:id="58"/>
      <w:bookmarkEnd w:id="59"/>
      <w:bookmarkEnd w:id="60"/>
    </w:p>
    <w:p w14:paraId="4330A695">
      <w:pPr>
        <w:spacing w:line="360" w:lineRule="auto"/>
        <w:rPr>
          <w:rFonts w:hAnsi="宋体" w:cs="宋体"/>
          <w:b/>
          <w:szCs w:val="24"/>
          <w:highlight w:val="none"/>
        </w:rPr>
      </w:pPr>
      <w:r>
        <w:rPr>
          <w:rFonts w:hint="eastAsia" w:hAnsi="宋体" w:cs="宋体"/>
          <w:b/>
          <w:szCs w:val="24"/>
          <w:highlight w:val="none"/>
        </w:rPr>
        <w:t>26．成交程序</w:t>
      </w:r>
    </w:p>
    <w:p w14:paraId="62EE9E4F">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spacing w:line="360" w:lineRule="auto"/>
        <w:rPr>
          <w:rFonts w:hAnsi="宋体" w:cs="宋体"/>
          <w:b/>
          <w:szCs w:val="24"/>
          <w:highlight w:val="none"/>
        </w:rPr>
      </w:pPr>
      <w:r>
        <w:rPr>
          <w:rFonts w:hint="eastAsia" w:hAnsi="宋体" w:cs="宋体"/>
          <w:b/>
          <w:szCs w:val="24"/>
          <w:highlight w:val="none"/>
        </w:rPr>
        <w:t>27．成交通知</w:t>
      </w:r>
    </w:p>
    <w:p w14:paraId="56DD5E6F">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szCs w:val="24"/>
          <w:highlight w:val="none"/>
        </w:rPr>
      </w:pPr>
      <w:r>
        <w:rPr>
          <w:rFonts w:hint="eastAsia" w:hAnsi="宋体" w:cs="宋体"/>
          <w:b/>
          <w:szCs w:val="24"/>
          <w:highlight w:val="none"/>
        </w:rPr>
        <w:t>28. 采购合同的签订</w:t>
      </w:r>
    </w:p>
    <w:p w14:paraId="3F9CCD57">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2301D71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103EDDAA">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341EF40B">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0A46AC90">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6125675B">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6CEC3207">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29B2827D">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spacing w:line="360" w:lineRule="auto"/>
        <w:ind w:firstLine="480" w:firstLineChars="200"/>
        <w:rPr>
          <w:rFonts w:hAnsi="宋体" w:cs="宋体"/>
          <w:highlight w:val="none"/>
        </w:rPr>
      </w:pPr>
      <w:r>
        <w:rPr>
          <w:rFonts w:hint="eastAsia" w:hAnsi="宋体" w:cs="宋体"/>
          <w:highlight w:val="none"/>
        </w:rPr>
        <w:t>30.7质疑答复</w:t>
      </w:r>
    </w:p>
    <w:p w14:paraId="1D09707A">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szCs w:val="24"/>
          <w:highlight w:val="none"/>
        </w:rPr>
      </w:pPr>
      <w:r>
        <w:rPr>
          <w:rFonts w:hint="eastAsia" w:hAnsi="宋体" w:cs="宋体"/>
          <w:b/>
          <w:szCs w:val="24"/>
          <w:highlight w:val="none"/>
        </w:rPr>
        <w:t>31.其他</w:t>
      </w:r>
    </w:p>
    <w:p w14:paraId="017EE75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508A60DA">
      <w:pPr>
        <w:pStyle w:val="2"/>
        <w:numPr>
          <w:ilvl w:val="0"/>
          <w:numId w:val="3"/>
        </w:numPr>
        <w:jc w:val="center"/>
        <w:rPr>
          <w:rFonts w:ascii="宋体" w:eastAsia="宋体" w:cs="宋体"/>
          <w:highlight w:val="none"/>
        </w:rPr>
      </w:pPr>
      <w:bookmarkStart w:id="62" w:name="_Toc25783"/>
      <w:bookmarkStart w:id="63" w:name="_Toc403077645"/>
      <w:bookmarkStart w:id="64" w:name="_Toc423973074"/>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9687"/>
      <w:bookmarkStart w:id="67" w:name="_Toc22398"/>
      <w:r>
        <w:rPr>
          <w:rFonts w:hint="eastAsia" w:ascii="宋体" w:eastAsia="宋体" w:cs="宋体"/>
          <w:bCs/>
          <w:sz w:val="36"/>
          <w:szCs w:val="36"/>
          <w:highlight w:val="none"/>
        </w:rPr>
        <w:t>评审方法</w:t>
      </w:r>
      <w:bookmarkEnd w:id="65"/>
      <w:bookmarkEnd w:id="66"/>
      <w:bookmarkEnd w:id="67"/>
    </w:p>
    <w:p w14:paraId="4FC56CDF">
      <w:pPr>
        <w:spacing w:line="360" w:lineRule="auto"/>
        <w:outlineLvl w:val="1"/>
        <w:rPr>
          <w:rFonts w:hAnsi="宋体" w:cs="宋体"/>
          <w:b/>
          <w:szCs w:val="24"/>
          <w:highlight w:val="none"/>
        </w:rPr>
      </w:pPr>
      <w:bookmarkStart w:id="68" w:name="_Toc32051"/>
      <w:bookmarkStart w:id="69" w:name="_Toc23722"/>
      <w:bookmarkStart w:id="70" w:name="_Toc28665"/>
      <w:bookmarkStart w:id="71" w:name="_Toc26649"/>
      <w:r>
        <w:rPr>
          <w:rFonts w:hint="eastAsia" w:hAnsi="宋体" w:cs="宋体"/>
          <w:b/>
          <w:szCs w:val="24"/>
          <w:highlight w:val="none"/>
        </w:rPr>
        <w:t>一、评审方法</w:t>
      </w:r>
      <w:bookmarkEnd w:id="68"/>
      <w:bookmarkEnd w:id="69"/>
      <w:bookmarkEnd w:id="70"/>
      <w:bookmarkEnd w:id="71"/>
    </w:p>
    <w:p w14:paraId="1986A5B8">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spacing w:val="4"/>
          <w:szCs w:val="24"/>
          <w:highlight w:val="none"/>
        </w:rPr>
      </w:pPr>
      <w:bookmarkStart w:id="72" w:name="_Toc23145"/>
      <w:bookmarkStart w:id="73" w:name="_Toc20625"/>
      <w:bookmarkStart w:id="74" w:name="_Toc27615"/>
      <w:bookmarkStart w:id="75" w:name="_Toc2374"/>
      <w:r>
        <w:rPr>
          <w:rFonts w:hint="eastAsia" w:hAnsi="宋体" w:cs="宋体"/>
          <w:b/>
          <w:spacing w:val="4"/>
          <w:szCs w:val="24"/>
          <w:highlight w:val="none"/>
        </w:rPr>
        <w:t>二、评审程序</w:t>
      </w:r>
      <w:bookmarkEnd w:id="72"/>
      <w:bookmarkEnd w:id="73"/>
      <w:bookmarkEnd w:id="74"/>
      <w:bookmarkEnd w:id="75"/>
    </w:p>
    <w:p w14:paraId="1B4CFDC0">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956112C">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162C718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highlight w:val="none"/>
        </w:rPr>
      </w:pPr>
    </w:p>
    <w:p w14:paraId="01CDFE55">
      <w:pPr>
        <w:spacing w:line="500" w:lineRule="exact"/>
        <w:jc w:val="left"/>
        <w:outlineLvl w:val="1"/>
        <w:rPr>
          <w:rFonts w:hAnsi="宋体" w:cs="宋体"/>
          <w:b/>
          <w:szCs w:val="24"/>
          <w:highlight w:val="none"/>
        </w:rPr>
      </w:pPr>
      <w:bookmarkStart w:id="76" w:name="_Toc24776"/>
      <w:bookmarkStart w:id="77" w:name="_Toc30804"/>
      <w:bookmarkStart w:id="78" w:name="_Toc19221"/>
      <w:bookmarkStart w:id="79" w:name="_Toc4428"/>
      <w:r>
        <w:rPr>
          <w:rFonts w:hint="eastAsia" w:hAnsi="宋体" w:cs="宋体"/>
          <w:b/>
          <w:szCs w:val="24"/>
          <w:highlight w:val="none"/>
        </w:rPr>
        <w:t>三、政策性扣减</w:t>
      </w:r>
      <w:bookmarkEnd w:id="76"/>
      <w:bookmarkEnd w:id="77"/>
      <w:bookmarkEnd w:id="78"/>
      <w:bookmarkEnd w:id="79"/>
    </w:p>
    <w:p w14:paraId="4DD27D4B">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0"/>
        <w:rPr>
          <w:rFonts w:ascii="宋体" w:hAnsi="宋体" w:cs="宋体"/>
          <w:highlight w:val="none"/>
        </w:rPr>
      </w:pPr>
    </w:p>
    <w:p w14:paraId="144B4197">
      <w:pPr>
        <w:numPr>
          <w:ilvl w:val="0"/>
          <w:numId w:val="5"/>
        </w:numPr>
        <w:spacing w:line="360" w:lineRule="auto"/>
        <w:ind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80" w:name="_Toc28532"/>
      <w:bookmarkStart w:id="81" w:name="_Toc4223"/>
      <w:bookmarkStart w:id="82" w:name="_Toc13330"/>
      <w:bookmarkStart w:id="83" w:name="_Toc23630"/>
      <w:r>
        <w:rPr>
          <w:rFonts w:hint="eastAsia" w:hAnsi="宋体" w:cs="宋体"/>
          <w:b/>
          <w:szCs w:val="24"/>
          <w:highlight w:val="none"/>
        </w:rPr>
        <w:t>评审要素和分值分解表</w:t>
      </w:r>
      <w:bookmarkEnd w:id="80"/>
      <w:bookmarkEnd w:id="81"/>
      <w:bookmarkEnd w:id="82"/>
      <w:bookmarkEnd w:id="83"/>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297"/>
        <w:gridCol w:w="5962"/>
      </w:tblGrid>
      <w:tr w14:paraId="3E1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11C335AC">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276" w:type="dxa"/>
            <w:vAlign w:val="center"/>
          </w:tcPr>
          <w:p w14:paraId="06F1D08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27BFC40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1297" w:type="dxa"/>
            <w:vAlign w:val="center"/>
          </w:tcPr>
          <w:p w14:paraId="0F7C510F">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5962" w:type="dxa"/>
            <w:vAlign w:val="center"/>
          </w:tcPr>
          <w:p w14:paraId="67EA12B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3E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7907A27D">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1276" w:type="dxa"/>
            <w:vMerge w:val="restart"/>
            <w:vAlign w:val="center"/>
          </w:tcPr>
          <w:p w14:paraId="762EF6B7">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（80分）</w:t>
            </w:r>
          </w:p>
        </w:tc>
        <w:tc>
          <w:tcPr>
            <w:tcW w:w="1297" w:type="dxa"/>
            <w:vAlign w:val="center"/>
          </w:tcPr>
          <w:p w14:paraId="06A9AA64">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需求响应</w:t>
            </w:r>
            <w:r>
              <w:rPr>
                <w:rFonts w:hint="eastAsia" w:ascii="宋体" w:hAnsi="宋体" w:eastAsia="宋体" w:cs="宋体"/>
                <w:color w:val="auto"/>
                <w:sz w:val="24"/>
                <w:szCs w:val="24"/>
                <w:highlight w:val="none"/>
                <w:lang w:val="en-US" w:eastAsia="zh-CN"/>
              </w:rPr>
              <w:t>（12分）</w:t>
            </w:r>
          </w:p>
        </w:tc>
        <w:tc>
          <w:tcPr>
            <w:tcW w:w="5962" w:type="dxa"/>
            <w:vAlign w:val="center"/>
          </w:tcPr>
          <w:p w14:paraId="1698EF7E">
            <w:pPr>
              <w:numPr>
                <w:ilvl w:val="0"/>
                <w:numId w:val="6"/>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评审内容</w:t>
            </w:r>
          </w:p>
          <w:p w14:paraId="635BE664">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 于本项目的需求响应方案，包括： ①项目理解②需求分析③项目重难点分析 </w:t>
            </w:r>
          </w:p>
          <w:p w14:paraId="3A35A3D6">
            <w:pPr>
              <w:numPr>
                <w:ilvl w:val="0"/>
                <w:numId w:val="6"/>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评审标准 </w:t>
            </w:r>
          </w:p>
          <w:p w14:paraId="30AC7136">
            <w:pPr>
              <w:numPr>
                <w:ilvl w:val="0"/>
                <w:numId w:val="7"/>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完整性：方案必须全面，对评审内容中的各 项要求有详细描述； 2、可实施性 ：切合本项目实际情况，提出步骤 清晰、合理的方案； 3、针对性：方案能够紧扣项目实际情况，内容 科学合理。</w:t>
            </w:r>
          </w:p>
          <w:p w14:paraId="7EAF043E">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三、赋分标准（满分12分）</w:t>
            </w:r>
          </w:p>
          <w:p w14:paraId="186E845B">
            <w:pPr>
              <w:numPr>
                <w:ilvl w:val="0"/>
                <w:numId w:val="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①项目理解：每完全满足一个评审标准得1分，未完全满足得0- 0.9分，满分3分； ②需求分析：每完全满足一个评审标准得1分，未完全满足得0- 0.9分，满分3分； ③ 项目重难点分析：每完全满足一个评审标准得2分，未完全满足得0- 1.9分，满分6分。</w:t>
            </w:r>
          </w:p>
        </w:tc>
      </w:tr>
      <w:tr w14:paraId="26F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2B6994E0">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135A521D">
            <w:pPr>
              <w:spacing w:line="480" w:lineRule="exact"/>
              <w:jc w:val="center"/>
              <w:rPr>
                <w:rFonts w:hint="eastAsia" w:ascii="宋体" w:hAnsi="宋体" w:eastAsia="宋体" w:cs="宋体"/>
                <w:color w:val="auto"/>
                <w:sz w:val="24"/>
                <w:szCs w:val="24"/>
                <w:highlight w:val="none"/>
              </w:rPr>
            </w:pPr>
          </w:p>
        </w:tc>
        <w:tc>
          <w:tcPr>
            <w:tcW w:w="1297" w:type="dxa"/>
            <w:vAlign w:val="center"/>
          </w:tcPr>
          <w:p w14:paraId="34B66829">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服务方案（18分）</w:t>
            </w:r>
          </w:p>
        </w:tc>
        <w:tc>
          <w:tcPr>
            <w:tcW w:w="5962" w:type="dxa"/>
            <w:vAlign w:val="center"/>
          </w:tcPr>
          <w:p w14:paraId="6E7F6E4C">
            <w:pPr>
              <w:numPr>
                <w:ilvl w:val="0"/>
                <w:numId w:val="8"/>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69742660">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针对本项目提出适用于本项目的服务方案，包括：①整体服务方案②项目实施计划③培训安排等内容 </w:t>
            </w:r>
          </w:p>
          <w:p w14:paraId="2B9F3EBA">
            <w:pPr>
              <w:numPr>
                <w:ilvl w:val="0"/>
                <w:numId w:val="8"/>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p w14:paraId="7D3947B2">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1、完整性：方案必须全面，对评审内容中的各项要求有详细描述； 2、可实施性：切合本项目实际情况，提出步骤清晰、合理的方案； 3、针对性：方案能够紧扣项目实际情况，内容科学合理。 </w:t>
            </w:r>
          </w:p>
          <w:p w14:paraId="63CE8225">
            <w:pPr>
              <w:numPr>
                <w:ilvl w:val="0"/>
                <w:numId w:val="8"/>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赋分标准（满分18分）</w:t>
            </w:r>
          </w:p>
          <w:p w14:paraId="7F6FE5E8">
            <w:pPr>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 xml:space="preserve"> ①整体服务方案：每完全满足一个评审标准得分，未完全满足得0-1.9分，满分6分；②项目实施计划：每完全满足一个评审标准得2分，未完全满足一个评审标准得0-1.9分，满分6分； ③培训安排：每完全满足一个评审标准得2分，未完全满足一个评审标准得0-1.9分，满分6分。</w:t>
            </w:r>
          </w:p>
        </w:tc>
      </w:tr>
      <w:tr w14:paraId="010A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243FA98C">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203AFBF1">
            <w:pPr>
              <w:spacing w:line="480" w:lineRule="exact"/>
              <w:jc w:val="center"/>
              <w:rPr>
                <w:rFonts w:hint="eastAsia" w:ascii="宋体" w:hAnsi="宋体" w:eastAsia="宋体" w:cs="宋体"/>
                <w:color w:val="auto"/>
                <w:sz w:val="24"/>
                <w:szCs w:val="24"/>
                <w:highlight w:val="none"/>
              </w:rPr>
            </w:pPr>
          </w:p>
        </w:tc>
        <w:tc>
          <w:tcPr>
            <w:tcW w:w="1297" w:type="dxa"/>
            <w:vAlign w:val="center"/>
          </w:tcPr>
          <w:p w14:paraId="6D536FEB">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rPr>
              <w:t>管理措施</w:t>
            </w:r>
            <w:r>
              <w:rPr>
                <w:rFonts w:hint="eastAsia" w:ascii="宋体" w:hAnsi="宋体" w:eastAsia="宋体" w:cs="宋体"/>
                <w:color w:val="auto"/>
                <w:sz w:val="24"/>
                <w:szCs w:val="24"/>
                <w:highlight w:val="none"/>
                <w:lang w:val="en-US" w:eastAsia="zh-CN"/>
              </w:rPr>
              <w:t>（6分）</w:t>
            </w:r>
          </w:p>
        </w:tc>
        <w:tc>
          <w:tcPr>
            <w:tcW w:w="5962" w:type="dxa"/>
            <w:vAlign w:val="center"/>
          </w:tcPr>
          <w:p w14:paraId="748E85CA">
            <w:pPr>
              <w:numPr>
                <w:ilvl w:val="0"/>
                <w:numId w:val="9"/>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1F1002ED">
            <w:pPr>
              <w:numPr>
                <w:ilvl w:val="0"/>
                <w:numId w:val="0"/>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针对采购需求提出适用于本项目的措施方案，方案包括：①问题处理对策②服务质量保证措施 </w:t>
            </w:r>
          </w:p>
          <w:p w14:paraId="73D73BAA">
            <w:pPr>
              <w:numPr>
                <w:ilvl w:val="0"/>
                <w:numId w:val="9"/>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 1、完整性：方案必须全面，对评审内容中的各项要求有详细描述； 2、可实施性：切合本项目实际情况，提出步骤清晰、合理的方案； 3、针对性：方案能够紧扣项目实际情况，内容科学合理。</w:t>
            </w:r>
          </w:p>
          <w:p w14:paraId="12C5D952">
            <w:pPr>
              <w:numPr>
                <w:ilvl w:val="0"/>
                <w:numId w:val="9"/>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赋分标准（满分6分） </w:t>
            </w:r>
          </w:p>
          <w:p w14:paraId="5AE965E4">
            <w:pPr>
              <w:numPr>
                <w:ilvl w:val="0"/>
                <w:numId w:val="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①问题处理对策：每完全满足一个评审标准得1分，未完全满足一个评审标准得0-0.9分，满分3分；②服务质量保证措施：每完全满足一个评审标准得1分，未完全满足一个评审标准得0-0.9分，满分3分。</w:t>
            </w:r>
          </w:p>
        </w:tc>
      </w:tr>
      <w:tr w14:paraId="37E3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5079223C">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5CDB1B89">
            <w:pPr>
              <w:spacing w:line="480" w:lineRule="exact"/>
              <w:jc w:val="center"/>
              <w:rPr>
                <w:rFonts w:hint="eastAsia" w:ascii="宋体" w:hAnsi="宋体" w:eastAsia="宋体" w:cs="宋体"/>
                <w:color w:val="auto"/>
                <w:sz w:val="24"/>
                <w:szCs w:val="24"/>
                <w:highlight w:val="none"/>
              </w:rPr>
            </w:pPr>
          </w:p>
        </w:tc>
        <w:tc>
          <w:tcPr>
            <w:tcW w:w="1297" w:type="dxa"/>
            <w:vAlign w:val="center"/>
          </w:tcPr>
          <w:p w14:paraId="056CE713">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应急措施方案（12分）</w:t>
            </w:r>
          </w:p>
        </w:tc>
        <w:tc>
          <w:tcPr>
            <w:tcW w:w="5962" w:type="dxa"/>
            <w:vAlign w:val="center"/>
          </w:tcPr>
          <w:p w14:paraId="5B091DB3">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一、评审内容</w:t>
            </w:r>
          </w:p>
          <w:p w14:paraId="6833C3D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针对本项目提出适用于本项目的应急措施方案，方案包括：①安全类事故预防及应急保障措施②人员身体健康突发情况的应急措施③突发自然灾害的应急保障措施 </w:t>
            </w:r>
          </w:p>
          <w:p w14:paraId="1215EE6B">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二、评审标准 </w:t>
            </w:r>
          </w:p>
          <w:p w14:paraId="1562893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完整性：方案必须全面，对评审内容中的各项要求有详细描述； 2、可实施性：切合本项目实际情况，提出步骤清晰、合理的方案； 3、针对性：方案能够紧扣项目实际情况，内容科学合理。 </w:t>
            </w:r>
          </w:p>
          <w:p w14:paraId="2CD983CA">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三、赋分标准（满分12分）</w:t>
            </w:r>
          </w:p>
          <w:p w14:paraId="351F3D14">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①安全类事故预防及应急保障措施：每完全满足一个评审标准得2分，未完全满足一个评审标准得0-1.9分，满分6分； ②人员身体健康突发情况的应急措施：每完全满足一个评审标准得1分，未完全满足一个评审标准得0-0.9分，满分3分； ③突发自然灾害的应急保障措施：每完全满足一个评审标准得1分，未完全满足一个评审标准得0-0.9分，满分3分。</w:t>
            </w:r>
          </w:p>
        </w:tc>
      </w:tr>
      <w:tr w14:paraId="049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4B587A85">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076659A5">
            <w:pPr>
              <w:spacing w:line="480" w:lineRule="exact"/>
              <w:jc w:val="center"/>
              <w:rPr>
                <w:rFonts w:hint="eastAsia" w:ascii="宋体" w:hAnsi="宋体" w:eastAsia="宋体" w:cs="宋体"/>
                <w:color w:val="auto"/>
                <w:sz w:val="24"/>
                <w:szCs w:val="24"/>
                <w:highlight w:val="none"/>
              </w:rPr>
            </w:pPr>
          </w:p>
        </w:tc>
        <w:tc>
          <w:tcPr>
            <w:tcW w:w="1297" w:type="dxa"/>
            <w:vAlign w:val="center"/>
          </w:tcPr>
          <w:p w14:paraId="71276A12">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项目实施管理方案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9分</w:t>
            </w:r>
            <w:r>
              <w:rPr>
                <w:rFonts w:hint="eastAsia" w:ascii="宋体" w:hAnsi="宋体" w:eastAsia="宋体" w:cs="宋体"/>
                <w:sz w:val="24"/>
                <w:szCs w:val="24"/>
                <w:highlight w:val="none"/>
                <w:lang w:eastAsia="zh-CN"/>
              </w:rPr>
              <w:t>）</w:t>
            </w:r>
          </w:p>
        </w:tc>
        <w:tc>
          <w:tcPr>
            <w:tcW w:w="5962" w:type="dxa"/>
            <w:vAlign w:val="center"/>
          </w:tcPr>
          <w:p w14:paraId="695D099F">
            <w:pPr>
              <w:numPr>
                <w:ilvl w:val="0"/>
                <w:numId w:val="1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2D25F02B">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针对本项目提出适用于本项目的实施管理方案，方案包括：①拟投入的车辆②酒店房间情况及规格配置③就餐餐厅及供应品类 </w:t>
            </w:r>
          </w:p>
          <w:p w14:paraId="184D8FFA">
            <w:pPr>
              <w:numPr>
                <w:ilvl w:val="0"/>
                <w:numId w:val="10"/>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评审标准 </w:t>
            </w:r>
          </w:p>
          <w:p w14:paraId="6649C1B4">
            <w:pPr>
              <w:numPr>
                <w:ilvl w:val="0"/>
                <w:numId w:val="11"/>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完整性：方案必须全面，对评审内容中的各项要求有详细描述； 2、可实施性：切合本项目实际情况，提出步骤清晰、合理的方案； 3、针对性：方案能够紧扣项目实际情况，内容科学合理。</w:t>
            </w:r>
          </w:p>
          <w:p w14:paraId="48C0F3CB">
            <w:pPr>
              <w:numPr>
                <w:ilvl w:val="0"/>
                <w:numId w:val="10"/>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赋分标准（满分9分）</w:t>
            </w:r>
          </w:p>
          <w:p w14:paraId="4E6310D8">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①拟投入的车辆：每完全满足一个评审标准得1分，未完全满足一个评审标准得0-0.9分，满分3分； ②酒店房间情况及规格配置：每完全满足一个评审标准得1分，未完全满足一个评审标准得0-0.9分，满分3分；③就餐餐厅及供应品类：每完全满足一个评审标准得1分，未完全满足一个评审标准得0-0.9分，满分3分。</w:t>
            </w:r>
          </w:p>
        </w:tc>
      </w:tr>
      <w:tr w14:paraId="1147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6931EBDF">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5C388C91">
            <w:pPr>
              <w:spacing w:line="480" w:lineRule="exact"/>
              <w:jc w:val="center"/>
              <w:rPr>
                <w:rFonts w:hint="eastAsia" w:ascii="宋体" w:hAnsi="宋体" w:eastAsia="宋体" w:cs="宋体"/>
                <w:color w:val="auto"/>
                <w:sz w:val="24"/>
                <w:szCs w:val="24"/>
                <w:highlight w:val="none"/>
              </w:rPr>
            </w:pPr>
          </w:p>
        </w:tc>
        <w:tc>
          <w:tcPr>
            <w:tcW w:w="1297" w:type="dxa"/>
            <w:vAlign w:val="center"/>
          </w:tcPr>
          <w:p w14:paraId="3D34B2F5">
            <w:pPr>
              <w:numPr>
                <w:ilvl w:val="0"/>
                <w:numId w:val="0"/>
              </w:numPr>
              <w:spacing w:line="360" w:lineRule="auto"/>
              <w:ind w:lef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服务承诺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6分</w:t>
            </w:r>
            <w:r>
              <w:rPr>
                <w:rFonts w:hint="eastAsia" w:ascii="宋体" w:hAnsi="宋体" w:eastAsia="宋体" w:cs="宋体"/>
                <w:sz w:val="24"/>
                <w:szCs w:val="24"/>
                <w:highlight w:val="none"/>
                <w:lang w:eastAsia="zh-CN"/>
              </w:rPr>
              <w:t>）</w:t>
            </w:r>
          </w:p>
        </w:tc>
        <w:tc>
          <w:tcPr>
            <w:tcW w:w="5962" w:type="dxa"/>
            <w:vAlign w:val="center"/>
          </w:tcPr>
          <w:p w14:paraId="64DB03E5">
            <w:pPr>
              <w:numPr>
                <w:ilvl w:val="0"/>
                <w:numId w:val="12"/>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w:t>
            </w:r>
          </w:p>
          <w:p w14:paraId="01E31CBC">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针对本项目提出适用于本项目的服务承诺，方案包括：①服务人员及时到位的承诺②根据采购人意见及时调整人员及服务方案的承诺 </w:t>
            </w:r>
          </w:p>
          <w:p w14:paraId="270AF1E1">
            <w:pPr>
              <w:numPr>
                <w:ilvl w:val="0"/>
                <w:numId w:val="12"/>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p w14:paraId="3360E1F6">
            <w:pPr>
              <w:numPr>
                <w:ilvl w:val="0"/>
                <w:numId w:val="13"/>
              </w:numPr>
              <w:spacing w:line="360" w:lineRule="auto"/>
              <w:ind w:left="12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完整性：方案必须全面，对评审内容中的各项要求有详细描述； 2、可实施性：切合本项目实际情况，提出步骤清晰、合理的方案； 3、针对性：方案能够紧扣项目实际情况，内容科学合理。 </w:t>
            </w:r>
          </w:p>
          <w:p w14:paraId="56F21EF4">
            <w:pPr>
              <w:numPr>
                <w:ilvl w:val="0"/>
                <w:numId w:val="12"/>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赋分标准（满分6分）</w:t>
            </w:r>
          </w:p>
          <w:p w14:paraId="33616BEF">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①服务人员及时到位的承诺：每完全满足一个评审标准得1分，未完全满足一个评审标准得0-0.9分，满分3分； ②根据采购人意见及时调整人员及服务方案的承诺 ：每完全满足一个评审标准得1分，未完全满足一个评审标准得0-0.9分，满分3分。</w:t>
            </w:r>
          </w:p>
        </w:tc>
      </w:tr>
      <w:tr w14:paraId="1EF8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5029A1D4">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792E2307">
            <w:pPr>
              <w:spacing w:line="480" w:lineRule="exact"/>
              <w:jc w:val="center"/>
              <w:rPr>
                <w:rFonts w:hint="eastAsia" w:ascii="宋体" w:hAnsi="宋体" w:eastAsia="宋体" w:cs="宋体"/>
                <w:color w:val="auto"/>
                <w:sz w:val="24"/>
                <w:szCs w:val="24"/>
                <w:highlight w:val="none"/>
              </w:rPr>
            </w:pPr>
          </w:p>
        </w:tc>
        <w:tc>
          <w:tcPr>
            <w:tcW w:w="1297" w:type="dxa"/>
            <w:vAlign w:val="center"/>
          </w:tcPr>
          <w:p w14:paraId="05E47494">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项目团队（12分）</w:t>
            </w:r>
          </w:p>
        </w:tc>
        <w:tc>
          <w:tcPr>
            <w:tcW w:w="5962" w:type="dxa"/>
            <w:vAlign w:val="center"/>
          </w:tcPr>
          <w:p w14:paraId="2930B4F6">
            <w:pPr>
              <w:numPr>
                <w:ilvl w:val="0"/>
                <w:numId w:val="14"/>
              </w:num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p w14:paraId="5E0B886A">
            <w:pPr>
              <w:numPr>
                <w:ilvl w:val="0"/>
                <w:numId w:val="0"/>
              </w:numPr>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针对本项目提出适用于本项目的项目团队配置方案，包括：①团队人员各专业岗位配置②团队人员管理制度</w:t>
            </w:r>
            <w:r>
              <w:rPr>
                <w:rFonts w:hint="eastAsia" w:ascii="宋体" w:hAnsi="宋体" w:eastAsia="宋体" w:cs="宋体"/>
                <w:sz w:val="24"/>
                <w:szCs w:val="24"/>
                <w:highlight w:val="none"/>
                <w:lang w:eastAsia="zh-CN"/>
              </w:rPr>
              <w:t>。</w:t>
            </w:r>
          </w:p>
          <w:p w14:paraId="003CD0AB">
            <w:pPr>
              <w:numPr>
                <w:ilvl w:val="0"/>
                <w:numId w:val="14"/>
              </w:numPr>
              <w:spacing w:line="48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w:t>
            </w:r>
          </w:p>
          <w:p w14:paraId="285CDB46">
            <w:pPr>
              <w:numPr>
                <w:ilvl w:val="0"/>
                <w:numId w:val="15"/>
              </w:numPr>
              <w:spacing w:line="48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3ED06B9C">
            <w:pPr>
              <w:numPr>
                <w:ilvl w:val="0"/>
                <w:numId w:val="14"/>
              </w:numPr>
              <w:spacing w:line="480" w:lineRule="exact"/>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5A33CDA3">
            <w:pPr>
              <w:numPr>
                <w:ilvl w:val="0"/>
                <w:numId w:val="0"/>
              </w:numPr>
              <w:spacing w:line="480" w:lineRule="exact"/>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①团队人员各专业岗位配置：每完全满足一个评审标准得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分，未完全满足一个评审标准要求综合赋分0-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 ②团队人员管理制度：每完全满足一个评审标准得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分，未完全满足一个评审标准要求综合赋分0-</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14:paraId="4205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6E896D30">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5AEC2FAF">
            <w:pPr>
              <w:spacing w:line="480" w:lineRule="exact"/>
              <w:jc w:val="center"/>
              <w:rPr>
                <w:rFonts w:hint="eastAsia" w:ascii="宋体" w:hAnsi="宋体" w:eastAsia="宋体" w:cs="宋体"/>
                <w:color w:val="auto"/>
                <w:sz w:val="24"/>
                <w:szCs w:val="24"/>
                <w:highlight w:val="none"/>
              </w:rPr>
            </w:pPr>
          </w:p>
        </w:tc>
        <w:tc>
          <w:tcPr>
            <w:tcW w:w="1297" w:type="dxa"/>
            <w:vAlign w:val="center"/>
          </w:tcPr>
          <w:p w14:paraId="2F3F08D8">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合理化建议（5分）</w:t>
            </w:r>
          </w:p>
        </w:tc>
        <w:tc>
          <w:tcPr>
            <w:tcW w:w="5962" w:type="dxa"/>
            <w:vAlign w:val="center"/>
          </w:tcPr>
          <w:p w14:paraId="7D835879">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对本项目服务工作中的常见问题进行梳理，具有良好的解决方案并及时向采购人提出合理化建议，每提供一条有效的建议得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分。不提供不得分。</w:t>
            </w:r>
          </w:p>
        </w:tc>
      </w:tr>
      <w:tr w14:paraId="76F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07F34CD3">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商务评标部分</w:t>
            </w:r>
          </w:p>
          <w:p w14:paraId="0271A6D8">
            <w:pPr>
              <w:spacing w:line="480" w:lineRule="exact"/>
              <w:jc w:val="center"/>
              <w:rPr>
                <w:rFonts w:hint="eastAsia" w:ascii="宋体" w:hAnsi="宋体" w:eastAsia="宋体" w:cs="宋体"/>
                <w:color w:val="auto"/>
                <w:sz w:val="24"/>
                <w:szCs w:val="24"/>
                <w:highlight w:val="none"/>
              </w:rPr>
            </w:pPr>
          </w:p>
        </w:tc>
        <w:tc>
          <w:tcPr>
            <w:tcW w:w="1276" w:type="dxa"/>
            <w:vMerge w:val="restart"/>
            <w:vAlign w:val="center"/>
          </w:tcPr>
          <w:p w14:paraId="33E0EC66">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297" w:type="dxa"/>
            <w:vAlign w:val="center"/>
          </w:tcPr>
          <w:p w14:paraId="69F588B5">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业绩（10分）</w:t>
            </w:r>
          </w:p>
        </w:tc>
        <w:tc>
          <w:tcPr>
            <w:tcW w:w="5962" w:type="dxa"/>
            <w:vAlign w:val="center"/>
          </w:tcPr>
          <w:p w14:paraId="2A82F3BF">
            <w:pPr>
              <w:spacing w:line="48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投标人近三年（202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月至今）具有类似项目业绩，每提供一份计</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 评审依据：提供</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加盖公章的合同协议书复印件</w:t>
            </w:r>
            <w:r>
              <w:rPr>
                <w:rFonts w:hint="eastAsia" w:ascii="宋体" w:hAnsi="宋体" w:eastAsia="宋体" w:cs="宋体"/>
                <w:sz w:val="24"/>
                <w:szCs w:val="24"/>
                <w:highlight w:val="none"/>
                <w:lang w:val="en-US" w:eastAsia="zh-CN"/>
              </w:rPr>
              <w:t>或中标通知书</w:t>
            </w:r>
            <w:r>
              <w:rPr>
                <w:rFonts w:hint="eastAsia" w:ascii="宋体" w:hAnsi="宋体" w:eastAsia="宋体" w:cs="宋体"/>
                <w:sz w:val="24"/>
                <w:szCs w:val="24"/>
                <w:highlight w:val="none"/>
              </w:rPr>
              <w:t>，以合同签订时间为准。</w:t>
            </w:r>
          </w:p>
        </w:tc>
      </w:tr>
      <w:tr w14:paraId="0EA9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75C86DB4">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1E08E10D">
            <w:pPr>
              <w:spacing w:line="480" w:lineRule="exact"/>
              <w:jc w:val="center"/>
              <w:rPr>
                <w:rFonts w:hint="eastAsia" w:ascii="宋体" w:hAnsi="宋体" w:eastAsia="宋体" w:cs="宋体"/>
                <w:color w:val="auto"/>
                <w:sz w:val="24"/>
                <w:szCs w:val="24"/>
                <w:highlight w:val="none"/>
              </w:rPr>
            </w:pPr>
          </w:p>
        </w:tc>
        <w:tc>
          <w:tcPr>
            <w:tcW w:w="1297" w:type="dxa"/>
            <w:vAlign w:val="center"/>
          </w:tcPr>
          <w:p w14:paraId="46AC3D5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20BF8548">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62" w:type="dxa"/>
            <w:vAlign w:val="center"/>
          </w:tcPr>
          <w:p w14:paraId="62FE912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1.经初审合格的投标文件，其投标报价为有效投标价。对符合政策性扣减的有效投标报价进行政策性扣减，并依据扣减后的价格（评审价格）进行价格评审。</w:t>
            </w:r>
          </w:p>
          <w:p w14:paraId="3CF859B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0525FA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的公式计算其得分。</w:t>
            </w:r>
          </w:p>
          <w:p w14:paraId="26E20E5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r w14:paraId="441E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2193C14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9" w:type="dxa"/>
            <w:gridSpan w:val="2"/>
            <w:vAlign w:val="center"/>
          </w:tcPr>
          <w:p w14:paraId="5B57A75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77B71D9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12CA73D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4996ACA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1D292B02">
            <w:pPr>
              <w:tabs>
                <w:tab w:val="left" w:pos="1599"/>
              </w:tabs>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tbl>
    <w:p w14:paraId="21F5A924">
      <w:pPr>
        <w:spacing w:line="360" w:lineRule="auto"/>
        <w:rPr>
          <w:rFonts w:hAnsi="宋体" w:cs="宋体"/>
          <w:szCs w:val="24"/>
          <w:highlight w:val="none"/>
        </w:rPr>
      </w:pPr>
    </w:p>
    <w:p w14:paraId="03347866">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7F6BA0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rPr>
          <w:rFonts w:hAnsi="宋体" w:cs="宋体"/>
          <w:highlight w:val="none"/>
        </w:rPr>
      </w:pPr>
    </w:p>
    <w:p w14:paraId="6071CC8A">
      <w:pPr>
        <w:pStyle w:val="17"/>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723AEA36">
      <w:pPr>
        <w:pStyle w:val="2"/>
        <w:jc w:val="center"/>
        <w:rPr>
          <w:rFonts w:ascii="宋体" w:eastAsia="宋体" w:cs="宋体"/>
          <w:bCs/>
          <w:sz w:val="36"/>
          <w:szCs w:val="36"/>
          <w:highlight w:val="none"/>
        </w:rPr>
      </w:pPr>
      <w:bookmarkStart w:id="84" w:name="_Toc11680"/>
      <w:bookmarkStart w:id="85" w:name="_Toc8788"/>
      <w:bookmarkStart w:id="86" w:name="_Toc10029"/>
      <w:r>
        <w:rPr>
          <w:rFonts w:hint="eastAsia" w:ascii="宋体" w:eastAsia="宋体" w:cs="宋体"/>
          <w:bCs/>
          <w:sz w:val="36"/>
          <w:szCs w:val="36"/>
          <w:highlight w:val="none"/>
        </w:rPr>
        <w:t>第四章  合同条款及格式</w:t>
      </w:r>
      <w:bookmarkEnd w:id="62"/>
      <w:bookmarkEnd w:id="63"/>
      <w:bookmarkEnd w:id="64"/>
      <w:bookmarkEnd w:id="84"/>
      <w:bookmarkEnd w:id="85"/>
      <w:bookmarkEnd w:id="86"/>
    </w:p>
    <w:p w14:paraId="095A0744">
      <w:pPr>
        <w:tabs>
          <w:tab w:val="left" w:pos="210"/>
          <w:tab w:val="left" w:pos="525"/>
        </w:tabs>
        <w:spacing w:line="360" w:lineRule="auto"/>
        <w:jc w:val="center"/>
        <w:outlineLvl w:val="1"/>
        <w:rPr>
          <w:rFonts w:hAnsi="宋体" w:cs="宋体"/>
          <w:sz w:val="32"/>
          <w:szCs w:val="32"/>
          <w:highlight w:val="none"/>
        </w:rPr>
      </w:pPr>
      <w:bookmarkStart w:id="87" w:name="_Toc3424"/>
      <w:bookmarkStart w:id="88" w:name="_Toc32476"/>
      <w:bookmarkStart w:id="89" w:name="_Toc24218"/>
      <w:bookmarkStart w:id="90" w:name="_Toc23705"/>
      <w:r>
        <w:rPr>
          <w:rFonts w:hint="eastAsia" w:hAnsi="宋体" w:cs="宋体"/>
          <w:b/>
          <w:bCs/>
          <w:sz w:val="32"/>
          <w:szCs w:val="32"/>
          <w:highlight w:val="none"/>
        </w:rPr>
        <w:t>合同前附表</w:t>
      </w:r>
      <w:bookmarkEnd w:id="87"/>
      <w:bookmarkEnd w:id="88"/>
      <w:bookmarkEnd w:id="89"/>
      <w:bookmarkEnd w:id="90"/>
    </w:p>
    <w:p w14:paraId="510FA7AB">
      <w:pPr>
        <w:rPr>
          <w:rFonts w:hAnsi="宋体" w:cs="宋体"/>
          <w:highlight w:val="none"/>
        </w:rPr>
      </w:pPr>
    </w:p>
    <w:p w14:paraId="5D9963BA">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spacing w:line="360" w:lineRule="auto"/>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0" w:hRule="exact"/>
        </w:trPr>
        <w:tc>
          <w:tcPr>
            <w:tcW w:w="1171" w:type="dxa"/>
            <w:vAlign w:val="center"/>
          </w:tcPr>
          <w:p w14:paraId="1A03219A">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spacing w:line="360" w:lineRule="auto"/>
              <w:rPr>
                <w:rFonts w:hint="eastAsia" w:hAnsi="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西安市军队离休退休干部管理服务中心</w:t>
            </w:r>
          </w:p>
          <w:p w14:paraId="1ADA34C7">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西安市曲江大道70号</w:t>
            </w:r>
          </w:p>
          <w:p w14:paraId="5F5A8943">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：优秀军休干部培训活动</w:t>
            </w:r>
          </w:p>
          <w:p w14:paraId="7C84C862">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w:t>
            </w:r>
            <w:r>
              <w:rPr>
                <w:rFonts w:hint="eastAsia" w:hAnsi="宋体" w:cs="宋体"/>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2" w:hRule="exact"/>
        </w:trPr>
        <w:tc>
          <w:tcPr>
            <w:tcW w:w="1171" w:type="dxa"/>
            <w:vAlign w:val="center"/>
          </w:tcPr>
          <w:p w14:paraId="4AF6431C">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14:paraId="60B44F80">
            <w:pPr>
              <w:spacing w:line="360" w:lineRule="auto"/>
              <w:rPr>
                <w:rFonts w:hint="default" w:hAnsi="宋体" w:eastAsia="宋体" w:cs="宋体"/>
                <w:szCs w:val="24"/>
                <w:highlight w:val="none"/>
                <w:lang w:val="en-US" w:eastAsia="zh-CN"/>
              </w:rPr>
            </w:pPr>
            <w:r>
              <w:rPr>
                <w:rFonts w:hint="eastAsia" w:hAnsi="宋体" w:cs="宋体"/>
                <w:szCs w:val="24"/>
                <w:highlight w:val="none"/>
                <w:lang w:val="en-US" w:eastAsia="zh-CN"/>
              </w:rPr>
              <w:t>服务期：自合同签订之日起至2025年12月31日止（如遇不可抗力因素，截止日期顺延）</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spacing w:line="360" w:lineRule="auto"/>
              <w:rPr>
                <w:rFonts w:hAnsi="宋体" w:cs="宋体"/>
                <w:b/>
                <w:sz w:val="28"/>
                <w:szCs w:val="28"/>
                <w:highlight w:val="none"/>
              </w:rPr>
            </w:pPr>
            <w:r>
              <w:rPr>
                <w:rFonts w:hint="eastAsia" w:hAnsi="宋体" w:cs="宋体"/>
                <w:b/>
                <w:sz w:val="28"/>
                <w:szCs w:val="28"/>
                <w:highlight w:val="none"/>
              </w:rPr>
              <w:t>付款：</w:t>
            </w:r>
          </w:p>
          <w:p w14:paraId="0B6246E0">
            <w:pPr>
              <w:spacing w:line="360" w:lineRule="auto"/>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531750B6">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spacing w:line="360" w:lineRule="auto"/>
              <w:ind w:firstLine="480" w:firstLineChars="200"/>
              <w:rPr>
                <w:rFonts w:hAnsi="宋体" w:cs="宋体"/>
                <w:szCs w:val="24"/>
                <w:highlight w:val="none"/>
              </w:rPr>
            </w:pPr>
            <w:r>
              <w:rPr>
                <w:rFonts w:hint="eastAsia" w:hAnsi="宋体" w:cs="宋体"/>
                <w:szCs w:val="24"/>
                <w:highlight w:val="none"/>
              </w:rPr>
              <w:t>2.2付款方式：</w:t>
            </w:r>
          </w:p>
          <w:p w14:paraId="075173F3">
            <w:pPr>
              <w:pStyle w:val="45"/>
              <w:spacing w:line="360" w:lineRule="auto"/>
              <w:rPr>
                <w:rFonts w:hint="default" w:eastAsiaTheme="minorEastAsia"/>
                <w:sz w:val="24"/>
                <w:szCs w:val="24"/>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sz w:val="24"/>
                <w:szCs w:val="24"/>
                <w:highlight w:val="none"/>
                <w:lang w:val="en-US" w:eastAsia="zh-CN"/>
              </w:rPr>
              <w:t>合同签订后5个工作日内预付合同金额的30%，项目实施阶段过半支付合同总价款的50%，最后按实际参与人数结算总价款。</w:t>
            </w:r>
          </w:p>
          <w:p w14:paraId="489DF4DE">
            <w:pPr>
              <w:spacing w:line="360" w:lineRule="auto"/>
              <w:ind w:firstLine="480" w:firstLineChars="200"/>
              <w:rPr>
                <w:rFonts w:hAnsi="宋体" w:cs="宋体"/>
                <w:szCs w:val="24"/>
                <w:highlight w:val="none"/>
              </w:rPr>
            </w:pPr>
            <w:r>
              <w:rPr>
                <w:rFonts w:hint="eastAsia" w:hAnsi="宋体" w:cs="宋体"/>
                <w:color w:val="auto"/>
                <w:sz w:val="24"/>
                <w:szCs w:val="24"/>
                <w:highlight w:val="none"/>
                <w:lang w:val="en-US" w:eastAsia="zh-CN"/>
              </w:rPr>
              <w:t>4</w:t>
            </w:r>
            <w:r>
              <w:rPr>
                <w:rFonts w:hint="eastAsia" w:hAnsi="宋体" w:cs="宋体"/>
                <w:b/>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3"/>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spacing w:line="360" w:lineRule="auto"/>
              <w:ind w:firstLine="480" w:firstLineChars="200"/>
              <w:jc w:val="left"/>
              <w:rPr>
                <w:rFonts w:hAnsi="宋体" w:cs="宋体"/>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spacing w:line="360" w:lineRule="auto"/>
              <w:rPr>
                <w:rFonts w:hAnsi="宋体" w:cs="宋体"/>
                <w:b/>
                <w:szCs w:val="24"/>
                <w:highlight w:val="none"/>
              </w:rPr>
            </w:pPr>
            <w:r>
              <w:rPr>
                <w:rFonts w:hint="eastAsia" w:hAnsi="宋体" w:cs="宋体"/>
                <w:b/>
                <w:szCs w:val="24"/>
                <w:highlight w:val="none"/>
              </w:rPr>
              <w:t>违约责任：</w:t>
            </w:r>
          </w:p>
          <w:p w14:paraId="0E8D5113">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spacing w:line="360" w:lineRule="auto"/>
              <w:rPr>
                <w:rFonts w:hAnsi="宋体" w:cs="宋体"/>
                <w:b/>
                <w:szCs w:val="24"/>
                <w:highlight w:val="none"/>
              </w:rPr>
            </w:pPr>
            <w:r>
              <w:rPr>
                <w:rFonts w:hint="eastAsia" w:hAnsi="宋体" w:cs="宋体"/>
                <w:b/>
                <w:szCs w:val="24"/>
                <w:highlight w:val="none"/>
              </w:rPr>
              <w:t>政府采购合同：</w:t>
            </w:r>
          </w:p>
          <w:p w14:paraId="3F7A36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0414D357">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14:paraId="4814AD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14:paraId="75D9ACE2">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5CB31A0">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14:paraId="5B8536F9">
            <w:pPr>
              <w:pStyle w:val="13"/>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sz w:val="32"/>
          <w:highlight w:val="none"/>
        </w:rPr>
      </w:pPr>
      <w:bookmarkStart w:id="91" w:name="_Toc31520"/>
      <w:bookmarkStart w:id="92" w:name="_Toc19246"/>
      <w:bookmarkStart w:id="93" w:name="_Toc423973075"/>
      <w:bookmarkStart w:id="94" w:name="_Toc26595"/>
      <w:bookmarkStart w:id="95" w:name="_Toc389582037"/>
      <w:bookmarkStart w:id="96" w:name="_Toc8333"/>
      <w:bookmarkStart w:id="97" w:name="_Toc4679"/>
      <w:bookmarkStart w:id="98" w:name="_Toc19199"/>
      <w:bookmarkStart w:id="99" w:name="_Toc29888"/>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outlineLvl w:val="1"/>
        <w:rPr>
          <w:rFonts w:hAnsi="宋体" w:cs="宋体"/>
          <w:b/>
          <w:sz w:val="32"/>
          <w:szCs w:val="32"/>
          <w:highlight w:val="none"/>
        </w:rPr>
      </w:pPr>
      <w:bookmarkStart w:id="100" w:name="_Toc18120"/>
      <w:bookmarkStart w:id="101" w:name="_Toc7874"/>
      <w:bookmarkStart w:id="102" w:name="_Toc5216"/>
      <w:bookmarkStart w:id="103" w:name="_Toc1362"/>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0"/>
      <w:bookmarkEnd w:id="101"/>
      <w:bookmarkEnd w:id="102"/>
      <w:bookmarkEnd w:id="103"/>
      <w:r>
        <w:rPr>
          <w:rFonts w:hint="eastAsia" w:hAnsi="宋体" w:cs="宋体"/>
          <w:b/>
          <w:sz w:val="32"/>
          <w:szCs w:val="32"/>
          <w:highlight w:val="none"/>
        </w:rPr>
        <w:t xml:space="preserve">                  </w:t>
      </w:r>
    </w:p>
    <w:p w14:paraId="4EC1B5F2">
      <w:pPr>
        <w:rPr>
          <w:rFonts w:hAnsi="宋体" w:cs="宋体"/>
          <w:b/>
          <w:sz w:val="32"/>
          <w:szCs w:val="32"/>
          <w:highlight w:val="none"/>
        </w:rPr>
      </w:pPr>
      <w:r>
        <w:rPr>
          <w:rFonts w:hint="eastAsia" w:hAnsi="宋体" w:cs="宋体"/>
          <w:b/>
          <w:sz w:val="32"/>
          <w:szCs w:val="32"/>
          <w:highlight w:val="none"/>
        </w:rPr>
        <w:t xml:space="preserve">          </w:t>
      </w:r>
    </w:p>
    <w:p w14:paraId="7249D392">
      <w:pPr>
        <w:jc w:val="center"/>
        <w:rPr>
          <w:rFonts w:hAnsi="宋体" w:cs="宋体"/>
          <w:sz w:val="52"/>
          <w:szCs w:val="52"/>
          <w:highlight w:val="none"/>
        </w:rPr>
      </w:pPr>
    </w:p>
    <w:p w14:paraId="0C9F858D">
      <w:pPr>
        <w:jc w:val="center"/>
        <w:rPr>
          <w:rFonts w:hAnsi="宋体" w:cs="宋体"/>
          <w:sz w:val="52"/>
          <w:szCs w:val="52"/>
          <w:highlight w:val="none"/>
        </w:rPr>
      </w:pPr>
    </w:p>
    <w:p w14:paraId="2DE64A04">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jc w:val="center"/>
        <w:rPr>
          <w:rFonts w:hAnsi="宋体" w:cs="宋体"/>
          <w:b/>
          <w:sz w:val="72"/>
          <w:szCs w:val="72"/>
          <w:highlight w:val="none"/>
        </w:rPr>
      </w:pPr>
      <w:r>
        <w:rPr>
          <w:rFonts w:hint="eastAsia" w:hAnsi="宋体" w:cs="宋体"/>
          <w:b/>
          <w:sz w:val="72"/>
          <w:szCs w:val="72"/>
          <w:highlight w:val="none"/>
        </w:rPr>
        <w:t>服 务 合 同</w:t>
      </w:r>
    </w:p>
    <w:p w14:paraId="59CEBD54">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jc w:val="center"/>
        <w:rPr>
          <w:rFonts w:hAnsi="宋体" w:cs="宋体"/>
          <w:sz w:val="30"/>
          <w:szCs w:val="30"/>
          <w:highlight w:val="none"/>
        </w:rPr>
      </w:pPr>
    </w:p>
    <w:p w14:paraId="5D2F4B94">
      <w:pPr>
        <w:jc w:val="center"/>
        <w:rPr>
          <w:rFonts w:hAnsi="宋体" w:cs="宋体"/>
          <w:sz w:val="30"/>
          <w:szCs w:val="30"/>
          <w:highlight w:val="none"/>
        </w:rPr>
      </w:pPr>
    </w:p>
    <w:p w14:paraId="4F4540D5">
      <w:pPr>
        <w:jc w:val="center"/>
        <w:rPr>
          <w:rFonts w:hAnsi="宋体" w:cs="宋体"/>
          <w:sz w:val="30"/>
          <w:szCs w:val="30"/>
          <w:highlight w:val="none"/>
        </w:rPr>
      </w:pPr>
    </w:p>
    <w:p w14:paraId="13CE0821">
      <w:pPr>
        <w:jc w:val="center"/>
        <w:rPr>
          <w:rFonts w:hAnsi="宋体" w:cs="宋体"/>
          <w:sz w:val="30"/>
          <w:szCs w:val="30"/>
          <w:highlight w:val="none"/>
        </w:rPr>
      </w:pPr>
    </w:p>
    <w:p w14:paraId="157DDA57">
      <w:pPr>
        <w:jc w:val="center"/>
        <w:rPr>
          <w:rFonts w:hAnsi="宋体" w:cs="宋体"/>
          <w:sz w:val="30"/>
          <w:szCs w:val="30"/>
          <w:highlight w:val="none"/>
        </w:rPr>
      </w:pPr>
    </w:p>
    <w:p w14:paraId="2DE7B2A2">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5814D07A">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47FFB743">
      <w:pPr>
        <w:jc w:val="center"/>
        <w:rPr>
          <w:rFonts w:hAnsi="宋体" w:cs="宋体"/>
          <w:sz w:val="30"/>
          <w:szCs w:val="30"/>
          <w:highlight w:val="none"/>
        </w:rPr>
      </w:pPr>
    </w:p>
    <w:p w14:paraId="2EC2C2B2">
      <w:pPr>
        <w:jc w:val="center"/>
        <w:rPr>
          <w:rFonts w:hAnsi="宋体" w:cs="宋体"/>
          <w:sz w:val="32"/>
          <w:szCs w:val="32"/>
          <w:highlight w:val="none"/>
        </w:rPr>
      </w:pPr>
      <w:r>
        <w:rPr>
          <w:rFonts w:hint="eastAsia" w:hAnsi="宋体" w:cs="宋体"/>
          <w:sz w:val="32"/>
          <w:szCs w:val="32"/>
          <w:highlight w:val="none"/>
        </w:rPr>
        <w:t xml:space="preserve">  年  月</w:t>
      </w:r>
    </w:p>
    <w:p w14:paraId="4E72E40B">
      <w:pPr>
        <w:jc w:val="center"/>
        <w:rPr>
          <w:rFonts w:hAnsi="宋体" w:cs="宋体"/>
          <w:sz w:val="32"/>
          <w:szCs w:val="32"/>
          <w:highlight w:val="none"/>
        </w:rPr>
      </w:pPr>
    </w:p>
    <w:p w14:paraId="6B02DB53">
      <w:pPr>
        <w:spacing w:line="590" w:lineRule="exact"/>
        <w:rPr>
          <w:rFonts w:hAnsi="宋体" w:cs="宋体"/>
          <w:b/>
          <w:sz w:val="36"/>
          <w:szCs w:val="36"/>
          <w:highlight w:val="none"/>
        </w:rPr>
      </w:pPr>
    </w:p>
    <w:p w14:paraId="4F457989">
      <w:pPr>
        <w:jc w:val="center"/>
        <w:outlineLvl w:val="2"/>
        <w:rPr>
          <w:rFonts w:ascii="黑体"/>
          <w:b/>
          <w:sz w:val="36"/>
          <w:szCs w:val="36"/>
          <w:highlight w:val="none"/>
        </w:rPr>
      </w:pPr>
      <w:r>
        <w:rPr>
          <w:rFonts w:hint="eastAsia" w:hAnsi="宋体" w:cs="宋体"/>
          <w:b/>
          <w:szCs w:val="21"/>
          <w:highlight w:val="none"/>
        </w:rPr>
        <w:br w:type="page"/>
      </w:r>
      <w:bookmarkStart w:id="104" w:name="_Toc7965"/>
      <w:bookmarkStart w:id="105" w:name="_Toc28398"/>
      <w:r>
        <w:rPr>
          <w:rFonts w:hint="eastAsia" w:ascii="黑体" w:eastAsia="黑体"/>
          <w:b/>
          <w:sz w:val="36"/>
          <w:szCs w:val="36"/>
          <w:highlight w:val="none"/>
        </w:rPr>
        <w:t>协 议 书</w:t>
      </w:r>
      <w:bookmarkEnd w:id="104"/>
      <w:bookmarkEnd w:id="105"/>
    </w:p>
    <w:p w14:paraId="7EFE1ABC">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14:paraId="114050B6">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14:paraId="7B813F82">
      <w:pPr>
        <w:spacing w:line="360" w:lineRule="auto"/>
        <w:ind w:firstLine="480" w:firstLineChars="200"/>
        <w:rPr>
          <w:rFonts w:hAnsi="宋体" w:cs="宋体"/>
          <w:szCs w:val="21"/>
          <w:highlight w:val="none"/>
        </w:rPr>
      </w:pPr>
      <w:r>
        <w:rPr>
          <w:rFonts w:hint="eastAsia" w:hAnsi="宋体" w:cs="宋体"/>
          <w:szCs w:val="21"/>
          <w:highlight w:val="none"/>
        </w:rPr>
        <w:t>根据《</w:t>
      </w:r>
      <w:r>
        <w:rPr>
          <w:rFonts w:hint="eastAsia" w:hAnsi="宋体" w:cs="宋体"/>
          <w:szCs w:val="24"/>
          <w:highlight w:val="none"/>
        </w:rPr>
        <w:t>中华人民共和国民法典</w:t>
      </w:r>
      <w:r>
        <w:rPr>
          <w:rFonts w:hint="eastAsia" w:hAnsi="宋体" w:cs="宋体"/>
          <w:szCs w:val="21"/>
          <w:highlight w:val="none"/>
        </w:rPr>
        <w:t>》、《中华人民共和国政府采购法》与项目行业有关的法律法规，以及本项目（</w:t>
      </w:r>
      <w:r>
        <w:rPr>
          <w:rFonts w:hint="eastAsia" w:hAnsi="宋体" w:cs="宋体"/>
          <w:szCs w:val="21"/>
          <w:highlight w:val="none"/>
          <w:u w:val="single"/>
          <w:lang w:eastAsia="zh-CN"/>
        </w:rPr>
        <w:t>优秀军休干部培训活动</w:t>
      </w:r>
      <w:r>
        <w:rPr>
          <w:rFonts w:hint="eastAsia" w:hAnsi="宋体" w:cs="宋体"/>
          <w:szCs w:val="21"/>
          <w:highlight w:val="none"/>
        </w:rPr>
        <w:t>）相关采购要求的规定，合同双方就乙方向采购方提供</w:t>
      </w:r>
      <w:r>
        <w:rPr>
          <w:rFonts w:hint="eastAsia" w:hAnsi="宋体" w:cs="宋体"/>
          <w:szCs w:val="21"/>
          <w:highlight w:val="none"/>
          <w:u w:val="single"/>
          <w:lang w:eastAsia="zh-CN"/>
        </w:rPr>
        <w:t>优秀军休干部培训活动</w:t>
      </w:r>
      <w:r>
        <w:rPr>
          <w:rFonts w:hint="eastAsia" w:hAnsi="宋体" w:cs="宋体"/>
          <w:szCs w:val="21"/>
          <w:highlight w:val="none"/>
        </w:rPr>
        <w:t>协商达成一致，确立本合同。</w:t>
      </w:r>
    </w:p>
    <w:p w14:paraId="4A61F5BE">
      <w:pPr>
        <w:tabs>
          <w:tab w:val="left" w:pos="480"/>
        </w:tabs>
        <w:spacing w:line="360" w:lineRule="auto"/>
        <w:outlineLvl w:val="1"/>
        <w:rPr>
          <w:rFonts w:hAnsi="宋体" w:cs="宋体"/>
          <w:b/>
          <w:szCs w:val="21"/>
          <w:highlight w:val="none"/>
        </w:rPr>
      </w:pPr>
      <w:bookmarkStart w:id="106" w:name="_Toc30883"/>
      <w:bookmarkStart w:id="107" w:name="_Toc8841"/>
      <w:bookmarkStart w:id="108" w:name="_Toc7407"/>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6"/>
      <w:bookmarkEnd w:id="107"/>
      <w:bookmarkEnd w:id="108"/>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147"/>
        <w:gridCol w:w="1644"/>
        <w:gridCol w:w="3066"/>
        <w:gridCol w:w="1268"/>
      </w:tblGrid>
      <w:tr w14:paraId="155E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9412B01">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128" w:type="pct"/>
            <w:tcBorders>
              <w:top w:val="single" w:color="auto" w:sz="4" w:space="0"/>
              <w:left w:val="single" w:color="auto" w:sz="4" w:space="0"/>
              <w:bottom w:val="single" w:color="auto" w:sz="4" w:space="0"/>
              <w:right w:val="single" w:color="auto" w:sz="4" w:space="0"/>
            </w:tcBorders>
            <w:vAlign w:val="center"/>
          </w:tcPr>
          <w:p w14:paraId="21B18831">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864" w:type="pct"/>
            <w:tcBorders>
              <w:top w:val="single" w:color="auto" w:sz="4" w:space="0"/>
              <w:left w:val="single" w:color="auto" w:sz="4" w:space="0"/>
              <w:bottom w:val="single" w:color="auto" w:sz="4" w:space="0"/>
              <w:right w:val="single" w:color="auto" w:sz="4" w:space="0"/>
            </w:tcBorders>
            <w:vAlign w:val="center"/>
          </w:tcPr>
          <w:p w14:paraId="7382D025">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1611" w:type="pct"/>
            <w:tcBorders>
              <w:top w:val="single" w:color="auto" w:sz="4" w:space="0"/>
              <w:left w:val="single" w:color="auto" w:sz="4" w:space="0"/>
              <w:bottom w:val="single" w:color="auto" w:sz="4" w:space="0"/>
              <w:right w:val="single" w:color="auto" w:sz="4" w:space="0"/>
            </w:tcBorders>
            <w:vAlign w:val="center"/>
          </w:tcPr>
          <w:p w14:paraId="13CEF92B">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666" w:type="pct"/>
            <w:tcBorders>
              <w:top w:val="single" w:color="auto" w:sz="4" w:space="0"/>
              <w:left w:val="single" w:color="auto" w:sz="4" w:space="0"/>
              <w:bottom w:val="single" w:color="auto" w:sz="4" w:space="0"/>
              <w:right w:val="single" w:color="auto" w:sz="4" w:space="0"/>
            </w:tcBorders>
            <w:vAlign w:val="center"/>
          </w:tcPr>
          <w:p w14:paraId="78F849D1">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14:paraId="1DF2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076D4C4">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128" w:type="pct"/>
            <w:tcBorders>
              <w:top w:val="single" w:color="auto" w:sz="4" w:space="0"/>
              <w:left w:val="single" w:color="auto" w:sz="4" w:space="0"/>
              <w:bottom w:val="single" w:color="auto" w:sz="4" w:space="0"/>
              <w:right w:val="single" w:color="auto" w:sz="4" w:space="0"/>
            </w:tcBorders>
            <w:vAlign w:val="center"/>
          </w:tcPr>
          <w:p w14:paraId="7C225D72">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1D5DE34A">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1C9C3638">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46D5D466">
            <w:pPr>
              <w:tabs>
                <w:tab w:val="left" w:pos="480"/>
              </w:tabs>
              <w:spacing w:line="396" w:lineRule="exact"/>
              <w:jc w:val="center"/>
              <w:rPr>
                <w:rFonts w:hAnsi="宋体" w:cs="宋体"/>
                <w:szCs w:val="21"/>
                <w:highlight w:val="none"/>
              </w:rPr>
            </w:pPr>
          </w:p>
        </w:tc>
      </w:tr>
      <w:tr w14:paraId="5211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35AF07B">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128" w:type="pct"/>
            <w:tcBorders>
              <w:top w:val="single" w:color="auto" w:sz="4" w:space="0"/>
              <w:left w:val="single" w:color="auto" w:sz="4" w:space="0"/>
              <w:bottom w:val="single" w:color="auto" w:sz="4" w:space="0"/>
              <w:right w:val="single" w:color="auto" w:sz="4" w:space="0"/>
            </w:tcBorders>
            <w:vAlign w:val="center"/>
          </w:tcPr>
          <w:p w14:paraId="1866D5A0">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2B9ACB66">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24516946">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6EF1C4E">
            <w:pPr>
              <w:tabs>
                <w:tab w:val="left" w:pos="480"/>
              </w:tabs>
              <w:spacing w:line="396" w:lineRule="exact"/>
              <w:jc w:val="center"/>
              <w:rPr>
                <w:rFonts w:hAnsi="宋体" w:cs="宋体"/>
                <w:szCs w:val="21"/>
                <w:highlight w:val="none"/>
              </w:rPr>
            </w:pPr>
          </w:p>
        </w:tc>
      </w:tr>
    </w:tbl>
    <w:p w14:paraId="5E9622C0">
      <w:pPr>
        <w:tabs>
          <w:tab w:val="left" w:pos="480"/>
        </w:tabs>
        <w:spacing w:line="360" w:lineRule="auto"/>
        <w:outlineLvl w:val="1"/>
        <w:rPr>
          <w:rFonts w:hAnsi="宋体" w:cs="宋体"/>
          <w:b/>
          <w:szCs w:val="21"/>
          <w:highlight w:val="none"/>
        </w:rPr>
      </w:pPr>
      <w:bookmarkStart w:id="109" w:name="_Toc8887"/>
      <w:bookmarkStart w:id="110" w:name="_Toc3926"/>
      <w:bookmarkStart w:id="111" w:name="_Toc4137"/>
      <w:r>
        <w:rPr>
          <w:rFonts w:hint="eastAsia" w:hAnsi="宋体" w:cs="宋体"/>
          <w:b/>
          <w:szCs w:val="21"/>
          <w:highlight w:val="none"/>
        </w:rPr>
        <w:t>二、合同价款</w:t>
      </w:r>
      <w:bookmarkEnd w:id="109"/>
      <w:bookmarkEnd w:id="110"/>
      <w:bookmarkEnd w:id="111"/>
    </w:p>
    <w:p w14:paraId="14161911">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14:paraId="6E1656BF">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包括但不限于人工费、服务费、交通费、招标代理服务费、税金等其他一切相关费用。</w:t>
      </w:r>
    </w:p>
    <w:p w14:paraId="55A1FDD3">
      <w:pPr>
        <w:tabs>
          <w:tab w:val="left" w:pos="480"/>
        </w:tabs>
        <w:spacing w:line="360" w:lineRule="auto"/>
        <w:outlineLvl w:val="1"/>
        <w:rPr>
          <w:rFonts w:hAnsi="宋体" w:cs="宋体"/>
          <w:b/>
          <w:szCs w:val="21"/>
          <w:highlight w:val="none"/>
        </w:rPr>
      </w:pPr>
      <w:bookmarkStart w:id="112" w:name="_Toc23247"/>
      <w:bookmarkStart w:id="113" w:name="_Toc6296"/>
      <w:bookmarkStart w:id="114" w:name="_Toc28664"/>
      <w:r>
        <w:rPr>
          <w:rFonts w:hint="eastAsia" w:hAnsi="宋体" w:cs="宋体"/>
          <w:b/>
          <w:szCs w:val="21"/>
          <w:highlight w:val="none"/>
        </w:rPr>
        <w:t>三、款项结算</w:t>
      </w:r>
      <w:bookmarkEnd w:id="112"/>
      <w:bookmarkEnd w:id="113"/>
      <w:bookmarkEnd w:id="114"/>
    </w:p>
    <w:p w14:paraId="7539C7E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14:paraId="5F692D8F">
      <w:pPr>
        <w:tabs>
          <w:tab w:val="left" w:pos="480"/>
        </w:tabs>
        <w:spacing w:line="360" w:lineRule="auto"/>
        <w:outlineLvl w:val="1"/>
        <w:rPr>
          <w:rFonts w:hAnsi="宋体" w:cs="宋体"/>
          <w:szCs w:val="21"/>
          <w:highlight w:val="none"/>
        </w:rPr>
      </w:pPr>
      <w:bookmarkStart w:id="115" w:name="_Toc24406"/>
      <w:bookmarkStart w:id="116" w:name="_Toc21110"/>
      <w:bookmarkStart w:id="117" w:name="_Toc21714"/>
      <w:r>
        <w:rPr>
          <w:rFonts w:hint="eastAsia" w:hAnsi="宋体" w:cs="宋体"/>
          <w:b/>
          <w:szCs w:val="21"/>
          <w:highlight w:val="none"/>
        </w:rPr>
        <w:t>四、服务条件：</w:t>
      </w:r>
      <w:bookmarkEnd w:id="115"/>
      <w:bookmarkEnd w:id="116"/>
      <w:bookmarkEnd w:id="117"/>
    </w:p>
    <w:p w14:paraId="27585DD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w:t>
      </w:r>
      <w:r>
        <w:rPr>
          <w:rFonts w:hint="eastAsia" w:hAnsi="宋体" w:cs="宋体"/>
          <w:color w:val="auto"/>
          <w:sz w:val="24"/>
          <w:szCs w:val="24"/>
          <w:highlight w:val="none"/>
          <w:lang w:val="en-US" w:eastAsia="zh-CN"/>
        </w:rPr>
        <w:t>采购人指定地点</w:t>
      </w:r>
      <w:r>
        <w:rPr>
          <w:rFonts w:hint="eastAsia" w:hAnsi="宋体" w:cs="宋体"/>
          <w:szCs w:val="21"/>
          <w:highlight w:val="none"/>
        </w:rPr>
        <w:t>。</w:t>
      </w:r>
    </w:p>
    <w:p w14:paraId="3466A723">
      <w:pPr>
        <w:tabs>
          <w:tab w:val="left" w:pos="480"/>
        </w:tabs>
        <w:spacing w:line="360" w:lineRule="auto"/>
        <w:ind w:firstLine="480" w:firstLineChars="200"/>
        <w:rPr>
          <w:rFonts w:hint="default" w:hAnsi="宋体" w:cs="宋体"/>
          <w:b w:val="0"/>
          <w:bCs w:val="0"/>
          <w:szCs w:val="21"/>
          <w:highlight w:val="none"/>
          <w:u w:val="none"/>
          <w:lang w:val="en-US" w:eastAsia="zh-CN"/>
        </w:rPr>
      </w:pPr>
      <w:r>
        <w:rPr>
          <w:rFonts w:hint="eastAsia" w:hAnsi="宋体" w:cs="宋体"/>
          <w:szCs w:val="21"/>
          <w:highlight w:val="none"/>
        </w:rPr>
        <w:t>（二）</w:t>
      </w:r>
      <w:r>
        <w:rPr>
          <w:rFonts w:hint="eastAsia" w:hAnsi="宋体" w:cs="宋体"/>
          <w:szCs w:val="21"/>
          <w:highlight w:val="none"/>
          <w:lang w:val="en-US" w:eastAsia="zh-CN"/>
        </w:rPr>
        <w:t>服务期：</w:t>
      </w:r>
      <w:r>
        <w:rPr>
          <w:rFonts w:hint="eastAsia" w:hAnsi="宋体" w:cs="宋体"/>
          <w:szCs w:val="21"/>
          <w:highlight w:val="none"/>
          <w:u w:val="single"/>
          <w:lang w:val="en-US" w:eastAsia="zh-CN"/>
        </w:rPr>
        <w:t xml:space="preserve">              </w:t>
      </w:r>
      <w:r>
        <w:rPr>
          <w:rFonts w:hint="eastAsia" w:hAnsi="宋体" w:cs="宋体"/>
          <w:szCs w:val="21"/>
          <w:highlight w:val="none"/>
          <w:u w:val="none"/>
          <w:lang w:val="en-US" w:eastAsia="zh-CN"/>
        </w:rPr>
        <w:t>。</w:t>
      </w:r>
    </w:p>
    <w:p w14:paraId="7ED18AC9">
      <w:pPr>
        <w:tabs>
          <w:tab w:val="left" w:pos="480"/>
        </w:tabs>
        <w:spacing w:line="360" w:lineRule="auto"/>
        <w:outlineLvl w:val="1"/>
        <w:rPr>
          <w:rFonts w:hAnsi="宋体" w:cs="宋体"/>
          <w:b/>
          <w:szCs w:val="21"/>
          <w:highlight w:val="none"/>
        </w:rPr>
      </w:pPr>
      <w:bookmarkStart w:id="118" w:name="_Toc27382"/>
      <w:bookmarkStart w:id="119" w:name="_Toc7966"/>
      <w:bookmarkStart w:id="120" w:name="_Toc32459"/>
      <w:bookmarkStart w:id="121" w:name="_Toc27523"/>
      <w:bookmarkStart w:id="122" w:name="_Toc13662"/>
      <w:bookmarkStart w:id="123" w:name="_Toc15856"/>
      <w:bookmarkStart w:id="124" w:name="_Toc4254"/>
      <w:bookmarkStart w:id="125" w:name="_Toc1119"/>
      <w:bookmarkStart w:id="126" w:name="_Toc24914"/>
      <w:r>
        <w:rPr>
          <w:rFonts w:hint="eastAsia" w:hAnsi="宋体" w:cs="宋体"/>
          <w:b/>
          <w:szCs w:val="21"/>
          <w:highlight w:val="none"/>
        </w:rPr>
        <w:t>五、质量保证</w:t>
      </w:r>
      <w:bookmarkEnd w:id="118"/>
      <w:bookmarkEnd w:id="119"/>
      <w:bookmarkEnd w:id="120"/>
    </w:p>
    <w:p w14:paraId="24368E95">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1.乙方所提供的服务保证技术指标符合要求、质量性能可靠、必须符合国家相关法律法规的要求。</w:t>
      </w:r>
    </w:p>
    <w:p w14:paraId="36D30F52">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2、成交单位应当保证其具有完成本项目所要求的服务所必须具备的专业设备和服务能力。</w:t>
      </w:r>
    </w:p>
    <w:p w14:paraId="53E9C30E">
      <w:pPr>
        <w:tabs>
          <w:tab w:val="left" w:pos="480"/>
        </w:tabs>
        <w:spacing w:line="360" w:lineRule="auto"/>
        <w:outlineLvl w:val="1"/>
        <w:rPr>
          <w:rFonts w:hAnsi="宋体" w:cs="宋体"/>
          <w:b/>
          <w:szCs w:val="21"/>
          <w:highlight w:val="none"/>
        </w:rPr>
      </w:pPr>
      <w:bookmarkStart w:id="127" w:name="_Toc12975"/>
      <w:bookmarkStart w:id="128" w:name="_Toc14409"/>
      <w:bookmarkStart w:id="129" w:name="_Toc22161"/>
      <w:r>
        <w:rPr>
          <w:rFonts w:hint="eastAsia" w:hAnsi="宋体" w:cs="宋体"/>
          <w:b/>
          <w:szCs w:val="21"/>
          <w:highlight w:val="none"/>
          <w:lang w:val="en-US" w:eastAsia="zh-CN"/>
        </w:rPr>
        <w:t>六</w:t>
      </w:r>
      <w:r>
        <w:rPr>
          <w:rFonts w:hint="eastAsia" w:hAnsi="宋体" w:cs="宋体"/>
          <w:b/>
          <w:szCs w:val="21"/>
          <w:highlight w:val="none"/>
        </w:rPr>
        <w:t>、验收</w:t>
      </w:r>
      <w:bookmarkEnd w:id="127"/>
      <w:bookmarkEnd w:id="128"/>
      <w:bookmarkEnd w:id="129"/>
    </w:p>
    <w:p w14:paraId="0167120B">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DB78F39">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14:paraId="6442EBC7">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bookmarkEnd w:id="121"/>
    <w:bookmarkEnd w:id="122"/>
    <w:bookmarkEnd w:id="123"/>
    <w:p w14:paraId="20853328">
      <w:pPr>
        <w:tabs>
          <w:tab w:val="left" w:pos="480"/>
        </w:tabs>
        <w:spacing w:line="360" w:lineRule="auto"/>
        <w:outlineLvl w:val="1"/>
        <w:rPr>
          <w:rFonts w:hAnsi="宋体" w:cs="宋体"/>
          <w:b/>
          <w:szCs w:val="21"/>
          <w:highlight w:val="none"/>
        </w:rPr>
      </w:pPr>
      <w:bookmarkStart w:id="130" w:name="_Toc9858"/>
      <w:bookmarkStart w:id="131" w:name="_Toc30681"/>
      <w:bookmarkStart w:id="132" w:name="_Toc20026"/>
      <w:r>
        <w:rPr>
          <w:rFonts w:hint="eastAsia" w:hAnsi="宋体" w:cs="宋体"/>
          <w:b/>
          <w:szCs w:val="21"/>
          <w:highlight w:val="none"/>
          <w:lang w:val="en-US" w:eastAsia="zh-CN"/>
        </w:rPr>
        <w:t>七</w:t>
      </w:r>
      <w:r>
        <w:rPr>
          <w:rFonts w:hint="eastAsia" w:hAnsi="宋体" w:cs="宋体"/>
          <w:b/>
          <w:szCs w:val="21"/>
          <w:highlight w:val="none"/>
        </w:rPr>
        <w:t>、违约责任</w:t>
      </w:r>
      <w:bookmarkEnd w:id="130"/>
      <w:bookmarkEnd w:id="131"/>
      <w:bookmarkEnd w:id="132"/>
    </w:p>
    <w:p w14:paraId="73DDC8B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42EC96F2">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1"/>
          <w:highlight w:val="none"/>
        </w:rPr>
        <w:fldChar w:fldCharType="begin"/>
      </w:r>
      <w:r>
        <w:rPr>
          <w:rFonts w:hint="eastAsia" w:hAnsi="宋体" w:cs="宋体"/>
          <w:szCs w:val="21"/>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1"/>
          <w:highlight w:val="none"/>
        </w:rPr>
        <w:fldChar w:fldCharType="separate"/>
      </w:r>
      <w:r>
        <w:rPr>
          <w:rFonts w:hint="eastAsia" w:hAnsi="宋体" w:cs="宋体"/>
          <w:szCs w:val="21"/>
          <w:highlight w:val="none"/>
        </w:rPr>
        <w:t>中华人民共和国政府采购法</w:t>
      </w:r>
      <w:r>
        <w:rPr>
          <w:rFonts w:hint="eastAsia" w:hAnsi="宋体" w:cs="宋体"/>
          <w:szCs w:val="21"/>
          <w:highlight w:val="none"/>
        </w:rPr>
        <w:fldChar w:fldCharType="end"/>
      </w:r>
      <w:r>
        <w:rPr>
          <w:rFonts w:hint="eastAsia" w:hAnsi="宋体" w:cs="宋体"/>
          <w:szCs w:val="21"/>
          <w:highlight w:val="none"/>
        </w:rPr>
        <w:t>》及相关法律法规对服务商的违法行为进行相应的处罚。</w:t>
      </w:r>
    </w:p>
    <w:p w14:paraId="7586417F">
      <w:pPr>
        <w:tabs>
          <w:tab w:val="left" w:pos="480"/>
        </w:tabs>
        <w:spacing w:line="360" w:lineRule="auto"/>
        <w:outlineLvl w:val="1"/>
        <w:rPr>
          <w:rFonts w:hAnsi="宋体" w:cs="宋体"/>
          <w:b/>
          <w:szCs w:val="21"/>
          <w:highlight w:val="none"/>
        </w:rPr>
      </w:pPr>
      <w:r>
        <w:rPr>
          <w:rFonts w:hint="eastAsia" w:hAnsi="宋体" w:cs="宋体"/>
          <w:b/>
          <w:szCs w:val="21"/>
          <w:highlight w:val="none"/>
          <w:lang w:val="en-US" w:eastAsia="zh-CN"/>
        </w:rPr>
        <w:t>八</w:t>
      </w:r>
      <w:r>
        <w:rPr>
          <w:rFonts w:hint="eastAsia" w:hAnsi="宋体" w:cs="宋体"/>
          <w:b/>
          <w:szCs w:val="21"/>
          <w:highlight w:val="none"/>
        </w:rPr>
        <w:t>、合同争议解决的方式</w:t>
      </w:r>
    </w:p>
    <w:p w14:paraId="73B753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本合同在履行过程中发生的争议，由甲、乙双方当事人协商解决，协商不成的按下列第种方式解决：</w:t>
      </w:r>
    </w:p>
    <w:p w14:paraId="13324C4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（一）提交仲裁委员会仲裁；</w:t>
      </w:r>
    </w:p>
    <w:p w14:paraId="01AF5A6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（二）依法向 所在地人民法院起诉。</w:t>
      </w:r>
    </w:p>
    <w:p w14:paraId="4167BC19">
      <w:pPr>
        <w:tabs>
          <w:tab w:val="left" w:pos="480"/>
        </w:tabs>
        <w:spacing w:line="360" w:lineRule="auto"/>
        <w:outlineLvl w:val="1"/>
        <w:rPr>
          <w:rFonts w:hAnsi="宋体" w:cs="宋体"/>
          <w:b/>
          <w:szCs w:val="21"/>
          <w:highlight w:val="none"/>
        </w:rPr>
      </w:pPr>
      <w:bookmarkStart w:id="133" w:name="_Toc2858"/>
      <w:bookmarkStart w:id="134" w:name="_Toc18389"/>
      <w:bookmarkStart w:id="135" w:name="_Toc7342"/>
      <w:r>
        <w:rPr>
          <w:rFonts w:hint="eastAsia" w:hAnsi="宋体" w:cs="宋体"/>
          <w:b/>
          <w:szCs w:val="21"/>
          <w:highlight w:val="none"/>
          <w:lang w:val="en-US" w:eastAsia="zh-CN"/>
        </w:rPr>
        <w:t>九</w:t>
      </w:r>
      <w:r>
        <w:rPr>
          <w:rFonts w:hint="eastAsia" w:hAnsi="宋体" w:cs="宋体"/>
          <w:b/>
          <w:szCs w:val="21"/>
          <w:highlight w:val="none"/>
        </w:rPr>
        <w:t>、合同生效</w:t>
      </w:r>
      <w:bookmarkEnd w:id="133"/>
      <w:bookmarkEnd w:id="134"/>
      <w:bookmarkEnd w:id="135"/>
    </w:p>
    <w:p w14:paraId="008E11C5">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本合同一式份，甲方执份，乙方执份，本合同甲、乙、确认各方签字盖章后生效，合同执行完毕后，自动失效（合同的服务承诺则长期有效）。</w:t>
      </w:r>
    </w:p>
    <w:p w14:paraId="6C1CADE4">
      <w:pPr>
        <w:tabs>
          <w:tab w:val="left" w:pos="480"/>
        </w:tabs>
        <w:spacing w:line="360" w:lineRule="auto"/>
        <w:outlineLvl w:val="1"/>
        <w:rPr>
          <w:rFonts w:hAnsi="宋体" w:cs="宋体"/>
          <w:b/>
          <w:szCs w:val="21"/>
          <w:highlight w:val="none"/>
        </w:rPr>
      </w:pPr>
      <w:bookmarkStart w:id="136" w:name="_Toc18381"/>
      <w:bookmarkStart w:id="137" w:name="_Toc823"/>
      <w:bookmarkStart w:id="138" w:name="_Toc18225"/>
      <w:r>
        <w:rPr>
          <w:rFonts w:hint="eastAsia" w:hAnsi="宋体" w:cs="宋体"/>
          <w:b/>
          <w:szCs w:val="21"/>
          <w:highlight w:val="none"/>
        </w:rPr>
        <w:t>十、其他事项</w:t>
      </w:r>
      <w:bookmarkEnd w:id="136"/>
      <w:bookmarkEnd w:id="137"/>
      <w:bookmarkEnd w:id="138"/>
    </w:p>
    <w:p w14:paraId="56BA68F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14:paraId="53CE4900">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14:paraId="4809651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14:paraId="2A3DB0D9">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14:paraId="34F505C9">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11EA7EE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14:paraId="60CBBD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14:paraId="6F0008C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14:paraId="6F99272B">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14:paraId="26BBB1C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14:paraId="33BB447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14:paraId="78E0737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14:paraId="5282F791">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14:paraId="1CC8C25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14:paraId="589957C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14:paraId="46C2B1AA">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jc w:val="center"/>
        <w:rPr>
          <w:rFonts w:ascii="宋体" w:eastAsia="宋体" w:cs="宋体"/>
          <w:bCs/>
          <w:sz w:val="36"/>
          <w:szCs w:val="36"/>
          <w:highlight w:val="none"/>
        </w:rPr>
      </w:pPr>
      <w:r>
        <w:rPr>
          <w:rFonts w:hint="eastAsia" w:asci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eastAsia="宋体" w:cs="宋体"/>
          <w:bCs/>
          <w:sz w:val="36"/>
          <w:szCs w:val="36"/>
          <w:highlight w:val="none"/>
        </w:rPr>
        <w:t xml:space="preserve"> 磋商内容及技术要求</w:t>
      </w:r>
      <w:bookmarkEnd w:id="124"/>
      <w:bookmarkEnd w:id="125"/>
      <w:bookmarkEnd w:id="126"/>
    </w:p>
    <w:bookmarkEnd w:id="61"/>
    <w:p w14:paraId="7762949E">
      <w:pPr>
        <w:autoSpaceDE w:val="0"/>
        <w:autoSpaceDN w:val="0"/>
        <w:adjustRightInd w:val="0"/>
        <w:spacing w:line="360" w:lineRule="auto"/>
        <w:rPr>
          <w:rFonts w:ascii="宋体" w:hAnsi="宋体"/>
          <w:b/>
          <w:bCs/>
          <w:sz w:val="24"/>
          <w:szCs w:val="24"/>
          <w:highlight w:val="none"/>
        </w:rPr>
      </w:pPr>
      <w:bookmarkStart w:id="139" w:name="_Toc403077646"/>
      <w:bookmarkStart w:id="140" w:name="_Toc6373"/>
      <w:bookmarkStart w:id="141" w:name="_Toc363474025"/>
      <w:bookmarkStart w:id="142" w:name="_Toc5084"/>
      <w:bookmarkStart w:id="143" w:name="_Toc423973079"/>
      <w:bookmarkStart w:id="144" w:name="_Toc2750"/>
      <w:r>
        <w:rPr>
          <w:rFonts w:hint="eastAsia" w:ascii="宋体" w:hAnsi="宋体"/>
          <w:b/>
          <w:bCs/>
          <w:sz w:val="24"/>
          <w:szCs w:val="24"/>
          <w:highlight w:val="none"/>
        </w:rPr>
        <w:t>一、项目概况</w:t>
      </w:r>
    </w:p>
    <w:p w14:paraId="4762FC98">
      <w:pPr>
        <w:spacing w:line="360" w:lineRule="auto"/>
        <w:ind w:firstLine="480" w:firstLineChars="200"/>
        <w:rPr>
          <w:rFonts w:hint="eastAsia" w:ascii="宋体" w:hAnsi="宋体"/>
          <w:sz w:val="24"/>
          <w:szCs w:val="24"/>
          <w:highlight w:val="none"/>
        </w:rPr>
      </w:pPr>
      <w:bookmarkStart w:id="145" w:name="OLE_LINK11"/>
      <w:r>
        <w:rPr>
          <w:rFonts w:hint="eastAsia" w:ascii="宋体" w:hAnsi="宋体"/>
          <w:sz w:val="24"/>
          <w:szCs w:val="24"/>
          <w:highlight w:val="none"/>
        </w:rPr>
        <w:t>开展优秀军休干部培训活动，是深入贯彻落实习近平总书记关于退役军人工作的重要指示的具体举措，是实现“离岗不离党、退休不褪色”的深层目标和现实要求，也是为新时代退役军人工作高质量发展提供核心支撑，旨在通过追溯红色基因、探寻红色足迹、开展专题培训等活动，强化军休干部“离岗不离党”的政治本色，激励军休干部赓续革命精神，确保其始终与党中央保持一致，维护促进军休队伍和谐稳定。</w:t>
      </w:r>
      <w:bookmarkEnd w:id="145"/>
      <w:bookmarkStart w:id="146" w:name="OLE_LINK8"/>
    </w:p>
    <w:p w14:paraId="582A65F3">
      <w:pPr>
        <w:spacing w:line="360" w:lineRule="auto"/>
        <w:ind w:firstLine="482" w:firstLineChars="200"/>
        <w:rPr>
          <w:rFonts w:ascii="宋体" w:hAnsi="宋体"/>
          <w:b/>
          <w:bCs/>
          <w:sz w:val="24"/>
          <w:szCs w:val="24"/>
          <w:highlight w:val="none"/>
        </w:rPr>
      </w:pPr>
      <w:r>
        <w:rPr>
          <w:rFonts w:hint="eastAsia" w:ascii="宋体" w:hAnsi="宋体"/>
          <w:b/>
          <w:sz w:val="24"/>
          <w:szCs w:val="24"/>
          <w:highlight w:val="none"/>
        </w:rPr>
        <w:t>二、</w:t>
      </w:r>
      <w:r>
        <w:rPr>
          <w:rFonts w:hint="eastAsia" w:ascii="宋体" w:hAnsi="宋体"/>
          <w:b/>
          <w:bCs/>
          <w:sz w:val="24"/>
          <w:szCs w:val="24"/>
          <w:highlight w:val="none"/>
        </w:rPr>
        <w:t>活动路线及价格</w:t>
      </w:r>
    </w:p>
    <w:tbl>
      <w:tblPr>
        <w:tblStyle w:val="22"/>
        <w:tblW w:w="5000" w:type="pct"/>
        <w:tblInd w:w="0" w:type="dxa"/>
        <w:tblLayout w:type="fixed"/>
        <w:tblCellMar>
          <w:top w:w="0" w:type="dxa"/>
          <w:left w:w="108" w:type="dxa"/>
          <w:bottom w:w="0" w:type="dxa"/>
          <w:right w:w="108" w:type="dxa"/>
        </w:tblCellMar>
      </w:tblPr>
      <w:tblGrid>
        <w:gridCol w:w="829"/>
        <w:gridCol w:w="817"/>
        <w:gridCol w:w="783"/>
        <w:gridCol w:w="5650"/>
        <w:gridCol w:w="1435"/>
      </w:tblGrid>
      <w:tr w14:paraId="4675E760">
        <w:tblPrEx>
          <w:tblCellMar>
            <w:top w:w="0" w:type="dxa"/>
            <w:left w:w="108" w:type="dxa"/>
            <w:bottom w:w="0" w:type="dxa"/>
            <w:right w:w="108" w:type="dxa"/>
          </w:tblCellMar>
        </w:tblPrEx>
        <w:trPr>
          <w:trHeight w:val="640"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14:paraId="6121EE06">
            <w:pPr>
              <w:widowControl/>
              <w:spacing w:line="360" w:lineRule="auto"/>
              <w:jc w:val="center"/>
              <w:textAlignment w:val="center"/>
              <w:rPr>
                <w:rFonts w:ascii="宋体" w:hAnsi="宋体" w:cs="宋体"/>
                <w:color w:val="000000"/>
                <w:sz w:val="24"/>
                <w:szCs w:val="24"/>
                <w:highlight w:val="none"/>
              </w:rPr>
            </w:pPr>
            <w:bookmarkStart w:id="147" w:name="OLE_LINK24"/>
            <w:bookmarkStart w:id="148" w:name="OLE_LINK23"/>
            <w:r>
              <w:rPr>
                <w:rFonts w:hint="eastAsia" w:ascii="宋体" w:hAnsi="宋体" w:cs="宋体"/>
                <w:color w:val="000000"/>
                <w:sz w:val="24"/>
                <w:szCs w:val="24"/>
                <w:highlight w:val="none"/>
              </w:rPr>
              <w:t>线路</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0C7412A">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天数</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63F48DCF">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交通</w:t>
            </w:r>
          </w:p>
        </w:tc>
        <w:tc>
          <w:tcPr>
            <w:tcW w:w="2969" w:type="pct"/>
            <w:tcBorders>
              <w:top w:val="single" w:color="000000" w:sz="4" w:space="0"/>
              <w:left w:val="single" w:color="000000" w:sz="4" w:space="0"/>
              <w:bottom w:val="single" w:color="000000" w:sz="4" w:space="0"/>
              <w:right w:val="single" w:color="000000" w:sz="4" w:space="0"/>
            </w:tcBorders>
            <w:noWrap/>
            <w:vAlign w:val="center"/>
          </w:tcPr>
          <w:p w14:paraId="05164DEA">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内容</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0ED2A303">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val="en-US" w:eastAsia="zh-CN"/>
              </w:rPr>
              <w:t>单价限价</w:t>
            </w:r>
            <w:r>
              <w:rPr>
                <w:rFonts w:hint="eastAsia" w:ascii="宋体" w:hAnsi="宋体" w:cs="宋体"/>
                <w:color w:val="000000"/>
                <w:kern w:val="0"/>
                <w:sz w:val="24"/>
                <w:szCs w:val="24"/>
                <w:highlight w:val="none"/>
              </w:rPr>
              <w:t>（元/人）</w:t>
            </w:r>
          </w:p>
        </w:tc>
      </w:tr>
      <w:tr w14:paraId="5016F83E">
        <w:tblPrEx>
          <w:tblCellMar>
            <w:top w:w="0" w:type="dxa"/>
            <w:left w:w="108" w:type="dxa"/>
            <w:bottom w:w="0" w:type="dxa"/>
            <w:right w:w="108" w:type="dxa"/>
          </w:tblCellMar>
        </w:tblPrEx>
        <w:trPr>
          <w:trHeight w:val="945"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14:paraId="567DADD2">
            <w:pPr>
              <w:widowControl/>
              <w:spacing w:line="360" w:lineRule="auto"/>
              <w:jc w:val="center"/>
              <w:textAlignment w:val="center"/>
              <w:rPr>
                <w:rFonts w:ascii="宋体" w:hAnsi="宋体" w:cs="宋体"/>
                <w:color w:val="000000"/>
                <w:sz w:val="24"/>
                <w:szCs w:val="24"/>
                <w:highlight w:val="none"/>
              </w:rPr>
            </w:pPr>
            <w:r>
              <w:rPr>
                <w:rFonts w:hint="eastAsia" w:ascii="宋体" w:hAnsi="宋体"/>
                <w:sz w:val="24"/>
                <w:szCs w:val="24"/>
                <w:highlight w:val="none"/>
              </w:rPr>
              <w:t>铜川照金</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47480D1">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2天</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11A4B439">
            <w:pPr>
              <w:widowControl/>
              <w:spacing w:line="360" w:lineRule="auto"/>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大巴</w:t>
            </w:r>
          </w:p>
        </w:tc>
        <w:tc>
          <w:tcPr>
            <w:tcW w:w="2969" w:type="pct"/>
            <w:tcBorders>
              <w:top w:val="single" w:color="000000" w:sz="4" w:space="0"/>
              <w:left w:val="single" w:color="000000" w:sz="4" w:space="0"/>
              <w:bottom w:val="single" w:color="000000" w:sz="4" w:space="0"/>
              <w:right w:val="single" w:color="000000" w:sz="4" w:space="0"/>
            </w:tcBorders>
            <w:noWrap/>
            <w:vAlign w:val="center"/>
          </w:tcPr>
          <w:p w14:paraId="4DDAD18C">
            <w:pPr>
              <w:widowControl/>
              <w:spacing w:line="360" w:lineRule="auto"/>
              <w:jc w:val="left"/>
              <w:textAlignment w:val="center"/>
              <w:rPr>
                <w:rFonts w:ascii="宋体" w:hAnsi="宋体" w:cs="宋体"/>
                <w:color w:val="000000"/>
                <w:sz w:val="24"/>
                <w:szCs w:val="24"/>
                <w:highlight w:val="none"/>
              </w:rPr>
            </w:pPr>
            <w:r>
              <w:rPr>
                <w:rFonts w:hint="eastAsia" w:ascii="宋体" w:hAnsi="宋体"/>
                <w:sz w:val="24"/>
                <w:szCs w:val="24"/>
                <w:highlight w:val="none"/>
              </w:rPr>
              <w:t>陕甘边革命根据地照金纪念馆-会场专题培训—现场教学培训—爷台山战役陈列馆-桃渠塬革命陈列馆-陈家坡会议旧址-薛家寨革命旧址-观看红色影片</w:t>
            </w:r>
          </w:p>
        </w:tc>
        <w:tc>
          <w:tcPr>
            <w:tcW w:w="754" w:type="pct"/>
            <w:tcBorders>
              <w:top w:val="single" w:color="000000" w:sz="4" w:space="0"/>
              <w:left w:val="single" w:color="000000" w:sz="4" w:space="0"/>
              <w:bottom w:val="single" w:color="000000" w:sz="4" w:space="0"/>
              <w:right w:val="single" w:color="000000" w:sz="4" w:space="0"/>
            </w:tcBorders>
            <w:noWrap/>
            <w:vAlign w:val="center"/>
          </w:tcPr>
          <w:p w14:paraId="1D59FDB7">
            <w:pPr>
              <w:widowControl/>
              <w:spacing w:line="360" w:lineRule="auto"/>
              <w:jc w:val="center"/>
              <w:textAlignment w:val="center"/>
              <w:rPr>
                <w:rFonts w:hint="default" w:ascii="宋体"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790.00</w:t>
            </w:r>
            <w:bookmarkStart w:id="216" w:name="_GoBack"/>
            <w:bookmarkEnd w:id="216"/>
          </w:p>
        </w:tc>
      </w:tr>
      <w:bookmarkEnd w:id="146"/>
      <w:bookmarkEnd w:id="147"/>
      <w:bookmarkEnd w:id="148"/>
    </w:tbl>
    <w:p w14:paraId="4CE62E46">
      <w:pPr>
        <w:autoSpaceDE w:val="0"/>
        <w:autoSpaceDN w:val="0"/>
        <w:adjustRightInd w:val="0"/>
        <w:spacing w:line="360" w:lineRule="auto"/>
        <w:rPr>
          <w:rFonts w:ascii="宋体" w:hAnsi="宋体"/>
          <w:b/>
          <w:bCs/>
          <w:sz w:val="24"/>
          <w:szCs w:val="24"/>
          <w:highlight w:val="none"/>
        </w:rPr>
      </w:pPr>
      <w:r>
        <w:rPr>
          <w:rFonts w:hint="eastAsia" w:ascii="宋体" w:hAnsi="宋体"/>
          <w:b/>
          <w:bCs/>
          <w:sz w:val="24"/>
          <w:szCs w:val="24"/>
          <w:highlight w:val="none"/>
        </w:rPr>
        <w:t xml:space="preserve">    三、服务要求</w:t>
      </w:r>
    </w:p>
    <w:p w14:paraId="61490126">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培训设计：根据采购人要求，提供定制化的培训接待方案。方案包含：行程接待、培训方式及内容、师资标准、会场标准、住宿标准、餐饮标准、交通安排、应急保障措施、及全包式各项费用清单等，活动行程安排应宽松舒适；</w:t>
      </w:r>
    </w:p>
    <w:p w14:paraId="117A749D">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2、培训方式及内容：培训采用专题培训和现场培训；培训课程设计包括政策解读、案例分析与实践演练；确保军休干部及工作人员准确掌握最新政策动态，减少执行偏差；</w:t>
      </w:r>
    </w:p>
    <w:p w14:paraId="295B7840">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3、师资要求：专题党课培训老师，必须是省、市委宣讲团成员，现场培训老师，必须是红色宣讲团成员，接待过多项专题培训课程及宣讲；</w:t>
      </w:r>
    </w:p>
    <w:p w14:paraId="49311C6B">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4、会场要求：标准的会场设计，包含LED屏、话筒、茶水、600平米以上，课桌式400人会场，会场服务四名以上；</w:t>
      </w:r>
    </w:p>
    <w:p w14:paraId="1C7A24D6">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5、住宿要求：住宿标准为四星级及以上酒店标准，可容纳400人同时入住酒店标准间和用餐、房间面积不少于35平方；入住酒店位置应交通便利，环境优美，房间内须具有质量合格的洗漱用品、防滑防摔设施等</w:t>
      </w:r>
    </w:p>
    <w:p w14:paraId="07C48DD2">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餐饮要求：菜品营养搭配合理。必须选择有正式营业执照、食品经营许可证的同时可容纳400人左右用餐的社会餐厅或酒店。携带早餐食品，品种不低于10个，搭配合理，适合老年人；酒店自助早餐餐厅至少容纳400人同时用餐，20个品种以上，具备四星级酒店早餐要求；正餐60元/人/正，餐厅环境要好，桌餐要求菜品至少12菜，荤素对半，主食（米饭、面条），茶水餐巾纸、餐后果盘必备；自助餐要求20个品种以上，具备四星级酒店自助餐标准。</w:t>
      </w:r>
    </w:p>
    <w:p w14:paraId="43CBC7BB">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7、交通保障：必须采用国家正规车队车辆、三年内新车、五年内无重大交通事故的资深驾驶员，确保交通安全。</w:t>
      </w:r>
    </w:p>
    <w:p w14:paraId="4347D2EE">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8、安全保障：每车配备专业的会务服务工作人员，全程为老干部服务，随时关注关心每一位老干部；配备专业的随队医生，随时关注关心老干部的身体状况，如遇健康突发情况，能及时作出准确预判断；随队医生要携带外伤用品和基本药品；配备资深专业领队，具备现场处理突发状况的能力，以备突发问题的及时处理。</w:t>
      </w:r>
    </w:p>
    <w:p w14:paraId="0913B688">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9、保险要求：为活动参与人员提供人身意外伤害保险，并列明保额。</w:t>
      </w:r>
    </w:p>
    <w:p w14:paraId="2258B031">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10、出行通知：出行相关事宜确定以后，制定全面的出行通知，要确保培训人员逐一通知到位（时间、地点），并做好通知情况备案登记和人数核定；</w:t>
      </w:r>
    </w:p>
    <w:p w14:paraId="6851E429">
      <w:pPr>
        <w:autoSpaceDE w:val="0"/>
        <w:autoSpaceDN w:val="0"/>
        <w:adjustRightInd w:val="0"/>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11、接送服务：出行必须做好接送路线合理安排，做到会务人员及车辆上门车接车送，保障好老干部接送途中的安全。让老干部出行无忧</w:t>
      </w:r>
      <w:r>
        <w:rPr>
          <w:rFonts w:hint="eastAsia" w:hAnsi="宋体"/>
          <w:sz w:val="24"/>
          <w:szCs w:val="24"/>
          <w:highlight w:val="none"/>
          <w:lang w:eastAsia="zh-CN"/>
        </w:rPr>
        <w:t>。</w:t>
      </w:r>
    </w:p>
    <w:p w14:paraId="7CD3A4C5">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12、人性化服务：行程要合理，车辆行驶中要就近安排休息，遇到特殊情况要耐心、温馨服务。</w:t>
      </w:r>
    </w:p>
    <w:p w14:paraId="5654D402">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13、结算要求：做好团队统计工作，制定专门的名单统计表和汇总表。清楚体现门票减免情况，据实结算。</w:t>
      </w:r>
    </w:p>
    <w:p w14:paraId="7FA31EEB">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14、取消规定：48小时以上临时取消不得收取保险损失，48小时以内取消，按照实际发生收取相应的保险损失。</w:t>
      </w:r>
    </w:p>
    <w:p w14:paraId="75A70EE4">
      <w:pPr>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15、意见征集：团队意见单每车至少两份，活动结束后一周内要有对支部负责人的满意度调查回访。</w:t>
      </w:r>
    </w:p>
    <w:p w14:paraId="63634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highlight w:val="none"/>
        </w:rPr>
      </w:pPr>
      <w:r>
        <w:rPr>
          <w:rFonts w:hint="eastAsia" w:ascii="宋体" w:hAnsi="宋体"/>
          <w:sz w:val="24"/>
          <w:szCs w:val="24"/>
          <w:highlight w:val="none"/>
        </w:rPr>
        <w:t>16、报价要求：</w:t>
      </w:r>
      <w:r>
        <w:rPr>
          <w:rFonts w:hint="eastAsia" w:ascii="宋体" w:hAnsi="宋体" w:eastAsia="宋体" w:cs="宋体"/>
          <w:sz w:val="24"/>
          <w:szCs w:val="24"/>
          <w:highlight w:val="none"/>
          <w:lang w:val="en-US" w:eastAsia="zh-CN"/>
        </w:rPr>
        <w:t>预计360人，后期若人员变动，据实结算，</w:t>
      </w:r>
      <w:r>
        <w:rPr>
          <w:rFonts w:hint="eastAsia" w:ascii="宋体" w:hAnsi="宋体"/>
          <w:sz w:val="24"/>
          <w:szCs w:val="24"/>
          <w:highlight w:val="none"/>
        </w:rPr>
        <w:t>接待报价要求一价全含，不购物、不自费，不允许有隐形消费。</w:t>
      </w:r>
    </w:p>
    <w:p w14:paraId="56ACA8C1">
      <w:pPr>
        <w:autoSpaceDE w:val="0"/>
        <w:autoSpaceDN w:val="0"/>
        <w:adjustRightIn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四、活动时间</w:t>
      </w:r>
    </w:p>
    <w:p w14:paraId="128F87AC">
      <w:pPr>
        <w:spacing w:line="360" w:lineRule="auto"/>
        <w:rPr>
          <w:rFonts w:ascii="宋体" w:hAnsi="宋体"/>
          <w:sz w:val="24"/>
          <w:szCs w:val="24"/>
          <w:highlight w:val="none"/>
        </w:rPr>
      </w:pPr>
      <w:r>
        <w:rPr>
          <w:rFonts w:hint="eastAsia" w:ascii="宋体" w:hAnsi="宋体"/>
          <w:sz w:val="24"/>
          <w:szCs w:val="24"/>
          <w:highlight w:val="none"/>
        </w:rPr>
        <w:t xml:space="preserve">    </w:t>
      </w:r>
      <w:r>
        <w:rPr>
          <w:rFonts w:hint="eastAsia" w:hAnsi="宋体" w:cs="宋体"/>
          <w:szCs w:val="24"/>
          <w:highlight w:val="none"/>
          <w:lang w:val="en-US" w:eastAsia="zh-CN"/>
        </w:rPr>
        <w:t>自合同签订之日起至2025年12月31日止（如遇不可抗力因素，截止日期顺延）</w:t>
      </w:r>
      <w:r>
        <w:rPr>
          <w:rFonts w:hint="eastAsia" w:ascii="宋体" w:hAnsi="宋体"/>
          <w:sz w:val="24"/>
          <w:szCs w:val="24"/>
          <w:highlight w:val="none"/>
        </w:rPr>
        <w:t>。</w:t>
      </w:r>
    </w:p>
    <w:p w14:paraId="5B7AA53B">
      <w:pPr>
        <w:autoSpaceDE w:val="0"/>
        <w:autoSpaceDN w:val="0"/>
        <w:adjustRightInd w:val="0"/>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五、付款方式</w:t>
      </w:r>
    </w:p>
    <w:p w14:paraId="18E9788B">
      <w:pPr>
        <w:spacing w:line="360" w:lineRule="auto"/>
        <w:rPr>
          <w:rFonts w:ascii="宋体" w:hAnsi="宋体"/>
          <w:sz w:val="24"/>
          <w:szCs w:val="24"/>
          <w:highlight w:val="none"/>
        </w:rPr>
      </w:pPr>
      <w:r>
        <w:rPr>
          <w:rFonts w:hint="eastAsia" w:ascii="宋体" w:hAnsi="宋体"/>
          <w:sz w:val="24"/>
          <w:szCs w:val="24"/>
          <w:highlight w:val="none"/>
        </w:rPr>
        <w:t xml:space="preserve">    合同签订后5个工作日内预付合同金额的30%，项目实施阶段过半支付合同总价款的50%，最后按实际参与人数结算总价款。</w:t>
      </w:r>
    </w:p>
    <w:p w14:paraId="02666C9A">
      <w:pPr>
        <w:autoSpaceDE w:val="0"/>
        <w:autoSpaceDN w:val="0"/>
        <w:adjustRightInd w:val="0"/>
        <w:spacing w:line="360" w:lineRule="auto"/>
        <w:ind w:firstLine="482" w:firstLineChars="200"/>
        <w:rPr>
          <w:rFonts w:hint="eastAsia" w:ascii="宋体" w:hAnsi="宋体"/>
          <w:b/>
          <w:bCs/>
          <w:sz w:val="24"/>
          <w:szCs w:val="24"/>
          <w:highlight w:val="none"/>
          <w:lang w:val="en-US" w:eastAsia="zh-CN"/>
        </w:rPr>
      </w:pPr>
      <w:r>
        <w:rPr>
          <w:rFonts w:hint="eastAsia" w:hAnsi="宋体"/>
          <w:b/>
          <w:bCs/>
          <w:sz w:val="24"/>
          <w:szCs w:val="24"/>
          <w:highlight w:val="none"/>
          <w:lang w:val="en-US" w:eastAsia="zh-CN"/>
        </w:rPr>
        <w:t>六、</w:t>
      </w:r>
      <w:r>
        <w:rPr>
          <w:rFonts w:hint="eastAsia" w:ascii="宋体" w:hAnsi="宋体"/>
          <w:b/>
          <w:bCs/>
          <w:sz w:val="24"/>
          <w:szCs w:val="24"/>
          <w:highlight w:val="none"/>
          <w:lang w:val="en-US" w:eastAsia="zh-CN"/>
        </w:rPr>
        <w:t>报价方式</w:t>
      </w:r>
    </w:p>
    <w:p w14:paraId="25F13339">
      <w:pPr>
        <w:numPr>
          <w:ilvl w:val="0"/>
          <w:numId w:val="0"/>
        </w:num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本项目报价方式为：单价报价。（每次活动结束后，</w:t>
      </w:r>
      <w:r>
        <w:rPr>
          <w:rFonts w:hint="eastAsia" w:hAnsi="宋体" w:cs="宋体"/>
          <w:b/>
          <w:bCs/>
          <w:sz w:val="24"/>
          <w:szCs w:val="24"/>
          <w:highlight w:val="none"/>
          <w:lang w:val="en-US" w:eastAsia="zh-CN"/>
        </w:rPr>
        <w:t>供应商需提供</w:t>
      </w:r>
      <w:r>
        <w:rPr>
          <w:rFonts w:hint="eastAsia" w:ascii="宋体" w:hAnsi="宋体" w:eastAsia="宋体" w:cs="宋体"/>
          <w:b/>
          <w:bCs/>
          <w:sz w:val="24"/>
          <w:szCs w:val="24"/>
          <w:highlight w:val="none"/>
        </w:rPr>
        <w:t>服务清单，采购人经过审核后，最后按实际参与人数结算。）</w:t>
      </w:r>
    </w:p>
    <w:p w14:paraId="5AEAE3F7">
      <w:pPr>
        <w:keepNext w:val="0"/>
        <w:keepLines w:val="0"/>
        <w:pageBreakBefore w:val="0"/>
        <w:widowControl w:val="0"/>
        <w:numPr>
          <w:ilvl w:val="0"/>
          <w:numId w:val="5"/>
        </w:numPr>
        <w:kinsoku/>
        <w:wordWrap/>
        <w:overflowPunct/>
        <w:topLinePunct w:val="0"/>
        <w:autoSpaceDE/>
        <w:autoSpaceDN/>
        <w:bidi w:val="0"/>
        <w:adjustRightInd/>
        <w:snapToGrid/>
        <w:spacing w:before="0" w:after="0" w:line="560" w:lineRule="exact"/>
        <w:ind w:left="0" w:leftChars="0" w:right="0" w:firstLine="723" w:firstLineChars="200"/>
        <w:jc w:val="both"/>
        <w:textAlignment w:val="auto"/>
        <w:outlineLvl w:val="9"/>
        <w:rPr>
          <w:rStyle w:val="32"/>
          <w:rFonts w:hint="eastAsia" w:ascii="宋体" w:eastAsia="宋体" w:cs="宋体"/>
          <w:b/>
          <w:sz w:val="36"/>
          <w:szCs w:val="21"/>
          <w:highlight w:val="none"/>
        </w:rPr>
      </w:pPr>
      <w:r>
        <w:rPr>
          <w:rStyle w:val="32"/>
          <w:rFonts w:hint="eastAsia" w:ascii="宋体" w:eastAsia="宋体" w:cs="宋体"/>
          <w:b/>
          <w:sz w:val="36"/>
          <w:szCs w:val="21"/>
          <w:highlight w:val="none"/>
        </w:rPr>
        <w:br w:type="page"/>
      </w:r>
    </w:p>
    <w:p w14:paraId="443D8BCA">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39"/>
      <w:bookmarkEnd w:id="140"/>
      <w:bookmarkEnd w:id="141"/>
      <w:bookmarkEnd w:id="142"/>
      <w:bookmarkEnd w:id="143"/>
      <w:bookmarkEnd w:id="144"/>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0"/>
        <w:rPr>
          <w:rFonts w:ascii="宋体" w:hAnsi="宋体" w:cs="宋体"/>
          <w:highlight w:val="none"/>
        </w:rPr>
      </w:pPr>
    </w:p>
    <w:p w14:paraId="191A238D">
      <w:pPr>
        <w:jc w:val="center"/>
        <w:rPr>
          <w:rFonts w:hint="eastAsia" w:hAnsi="宋体" w:cs="宋体"/>
          <w:b/>
          <w:sz w:val="52"/>
          <w:szCs w:val="52"/>
          <w:highlight w:val="none"/>
        </w:rPr>
      </w:pPr>
      <w:r>
        <w:rPr>
          <w:rFonts w:hint="eastAsia" w:hAnsi="宋体" w:cs="宋体"/>
          <w:b/>
          <w:sz w:val="40"/>
          <w:szCs w:val="44"/>
          <w:highlight w:val="none"/>
          <w:lang w:eastAsia="zh-CN"/>
        </w:rPr>
        <w:t>优秀军休干部培训活动</w:t>
      </w:r>
    </w:p>
    <w:p w14:paraId="63F6612E">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0"/>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9"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0"/>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149"/>
    <w:p w14:paraId="5A661241">
      <w:pPr>
        <w:pStyle w:val="10"/>
        <w:rPr>
          <w:rFonts w:ascii="宋体" w:hAnsi="宋体" w:cs="宋体"/>
          <w:b/>
          <w:sz w:val="32"/>
          <w:szCs w:val="32"/>
          <w:highlight w:val="none"/>
        </w:rPr>
      </w:pPr>
      <w:bookmarkStart w:id="150" w:name="_Toc403077648"/>
      <w:bookmarkStart w:id="151" w:name="_Toc363474027"/>
      <w:bookmarkStart w:id="152" w:name="_Toc204524343"/>
    </w:p>
    <w:p w14:paraId="6478AEA0">
      <w:pPr>
        <w:pStyle w:val="10"/>
        <w:rPr>
          <w:rFonts w:ascii="宋体" w:hAnsi="宋体" w:cs="宋体"/>
          <w:b/>
          <w:sz w:val="32"/>
          <w:szCs w:val="32"/>
          <w:highlight w:val="none"/>
        </w:rPr>
      </w:pPr>
    </w:p>
    <w:p w14:paraId="5E93C6FA">
      <w:pPr>
        <w:pStyle w:val="10"/>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53" w:name="_Toc32002"/>
      <w:bookmarkStart w:id="154" w:name="_Toc4367"/>
      <w:bookmarkStart w:id="155" w:name="_Toc15762"/>
      <w:bookmarkStart w:id="156" w:name="_Toc16320"/>
      <w:r>
        <w:rPr>
          <w:rFonts w:hint="eastAsia" w:hAnsi="宋体" w:cs="宋体"/>
          <w:b/>
          <w:sz w:val="32"/>
          <w:szCs w:val="32"/>
          <w:highlight w:val="none"/>
        </w:rPr>
        <w:t>一、磋商</w:t>
      </w:r>
      <w:bookmarkEnd w:id="150"/>
      <w:bookmarkEnd w:id="151"/>
      <w:r>
        <w:rPr>
          <w:rFonts w:hint="eastAsia" w:hAnsi="宋体" w:cs="宋体"/>
          <w:b/>
          <w:sz w:val="32"/>
          <w:szCs w:val="32"/>
          <w:highlight w:val="none"/>
        </w:rPr>
        <w:t>响应函</w:t>
      </w:r>
      <w:bookmarkEnd w:id="153"/>
      <w:bookmarkEnd w:id="154"/>
      <w:bookmarkEnd w:id="155"/>
      <w:bookmarkEnd w:id="156"/>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szCs w:val="24"/>
          <w:highlight w:val="none"/>
          <w:lang w:val="en-US" w:eastAsia="zh-CN"/>
        </w:rPr>
        <w:t>单价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57" w:name="_Toc732"/>
      <w:bookmarkStart w:id="158" w:name="_Toc9730"/>
      <w:bookmarkStart w:id="159" w:name="_Toc28910"/>
      <w:bookmarkStart w:id="160" w:name="_Toc17800"/>
      <w:bookmarkStart w:id="161" w:name="_Toc363474030"/>
      <w:bookmarkStart w:id="162" w:name="_Toc403077651"/>
      <w:r>
        <w:rPr>
          <w:rFonts w:hint="eastAsia" w:ascii="宋体" w:hAnsi="宋体" w:cs="宋体"/>
          <w:bCs w:val="0"/>
          <w:sz w:val="32"/>
          <w:highlight w:val="none"/>
        </w:rPr>
        <w:t>二、磋商报价表</w:t>
      </w:r>
      <w:bookmarkEnd w:id="157"/>
      <w:bookmarkEnd w:id="158"/>
      <w:bookmarkEnd w:id="159"/>
      <w:bookmarkEnd w:id="160"/>
      <w:bookmarkEnd w:id="161"/>
      <w:bookmarkEnd w:id="162"/>
    </w:p>
    <w:p w14:paraId="6922F0BC">
      <w:pPr>
        <w:spacing w:line="360" w:lineRule="auto"/>
        <w:jc w:val="center"/>
        <w:outlineLvl w:val="1"/>
        <w:rPr>
          <w:rFonts w:hAnsi="宋体" w:cs="宋体"/>
          <w:szCs w:val="24"/>
          <w:highlight w:val="none"/>
        </w:rPr>
      </w:pPr>
      <w:bookmarkStart w:id="163" w:name="_Toc32277"/>
      <w:bookmarkStart w:id="164" w:name="_Toc12732"/>
      <w:bookmarkStart w:id="165" w:name="_Toc7982"/>
      <w:bookmarkStart w:id="166" w:name="_Toc29008"/>
      <w:r>
        <w:rPr>
          <w:rFonts w:hint="eastAsia" w:hAnsi="宋体" w:cs="宋体"/>
          <w:szCs w:val="24"/>
          <w:highlight w:val="none"/>
        </w:rPr>
        <w:t>2.1报价一览表</w:t>
      </w:r>
      <w:bookmarkEnd w:id="163"/>
      <w:bookmarkEnd w:id="164"/>
      <w:bookmarkEnd w:id="165"/>
      <w:bookmarkEnd w:id="166"/>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jc w:val="center"/>
              <w:rPr>
                <w:rFonts w:hAnsi="宋体" w:cs="宋体"/>
                <w:szCs w:val="24"/>
                <w:highlight w:val="none"/>
              </w:rPr>
            </w:pPr>
            <w:r>
              <w:rPr>
                <w:rFonts w:hint="eastAsia" w:hAnsi="宋体" w:cs="宋体"/>
                <w:szCs w:val="24"/>
                <w:highlight w:val="none"/>
              </w:rPr>
              <w:t>磋商</w:t>
            </w:r>
            <w:r>
              <w:rPr>
                <w:rFonts w:hint="eastAsia" w:hAnsi="宋体" w:cs="宋体"/>
                <w:szCs w:val="24"/>
                <w:highlight w:val="none"/>
                <w:lang w:val="en-US" w:eastAsia="zh-CN"/>
              </w:rPr>
              <w:t>单</w:t>
            </w:r>
            <w:r>
              <w:rPr>
                <w:rFonts w:hint="eastAsia" w:hAnsi="宋体" w:cs="宋体"/>
                <w:szCs w:val="24"/>
                <w:highlight w:val="none"/>
              </w:rPr>
              <w:t>价</w:t>
            </w:r>
          </w:p>
          <w:p w14:paraId="029D118C">
            <w:pPr>
              <w:jc w:val="center"/>
              <w:rPr>
                <w:rFonts w:hAnsi="宋体" w:cs="宋体"/>
                <w:szCs w:val="24"/>
                <w:highlight w:val="none"/>
              </w:rPr>
            </w:pPr>
            <w:r>
              <w:rPr>
                <w:rFonts w:hint="eastAsia" w:hAnsi="宋体" w:cs="宋体"/>
                <w:szCs w:val="24"/>
                <w:highlight w:val="none"/>
              </w:rPr>
              <w:t>（元</w:t>
            </w:r>
            <w:r>
              <w:rPr>
                <w:rFonts w:hint="eastAsia" w:hAnsi="宋体" w:cs="宋体"/>
                <w:szCs w:val="24"/>
                <w:highlight w:val="none"/>
                <w:lang w:val="en-US" w:eastAsia="zh-CN"/>
              </w:rPr>
              <w:t>/人</w:t>
            </w:r>
            <w:r>
              <w:rPr>
                <w:rFonts w:hint="eastAsia" w:hAnsi="宋体" w:cs="宋体"/>
                <w:szCs w:val="24"/>
                <w:highlight w:val="none"/>
              </w:rPr>
              <w:t>）</w:t>
            </w:r>
          </w:p>
        </w:tc>
        <w:tc>
          <w:tcPr>
            <w:tcW w:w="1849" w:type="pct"/>
            <w:vAlign w:val="center"/>
          </w:tcPr>
          <w:p w14:paraId="65F7C50C">
            <w:pPr>
              <w:jc w:val="center"/>
              <w:rPr>
                <w:rFonts w:hint="eastAsia" w:ascii="宋体" w:hAnsi="宋体" w:eastAsia="宋体" w:cs="宋体"/>
                <w:highlight w:val="none"/>
                <w:lang w:eastAsia="zh-CN"/>
              </w:rPr>
            </w:pPr>
            <w:r>
              <w:rPr>
                <w:rFonts w:hint="eastAsia" w:hAnsi="宋体" w:cs="宋体"/>
                <w:szCs w:val="24"/>
                <w:highlight w:val="none"/>
                <w:lang w:val="en-US" w:eastAsia="zh-CN"/>
              </w:rPr>
              <w:t>服务期</w:t>
            </w:r>
          </w:p>
        </w:tc>
        <w:tc>
          <w:tcPr>
            <w:tcW w:w="1415" w:type="pct"/>
            <w:vAlign w:val="center"/>
          </w:tcPr>
          <w:p w14:paraId="0AAE4479">
            <w:pPr>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jc w:val="center"/>
              <w:rPr>
                <w:rFonts w:hAnsi="宋体" w:cs="宋体"/>
                <w:szCs w:val="24"/>
                <w:highlight w:val="none"/>
              </w:rPr>
            </w:pPr>
          </w:p>
        </w:tc>
        <w:tc>
          <w:tcPr>
            <w:tcW w:w="1849" w:type="pct"/>
            <w:vAlign w:val="center"/>
          </w:tcPr>
          <w:p w14:paraId="0225E112">
            <w:pPr>
              <w:jc w:val="center"/>
              <w:rPr>
                <w:rFonts w:hAnsi="宋体" w:cs="宋体"/>
                <w:szCs w:val="24"/>
                <w:highlight w:val="none"/>
              </w:rPr>
            </w:pPr>
          </w:p>
        </w:tc>
        <w:tc>
          <w:tcPr>
            <w:tcW w:w="1415" w:type="pct"/>
            <w:vAlign w:val="center"/>
          </w:tcPr>
          <w:p w14:paraId="4CF78D26">
            <w:pPr>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jc w:val="center"/>
              <w:rPr>
                <w:rFonts w:hint="eastAsia" w:hAnsi="宋体" w:cs="宋体"/>
                <w:szCs w:val="24"/>
                <w:highlight w:val="none"/>
              </w:rPr>
            </w:pPr>
            <w:r>
              <w:rPr>
                <w:rFonts w:hint="eastAsia" w:hAnsi="宋体" w:cs="宋体"/>
                <w:szCs w:val="24"/>
                <w:highlight w:val="none"/>
              </w:rPr>
              <w:t>磋商</w:t>
            </w:r>
            <w:r>
              <w:rPr>
                <w:rFonts w:hint="eastAsia" w:hAnsi="宋体" w:cs="宋体"/>
                <w:szCs w:val="24"/>
                <w:highlight w:val="none"/>
                <w:lang w:val="en-US" w:eastAsia="zh-CN"/>
              </w:rPr>
              <w:t>单</w:t>
            </w:r>
            <w:r>
              <w:rPr>
                <w:rFonts w:hint="eastAsia" w:hAnsi="宋体" w:cs="宋体"/>
                <w:szCs w:val="24"/>
                <w:highlight w:val="none"/>
              </w:rPr>
              <w:t>价（大写）：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167" w:name="_Toc11197"/>
      <w:bookmarkStart w:id="168" w:name="_Toc8017"/>
      <w:bookmarkStart w:id="169" w:name="_Toc9760"/>
      <w:bookmarkStart w:id="170" w:name="_Toc9220"/>
      <w:r>
        <w:rPr>
          <w:rFonts w:hint="eastAsia" w:hAnsi="宋体" w:cs="宋体"/>
          <w:b/>
          <w:sz w:val="30"/>
          <w:szCs w:val="30"/>
          <w:highlight w:val="none"/>
        </w:rPr>
        <w:t>2.2分项报价表</w:t>
      </w:r>
      <w:bookmarkEnd w:id="167"/>
      <w:bookmarkEnd w:id="168"/>
      <w:bookmarkEnd w:id="169"/>
      <w:bookmarkEnd w:id="170"/>
    </w:p>
    <w:p w14:paraId="545A3CC3">
      <w:pPr>
        <w:pStyle w:val="10"/>
        <w:jc w:val="center"/>
        <w:rPr>
          <w:rFonts w:ascii="宋体" w:hAnsi="宋体" w:cs="宋体"/>
          <w:bCs/>
          <w:sz w:val="24"/>
          <w:szCs w:val="24"/>
          <w:highlight w:val="none"/>
        </w:rPr>
      </w:pPr>
    </w:p>
    <w:p w14:paraId="370C6A0B">
      <w:pPr>
        <w:pStyle w:val="10"/>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14:paraId="640D23A3">
      <w:pPr>
        <w:pStyle w:val="10"/>
        <w:rPr>
          <w:rFonts w:ascii="宋体" w:hAnsi="宋体" w:cs="宋体"/>
          <w:highlight w:val="none"/>
        </w:rPr>
      </w:pPr>
    </w:p>
    <w:p w14:paraId="067A42F3">
      <w:pPr>
        <w:ind w:firstLine="420"/>
        <w:rPr>
          <w:rFonts w:hAnsi="宋体" w:cs="宋体"/>
          <w:highlight w:val="none"/>
        </w:rPr>
      </w:pPr>
    </w:p>
    <w:p w14:paraId="07DCF982">
      <w:pPr>
        <w:pStyle w:val="10"/>
        <w:spacing w:line="360" w:lineRule="auto"/>
        <w:rPr>
          <w:rFonts w:ascii="宋体" w:hAnsi="宋体" w:cs="宋体"/>
          <w:sz w:val="28"/>
          <w:szCs w:val="28"/>
          <w:highlight w:val="none"/>
        </w:rPr>
      </w:pPr>
    </w:p>
    <w:p w14:paraId="7372DCF3">
      <w:pPr>
        <w:rPr>
          <w:rFonts w:hAnsi="宋体" w:cs="宋体"/>
          <w:highlight w:val="none"/>
        </w:rPr>
      </w:pPr>
    </w:p>
    <w:bookmarkEnd w:id="152"/>
    <w:p w14:paraId="7A6EC8FE">
      <w:pPr>
        <w:jc w:val="center"/>
        <w:outlineLvl w:val="1"/>
        <w:rPr>
          <w:rFonts w:hAnsi="宋体" w:cs="宋体"/>
          <w:sz w:val="32"/>
          <w:szCs w:val="32"/>
          <w:highlight w:val="none"/>
        </w:rPr>
      </w:pPr>
      <w:bookmarkStart w:id="171" w:name="_Toc344572163"/>
      <w:r>
        <w:rPr>
          <w:rFonts w:hint="eastAsia" w:hAnsi="宋体" w:cs="宋体"/>
          <w:sz w:val="32"/>
          <w:szCs w:val="32"/>
          <w:highlight w:val="none"/>
        </w:rPr>
        <w:br w:type="page"/>
      </w:r>
      <w:bookmarkStart w:id="172" w:name="_Toc3628"/>
      <w:bookmarkStart w:id="173" w:name="_Toc5944"/>
      <w:bookmarkStart w:id="174" w:name="_Toc32126"/>
      <w:bookmarkStart w:id="175" w:name="_Toc24936"/>
      <w:r>
        <w:rPr>
          <w:rFonts w:hint="eastAsia" w:hAnsi="宋体" w:cs="宋体"/>
          <w:b/>
          <w:bCs/>
          <w:sz w:val="32"/>
          <w:szCs w:val="32"/>
          <w:highlight w:val="none"/>
        </w:rPr>
        <w:t>三、磋商方案说明书</w:t>
      </w:r>
      <w:bookmarkEnd w:id="172"/>
      <w:bookmarkEnd w:id="173"/>
      <w:bookmarkEnd w:id="174"/>
      <w:bookmarkEnd w:id="175"/>
    </w:p>
    <w:p w14:paraId="5751B92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spacing w:after="120" w:line="480" w:lineRule="auto"/>
        <w:rPr>
          <w:rFonts w:hAnsi="宋体" w:cs="宋体"/>
          <w:b/>
          <w:szCs w:val="24"/>
          <w:highlight w:val="none"/>
        </w:rPr>
      </w:pPr>
    </w:p>
    <w:p w14:paraId="647A6865">
      <w:pPr>
        <w:spacing w:after="120"/>
        <w:rPr>
          <w:rFonts w:hAnsi="宋体" w:cs="宋体"/>
          <w:b/>
          <w:szCs w:val="24"/>
          <w:highlight w:val="none"/>
        </w:rPr>
      </w:pPr>
    </w:p>
    <w:p w14:paraId="4006BEDD">
      <w:pPr>
        <w:spacing w:after="120"/>
        <w:rPr>
          <w:rFonts w:hAnsi="宋体" w:cs="宋体"/>
          <w:b/>
          <w:szCs w:val="24"/>
          <w:highlight w:val="none"/>
        </w:rPr>
      </w:pPr>
    </w:p>
    <w:p w14:paraId="0B6A4565">
      <w:pPr>
        <w:spacing w:after="120"/>
        <w:rPr>
          <w:rFonts w:hAnsi="宋体" w:cs="宋体"/>
          <w:b/>
          <w:szCs w:val="24"/>
          <w:highlight w:val="none"/>
        </w:rPr>
      </w:pPr>
    </w:p>
    <w:p w14:paraId="75585238">
      <w:pPr>
        <w:rPr>
          <w:rFonts w:hint="eastAsia" w:hAnsi="宋体" w:cs="宋体"/>
          <w:b/>
          <w:bCs/>
          <w:sz w:val="32"/>
          <w:szCs w:val="32"/>
          <w:highlight w:val="none"/>
        </w:rPr>
      </w:pPr>
      <w:r>
        <w:rPr>
          <w:rFonts w:hint="eastAsia" w:hAnsi="宋体" w:cs="宋体"/>
          <w:b/>
          <w:szCs w:val="24"/>
          <w:highlight w:val="none"/>
        </w:rPr>
        <w:br w:type="page"/>
      </w:r>
      <w:bookmarkStart w:id="176" w:name="_Toc9218"/>
      <w:bookmarkStart w:id="177" w:name="_Toc23455"/>
      <w:bookmarkStart w:id="178" w:name="_Toc21284"/>
      <w:bookmarkStart w:id="179" w:name="_Toc2621"/>
      <w:bookmarkStart w:id="180" w:name="_Toc1379"/>
      <w:bookmarkStart w:id="181" w:name="_Toc8845"/>
      <w:bookmarkStart w:id="182" w:name="_Toc15265"/>
      <w:bookmarkStart w:id="183" w:name="_Toc5662"/>
      <w:bookmarkStart w:id="184" w:name="_Toc31151"/>
    </w:p>
    <w:p w14:paraId="2E64FA4A">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76"/>
      <w:bookmarkEnd w:id="177"/>
      <w:bookmarkEnd w:id="178"/>
      <w:bookmarkEnd w:id="179"/>
      <w:bookmarkEnd w:id="180"/>
      <w:r>
        <w:rPr>
          <w:rFonts w:hint="eastAsia" w:hAnsi="宋体" w:cs="宋体"/>
          <w:b/>
          <w:bCs/>
          <w:sz w:val="32"/>
          <w:szCs w:val="32"/>
          <w:highlight w:val="none"/>
        </w:rPr>
        <w:t>商务条款偏离表</w:t>
      </w:r>
      <w:bookmarkEnd w:id="181"/>
      <w:bookmarkEnd w:id="182"/>
      <w:bookmarkEnd w:id="183"/>
      <w:bookmarkEnd w:id="184"/>
    </w:p>
    <w:p w14:paraId="5EA1B311">
      <w:pPr>
        <w:pStyle w:val="19"/>
        <w:widowControl w:val="0"/>
        <w:spacing w:before="0" w:beforeAutospacing="0" w:after="0" w:afterAutospacing="0"/>
        <w:jc w:val="both"/>
        <w:rPr>
          <w:rFonts w:cs="宋体"/>
          <w:highlight w:val="none"/>
        </w:rPr>
      </w:pPr>
    </w:p>
    <w:p w14:paraId="4F15801A">
      <w:pPr>
        <w:pStyle w:val="19"/>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19"/>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19"/>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19"/>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19"/>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19"/>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19"/>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19"/>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19"/>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19"/>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19"/>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19"/>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19"/>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19"/>
              <w:widowControl w:val="0"/>
              <w:spacing w:before="0" w:beforeAutospacing="0" w:after="0" w:afterAutospacing="0"/>
              <w:ind w:firstLine="480" w:firstLineChars="200"/>
              <w:jc w:val="center"/>
              <w:rPr>
                <w:rFonts w:cs="宋体"/>
                <w:highlight w:val="none"/>
              </w:rPr>
            </w:pPr>
          </w:p>
        </w:tc>
      </w:tr>
    </w:tbl>
    <w:p w14:paraId="7041A222">
      <w:pPr>
        <w:pStyle w:val="19"/>
        <w:widowControl w:val="0"/>
        <w:spacing w:before="0" w:beforeAutospacing="0" w:after="0" w:afterAutospacing="0" w:line="360" w:lineRule="auto"/>
        <w:rPr>
          <w:rFonts w:cs="宋体"/>
          <w:highlight w:val="none"/>
        </w:rPr>
      </w:pPr>
      <w:r>
        <w:rPr>
          <w:rFonts w:hint="eastAsia" w:cs="宋体"/>
          <w:highlight w:val="none"/>
        </w:rPr>
        <w:t>说明：</w:t>
      </w:r>
    </w:p>
    <w:p w14:paraId="28081757">
      <w:pPr>
        <w:pStyle w:val="19"/>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19"/>
        <w:widowControl w:val="0"/>
        <w:spacing w:before="0" w:beforeAutospacing="0" w:after="0" w:afterAutospacing="0" w:line="360" w:lineRule="auto"/>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19"/>
        <w:widowControl w:val="0"/>
        <w:spacing w:before="0" w:beforeAutospacing="0" w:after="0" w:afterAutospacing="0" w:line="360" w:lineRule="auto"/>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19"/>
        <w:widowControl w:val="0"/>
        <w:spacing w:before="0" w:beforeAutospacing="0" w:after="0" w:afterAutospacing="0" w:line="360" w:lineRule="auto"/>
        <w:ind w:firstLine="480" w:firstLineChars="200"/>
        <w:jc w:val="center"/>
        <w:rPr>
          <w:rFonts w:cs="宋体"/>
          <w:highlight w:val="none"/>
        </w:rPr>
      </w:pPr>
    </w:p>
    <w:p w14:paraId="2CDB77F6">
      <w:pPr>
        <w:pStyle w:val="19"/>
        <w:widowControl w:val="0"/>
        <w:spacing w:before="0" w:beforeAutospacing="0" w:after="0" w:afterAutospacing="0" w:line="360" w:lineRule="auto"/>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19"/>
        <w:widowControl w:val="0"/>
        <w:spacing w:before="0" w:beforeAutospacing="0" w:after="0" w:afterAutospacing="0" w:line="360" w:lineRule="auto"/>
        <w:ind w:firstLine="480" w:firstLineChars="200"/>
        <w:jc w:val="center"/>
        <w:rPr>
          <w:rFonts w:cs="宋体"/>
          <w:highlight w:val="none"/>
        </w:rPr>
      </w:pPr>
    </w:p>
    <w:p w14:paraId="5F138E9F">
      <w:pPr>
        <w:spacing w:line="360" w:lineRule="auto"/>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bookmarkEnd w:id="171"/>
    <w:p w14:paraId="5E7046F9">
      <w:pPr>
        <w:spacing w:line="360" w:lineRule="auto"/>
        <w:jc w:val="center"/>
        <w:outlineLvl w:val="1"/>
        <w:rPr>
          <w:rFonts w:hAnsi="宋体" w:cs="宋体"/>
          <w:b/>
          <w:bCs/>
          <w:sz w:val="30"/>
          <w:szCs w:val="30"/>
          <w:highlight w:val="none"/>
        </w:rPr>
      </w:pPr>
      <w:bookmarkStart w:id="185" w:name="_Toc403077656"/>
      <w:bookmarkStart w:id="186" w:name="_Toc363474033"/>
      <w:r>
        <w:rPr>
          <w:rFonts w:hint="eastAsia" w:hAnsi="宋体" w:cs="宋体"/>
          <w:b/>
          <w:bCs/>
          <w:sz w:val="30"/>
          <w:szCs w:val="30"/>
          <w:highlight w:val="none"/>
        </w:rPr>
        <w:br w:type="page"/>
      </w:r>
      <w:bookmarkStart w:id="187" w:name="_Toc27470"/>
      <w:bookmarkStart w:id="188" w:name="_Toc3253"/>
      <w:bookmarkStart w:id="189" w:name="_Toc1542"/>
      <w:bookmarkStart w:id="190" w:name="_Toc3386"/>
      <w:r>
        <w:rPr>
          <w:rFonts w:hint="eastAsia" w:hAnsi="宋体" w:cs="宋体"/>
          <w:b/>
          <w:bCs/>
          <w:sz w:val="30"/>
          <w:szCs w:val="30"/>
          <w:highlight w:val="none"/>
        </w:rPr>
        <w:t>五、陕西省政府采购供应商拒绝政府采购领域商业贿赂承诺书</w:t>
      </w:r>
      <w:bookmarkEnd w:id="185"/>
      <w:bookmarkEnd w:id="186"/>
      <w:bookmarkEnd w:id="187"/>
      <w:bookmarkEnd w:id="188"/>
      <w:bookmarkEnd w:id="189"/>
      <w:bookmarkEnd w:id="190"/>
    </w:p>
    <w:p w14:paraId="6326907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14:paraId="751C118A">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191" w:name="_Toc403077657"/>
      <w:bookmarkStart w:id="192" w:name="_Toc363474034"/>
      <w:r>
        <w:rPr>
          <w:rFonts w:hint="eastAsia" w:hAnsi="宋体" w:cs="宋体"/>
          <w:b/>
          <w:bCs/>
          <w:sz w:val="30"/>
          <w:szCs w:val="30"/>
          <w:highlight w:val="none"/>
        </w:rPr>
        <w:br w:type="page"/>
      </w:r>
      <w:bookmarkStart w:id="193" w:name="_Toc32016"/>
      <w:bookmarkStart w:id="194" w:name="_Toc7842"/>
      <w:bookmarkStart w:id="195" w:name="_Toc29285"/>
      <w:bookmarkStart w:id="196" w:name="_Toc6273"/>
      <w:r>
        <w:rPr>
          <w:rFonts w:hint="eastAsia" w:hAnsi="宋体" w:cs="宋体"/>
          <w:b/>
          <w:bCs/>
          <w:sz w:val="30"/>
          <w:szCs w:val="30"/>
          <w:highlight w:val="none"/>
        </w:rPr>
        <w:t>六、特定资格证明文件</w:t>
      </w:r>
      <w:bookmarkEnd w:id="191"/>
      <w:bookmarkEnd w:id="192"/>
      <w:bookmarkEnd w:id="193"/>
      <w:bookmarkEnd w:id="194"/>
      <w:bookmarkEnd w:id="195"/>
      <w:bookmarkEnd w:id="196"/>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2CD0B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71015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027936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的财务审计报告（成立时间至提交响应文件截止时间不足一年的可提供成立后任意时段的资产负债表），或开标时间前六个月内银行出具的资信证明；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076B6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39591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0DF1F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73544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2467D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8B9B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）供应商须提供中小企业声明函； </w:t>
      </w:r>
    </w:p>
    <w:p w14:paraId="5F0AE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533DB81B">
      <w:pPr>
        <w:jc w:val="center"/>
        <w:outlineLvl w:val="1"/>
        <w:rPr>
          <w:rFonts w:hAnsi="宋体" w:cs="宋体"/>
          <w:b/>
          <w:bCs/>
          <w:sz w:val="30"/>
          <w:szCs w:val="30"/>
          <w:highlight w:val="none"/>
        </w:rPr>
      </w:pPr>
      <w:r>
        <w:rPr>
          <w:rFonts w:hint="eastAsia" w:hAnsi="宋体" w:cs="宋体"/>
          <w:szCs w:val="24"/>
          <w:highlight w:val="none"/>
        </w:rPr>
        <w:br w:type="page"/>
      </w:r>
      <w:bookmarkStart w:id="197" w:name="_Toc23859"/>
      <w:bookmarkStart w:id="198" w:name="_Toc6853"/>
      <w:bookmarkStart w:id="199" w:name="_Toc12717"/>
      <w:bookmarkStart w:id="200" w:name="_Toc19114"/>
      <w:r>
        <w:rPr>
          <w:rFonts w:hint="eastAsia" w:hAnsi="宋体" w:cs="宋体"/>
          <w:b/>
          <w:bCs/>
          <w:sz w:val="30"/>
          <w:szCs w:val="30"/>
          <w:highlight w:val="none"/>
        </w:rPr>
        <w:t>七、其它</w:t>
      </w:r>
      <w:bookmarkEnd w:id="197"/>
      <w:bookmarkEnd w:id="198"/>
      <w:bookmarkEnd w:id="199"/>
      <w:bookmarkEnd w:id="200"/>
    </w:p>
    <w:p w14:paraId="14CAF258">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201" w:name="_Toc6055"/>
      <w:bookmarkStart w:id="202" w:name="_Toc29387"/>
      <w:bookmarkStart w:id="203" w:name="_Toc17513"/>
      <w:r>
        <w:rPr>
          <w:rFonts w:hint="eastAsia" w:hAnsi="宋体" w:cs="宋体"/>
          <w:b/>
          <w:sz w:val="28"/>
          <w:szCs w:val="28"/>
          <w:highlight w:val="none"/>
        </w:rPr>
        <w:t>附件1：法定代表人身份证明授权书</w:t>
      </w:r>
      <w:bookmarkEnd w:id="201"/>
      <w:bookmarkEnd w:id="202"/>
      <w:bookmarkEnd w:id="203"/>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0"/>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0"/>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204" w:name="_Toc17295"/>
      <w:bookmarkStart w:id="205" w:name="_Toc11767"/>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19"/>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19"/>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19"/>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19"/>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3"/>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3"/>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3"/>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3"/>
        <w:adjustRightInd w:val="0"/>
        <w:snapToGrid w:val="0"/>
        <w:spacing w:line="720" w:lineRule="exact"/>
        <w:rPr>
          <w:rFonts w:hAnsi="宋体" w:cs="宋体"/>
          <w:spacing w:val="4"/>
          <w:sz w:val="24"/>
          <w:szCs w:val="24"/>
          <w:highlight w:val="none"/>
        </w:rPr>
      </w:pPr>
    </w:p>
    <w:p w14:paraId="5CBBC02A">
      <w:pPr>
        <w:pStyle w:val="13"/>
        <w:adjustRightInd w:val="0"/>
        <w:snapToGrid w:val="0"/>
        <w:spacing w:line="720" w:lineRule="exact"/>
        <w:rPr>
          <w:rFonts w:hAnsi="宋体" w:cs="宋体"/>
          <w:spacing w:val="4"/>
          <w:sz w:val="24"/>
          <w:szCs w:val="24"/>
          <w:highlight w:val="none"/>
        </w:rPr>
      </w:pPr>
    </w:p>
    <w:p w14:paraId="2866D51E">
      <w:pPr>
        <w:pStyle w:val="13"/>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404D9BB7">
      <w:pPr>
        <w:rPr>
          <w:rFonts w:hAnsi="宋体" w:cs="宋体"/>
          <w:spacing w:val="4"/>
          <w:szCs w:val="30"/>
          <w:highlight w:val="none"/>
        </w:rPr>
      </w:pPr>
      <w:r>
        <w:rPr>
          <w:rFonts w:hint="eastAsia" w:hAnsi="宋体" w:cs="宋体"/>
          <w:spacing w:val="4"/>
          <w:szCs w:val="30"/>
          <w:highlight w:val="none"/>
        </w:rPr>
        <w:br w:type="page"/>
      </w:r>
    </w:p>
    <w:p w14:paraId="725C9624">
      <w:pPr>
        <w:spacing w:before="100" w:beforeAutospacing="1" w:after="156" w:afterLines="50" w:line="360" w:lineRule="auto"/>
        <w:jc w:val="left"/>
        <w:outlineLvl w:val="2"/>
        <w:rPr>
          <w:rFonts w:hAnsi="宋体" w:cs="宋体"/>
          <w:b/>
          <w:sz w:val="28"/>
          <w:szCs w:val="28"/>
          <w:highlight w:val="none"/>
        </w:rPr>
      </w:pPr>
      <w:bookmarkStart w:id="206" w:name="_Toc29482"/>
      <w:r>
        <w:rPr>
          <w:rFonts w:hint="eastAsia" w:hAnsi="宋体" w:cs="宋体"/>
          <w:b/>
          <w:sz w:val="28"/>
          <w:szCs w:val="28"/>
          <w:highlight w:val="none"/>
        </w:rPr>
        <w:t>附件2：中小企业声明函</w:t>
      </w:r>
      <w:bookmarkEnd w:id="204"/>
      <w:bookmarkEnd w:id="205"/>
      <w:bookmarkEnd w:id="206"/>
    </w:p>
    <w:p w14:paraId="4FEF5DB5">
      <w:pPr>
        <w:spacing w:before="156" w:beforeLines="50" w:after="156" w:afterLines="50" w:line="360" w:lineRule="auto"/>
        <w:jc w:val="center"/>
        <w:rPr>
          <w:rFonts w:hAnsi="宋体" w:cs="宋体"/>
          <w:b/>
          <w:sz w:val="28"/>
          <w:szCs w:val="28"/>
          <w:highlight w:val="none"/>
        </w:rPr>
      </w:pPr>
      <w:bookmarkStart w:id="207"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207"/>
    <w:p w14:paraId="2E74E430">
      <w:pPr>
        <w:spacing w:before="100" w:beforeAutospacing="1" w:after="156" w:afterLines="50" w:line="360" w:lineRule="auto"/>
        <w:outlineLvl w:val="2"/>
        <w:rPr>
          <w:rFonts w:hAnsi="宋体" w:cs="宋体"/>
          <w:b/>
          <w:bCs/>
          <w:spacing w:val="6"/>
          <w:sz w:val="30"/>
          <w:szCs w:val="30"/>
          <w:highlight w:val="none"/>
        </w:rPr>
      </w:pPr>
      <w:bookmarkStart w:id="208" w:name="_Toc22425"/>
      <w:bookmarkStart w:id="209" w:name="_Toc11235"/>
      <w:bookmarkStart w:id="210" w:name="_Toc11066"/>
      <w:r>
        <w:rPr>
          <w:rFonts w:hint="eastAsia" w:hAnsi="宋体" w:cs="宋体"/>
          <w:b/>
          <w:bCs/>
          <w:spacing w:val="6"/>
          <w:sz w:val="30"/>
          <w:szCs w:val="30"/>
          <w:highlight w:val="none"/>
        </w:rPr>
        <w:t>附件3：残疾人福利性单位声明函（如有）</w:t>
      </w:r>
      <w:bookmarkEnd w:id="208"/>
      <w:bookmarkEnd w:id="209"/>
      <w:bookmarkEnd w:id="210"/>
    </w:p>
    <w:p w14:paraId="397050CB">
      <w:pPr>
        <w:spacing w:line="588" w:lineRule="exact"/>
        <w:jc w:val="center"/>
        <w:rPr>
          <w:rFonts w:hAnsi="宋体" w:cs="宋体"/>
          <w:b/>
          <w:spacing w:val="6"/>
          <w:sz w:val="32"/>
          <w:szCs w:val="32"/>
          <w:highlight w:val="none"/>
        </w:rPr>
      </w:pPr>
      <w:bookmarkStart w:id="211" w:name="OLE_LINK13"/>
      <w:bookmarkStart w:id="212" w:name="OLE_LINK14"/>
      <w:r>
        <w:rPr>
          <w:rFonts w:hint="eastAsia" w:hAnsi="宋体" w:cs="宋体"/>
          <w:b/>
          <w:spacing w:val="6"/>
          <w:sz w:val="32"/>
          <w:szCs w:val="32"/>
          <w:highlight w:val="none"/>
        </w:rPr>
        <w:t>残疾人福利性单位声明函</w:t>
      </w:r>
    </w:p>
    <w:bookmarkEnd w:id="211"/>
    <w:bookmarkEnd w:id="212"/>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213" w:name="_Toc2119"/>
      <w:bookmarkStart w:id="214" w:name="_Toc29109"/>
      <w:bookmarkStart w:id="215" w:name="_Toc2139"/>
      <w:r>
        <w:rPr>
          <w:rFonts w:hint="eastAsia" w:hAnsi="宋体" w:cs="宋体"/>
          <w:b/>
          <w:sz w:val="28"/>
          <w:szCs w:val="28"/>
          <w:highlight w:val="none"/>
        </w:rPr>
        <w:t>附件4：质疑函范本</w:t>
      </w:r>
      <w:bookmarkEnd w:id="213"/>
      <w:bookmarkEnd w:id="214"/>
      <w:bookmarkEnd w:id="215"/>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4"/>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B9EF6"/>
    <w:multiLevelType w:val="singleLevel"/>
    <w:tmpl w:val="882B9EF6"/>
    <w:lvl w:ilvl="0" w:tentative="0">
      <w:start w:val="1"/>
      <w:numFmt w:val="chineseCounting"/>
      <w:suff w:val="nothing"/>
      <w:lvlText w:val="%1、"/>
      <w:lvlJc w:val="left"/>
      <w:rPr>
        <w:rFonts w:hint="eastAsia"/>
      </w:rPr>
    </w:lvl>
  </w:abstractNum>
  <w:abstractNum w:abstractNumId="1">
    <w:nsid w:val="912F193D"/>
    <w:multiLevelType w:val="singleLevel"/>
    <w:tmpl w:val="912F193D"/>
    <w:lvl w:ilvl="0" w:tentative="0">
      <w:start w:val="1"/>
      <w:numFmt w:val="chineseCounting"/>
      <w:suff w:val="nothing"/>
      <w:lvlText w:val="%1、"/>
      <w:lvlJc w:val="left"/>
      <w:rPr>
        <w:rFonts w:hint="eastAsia"/>
      </w:rPr>
    </w:lvl>
  </w:abstractNum>
  <w:abstractNum w:abstractNumId="2">
    <w:nsid w:val="CF83682D"/>
    <w:multiLevelType w:val="singleLevel"/>
    <w:tmpl w:val="CF83682D"/>
    <w:lvl w:ilvl="0" w:tentative="0">
      <w:start w:val="1"/>
      <w:numFmt w:val="decimal"/>
      <w:suff w:val="nothing"/>
      <w:lvlText w:val="%1、"/>
      <w:lvlJc w:val="left"/>
    </w:lvl>
  </w:abstractNum>
  <w:abstractNum w:abstractNumId="3">
    <w:nsid w:val="DCB2CC68"/>
    <w:multiLevelType w:val="singleLevel"/>
    <w:tmpl w:val="DCB2CC68"/>
    <w:lvl w:ilvl="0" w:tentative="0">
      <w:start w:val="1"/>
      <w:numFmt w:val="decimal"/>
      <w:suff w:val="nothing"/>
      <w:lvlText w:val="%1、"/>
      <w:lvlJc w:val="left"/>
      <w:pPr>
        <w:ind w:left="120" w:leftChars="0" w:firstLine="0" w:firstLineChars="0"/>
      </w:pPr>
    </w:lvl>
  </w:abstractNum>
  <w:abstractNum w:abstractNumId="4">
    <w:nsid w:val="FCA90548"/>
    <w:multiLevelType w:val="singleLevel"/>
    <w:tmpl w:val="FCA90548"/>
    <w:lvl w:ilvl="0" w:tentative="0">
      <w:start w:val="1"/>
      <w:numFmt w:val="chineseCounting"/>
      <w:suff w:val="nothing"/>
      <w:lvlText w:val="%1、"/>
      <w:lvlJc w:val="left"/>
      <w:rPr>
        <w:rFonts w:hint="eastAsia"/>
      </w:rPr>
    </w:lvl>
  </w:abstractNum>
  <w:abstractNum w:abstractNumId="5">
    <w:nsid w:val="08757AF1"/>
    <w:multiLevelType w:val="singleLevel"/>
    <w:tmpl w:val="08757AF1"/>
    <w:lvl w:ilvl="0" w:tentative="0">
      <w:start w:val="1"/>
      <w:numFmt w:val="decimal"/>
      <w:suff w:val="nothing"/>
      <w:lvlText w:val="%1、"/>
      <w:lvlJc w:val="left"/>
    </w:lvl>
  </w:abstractNum>
  <w:abstractNum w:abstractNumId="6">
    <w:nsid w:val="0FADC753"/>
    <w:multiLevelType w:val="singleLevel"/>
    <w:tmpl w:val="0FADC753"/>
    <w:lvl w:ilvl="0" w:tentative="0">
      <w:start w:val="1"/>
      <w:numFmt w:val="decimal"/>
      <w:suff w:val="nothing"/>
      <w:lvlText w:val="%1、"/>
      <w:lvlJc w:val="left"/>
    </w:lvl>
  </w:abstractNum>
  <w:abstractNum w:abstractNumId="7">
    <w:nsid w:val="220E8119"/>
    <w:multiLevelType w:val="singleLevel"/>
    <w:tmpl w:val="220E8119"/>
    <w:lvl w:ilvl="0" w:tentative="0">
      <w:start w:val="1"/>
      <w:numFmt w:val="chineseCounting"/>
      <w:suff w:val="nothing"/>
      <w:lvlText w:val="%1、"/>
      <w:lvlJc w:val="left"/>
      <w:rPr>
        <w:rFonts w:hint="eastAsia"/>
      </w:rPr>
    </w:lvl>
  </w:abstractNum>
  <w:abstractNum w:abstractNumId="8">
    <w:nsid w:val="3269E7BF"/>
    <w:multiLevelType w:val="singleLevel"/>
    <w:tmpl w:val="3269E7BF"/>
    <w:lvl w:ilvl="0" w:tentative="0">
      <w:start w:val="4"/>
      <w:numFmt w:val="chineseCounting"/>
      <w:suff w:val="nothing"/>
      <w:lvlText w:val="%1、"/>
      <w:lvlJc w:val="left"/>
      <w:rPr>
        <w:rFonts w:hint="eastAsia"/>
      </w:rPr>
    </w:lvl>
  </w:abstractNum>
  <w:abstractNum w:abstractNumId="9">
    <w:nsid w:val="3345DCC0"/>
    <w:multiLevelType w:val="singleLevel"/>
    <w:tmpl w:val="3345DCC0"/>
    <w:lvl w:ilvl="0" w:tentative="0">
      <w:start w:val="1"/>
      <w:numFmt w:val="decimal"/>
      <w:suff w:val="nothing"/>
      <w:lvlText w:val="%1）"/>
      <w:lvlJc w:val="left"/>
    </w:lvl>
  </w:abstractNum>
  <w:abstractNum w:abstractNumId="10">
    <w:nsid w:val="33CEC18F"/>
    <w:multiLevelType w:val="singleLevel"/>
    <w:tmpl w:val="33CEC18F"/>
    <w:lvl w:ilvl="0" w:tentative="0">
      <w:start w:val="3"/>
      <w:numFmt w:val="chineseCounting"/>
      <w:suff w:val="space"/>
      <w:lvlText w:val="第%1章"/>
      <w:lvlJc w:val="left"/>
      <w:rPr>
        <w:rFonts w:hint="eastAsia"/>
      </w:rPr>
    </w:lvl>
  </w:abstractNum>
  <w:abstractNum w:abstractNumId="11">
    <w:nsid w:val="34E1EF88"/>
    <w:multiLevelType w:val="singleLevel"/>
    <w:tmpl w:val="34E1EF88"/>
    <w:lvl w:ilvl="0" w:tentative="0">
      <w:start w:val="1"/>
      <w:numFmt w:val="chineseCounting"/>
      <w:suff w:val="nothing"/>
      <w:lvlText w:val="%1、"/>
      <w:lvlJc w:val="left"/>
      <w:rPr>
        <w:rFonts w:hint="eastAsia"/>
      </w:rPr>
    </w:lvl>
  </w:abstractNum>
  <w:abstractNum w:abstractNumId="12">
    <w:nsid w:val="496832B9"/>
    <w:multiLevelType w:val="singleLevel"/>
    <w:tmpl w:val="496832B9"/>
    <w:lvl w:ilvl="0" w:tentative="0">
      <w:start w:val="1"/>
      <w:numFmt w:val="chineseCounting"/>
      <w:suff w:val="nothing"/>
      <w:lvlText w:val="%1、"/>
      <w:lvlJc w:val="left"/>
      <w:rPr>
        <w:rFonts w:hint="eastAsia"/>
      </w:rPr>
    </w:lvl>
  </w:abstractNum>
  <w:abstractNum w:abstractNumId="13">
    <w:nsid w:val="590049E8"/>
    <w:multiLevelType w:val="singleLevel"/>
    <w:tmpl w:val="590049E8"/>
    <w:lvl w:ilvl="0" w:tentative="0">
      <w:start w:val="30"/>
      <w:numFmt w:val="decimal"/>
      <w:suff w:val="nothing"/>
      <w:lvlText w:val="%1."/>
      <w:lvlJc w:val="left"/>
    </w:lvl>
  </w:abstractNum>
  <w:abstractNum w:abstractNumId="14">
    <w:nsid w:val="59B2460E"/>
    <w:multiLevelType w:val="singleLevel"/>
    <w:tmpl w:val="59B2460E"/>
    <w:lvl w:ilvl="0" w:tentative="0">
      <w:start w:val="2"/>
      <w:numFmt w:val="decimal"/>
      <w:suff w:val="nothing"/>
      <w:lvlText w:val="%1."/>
      <w:lvlJc w:val="left"/>
    </w:lvl>
  </w:abstractNum>
  <w:abstractNum w:abstractNumId="15">
    <w:nsid w:val="59CF0981"/>
    <w:multiLevelType w:val="singleLevel"/>
    <w:tmpl w:val="59CF0981"/>
    <w:lvl w:ilvl="0" w:tentative="0">
      <w:start w:val="1"/>
      <w:numFmt w:val="decimal"/>
      <w:suff w:val="nothing"/>
      <w:lvlText w:val="%1、"/>
      <w:lvlJc w:val="left"/>
    </w:lvl>
  </w:abstractNum>
  <w:num w:numId="1">
    <w:abstractNumId w:val="14"/>
  </w:num>
  <w:num w:numId="2">
    <w:abstractNumId w:val="13"/>
  </w:num>
  <w:num w:numId="3">
    <w:abstractNumId w:val="10"/>
  </w:num>
  <w:num w:numId="4">
    <w:abstractNumId w:val="15"/>
  </w:num>
  <w:num w:numId="5">
    <w:abstractNumId w:val="8"/>
  </w:num>
  <w:num w:numId="6">
    <w:abstractNumId w:val="11"/>
  </w:num>
  <w:num w:numId="7">
    <w:abstractNumId w:val="5"/>
  </w:num>
  <w:num w:numId="8">
    <w:abstractNumId w:val="0"/>
  </w:num>
  <w:num w:numId="9">
    <w:abstractNumId w:val="4"/>
  </w:num>
  <w:num w:numId="10">
    <w:abstractNumId w:val="7"/>
  </w:num>
  <w:num w:numId="11">
    <w:abstractNumId w:val="6"/>
  </w:num>
  <w:num w:numId="12">
    <w:abstractNumId w:val="12"/>
  </w:num>
  <w:num w:numId="13">
    <w:abstractNumId w:val="3"/>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EA0A37"/>
    <w:rsid w:val="045E2D89"/>
    <w:rsid w:val="04F3344E"/>
    <w:rsid w:val="04FC5FE8"/>
    <w:rsid w:val="054F4610"/>
    <w:rsid w:val="06E7111E"/>
    <w:rsid w:val="072636A7"/>
    <w:rsid w:val="07534DB1"/>
    <w:rsid w:val="075753AA"/>
    <w:rsid w:val="07CE3B8A"/>
    <w:rsid w:val="07EC2E3C"/>
    <w:rsid w:val="09035A80"/>
    <w:rsid w:val="0A3A7ED6"/>
    <w:rsid w:val="0A7B73F3"/>
    <w:rsid w:val="0A9B03C3"/>
    <w:rsid w:val="0AC01C08"/>
    <w:rsid w:val="0B2608DC"/>
    <w:rsid w:val="0B7374F2"/>
    <w:rsid w:val="0C0C3791"/>
    <w:rsid w:val="0CB75121"/>
    <w:rsid w:val="0D9F1FC7"/>
    <w:rsid w:val="0EC42C1D"/>
    <w:rsid w:val="0FCB77DB"/>
    <w:rsid w:val="106320AA"/>
    <w:rsid w:val="10771710"/>
    <w:rsid w:val="107C6E8E"/>
    <w:rsid w:val="10C03B1A"/>
    <w:rsid w:val="10D85CC4"/>
    <w:rsid w:val="114F16B3"/>
    <w:rsid w:val="11933EF1"/>
    <w:rsid w:val="11F823DD"/>
    <w:rsid w:val="124E6541"/>
    <w:rsid w:val="13055EFC"/>
    <w:rsid w:val="132A4818"/>
    <w:rsid w:val="1334275B"/>
    <w:rsid w:val="138A6B07"/>
    <w:rsid w:val="14726477"/>
    <w:rsid w:val="148B5F2F"/>
    <w:rsid w:val="14930090"/>
    <w:rsid w:val="14FF19C2"/>
    <w:rsid w:val="15454A62"/>
    <w:rsid w:val="16460527"/>
    <w:rsid w:val="17AA7A6C"/>
    <w:rsid w:val="18774565"/>
    <w:rsid w:val="18B43656"/>
    <w:rsid w:val="18DC6C36"/>
    <w:rsid w:val="18E436BB"/>
    <w:rsid w:val="19371A3D"/>
    <w:rsid w:val="1A7F74B5"/>
    <w:rsid w:val="1B051F7C"/>
    <w:rsid w:val="1BAE4D2B"/>
    <w:rsid w:val="1BED05D4"/>
    <w:rsid w:val="1BF20D44"/>
    <w:rsid w:val="1C4B5DC0"/>
    <w:rsid w:val="1D811A56"/>
    <w:rsid w:val="1EB77460"/>
    <w:rsid w:val="1EC94B5F"/>
    <w:rsid w:val="1F104D6C"/>
    <w:rsid w:val="1F126C7C"/>
    <w:rsid w:val="20334DFA"/>
    <w:rsid w:val="20530343"/>
    <w:rsid w:val="20D64D51"/>
    <w:rsid w:val="21210A4D"/>
    <w:rsid w:val="21A15D2C"/>
    <w:rsid w:val="21C82376"/>
    <w:rsid w:val="222A5947"/>
    <w:rsid w:val="22FC0750"/>
    <w:rsid w:val="244B7205"/>
    <w:rsid w:val="24C76862"/>
    <w:rsid w:val="24D93136"/>
    <w:rsid w:val="25107BC7"/>
    <w:rsid w:val="251A2FF7"/>
    <w:rsid w:val="255E3816"/>
    <w:rsid w:val="2587194A"/>
    <w:rsid w:val="26450D58"/>
    <w:rsid w:val="27192475"/>
    <w:rsid w:val="272C1927"/>
    <w:rsid w:val="275E6C94"/>
    <w:rsid w:val="279F5FDF"/>
    <w:rsid w:val="27DA394E"/>
    <w:rsid w:val="289A5B44"/>
    <w:rsid w:val="28DC0F6A"/>
    <w:rsid w:val="28EC39D0"/>
    <w:rsid w:val="296D0E83"/>
    <w:rsid w:val="297E4A9C"/>
    <w:rsid w:val="29962A80"/>
    <w:rsid w:val="29CD21FE"/>
    <w:rsid w:val="2AAB1038"/>
    <w:rsid w:val="2B1172A0"/>
    <w:rsid w:val="2B2B3DF5"/>
    <w:rsid w:val="2B571043"/>
    <w:rsid w:val="2BE7592F"/>
    <w:rsid w:val="2CC5015C"/>
    <w:rsid w:val="2D382CC6"/>
    <w:rsid w:val="2D3C1BE9"/>
    <w:rsid w:val="2D3C564F"/>
    <w:rsid w:val="2DA83DCF"/>
    <w:rsid w:val="2E4815E6"/>
    <w:rsid w:val="2EB7446F"/>
    <w:rsid w:val="2EBB4D79"/>
    <w:rsid w:val="2F02634B"/>
    <w:rsid w:val="2F620668"/>
    <w:rsid w:val="30E43FCF"/>
    <w:rsid w:val="310F12A5"/>
    <w:rsid w:val="31C85DFF"/>
    <w:rsid w:val="31CE439C"/>
    <w:rsid w:val="31E24E52"/>
    <w:rsid w:val="329D1A99"/>
    <w:rsid w:val="33996076"/>
    <w:rsid w:val="34557684"/>
    <w:rsid w:val="34E3504C"/>
    <w:rsid w:val="352128F5"/>
    <w:rsid w:val="353A5574"/>
    <w:rsid w:val="377C4D93"/>
    <w:rsid w:val="3787655B"/>
    <w:rsid w:val="391A7E65"/>
    <w:rsid w:val="39800255"/>
    <w:rsid w:val="3996367A"/>
    <w:rsid w:val="3A064C79"/>
    <w:rsid w:val="3AD061AD"/>
    <w:rsid w:val="3AF06488"/>
    <w:rsid w:val="3B663A4F"/>
    <w:rsid w:val="3BDE1F31"/>
    <w:rsid w:val="3BE82357"/>
    <w:rsid w:val="3BF43FDC"/>
    <w:rsid w:val="3C7D53DE"/>
    <w:rsid w:val="3CB61503"/>
    <w:rsid w:val="3CB6772C"/>
    <w:rsid w:val="3DA6256D"/>
    <w:rsid w:val="3E0F1745"/>
    <w:rsid w:val="3E273EB8"/>
    <w:rsid w:val="3E7C700F"/>
    <w:rsid w:val="3EB05A68"/>
    <w:rsid w:val="3EB94D72"/>
    <w:rsid w:val="3F073C8D"/>
    <w:rsid w:val="3FEC672B"/>
    <w:rsid w:val="40145023"/>
    <w:rsid w:val="40334D77"/>
    <w:rsid w:val="41571F94"/>
    <w:rsid w:val="42B37C55"/>
    <w:rsid w:val="43B937F0"/>
    <w:rsid w:val="43DC21E6"/>
    <w:rsid w:val="446B5CB5"/>
    <w:rsid w:val="449564CD"/>
    <w:rsid w:val="449D0A3E"/>
    <w:rsid w:val="44C64A78"/>
    <w:rsid w:val="450B5884"/>
    <w:rsid w:val="462F7E0C"/>
    <w:rsid w:val="474029EB"/>
    <w:rsid w:val="47F51736"/>
    <w:rsid w:val="483B06FE"/>
    <w:rsid w:val="48623B31"/>
    <w:rsid w:val="48A976AB"/>
    <w:rsid w:val="48DC7D87"/>
    <w:rsid w:val="48FB28AB"/>
    <w:rsid w:val="48FB5FF1"/>
    <w:rsid w:val="494561BB"/>
    <w:rsid w:val="49BD79B3"/>
    <w:rsid w:val="49E53559"/>
    <w:rsid w:val="4A485DC2"/>
    <w:rsid w:val="4AE86ED3"/>
    <w:rsid w:val="4B2B0B52"/>
    <w:rsid w:val="4B35377F"/>
    <w:rsid w:val="4BA95660"/>
    <w:rsid w:val="4C755A0A"/>
    <w:rsid w:val="4C977834"/>
    <w:rsid w:val="4CFE682A"/>
    <w:rsid w:val="4D3038E5"/>
    <w:rsid w:val="4D596375"/>
    <w:rsid w:val="4D946928"/>
    <w:rsid w:val="4F43377D"/>
    <w:rsid w:val="4FCA5312"/>
    <w:rsid w:val="50863AEE"/>
    <w:rsid w:val="50A15412"/>
    <w:rsid w:val="50C70192"/>
    <w:rsid w:val="51F72A4C"/>
    <w:rsid w:val="52071122"/>
    <w:rsid w:val="52237471"/>
    <w:rsid w:val="528D20F2"/>
    <w:rsid w:val="52927B75"/>
    <w:rsid w:val="5295566F"/>
    <w:rsid w:val="52B435E1"/>
    <w:rsid w:val="52E15F9A"/>
    <w:rsid w:val="530A28E4"/>
    <w:rsid w:val="535661BA"/>
    <w:rsid w:val="54201323"/>
    <w:rsid w:val="5502352F"/>
    <w:rsid w:val="552C7A66"/>
    <w:rsid w:val="560E38A4"/>
    <w:rsid w:val="572E3B80"/>
    <w:rsid w:val="57877110"/>
    <w:rsid w:val="59361347"/>
    <w:rsid w:val="596F02C5"/>
    <w:rsid w:val="59A66EED"/>
    <w:rsid w:val="59AB1B80"/>
    <w:rsid w:val="5A86434D"/>
    <w:rsid w:val="5A8D2322"/>
    <w:rsid w:val="5AA9763F"/>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8F18CA"/>
    <w:rsid w:val="62704A45"/>
    <w:rsid w:val="630A5037"/>
    <w:rsid w:val="63DA4B97"/>
    <w:rsid w:val="64332630"/>
    <w:rsid w:val="64522C79"/>
    <w:rsid w:val="64EB3807"/>
    <w:rsid w:val="65F61D40"/>
    <w:rsid w:val="665D1ED0"/>
    <w:rsid w:val="679B47E6"/>
    <w:rsid w:val="67F26828"/>
    <w:rsid w:val="67FA3F16"/>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C21CB8"/>
    <w:rsid w:val="721E7C6E"/>
    <w:rsid w:val="72252EC6"/>
    <w:rsid w:val="72C67F3E"/>
    <w:rsid w:val="735C067F"/>
    <w:rsid w:val="73613A47"/>
    <w:rsid w:val="75102D70"/>
    <w:rsid w:val="751E7E24"/>
    <w:rsid w:val="7523099D"/>
    <w:rsid w:val="75CD391D"/>
    <w:rsid w:val="76047015"/>
    <w:rsid w:val="76832D41"/>
    <w:rsid w:val="76E06023"/>
    <w:rsid w:val="770D0429"/>
    <w:rsid w:val="77227763"/>
    <w:rsid w:val="776C1A27"/>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3C6C4B"/>
    <w:rsid w:val="7FC254E9"/>
    <w:rsid w:val="7FCB7EEE"/>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next w:val="1"/>
    <w:autoRedefine/>
    <w:qFormat/>
    <w:uiPriority w:val="0"/>
    <w:pPr>
      <w:spacing w:line="380" w:lineRule="exact"/>
      <w:ind w:firstLine="420" w:firstLineChars="175"/>
    </w:pPr>
    <w:rPr>
      <w:rFonts w:ascii="宋体" w:hAnsi="宋体"/>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hAnsi="Courier New"/>
      <w:kern w:val="2"/>
      <w:sz w:val="21"/>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10"/>
    <w:next w:val="21"/>
    <w:qFormat/>
    <w:uiPriority w:val="99"/>
    <w:pPr>
      <w:ind w:firstLine="420" w:firstLineChars="100"/>
    </w:pPr>
  </w:style>
  <w:style w:type="paragraph" w:styleId="21">
    <w:name w:val="Body Text First Indent 2"/>
    <w:basedOn w:val="11"/>
    <w:next w:val="1"/>
    <w:autoRedefine/>
    <w:qFormat/>
    <w:uiPriority w:val="0"/>
    <w:pPr>
      <w:spacing w:after="120" w:afterLines="0" w:line="240" w:lineRule="auto"/>
      <w:ind w:left="200" w:leftChars="200" w:firstLine="20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MessageHeader"/>
    <w:basedOn w:val="1"/>
    <w:next w:val="28"/>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8">
    <w:name w:val="BodyText"/>
    <w:basedOn w:val="1"/>
    <w:next w:val="1"/>
    <w:autoRedefine/>
    <w:qFormat/>
    <w:uiPriority w:val="0"/>
    <w:pPr>
      <w:jc w:val="center"/>
      <w:textAlignment w:val="baseline"/>
    </w:pPr>
  </w:style>
  <w:style w:type="paragraph" w:customStyle="1" w:styleId="29">
    <w:name w:val="列表段落1"/>
    <w:basedOn w:val="1"/>
    <w:autoRedefine/>
    <w:qFormat/>
    <w:uiPriority w:val="34"/>
    <w:pPr>
      <w:ind w:firstLine="420" w:firstLineChars="200"/>
    </w:pPr>
  </w:style>
  <w:style w:type="paragraph" w:customStyle="1" w:styleId="30">
    <w:name w:val="Default"/>
    <w:next w:val="31"/>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大标题"/>
    <w:basedOn w:val="1"/>
    <w:next w:val="21"/>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character" w:customStyle="1" w:styleId="40">
    <w:name w:val="font11"/>
    <w:basedOn w:val="24"/>
    <w:qFormat/>
    <w:uiPriority w:val="0"/>
    <w:rPr>
      <w:rFonts w:hint="eastAsia" w:ascii="宋体" w:hAnsi="宋体" w:eastAsia="宋体" w:cs="宋体"/>
      <w:b/>
      <w:bCs/>
      <w:color w:val="000000"/>
      <w:sz w:val="22"/>
      <w:szCs w:val="22"/>
      <w:u w:val="none"/>
    </w:rPr>
  </w:style>
  <w:style w:type="character" w:customStyle="1" w:styleId="41">
    <w:name w:val="font41"/>
    <w:basedOn w:val="24"/>
    <w:qFormat/>
    <w:uiPriority w:val="0"/>
    <w:rPr>
      <w:rFonts w:ascii="宋体" w:hAnsi="宋体" w:eastAsia="宋体" w:cs="宋体"/>
      <w:b/>
      <w:bCs/>
      <w:color w:val="000000"/>
      <w:sz w:val="18"/>
      <w:szCs w:val="18"/>
      <w:u w:val="none"/>
    </w:rPr>
  </w:style>
  <w:style w:type="character" w:customStyle="1" w:styleId="42">
    <w:name w:val="font51"/>
    <w:basedOn w:val="24"/>
    <w:qFormat/>
    <w:uiPriority w:val="0"/>
    <w:rPr>
      <w:rFonts w:ascii="宋体" w:hAnsi="宋体" w:eastAsia="宋体" w:cs="宋体"/>
      <w:color w:val="000000"/>
      <w:sz w:val="12"/>
      <w:szCs w:val="12"/>
      <w:u w:val="none"/>
    </w:rPr>
  </w:style>
  <w:style w:type="character" w:customStyle="1" w:styleId="43">
    <w:name w:val="font61"/>
    <w:basedOn w:val="24"/>
    <w:qFormat/>
    <w:uiPriority w:val="0"/>
    <w:rPr>
      <w:rFonts w:ascii="宋体" w:hAnsi="宋体" w:eastAsia="宋体" w:cs="宋体"/>
      <w:b/>
      <w:bCs/>
      <w:color w:val="000000"/>
      <w:sz w:val="12"/>
      <w:szCs w:val="12"/>
      <w:u w:val="none"/>
    </w:rPr>
  </w:style>
  <w:style w:type="paragraph" w:customStyle="1" w:styleId="44">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26516</Words>
  <Characters>28237</Characters>
  <Lines>240</Lines>
  <Paragraphs>67</Paragraphs>
  <TotalTime>12</TotalTime>
  <ScaleCrop>false</ScaleCrop>
  <LinksUpToDate>false</LinksUpToDate>
  <CharactersWithSpaces>29421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2025-09-09T08:57:16Z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72E86C72C07D4656A8CCF7E1A88934E3_13</vt:lpwstr>
  </property>
  <property fmtid="{D5CDD505-2E9C-101B-9397-08002B2CF9AE}" pid="4" name="KSOTemplateDocerSaveRecord">
    <vt:lpwstr>eyJoZGlkIjoiMzk2MTljMjQ2ZmM1YTViMzFmYmJjNDI2MjcxMWZiNWYiLCJ1c2VySWQiOiI2NzQ5OTQ4MDEifQ==</vt:lpwstr>
  </property>
</Properties>
</file>