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SXZCZB2025-ZCCS-0924</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72ACAE46">
      <w:pPr>
        <w:jc w:val="center"/>
        <w:rPr>
          <w:rFonts w:hAnsi="宋体" w:cs="宋体"/>
          <w:b/>
          <w:color w:val="auto"/>
          <w:sz w:val="72"/>
          <w:szCs w:val="72"/>
          <w:highlight w:val="none"/>
        </w:rPr>
      </w:pPr>
      <w:r>
        <w:rPr>
          <w:rFonts w:hint="eastAsia" w:hAnsi="宋体" w:cs="宋体"/>
          <w:b/>
          <w:bCs/>
          <w:color w:val="auto"/>
          <w:sz w:val="60"/>
          <w:szCs w:val="60"/>
          <w:highlight w:val="none"/>
          <w:lang w:eastAsia="zh-CN"/>
        </w:rPr>
        <w:t>柞水中学2025年组团式帮扶体育场地达标及校园公共区域数字化提升项目</w:t>
      </w:r>
    </w:p>
    <w:p w14:paraId="4363D4D3">
      <w:pPr>
        <w:spacing w:line="780" w:lineRule="auto"/>
        <w:jc w:val="center"/>
        <w:rPr>
          <w:rFonts w:hAnsi="宋体" w:cs="宋体"/>
          <w:b/>
          <w:color w:val="auto"/>
          <w:sz w:val="72"/>
          <w:szCs w:val="72"/>
          <w:highlight w:val="none"/>
        </w:rPr>
      </w:pPr>
    </w:p>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11"/>
        <w:rPr>
          <w:color w:val="auto"/>
          <w:highlight w:val="none"/>
        </w:rPr>
      </w:pPr>
    </w:p>
    <w:p w14:paraId="304BFCAF">
      <w:pPr>
        <w:rPr>
          <w:rFonts w:hAnsi="宋体" w:cs="宋体"/>
          <w:b/>
          <w:color w:val="auto"/>
          <w:sz w:val="36"/>
          <w:szCs w:val="36"/>
          <w:highlight w:val="none"/>
        </w:rPr>
      </w:pPr>
    </w:p>
    <w:p w14:paraId="30D2364E">
      <w:pPr>
        <w:pStyle w:val="11"/>
        <w:jc w:val="center"/>
        <w:rPr>
          <w:rFonts w:hAnsi="宋体" w:cs="宋体"/>
          <w:b/>
          <w:color w:val="auto"/>
          <w:sz w:val="32"/>
          <w:szCs w:val="32"/>
          <w:highlight w:val="none"/>
        </w:rPr>
      </w:pPr>
    </w:p>
    <w:p w14:paraId="5093031D">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柞水县中学</w:t>
      </w:r>
    </w:p>
    <w:p w14:paraId="74ED0637">
      <w:pPr>
        <w:ind w:left="2400" w:leftChars="10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11"/>
        <w:spacing w:after="0"/>
        <w:ind w:left="2400" w:leftChars="1000"/>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九</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EE937B6">
      <w:pPr>
        <w:pStyle w:val="5"/>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9"/>
        <w:tabs>
          <w:tab w:val="right" w:leader="dot" w:pos="8787"/>
        </w:tabs>
        <w:rPr>
          <w:color w:val="auto"/>
          <w:sz w:val="28"/>
          <w:szCs w:val="28"/>
          <w:highlight w:val="none"/>
        </w:rPr>
      </w:pPr>
      <w:bookmarkStart w:id="1" w:name="_Toc19886"/>
      <w:bookmarkStart w:id="2" w:name="_Toc16218"/>
      <w:bookmarkStart w:id="3" w:name="_Toc20652"/>
      <w:bookmarkStart w:id="4" w:name="_Toc21518"/>
      <w:bookmarkStart w:id="5" w:name="_Toc5293"/>
      <w:bookmarkStart w:id="6" w:name="_Toc20858"/>
      <w:bookmarkStart w:id="7" w:name="_Toc389582033"/>
      <w:bookmarkStart w:id="8" w:name="_Toc27420"/>
      <w:bookmarkStart w:id="9" w:name="_Toc403077638"/>
      <w:bookmarkStart w:id="10" w:name="_Toc363473971"/>
      <w:bookmarkStart w:id="11" w:name="_Toc363474016"/>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1"/>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24</w:t>
      </w:r>
      <w:r>
        <w:rPr>
          <w:color w:val="auto"/>
          <w:sz w:val="28"/>
          <w:szCs w:val="28"/>
          <w:highlight w:val="none"/>
        </w:rPr>
        <w:fldChar w:fldCharType="end"/>
      </w:r>
      <w:r>
        <w:rPr>
          <w:color w:val="auto"/>
          <w:sz w:val="28"/>
          <w:szCs w:val="28"/>
          <w:highlight w:val="none"/>
        </w:rPr>
        <w:fldChar w:fldCharType="end"/>
      </w:r>
    </w:p>
    <w:p w14:paraId="136DDB75">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4526783A">
      <w:pPr>
        <w:pStyle w:val="21"/>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2CCAFEE2">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6567641">
      <w:pPr>
        <w:pStyle w:val="19"/>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5C1115D">
      <w:pPr>
        <w:pStyle w:val="19"/>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539020FB">
      <w:pPr>
        <w:pStyle w:val="4"/>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4"/>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15104"/>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62E5FC40">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bookmarkStart w:id="14" w:name="_Toc2929"/>
      <w:bookmarkStart w:id="15" w:name="_Toc389582035"/>
      <w:bookmarkStart w:id="16" w:name="_Toc423973072"/>
      <w:bookmarkStart w:id="17" w:name="_Toc29249"/>
      <w:r>
        <w:rPr>
          <w:rFonts w:hint="eastAsia" w:ascii="宋体" w:hAnsi="宋体" w:eastAsia="宋体" w:cs="宋体"/>
          <w:b/>
          <w:bCs/>
          <w:i w:val="0"/>
          <w:iCs w:val="0"/>
          <w:caps w:val="0"/>
          <w:color w:val="333333"/>
          <w:spacing w:val="0"/>
          <w:sz w:val="24"/>
          <w:szCs w:val="24"/>
          <w:highlight w:val="none"/>
          <w:shd w:val="clear" w:fill="FFFFFF"/>
        </w:rPr>
        <w:t>项目概况</w:t>
      </w:r>
    </w:p>
    <w:p w14:paraId="6DE82BF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hAnsi="宋体" w:cs="宋体"/>
          <w:i w:val="0"/>
          <w:iCs w:val="0"/>
          <w:caps w:val="0"/>
          <w:color w:val="333333"/>
          <w:spacing w:val="0"/>
          <w:sz w:val="24"/>
          <w:szCs w:val="24"/>
          <w:highlight w:val="none"/>
          <w:shd w:val="clear" w:fill="FFFFFF"/>
          <w:lang w:eastAsia="zh-CN"/>
        </w:rPr>
        <w:t>柞水中学2025年组团式帮扶体育场地达标及校园公共区域数字化提升项目</w:t>
      </w:r>
      <w:r>
        <w:rPr>
          <w:rFonts w:hint="eastAsia" w:ascii="宋体" w:hAnsi="宋体" w:eastAsia="宋体" w:cs="宋体"/>
          <w:i w:val="0"/>
          <w:iCs w:val="0"/>
          <w:caps w:val="0"/>
          <w:color w:val="333333"/>
          <w:spacing w:val="0"/>
          <w:sz w:val="24"/>
          <w:szCs w:val="24"/>
          <w:highlight w:val="none"/>
          <w:shd w:val="clear" w:fill="FFFFFF"/>
        </w:rPr>
        <w:t>采购项目的潜在供应商应在</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03室获取采购文件，并于  2025年09月19日 14时30分 （北京时间）前提交响应文件。</w:t>
      </w:r>
    </w:p>
    <w:p w14:paraId="48841996">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一、项目基本情况</w:t>
      </w:r>
    </w:p>
    <w:p w14:paraId="738337D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项目编号：</w:t>
      </w:r>
      <w:r>
        <w:rPr>
          <w:rFonts w:hint="eastAsia" w:hAnsi="宋体" w:cs="宋体"/>
          <w:i w:val="0"/>
          <w:iCs w:val="0"/>
          <w:caps w:val="0"/>
          <w:color w:val="333333"/>
          <w:spacing w:val="0"/>
          <w:sz w:val="24"/>
          <w:szCs w:val="24"/>
          <w:highlight w:val="none"/>
          <w:shd w:val="clear" w:fill="FFFFFF"/>
          <w:lang w:eastAsia="zh-CN"/>
        </w:rPr>
        <w:t>SXZCZB2025-ZCCS-0924</w:t>
      </w:r>
    </w:p>
    <w:p w14:paraId="63A8D69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项目名称：</w:t>
      </w:r>
      <w:r>
        <w:rPr>
          <w:rFonts w:hint="eastAsia" w:hAnsi="宋体" w:cs="宋体"/>
          <w:i w:val="0"/>
          <w:iCs w:val="0"/>
          <w:caps w:val="0"/>
          <w:color w:val="333333"/>
          <w:spacing w:val="0"/>
          <w:sz w:val="24"/>
          <w:szCs w:val="24"/>
          <w:highlight w:val="none"/>
          <w:shd w:val="clear" w:fill="FFFFFF"/>
          <w:lang w:eastAsia="zh-CN"/>
        </w:rPr>
        <w:t>柞水中学2025年组团式帮扶体育场地达标及校园公共区域数字化提升项目</w:t>
      </w:r>
    </w:p>
    <w:p w14:paraId="24E4293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采购方式：竞争性磋商</w:t>
      </w:r>
    </w:p>
    <w:p w14:paraId="46781B4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预算金额：</w:t>
      </w:r>
      <w:r>
        <w:rPr>
          <w:rFonts w:hint="eastAsia" w:hAnsi="宋体" w:cs="宋体"/>
          <w:i w:val="0"/>
          <w:iCs w:val="0"/>
          <w:caps w:val="0"/>
          <w:color w:val="333333"/>
          <w:spacing w:val="0"/>
          <w:sz w:val="24"/>
          <w:szCs w:val="24"/>
          <w:highlight w:val="none"/>
          <w:shd w:val="clear" w:fill="FFFFFF"/>
          <w:lang w:eastAsia="zh-CN"/>
        </w:rPr>
        <w:t>2,155,300.00</w:t>
      </w:r>
      <w:r>
        <w:rPr>
          <w:rFonts w:hint="eastAsia" w:ascii="宋体" w:hAnsi="宋体" w:eastAsia="宋体" w:cs="宋体"/>
          <w:i w:val="0"/>
          <w:iCs w:val="0"/>
          <w:caps w:val="0"/>
          <w:color w:val="333333"/>
          <w:spacing w:val="0"/>
          <w:sz w:val="24"/>
          <w:szCs w:val="24"/>
          <w:highlight w:val="none"/>
          <w:shd w:val="clear" w:fill="FFFFFF"/>
        </w:rPr>
        <w:t>元</w:t>
      </w:r>
    </w:p>
    <w:p w14:paraId="3DEEB1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采购需求：</w:t>
      </w:r>
    </w:p>
    <w:p w14:paraId="1969D2B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柞水中学2025年组团式帮扶体育场地达标及校园公共区域数字化提升项目</w:t>
      </w:r>
      <w:r>
        <w:rPr>
          <w:rFonts w:hint="eastAsia" w:ascii="宋体" w:hAnsi="宋体" w:eastAsia="宋体" w:cs="宋体"/>
          <w:i w:val="0"/>
          <w:iCs w:val="0"/>
          <w:caps w:val="0"/>
          <w:color w:val="333333"/>
          <w:spacing w:val="0"/>
          <w:sz w:val="24"/>
          <w:szCs w:val="24"/>
          <w:highlight w:val="none"/>
          <w:shd w:val="clear" w:fill="FFFFFF"/>
        </w:rPr>
        <w:t>):</w:t>
      </w:r>
    </w:p>
    <w:p w14:paraId="2490ADE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合同包预算金额：</w:t>
      </w:r>
      <w:r>
        <w:rPr>
          <w:rFonts w:hint="eastAsia" w:hAnsi="宋体" w:cs="宋体"/>
          <w:i w:val="0"/>
          <w:iCs w:val="0"/>
          <w:caps w:val="0"/>
          <w:color w:val="333333"/>
          <w:spacing w:val="0"/>
          <w:sz w:val="24"/>
          <w:szCs w:val="24"/>
          <w:highlight w:val="none"/>
          <w:shd w:val="clear" w:fill="FFFFFF"/>
          <w:lang w:eastAsia="zh-CN"/>
        </w:rPr>
        <w:t>2,155,300.00</w:t>
      </w:r>
      <w:r>
        <w:rPr>
          <w:rFonts w:hint="eastAsia" w:ascii="宋体" w:hAnsi="宋体" w:eastAsia="宋体" w:cs="宋体"/>
          <w:i w:val="0"/>
          <w:iCs w:val="0"/>
          <w:caps w:val="0"/>
          <w:color w:val="333333"/>
          <w:spacing w:val="0"/>
          <w:sz w:val="24"/>
          <w:szCs w:val="24"/>
          <w:highlight w:val="none"/>
          <w:shd w:val="clear" w:fill="FFFFFF"/>
        </w:rPr>
        <w:t>元</w:t>
      </w:r>
    </w:p>
    <w:p w14:paraId="7C13920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合同包最高限价：</w:t>
      </w:r>
      <w:r>
        <w:rPr>
          <w:rFonts w:hint="eastAsia" w:hAnsi="宋体" w:cs="宋体"/>
          <w:i w:val="0"/>
          <w:iCs w:val="0"/>
          <w:caps w:val="0"/>
          <w:color w:val="333333"/>
          <w:spacing w:val="0"/>
          <w:sz w:val="24"/>
          <w:szCs w:val="24"/>
          <w:highlight w:val="none"/>
          <w:shd w:val="clear" w:fill="FFFFFF"/>
          <w:lang w:eastAsia="zh-CN"/>
        </w:rPr>
        <w:t>2,155,300.00</w:t>
      </w:r>
      <w:r>
        <w:rPr>
          <w:rFonts w:hint="eastAsia" w:ascii="宋体" w:hAnsi="宋体" w:eastAsia="宋体" w:cs="宋体"/>
          <w:i w:val="0"/>
          <w:iCs w:val="0"/>
          <w:caps w:val="0"/>
          <w:color w:val="333333"/>
          <w:spacing w:val="0"/>
          <w:sz w:val="24"/>
          <w:szCs w:val="24"/>
          <w:highlight w:val="none"/>
          <w:shd w:val="clear" w:fill="FFFFFF"/>
        </w:rPr>
        <w:t>元</w:t>
      </w:r>
    </w:p>
    <w:tbl>
      <w:tblPr>
        <w:tblStyle w:val="25"/>
        <w:tblW w:w="499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48"/>
        <w:gridCol w:w="1845"/>
        <w:gridCol w:w="1500"/>
        <w:gridCol w:w="1500"/>
        <w:gridCol w:w="1500"/>
        <w:gridCol w:w="1793"/>
      </w:tblGrid>
      <w:tr w14:paraId="27ECC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18" w:type="pct"/>
            <w:vAlign w:val="center"/>
          </w:tcPr>
          <w:p w14:paraId="7D96952A">
            <w:pPr>
              <w:bidi w:val="0"/>
              <w:jc w:val="center"/>
              <w:rPr>
                <w:highlight w:val="none"/>
              </w:rPr>
            </w:pPr>
            <w:r>
              <w:rPr>
                <w:highlight w:val="none"/>
              </w:rPr>
              <w:t>品目号</w:t>
            </w:r>
          </w:p>
        </w:tc>
        <w:tc>
          <w:tcPr>
            <w:tcW w:w="993" w:type="pct"/>
            <w:vAlign w:val="center"/>
          </w:tcPr>
          <w:p w14:paraId="39500A60">
            <w:pPr>
              <w:bidi w:val="0"/>
              <w:jc w:val="center"/>
              <w:rPr>
                <w:highlight w:val="none"/>
              </w:rPr>
            </w:pPr>
            <w:r>
              <w:rPr>
                <w:highlight w:val="none"/>
              </w:rPr>
              <w:t>品目名称</w:t>
            </w:r>
          </w:p>
        </w:tc>
        <w:tc>
          <w:tcPr>
            <w:tcW w:w="807" w:type="pct"/>
            <w:vAlign w:val="center"/>
          </w:tcPr>
          <w:p w14:paraId="40FB2CD0">
            <w:pPr>
              <w:bidi w:val="0"/>
              <w:jc w:val="center"/>
              <w:rPr>
                <w:highlight w:val="none"/>
              </w:rPr>
            </w:pPr>
            <w:r>
              <w:rPr>
                <w:highlight w:val="none"/>
              </w:rPr>
              <w:t>采购标的</w:t>
            </w:r>
          </w:p>
        </w:tc>
        <w:tc>
          <w:tcPr>
            <w:tcW w:w="807" w:type="pct"/>
            <w:vAlign w:val="center"/>
          </w:tcPr>
          <w:p w14:paraId="5D6AC2C1">
            <w:pPr>
              <w:bidi w:val="0"/>
              <w:jc w:val="center"/>
              <w:rPr>
                <w:highlight w:val="none"/>
              </w:rPr>
            </w:pPr>
            <w:r>
              <w:rPr>
                <w:highlight w:val="none"/>
              </w:rPr>
              <w:t>数量（单位）</w:t>
            </w:r>
          </w:p>
        </w:tc>
        <w:tc>
          <w:tcPr>
            <w:tcW w:w="807" w:type="pct"/>
            <w:vAlign w:val="center"/>
          </w:tcPr>
          <w:p w14:paraId="2387A382">
            <w:pPr>
              <w:bidi w:val="0"/>
              <w:jc w:val="center"/>
              <w:rPr>
                <w:highlight w:val="none"/>
              </w:rPr>
            </w:pPr>
            <w:r>
              <w:rPr>
                <w:highlight w:val="none"/>
              </w:rPr>
              <w:t>技术规格、参数及要求</w:t>
            </w:r>
          </w:p>
        </w:tc>
        <w:tc>
          <w:tcPr>
            <w:tcW w:w="965" w:type="pct"/>
            <w:vAlign w:val="center"/>
          </w:tcPr>
          <w:p w14:paraId="193EA9FA">
            <w:pPr>
              <w:bidi w:val="0"/>
              <w:jc w:val="center"/>
              <w:rPr>
                <w:highlight w:val="none"/>
              </w:rPr>
            </w:pPr>
            <w:r>
              <w:rPr>
                <w:highlight w:val="none"/>
              </w:rPr>
              <w:t>品目预算(元)</w:t>
            </w:r>
          </w:p>
        </w:tc>
      </w:tr>
      <w:tr w14:paraId="78905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18" w:type="pct"/>
            <w:vAlign w:val="center"/>
          </w:tcPr>
          <w:p w14:paraId="0053EDF2">
            <w:pPr>
              <w:bidi w:val="0"/>
              <w:jc w:val="center"/>
              <w:rPr>
                <w:highlight w:val="none"/>
              </w:rPr>
            </w:pPr>
            <w:r>
              <w:rPr>
                <w:highlight w:val="none"/>
              </w:rPr>
              <w:t>1-1</w:t>
            </w:r>
          </w:p>
        </w:tc>
        <w:tc>
          <w:tcPr>
            <w:tcW w:w="993" w:type="pct"/>
            <w:vAlign w:val="center"/>
          </w:tcPr>
          <w:p w14:paraId="000AE5C1">
            <w:pPr>
              <w:bidi w:val="0"/>
              <w:jc w:val="center"/>
              <w:rPr>
                <w:highlight w:val="none"/>
              </w:rPr>
            </w:pPr>
            <w:r>
              <w:rPr>
                <w:rFonts w:hint="eastAsia"/>
                <w:highlight w:val="none"/>
              </w:rPr>
              <w:t>其他专业施工</w:t>
            </w:r>
          </w:p>
        </w:tc>
        <w:tc>
          <w:tcPr>
            <w:tcW w:w="807" w:type="pct"/>
            <w:vAlign w:val="center"/>
          </w:tcPr>
          <w:p w14:paraId="2FE5CE68">
            <w:pPr>
              <w:bidi w:val="0"/>
              <w:jc w:val="center"/>
              <w:rPr>
                <w:highlight w:val="none"/>
              </w:rPr>
            </w:pPr>
            <w:r>
              <w:rPr>
                <w:rFonts w:hint="eastAsia"/>
                <w:highlight w:val="none"/>
              </w:rPr>
              <w:t>体育场地达标及校园公共区域数字化提升项目</w:t>
            </w:r>
          </w:p>
        </w:tc>
        <w:tc>
          <w:tcPr>
            <w:tcW w:w="807" w:type="pct"/>
            <w:vAlign w:val="center"/>
          </w:tcPr>
          <w:p w14:paraId="3CADCF86">
            <w:pPr>
              <w:bidi w:val="0"/>
              <w:jc w:val="center"/>
              <w:rPr>
                <w:highlight w:val="none"/>
              </w:rPr>
            </w:pPr>
            <w:r>
              <w:rPr>
                <w:highlight w:val="none"/>
              </w:rPr>
              <w:t>1(项)</w:t>
            </w:r>
          </w:p>
        </w:tc>
        <w:tc>
          <w:tcPr>
            <w:tcW w:w="807" w:type="pct"/>
            <w:vAlign w:val="center"/>
          </w:tcPr>
          <w:p w14:paraId="234E7254">
            <w:pPr>
              <w:bidi w:val="0"/>
              <w:jc w:val="center"/>
              <w:rPr>
                <w:highlight w:val="none"/>
              </w:rPr>
            </w:pPr>
            <w:r>
              <w:rPr>
                <w:highlight w:val="none"/>
              </w:rPr>
              <w:t>详见采购文件</w:t>
            </w:r>
          </w:p>
        </w:tc>
        <w:tc>
          <w:tcPr>
            <w:tcW w:w="965" w:type="pct"/>
            <w:vAlign w:val="center"/>
          </w:tcPr>
          <w:p w14:paraId="75A3EF82">
            <w:pPr>
              <w:bidi w:val="0"/>
              <w:jc w:val="center"/>
              <w:rPr>
                <w:rFonts w:hint="eastAsia" w:eastAsia="宋体"/>
                <w:highlight w:val="none"/>
                <w:lang w:eastAsia="zh-CN"/>
              </w:rPr>
            </w:pPr>
            <w:r>
              <w:rPr>
                <w:rFonts w:hint="eastAsia"/>
                <w:highlight w:val="none"/>
                <w:lang w:eastAsia="zh-CN"/>
              </w:rPr>
              <w:t>2,155,300.00</w:t>
            </w:r>
          </w:p>
        </w:tc>
      </w:tr>
    </w:tbl>
    <w:p w14:paraId="791AD58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本合同包不接受联合体投标</w:t>
      </w:r>
    </w:p>
    <w:p w14:paraId="0AB62CD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合同履行期限：无</w:t>
      </w:r>
    </w:p>
    <w:p w14:paraId="22090B0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二、申请人的资格要求：</w:t>
      </w:r>
    </w:p>
    <w:p w14:paraId="3000D732">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1.满足《中华人民共和国政府采购法》第二十二条规定;</w:t>
      </w:r>
    </w:p>
    <w:p w14:paraId="098CC3D8">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2.落实政府采购政策需满足的资格要求：</w:t>
      </w:r>
    </w:p>
    <w:p w14:paraId="1A532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柞水中学2025年组团式帮扶体育场地达标及校园公共区域数字化提升项目</w:t>
      </w:r>
      <w:r>
        <w:rPr>
          <w:rFonts w:hint="eastAsia" w:ascii="宋体" w:hAnsi="宋体" w:eastAsia="宋体" w:cs="宋体"/>
          <w:i w:val="0"/>
          <w:iCs w:val="0"/>
          <w:caps w:val="0"/>
          <w:color w:val="333333"/>
          <w:spacing w:val="0"/>
          <w:sz w:val="24"/>
          <w:szCs w:val="24"/>
          <w:highlight w:val="none"/>
          <w:shd w:val="clear" w:fill="FFFFFF"/>
        </w:rPr>
        <w:t>)落实政府采购政策需满足的资格要求如下:</w:t>
      </w:r>
    </w:p>
    <w:p w14:paraId="6C2FE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（1）《政府采购促进中小企业发展管理办法》（财库〔2020〕46号）；</w:t>
      </w:r>
    </w:p>
    <w:p w14:paraId="1A4E4E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（2）《财政部司法部关于政府采购支持监狱企业发展有关问题的通知》（财库〔2014〕68号）；</w:t>
      </w:r>
    </w:p>
    <w:p w14:paraId="7B923B7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（3）《关于促进残疾人就业政府采购政策的通知》（财库〔2017〕141号）；</w:t>
      </w:r>
    </w:p>
    <w:p w14:paraId="5520A86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（4）《节能产品政府采购实施意见》（财库〔2004〕185号）；</w:t>
      </w:r>
    </w:p>
    <w:p w14:paraId="2C108C1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（5）《环境标志产品政府采购实施的意见》（财库〔2006〕90号）；</w:t>
      </w:r>
    </w:p>
    <w:p w14:paraId="767139B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（6）《国务院办公厅关于建立政府强制采购节能产品制度的通知》（国办发〔2007〕51号）；</w:t>
      </w:r>
    </w:p>
    <w:p w14:paraId="2FD184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（7）财政部发展改革委生态环境部市场监管总局关于调整优化节能产品、环境标志产品政府采购执行机制的通知（财库〔2019〕9号）；</w:t>
      </w:r>
    </w:p>
    <w:p w14:paraId="48ABD51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（8）《关于印发环境标志产品政府采购品目清单的通知》--（财库〔2019〕18号）；</w:t>
      </w:r>
    </w:p>
    <w:p w14:paraId="3DB110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（9）《关于印发节能产品政府采购品目清单的通知》--（财库〔2019〕19号）；</w:t>
      </w:r>
    </w:p>
    <w:p w14:paraId="00CD671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（10）《关于发布参与实施政府采购节能产品、环境标志产品认证机构名录的公告》—2019年第16号；</w:t>
      </w:r>
    </w:p>
    <w:p w14:paraId="14834CD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（11）《关于运用政府采购政策支持乡村产业振兴的通知》（财库〔2021〕19号）；</w:t>
      </w:r>
    </w:p>
    <w:p w14:paraId="5F39A5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（12）陕西省财政厅关于印发《陕西省中小企业政府采购信用融资办法》（陕财办采〔2018〕23号），相关政策、业务流程、办理平台（详见http://www.ccgp-shaanxi.gov.cn/zcdservice/zcd/shanxi/）；</w:t>
      </w:r>
    </w:p>
    <w:p w14:paraId="6D74F92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（13）《陕西省财政厅关于加快推进我省中小企业政府采购信用融资工作的通知》（陕财办采〔2020〕15号）；</w:t>
      </w:r>
    </w:p>
    <w:p w14:paraId="5EED62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（14）《关于进一步加强政府绿色采购有关问题的通知》（陕财办采〔2021〕29号）；</w:t>
      </w:r>
    </w:p>
    <w:p w14:paraId="077060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（15）《陕西省财政厅陕西省工业和信息化厅关于运用政府采购政策支持首台（套）及创新产品有关事项的通知》（陕财办采〔2021〕17号）；</w:t>
      </w:r>
    </w:p>
    <w:p w14:paraId="05E776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（16）《关于进一步加大政府采购支持中小企业力度的通知》（财库〔2022〕19号）、《关于落实政府采购支持中小企业政策有关事项的通知》（陕财办采函〔2022〕10号）；</w:t>
      </w:r>
    </w:p>
    <w:p w14:paraId="03625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（17）其他需要落实的政府采购政策。</w:t>
      </w:r>
    </w:p>
    <w:p w14:paraId="2DFBBEFB">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3.本项目的特定资格要求：</w:t>
      </w:r>
    </w:p>
    <w:p w14:paraId="06C289B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柞水中学2025年组团式帮扶体育场地达标及校园公共区域数字化提升项目</w:t>
      </w:r>
      <w:r>
        <w:rPr>
          <w:rFonts w:hint="eastAsia" w:ascii="宋体" w:hAnsi="宋体" w:eastAsia="宋体" w:cs="宋体"/>
          <w:i w:val="0"/>
          <w:iCs w:val="0"/>
          <w:caps w:val="0"/>
          <w:color w:val="333333"/>
          <w:spacing w:val="0"/>
          <w:sz w:val="24"/>
          <w:szCs w:val="24"/>
          <w:highlight w:val="none"/>
          <w:shd w:val="clear" w:fill="FFFFFF"/>
        </w:rPr>
        <w:t>)特定资格要求如下:</w:t>
      </w:r>
    </w:p>
    <w:p w14:paraId="1AAB459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36FAC43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(2)法定代表人直接参加的，须提供法定代表人身份证明；法定代表人授权代表参加的，须提供法定代表人授权委托书；</w:t>
      </w:r>
    </w:p>
    <w:p w14:paraId="110425E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(3)提供2024年度的财务审计报告（成立时间至提交响应文件截止时间不足一年的可提供成立后任意时段的资产负债表）或开标时间前六个月内银行出具的资信证明；</w:t>
      </w:r>
    </w:p>
    <w:p w14:paraId="0C92688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(4)提供响应文件截止日前一年内已缴纳的至少一个月的纳税证明或完税证明（任意税种），依法免税的单位应提供相关证明材料；</w:t>
      </w:r>
    </w:p>
    <w:p w14:paraId="1F718AE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(5)提供响应文件截止日前一年内已缴存的至少一个月的社会保障资金缴存单据或社保机构开具的社会保险参保缴费情况证明，依法不需要缴纳社会保障资金的单位应提供相关证明材料；</w:t>
      </w:r>
    </w:p>
    <w:p w14:paraId="3A0C56E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43AEA90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（7）供应商须具备建筑工程施工总承包三级及以上资质，并具有合格有效的安全生产许可证；</w:t>
      </w:r>
    </w:p>
    <w:p w14:paraId="4C83A70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（8）供应商拟派项目负责人具备建筑工程专业二级及以上注册建造师资格，并持建设行政主管部门核发的有效的安全考核合格证书（B 证），且无在建项目；</w:t>
      </w:r>
    </w:p>
    <w:p w14:paraId="07A3AD6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（9)参加政府采购活动前3年内，在经营活动中没有重大违法记录的书面声明；</w:t>
      </w:r>
    </w:p>
    <w:p w14:paraId="2B658CC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(10)提供具有履行合同所必需的设备和专业技术能力的承诺函；</w:t>
      </w:r>
    </w:p>
    <w:p w14:paraId="08E1222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(11)供应商须提供中小企业声明函；</w:t>
      </w:r>
    </w:p>
    <w:p w14:paraId="58152C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(12)本项目不接受联合体磋商（需提供承诺书）；</w:t>
      </w:r>
    </w:p>
    <w:p w14:paraId="5EC42141">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三、获取采购文件</w:t>
      </w:r>
    </w:p>
    <w:p w14:paraId="38722C6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时间：2025年09月09日 至 2025年09月15日 ，每天上午09:00:00至12:00:00，下午14:00:00至17:00:00（北京时间）</w:t>
      </w:r>
    </w:p>
    <w:p w14:paraId="3279C3C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途径：</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66C4EB6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方式：现场获取</w:t>
      </w:r>
    </w:p>
    <w:p w14:paraId="76C9804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售价：0元</w:t>
      </w:r>
    </w:p>
    <w:p w14:paraId="289C1139">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四、响应文件提交</w:t>
      </w:r>
    </w:p>
    <w:p w14:paraId="479314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截止时间：2025年09月19日 14时30分00秒 （北京时间）</w:t>
      </w:r>
    </w:p>
    <w:p w14:paraId="645B965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5673350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五、开启</w:t>
      </w:r>
    </w:p>
    <w:p w14:paraId="3249337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 2025年09月19日 14时30分00秒 （北京时间）</w:t>
      </w:r>
    </w:p>
    <w:p w14:paraId="5D5E34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7C668E8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六、公告期限</w:t>
      </w:r>
    </w:p>
    <w:p w14:paraId="6AA37E3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自本公告发布之日起3个工作日。</w:t>
      </w:r>
    </w:p>
    <w:p w14:paraId="058816C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七、其他补充事宜</w:t>
      </w:r>
    </w:p>
    <w:p w14:paraId="476A164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（1）供应商领取采购文件时，请携带单位介绍信及经办人身份证原件及复印件加盖公章；</w:t>
      </w:r>
    </w:p>
    <w:p w14:paraId="0B021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（2）请供应商按照《陕西省财政厅关于政府采购供应商注册登记有关事项的通知》中的要求，通过陕西省政府采购网（http://www.ccgp-shaanxi.gov.cn/）注册登记加入陕西省政府采购供应商库；</w:t>
      </w:r>
    </w:p>
    <w:p w14:paraId="5F86B12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（3）本项目专门面向中小企业采购。</w:t>
      </w:r>
    </w:p>
    <w:p w14:paraId="72D04E7F">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八、对本次招标提出询问，请按以下方式联系。</w:t>
      </w:r>
    </w:p>
    <w:p w14:paraId="3485054C">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1.采购人信息</w:t>
      </w:r>
    </w:p>
    <w:p w14:paraId="7BCAC46E">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名称：</w:t>
      </w:r>
      <w:r>
        <w:rPr>
          <w:rFonts w:hint="eastAsia" w:hAnsi="宋体" w:cs="宋体"/>
          <w:i w:val="0"/>
          <w:iCs w:val="0"/>
          <w:caps w:val="0"/>
          <w:color w:val="333333"/>
          <w:spacing w:val="0"/>
          <w:sz w:val="24"/>
          <w:szCs w:val="24"/>
          <w:highlight w:val="none"/>
          <w:shd w:val="clear" w:fill="FFFFFF"/>
          <w:lang w:eastAsia="zh-CN"/>
        </w:rPr>
        <w:t>柞水县中学</w:t>
      </w:r>
    </w:p>
    <w:p w14:paraId="4273C15D">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柞水县下梁镇</w:t>
      </w:r>
    </w:p>
    <w:p w14:paraId="3E6307CD">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联系方式：</w:t>
      </w:r>
      <w:r>
        <w:rPr>
          <w:rFonts w:hint="eastAsia" w:hAnsi="宋体" w:cs="宋体"/>
          <w:i w:val="0"/>
          <w:iCs w:val="0"/>
          <w:caps w:val="0"/>
          <w:color w:val="333333"/>
          <w:spacing w:val="0"/>
          <w:sz w:val="24"/>
          <w:szCs w:val="24"/>
          <w:highlight w:val="none"/>
          <w:shd w:val="clear" w:fill="FFFFFF"/>
          <w:lang w:eastAsia="zh-CN"/>
        </w:rPr>
        <w:t>15991872222</w:t>
      </w:r>
    </w:p>
    <w:p w14:paraId="655B9C45">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2.采购代理机构信息</w:t>
      </w:r>
    </w:p>
    <w:p w14:paraId="1E1C288F">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名称：陕西至诚项目管理集团有限公司</w:t>
      </w:r>
    </w:p>
    <w:p w14:paraId="052D69AB">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p>
    <w:p w14:paraId="6BAD84D4">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联系方式：029-88219779</w:t>
      </w:r>
    </w:p>
    <w:p w14:paraId="7100070F">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3.项目联系方式</w:t>
      </w:r>
    </w:p>
    <w:p w14:paraId="48F2020B">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项目联系人：</w:t>
      </w:r>
      <w:r>
        <w:rPr>
          <w:rFonts w:hint="eastAsia" w:hAnsi="宋体" w:cs="宋体"/>
          <w:i w:val="0"/>
          <w:iCs w:val="0"/>
          <w:caps w:val="0"/>
          <w:color w:val="333333"/>
          <w:spacing w:val="0"/>
          <w:sz w:val="24"/>
          <w:szCs w:val="24"/>
          <w:highlight w:val="none"/>
          <w:shd w:val="clear" w:fill="FFFFFF"/>
          <w:lang w:eastAsia="zh-CN"/>
        </w:rPr>
        <w:t>倪沛、胡晓均、王欣玫</w:t>
      </w:r>
    </w:p>
    <w:p w14:paraId="17CF0D24">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电话：029-88219779</w:t>
      </w:r>
    </w:p>
    <w:p w14:paraId="0927B80E">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7523851C">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2025年0</w:t>
      </w:r>
      <w:r>
        <w:rPr>
          <w:rFonts w:hint="eastAsia" w:hAnsi="宋体" w:cs="宋体"/>
          <w:i w:val="0"/>
          <w:iCs w:val="0"/>
          <w:caps w:val="0"/>
          <w:color w:val="333333"/>
          <w:spacing w:val="0"/>
          <w:sz w:val="24"/>
          <w:szCs w:val="24"/>
          <w:highlight w:val="none"/>
          <w:shd w:val="clear" w:fill="FFFFFF"/>
          <w:lang w:val="en-US" w:eastAsia="zh-CN"/>
        </w:rPr>
        <w:t>9</w:t>
      </w:r>
      <w:r>
        <w:rPr>
          <w:rFonts w:hint="eastAsia" w:ascii="宋体" w:hAnsi="宋体" w:eastAsia="宋体" w:cs="宋体"/>
          <w:i w:val="0"/>
          <w:iCs w:val="0"/>
          <w:caps w:val="0"/>
          <w:color w:val="333333"/>
          <w:spacing w:val="0"/>
          <w:sz w:val="24"/>
          <w:szCs w:val="24"/>
          <w:highlight w:val="none"/>
          <w:shd w:val="clear" w:fill="FFFFFF"/>
          <w:lang w:val="en-US" w:eastAsia="zh-CN"/>
        </w:rPr>
        <w:t>月</w:t>
      </w:r>
      <w:r>
        <w:rPr>
          <w:rFonts w:hint="eastAsia" w:hAnsi="宋体" w:cs="宋体"/>
          <w:i w:val="0"/>
          <w:iCs w:val="0"/>
          <w:caps w:val="0"/>
          <w:color w:val="333333"/>
          <w:spacing w:val="0"/>
          <w:sz w:val="24"/>
          <w:szCs w:val="24"/>
          <w:highlight w:val="none"/>
          <w:shd w:val="clear" w:fill="FFFFFF"/>
          <w:lang w:val="en-US" w:eastAsia="zh-CN"/>
        </w:rPr>
        <w:t>08</w:t>
      </w:r>
      <w:r>
        <w:rPr>
          <w:rFonts w:hint="eastAsia" w:ascii="宋体" w:hAnsi="宋体" w:eastAsia="宋体" w:cs="宋体"/>
          <w:i w:val="0"/>
          <w:iCs w:val="0"/>
          <w:caps w:val="0"/>
          <w:color w:val="333333"/>
          <w:spacing w:val="0"/>
          <w:sz w:val="24"/>
          <w:szCs w:val="24"/>
          <w:highlight w:val="none"/>
          <w:shd w:val="clear" w:fill="FFFFFF"/>
          <w:lang w:val="en-US" w:eastAsia="zh-CN"/>
        </w:rPr>
        <w:t>日</w:t>
      </w:r>
    </w:p>
    <w:p w14:paraId="364C4D56">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rPr>
          <w:rFonts w:hint="eastAsia" w:ascii="宋体" w:hAnsi="宋体" w:eastAsia="宋体" w:cs="宋体"/>
          <w:i w:val="0"/>
          <w:iCs w:val="0"/>
          <w:caps w:val="0"/>
          <w:color w:val="333333"/>
          <w:spacing w:val="0"/>
          <w:sz w:val="24"/>
          <w:szCs w:val="24"/>
          <w:highlight w:val="none"/>
          <w:shd w:val="clear" w:fill="FFFFFF"/>
          <w:lang w:val="en-US" w:eastAsia="zh-CN"/>
        </w:rPr>
      </w:pPr>
    </w:p>
    <w:p w14:paraId="76D6918C">
      <w:pPr>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5"/>
        <w:widowControl w:val="0"/>
        <w:spacing w:before="120" w:after="120" w:line="360" w:lineRule="auto"/>
        <w:ind w:left="0"/>
        <w:jc w:val="center"/>
        <w:rPr>
          <w:rFonts w:ascii="宋体" w:hAnsi="宋体" w:cs="宋体"/>
          <w:color w:val="auto"/>
          <w:sz w:val="32"/>
          <w:highlight w:val="none"/>
        </w:rPr>
      </w:pPr>
      <w:bookmarkStart w:id="20" w:name="_Toc423973073"/>
      <w:bookmarkStart w:id="21" w:name="_Toc19364"/>
      <w:bookmarkStart w:id="22" w:name="_Toc15286"/>
      <w:bookmarkStart w:id="23" w:name="OLE_LINK2"/>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柞水县中学</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w:t>
            </w:r>
            <w:r>
              <w:rPr>
                <w:rFonts w:hint="eastAsia" w:hAnsi="宋体" w:cs="宋体"/>
                <w:color w:val="auto"/>
                <w:szCs w:val="24"/>
                <w:highlight w:val="none"/>
                <w:lang w:eastAsia="zh-CN"/>
              </w:rPr>
              <w:t>陕西省西安市经济技术开发区未央路171-1号银池道拉斯财富中心21楼03室</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编：7100</w:t>
            </w:r>
            <w:r>
              <w:rPr>
                <w:rFonts w:hint="eastAsia" w:hAnsi="宋体" w:cs="宋体"/>
                <w:color w:val="auto"/>
                <w:szCs w:val="24"/>
                <w:highlight w:val="none"/>
                <w:lang w:val="en-US" w:eastAsia="zh-CN"/>
              </w:rPr>
              <w:t>00</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70A6078F">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(1)提供合格有效的法人或者其他组织的营业执照等证明文件，自然人的身份证明；</w:t>
            </w:r>
          </w:p>
          <w:p w14:paraId="5AA2EC80">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(2)法定代表人直接参加的，须提供法定代表人身份证明；法定代表人授权代表参加的，须提供法定代表人授权委托书；</w:t>
            </w:r>
          </w:p>
          <w:p w14:paraId="6295C58B">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(3)提供2024年度的财务审计报告（成立时间至提交响应文件截止时间不足一年的可提供成立后任意时段的资产负债表）或开标时间前六个月内银行出具的资信证明；</w:t>
            </w:r>
          </w:p>
          <w:p w14:paraId="70C7F970">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(4)提供响应文件截止日前一年内已缴纳的至少一个月的纳税证明或完税证明（任意税种），依法免税的单位应提供相关证明材料；</w:t>
            </w:r>
          </w:p>
          <w:p w14:paraId="5F5526F0">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(5)提供响应文件截止日前一年内已缴存的至少一个月的社会保障资金缴存单据或社保机构开具的社会保险参保缴费情况证明，依法不需要缴纳社会保障资金的单位应提供相关证明材料；</w:t>
            </w:r>
          </w:p>
          <w:p w14:paraId="25B5619C">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5DD3AAAC">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（7）供应商须具备建筑工程施工总承包三级及以上资质，并具有合格有效的安全生产许可证；</w:t>
            </w:r>
          </w:p>
          <w:p w14:paraId="1F5C0F7F">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（8）供应商拟派项目负责人具备建筑工程专业二级及以上注册建造师资格，并持建设行政主管部门核发的有效的安全考核合格证书（B 证），且无在建项目；</w:t>
            </w:r>
          </w:p>
          <w:p w14:paraId="1F527C68">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（9)参加政府采购活动前3年内，在经营活动中没有重大违法记录的书面声明；</w:t>
            </w:r>
          </w:p>
          <w:p w14:paraId="0AB0A8CB">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(10)提供具有履行合同所必需的设备和专业技术能力的承诺函；</w:t>
            </w:r>
          </w:p>
          <w:p w14:paraId="6692AF6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(11)供应商须提供中小企业声明函；</w:t>
            </w:r>
          </w:p>
          <w:p w14:paraId="45349138">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(12)本项目不接受联合体磋商（需提供承诺书）；</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磋商保证金：无</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）。磋商保证金到达采购代理机构指定账户后，供应商须与陕西至诚项目管理集团有限公司财务部联系确认到账后（联系电话029-88219779），将磋商保证金缴纳凭证复印件粘贴于磋商响应文件规定处。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lang w:eastAsia="zh-CN"/>
              </w:rPr>
              <w:t>陕西省西安市经济技术开发区未央路171-1号银池道拉斯财富中心21楼03室</w:t>
            </w:r>
            <w:r>
              <w:rPr>
                <w:rFonts w:hint="eastAsia" w:cs="宋体"/>
                <w:color w:val="auto"/>
                <w:highlight w:val="none"/>
                <w:shd w:val="clear" w:color="auto" w:fill="FFFFFF"/>
                <w:lang w:val="en-US" w:eastAsia="zh-CN"/>
              </w:rPr>
              <w:t>03室</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lang w:eastAsia="zh-CN"/>
              </w:rPr>
              <w:t>陕西省西安市经济技术开发区未央路171-1号银池道拉斯财富中心21楼03室</w:t>
            </w:r>
            <w:r>
              <w:rPr>
                <w:rFonts w:hint="eastAsia" w:cs="宋体"/>
                <w:color w:val="auto"/>
                <w:highlight w:val="none"/>
                <w:shd w:val="clear" w:color="auto" w:fill="FFFFFF"/>
                <w:lang w:val="en-US" w:eastAsia="zh-CN"/>
              </w:rPr>
              <w:t>03室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EB9263C">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取。</w:t>
            </w:r>
          </w:p>
          <w:p w14:paraId="418791FE">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2、本项目代理服务费由采购人支付，采购人应依据成交金额向招标代理机构交纳招标代理服务费。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1"/>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11"/>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951"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354" w:type="dxa"/>
            <w:vAlign w:val="center"/>
          </w:tcPr>
          <w:p w14:paraId="267B2804">
            <w:pPr>
              <w:spacing w:line="360" w:lineRule="auto"/>
              <w:rPr>
                <w:rFonts w:hint="default" w:eastAsia="宋体"/>
                <w:b/>
                <w:bCs/>
                <w:color w:val="auto"/>
                <w:szCs w:val="22"/>
                <w:highlight w:val="none"/>
                <w:lang w:val="en-US" w:eastAsia="zh-CN"/>
              </w:rPr>
            </w:pPr>
            <w:r>
              <w:rPr>
                <w:rFonts w:hint="default" w:eastAsia="宋体"/>
                <w:b/>
                <w:bCs/>
                <w:color w:val="auto"/>
                <w:szCs w:val="22"/>
                <w:highlight w:val="none"/>
                <w:lang w:val="en-US" w:eastAsia="zh-CN"/>
              </w:rPr>
              <w:t>2,155,300.00元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951"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354"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rPr>
              <w:t>本项目专门面向</w:t>
            </w:r>
            <w:r>
              <w:rPr>
                <w:rFonts w:hint="eastAsia" w:hAnsi="宋体"/>
                <w:b/>
                <w:bCs/>
                <w:color w:val="auto"/>
                <w:szCs w:val="24"/>
                <w:highlight w:val="none"/>
                <w:lang w:val="en-US" w:eastAsia="zh-CN"/>
              </w:rPr>
              <w:t>中小</w:t>
            </w:r>
            <w:r>
              <w:rPr>
                <w:rFonts w:hint="eastAsia" w:hAnsi="宋体"/>
                <w:b/>
                <w:bCs/>
                <w:color w:val="auto"/>
                <w:szCs w:val="24"/>
                <w:highlight w:val="none"/>
              </w:rPr>
              <w:t>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403077639"/>
            <w:bookmarkStart w:id="25" w:name="_Toc363473972"/>
            <w:bookmarkStart w:id="26" w:name="_Toc363474017"/>
            <w:r>
              <w:rPr>
                <w:rFonts w:hint="eastAsia" w:hAnsi="宋体" w:cs="宋体"/>
                <w:b/>
                <w:bCs/>
                <w:color w:val="auto"/>
                <w:szCs w:val="24"/>
                <w:highlight w:val="none"/>
              </w:rPr>
              <w:t>20</w:t>
            </w:r>
          </w:p>
        </w:tc>
        <w:tc>
          <w:tcPr>
            <w:tcW w:w="951"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354"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财政拨款</w:t>
      </w:r>
      <w:r>
        <w:rPr>
          <w:rFonts w:hint="eastAsia" w:hAnsi="宋体" w:cs="宋体"/>
          <w:color w:val="auto"/>
          <w:szCs w:val="24"/>
          <w:highlight w:val="none"/>
        </w:rPr>
        <w:t>支付，资金已落实到位。</w:t>
      </w:r>
    </w:p>
    <w:p w14:paraId="45369EEE">
      <w:pPr>
        <w:numPr>
          <w:ilvl w:val="0"/>
          <w:numId w:val="2"/>
        </w:numPr>
        <w:spacing w:line="500" w:lineRule="exact"/>
        <w:rPr>
          <w:rFonts w:hAnsi="宋体" w:cs="宋体"/>
          <w:b/>
          <w:color w:val="auto"/>
          <w:szCs w:val="24"/>
          <w:highlight w:val="none"/>
        </w:rPr>
      </w:pPr>
      <w:bookmarkStart w:id="27" w:name="_Toc363473973"/>
      <w:bookmarkStart w:id="28" w:name="_Toc403077640"/>
      <w:bookmarkStart w:id="29" w:name="_Toc363474018"/>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柞水县中学</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363474019"/>
      <w:bookmarkStart w:id="31" w:name="_Toc403077641"/>
      <w:bookmarkStart w:id="32" w:name="_Toc363473974"/>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363474021"/>
      <w:bookmarkStart w:id="35" w:name="_Toc403077643"/>
      <w:bookmarkStart w:id="36" w:name="_Toc363473976"/>
      <w:r>
        <w:rPr>
          <w:rFonts w:hint="eastAsia" w:hAnsi="宋体" w:cs="宋体"/>
          <w:b/>
          <w:color w:val="auto"/>
          <w:sz w:val="32"/>
          <w:szCs w:val="32"/>
          <w:highlight w:val="none"/>
        </w:rPr>
        <w:t>五.磋商与评标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2D81BC2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取。</w:t>
      </w:r>
    </w:p>
    <w:p w14:paraId="691405B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2、本项目代理服务费由采购人支付，采购人应依据成交金额向招标代理机构交纳招标代理服务费。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11"/>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4"/>
        <w:jc w:val="center"/>
        <w:rPr>
          <w:rFonts w:ascii="宋体" w:eastAsia="宋体" w:cs="宋体"/>
          <w:bCs/>
          <w:color w:val="auto"/>
          <w:szCs w:val="24"/>
          <w:highlight w:val="none"/>
        </w:rPr>
      </w:pPr>
      <w:bookmarkStart w:id="37" w:name="_Toc423973074"/>
      <w:bookmarkStart w:id="38" w:name="_Toc25783"/>
      <w:bookmarkStart w:id="39" w:name="_Toc403077645"/>
      <w:bookmarkStart w:id="40" w:name="_Toc363474023"/>
      <w:r>
        <w:rPr>
          <w:rFonts w:hint="eastAsia" w:ascii="宋体" w:eastAsia="宋体" w:cs="宋体"/>
          <w:bCs/>
          <w:color w:val="auto"/>
          <w:sz w:val="36"/>
          <w:szCs w:val="36"/>
          <w:highlight w:val="none"/>
        </w:rPr>
        <w:br w:type="page"/>
      </w:r>
      <w:bookmarkStart w:id="41"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11"/>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6"/>
        <w:gridCol w:w="6798"/>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6</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收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②施工准备：每完全满足一个评审标准得0.5分，满分1.5分；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③施工平面布置与安排：每完全满足一个评审标准得0.5分，满分1.5分。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（9分）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三、赋分标准（满分9分）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highlight w:val="none"/>
                <w:lang w:val="en-US" w:eastAsia="zh-CN"/>
              </w:rPr>
              <w:t>供应</w:t>
            </w:r>
            <w:r>
              <w:rPr>
                <w:rFonts w:hint="eastAsia"/>
                <w:sz w:val="24"/>
                <w:szCs w:val="24"/>
                <w:highlight w:val="none"/>
                <w:lang w:val="en-US" w:eastAsia="zh-CN"/>
              </w:rPr>
              <w:t>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24"/>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2"/>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三、赋分标准（满分3分）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1、投标人应提供2022年1月起至今的类似业绩证明材料，时间以合同签订日期为准，（文件中附成交/中标通知书或合同复印件），每提供一项上述业绩的得2分，最高得10分。不提供或缺项不得分。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20"/>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4"/>
        <w:jc w:val="center"/>
        <w:rPr>
          <w:rFonts w:ascii="宋体" w:eastAsia="宋体" w:cs="宋体"/>
          <w:bCs/>
          <w:color w:val="auto"/>
          <w:szCs w:val="36"/>
          <w:highlight w:val="none"/>
        </w:rPr>
      </w:pPr>
      <w:bookmarkStart w:id="42" w:name="_Toc24962"/>
      <w:r>
        <w:rPr>
          <w:rFonts w:hint="eastAsia" w:ascii="宋体" w:eastAsia="宋体" w:cs="宋体"/>
          <w:bCs/>
          <w:color w:val="auto"/>
          <w:szCs w:val="36"/>
          <w:highlight w:val="none"/>
        </w:rPr>
        <w:t>第四章  合同条款及格式</w:t>
      </w:r>
      <w:bookmarkEnd w:id="37"/>
      <w:bookmarkEnd w:id="38"/>
      <w:bookmarkEnd w:id="39"/>
      <w:bookmarkEnd w:id="42"/>
      <w:bookmarkStart w:id="43" w:name="_Toc423973075"/>
      <w:bookmarkStart w:id="44" w:name="_Toc8333"/>
      <w:bookmarkStart w:id="45" w:name="_Toc19246"/>
      <w:bookmarkStart w:id="46" w:name="_Toc31520"/>
      <w:bookmarkStart w:id="47" w:name="_Toc19199"/>
      <w:bookmarkStart w:id="48" w:name="_Toc26595"/>
      <w:bookmarkStart w:id="49" w:name="_Toc29888"/>
      <w:bookmarkStart w:id="50" w:name="_Toc4679"/>
      <w:bookmarkStart w:id="51" w:name="_Toc389582037"/>
    </w:p>
    <w:p w14:paraId="69412191">
      <w:pPr>
        <w:pStyle w:val="5"/>
        <w:jc w:val="center"/>
        <w:rPr>
          <w:rFonts w:ascii="宋体" w:hAnsi="宋体"/>
          <w:color w:val="auto"/>
          <w:highlight w:val="none"/>
        </w:rPr>
      </w:pPr>
      <w:bookmarkStart w:id="52" w:name="_Toc30923"/>
      <w:bookmarkStart w:id="53" w:name="_Toc30560"/>
      <w:bookmarkStart w:id="54" w:name="_Toc6935"/>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w:t>
            </w:r>
            <w:r>
              <w:rPr>
                <w:rFonts w:hint="eastAsia" w:hAnsi="宋体" w:cs="宋体"/>
                <w:color w:val="auto"/>
                <w:szCs w:val="21"/>
                <w:highlight w:val="none"/>
                <w:lang w:eastAsia="zh-CN"/>
              </w:rPr>
              <w:t>柞水县中学</w:t>
            </w:r>
          </w:p>
          <w:p w14:paraId="5FE42A23">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地址：</w:t>
            </w:r>
            <w:r>
              <w:rPr>
                <w:rFonts w:hint="eastAsia" w:hAnsi="宋体" w:cs="宋体"/>
                <w:color w:val="auto"/>
                <w:szCs w:val="21"/>
                <w:highlight w:val="none"/>
                <w:lang w:eastAsia="zh-CN"/>
              </w:rPr>
              <w:t>柞水县下梁镇</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柞水中学2025年组团式帮扶体育场地达标及校园公共区域数字化提升项目</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财政</w:t>
            </w:r>
            <w:r>
              <w:rPr>
                <w:rFonts w:hint="eastAsia" w:hAnsi="宋体" w:cs="宋体"/>
                <w:color w:val="auto"/>
                <w:szCs w:val="21"/>
                <w:highlight w:val="none"/>
              </w:rPr>
              <w:t>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Ansi="宋体" w:cs="宋体"/>
                <w:color w:val="auto"/>
                <w:szCs w:val="21"/>
                <w:highlight w:val="none"/>
              </w:rPr>
            </w:pPr>
            <w:r>
              <w:rPr>
                <w:rFonts w:hint="eastAsia" w:hAnsi="宋体" w:cs="宋体"/>
                <w:b/>
                <w:bCs/>
                <w:color w:val="auto"/>
                <w:szCs w:val="21"/>
                <w:highlight w:val="none"/>
              </w:rPr>
              <w:t>工期：</w:t>
            </w:r>
            <w:r>
              <w:rPr>
                <w:rFonts w:hint="eastAsia" w:hAnsi="宋体" w:cs="宋体"/>
                <w:b/>
                <w:bCs/>
                <w:color w:val="auto"/>
                <w:szCs w:val="21"/>
                <w:highlight w:val="none"/>
                <w:lang w:val="en-US" w:eastAsia="zh-CN"/>
              </w:rPr>
              <w:t>合同签订后30日历日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11"/>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w:t>
            </w:r>
            <w:bookmarkStart w:id="643" w:name="_GoBack"/>
            <w:bookmarkEnd w:id="643"/>
            <w:r>
              <w:rPr>
                <w:rFonts w:hint="eastAsia" w:hAnsi="宋体" w:cs="宋体"/>
                <w:color w:val="auto"/>
                <w:szCs w:val="21"/>
                <w:highlight w:val="none"/>
              </w:rPr>
              <w:t>，成交供应商须开具全额发票给采购人。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3</w:t>
            </w:r>
            <w:r>
              <w:rPr>
                <w:rFonts w:hint="eastAsia" w:hAnsi="宋体" w:cs="宋体"/>
                <w:color w:val="auto"/>
                <w:szCs w:val="21"/>
                <w:highlight w:val="none"/>
              </w:rPr>
              <w:t>）付款方式：</w:t>
            </w:r>
          </w:p>
          <w:p w14:paraId="3FAB5BE0">
            <w:pPr>
              <w:spacing w:line="360" w:lineRule="auto"/>
              <w:ind w:firstLine="482" w:firstLineChars="200"/>
              <w:rPr>
                <w:color w:val="auto"/>
                <w:szCs w:val="22"/>
                <w:highlight w:val="none"/>
              </w:rPr>
            </w:pPr>
            <w:r>
              <w:rPr>
                <w:rFonts w:hint="eastAsia"/>
                <w:b/>
                <w:bCs/>
                <w:color w:val="auto"/>
                <w:szCs w:val="22"/>
                <w:highlight w:val="none"/>
                <w:lang w:val="en-US" w:eastAsia="zh-CN"/>
              </w:rPr>
              <w:t>施工设施、设备到场支付合同价30%，</w:t>
            </w:r>
            <w:r>
              <w:rPr>
                <w:rFonts w:hint="eastAsia"/>
                <w:b/>
                <w:bCs/>
                <w:color w:val="auto"/>
                <w:szCs w:val="22"/>
                <w:highlight w:val="none"/>
              </w:rPr>
              <w:t>项目完成后支付至合同价的</w:t>
            </w:r>
            <w:r>
              <w:rPr>
                <w:rFonts w:hint="eastAsia"/>
                <w:b/>
                <w:bCs/>
                <w:color w:val="auto"/>
                <w:szCs w:val="22"/>
                <w:highlight w:val="none"/>
                <w:lang w:val="en-US" w:eastAsia="zh-CN"/>
              </w:rPr>
              <w:t>40</w:t>
            </w:r>
            <w:r>
              <w:rPr>
                <w:rFonts w:hint="eastAsia"/>
                <w:b/>
                <w:bCs/>
                <w:color w:val="auto"/>
                <w:szCs w:val="22"/>
                <w:highlight w:val="none"/>
              </w:rPr>
              <w:t>%，工程结算审计完毕后，支付到工程结算审核金额的97%，剩余工程款3%作为质量保证金，</w:t>
            </w:r>
            <w:r>
              <w:rPr>
                <w:rFonts w:hint="eastAsia"/>
                <w:b/>
                <w:bCs/>
                <w:color w:val="auto"/>
                <w:szCs w:val="22"/>
                <w:highlight w:val="none"/>
                <w:lang w:val="en-US" w:eastAsia="zh-CN"/>
              </w:rPr>
              <w:t>缺陷责任期</w:t>
            </w:r>
            <w:r>
              <w:rPr>
                <w:rFonts w:hint="eastAsia"/>
                <w:b/>
                <w:bCs/>
                <w:color w:val="auto"/>
                <w:szCs w:val="22"/>
                <w:highlight w:val="none"/>
              </w:rPr>
              <w:t>满后，无任何质量问题一次性无息结清。（具体以合同签订为准）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3"/>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3"/>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205891759"/>
      <w:bookmarkEnd w:id="55"/>
      <w:bookmarkStart w:id="56" w:name="_Toc107194479"/>
      <w:bookmarkEnd w:id="56"/>
      <w:bookmarkStart w:id="57" w:name="_Toc209339595"/>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58" w:name="_Toc296503025"/>
      <w:bookmarkStart w:id="59" w:name="_Toc296890982"/>
      <w:bookmarkStart w:id="60" w:name="_Toc351203480"/>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柞水县中学</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柞水中学2025年组团式帮扶体育场地达标及校园公共区域数字化提升项目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柞水中学2025年组团式帮扶体育场地达标及校园公共区域数字化提升项目</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6346657"/>
      <w:bookmarkStart w:id="79" w:name="_Toc296944495"/>
      <w:bookmarkStart w:id="80" w:name="_Toc292559866"/>
      <w:bookmarkStart w:id="81" w:name="_Toc297048342"/>
      <w:bookmarkStart w:id="82" w:name="_Toc292559361"/>
      <w:bookmarkStart w:id="83" w:name="_Toc296891196"/>
      <w:bookmarkStart w:id="84" w:name="_Toc296890984"/>
      <w:bookmarkStart w:id="85" w:name="_Toc296503156"/>
      <w:bookmarkStart w:id="86" w:name="_Toc297120456"/>
      <w:bookmarkStart w:id="87" w:name="_Toc296347155"/>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00934943"/>
      <w:bookmarkStart w:id="89" w:name="_Toc303539100"/>
      <w:bookmarkStart w:id="90" w:name="_Toc304295521"/>
      <w:bookmarkStart w:id="91" w:name="_Toc312677986"/>
      <w:bookmarkStart w:id="92" w:name="_Toc318581155"/>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03539101"/>
      <w:bookmarkStart w:id="94" w:name="_Toc304295522"/>
      <w:bookmarkStart w:id="95" w:name="_Toc318581156"/>
      <w:bookmarkStart w:id="96" w:name="_Toc300934944"/>
      <w:bookmarkStart w:id="97" w:name="_Toc312677987"/>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2559867"/>
      <w:bookmarkStart w:id="101" w:name="_Toc296347156"/>
      <w:bookmarkStart w:id="102" w:name="_Toc296891197"/>
      <w:bookmarkStart w:id="103" w:name="_Toc296503157"/>
      <w:bookmarkStart w:id="104" w:name="_Toc296346658"/>
      <w:bookmarkStart w:id="105" w:name="_Toc296890985"/>
      <w:bookmarkStart w:id="106" w:name="_Toc292559362"/>
      <w:bookmarkStart w:id="107" w:name="_Toc296944496"/>
      <w:bookmarkStart w:id="108" w:name="_Toc297120457"/>
      <w:bookmarkStart w:id="109" w:name="_Toc297048343"/>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6346659"/>
      <w:bookmarkStart w:id="112" w:name="_Toc296944497"/>
      <w:bookmarkStart w:id="113" w:name="_Toc297120458"/>
      <w:bookmarkStart w:id="114" w:name="_Toc296890986"/>
      <w:bookmarkStart w:id="115" w:name="_Toc296503158"/>
      <w:bookmarkStart w:id="116" w:name="_Toc292559868"/>
      <w:bookmarkStart w:id="117" w:name="_Toc296891198"/>
      <w:bookmarkStart w:id="118" w:name="_Toc296347157"/>
      <w:bookmarkStart w:id="119" w:name="_Toc297048344"/>
      <w:bookmarkStart w:id="120" w:name="_Toc292559363"/>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2"/>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2"/>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296346660"/>
      <w:bookmarkStart w:id="122" w:name="_Toc296944498"/>
      <w:bookmarkStart w:id="123" w:name="_Toc303539102"/>
      <w:bookmarkStart w:id="124" w:name="_Toc296503159"/>
      <w:bookmarkStart w:id="125" w:name="_Toc296890987"/>
      <w:bookmarkStart w:id="126" w:name="_Toc292559364"/>
      <w:bookmarkStart w:id="127" w:name="_Toc297216151"/>
      <w:bookmarkStart w:id="128" w:name="_Toc296891199"/>
      <w:bookmarkStart w:id="129" w:name="_Toc297120459"/>
      <w:bookmarkStart w:id="130" w:name="_Toc292559869"/>
      <w:bookmarkStart w:id="131" w:name="_Toc312677988"/>
      <w:bookmarkStart w:id="132" w:name="_Toc297123492"/>
      <w:bookmarkStart w:id="133" w:name="_Toc296347158"/>
      <w:bookmarkStart w:id="134" w:name="_Toc297048345"/>
      <w:bookmarkStart w:id="135" w:name="_Toc304295523"/>
      <w:bookmarkStart w:id="136" w:name="_Toc300934945"/>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297048346"/>
      <w:bookmarkStart w:id="138" w:name="_Toc296890988"/>
      <w:bookmarkStart w:id="139" w:name="_Toc296944499"/>
      <w:bookmarkStart w:id="140" w:name="_Toc296891200"/>
      <w:bookmarkStart w:id="141" w:name="_Toc296346661"/>
      <w:bookmarkStart w:id="142" w:name="_Toc296347159"/>
      <w:bookmarkStart w:id="143" w:name="_Toc297123493"/>
      <w:bookmarkStart w:id="144" w:name="_Toc297216152"/>
      <w:bookmarkStart w:id="145" w:name="_Toc303539103"/>
      <w:bookmarkStart w:id="146" w:name="_Toc297120460"/>
      <w:bookmarkStart w:id="147" w:name="_Toc292559365"/>
      <w:bookmarkStart w:id="148" w:name="_Toc292559870"/>
      <w:bookmarkStart w:id="149" w:name="_Toc300934946"/>
      <w:bookmarkStart w:id="150" w:name="_Toc296503160"/>
      <w:bookmarkStart w:id="151" w:name="_Toc304295524"/>
      <w:bookmarkStart w:id="152" w:name="_Toc318581158"/>
      <w:bookmarkStart w:id="153"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296503161"/>
      <w:bookmarkStart w:id="155" w:name="_Toc296890989"/>
      <w:bookmarkStart w:id="156" w:name="_Toc297123494"/>
      <w:bookmarkStart w:id="157" w:name="_Toc297048347"/>
      <w:bookmarkStart w:id="158" w:name="_Toc297216153"/>
      <w:bookmarkStart w:id="159" w:name="_Toc296347160"/>
      <w:bookmarkStart w:id="160" w:name="_Toc303539104"/>
      <w:bookmarkStart w:id="161" w:name="_Toc296346662"/>
      <w:bookmarkStart w:id="162" w:name="_Toc296944500"/>
      <w:bookmarkStart w:id="163" w:name="_Toc300934947"/>
      <w:bookmarkStart w:id="164" w:name="_Toc304295525"/>
      <w:bookmarkStart w:id="165" w:name="_Toc296891201"/>
      <w:bookmarkStart w:id="166" w:name="_Toc297120461"/>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2677990"/>
      <w:bookmarkStart w:id="168"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92559366"/>
      <w:bookmarkStart w:id="171" w:name="_Toc296890990"/>
      <w:bookmarkStart w:id="172" w:name="_Toc296347161"/>
      <w:bookmarkStart w:id="173" w:name="_Toc297120462"/>
      <w:bookmarkStart w:id="174" w:name="_Toc296944501"/>
      <w:bookmarkStart w:id="175" w:name="_Toc296503162"/>
      <w:bookmarkStart w:id="176" w:name="_Toc267251413"/>
      <w:bookmarkStart w:id="177" w:name="_Toc296891202"/>
      <w:bookmarkStart w:id="178" w:name="_Toc297048348"/>
      <w:bookmarkStart w:id="179" w:name="_Toc296346663"/>
      <w:bookmarkStart w:id="180" w:name="_Toc292559871"/>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2559872"/>
      <w:bookmarkStart w:id="184" w:name="_Toc297048349"/>
      <w:bookmarkStart w:id="185" w:name="_Toc296503163"/>
      <w:bookmarkStart w:id="186" w:name="_Toc296346664"/>
      <w:bookmarkStart w:id="187" w:name="_Toc297120463"/>
      <w:bookmarkStart w:id="188" w:name="_Toc296944502"/>
      <w:bookmarkStart w:id="189" w:name="_Toc296347162"/>
      <w:bookmarkStart w:id="190" w:name="_Toc296890991"/>
      <w:bookmarkStart w:id="191" w:name="_Toc292559367"/>
      <w:bookmarkStart w:id="192" w:name="_Toc296891203"/>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297123496"/>
      <w:bookmarkStart w:id="194" w:name="_Toc318581164"/>
      <w:bookmarkStart w:id="195" w:name="_Toc300934949"/>
      <w:bookmarkStart w:id="196" w:name="_Toc297216155"/>
      <w:bookmarkStart w:id="197" w:name="_Toc312677997"/>
      <w:bookmarkStart w:id="198" w:name="_Toc304295527"/>
      <w:bookmarkStart w:id="199" w:name="_Toc303539106"/>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304295541"/>
      <w:bookmarkStart w:id="203" w:name="_Toc312678005"/>
      <w:bookmarkStart w:id="204" w:name="_Toc297123514"/>
      <w:bookmarkStart w:id="205" w:name="_Toc303539123"/>
      <w:bookmarkStart w:id="206" w:name="_Toc312677479"/>
      <w:bookmarkStart w:id="207" w:name="_Toc297216173"/>
      <w:bookmarkStart w:id="208" w:name="_Toc300934966"/>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297123516"/>
      <w:bookmarkStart w:id="210" w:name="_Toc300934968"/>
      <w:bookmarkStart w:id="211" w:name="_Toc303539125"/>
      <w:bookmarkStart w:id="212" w:name="_Toc312678010"/>
      <w:bookmarkStart w:id="213" w:name="_Toc297216175"/>
      <w:bookmarkStart w:id="214" w:name="_Toc304295546"/>
      <w:bookmarkStart w:id="215" w:name="_Toc312677484"/>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2678012"/>
      <w:bookmarkStart w:id="217" w:name="_Toc312677486"/>
      <w:bookmarkStart w:id="218" w:name="_Toc318581169"/>
      <w:bookmarkStart w:id="219" w:name="_Toc297123518"/>
      <w:bookmarkStart w:id="220" w:name="_Toc303539127"/>
      <w:bookmarkStart w:id="221" w:name="_Toc300934970"/>
      <w:bookmarkStart w:id="222" w:name="_Toc297216177"/>
      <w:bookmarkStart w:id="223" w:name="_Toc304295548"/>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8013"/>
      <w:bookmarkStart w:id="225" w:name="_Toc312677487"/>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8581171"/>
      <w:bookmarkStart w:id="228"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303539128"/>
      <w:bookmarkStart w:id="230" w:name="_Toc297216178"/>
      <w:bookmarkStart w:id="231" w:name="_Toc300934971"/>
      <w:bookmarkStart w:id="232" w:name="_Toc304295549"/>
      <w:bookmarkStart w:id="233" w:name="_Toc297123519"/>
      <w:bookmarkStart w:id="234" w:name="_Toc312678015"/>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304295550"/>
      <w:bookmarkStart w:id="236" w:name="_Toc318581172"/>
      <w:bookmarkStart w:id="237" w:name="_Toc300934972"/>
      <w:bookmarkStart w:id="238" w:name="_Toc297216179"/>
      <w:bookmarkStart w:id="239" w:name="_Toc297123520"/>
      <w:bookmarkStart w:id="240" w:name="_Toc312678016"/>
      <w:bookmarkStart w:id="241" w:name="_Toc303539129"/>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303539130"/>
      <w:bookmarkStart w:id="243" w:name="_Toc304295551"/>
      <w:bookmarkStart w:id="244" w:name="_Toc297216180"/>
      <w:bookmarkStart w:id="245" w:name="_Toc297123521"/>
      <w:bookmarkStart w:id="246" w:name="_Toc300934973"/>
      <w:bookmarkStart w:id="247" w:name="_Toc312678017"/>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297120467"/>
      <w:bookmarkStart w:id="250" w:name="_Toc296890995"/>
      <w:bookmarkStart w:id="251" w:name="_Toc297048353"/>
      <w:bookmarkStart w:id="252" w:name="_Toc297123527"/>
      <w:bookmarkStart w:id="253" w:name="_Toc304295556"/>
      <w:bookmarkStart w:id="254" w:name="_Toc296891207"/>
      <w:bookmarkStart w:id="255" w:name="_Toc296944506"/>
      <w:bookmarkStart w:id="256" w:name="_Toc296347166"/>
      <w:bookmarkStart w:id="257" w:name="_Toc296346668"/>
      <w:bookmarkStart w:id="258" w:name="_Toc312678019"/>
      <w:bookmarkStart w:id="259" w:name="_Toc292559877"/>
      <w:bookmarkStart w:id="260" w:name="_Toc303539136"/>
      <w:bookmarkStart w:id="261" w:name="_Toc292559372"/>
      <w:bookmarkStart w:id="262" w:name="_Toc300934979"/>
      <w:bookmarkStart w:id="263" w:name="_Toc280868654"/>
      <w:bookmarkStart w:id="264" w:name="_Toc297216186"/>
      <w:bookmarkStart w:id="265" w:name="_Toc312677493"/>
      <w:bookmarkStart w:id="266" w:name="_Toc296503167"/>
      <w:bookmarkStart w:id="267" w:name="_Toc280868655"/>
      <w:bookmarkStart w:id="268" w:name="_Toc280868656"/>
      <w:bookmarkStart w:id="269" w:name="_Toc267251424"/>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373"/>
      <w:bookmarkStart w:id="271" w:name="_Toc292559878"/>
      <w:bookmarkStart w:id="272" w:name="_Toc312677494"/>
      <w:bookmarkStart w:id="273" w:name="_Toc296891208"/>
      <w:bookmarkStart w:id="274" w:name="_Toc303539137"/>
      <w:bookmarkStart w:id="275" w:name="_Toc318581173"/>
      <w:bookmarkStart w:id="276" w:name="_Toc312678020"/>
      <w:bookmarkStart w:id="277" w:name="_Toc300934980"/>
      <w:bookmarkStart w:id="278" w:name="_Toc297123528"/>
      <w:bookmarkStart w:id="279" w:name="_Toc304295557"/>
      <w:bookmarkStart w:id="280" w:name="_Toc296944507"/>
      <w:bookmarkStart w:id="281" w:name="_Toc297216187"/>
      <w:bookmarkStart w:id="282" w:name="_Toc296347167"/>
      <w:bookmarkStart w:id="283" w:name="_Toc296503168"/>
      <w:bookmarkStart w:id="284" w:name="_Toc296890996"/>
      <w:bookmarkStart w:id="285" w:name="_Toc297048354"/>
      <w:bookmarkStart w:id="286" w:name="_Toc297120468"/>
      <w:bookmarkStart w:id="287" w:name="_Toc296346669"/>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304295559"/>
      <w:bookmarkStart w:id="290" w:name="_Toc312678021"/>
      <w:bookmarkStart w:id="291" w:name="_Toc312677495"/>
      <w:bookmarkStart w:id="292" w:name="_Toc300934982"/>
      <w:bookmarkStart w:id="293" w:name="_Toc303539139"/>
      <w:bookmarkStart w:id="294" w:name="_Toc297123533"/>
      <w:bookmarkStart w:id="295" w:name="_Toc297216192"/>
      <w:bookmarkStart w:id="296" w:name="_Toc296503173"/>
      <w:bookmarkStart w:id="297" w:name="_Toc297120473"/>
      <w:bookmarkStart w:id="298" w:name="_Toc296347172"/>
      <w:bookmarkStart w:id="299" w:name="_Toc296891001"/>
      <w:bookmarkStart w:id="300" w:name="_Toc292559378"/>
      <w:bookmarkStart w:id="301" w:name="_Toc296891213"/>
      <w:bookmarkStart w:id="302" w:name="_Toc267251427"/>
      <w:bookmarkStart w:id="303" w:name="_Toc296346674"/>
      <w:bookmarkStart w:id="304" w:name="_Toc297048359"/>
      <w:bookmarkStart w:id="305" w:name="_Toc267251428"/>
      <w:bookmarkStart w:id="306" w:name="_Toc292559883"/>
      <w:bookmarkStart w:id="307" w:name="_Toc296944512"/>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312677496"/>
      <w:bookmarkStart w:id="309" w:name="_Toc300934983"/>
      <w:bookmarkStart w:id="310" w:name="_Toc304295560"/>
      <w:bookmarkStart w:id="311" w:name="_Toc297123534"/>
      <w:bookmarkStart w:id="312" w:name="_Toc303539140"/>
      <w:bookmarkStart w:id="313" w:name="_Toc297216193"/>
      <w:bookmarkStart w:id="314" w:name="_Toc312678022"/>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312678023"/>
      <w:bookmarkStart w:id="316" w:name="_Toc303539141"/>
      <w:bookmarkStart w:id="317" w:name="_Toc297123535"/>
      <w:bookmarkStart w:id="318" w:name="_Toc312677497"/>
      <w:bookmarkStart w:id="319" w:name="_Toc304295561"/>
      <w:bookmarkStart w:id="320" w:name="_Toc297216194"/>
      <w:bookmarkStart w:id="321" w:name="_Toc300934984"/>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312677498"/>
      <w:bookmarkStart w:id="324" w:name="_Toc300934985"/>
      <w:bookmarkStart w:id="325" w:name="_Toc303539142"/>
      <w:bookmarkStart w:id="326" w:name="_Toc304295562"/>
      <w:bookmarkStart w:id="327" w:name="_Toc297216195"/>
      <w:bookmarkStart w:id="328" w:name="_Toc297123536"/>
      <w:bookmarkStart w:id="329" w:name="_Toc312678024"/>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297123540"/>
      <w:bookmarkStart w:id="332" w:name="_Toc296891021"/>
      <w:bookmarkStart w:id="333" w:name="_Toc297216199"/>
      <w:bookmarkStart w:id="334" w:name="_Toc300934989"/>
      <w:bookmarkStart w:id="335" w:name="_Toc296944532"/>
      <w:bookmarkStart w:id="336" w:name="_Toc296891233"/>
      <w:bookmarkStart w:id="337" w:name="_Toc304295566"/>
      <w:bookmarkStart w:id="338" w:name="_Toc297120493"/>
      <w:bookmarkStart w:id="339" w:name="_Toc296347192"/>
      <w:bookmarkStart w:id="340" w:name="_Toc296503193"/>
      <w:bookmarkStart w:id="341" w:name="_Toc292559903"/>
      <w:bookmarkStart w:id="342" w:name="_Toc303539146"/>
      <w:bookmarkStart w:id="343" w:name="_Toc292559398"/>
      <w:bookmarkStart w:id="344" w:name="_Toc297048379"/>
      <w:bookmarkStart w:id="345" w:name="_Toc296346694"/>
      <w:bookmarkStart w:id="346" w:name="_Toc312677499"/>
      <w:bookmarkStart w:id="347" w:name="_Toc312678025"/>
      <w:bookmarkStart w:id="348" w:name="_Toc267251441"/>
      <w:bookmarkStart w:id="349" w:name="_Toc267251433"/>
      <w:bookmarkStart w:id="350" w:name="_Toc267251437"/>
      <w:bookmarkStart w:id="351" w:name="_Toc267251440"/>
      <w:bookmarkStart w:id="352" w:name="_Toc267251439"/>
      <w:bookmarkStart w:id="353" w:name="_Toc267251435"/>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304295567"/>
      <w:bookmarkStart w:id="356" w:name="_Toc297120494"/>
      <w:bookmarkStart w:id="357" w:name="_Toc296944533"/>
      <w:bookmarkStart w:id="358" w:name="_Toc292559399"/>
      <w:bookmarkStart w:id="359" w:name="_Toc300934990"/>
      <w:bookmarkStart w:id="360" w:name="_Toc296347193"/>
      <w:bookmarkStart w:id="361" w:name="_Toc303539147"/>
      <w:bookmarkStart w:id="362" w:name="_Toc296346695"/>
      <w:bookmarkStart w:id="363" w:name="_Toc312677500"/>
      <w:bookmarkStart w:id="364" w:name="_Toc296891234"/>
      <w:bookmarkStart w:id="365" w:name="_Toc296891022"/>
      <w:bookmarkStart w:id="366" w:name="_Toc297123541"/>
      <w:bookmarkStart w:id="367" w:name="_Toc312678026"/>
      <w:bookmarkStart w:id="368" w:name="_Toc297048380"/>
      <w:bookmarkStart w:id="369" w:name="_Toc292559904"/>
      <w:bookmarkStart w:id="370" w:name="_Toc297216200"/>
      <w:bookmarkStart w:id="371" w:name="_Toc296503194"/>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6891025"/>
      <w:bookmarkStart w:id="373" w:name="_Toc296346698"/>
      <w:bookmarkStart w:id="374" w:name="_Toc297216203"/>
      <w:bookmarkStart w:id="375" w:name="_Toc297123544"/>
      <w:bookmarkStart w:id="376" w:name="_Toc296891237"/>
      <w:bookmarkStart w:id="377" w:name="_Toc296503197"/>
      <w:bookmarkStart w:id="378" w:name="_Toc296944536"/>
      <w:bookmarkStart w:id="379" w:name="_Toc292559402"/>
      <w:bookmarkStart w:id="380" w:name="_Toc303539150"/>
      <w:bookmarkStart w:id="381" w:name="_Toc297120497"/>
      <w:bookmarkStart w:id="382" w:name="_Toc300934993"/>
      <w:bookmarkStart w:id="383" w:name="_Toc292559907"/>
      <w:bookmarkStart w:id="384" w:name="_Toc296347196"/>
      <w:bookmarkStart w:id="385" w:name="_Toc297048383"/>
      <w:bookmarkStart w:id="386" w:name="_Toc312678029"/>
      <w:bookmarkStart w:id="387" w:name="_Toc304295570"/>
      <w:bookmarkStart w:id="388" w:name="_Toc312677503"/>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292559408"/>
      <w:bookmarkStart w:id="390" w:name="_Toc297123545"/>
      <w:bookmarkStart w:id="391" w:name="_Toc297120503"/>
      <w:bookmarkStart w:id="392" w:name="_Toc297048389"/>
      <w:bookmarkStart w:id="393" w:name="_Toc292559913"/>
      <w:bookmarkStart w:id="394" w:name="_Toc300934994"/>
      <w:bookmarkStart w:id="395" w:name="_Toc297216204"/>
      <w:bookmarkStart w:id="396" w:name="_Toc296944542"/>
      <w:bookmarkStart w:id="397" w:name="_Toc296891031"/>
      <w:bookmarkStart w:id="398" w:name="_Toc296503203"/>
      <w:bookmarkStart w:id="399" w:name="_Toc296891243"/>
      <w:bookmarkStart w:id="400" w:name="_Toc296346704"/>
      <w:bookmarkStart w:id="401" w:name="_Toc303539151"/>
      <w:bookmarkStart w:id="402" w:name="_Toc296347202"/>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300934995"/>
      <w:bookmarkStart w:id="404" w:name="_Toc303539152"/>
      <w:bookmarkStart w:id="405" w:name="_Toc312677504"/>
      <w:bookmarkStart w:id="406" w:name="_Toc297048390"/>
      <w:bookmarkStart w:id="407" w:name="_Toc296944543"/>
      <w:bookmarkStart w:id="408" w:name="_Toc292559409"/>
      <w:bookmarkStart w:id="409" w:name="_Toc297123546"/>
      <w:bookmarkStart w:id="410" w:name="_Toc296503204"/>
      <w:bookmarkStart w:id="411" w:name="_Toc297120504"/>
      <w:bookmarkStart w:id="412" w:name="_Toc296346705"/>
      <w:bookmarkStart w:id="413" w:name="_Toc292559914"/>
      <w:bookmarkStart w:id="414" w:name="_Toc296891032"/>
      <w:bookmarkStart w:id="415" w:name="_Toc304295571"/>
      <w:bookmarkStart w:id="416" w:name="_Toc296347203"/>
      <w:bookmarkStart w:id="417" w:name="_Toc297216205"/>
      <w:bookmarkStart w:id="418" w:name="_Toc296891244"/>
      <w:bookmarkStart w:id="419" w:name="_Toc318581175"/>
      <w:bookmarkStart w:id="420" w:name="_Toc312678030"/>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292559404"/>
      <w:bookmarkStart w:id="422" w:name="_Toc296346700"/>
      <w:bookmarkStart w:id="423" w:name="_Toc312678033"/>
      <w:bookmarkStart w:id="424" w:name="_Toc297048385"/>
      <w:bookmarkStart w:id="425" w:name="_Toc297123548"/>
      <w:bookmarkStart w:id="426" w:name="_Toc296891239"/>
      <w:bookmarkStart w:id="427" w:name="_Toc303539154"/>
      <w:bookmarkStart w:id="428" w:name="_Toc304295574"/>
      <w:bookmarkStart w:id="429" w:name="_Toc300934997"/>
      <w:bookmarkStart w:id="430" w:name="_Toc296891027"/>
      <w:bookmarkStart w:id="431" w:name="_Toc312677507"/>
      <w:bookmarkStart w:id="432" w:name="_Toc292559909"/>
      <w:bookmarkStart w:id="433" w:name="_Toc297120499"/>
      <w:bookmarkStart w:id="434" w:name="_Toc296347198"/>
      <w:bookmarkStart w:id="435" w:name="_Toc296503199"/>
      <w:bookmarkStart w:id="436" w:name="_Toc297216207"/>
      <w:bookmarkStart w:id="437" w:name="_Toc296944538"/>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8581176"/>
      <w:bookmarkStart w:id="439" w:name="_Toc312678034"/>
      <w:bookmarkStart w:id="440" w:name="_Toc312677508"/>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8581177"/>
      <w:bookmarkStart w:id="442" w:name="_Toc312677509"/>
      <w:bookmarkStart w:id="443" w:name="_Toc312678035"/>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297120501"/>
      <w:bookmarkStart w:id="446" w:name="_Toc303539157"/>
      <w:bookmarkStart w:id="447" w:name="_Toc296891241"/>
      <w:bookmarkStart w:id="448" w:name="_Toc304295577"/>
      <w:bookmarkStart w:id="449" w:name="_Toc296891029"/>
      <w:bookmarkStart w:id="450" w:name="_Toc292559406"/>
      <w:bookmarkStart w:id="451" w:name="_Toc296503201"/>
      <w:bookmarkStart w:id="452" w:name="_Toc300935000"/>
      <w:bookmarkStart w:id="453" w:name="_Toc296944540"/>
      <w:bookmarkStart w:id="454" w:name="_Toc296346702"/>
      <w:bookmarkStart w:id="455" w:name="_Toc292559911"/>
      <w:bookmarkStart w:id="456" w:name="_Toc312678039"/>
      <w:bookmarkStart w:id="457" w:name="_Toc297048387"/>
      <w:bookmarkStart w:id="458" w:name="_Toc296347200"/>
      <w:bookmarkStart w:id="459" w:name="_Toc297123550"/>
      <w:bookmarkStart w:id="460" w:name="_Toc297216209"/>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2559410"/>
      <w:bookmarkStart w:id="462" w:name="_Toc297120505"/>
      <w:bookmarkStart w:id="463" w:name="_Toc296346706"/>
      <w:bookmarkStart w:id="464" w:name="_Toc296347204"/>
      <w:bookmarkStart w:id="465" w:name="_Toc296891033"/>
      <w:bookmarkStart w:id="466" w:name="_Toc297048391"/>
      <w:bookmarkStart w:id="467" w:name="_Toc292559915"/>
      <w:bookmarkStart w:id="468" w:name="_Toc296503205"/>
      <w:bookmarkStart w:id="469" w:name="_Toc296891245"/>
      <w:bookmarkStart w:id="470" w:name="_Toc296944544"/>
      <w:bookmarkStart w:id="471" w:name="_Toc351203644"/>
      <w:bookmarkStart w:id="472" w:name="_Toc304295579"/>
      <w:bookmarkStart w:id="473" w:name="_Toc303539159"/>
      <w:bookmarkStart w:id="474" w:name="_Toc300935002"/>
      <w:bookmarkStart w:id="475" w:name="_Toc297123552"/>
      <w:bookmarkStart w:id="476" w:name="_Toc312678040"/>
      <w:bookmarkStart w:id="477" w:name="_Toc297216211"/>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92559916"/>
      <w:bookmarkStart w:id="479" w:name="_Toc267251461"/>
      <w:bookmarkStart w:id="480" w:name="_Toc292559411"/>
      <w:bookmarkStart w:id="481" w:name="_Toc297120506"/>
      <w:bookmarkStart w:id="482" w:name="_Toc296503206"/>
      <w:bookmarkStart w:id="483" w:name="_Toc297048392"/>
      <w:bookmarkStart w:id="484" w:name="_Toc296891034"/>
      <w:bookmarkStart w:id="485" w:name="_Toc296944545"/>
      <w:bookmarkStart w:id="486" w:name="_Toc296891246"/>
      <w:bookmarkStart w:id="487" w:name="_Toc296347205"/>
      <w:bookmarkStart w:id="488" w:name="_Toc296346707"/>
      <w:bookmarkStart w:id="489" w:name="_Toc300935003"/>
      <w:bookmarkStart w:id="490" w:name="_Toc297216212"/>
      <w:bookmarkStart w:id="491" w:name="_Toc304295580"/>
      <w:bookmarkStart w:id="492" w:name="_Toc297123553"/>
      <w:bookmarkStart w:id="493" w:name="_Toc312678041"/>
      <w:bookmarkStart w:id="494" w:name="_Toc303539160"/>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303539161"/>
      <w:bookmarkStart w:id="496" w:name="_Toc297216213"/>
      <w:bookmarkStart w:id="497" w:name="_Toc312678042"/>
      <w:bookmarkStart w:id="498" w:name="_Toc304295581"/>
      <w:bookmarkStart w:id="499" w:name="_Toc297123554"/>
      <w:bookmarkStart w:id="500" w:name="_Toc300935004"/>
      <w:bookmarkStart w:id="501" w:name="_Toc296346708"/>
      <w:bookmarkStart w:id="502" w:name="_Toc296944546"/>
      <w:bookmarkStart w:id="503" w:name="_Toc296347206"/>
      <w:bookmarkStart w:id="504" w:name="_Toc296503207"/>
      <w:bookmarkStart w:id="505" w:name="_Toc296891035"/>
      <w:bookmarkStart w:id="506" w:name="_Toc297048393"/>
      <w:bookmarkStart w:id="507" w:name="_Toc296891247"/>
      <w:bookmarkStart w:id="508" w:name="_Toc297120507"/>
      <w:bookmarkStart w:id="509" w:name="_Toc292559412"/>
      <w:bookmarkStart w:id="510" w:name="_Toc292559917"/>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297048397"/>
      <w:bookmarkStart w:id="512" w:name="_Toc292559416"/>
      <w:bookmarkStart w:id="513" w:name="_Toc296346712"/>
      <w:bookmarkStart w:id="514" w:name="_Toc297216215"/>
      <w:bookmarkStart w:id="515" w:name="_Toc297123556"/>
      <w:bookmarkStart w:id="516" w:name="_Toc296891251"/>
      <w:bookmarkStart w:id="517" w:name="_Toc297120511"/>
      <w:bookmarkStart w:id="518" w:name="_Toc300935006"/>
      <w:bookmarkStart w:id="519" w:name="_Toc296891039"/>
      <w:bookmarkStart w:id="520" w:name="_Toc296944550"/>
      <w:bookmarkStart w:id="521" w:name="_Toc292559921"/>
      <w:bookmarkStart w:id="522" w:name="_Toc303539163"/>
      <w:bookmarkStart w:id="523" w:name="_Toc296503211"/>
      <w:bookmarkStart w:id="524" w:name="_Toc296347210"/>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300935015"/>
      <w:bookmarkStart w:id="527" w:name="_Toc296347218"/>
      <w:bookmarkStart w:id="528" w:name="_Toc296503219"/>
      <w:bookmarkStart w:id="529" w:name="_Toc292559424"/>
      <w:bookmarkStart w:id="530" w:name="_Toc304295593"/>
      <w:bookmarkStart w:id="531" w:name="_Toc292559929"/>
      <w:bookmarkStart w:id="532" w:name="_Toc297120519"/>
      <w:bookmarkStart w:id="533" w:name="_Toc312678053"/>
      <w:bookmarkStart w:id="534" w:name="_Toc296346720"/>
      <w:bookmarkStart w:id="535" w:name="_Toc297216223"/>
      <w:bookmarkStart w:id="536" w:name="_Toc296944558"/>
      <w:bookmarkStart w:id="537" w:name="_Toc296891047"/>
      <w:bookmarkStart w:id="538" w:name="_Toc297123564"/>
      <w:bookmarkStart w:id="539" w:name="_Toc296891259"/>
      <w:bookmarkStart w:id="540" w:name="_Toc297048405"/>
      <w:bookmarkStart w:id="541" w:name="_Toc303539172"/>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296503223"/>
      <w:bookmarkStart w:id="543" w:name="_Toc312678056"/>
      <w:bookmarkStart w:id="544" w:name="_Toc297048409"/>
      <w:bookmarkStart w:id="545" w:name="_Toc292559933"/>
      <w:bookmarkStart w:id="546" w:name="_Toc303539173"/>
      <w:bookmarkStart w:id="547" w:name="_Toc296347222"/>
      <w:bookmarkStart w:id="548" w:name="_Toc300935016"/>
      <w:bookmarkStart w:id="549" w:name="_Toc296346724"/>
      <w:bookmarkStart w:id="550" w:name="_Toc297123565"/>
      <w:bookmarkStart w:id="551" w:name="_Toc304295596"/>
      <w:bookmarkStart w:id="552" w:name="_Toc296891051"/>
      <w:bookmarkStart w:id="553" w:name="_Toc292559428"/>
      <w:bookmarkStart w:id="554" w:name="_Toc297216224"/>
      <w:bookmarkStart w:id="555" w:name="_Toc297120523"/>
      <w:bookmarkStart w:id="556" w:name="_Toc296891263"/>
      <w:bookmarkStart w:id="557" w:name="_Toc296944562"/>
      <w:bookmarkStart w:id="558" w:name="_Toc267251474"/>
      <w:bookmarkStart w:id="559" w:name="_Toc267251475"/>
      <w:bookmarkStart w:id="560" w:name="_Toc267251471"/>
      <w:bookmarkStart w:id="561" w:name="_Toc267251473"/>
      <w:bookmarkStart w:id="562" w:name="_Toc267251472"/>
      <w:bookmarkStart w:id="563" w:name="_Toc267251476"/>
      <w:bookmarkStart w:id="564" w:name="_Toc267251470"/>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4"/>
      <w:bookmarkStart w:id="575" w:name="_Toc267251482"/>
      <w:bookmarkStart w:id="576" w:name="_Toc267251485"/>
      <w:bookmarkStart w:id="577" w:name="_Toc267251486"/>
      <w:bookmarkStart w:id="578" w:name="_Toc267251489"/>
      <w:bookmarkStart w:id="579" w:name="_Toc267251490"/>
      <w:bookmarkStart w:id="580" w:name="_Toc267251488"/>
      <w:bookmarkStart w:id="581" w:name="_Toc267251495"/>
      <w:bookmarkStart w:id="582" w:name="_Toc267251502"/>
      <w:bookmarkStart w:id="583" w:name="_Toc267251501"/>
      <w:bookmarkStart w:id="584" w:name="_Toc267251503"/>
      <w:bookmarkStart w:id="585" w:name="_Toc267251493"/>
      <w:bookmarkStart w:id="586" w:name="_Toc267251494"/>
      <w:bookmarkStart w:id="587" w:name="_Toc267251491"/>
      <w:bookmarkStart w:id="588" w:name="_Toc267251492"/>
      <w:bookmarkStart w:id="589" w:name="_Toc267251496"/>
      <w:bookmarkStart w:id="590" w:name="_Toc267251499"/>
      <w:bookmarkStart w:id="591" w:name="_Toc267251497"/>
      <w:bookmarkStart w:id="592" w:name="_Toc267251498"/>
      <w:bookmarkStart w:id="593" w:name="_Toc267251506"/>
      <w:bookmarkStart w:id="594" w:name="_Toc267251504"/>
      <w:bookmarkStart w:id="595" w:name="_Toc267251507"/>
      <w:bookmarkStart w:id="596" w:name="_Toc267251508"/>
      <w:bookmarkStart w:id="597" w:name="_Toc267251511"/>
      <w:bookmarkStart w:id="598" w:name="_Toc267251514"/>
      <w:bookmarkStart w:id="599" w:name="_Toc267251510"/>
      <w:bookmarkStart w:id="600" w:name="_Toc267251513"/>
      <w:bookmarkStart w:id="601" w:name="_Toc267251509"/>
      <w:bookmarkStart w:id="602" w:name="_Toc267251515"/>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6ED77606">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3"/>
    <w:bookmarkEnd w:id="44"/>
    <w:bookmarkEnd w:id="45"/>
    <w:bookmarkEnd w:id="46"/>
    <w:bookmarkEnd w:id="47"/>
    <w:bookmarkEnd w:id="48"/>
    <w:bookmarkEnd w:id="49"/>
    <w:bookmarkEnd w:id="50"/>
    <w:bookmarkEnd w:id="51"/>
    <w:p w14:paraId="5BFA6A6D">
      <w:pPr>
        <w:pStyle w:val="4"/>
        <w:jc w:val="center"/>
        <w:rPr>
          <w:rFonts w:ascii="宋体" w:eastAsia="宋体" w:cs="宋体"/>
          <w:bCs/>
          <w:color w:val="auto"/>
          <w:szCs w:val="36"/>
          <w:highlight w:val="none"/>
        </w:rPr>
      </w:pPr>
      <w:bookmarkStart w:id="609" w:name="_Toc27319"/>
      <w:r>
        <w:rPr>
          <w:rFonts w:hint="eastAsia" w:ascii="宋体" w:eastAsia="宋体" w:cs="宋体"/>
          <w:bCs/>
          <w:color w:val="auto"/>
          <w:szCs w:val="36"/>
          <w:highlight w:val="none"/>
        </w:rPr>
        <w:t>第五章  磋商内容及技术要求</w:t>
      </w:r>
      <w:bookmarkEnd w:id="609"/>
      <w:bookmarkStart w:id="610" w:name="_Toc23856"/>
      <w:bookmarkStart w:id="611" w:name="_Toc2711"/>
      <w:bookmarkStart w:id="612" w:name="_Toc4053"/>
      <w:bookmarkStart w:id="613" w:name="_Toc1025"/>
      <w:bookmarkStart w:id="614" w:name="_Toc389582038"/>
      <w:bookmarkStart w:id="615" w:name="_Toc11450"/>
      <w:bookmarkStart w:id="616" w:name="_Toc20481"/>
    </w:p>
    <w:bookmarkEnd w:id="40"/>
    <w:bookmarkEnd w:id="610"/>
    <w:bookmarkEnd w:id="611"/>
    <w:bookmarkEnd w:id="612"/>
    <w:bookmarkEnd w:id="613"/>
    <w:bookmarkEnd w:id="614"/>
    <w:bookmarkEnd w:id="615"/>
    <w:bookmarkEnd w:id="616"/>
    <w:p w14:paraId="17DC77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bookmarkStart w:id="617" w:name="_Toc8141"/>
      <w:bookmarkStart w:id="618" w:name="_Toc423973079"/>
      <w:bookmarkStart w:id="619" w:name="_Toc5084"/>
      <w:bookmarkStart w:id="620" w:name="_Toc363474025"/>
      <w:bookmarkStart w:id="621" w:name="_Toc403077646"/>
      <w:r>
        <w:rPr>
          <w:rFonts w:hint="eastAsia" w:ascii="宋体" w:eastAsia="宋体" w:cs="宋体"/>
          <w:color w:val="auto"/>
          <w:kern w:val="0"/>
          <w:szCs w:val="32"/>
          <w:highlight w:val="none"/>
        </w:rPr>
        <w:t>一、项目概况：</w:t>
      </w:r>
    </w:p>
    <w:p w14:paraId="05396F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ascii="宋体" w:eastAsia="宋体" w:cs="宋体"/>
          <w:color w:val="auto"/>
          <w:kern w:val="0"/>
          <w:szCs w:val="32"/>
          <w:highlight w:val="none"/>
        </w:rPr>
        <w:t>《柞水中学 2025 年组团式帮扶体育场地达标及校园公共区域数字化提升项目》位于陕西省商洛市柞水县下梁镇，工程主要内容包括建设 P2.5 规格户外大屏 161.61 ㎡及附属屏控系统、强弱电改造等；翻新改造田径场塑胶跑道 10865.5 ㎡及排水设施，具体工程量如下：</w:t>
      </w:r>
    </w:p>
    <w:p w14:paraId="74862F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ascii="宋体" w:eastAsia="宋体" w:cs="宋体"/>
          <w:color w:val="auto"/>
          <w:kern w:val="0"/>
          <w:szCs w:val="32"/>
          <w:highlight w:val="none"/>
        </w:rPr>
        <w:t>操场户外 2.5 全彩显示屏（161.61 ㎡）一套，13mm 厚塑胶跑道面层铲除 412.2 ㎡，（10+3 厚）混合型塑胶跑道（刮涂 10mm 喷涂3mmEPDM）412.2 ㎡，聚氨酯 PU 浆料+EPDM 颗粒喷面 3mm（包括功能线喷涂）10865.5 ㎡，地沟盖板更换 241m 等工程。</w:t>
      </w:r>
    </w:p>
    <w:p w14:paraId="60C4F7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ascii="宋体" w:eastAsia="宋体" w:cs="宋体"/>
          <w:color w:val="auto"/>
          <w:kern w:val="0"/>
          <w:szCs w:val="32"/>
          <w:highlight w:val="none"/>
        </w:rPr>
        <w:t>二、编制依据：</w:t>
      </w:r>
    </w:p>
    <w:p w14:paraId="4BFB89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ascii="宋体" w:eastAsia="宋体" w:cs="宋体"/>
          <w:color w:val="auto"/>
          <w:kern w:val="0"/>
          <w:szCs w:val="32"/>
          <w:highlight w:val="none"/>
        </w:rPr>
        <w:t>1、陕西省建设工程费用规则(2025)；</w:t>
      </w:r>
    </w:p>
    <w:p w14:paraId="201959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cs="宋体"/>
          <w:color w:val="auto"/>
          <w:kern w:val="0"/>
          <w:szCs w:val="32"/>
          <w:highlight w:val="none"/>
          <w:lang w:val="en-US" w:eastAsia="zh-CN"/>
        </w:rPr>
        <w:t>2</w:t>
      </w:r>
      <w:r>
        <w:rPr>
          <w:rFonts w:hint="eastAsia" w:ascii="宋体" w:eastAsia="宋体" w:cs="宋体"/>
          <w:color w:val="auto"/>
          <w:kern w:val="0"/>
          <w:szCs w:val="32"/>
          <w:highlight w:val="none"/>
        </w:rPr>
        <w:t>、中华人民共和国住房和城乡建设部发布《市政工程设计概算编制办法》；</w:t>
      </w:r>
    </w:p>
    <w:p w14:paraId="4A27CC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cs="宋体"/>
          <w:color w:val="auto"/>
          <w:kern w:val="0"/>
          <w:szCs w:val="32"/>
          <w:highlight w:val="none"/>
          <w:lang w:val="en-US" w:eastAsia="zh-CN"/>
        </w:rPr>
        <w:t>3</w:t>
      </w:r>
      <w:r>
        <w:rPr>
          <w:rFonts w:hint="eastAsia" w:ascii="宋体" w:eastAsia="宋体" w:cs="宋体"/>
          <w:color w:val="auto"/>
          <w:kern w:val="0"/>
          <w:szCs w:val="32"/>
          <w:highlight w:val="none"/>
        </w:rPr>
        <w:t>、根据陕建发〔2017〕270 号文增加建设工程扬尘治理专项措施费；</w:t>
      </w:r>
    </w:p>
    <w:p w14:paraId="17F4E6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cs="宋体"/>
          <w:color w:val="auto"/>
          <w:kern w:val="0"/>
          <w:szCs w:val="32"/>
          <w:highlight w:val="none"/>
          <w:lang w:val="en-US" w:eastAsia="zh-CN"/>
        </w:rPr>
        <w:t>4</w:t>
      </w:r>
      <w:r>
        <w:rPr>
          <w:rFonts w:hint="eastAsia" w:ascii="宋体" w:eastAsia="宋体" w:cs="宋体"/>
          <w:color w:val="auto"/>
          <w:kern w:val="0"/>
          <w:szCs w:val="32"/>
          <w:highlight w:val="none"/>
        </w:rPr>
        <w:t>、陕建发〔2019〕45 号陕西省住房和城乡建设厅关于调整陕西省建设工程计价依据的通知；</w:t>
      </w:r>
    </w:p>
    <w:p w14:paraId="5B38F9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cs="宋体"/>
          <w:color w:val="auto"/>
          <w:kern w:val="0"/>
          <w:szCs w:val="32"/>
          <w:highlight w:val="none"/>
          <w:lang w:val="en-US" w:eastAsia="zh-CN"/>
        </w:rPr>
        <w:t>5</w:t>
      </w:r>
      <w:r>
        <w:rPr>
          <w:rFonts w:hint="eastAsia" w:ascii="宋体" w:eastAsia="宋体" w:cs="宋体"/>
          <w:color w:val="auto"/>
          <w:kern w:val="0"/>
          <w:szCs w:val="32"/>
          <w:highlight w:val="none"/>
        </w:rPr>
        <w:t>、关于发布我省落实建筑工人实名制管理计价依据的通知》陕建发〔2019〕1246 号。</w:t>
      </w:r>
    </w:p>
    <w:p w14:paraId="76A6FF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eastAsia="宋体" w:cs="宋体"/>
          <w:color w:val="auto"/>
          <w:kern w:val="0"/>
          <w:szCs w:val="32"/>
          <w:highlight w:val="none"/>
        </w:rPr>
      </w:pPr>
      <w:r>
        <w:rPr>
          <w:rFonts w:hint="eastAsia" w:cs="宋体"/>
          <w:color w:val="auto"/>
          <w:kern w:val="0"/>
          <w:szCs w:val="32"/>
          <w:highlight w:val="none"/>
          <w:lang w:val="en-US" w:eastAsia="zh-CN"/>
        </w:rPr>
        <w:t>6</w:t>
      </w:r>
      <w:r>
        <w:rPr>
          <w:rFonts w:hint="eastAsia" w:ascii="宋体" w:eastAsia="宋体" w:cs="宋体"/>
          <w:color w:val="auto"/>
          <w:kern w:val="0"/>
          <w:szCs w:val="32"/>
          <w:highlight w:val="none"/>
        </w:rPr>
        <w:t>、工程量清单依据建设单位提供工程量及施工工艺。</w:t>
      </w:r>
    </w:p>
    <w:p w14:paraId="23DE1D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eastAsia="宋体" w:cs="宋体"/>
          <w:color w:val="auto"/>
          <w:kern w:val="0"/>
          <w:szCs w:val="32"/>
          <w:highlight w:val="none"/>
          <w:lang w:val="en-US" w:eastAsia="zh-CN"/>
        </w:rPr>
      </w:pPr>
      <w:r>
        <w:rPr>
          <w:rFonts w:hint="eastAsia" w:cs="宋体"/>
          <w:color w:val="auto"/>
          <w:kern w:val="0"/>
          <w:szCs w:val="32"/>
          <w:highlight w:val="none"/>
          <w:lang w:val="en-US" w:eastAsia="zh-CN"/>
        </w:rPr>
        <w:t>7、编制软件采用广联达云计价平台GCCP 7.0 版本：7.5000.23.1。</w:t>
      </w:r>
    </w:p>
    <w:p w14:paraId="4D57D8C9">
      <w:pPr>
        <w:rPr>
          <w:rFonts w:hint="eastAsia" w:ascii="宋体" w:eastAsia="宋体" w:cs="宋体"/>
          <w:color w:val="auto"/>
          <w:kern w:val="0"/>
          <w:szCs w:val="32"/>
          <w:highlight w:val="none"/>
        </w:rPr>
      </w:pPr>
      <w:r>
        <w:rPr>
          <w:rFonts w:hint="eastAsia" w:ascii="宋体" w:eastAsia="宋体" w:cs="宋体"/>
          <w:color w:val="auto"/>
          <w:kern w:val="0"/>
          <w:szCs w:val="32"/>
          <w:highlight w:val="none"/>
        </w:rPr>
        <w:br w:type="page"/>
      </w:r>
    </w:p>
    <w:p w14:paraId="2780FB38">
      <w:pPr>
        <w:rPr>
          <w:rFonts w:hint="eastAsia" w:ascii="宋体" w:eastAsia="宋体" w:cs="宋体"/>
          <w:color w:val="auto"/>
          <w:kern w:val="0"/>
          <w:szCs w:val="32"/>
          <w:highlight w:val="none"/>
        </w:rPr>
      </w:pPr>
      <w:r>
        <w:rPr>
          <w:rFonts w:hint="eastAsia" w:cs="宋体"/>
          <w:color w:val="auto"/>
          <w:kern w:val="0"/>
          <w:szCs w:val="32"/>
          <w:highlight w:val="none"/>
          <w:lang w:val="en-US" w:eastAsia="zh-CN"/>
        </w:rPr>
        <w:t>工程量清单</w:t>
      </w:r>
      <w:r>
        <w:rPr>
          <w:rFonts w:hint="eastAsia" w:ascii="宋体" w:eastAsia="宋体" w:cs="宋体"/>
          <w:color w:val="auto"/>
          <w:kern w:val="0"/>
          <w:szCs w:val="32"/>
          <w:highlight w:val="none"/>
        </w:rPr>
        <w:drawing>
          <wp:inline distT="0" distB="0" distL="114300" distR="114300">
            <wp:extent cx="5755640" cy="8150860"/>
            <wp:effectExtent l="0" t="0" r="16510" b="2540"/>
            <wp:docPr id="1" name="图片 1" descr="柞水中学2025年组团式帮扶体育场地达标及校园公共区域数字化提升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柞水中学2025年组团式帮扶体育场地达标及校园公共区域数字化提升项目_03"/>
                    <pic:cNvPicPr>
                      <a:picLocks noChangeAspect="1"/>
                    </pic:cNvPicPr>
                  </pic:nvPicPr>
                  <pic:blipFill>
                    <a:blip r:embed="rId15"/>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 name="图片 4" descr="柞水中学2025年组团式帮扶体育场地达标及校园公共区域数字化提升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柞水中学2025年组团式帮扶体育场地达标及校园公共区域数字化提升项目_04"/>
                    <pic:cNvPicPr>
                      <a:picLocks noChangeAspect="1"/>
                    </pic:cNvPicPr>
                  </pic:nvPicPr>
                  <pic:blipFill>
                    <a:blip r:embed="rId16"/>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9" name="图片 9" descr="柞水中学2025年组团式帮扶体育场地达标及校园公共区域数字化提升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柞水中学2025年组团式帮扶体育场地达标及校园公共区域数字化提升项目_05"/>
                    <pic:cNvPicPr>
                      <a:picLocks noChangeAspect="1"/>
                    </pic:cNvPicPr>
                  </pic:nvPicPr>
                  <pic:blipFill>
                    <a:blip r:embed="rId17"/>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1" name="图片 11" descr="柞水中学2025年组团式帮扶体育场地达标及校园公共区域数字化提升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柞水中学2025年组团式帮扶体育场地达标及校园公共区域数字化提升项目_06"/>
                    <pic:cNvPicPr>
                      <a:picLocks noChangeAspect="1"/>
                    </pic:cNvPicPr>
                  </pic:nvPicPr>
                  <pic:blipFill>
                    <a:blip r:embed="rId18"/>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2" name="图片 12" descr="柞水中学2025年组团式帮扶体育场地达标及校园公共区域数字化提升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柞水中学2025年组团式帮扶体育场地达标及校园公共区域数字化提升项目_07"/>
                    <pic:cNvPicPr>
                      <a:picLocks noChangeAspect="1"/>
                    </pic:cNvPicPr>
                  </pic:nvPicPr>
                  <pic:blipFill>
                    <a:blip r:embed="rId19"/>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3" name="图片 13" descr="柞水中学2025年组团式帮扶体育场地达标及校园公共区域数字化提升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柞水中学2025年组团式帮扶体育场地达标及校园公共区域数字化提升项目_08"/>
                    <pic:cNvPicPr>
                      <a:picLocks noChangeAspect="1"/>
                    </pic:cNvPicPr>
                  </pic:nvPicPr>
                  <pic:blipFill>
                    <a:blip r:embed="rId20"/>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4" name="图片 14" descr="柞水中学2025年组团式帮扶体育场地达标及校园公共区域数字化提升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柞水中学2025年组团式帮扶体育场地达标及校园公共区域数字化提升项目_09"/>
                    <pic:cNvPicPr>
                      <a:picLocks noChangeAspect="1"/>
                    </pic:cNvPicPr>
                  </pic:nvPicPr>
                  <pic:blipFill>
                    <a:blip r:embed="rId21"/>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5" name="图片 15" descr="柞水中学2025年组团式帮扶体育场地达标及校园公共区域数字化提升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柞水中学2025年组团式帮扶体育场地达标及校园公共区域数字化提升项目_10"/>
                    <pic:cNvPicPr>
                      <a:picLocks noChangeAspect="1"/>
                    </pic:cNvPicPr>
                  </pic:nvPicPr>
                  <pic:blipFill>
                    <a:blip r:embed="rId22"/>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6" name="图片 16" descr="柞水中学2025年组团式帮扶体育场地达标及校园公共区域数字化提升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柞水中学2025年组团式帮扶体育场地达标及校园公共区域数字化提升项目_11"/>
                    <pic:cNvPicPr>
                      <a:picLocks noChangeAspect="1"/>
                    </pic:cNvPicPr>
                  </pic:nvPicPr>
                  <pic:blipFill>
                    <a:blip r:embed="rId23"/>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7" name="图片 17" descr="柞水中学2025年组团式帮扶体育场地达标及校园公共区域数字化提升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柞水中学2025年组团式帮扶体育场地达标及校园公共区域数字化提升项目_12"/>
                    <pic:cNvPicPr>
                      <a:picLocks noChangeAspect="1"/>
                    </pic:cNvPicPr>
                  </pic:nvPicPr>
                  <pic:blipFill>
                    <a:blip r:embed="rId24"/>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8" name="图片 18" descr="柞水中学2025年组团式帮扶体育场地达标及校园公共区域数字化提升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柞水中学2025年组团式帮扶体育场地达标及校园公共区域数字化提升项目_13"/>
                    <pic:cNvPicPr>
                      <a:picLocks noChangeAspect="1"/>
                    </pic:cNvPicPr>
                  </pic:nvPicPr>
                  <pic:blipFill>
                    <a:blip r:embed="rId25"/>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19" name="图片 19" descr="柞水中学2025年组团式帮扶体育场地达标及校园公共区域数字化提升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柞水中学2025年组团式帮扶体育场地达标及校园公共区域数字化提升项目_14"/>
                    <pic:cNvPicPr>
                      <a:picLocks noChangeAspect="1"/>
                    </pic:cNvPicPr>
                  </pic:nvPicPr>
                  <pic:blipFill>
                    <a:blip r:embed="rId26"/>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0" name="图片 20" descr="柞水中学2025年组团式帮扶体育场地达标及校园公共区域数字化提升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柞水中学2025年组团式帮扶体育场地达标及校园公共区域数字化提升项目_15"/>
                    <pic:cNvPicPr>
                      <a:picLocks noChangeAspect="1"/>
                    </pic:cNvPicPr>
                  </pic:nvPicPr>
                  <pic:blipFill>
                    <a:blip r:embed="rId27"/>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1" name="图片 21" descr="柞水中学2025年组团式帮扶体育场地达标及校园公共区域数字化提升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柞水中学2025年组团式帮扶体育场地达标及校园公共区域数字化提升项目_16"/>
                    <pic:cNvPicPr>
                      <a:picLocks noChangeAspect="1"/>
                    </pic:cNvPicPr>
                  </pic:nvPicPr>
                  <pic:blipFill>
                    <a:blip r:embed="rId28"/>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2" name="图片 22" descr="柞水中学2025年组团式帮扶体育场地达标及校园公共区域数字化提升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柞水中学2025年组团式帮扶体育场地达标及校园公共区域数字化提升项目_17"/>
                    <pic:cNvPicPr>
                      <a:picLocks noChangeAspect="1"/>
                    </pic:cNvPicPr>
                  </pic:nvPicPr>
                  <pic:blipFill>
                    <a:blip r:embed="rId29"/>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3" name="图片 23" descr="柞水中学2025年组团式帮扶体育场地达标及校园公共区域数字化提升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柞水中学2025年组团式帮扶体育场地达标及校园公共区域数字化提升项目_18"/>
                    <pic:cNvPicPr>
                      <a:picLocks noChangeAspect="1"/>
                    </pic:cNvPicPr>
                  </pic:nvPicPr>
                  <pic:blipFill>
                    <a:blip r:embed="rId30"/>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4" name="图片 24" descr="柞水中学2025年组团式帮扶体育场地达标及校园公共区域数字化提升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柞水中学2025年组团式帮扶体育场地达标及校园公共区域数字化提升项目_19"/>
                    <pic:cNvPicPr>
                      <a:picLocks noChangeAspect="1"/>
                    </pic:cNvPicPr>
                  </pic:nvPicPr>
                  <pic:blipFill>
                    <a:blip r:embed="rId31"/>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5" name="图片 25" descr="柞水中学2025年组团式帮扶体育场地达标及校园公共区域数字化提升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柞水中学2025年组团式帮扶体育场地达标及校园公共区域数字化提升项目_20"/>
                    <pic:cNvPicPr>
                      <a:picLocks noChangeAspect="1"/>
                    </pic:cNvPicPr>
                  </pic:nvPicPr>
                  <pic:blipFill>
                    <a:blip r:embed="rId32"/>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6" name="图片 26" descr="柞水中学2025年组团式帮扶体育场地达标及校园公共区域数字化提升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柞水中学2025年组团式帮扶体育场地达标及校园公共区域数字化提升项目_20"/>
                    <pic:cNvPicPr>
                      <a:picLocks noChangeAspect="1"/>
                    </pic:cNvPicPr>
                  </pic:nvPicPr>
                  <pic:blipFill>
                    <a:blip r:embed="rId32"/>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7" name="图片 27" descr="柞水中学2025年组团式帮扶体育场地达标及校园公共区域数字化提升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柞水中学2025年组团式帮扶体育场地达标及校园公共区域数字化提升项目_21"/>
                    <pic:cNvPicPr>
                      <a:picLocks noChangeAspect="1"/>
                    </pic:cNvPicPr>
                  </pic:nvPicPr>
                  <pic:blipFill>
                    <a:blip r:embed="rId33"/>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8" name="图片 28" descr="柞水中学2025年组团式帮扶体育场地达标及校园公共区域数字化提升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柞水中学2025年组团式帮扶体育场地达标及校园公共区域数字化提升项目_22"/>
                    <pic:cNvPicPr>
                      <a:picLocks noChangeAspect="1"/>
                    </pic:cNvPicPr>
                  </pic:nvPicPr>
                  <pic:blipFill>
                    <a:blip r:embed="rId34"/>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29" name="图片 29" descr="柞水中学2025年组团式帮扶体育场地达标及校园公共区域数字化提升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柞水中学2025年组团式帮扶体育场地达标及校园公共区域数字化提升项目_23"/>
                    <pic:cNvPicPr>
                      <a:picLocks noChangeAspect="1"/>
                    </pic:cNvPicPr>
                  </pic:nvPicPr>
                  <pic:blipFill>
                    <a:blip r:embed="rId35"/>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0" name="图片 30" descr="柞水中学2025年组团式帮扶体育场地达标及校园公共区域数字化提升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柞水中学2025年组团式帮扶体育场地达标及校园公共区域数字化提升项目_24"/>
                    <pic:cNvPicPr>
                      <a:picLocks noChangeAspect="1"/>
                    </pic:cNvPicPr>
                  </pic:nvPicPr>
                  <pic:blipFill>
                    <a:blip r:embed="rId36"/>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1" name="图片 31" descr="柞水中学2025年组团式帮扶体育场地达标及校园公共区域数字化提升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柞水中学2025年组团式帮扶体育场地达标及校园公共区域数字化提升项目_25"/>
                    <pic:cNvPicPr>
                      <a:picLocks noChangeAspect="1"/>
                    </pic:cNvPicPr>
                  </pic:nvPicPr>
                  <pic:blipFill>
                    <a:blip r:embed="rId37"/>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2" name="图片 32" descr="柞水中学2025年组团式帮扶体育场地达标及校园公共区域数字化提升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柞水中学2025年组团式帮扶体育场地达标及校园公共区域数字化提升项目_26"/>
                    <pic:cNvPicPr>
                      <a:picLocks noChangeAspect="1"/>
                    </pic:cNvPicPr>
                  </pic:nvPicPr>
                  <pic:blipFill>
                    <a:blip r:embed="rId38"/>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3" name="图片 33" descr="柞水中学2025年组团式帮扶体育场地达标及校园公共区域数字化提升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柞水中学2025年组团式帮扶体育场地达标及校园公共区域数字化提升项目_27"/>
                    <pic:cNvPicPr>
                      <a:picLocks noChangeAspect="1"/>
                    </pic:cNvPicPr>
                  </pic:nvPicPr>
                  <pic:blipFill>
                    <a:blip r:embed="rId39"/>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4" name="图片 34" descr="柞水中学2025年组团式帮扶体育场地达标及校园公共区域数字化提升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柞水中学2025年组团式帮扶体育场地达标及校园公共区域数字化提升项目_28"/>
                    <pic:cNvPicPr>
                      <a:picLocks noChangeAspect="1"/>
                    </pic:cNvPicPr>
                  </pic:nvPicPr>
                  <pic:blipFill>
                    <a:blip r:embed="rId40"/>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5" name="图片 35" descr="柞水中学2025年组团式帮扶体育场地达标及校园公共区域数字化提升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柞水中学2025年组团式帮扶体育场地达标及校园公共区域数字化提升项目_29"/>
                    <pic:cNvPicPr>
                      <a:picLocks noChangeAspect="1"/>
                    </pic:cNvPicPr>
                  </pic:nvPicPr>
                  <pic:blipFill>
                    <a:blip r:embed="rId41"/>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6" name="图片 36" descr="柞水中学2025年组团式帮扶体育场地达标及校园公共区域数字化提升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柞水中学2025年组团式帮扶体育场地达标及校园公共区域数字化提升项目_30"/>
                    <pic:cNvPicPr>
                      <a:picLocks noChangeAspect="1"/>
                    </pic:cNvPicPr>
                  </pic:nvPicPr>
                  <pic:blipFill>
                    <a:blip r:embed="rId42"/>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7" name="图片 37" descr="柞水中学2025年组团式帮扶体育场地达标及校园公共区域数字化提升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柞水中学2025年组团式帮扶体育场地达标及校园公共区域数字化提升项目_31"/>
                    <pic:cNvPicPr>
                      <a:picLocks noChangeAspect="1"/>
                    </pic:cNvPicPr>
                  </pic:nvPicPr>
                  <pic:blipFill>
                    <a:blip r:embed="rId43"/>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8" name="图片 38" descr="柞水中学2025年组团式帮扶体育场地达标及校园公共区域数字化提升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柞水中学2025年组团式帮扶体育场地达标及校园公共区域数字化提升项目_32"/>
                    <pic:cNvPicPr>
                      <a:picLocks noChangeAspect="1"/>
                    </pic:cNvPicPr>
                  </pic:nvPicPr>
                  <pic:blipFill>
                    <a:blip r:embed="rId44"/>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39" name="图片 39" descr="柞水中学2025年组团式帮扶体育场地达标及校园公共区域数字化提升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柞水中学2025年组团式帮扶体育场地达标及校园公共区域数字化提升项目_33"/>
                    <pic:cNvPicPr>
                      <a:picLocks noChangeAspect="1"/>
                    </pic:cNvPicPr>
                  </pic:nvPicPr>
                  <pic:blipFill>
                    <a:blip r:embed="rId45"/>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0" name="图片 40" descr="柞水中学2025年组团式帮扶体育场地达标及校园公共区域数字化提升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柞水中学2025年组团式帮扶体育场地达标及校园公共区域数字化提升项目_34"/>
                    <pic:cNvPicPr>
                      <a:picLocks noChangeAspect="1"/>
                    </pic:cNvPicPr>
                  </pic:nvPicPr>
                  <pic:blipFill>
                    <a:blip r:embed="rId46"/>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1" name="图片 41" descr="柞水中学2025年组团式帮扶体育场地达标及校园公共区域数字化提升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柞水中学2025年组团式帮扶体育场地达标及校园公共区域数字化提升项目_35"/>
                    <pic:cNvPicPr>
                      <a:picLocks noChangeAspect="1"/>
                    </pic:cNvPicPr>
                  </pic:nvPicPr>
                  <pic:blipFill>
                    <a:blip r:embed="rId47"/>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2" name="图片 42" descr="柞水中学2025年组团式帮扶体育场地达标及校园公共区域数字化提升项目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柞水中学2025年组团式帮扶体育场地达标及校园公共区域数字化提升项目_36"/>
                    <pic:cNvPicPr>
                      <a:picLocks noChangeAspect="1"/>
                    </pic:cNvPicPr>
                  </pic:nvPicPr>
                  <pic:blipFill>
                    <a:blip r:embed="rId48"/>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3" name="图片 43" descr="柞水中学2025年组团式帮扶体育场地达标及校园公共区域数字化提升项目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柞水中学2025年组团式帮扶体育场地达标及校园公共区域数字化提升项目_37"/>
                    <pic:cNvPicPr>
                      <a:picLocks noChangeAspect="1"/>
                    </pic:cNvPicPr>
                  </pic:nvPicPr>
                  <pic:blipFill>
                    <a:blip r:embed="rId49"/>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4" name="图片 44" descr="柞水中学2025年组团式帮扶体育场地达标及校园公共区域数字化提升项目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柞水中学2025年组团式帮扶体育场地达标及校园公共区域数字化提升项目_38"/>
                    <pic:cNvPicPr>
                      <a:picLocks noChangeAspect="1"/>
                    </pic:cNvPicPr>
                  </pic:nvPicPr>
                  <pic:blipFill>
                    <a:blip r:embed="rId50"/>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5" name="图片 45" descr="柞水中学2025年组团式帮扶体育场地达标及校园公共区域数字化提升项目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柞水中学2025年组团式帮扶体育场地达标及校园公共区域数字化提升项目_39"/>
                    <pic:cNvPicPr>
                      <a:picLocks noChangeAspect="1"/>
                    </pic:cNvPicPr>
                  </pic:nvPicPr>
                  <pic:blipFill>
                    <a:blip r:embed="rId51"/>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6" name="图片 46" descr="柞水中学2025年组团式帮扶体育场地达标及校园公共区域数字化提升项目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柞水中学2025年组团式帮扶体育场地达标及校园公共区域数字化提升项目_40"/>
                    <pic:cNvPicPr>
                      <a:picLocks noChangeAspect="1"/>
                    </pic:cNvPicPr>
                  </pic:nvPicPr>
                  <pic:blipFill>
                    <a:blip r:embed="rId52"/>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7" name="图片 47" descr="柞水中学2025年组团式帮扶体育场地达标及校园公共区域数字化提升项目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柞水中学2025年组团式帮扶体育场地达标及校园公共区域数字化提升项目_41"/>
                    <pic:cNvPicPr>
                      <a:picLocks noChangeAspect="1"/>
                    </pic:cNvPicPr>
                  </pic:nvPicPr>
                  <pic:blipFill>
                    <a:blip r:embed="rId53"/>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640" cy="8150860"/>
            <wp:effectExtent l="0" t="0" r="16510" b="2540"/>
            <wp:docPr id="48" name="图片 48" descr="柞水中学2025年组团式帮扶体育场地达标及校园公共区域数字化提升项目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柞水中学2025年组团式帮扶体育场地达标及校园公共区域数字化提升项目_42"/>
                    <pic:cNvPicPr>
                      <a:picLocks noChangeAspect="1"/>
                    </pic:cNvPicPr>
                  </pic:nvPicPr>
                  <pic:blipFill>
                    <a:blip r:embed="rId54"/>
                    <a:stretch>
                      <a:fillRect/>
                    </a:stretch>
                  </pic:blipFill>
                  <pic:spPr>
                    <a:xfrm>
                      <a:off x="0" y="0"/>
                      <a:ext cx="5755640" cy="8150860"/>
                    </a:xfrm>
                    <a:prstGeom prst="rect">
                      <a:avLst/>
                    </a:prstGeom>
                  </pic:spPr>
                </pic:pic>
              </a:graphicData>
            </a:graphic>
          </wp:inline>
        </w:drawing>
      </w:r>
      <w:r>
        <w:rPr>
          <w:rFonts w:hint="eastAsia" w:ascii="宋体" w:eastAsia="宋体" w:cs="宋体"/>
          <w:color w:val="auto"/>
          <w:kern w:val="0"/>
          <w:szCs w:val="32"/>
          <w:highlight w:val="none"/>
        </w:rPr>
        <w:br w:type="page"/>
      </w:r>
    </w:p>
    <w:p w14:paraId="1F29375C">
      <w:pPr>
        <w:pStyle w:val="4"/>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17"/>
      <w:bookmarkEnd w:id="618"/>
      <w:bookmarkEnd w:id="619"/>
      <w:bookmarkEnd w:id="620"/>
      <w:bookmarkEnd w:id="621"/>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SXZCZB2025-ZCCS-0924</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50375FF8">
      <w:pPr>
        <w:jc w:val="center"/>
        <w:rPr>
          <w:rFonts w:hint="eastAsia" w:eastAsia="宋体" w:cs="宋体"/>
          <w:b/>
          <w:color w:val="auto"/>
          <w:sz w:val="60"/>
          <w:szCs w:val="60"/>
          <w:highlight w:val="none"/>
          <w:shd w:val="clear" w:color="auto" w:fill="FFFFFF"/>
          <w:lang w:eastAsia="zh-CN"/>
        </w:rPr>
      </w:pPr>
      <w:r>
        <w:rPr>
          <w:rFonts w:hint="eastAsia" w:cs="宋体"/>
          <w:b/>
          <w:color w:val="auto"/>
          <w:sz w:val="60"/>
          <w:szCs w:val="60"/>
          <w:highlight w:val="none"/>
          <w:shd w:val="clear" w:color="auto" w:fill="FFFFFF"/>
          <w:lang w:eastAsia="zh-CN"/>
        </w:rPr>
        <w:t>柞水中学2025年组团式帮扶体育场地达标及校园公共区域数字化提升项目</w:t>
      </w:r>
    </w:p>
    <w:p w14:paraId="56E474D8">
      <w:pPr>
        <w:pStyle w:val="11"/>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2"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11"/>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8"/>
        <w:spacing w:line="360" w:lineRule="auto"/>
        <w:rPr>
          <w:rFonts w:ascii="宋体" w:hAnsi="宋体" w:cs="宋体"/>
          <w:color w:val="auto"/>
          <w:highlight w:val="none"/>
        </w:rPr>
      </w:pPr>
    </w:p>
    <w:p w14:paraId="594C1CBC">
      <w:pPr>
        <w:pStyle w:val="8"/>
        <w:spacing w:line="360" w:lineRule="auto"/>
        <w:rPr>
          <w:rFonts w:ascii="宋体" w:hAnsi="宋体" w:cs="宋体"/>
          <w:color w:val="auto"/>
          <w:highlight w:val="none"/>
        </w:rPr>
      </w:pPr>
    </w:p>
    <w:p w14:paraId="18E9FFB9">
      <w:pPr>
        <w:pStyle w:val="8"/>
        <w:ind w:firstLine="880"/>
        <w:rPr>
          <w:rFonts w:ascii="宋体" w:hAnsi="宋体" w:cs="宋体"/>
          <w:bCs/>
          <w:color w:val="auto"/>
          <w:sz w:val="44"/>
          <w:highlight w:val="none"/>
        </w:rPr>
      </w:pPr>
    </w:p>
    <w:p w14:paraId="2AC4D770">
      <w:pPr>
        <w:pStyle w:val="8"/>
        <w:ind w:firstLine="880"/>
        <w:rPr>
          <w:rFonts w:ascii="宋体" w:hAnsi="宋体" w:cs="宋体"/>
          <w:bCs/>
          <w:color w:val="auto"/>
          <w:sz w:val="44"/>
          <w:highlight w:val="none"/>
        </w:rPr>
      </w:pPr>
    </w:p>
    <w:bookmarkEnd w:id="622"/>
    <w:p w14:paraId="0781C66D">
      <w:pPr>
        <w:pStyle w:val="11"/>
        <w:rPr>
          <w:rFonts w:ascii="宋体" w:hAnsi="宋体" w:cs="宋体"/>
          <w:b/>
          <w:color w:val="auto"/>
          <w:sz w:val="32"/>
          <w:szCs w:val="32"/>
          <w:highlight w:val="none"/>
        </w:rPr>
      </w:pPr>
      <w:bookmarkStart w:id="623" w:name="_Toc363474027"/>
      <w:bookmarkStart w:id="624" w:name="_Toc403077648"/>
      <w:bookmarkStart w:id="625" w:name="_Toc204524343"/>
    </w:p>
    <w:p w14:paraId="2F2A9611">
      <w:pPr>
        <w:pStyle w:val="11"/>
        <w:rPr>
          <w:rFonts w:ascii="宋体" w:hAnsi="宋体" w:cs="宋体"/>
          <w:b/>
          <w:color w:val="auto"/>
          <w:sz w:val="32"/>
          <w:szCs w:val="32"/>
          <w:highlight w:val="none"/>
        </w:rPr>
      </w:pPr>
    </w:p>
    <w:p w14:paraId="3557011E">
      <w:pPr>
        <w:pStyle w:val="11"/>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3"/>
      <w:bookmarkEnd w:id="624"/>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7"/>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7"/>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6"/>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6" w:name="_Toc403077651"/>
      <w:bookmarkStart w:id="627" w:name="_Toc363474030"/>
      <w:r>
        <w:rPr>
          <w:rFonts w:hint="eastAsia" w:ascii="宋体" w:hAnsi="宋体" w:cs="宋体"/>
          <w:color w:val="auto"/>
          <w:sz w:val="32"/>
          <w:szCs w:val="32"/>
          <w:highlight w:val="none"/>
        </w:rPr>
        <w:t>二、磋商报价表</w:t>
      </w:r>
      <w:bookmarkEnd w:id="626"/>
      <w:bookmarkEnd w:id="627"/>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5"/>
      <w:bookmarkStart w:id="628"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29" w:name="_Toc2621"/>
      <w:bookmarkStart w:id="630" w:name="_Toc21284"/>
      <w:bookmarkStart w:id="631" w:name="_Toc9218"/>
      <w:bookmarkStart w:id="632" w:name="_Toc1379"/>
      <w:bookmarkStart w:id="633" w:name="_Toc23455"/>
      <w:r>
        <w:rPr>
          <w:rFonts w:hint="eastAsia" w:hAnsi="宋体" w:cs="宋体"/>
          <w:b/>
          <w:bCs/>
          <w:color w:val="auto"/>
          <w:sz w:val="32"/>
          <w:szCs w:val="32"/>
          <w:highlight w:val="none"/>
        </w:rPr>
        <w:t>四、</w:t>
      </w:r>
      <w:bookmarkEnd w:id="629"/>
      <w:bookmarkEnd w:id="630"/>
      <w:bookmarkEnd w:id="631"/>
      <w:bookmarkEnd w:id="632"/>
      <w:bookmarkEnd w:id="633"/>
      <w:r>
        <w:rPr>
          <w:rFonts w:hint="eastAsia" w:hAnsi="宋体" w:cs="宋体"/>
          <w:b/>
          <w:bCs/>
          <w:color w:val="auto"/>
          <w:sz w:val="32"/>
          <w:szCs w:val="32"/>
          <w:highlight w:val="none"/>
        </w:rPr>
        <w:t>商务条款偏离表</w:t>
      </w:r>
    </w:p>
    <w:p w14:paraId="5EAD6D24">
      <w:pPr>
        <w:pStyle w:val="22"/>
        <w:widowControl w:val="0"/>
        <w:spacing w:before="0" w:beforeAutospacing="0" w:after="0" w:afterAutospacing="0"/>
        <w:jc w:val="both"/>
        <w:rPr>
          <w:rFonts w:cs="宋体"/>
          <w:color w:val="auto"/>
          <w:highlight w:val="none"/>
        </w:rPr>
      </w:pPr>
    </w:p>
    <w:p w14:paraId="13B66C49">
      <w:pPr>
        <w:pStyle w:val="22"/>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2"/>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2"/>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2"/>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2"/>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2"/>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2"/>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2"/>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2"/>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2"/>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2"/>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2"/>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2"/>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2"/>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2"/>
              <w:widowControl w:val="0"/>
              <w:spacing w:before="0" w:beforeAutospacing="0" w:after="0" w:afterAutospacing="0"/>
              <w:ind w:firstLine="480" w:firstLineChars="200"/>
              <w:jc w:val="center"/>
              <w:rPr>
                <w:rFonts w:cs="宋体"/>
                <w:color w:val="auto"/>
                <w:highlight w:val="none"/>
              </w:rPr>
            </w:pPr>
          </w:p>
        </w:tc>
      </w:tr>
    </w:tbl>
    <w:p w14:paraId="1619C529">
      <w:pPr>
        <w:pStyle w:val="22"/>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22B829D">
      <w:pPr>
        <w:pStyle w:val="22"/>
        <w:widowControl w:val="0"/>
        <w:spacing w:before="0" w:beforeAutospacing="0" w:after="0" w:afterAutospacing="0"/>
        <w:ind w:firstLine="480" w:firstLineChars="200"/>
        <w:jc w:val="center"/>
        <w:rPr>
          <w:rFonts w:cs="宋体"/>
          <w:color w:val="auto"/>
          <w:highlight w:val="none"/>
        </w:rPr>
      </w:pPr>
    </w:p>
    <w:p w14:paraId="2687CFFE">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2"/>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8"/>
    <w:p w14:paraId="5AB88864">
      <w:pPr>
        <w:spacing w:line="360" w:lineRule="auto"/>
        <w:jc w:val="center"/>
        <w:outlineLvl w:val="2"/>
        <w:rPr>
          <w:rFonts w:hAnsi="宋体" w:cs="宋体"/>
          <w:b/>
          <w:bCs/>
          <w:color w:val="auto"/>
          <w:sz w:val="30"/>
          <w:szCs w:val="30"/>
          <w:highlight w:val="none"/>
        </w:rPr>
      </w:pPr>
      <w:bookmarkStart w:id="634" w:name="_Toc363474033"/>
      <w:bookmarkStart w:id="635"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4"/>
      <w:bookmarkEnd w:id="635"/>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w:t>
      </w:r>
      <w:r>
        <w:rPr>
          <w:rFonts w:hint="eastAsia" w:hAnsi="宋体" w:cs="宋体"/>
          <w:color w:val="auto"/>
          <w:szCs w:val="24"/>
          <w:highlight w:val="none"/>
          <w:lang w:val="en-US" w:eastAsia="zh-CN"/>
        </w:rPr>
        <w:t>盖章或</w:t>
      </w:r>
      <w:r>
        <w:rPr>
          <w:rFonts w:hint="eastAsia" w:hAnsi="宋体" w:cs="宋体"/>
          <w:color w:val="auto"/>
          <w:szCs w:val="24"/>
          <w:highlight w:val="none"/>
        </w:rPr>
        <w:t>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6" w:name="_Toc403077657"/>
      <w:bookmarkStart w:id="637" w:name="_Toc363474034"/>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6"/>
      <w:bookmarkEnd w:id="637"/>
    </w:p>
    <w:p w14:paraId="0ABA74B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59AE9AE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(2)法定代表人直接参加的，须提供法定代表人身份证明；法定代表人授权代表参加的，须提供法定代表人授权委托书；</w:t>
      </w:r>
    </w:p>
    <w:p w14:paraId="49983FA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(3)提供2024年度的财务审计报告（成立时间至提交响应文件截止时间不足一年的可提供成立后任意时段的资产负债表）或开标时间前六个月内银行出具的资信证明；</w:t>
      </w:r>
    </w:p>
    <w:p w14:paraId="128AB2F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(4)提供响应文件截止日前一年内已缴纳的至少一个月的纳税证明或完税证明（任意税种），依法免税的单位应提供相关证明材料；</w:t>
      </w:r>
    </w:p>
    <w:p w14:paraId="3CAA3E6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(5)提供响应文件截止日前一年内已缴存的至少一个月的社会保障资金缴存单据或社保机构开具的社会保险参保缴费情况证明，依法不需要缴纳社会保障资金的单位应提供相关证明材料；</w:t>
      </w:r>
    </w:p>
    <w:p w14:paraId="5877978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65861E6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（7）供应商须具备建筑工程施工总承包三级及以上资质，并具有合格有效的安全生产许可证；</w:t>
      </w:r>
    </w:p>
    <w:p w14:paraId="278B892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（8）供应商拟派项目负责人具备建筑工程专业二级及以上注册建造师资格，并持建设行政主管部门核发的有效的安全考核合格证书（B 证），且无在建项目；</w:t>
      </w:r>
    </w:p>
    <w:p w14:paraId="2665C27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（9)参加政府采购活动前3年内，在经营活动中没有重大违法记录的书面声明；</w:t>
      </w:r>
    </w:p>
    <w:p w14:paraId="171A397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(10)提供具有履行合同所必需的设备和专业技术能力的承诺函；</w:t>
      </w:r>
    </w:p>
    <w:p w14:paraId="28B3FD9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(11)供应商须提供中小企业声明函；</w:t>
      </w:r>
    </w:p>
    <w:p w14:paraId="5BFE5A8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(12)本项目不接受联合体磋商（需提供承诺书）；</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11"/>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11"/>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8" w:name="_Toc363474028"/>
      <w:bookmarkStart w:id="639" w:name="_Toc403077649"/>
      <w:r>
        <w:rPr>
          <w:rFonts w:hint="eastAsia" w:hAnsi="宋体" w:cs="宋体"/>
          <w:color w:val="auto"/>
          <w:sz w:val="32"/>
          <w:szCs w:val="32"/>
          <w:highlight w:val="none"/>
        </w:rPr>
        <w:t>法定代表人身份证明/法定代表人授权书</w:t>
      </w:r>
      <w:bookmarkEnd w:id="638"/>
      <w:bookmarkEnd w:id="639"/>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11"/>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11"/>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11"/>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2"/>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2"/>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22"/>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2"/>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3"/>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3"/>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3"/>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3"/>
        <w:adjustRightInd w:val="0"/>
        <w:snapToGrid w:val="0"/>
        <w:spacing w:line="720" w:lineRule="exact"/>
        <w:rPr>
          <w:rFonts w:hAnsi="宋体" w:cs="宋体"/>
          <w:color w:val="auto"/>
          <w:spacing w:val="4"/>
          <w:sz w:val="24"/>
          <w:szCs w:val="24"/>
          <w:highlight w:val="none"/>
        </w:rPr>
      </w:pPr>
    </w:p>
    <w:p w14:paraId="4EFF3582">
      <w:pPr>
        <w:pStyle w:val="13"/>
        <w:adjustRightInd w:val="0"/>
        <w:snapToGrid w:val="0"/>
        <w:spacing w:line="720" w:lineRule="exact"/>
        <w:rPr>
          <w:rFonts w:hAnsi="宋体" w:cs="宋体"/>
          <w:color w:val="auto"/>
          <w:spacing w:val="4"/>
          <w:sz w:val="24"/>
          <w:szCs w:val="24"/>
          <w:highlight w:val="none"/>
        </w:rPr>
      </w:pPr>
    </w:p>
    <w:p w14:paraId="1E2D7BB0">
      <w:pPr>
        <w:pStyle w:val="13"/>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40"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0"/>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1" w:name="OLE_LINK14"/>
      <w:bookmarkStart w:id="642" w:name="OLE_LINK13"/>
      <w:r>
        <w:rPr>
          <w:rFonts w:hint="eastAsia" w:hAnsi="宋体" w:cs="宋体"/>
          <w:b/>
          <w:color w:val="auto"/>
          <w:spacing w:val="6"/>
          <w:sz w:val="32"/>
          <w:szCs w:val="32"/>
          <w:highlight w:val="none"/>
        </w:rPr>
        <w:t>残疾人福利性单位声明函</w:t>
      </w:r>
    </w:p>
    <w:bookmarkEnd w:id="641"/>
    <w:bookmarkEnd w:id="642"/>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7"/>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7"/>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7"/>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7"/>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7"/>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7"/>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7"/>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7"/>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7"/>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8"/>
      <w:pBdr>
        <w:bottom w:val="none" w:color="auto" w:sz="0" w:space="1"/>
      </w:pBdr>
      <w:jc w:val="both"/>
    </w:pPr>
  </w:p>
  <w:p w14:paraId="3CD0F681">
    <w:pPr>
      <w:pStyle w:val="18"/>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6DBC">
    <w:pPr>
      <w:pStyle w:val="18"/>
      <w:pBdr>
        <w:bottom w:val="none" w:color="auto" w:sz="0" w:space="1"/>
      </w:pBdr>
      <w:jc w:val="left"/>
      <w:rPr>
        <w:rFonts w:ascii="宋体" w:hAnsi="宋体" w:cs="宋体"/>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8"/>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677648"/>
    <w:rsid w:val="03C33443"/>
    <w:rsid w:val="04441D61"/>
    <w:rsid w:val="044B49A4"/>
    <w:rsid w:val="045301F6"/>
    <w:rsid w:val="04564D84"/>
    <w:rsid w:val="04702B56"/>
    <w:rsid w:val="04F2372E"/>
    <w:rsid w:val="05946029"/>
    <w:rsid w:val="05D75CDB"/>
    <w:rsid w:val="05F17CC7"/>
    <w:rsid w:val="06CA6B1C"/>
    <w:rsid w:val="07906CD7"/>
    <w:rsid w:val="07F774FD"/>
    <w:rsid w:val="08123EB3"/>
    <w:rsid w:val="08A928D1"/>
    <w:rsid w:val="08D21FF8"/>
    <w:rsid w:val="09167A09"/>
    <w:rsid w:val="09930954"/>
    <w:rsid w:val="09DC2A3C"/>
    <w:rsid w:val="0B7B588D"/>
    <w:rsid w:val="0BBB613F"/>
    <w:rsid w:val="0C080095"/>
    <w:rsid w:val="0C646FEE"/>
    <w:rsid w:val="0C851169"/>
    <w:rsid w:val="0C8A2C23"/>
    <w:rsid w:val="0CC63772"/>
    <w:rsid w:val="0CCD033F"/>
    <w:rsid w:val="0CF14A50"/>
    <w:rsid w:val="0E991A98"/>
    <w:rsid w:val="0EB54E8A"/>
    <w:rsid w:val="0EFF5BF9"/>
    <w:rsid w:val="0F0C5B71"/>
    <w:rsid w:val="0F4F1D25"/>
    <w:rsid w:val="0F997A1F"/>
    <w:rsid w:val="10043C73"/>
    <w:rsid w:val="1095499B"/>
    <w:rsid w:val="111840B1"/>
    <w:rsid w:val="11596073"/>
    <w:rsid w:val="116715DD"/>
    <w:rsid w:val="11903BFC"/>
    <w:rsid w:val="11D44776"/>
    <w:rsid w:val="12C617E6"/>
    <w:rsid w:val="13023513"/>
    <w:rsid w:val="130B35CF"/>
    <w:rsid w:val="137F34A0"/>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ED73BF"/>
    <w:rsid w:val="1F1A166D"/>
    <w:rsid w:val="1F3708D8"/>
    <w:rsid w:val="1F374288"/>
    <w:rsid w:val="1F735D22"/>
    <w:rsid w:val="20E04C24"/>
    <w:rsid w:val="21090163"/>
    <w:rsid w:val="211C1D3B"/>
    <w:rsid w:val="21B93AA7"/>
    <w:rsid w:val="22E17783"/>
    <w:rsid w:val="238910E7"/>
    <w:rsid w:val="24AE6EB4"/>
    <w:rsid w:val="24DD1172"/>
    <w:rsid w:val="24F44C86"/>
    <w:rsid w:val="250C0090"/>
    <w:rsid w:val="254F2BF5"/>
    <w:rsid w:val="25D53DF3"/>
    <w:rsid w:val="25E22D30"/>
    <w:rsid w:val="26077449"/>
    <w:rsid w:val="260869F8"/>
    <w:rsid w:val="261A071C"/>
    <w:rsid w:val="26451C3D"/>
    <w:rsid w:val="26597F9E"/>
    <w:rsid w:val="26D7660D"/>
    <w:rsid w:val="270C62B7"/>
    <w:rsid w:val="27132728"/>
    <w:rsid w:val="2764572C"/>
    <w:rsid w:val="277D689B"/>
    <w:rsid w:val="27FA6F59"/>
    <w:rsid w:val="285679E7"/>
    <w:rsid w:val="28936D4C"/>
    <w:rsid w:val="28957F83"/>
    <w:rsid w:val="28EF66C3"/>
    <w:rsid w:val="292024ED"/>
    <w:rsid w:val="29AA0009"/>
    <w:rsid w:val="29F924F7"/>
    <w:rsid w:val="2A0F2E6D"/>
    <w:rsid w:val="2A8B6E31"/>
    <w:rsid w:val="2B60299C"/>
    <w:rsid w:val="2BA1380F"/>
    <w:rsid w:val="2BB46F1D"/>
    <w:rsid w:val="2C363381"/>
    <w:rsid w:val="2D122B4E"/>
    <w:rsid w:val="2D194BD8"/>
    <w:rsid w:val="2D9044BD"/>
    <w:rsid w:val="2DD63386"/>
    <w:rsid w:val="2DD926FC"/>
    <w:rsid w:val="2E0028ED"/>
    <w:rsid w:val="2E265AE2"/>
    <w:rsid w:val="2E746297"/>
    <w:rsid w:val="2EBB3F8C"/>
    <w:rsid w:val="2EED1018"/>
    <w:rsid w:val="2F2533C6"/>
    <w:rsid w:val="2F6D7B0F"/>
    <w:rsid w:val="305024AA"/>
    <w:rsid w:val="306A6183"/>
    <w:rsid w:val="30B96A80"/>
    <w:rsid w:val="31A27A28"/>
    <w:rsid w:val="31C66EC5"/>
    <w:rsid w:val="32271056"/>
    <w:rsid w:val="322E1761"/>
    <w:rsid w:val="32F55B7E"/>
    <w:rsid w:val="330469DC"/>
    <w:rsid w:val="33881EEB"/>
    <w:rsid w:val="33FA289F"/>
    <w:rsid w:val="34681F9A"/>
    <w:rsid w:val="35D00DF7"/>
    <w:rsid w:val="36C9283B"/>
    <w:rsid w:val="372704C2"/>
    <w:rsid w:val="37C06C6F"/>
    <w:rsid w:val="3825367C"/>
    <w:rsid w:val="3840494C"/>
    <w:rsid w:val="384369FD"/>
    <w:rsid w:val="38972D7F"/>
    <w:rsid w:val="38C20ECB"/>
    <w:rsid w:val="39853A08"/>
    <w:rsid w:val="39DB5E8B"/>
    <w:rsid w:val="39FC21BB"/>
    <w:rsid w:val="3A06655B"/>
    <w:rsid w:val="3A2B3BD2"/>
    <w:rsid w:val="3A570783"/>
    <w:rsid w:val="3A82707E"/>
    <w:rsid w:val="3AB17101"/>
    <w:rsid w:val="3B1D3741"/>
    <w:rsid w:val="3B2319C9"/>
    <w:rsid w:val="3BFA15F2"/>
    <w:rsid w:val="3C16458F"/>
    <w:rsid w:val="3C4D31A2"/>
    <w:rsid w:val="3C756255"/>
    <w:rsid w:val="3CB46D7D"/>
    <w:rsid w:val="3D1617E6"/>
    <w:rsid w:val="3D1630B0"/>
    <w:rsid w:val="3DE4387D"/>
    <w:rsid w:val="3E98235C"/>
    <w:rsid w:val="3EC6260F"/>
    <w:rsid w:val="3EE13F16"/>
    <w:rsid w:val="3EF679E5"/>
    <w:rsid w:val="3F76250C"/>
    <w:rsid w:val="3FBE547E"/>
    <w:rsid w:val="3FBE7F13"/>
    <w:rsid w:val="3FD324F1"/>
    <w:rsid w:val="400D7F7B"/>
    <w:rsid w:val="40154F8C"/>
    <w:rsid w:val="40B91AE2"/>
    <w:rsid w:val="40D047EA"/>
    <w:rsid w:val="40F72913"/>
    <w:rsid w:val="42350551"/>
    <w:rsid w:val="42454848"/>
    <w:rsid w:val="4250579A"/>
    <w:rsid w:val="426E2B33"/>
    <w:rsid w:val="429C29ED"/>
    <w:rsid w:val="42AC4237"/>
    <w:rsid w:val="42B72D90"/>
    <w:rsid w:val="42EA3D57"/>
    <w:rsid w:val="43A56600"/>
    <w:rsid w:val="43BD799C"/>
    <w:rsid w:val="43E80065"/>
    <w:rsid w:val="43FF654F"/>
    <w:rsid w:val="4440544D"/>
    <w:rsid w:val="44414863"/>
    <w:rsid w:val="448432E2"/>
    <w:rsid w:val="44D4651B"/>
    <w:rsid w:val="44E150AC"/>
    <w:rsid w:val="44E84FB1"/>
    <w:rsid w:val="450E5A3D"/>
    <w:rsid w:val="45221A31"/>
    <w:rsid w:val="4591538C"/>
    <w:rsid w:val="45A060A7"/>
    <w:rsid w:val="45A25BB2"/>
    <w:rsid w:val="45E71F71"/>
    <w:rsid w:val="46A23069"/>
    <w:rsid w:val="46B10F69"/>
    <w:rsid w:val="4763404B"/>
    <w:rsid w:val="486852FA"/>
    <w:rsid w:val="48AF5C8A"/>
    <w:rsid w:val="49045422"/>
    <w:rsid w:val="496A6B29"/>
    <w:rsid w:val="49F15A4F"/>
    <w:rsid w:val="4A3104EE"/>
    <w:rsid w:val="4A6312D1"/>
    <w:rsid w:val="4A9B2152"/>
    <w:rsid w:val="4B101917"/>
    <w:rsid w:val="4B8D0E2D"/>
    <w:rsid w:val="4BB46130"/>
    <w:rsid w:val="4C3D0B62"/>
    <w:rsid w:val="4CB7264B"/>
    <w:rsid w:val="4CEF5BAF"/>
    <w:rsid w:val="4D7D3A4A"/>
    <w:rsid w:val="4D850ADA"/>
    <w:rsid w:val="4D9C5FC5"/>
    <w:rsid w:val="4E930995"/>
    <w:rsid w:val="4F8F2829"/>
    <w:rsid w:val="4FB93093"/>
    <w:rsid w:val="51360454"/>
    <w:rsid w:val="51FD4E19"/>
    <w:rsid w:val="523D1183"/>
    <w:rsid w:val="53033E94"/>
    <w:rsid w:val="53351E16"/>
    <w:rsid w:val="5385704A"/>
    <w:rsid w:val="53987183"/>
    <w:rsid w:val="54160EF8"/>
    <w:rsid w:val="543D36A4"/>
    <w:rsid w:val="5448127D"/>
    <w:rsid w:val="548F1912"/>
    <w:rsid w:val="55303AEA"/>
    <w:rsid w:val="55657708"/>
    <w:rsid w:val="55B47996"/>
    <w:rsid w:val="561D139E"/>
    <w:rsid w:val="570C6233"/>
    <w:rsid w:val="57F42634"/>
    <w:rsid w:val="58620795"/>
    <w:rsid w:val="5864641D"/>
    <w:rsid w:val="5995344C"/>
    <w:rsid w:val="5A5627B7"/>
    <w:rsid w:val="5A691DBF"/>
    <w:rsid w:val="5A752E0B"/>
    <w:rsid w:val="5B4D072D"/>
    <w:rsid w:val="5B547321"/>
    <w:rsid w:val="5B581A90"/>
    <w:rsid w:val="5B8B2BF4"/>
    <w:rsid w:val="5C8A33AB"/>
    <w:rsid w:val="5C8A7A34"/>
    <w:rsid w:val="5DA54D35"/>
    <w:rsid w:val="5E4D4776"/>
    <w:rsid w:val="5F555D46"/>
    <w:rsid w:val="5FA60862"/>
    <w:rsid w:val="6090130A"/>
    <w:rsid w:val="60B23606"/>
    <w:rsid w:val="60DA29A7"/>
    <w:rsid w:val="60F577E0"/>
    <w:rsid w:val="610B7306"/>
    <w:rsid w:val="614C44B8"/>
    <w:rsid w:val="62C220C3"/>
    <w:rsid w:val="64C74F27"/>
    <w:rsid w:val="65622F6B"/>
    <w:rsid w:val="65E507C2"/>
    <w:rsid w:val="66055487"/>
    <w:rsid w:val="66265A06"/>
    <w:rsid w:val="665969A9"/>
    <w:rsid w:val="6750787A"/>
    <w:rsid w:val="67553EFC"/>
    <w:rsid w:val="67A92CBE"/>
    <w:rsid w:val="67F5319A"/>
    <w:rsid w:val="6837248C"/>
    <w:rsid w:val="685F19E3"/>
    <w:rsid w:val="687156D7"/>
    <w:rsid w:val="68F04190"/>
    <w:rsid w:val="69016BAE"/>
    <w:rsid w:val="698C108B"/>
    <w:rsid w:val="6A0236F7"/>
    <w:rsid w:val="6A1D0DF3"/>
    <w:rsid w:val="6A227E13"/>
    <w:rsid w:val="6A256AD2"/>
    <w:rsid w:val="6A49148C"/>
    <w:rsid w:val="6A7A1ED3"/>
    <w:rsid w:val="6A82638A"/>
    <w:rsid w:val="6ACD532A"/>
    <w:rsid w:val="6BAC7F04"/>
    <w:rsid w:val="6BD91AAD"/>
    <w:rsid w:val="6C4222EE"/>
    <w:rsid w:val="6CB56076"/>
    <w:rsid w:val="6D2C1D2E"/>
    <w:rsid w:val="6D741A8D"/>
    <w:rsid w:val="6D8124F7"/>
    <w:rsid w:val="6E434E64"/>
    <w:rsid w:val="6E606344"/>
    <w:rsid w:val="6F5000CE"/>
    <w:rsid w:val="6F834808"/>
    <w:rsid w:val="6FDA32FF"/>
    <w:rsid w:val="6FF934E4"/>
    <w:rsid w:val="70E22485"/>
    <w:rsid w:val="713C6B66"/>
    <w:rsid w:val="71655048"/>
    <w:rsid w:val="71E62861"/>
    <w:rsid w:val="72007C89"/>
    <w:rsid w:val="72DB3D94"/>
    <w:rsid w:val="741A501A"/>
    <w:rsid w:val="745F66AB"/>
    <w:rsid w:val="74A00127"/>
    <w:rsid w:val="74C11DBF"/>
    <w:rsid w:val="75050630"/>
    <w:rsid w:val="75455AC7"/>
    <w:rsid w:val="764650CA"/>
    <w:rsid w:val="768865A9"/>
    <w:rsid w:val="76B949B4"/>
    <w:rsid w:val="76D96E05"/>
    <w:rsid w:val="76F91D77"/>
    <w:rsid w:val="77351123"/>
    <w:rsid w:val="773B116D"/>
    <w:rsid w:val="77D00208"/>
    <w:rsid w:val="7880434D"/>
    <w:rsid w:val="78C35851"/>
    <w:rsid w:val="7967434B"/>
    <w:rsid w:val="7AD16771"/>
    <w:rsid w:val="7B53073C"/>
    <w:rsid w:val="7B754FDD"/>
    <w:rsid w:val="7BE544EC"/>
    <w:rsid w:val="7CF2547A"/>
    <w:rsid w:val="7D4A23E3"/>
    <w:rsid w:val="7DAC3A9C"/>
    <w:rsid w:val="7E597CD7"/>
    <w:rsid w:val="7E805F67"/>
    <w:rsid w:val="7ECA375E"/>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4">
    <w:name w:val="heading 1"/>
    <w:basedOn w:val="1"/>
    <w:next w:val="1"/>
    <w:autoRedefine/>
    <w:qFormat/>
    <w:uiPriority w:val="0"/>
    <w:pPr>
      <w:keepNext/>
      <w:outlineLvl w:val="0"/>
    </w:pPr>
    <w:rPr>
      <w:rFonts w:ascii="仿宋_GB2312" w:hAnsi="宋体" w:eastAsia="仿宋_GB2312"/>
      <w:b/>
      <w:kern w:val="2"/>
      <w:sz w:val="32"/>
    </w:rPr>
  </w:style>
  <w:style w:type="paragraph" w:styleId="5">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6">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7">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ind w:left="420" w:leftChars="200" w:firstLine="420"/>
    </w:pPr>
    <w:rPr>
      <w:sz w:val="21"/>
    </w:rPr>
  </w:style>
  <w:style w:type="paragraph" w:styleId="3">
    <w:name w:val="Body Text Indent"/>
    <w:basedOn w:val="1"/>
    <w:next w:val="1"/>
    <w:autoRedefine/>
    <w:qFormat/>
    <w:uiPriority w:val="0"/>
    <w:pPr>
      <w:ind w:left="1083" w:leftChars="30" w:hanging="1020" w:hangingChars="425"/>
    </w:pPr>
    <w:rPr>
      <w:rFonts w:hAnsi="宋体"/>
    </w:rPr>
  </w:style>
  <w:style w:type="paragraph" w:styleId="8">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9">
    <w:name w:val="annotation text"/>
    <w:basedOn w:val="1"/>
    <w:link w:val="44"/>
    <w:qFormat/>
    <w:uiPriority w:val="0"/>
    <w:pPr>
      <w:jc w:val="left"/>
    </w:pPr>
  </w:style>
  <w:style w:type="paragraph" w:styleId="10">
    <w:name w:val="Body Text 3"/>
    <w:basedOn w:val="1"/>
    <w:autoRedefine/>
    <w:qFormat/>
    <w:uiPriority w:val="0"/>
    <w:pPr>
      <w:jc w:val="center"/>
    </w:pPr>
    <w:rPr>
      <w:rFonts w:ascii="Times New Roman"/>
      <w:b/>
      <w:spacing w:val="-20"/>
      <w:w w:val="110"/>
      <w:kern w:val="2"/>
      <w:sz w:val="52"/>
    </w:rPr>
  </w:style>
  <w:style w:type="paragraph" w:styleId="11">
    <w:name w:val="Body Text"/>
    <w:basedOn w:val="1"/>
    <w:next w:val="1"/>
    <w:autoRedefine/>
    <w:qFormat/>
    <w:uiPriority w:val="0"/>
    <w:pPr>
      <w:spacing w:after="120"/>
    </w:pPr>
    <w:rPr>
      <w:rFonts w:ascii="Times New Roman"/>
      <w:kern w:val="2"/>
      <w:sz w:val="21"/>
    </w:rPr>
  </w:style>
  <w:style w:type="paragraph" w:styleId="12">
    <w:name w:val="index 4"/>
    <w:basedOn w:val="1"/>
    <w:next w:val="1"/>
    <w:autoRedefine/>
    <w:unhideWhenUsed/>
    <w:qFormat/>
    <w:uiPriority w:val="99"/>
    <w:pPr>
      <w:ind w:left="428" w:firstLine="140"/>
    </w:pPr>
  </w:style>
  <w:style w:type="paragraph" w:styleId="13">
    <w:name w:val="Plain Text"/>
    <w:basedOn w:val="1"/>
    <w:next w:val="14"/>
    <w:autoRedefine/>
    <w:qFormat/>
    <w:uiPriority w:val="0"/>
    <w:rPr>
      <w:rFonts w:hAnsi="Courier New"/>
      <w:kern w:val="2"/>
      <w:sz w:val="21"/>
    </w:rPr>
  </w:style>
  <w:style w:type="paragraph" w:styleId="14">
    <w:name w:val="Date"/>
    <w:basedOn w:val="1"/>
    <w:next w:val="1"/>
    <w:autoRedefine/>
    <w:qFormat/>
    <w:uiPriority w:val="0"/>
    <w:rPr>
      <w:rFonts w:ascii="Times New Roman"/>
      <w:kern w:val="2"/>
      <w:sz w:val="28"/>
    </w:rPr>
  </w:style>
  <w:style w:type="paragraph" w:styleId="15">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6">
    <w:name w:val="Balloon Text"/>
    <w:basedOn w:val="1"/>
    <w:link w:val="46"/>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9">
    <w:name w:val="toc 1"/>
    <w:basedOn w:val="1"/>
    <w:next w:val="1"/>
    <w:autoRedefine/>
    <w:unhideWhenUsed/>
    <w:qFormat/>
    <w:uiPriority w:val="0"/>
  </w:style>
  <w:style w:type="paragraph" w:styleId="20">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1">
    <w:name w:val="toc 2"/>
    <w:basedOn w:val="1"/>
    <w:next w:val="1"/>
    <w:autoRedefine/>
    <w:unhideWhenUsed/>
    <w:qFormat/>
    <w:uiPriority w:val="0"/>
    <w:pPr>
      <w:ind w:left="420" w:leftChars="200"/>
    </w:pPr>
  </w:style>
  <w:style w:type="paragraph" w:styleId="22">
    <w:name w:val="Normal (Web)"/>
    <w:basedOn w:val="1"/>
    <w:autoRedefine/>
    <w:qFormat/>
    <w:uiPriority w:val="0"/>
    <w:pPr>
      <w:widowControl/>
      <w:spacing w:before="100" w:beforeAutospacing="1" w:after="100" w:afterAutospacing="1"/>
      <w:jc w:val="left"/>
    </w:pPr>
    <w:rPr>
      <w:rFonts w:hAnsi="宋体"/>
      <w:szCs w:val="24"/>
    </w:rPr>
  </w:style>
  <w:style w:type="paragraph" w:styleId="23">
    <w:name w:val="annotation subject"/>
    <w:basedOn w:val="9"/>
    <w:next w:val="9"/>
    <w:link w:val="45"/>
    <w:qFormat/>
    <w:uiPriority w:val="0"/>
    <w:rPr>
      <w:b/>
      <w:bCs/>
    </w:rPr>
  </w:style>
  <w:style w:type="paragraph" w:styleId="24">
    <w:name w:val="Body Text First Indent"/>
    <w:basedOn w:val="1"/>
    <w:next w:val="1"/>
    <w:autoRedefine/>
    <w:qFormat/>
    <w:uiPriority w:val="0"/>
    <w:pPr>
      <w:adjustRightInd w:val="0"/>
      <w:ind w:firstLine="420"/>
      <w:jc w:val="left"/>
      <w:textAlignment w:val="baseline"/>
    </w:pPr>
    <w:rPr>
      <w:b/>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4"/>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8"/>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9"/>
    <w:qFormat/>
    <w:uiPriority w:val="0"/>
    <w:rPr>
      <w:rFonts w:ascii="宋体"/>
      <w:sz w:val="24"/>
    </w:rPr>
  </w:style>
  <w:style w:type="character" w:customStyle="1" w:styleId="45">
    <w:name w:val="批注主题 字符"/>
    <w:basedOn w:val="44"/>
    <w:link w:val="23"/>
    <w:qFormat/>
    <w:uiPriority w:val="0"/>
    <w:rPr>
      <w:rFonts w:ascii="宋体"/>
      <w:b/>
      <w:bCs/>
      <w:sz w:val="24"/>
    </w:rPr>
  </w:style>
  <w:style w:type="character" w:customStyle="1" w:styleId="46">
    <w:name w:val="批注框文本 字符"/>
    <w:basedOn w:val="27"/>
    <w:link w:val="16"/>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character" w:customStyle="1" w:styleId="50">
    <w:name w:val="font61"/>
    <w:basedOn w:val="27"/>
    <w:qFormat/>
    <w:uiPriority w:val="0"/>
    <w:rPr>
      <w:rFonts w:hint="eastAsia" w:ascii="宋体" w:hAnsi="宋体" w:eastAsia="宋体" w:cs="宋体"/>
      <w:color w:val="000000"/>
      <w:sz w:val="20"/>
      <w:szCs w:val="20"/>
      <w:u w:val="single"/>
    </w:rPr>
  </w:style>
  <w:style w:type="paragraph" w:customStyle="1" w:styleId="5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120</Pages>
  <Words>16743</Words>
  <Characters>18198</Characters>
  <Lines>350</Lines>
  <Paragraphs>98</Paragraphs>
  <TotalTime>0</TotalTime>
  <ScaleCrop>false</ScaleCrop>
  <LinksUpToDate>false</LinksUpToDate>
  <CharactersWithSpaces>18350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救赎</cp:lastModifiedBy>
  <dcterms:modified xsi:type="dcterms:W3CDTF">2025-09-16T01:37:21Z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F2EE979358D945A380511C7E71DF42B4_13</vt:lpwstr>
  </property>
  <property fmtid="{D5CDD505-2E9C-101B-9397-08002B2CF9AE}" pid="4" name="KSOTemplateDocerSaveRecord">
    <vt:lpwstr>eyJoZGlkIjoiOWE5MzI2YTc0Yjc1ZGI0YzlkYmJiYzFlOGY1ODZkNjUiLCJ1c2VySWQiOiIxNTU5MDg0MTUyIn0=</vt:lpwstr>
  </property>
</Properties>
</file>