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5" w:tblpY="6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3812"/>
        <w:gridCol w:w="2071"/>
        <w:gridCol w:w="1180"/>
      </w:tblGrid>
      <w:tr w14:paraId="4C27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59" w:type="dxa"/>
            <w:noWrap w:val="0"/>
            <w:vAlign w:val="top"/>
          </w:tcPr>
          <w:p w14:paraId="4FFA08D6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/>
                <w:szCs w:val="13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  <w:t>包号</w:t>
            </w:r>
          </w:p>
        </w:tc>
        <w:tc>
          <w:tcPr>
            <w:tcW w:w="3812" w:type="dxa"/>
            <w:noWrap w:val="0"/>
            <w:vAlign w:val="top"/>
          </w:tcPr>
          <w:p w14:paraId="7321F82B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  <w:t>设备名称</w:t>
            </w:r>
          </w:p>
        </w:tc>
        <w:tc>
          <w:tcPr>
            <w:tcW w:w="2071" w:type="dxa"/>
            <w:noWrap w:val="0"/>
            <w:vAlign w:val="top"/>
          </w:tcPr>
          <w:p w14:paraId="0FF0A168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  <w:t>数量（台）</w:t>
            </w:r>
          </w:p>
        </w:tc>
        <w:tc>
          <w:tcPr>
            <w:tcW w:w="1180" w:type="dxa"/>
            <w:noWrap w:val="0"/>
            <w:vAlign w:val="top"/>
          </w:tcPr>
          <w:p w14:paraId="075A9184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  <w:t>备注</w:t>
            </w:r>
          </w:p>
        </w:tc>
      </w:tr>
      <w:tr w14:paraId="06F7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restart"/>
            <w:noWrap w:val="0"/>
            <w:vAlign w:val="center"/>
          </w:tcPr>
          <w:p w14:paraId="3D0D21BB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采购</w:t>
            </w: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包1</w:t>
            </w:r>
          </w:p>
        </w:tc>
        <w:tc>
          <w:tcPr>
            <w:tcW w:w="3812" w:type="dxa"/>
            <w:noWrap w:val="0"/>
            <w:vAlign w:val="top"/>
          </w:tcPr>
          <w:p w14:paraId="38C46E02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监护仪</w:t>
            </w:r>
          </w:p>
        </w:tc>
        <w:tc>
          <w:tcPr>
            <w:tcW w:w="2071" w:type="dxa"/>
            <w:noWrap w:val="0"/>
            <w:vAlign w:val="top"/>
          </w:tcPr>
          <w:p w14:paraId="491D6FDB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42</w:t>
            </w:r>
          </w:p>
        </w:tc>
        <w:tc>
          <w:tcPr>
            <w:tcW w:w="1180" w:type="dxa"/>
            <w:noWrap w:val="0"/>
            <w:vAlign w:val="top"/>
          </w:tcPr>
          <w:p w14:paraId="171D3384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核心产品</w:t>
            </w:r>
          </w:p>
        </w:tc>
      </w:tr>
      <w:tr w14:paraId="4BF3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3FE88A37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  <w:tc>
          <w:tcPr>
            <w:tcW w:w="3812" w:type="dxa"/>
            <w:noWrap w:val="0"/>
            <w:vAlign w:val="top"/>
          </w:tcPr>
          <w:p w14:paraId="3F46C8CE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精密输液泵</w:t>
            </w:r>
          </w:p>
        </w:tc>
        <w:tc>
          <w:tcPr>
            <w:tcW w:w="2071" w:type="dxa"/>
            <w:noWrap w:val="0"/>
            <w:vAlign w:val="top"/>
          </w:tcPr>
          <w:p w14:paraId="7AFA3025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25</w:t>
            </w:r>
          </w:p>
        </w:tc>
        <w:tc>
          <w:tcPr>
            <w:tcW w:w="1180" w:type="dxa"/>
            <w:noWrap w:val="0"/>
            <w:vAlign w:val="top"/>
          </w:tcPr>
          <w:p w14:paraId="4EE8E9A9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</w:tr>
      <w:tr w14:paraId="517A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74B39C4F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  <w:tc>
          <w:tcPr>
            <w:tcW w:w="3812" w:type="dxa"/>
            <w:noWrap w:val="0"/>
            <w:vAlign w:val="top"/>
          </w:tcPr>
          <w:p w14:paraId="04E545C0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注射泵</w:t>
            </w:r>
          </w:p>
        </w:tc>
        <w:tc>
          <w:tcPr>
            <w:tcW w:w="2071" w:type="dxa"/>
            <w:noWrap w:val="0"/>
            <w:vAlign w:val="top"/>
          </w:tcPr>
          <w:p w14:paraId="6B623D4E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10</w:t>
            </w:r>
          </w:p>
        </w:tc>
        <w:tc>
          <w:tcPr>
            <w:tcW w:w="1180" w:type="dxa"/>
            <w:noWrap w:val="0"/>
            <w:vAlign w:val="top"/>
          </w:tcPr>
          <w:p w14:paraId="0843838F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</w:tr>
      <w:tr w14:paraId="5459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5F0621F5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  <w:tc>
          <w:tcPr>
            <w:tcW w:w="3812" w:type="dxa"/>
            <w:noWrap w:val="0"/>
            <w:vAlign w:val="top"/>
          </w:tcPr>
          <w:p w14:paraId="6DFE22F0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空气波治疗仪</w:t>
            </w:r>
          </w:p>
        </w:tc>
        <w:tc>
          <w:tcPr>
            <w:tcW w:w="2071" w:type="dxa"/>
            <w:noWrap w:val="0"/>
            <w:vAlign w:val="top"/>
          </w:tcPr>
          <w:p w14:paraId="70D105FC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11</w:t>
            </w:r>
          </w:p>
        </w:tc>
        <w:tc>
          <w:tcPr>
            <w:tcW w:w="1180" w:type="dxa"/>
            <w:noWrap w:val="0"/>
            <w:vAlign w:val="top"/>
          </w:tcPr>
          <w:p w14:paraId="5B5F25BB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</w:tr>
      <w:tr w14:paraId="7570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68FF4FD0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  <w:tc>
          <w:tcPr>
            <w:tcW w:w="3812" w:type="dxa"/>
            <w:noWrap w:val="0"/>
            <w:vAlign w:val="top"/>
          </w:tcPr>
          <w:p w14:paraId="1A7164F2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可视喉镜</w:t>
            </w:r>
          </w:p>
        </w:tc>
        <w:tc>
          <w:tcPr>
            <w:tcW w:w="2071" w:type="dxa"/>
            <w:noWrap w:val="0"/>
            <w:vAlign w:val="top"/>
          </w:tcPr>
          <w:p w14:paraId="367593AD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16</w:t>
            </w:r>
          </w:p>
        </w:tc>
        <w:tc>
          <w:tcPr>
            <w:tcW w:w="1180" w:type="dxa"/>
            <w:noWrap w:val="0"/>
            <w:vAlign w:val="top"/>
          </w:tcPr>
          <w:p w14:paraId="4930FE92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</w:tr>
      <w:tr w14:paraId="4DEC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5C636C8B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  <w:tc>
          <w:tcPr>
            <w:tcW w:w="3812" w:type="dxa"/>
            <w:noWrap w:val="0"/>
            <w:vAlign w:val="top"/>
          </w:tcPr>
          <w:p w14:paraId="7599CBCD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排痰仪</w:t>
            </w:r>
          </w:p>
        </w:tc>
        <w:tc>
          <w:tcPr>
            <w:tcW w:w="2071" w:type="dxa"/>
            <w:noWrap w:val="0"/>
            <w:vAlign w:val="top"/>
          </w:tcPr>
          <w:p w14:paraId="0EB24C6E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6</w:t>
            </w:r>
          </w:p>
        </w:tc>
        <w:tc>
          <w:tcPr>
            <w:tcW w:w="1180" w:type="dxa"/>
            <w:noWrap w:val="0"/>
            <w:vAlign w:val="top"/>
          </w:tcPr>
          <w:p w14:paraId="3BF85038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</w:rPr>
            </w:pPr>
          </w:p>
        </w:tc>
      </w:tr>
      <w:tr w14:paraId="1965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restart"/>
            <w:noWrap w:val="0"/>
            <w:vAlign w:val="center"/>
          </w:tcPr>
          <w:p w14:paraId="42EC126D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采购</w:t>
            </w: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包2</w:t>
            </w:r>
          </w:p>
        </w:tc>
        <w:tc>
          <w:tcPr>
            <w:tcW w:w="3812" w:type="dxa"/>
            <w:noWrap w:val="0"/>
            <w:vAlign w:val="top"/>
          </w:tcPr>
          <w:p w14:paraId="1CABD793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麻醉机</w:t>
            </w:r>
          </w:p>
        </w:tc>
        <w:tc>
          <w:tcPr>
            <w:tcW w:w="2071" w:type="dxa"/>
            <w:noWrap w:val="0"/>
            <w:vAlign w:val="top"/>
          </w:tcPr>
          <w:p w14:paraId="0950947C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3</w:t>
            </w:r>
          </w:p>
        </w:tc>
        <w:tc>
          <w:tcPr>
            <w:tcW w:w="1180" w:type="dxa"/>
            <w:noWrap w:val="0"/>
            <w:vAlign w:val="top"/>
          </w:tcPr>
          <w:p w14:paraId="10399719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核心产品</w:t>
            </w:r>
          </w:p>
        </w:tc>
      </w:tr>
      <w:tr w14:paraId="0B0A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280BED4A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22BBB174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手术床</w:t>
            </w:r>
          </w:p>
        </w:tc>
        <w:tc>
          <w:tcPr>
            <w:tcW w:w="2071" w:type="dxa"/>
            <w:noWrap w:val="0"/>
            <w:vAlign w:val="top"/>
          </w:tcPr>
          <w:p w14:paraId="665D2983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6</w:t>
            </w:r>
          </w:p>
        </w:tc>
        <w:tc>
          <w:tcPr>
            <w:tcW w:w="1180" w:type="dxa"/>
            <w:noWrap w:val="0"/>
            <w:vAlign w:val="top"/>
          </w:tcPr>
          <w:p w14:paraId="563C6F80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核心产品</w:t>
            </w:r>
          </w:p>
        </w:tc>
      </w:tr>
      <w:tr w14:paraId="28F0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1ECA7D33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20301125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温毯机</w:t>
            </w:r>
          </w:p>
        </w:tc>
        <w:tc>
          <w:tcPr>
            <w:tcW w:w="2071" w:type="dxa"/>
            <w:noWrap w:val="0"/>
            <w:vAlign w:val="top"/>
          </w:tcPr>
          <w:p w14:paraId="7617B25B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33EC0082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0101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112CBFA4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070F1AF5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冲洗塔</w:t>
            </w:r>
          </w:p>
        </w:tc>
        <w:tc>
          <w:tcPr>
            <w:tcW w:w="2071" w:type="dxa"/>
            <w:noWrap w:val="0"/>
            <w:vAlign w:val="top"/>
          </w:tcPr>
          <w:p w14:paraId="71806107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35656D72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533E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20A70489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4171867F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高频电刀</w:t>
            </w:r>
          </w:p>
        </w:tc>
        <w:tc>
          <w:tcPr>
            <w:tcW w:w="2071" w:type="dxa"/>
            <w:noWrap w:val="0"/>
            <w:vAlign w:val="top"/>
          </w:tcPr>
          <w:p w14:paraId="4248F92D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2</w:t>
            </w:r>
          </w:p>
        </w:tc>
        <w:tc>
          <w:tcPr>
            <w:tcW w:w="1180" w:type="dxa"/>
            <w:noWrap w:val="0"/>
            <w:vAlign w:val="top"/>
          </w:tcPr>
          <w:p w14:paraId="30455BC5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5657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32C012B7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1DB499DD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手术推车</w:t>
            </w:r>
          </w:p>
        </w:tc>
        <w:tc>
          <w:tcPr>
            <w:tcW w:w="2071" w:type="dxa"/>
            <w:noWrap w:val="0"/>
            <w:vAlign w:val="top"/>
          </w:tcPr>
          <w:p w14:paraId="48783B82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3</w:t>
            </w:r>
          </w:p>
        </w:tc>
        <w:tc>
          <w:tcPr>
            <w:tcW w:w="1180" w:type="dxa"/>
            <w:noWrap w:val="0"/>
            <w:vAlign w:val="top"/>
          </w:tcPr>
          <w:p w14:paraId="495668EE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5716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450B28A0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36FA4AAE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中央监护</w:t>
            </w:r>
          </w:p>
        </w:tc>
        <w:tc>
          <w:tcPr>
            <w:tcW w:w="2071" w:type="dxa"/>
            <w:noWrap w:val="0"/>
            <w:vAlign w:val="top"/>
          </w:tcPr>
          <w:p w14:paraId="5A7BFF8F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0AE53E40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308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6D65B9E9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02188FAF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自动气压止血仪</w:t>
            </w:r>
          </w:p>
        </w:tc>
        <w:tc>
          <w:tcPr>
            <w:tcW w:w="2071" w:type="dxa"/>
            <w:noWrap w:val="0"/>
            <w:vAlign w:val="top"/>
          </w:tcPr>
          <w:p w14:paraId="7F129D67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2</w:t>
            </w:r>
          </w:p>
        </w:tc>
        <w:tc>
          <w:tcPr>
            <w:tcW w:w="1180" w:type="dxa"/>
            <w:noWrap w:val="0"/>
            <w:vAlign w:val="top"/>
          </w:tcPr>
          <w:p w14:paraId="40E0A1CD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387B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restart"/>
            <w:noWrap w:val="0"/>
            <w:vAlign w:val="center"/>
          </w:tcPr>
          <w:p w14:paraId="4F2CE7B7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采购</w:t>
            </w: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包3</w:t>
            </w:r>
          </w:p>
        </w:tc>
        <w:tc>
          <w:tcPr>
            <w:tcW w:w="3812" w:type="dxa"/>
            <w:noWrap w:val="0"/>
            <w:vAlign w:val="top"/>
          </w:tcPr>
          <w:p w14:paraId="6E858D20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硬质支气管镜</w:t>
            </w:r>
          </w:p>
        </w:tc>
        <w:tc>
          <w:tcPr>
            <w:tcW w:w="2071" w:type="dxa"/>
            <w:noWrap w:val="0"/>
            <w:vAlign w:val="top"/>
          </w:tcPr>
          <w:p w14:paraId="143767D4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36154E56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51C4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641E44AA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100B4E6B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床旁支气管镜</w:t>
            </w:r>
          </w:p>
        </w:tc>
        <w:tc>
          <w:tcPr>
            <w:tcW w:w="2071" w:type="dxa"/>
            <w:noWrap w:val="0"/>
            <w:vAlign w:val="top"/>
          </w:tcPr>
          <w:p w14:paraId="426280D1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20478990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440D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3E35A962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49BE0935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电子支气管镜</w:t>
            </w:r>
          </w:p>
        </w:tc>
        <w:tc>
          <w:tcPr>
            <w:tcW w:w="2071" w:type="dxa"/>
            <w:noWrap w:val="0"/>
            <w:vAlign w:val="top"/>
          </w:tcPr>
          <w:p w14:paraId="41A920AD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0C47CA09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核心产品</w:t>
            </w:r>
          </w:p>
        </w:tc>
      </w:tr>
      <w:tr w14:paraId="59FE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2FF4C077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0BB9EE47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输液输血加温仪</w:t>
            </w:r>
          </w:p>
        </w:tc>
        <w:tc>
          <w:tcPr>
            <w:tcW w:w="2071" w:type="dxa"/>
            <w:noWrap w:val="0"/>
            <w:vAlign w:val="top"/>
          </w:tcPr>
          <w:p w14:paraId="60E966C0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33E272CE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36DC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06FD9FE6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42E28025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亚低温治疗仪</w:t>
            </w:r>
          </w:p>
        </w:tc>
        <w:tc>
          <w:tcPr>
            <w:tcW w:w="2071" w:type="dxa"/>
            <w:noWrap w:val="0"/>
            <w:vAlign w:val="top"/>
          </w:tcPr>
          <w:p w14:paraId="5456BBA8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2</w:t>
            </w:r>
          </w:p>
        </w:tc>
        <w:tc>
          <w:tcPr>
            <w:tcW w:w="1180" w:type="dxa"/>
            <w:noWrap w:val="0"/>
            <w:vAlign w:val="top"/>
          </w:tcPr>
          <w:p w14:paraId="6A628013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23CC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178F704F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30748876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光子治疗仪</w:t>
            </w:r>
          </w:p>
        </w:tc>
        <w:tc>
          <w:tcPr>
            <w:tcW w:w="2071" w:type="dxa"/>
            <w:noWrap w:val="0"/>
            <w:vAlign w:val="top"/>
          </w:tcPr>
          <w:p w14:paraId="48EA37E3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2</w:t>
            </w:r>
          </w:p>
        </w:tc>
        <w:tc>
          <w:tcPr>
            <w:tcW w:w="1180" w:type="dxa"/>
            <w:noWrap w:val="0"/>
            <w:vAlign w:val="top"/>
          </w:tcPr>
          <w:p w14:paraId="1E3EA55B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核心产品</w:t>
            </w:r>
          </w:p>
        </w:tc>
      </w:tr>
      <w:tr w14:paraId="3FDF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29E11A6E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527E037F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碾皮机</w:t>
            </w:r>
          </w:p>
        </w:tc>
        <w:tc>
          <w:tcPr>
            <w:tcW w:w="2071" w:type="dxa"/>
            <w:noWrap w:val="0"/>
            <w:vAlign w:val="top"/>
          </w:tcPr>
          <w:p w14:paraId="698E062E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379FAA62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1550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noWrap w:val="0"/>
            <w:vAlign w:val="top"/>
          </w:tcPr>
          <w:p w14:paraId="3D334ACA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812" w:type="dxa"/>
            <w:noWrap w:val="0"/>
            <w:vAlign w:val="top"/>
          </w:tcPr>
          <w:p w14:paraId="32EC0EF6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植皮刀手持件</w:t>
            </w:r>
          </w:p>
        </w:tc>
        <w:tc>
          <w:tcPr>
            <w:tcW w:w="2071" w:type="dxa"/>
            <w:noWrap w:val="0"/>
            <w:vAlign w:val="top"/>
          </w:tcPr>
          <w:p w14:paraId="55288F13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45005918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</w:tbl>
    <w:p w14:paraId="0CEBC9EC">
      <w:pPr>
        <w:jc w:val="center"/>
        <w:rPr>
          <w:rFonts w:hint="eastAsia"/>
          <w:b w:val="0"/>
          <w:bCs w:val="0"/>
          <w:sz w:val="36"/>
          <w:szCs w:val="44"/>
          <w:lang w:eastAsia="zh-CN"/>
        </w:rPr>
      </w:pPr>
      <w:r>
        <w:rPr>
          <w:rFonts w:hint="eastAsia"/>
          <w:b w:val="0"/>
          <w:bCs w:val="0"/>
          <w:sz w:val="36"/>
          <w:szCs w:val="44"/>
          <w:lang w:eastAsia="zh-CN"/>
        </w:rPr>
        <w:t>生命支持类、辅助治疗类设备采购项目</w:t>
      </w:r>
    </w:p>
    <w:p w14:paraId="23A4ACD0">
      <w:pPr>
        <w:jc w:val="center"/>
        <w:rPr>
          <w:rFonts w:hint="eastAsia"/>
          <w:b w:val="0"/>
          <w:bCs w:val="0"/>
          <w:sz w:val="36"/>
          <w:szCs w:val="44"/>
          <w:lang w:eastAsia="zh-CN"/>
        </w:rPr>
      </w:pPr>
      <w:r>
        <w:rPr>
          <w:rFonts w:hint="eastAsia"/>
          <w:b w:val="0"/>
          <w:bCs w:val="0"/>
          <w:sz w:val="36"/>
          <w:szCs w:val="44"/>
          <w:lang w:eastAsia="zh-CN"/>
        </w:rPr>
        <w:t>采购需求</w:t>
      </w:r>
      <w:bookmarkStart w:id="0" w:name="_GoBack"/>
      <w:bookmarkEnd w:id="0"/>
    </w:p>
    <w:p w14:paraId="2E9B4E96">
      <w:pPr>
        <w:spacing w:line="640" w:lineRule="exact"/>
        <w:ind w:firstLine="560" w:firstLineChars="2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一、基本要求</w:t>
      </w:r>
    </w:p>
    <w:p w14:paraId="153E9CBA">
      <w:pPr>
        <w:spacing w:line="640" w:lineRule="exact"/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1、功能要求：生命支持类、辅助治疗类设备采购</w:t>
      </w:r>
    </w:p>
    <w:p w14:paraId="37350E07">
      <w:pPr>
        <w:spacing w:line="640" w:lineRule="exact"/>
        <w:ind w:firstLine="560" w:firstLineChars="200"/>
        <w:rPr>
          <w:rFonts w:hint="default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合同履行期限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合同签订生效后30个日历日内交货完毕、安装调试完成。</w:t>
      </w:r>
    </w:p>
    <w:p w14:paraId="39CEB4B0">
      <w:pPr>
        <w:spacing w:line="640" w:lineRule="exact"/>
        <w:ind w:firstLine="560" w:firstLineChars="200"/>
        <w:rPr>
          <w:rFonts w:hint="eastAsia"/>
          <w:b w:val="0"/>
          <w:bCs w:val="0"/>
          <w:sz w:val="40"/>
          <w:szCs w:val="4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、交货地点：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渭南市中心医院指定地点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F530D"/>
    <w:rsid w:val="0E6059EA"/>
    <w:rsid w:val="125F530D"/>
    <w:rsid w:val="77F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ull3"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2025-09-22T07:30:00Z</dcterms:created>
  <dc:creator>倩倩</dc:creator>
  <cp:lastModifiedBy>倩倩</cp:lastModifiedBy>
  <dcterms:modified xsi:type="dcterms:W3CDTF">2025-09-22T07:41:23Z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76C7B8AA573343C6B59365A821454176_11</vt:lpwstr>
  </property>
  <property fmtid="{D5CDD505-2E9C-101B-9397-08002B2CF9AE}" pid="4" name="KSOTemplateDocerSaveRecord">
    <vt:lpwstr>eyJoZGlkIjoiNDAxNTU5YWE1ZGQxYzk5NTgxMDBkNWU4YWYzYjExY2MiLCJ1c2VySWQiOiI2MTA1NzgwMzcifQ==</vt:lpwstr>
  </property>
</Properties>
</file>