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DD415">
      <w:pPr>
        <w:tabs>
          <w:tab w:val="left" w:pos="315"/>
          <w:tab w:val="right" w:pos="7653"/>
        </w:tabs>
        <w:ind w:right="-296" w:rightChars="-141"/>
        <w:rPr>
          <w:rFonts w:hint="eastAsia" w:ascii="宋体" w:hAnsi="宋体"/>
          <w:b/>
          <w:color w:val="auto"/>
          <w:highlight w:val="none"/>
        </w:rPr>
      </w:pPr>
    </w:p>
    <w:p w14:paraId="69829DD7">
      <w:pPr>
        <w:tabs>
          <w:tab w:val="left" w:pos="315"/>
          <w:tab w:val="right" w:pos="7653"/>
        </w:tabs>
        <w:ind w:right="-296" w:rightChars="-141"/>
        <w:rPr>
          <w:rFonts w:hint="eastAsia" w:ascii="宋体" w:hAnsi="宋体" w:eastAsia="宋体" w:cs="Times New Roman"/>
          <w:b/>
          <w:bCs w:val="0"/>
          <w:color w:val="auto"/>
          <w:sz w:val="30"/>
          <w:szCs w:val="30"/>
          <w:highlight w:val="none"/>
          <w:lang w:val="en-US" w:eastAsia="zh-CN"/>
        </w:rPr>
      </w:pPr>
      <w:r>
        <w:rPr>
          <w:rFonts w:hint="eastAsia" w:ascii="宋体" w:hAnsi="宋体"/>
          <w:b/>
          <w:bCs w:val="0"/>
          <w:color w:val="auto"/>
          <w:sz w:val="30"/>
          <w:szCs w:val="30"/>
          <w:highlight w:val="none"/>
          <w:lang w:eastAsia="zh-CN"/>
        </w:rPr>
        <w:t>项目</w:t>
      </w:r>
      <w:r>
        <w:rPr>
          <w:rFonts w:hint="eastAsia" w:ascii="宋体" w:hAnsi="宋体"/>
          <w:b/>
          <w:bCs w:val="0"/>
          <w:color w:val="auto"/>
          <w:sz w:val="30"/>
          <w:szCs w:val="30"/>
          <w:highlight w:val="none"/>
        </w:rPr>
        <w:t>编号</w:t>
      </w:r>
      <w:r>
        <w:rPr>
          <w:rFonts w:hint="eastAsia" w:ascii="宋体" w:hAnsi="宋体" w:eastAsia="宋体" w:cs="Times New Roman"/>
          <w:b/>
          <w:bCs w:val="0"/>
          <w:color w:val="auto"/>
          <w:sz w:val="30"/>
          <w:szCs w:val="30"/>
          <w:highlight w:val="none"/>
          <w:lang w:val="en-US" w:eastAsia="zh-CN"/>
        </w:rPr>
        <w:t>：JS-2025-12（2）</w:t>
      </w:r>
    </w:p>
    <w:p w14:paraId="0AE09176">
      <w:pPr>
        <w:tabs>
          <w:tab w:val="left" w:pos="315"/>
          <w:tab w:val="right" w:pos="7653"/>
        </w:tabs>
        <w:ind w:right="-296" w:rightChars="-141"/>
        <w:rPr>
          <w:rFonts w:hint="eastAsia" w:ascii="宋体" w:hAnsi="宋体" w:eastAsia="宋体" w:cs="Times New Roman"/>
          <w:b/>
          <w:bCs w:val="0"/>
          <w:color w:val="auto"/>
          <w:sz w:val="30"/>
          <w:szCs w:val="30"/>
          <w:highlight w:val="none"/>
          <w:lang w:val="en-US" w:eastAsia="zh-CN"/>
        </w:rPr>
      </w:pPr>
    </w:p>
    <w:p w14:paraId="262840C9">
      <w:pPr>
        <w:tabs>
          <w:tab w:val="left" w:pos="1243"/>
        </w:tabs>
        <w:rPr>
          <w:rFonts w:hint="eastAsia" w:ascii="宋体" w:hAnsi="宋体" w:eastAsia="宋体"/>
          <w:b/>
          <w:bCs w:val="0"/>
          <w:color w:val="auto"/>
          <w:sz w:val="52"/>
          <w:szCs w:val="52"/>
          <w:highlight w:val="none"/>
          <w:lang w:eastAsia="zh-CN"/>
        </w:rPr>
      </w:pPr>
    </w:p>
    <w:p w14:paraId="362CE811">
      <w:pPr>
        <w:jc w:val="center"/>
        <w:rPr>
          <w:rFonts w:hint="eastAsia"/>
          <w:color w:val="auto"/>
          <w:sz w:val="52"/>
          <w:szCs w:val="52"/>
          <w:highlight w:val="none"/>
          <w:lang w:val="en-US" w:eastAsia="zh-CN"/>
        </w:rPr>
      </w:pPr>
      <w:r>
        <w:rPr>
          <w:rFonts w:hint="eastAsia"/>
          <w:color w:val="auto"/>
          <w:sz w:val="52"/>
          <w:szCs w:val="52"/>
          <w:highlight w:val="none"/>
          <w:lang w:val="en-US" w:eastAsia="zh-CN"/>
        </w:rPr>
        <w:t>高新区2025年广告发布、设计</w:t>
      </w:r>
    </w:p>
    <w:p w14:paraId="077ED3E9">
      <w:pPr>
        <w:jc w:val="center"/>
        <w:rPr>
          <w:rFonts w:hint="eastAsia"/>
          <w:color w:val="auto"/>
          <w:sz w:val="52"/>
          <w:szCs w:val="52"/>
          <w:highlight w:val="none"/>
          <w:lang w:val="en-US" w:eastAsia="zh-CN"/>
        </w:rPr>
      </w:pPr>
      <w:r>
        <w:rPr>
          <w:rFonts w:hint="eastAsia"/>
          <w:color w:val="auto"/>
          <w:sz w:val="52"/>
          <w:szCs w:val="52"/>
          <w:highlight w:val="none"/>
          <w:lang w:val="en-US" w:eastAsia="zh-CN"/>
        </w:rPr>
        <w:t>制作服务项目（二次）</w:t>
      </w:r>
    </w:p>
    <w:p w14:paraId="5208A449">
      <w:pPr>
        <w:rPr>
          <w:rFonts w:hint="eastAsia"/>
          <w:color w:val="auto"/>
          <w:highlight w:val="none"/>
        </w:rPr>
      </w:pPr>
    </w:p>
    <w:p w14:paraId="5DFA1357">
      <w:pPr>
        <w:pStyle w:val="6"/>
        <w:rPr>
          <w:rFonts w:hint="eastAsia"/>
          <w:color w:val="auto"/>
          <w:highlight w:val="none"/>
        </w:rPr>
      </w:pPr>
    </w:p>
    <w:p w14:paraId="5EA83A53">
      <w:pPr>
        <w:rPr>
          <w:rFonts w:hint="eastAsia"/>
          <w:color w:val="auto"/>
          <w:highlight w:val="none"/>
        </w:rPr>
      </w:pPr>
    </w:p>
    <w:p w14:paraId="1E57ADBA">
      <w:pPr>
        <w:pStyle w:val="6"/>
        <w:rPr>
          <w:rFonts w:hint="eastAsia"/>
          <w:color w:val="auto"/>
          <w:highlight w:val="none"/>
        </w:rPr>
      </w:pPr>
    </w:p>
    <w:p w14:paraId="6B875F96">
      <w:pPr>
        <w:rPr>
          <w:rFonts w:hint="eastAsia"/>
          <w:color w:val="auto"/>
          <w:highlight w:val="none"/>
        </w:rPr>
      </w:pPr>
    </w:p>
    <w:p w14:paraId="09C75F70">
      <w:pPr>
        <w:pStyle w:val="6"/>
        <w:rPr>
          <w:rFonts w:hint="eastAsia"/>
          <w:color w:val="auto"/>
          <w:highlight w:val="none"/>
        </w:rPr>
      </w:pPr>
    </w:p>
    <w:p w14:paraId="1F20598E">
      <w:pPr>
        <w:jc w:val="center"/>
        <w:rPr>
          <w:rFonts w:hint="eastAsia" w:ascii="宋体" w:hAnsi="宋体"/>
          <w:b/>
          <w:bCs w:val="0"/>
          <w:color w:val="auto"/>
          <w:sz w:val="84"/>
          <w:szCs w:val="84"/>
          <w:highlight w:val="none"/>
        </w:rPr>
      </w:pPr>
      <w:r>
        <w:rPr>
          <w:rFonts w:hint="eastAsia" w:ascii="宋体" w:hAnsi="宋体"/>
          <w:b/>
          <w:bCs w:val="0"/>
          <w:color w:val="auto"/>
          <w:sz w:val="84"/>
          <w:szCs w:val="84"/>
          <w:highlight w:val="none"/>
        </w:rPr>
        <w:t>招 标 文 件</w:t>
      </w:r>
    </w:p>
    <w:p w14:paraId="5C76E834">
      <w:pPr>
        <w:rPr>
          <w:rFonts w:hint="eastAsia" w:ascii="宋体" w:hAnsi="宋体"/>
          <w:b/>
          <w:bCs w:val="0"/>
          <w:color w:val="auto"/>
          <w:sz w:val="24"/>
          <w:szCs w:val="21"/>
          <w:highlight w:val="none"/>
        </w:rPr>
      </w:pPr>
    </w:p>
    <w:p w14:paraId="2B4FBA1D">
      <w:pPr>
        <w:rPr>
          <w:rFonts w:hint="eastAsia" w:ascii="宋体" w:hAnsi="宋体"/>
          <w:b/>
          <w:bCs w:val="0"/>
          <w:color w:val="auto"/>
          <w:sz w:val="24"/>
          <w:szCs w:val="21"/>
          <w:highlight w:val="none"/>
        </w:rPr>
      </w:pPr>
    </w:p>
    <w:p w14:paraId="4ACAF5DF">
      <w:pPr>
        <w:rPr>
          <w:rFonts w:ascii="宋体" w:hAnsi="宋体"/>
          <w:b/>
          <w:bCs w:val="0"/>
          <w:color w:val="auto"/>
          <w:sz w:val="24"/>
          <w:szCs w:val="21"/>
          <w:highlight w:val="none"/>
        </w:rPr>
      </w:pPr>
    </w:p>
    <w:p w14:paraId="504B38FA">
      <w:pPr>
        <w:rPr>
          <w:rFonts w:hint="eastAsia" w:ascii="宋体" w:hAnsi="宋体"/>
          <w:b/>
          <w:bCs w:val="0"/>
          <w:color w:val="auto"/>
          <w:sz w:val="18"/>
          <w:szCs w:val="18"/>
          <w:highlight w:val="none"/>
        </w:rPr>
      </w:pPr>
    </w:p>
    <w:p w14:paraId="7FD8B8A3">
      <w:pPr>
        <w:spacing w:line="600" w:lineRule="auto"/>
        <w:ind w:firstLine="964" w:firstLineChars="300"/>
        <w:rPr>
          <w:rFonts w:hint="eastAsia" w:ascii="宋体" w:hAnsi="宋体"/>
          <w:b/>
          <w:bCs w:val="0"/>
          <w:color w:val="auto"/>
          <w:sz w:val="32"/>
          <w:szCs w:val="32"/>
          <w:highlight w:val="none"/>
        </w:rPr>
      </w:pPr>
    </w:p>
    <w:p w14:paraId="142775BD">
      <w:pPr>
        <w:spacing w:line="600" w:lineRule="auto"/>
        <w:ind w:firstLine="602" w:firstLineChars="200"/>
        <w:rPr>
          <w:rFonts w:hint="eastAsia" w:ascii="宋体" w:hAnsi="宋体" w:eastAsia="宋体"/>
          <w:b/>
          <w:bCs w:val="0"/>
          <w:color w:val="auto"/>
          <w:sz w:val="30"/>
          <w:szCs w:val="30"/>
          <w:highlight w:val="none"/>
          <w:lang w:eastAsia="zh-CN"/>
        </w:rPr>
      </w:pPr>
      <w:r>
        <w:rPr>
          <w:rFonts w:hint="eastAsia" w:ascii="宋体" w:hAnsi="宋体"/>
          <w:b/>
          <w:bCs w:val="0"/>
          <w:color w:val="auto"/>
          <w:sz w:val="30"/>
          <w:szCs w:val="30"/>
          <w:highlight w:val="none"/>
        </w:rPr>
        <w:t>采购人：</w:t>
      </w:r>
      <w:r>
        <w:rPr>
          <w:rFonts w:hint="eastAsia" w:ascii="宋体" w:hAnsi="宋体" w:eastAsia="宋体" w:cs="宋体"/>
          <w:b/>
          <w:bCs/>
          <w:color w:val="auto"/>
          <w:sz w:val="32"/>
          <w:szCs w:val="32"/>
          <w:highlight w:val="none"/>
          <w:lang w:val="zh-CN"/>
        </w:rPr>
        <w:t>咸阳高新技术产业开发区管理委员会</w:t>
      </w:r>
    </w:p>
    <w:p w14:paraId="35F58261">
      <w:pPr>
        <w:spacing w:line="600" w:lineRule="auto"/>
        <w:ind w:firstLine="602" w:firstLineChars="200"/>
        <w:rPr>
          <w:rFonts w:hint="eastAsia" w:ascii="宋体" w:hAnsi="宋体"/>
          <w:b/>
          <w:bCs w:val="0"/>
          <w:color w:val="auto"/>
          <w:sz w:val="30"/>
          <w:szCs w:val="30"/>
          <w:highlight w:val="none"/>
        </w:rPr>
      </w:pPr>
      <w:r>
        <w:rPr>
          <w:rFonts w:hint="eastAsia" w:ascii="宋体" w:hAnsi="宋体"/>
          <w:b/>
          <w:bCs w:val="0"/>
          <w:color w:val="auto"/>
          <w:sz w:val="30"/>
          <w:szCs w:val="30"/>
          <w:highlight w:val="none"/>
        </w:rPr>
        <w:t>采购代理机构：</w:t>
      </w:r>
      <w:r>
        <w:rPr>
          <w:rFonts w:hint="eastAsia" w:ascii="宋体" w:hAnsi="宋体"/>
          <w:b/>
          <w:bCs w:val="0"/>
          <w:color w:val="auto"/>
          <w:sz w:val="30"/>
          <w:szCs w:val="30"/>
          <w:highlight w:val="none"/>
          <w:lang w:val="en-US" w:eastAsia="zh-CN"/>
        </w:rPr>
        <w:t xml:space="preserve">陕西九升土木工程咨询有限公司 </w:t>
      </w:r>
    </w:p>
    <w:p w14:paraId="25C1C307">
      <w:pPr>
        <w:spacing w:line="600" w:lineRule="auto"/>
        <w:ind w:firstLine="602" w:firstLineChars="200"/>
        <w:rPr>
          <w:rFonts w:ascii="宋体" w:hAnsi="宋体"/>
          <w:b/>
          <w:bCs/>
          <w:color w:val="auto"/>
          <w:sz w:val="28"/>
          <w:szCs w:val="28"/>
          <w:highlight w:val="none"/>
          <w:u w:val="single"/>
        </w:rPr>
        <w:sectPr>
          <w:headerReference r:id="rId3" w:type="default"/>
          <w:footerReference r:id="rId4" w:type="default"/>
          <w:pgSz w:w="11906" w:h="16838"/>
          <w:pgMar w:top="1440" w:right="1416" w:bottom="1440" w:left="1797"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b/>
          <w:bCs w:val="0"/>
          <w:color w:val="auto"/>
          <w:sz w:val="30"/>
          <w:szCs w:val="30"/>
          <w:highlight w:val="none"/>
        </w:rPr>
        <w:t>日        期：二〇</w:t>
      </w:r>
      <w:r>
        <w:rPr>
          <w:rFonts w:hint="eastAsia" w:ascii="宋体" w:hAnsi="宋体"/>
          <w:b/>
          <w:bCs w:val="0"/>
          <w:color w:val="auto"/>
          <w:sz w:val="30"/>
          <w:szCs w:val="30"/>
          <w:highlight w:val="none"/>
          <w:lang w:val="en-US" w:eastAsia="zh-CN"/>
        </w:rPr>
        <w:t>二五</w:t>
      </w:r>
      <w:r>
        <w:rPr>
          <w:rFonts w:hint="eastAsia" w:ascii="宋体" w:hAnsi="宋体"/>
          <w:b/>
          <w:bCs w:val="0"/>
          <w:color w:val="auto"/>
          <w:sz w:val="30"/>
          <w:szCs w:val="30"/>
          <w:highlight w:val="none"/>
        </w:rPr>
        <w:t>年</w:t>
      </w:r>
      <w:r>
        <w:rPr>
          <w:rFonts w:hint="eastAsia" w:ascii="宋体" w:hAnsi="宋体"/>
          <w:b/>
          <w:bCs w:val="0"/>
          <w:color w:val="auto"/>
          <w:sz w:val="30"/>
          <w:szCs w:val="30"/>
          <w:highlight w:val="none"/>
          <w:lang w:val="en-US" w:eastAsia="zh-CN"/>
        </w:rPr>
        <w:t>九</w:t>
      </w:r>
      <w:r>
        <w:rPr>
          <w:rFonts w:hint="eastAsia" w:ascii="宋体" w:hAnsi="宋体"/>
          <w:b/>
          <w:bCs w:val="0"/>
          <w:color w:val="auto"/>
          <w:sz w:val="30"/>
          <w:szCs w:val="30"/>
          <w:highlight w:val="none"/>
        </w:rPr>
        <w:t>月</w:t>
      </w:r>
    </w:p>
    <w:p w14:paraId="553BF3DC">
      <w:pPr>
        <w:tabs>
          <w:tab w:val="left" w:pos="1002"/>
          <w:tab w:val="center" w:pos="4408"/>
        </w:tabs>
        <w:spacing w:line="600" w:lineRule="auto"/>
        <w:jc w:val="left"/>
        <w:rPr>
          <w:rFonts w:hint="eastAsia" w:ascii="宋体" w:hAnsi="宋体"/>
          <w:b/>
          <w:color w:val="auto"/>
          <w:sz w:val="44"/>
          <w:highlight w:val="none"/>
        </w:rPr>
      </w:pPr>
      <w:r>
        <w:rPr>
          <w:rFonts w:hint="eastAsia" w:ascii="宋体" w:hAnsi="宋体"/>
          <w:b/>
          <w:color w:val="auto"/>
          <w:sz w:val="44"/>
          <w:highlight w:val="none"/>
        </w:rPr>
        <w:tab/>
      </w:r>
      <w:r>
        <w:rPr>
          <w:rFonts w:hint="eastAsia" w:ascii="宋体" w:hAnsi="宋体"/>
          <w:b/>
          <w:color w:val="auto"/>
          <w:sz w:val="44"/>
          <w:highlight w:val="none"/>
        </w:rPr>
        <w:tab/>
      </w:r>
      <w:r>
        <w:rPr>
          <w:rFonts w:hint="eastAsia" w:ascii="宋体" w:hAnsi="宋体"/>
          <w:b/>
          <w:color w:val="auto"/>
          <w:sz w:val="44"/>
          <w:highlight w:val="none"/>
        </w:rPr>
        <w:t xml:space="preserve">目   </w:t>
      </w:r>
      <w:r>
        <w:rPr>
          <w:rFonts w:ascii="宋体" w:hAnsi="宋体"/>
          <w:b/>
          <w:color w:val="auto"/>
          <w:sz w:val="44"/>
          <w:highlight w:val="none"/>
        </w:rPr>
        <w:t xml:space="preserve"> </w:t>
      </w:r>
      <w:r>
        <w:rPr>
          <w:rFonts w:hint="eastAsia" w:ascii="宋体" w:hAnsi="宋体"/>
          <w:b/>
          <w:color w:val="auto"/>
          <w:sz w:val="44"/>
          <w:highlight w:val="none"/>
        </w:rPr>
        <w:t>录</w:t>
      </w:r>
    </w:p>
    <w:p w14:paraId="6905957F">
      <w:pPr>
        <w:pStyle w:val="12"/>
        <w:rPr>
          <w:color w:val="auto"/>
          <w:highlight w:val="none"/>
        </w:rPr>
      </w:pPr>
    </w:p>
    <w:p w14:paraId="1F317940">
      <w:pPr>
        <w:pStyle w:val="18"/>
        <w:tabs>
          <w:tab w:val="right" w:leader="dot" w:pos="8844"/>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_Toc6189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第一部分  招标公告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_Toc6189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6D796FE">
      <w:pPr>
        <w:pStyle w:val="18"/>
        <w:tabs>
          <w:tab w:val="right" w:leader="dot" w:pos="8844"/>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_Toc13724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第二部分  投标供应商须知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fldChar w:fldCharType="end"/>
      </w:r>
    </w:p>
    <w:p w14:paraId="05737E2F">
      <w:pPr>
        <w:pStyle w:val="18"/>
        <w:tabs>
          <w:tab w:val="right" w:leader="dot" w:pos="8844"/>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_Toc4190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第三部分 </w:t>
      </w:r>
      <w:r>
        <w:rPr>
          <w:rFonts w:hint="eastAsia" w:asciiTheme="minorEastAsia" w:hAnsiTheme="minorEastAsia" w:eastAsiaTheme="minorEastAsia" w:cstheme="minorEastAsia"/>
          <w:bCs/>
          <w:color w:val="auto"/>
          <w:sz w:val="28"/>
          <w:szCs w:val="28"/>
          <w:highlight w:val="none"/>
          <w:lang w:val="en-US" w:eastAsia="zh-CN"/>
        </w:rPr>
        <w:t xml:space="preserve"> 采购内容及要求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5</w:t>
      </w:r>
    </w:p>
    <w:p w14:paraId="1295AF44">
      <w:pPr>
        <w:pStyle w:val="18"/>
        <w:tabs>
          <w:tab w:val="right" w:leader="dot" w:pos="8844"/>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_Toc5739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第四部分  合同主要条款及格式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_Toc5739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A9F206F">
      <w:pPr>
        <w:pStyle w:val="18"/>
        <w:tabs>
          <w:tab w:val="right" w:leader="dot" w:pos="8844"/>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_Toc22046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kern w:val="2"/>
          <w:sz w:val="28"/>
          <w:szCs w:val="28"/>
          <w:highlight w:val="none"/>
          <w:lang w:val="en-US" w:eastAsia="zh-CN" w:bidi="ar-SA"/>
        </w:rPr>
        <w:t>第五部分  投标文件格式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_Toc22046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39</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1ED77A3">
      <w:pPr>
        <w:rPr>
          <w:color w:val="auto"/>
          <w:highlight w:val="none"/>
        </w:rPr>
      </w:pPr>
      <w:r>
        <w:rPr>
          <w:rFonts w:hint="eastAsia" w:asciiTheme="minorEastAsia" w:hAnsiTheme="minorEastAsia" w:eastAsiaTheme="minorEastAsia" w:cstheme="minorEastAsia"/>
          <w:color w:val="auto"/>
          <w:sz w:val="28"/>
          <w:szCs w:val="28"/>
          <w:highlight w:val="none"/>
        </w:rPr>
        <w:fldChar w:fldCharType="end"/>
      </w:r>
    </w:p>
    <w:p w14:paraId="0C53B9D6">
      <w:pPr>
        <w:pStyle w:val="18"/>
        <w:tabs>
          <w:tab w:val="left" w:pos="4410"/>
          <w:tab w:val="left" w:pos="4830"/>
        </w:tabs>
        <w:spacing w:line="400" w:lineRule="exact"/>
        <w:ind w:firstLine="1440" w:firstLineChars="600"/>
        <w:jc w:val="both"/>
        <w:rPr>
          <w:rFonts w:cs="Arial"/>
          <w:smallCaps/>
          <w:color w:val="auto"/>
          <w:highlight w:val="none"/>
        </w:rPr>
      </w:pPr>
      <w:r>
        <w:rPr>
          <w:rFonts w:ascii="宋体" w:hAnsi="宋体"/>
          <w:color w:val="auto"/>
          <w:sz w:val="24"/>
          <w:szCs w:val="24"/>
          <w:highlight w:val="none"/>
        </w:rPr>
        <w:tab/>
      </w:r>
      <w:r>
        <w:rPr>
          <w:rFonts w:ascii="宋体" w:hAnsi="宋体"/>
          <w:color w:val="auto"/>
          <w:sz w:val="24"/>
          <w:szCs w:val="24"/>
          <w:highlight w:val="none"/>
        </w:rPr>
        <w:tab/>
      </w:r>
    </w:p>
    <w:p w14:paraId="02BB0BD4">
      <w:pPr>
        <w:pStyle w:val="3"/>
        <w:spacing w:line="440" w:lineRule="exact"/>
        <w:rPr>
          <w:rFonts w:hint="eastAsia"/>
          <w:b/>
          <w:bCs/>
          <w:color w:val="auto"/>
          <w:highlight w:val="none"/>
        </w:rPr>
        <w:sectPr>
          <w:footerReference r:id="rId5" w:type="default"/>
          <w:pgSz w:w="11906" w:h="16838"/>
          <w:pgMar w:top="2041" w:right="1361" w:bottom="2154"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0" w:name="_Toc12750"/>
      <w:bookmarkStart w:id="107" w:name="_GoBack"/>
      <w:bookmarkEnd w:id="107"/>
    </w:p>
    <w:p w14:paraId="067CF6AD">
      <w:pPr>
        <w:pStyle w:val="3"/>
        <w:spacing w:line="440" w:lineRule="exact"/>
        <w:outlineLvl w:val="0"/>
        <w:rPr>
          <w:rFonts w:hint="eastAsia"/>
          <w:b/>
          <w:bCs/>
          <w:color w:val="auto"/>
          <w:highlight w:val="none"/>
        </w:rPr>
      </w:pPr>
      <w:bookmarkStart w:id="1" w:name="_Toc6189"/>
      <w:r>
        <w:rPr>
          <w:rFonts w:hint="eastAsia"/>
          <w:b/>
          <w:bCs/>
          <w:color w:val="auto"/>
          <w:highlight w:val="none"/>
        </w:rPr>
        <w:t>第一部分  招标公告</w:t>
      </w:r>
      <w:bookmarkEnd w:id="0"/>
      <w:bookmarkEnd w:id="1"/>
      <w:bookmarkStart w:id="2" w:name="_Toc237342986"/>
      <w:bookmarkStart w:id="3" w:name="_Toc19104"/>
    </w:p>
    <w:p w14:paraId="7E3114D9">
      <w:pPr>
        <w:pStyle w:val="3"/>
        <w:spacing w:line="360" w:lineRule="auto"/>
        <w:jc w:val="both"/>
        <w:outlineLvl w:val="0"/>
        <w:rPr>
          <w:rFonts w:hint="eastAsia"/>
          <w:b/>
          <w:bCs/>
          <w:color w:val="auto"/>
          <w:highlight w:val="none"/>
        </w:rPr>
      </w:pPr>
      <w:bookmarkStart w:id="4" w:name="_Toc32725"/>
      <w:bookmarkStart w:id="5" w:name="_Toc13724"/>
    </w:p>
    <w:p w14:paraId="1C2B4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auto"/>
          <w:spacing w:val="0"/>
          <w:sz w:val="30"/>
          <w:szCs w:val="30"/>
        </w:rPr>
      </w:pPr>
      <w:r>
        <w:rPr>
          <w:rFonts w:hint="default" w:ascii="Helvetica" w:hAnsi="Helvetica" w:eastAsia="Helvetica" w:cs="Helvetica"/>
          <w:b/>
          <w:bCs/>
          <w:i w:val="0"/>
          <w:iCs w:val="0"/>
          <w:caps w:val="0"/>
          <w:color w:val="auto"/>
          <w:spacing w:val="0"/>
          <w:sz w:val="30"/>
          <w:szCs w:val="30"/>
          <w:shd w:val="clear" w:fill="FFFFFF"/>
          <w:vertAlign w:val="baseline"/>
        </w:rPr>
        <w:t>高新区2025年广告发布、设计制作服务项目(二次)招标公告</w:t>
      </w:r>
    </w:p>
    <w:p w14:paraId="7D8D067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1154" w:leftChars="100" w:right="0" w:hanging="944" w:hangingChars="448"/>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项目概况</w:t>
      </w:r>
    </w:p>
    <w:p w14:paraId="0709E7C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400" w:lineRule="exact"/>
        <w:ind w:left="0" w:right="0" w:firstLine="480"/>
        <w:jc w:val="both"/>
        <w:textAlignment w:val="baseline"/>
        <w:rPr>
          <w:color w:val="auto"/>
          <w:sz w:val="21"/>
          <w:szCs w:val="21"/>
        </w:rPr>
      </w:pPr>
      <w:r>
        <w:rPr>
          <w:rFonts w:ascii="微软雅黑" w:hAnsi="微软雅黑" w:eastAsia="微软雅黑" w:cs="微软雅黑"/>
          <w:i w:val="0"/>
          <w:iCs w:val="0"/>
          <w:caps w:val="0"/>
          <w:color w:val="auto"/>
          <w:spacing w:val="0"/>
          <w:sz w:val="21"/>
          <w:szCs w:val="21"/>
          <w:shd w:val="clear" w:fill="FFFFFF"/>
          <w:vertAlign w:val="baseline"/>
        </w:rPr>
        <w:t>高新区2025年广告发布、设计制作服务项目(二次)</w:t>
      </w:r>
      <w:r>
        <w:rPr>
          <w:rFonts w:hint="eastAsia" w:ascii="微软雅黑" w:hAnsi="微软雅黑" w:eastAsia="微软雅黑" w:cs="微软雅黑"/>
          <w:i w:val="0"/>
          <w:iCs w:val="0"/>
          <w:caps w:val="0"/>
          <w:color w:val="auto"/>
          <w:spacing w:val="0"/>
          <w:sz w:val="21"/>
          <w:szCs w:val="21"/>
          <w:shd w:val="clear" w:fill="FFFFFF"/>
          <w:vertAlign w:val="baseline"/>
        </w:rPr>
        <w:t>招标项目的潜在投标人应在阳光明珠酒店咸阳市（秦都区咸阳世纪西路路南111号）1楼获取招标文件，并于 2025年09月22日 15时00分 （北京时间）前递交投标文件。</w:t>
      </w:r>
    </w:p>
    <w:p w14:paraId="43ACCE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60" w:lineRule="exact"/>
        <w:ind w:left="0" w:right="0"/>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一、项目基本情况</w:t>
      </w:r>
    </w:p>
    <w:p w14:paraId="2D951D6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项目编号：JS-2025-12（2）</w:t>
      </w:r>
    </w:p>
    <w:p w14:paraId="41D240F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项目名称：高新区2025年广告发布、设计制作服务项目(二次)</w:t>
      </w:r>
    </w:p>
    <w:p w14:paraId="3C10D15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采购方式：公开招标</w:t>
      </w:r>
    </w:p>
    <w:p w14:paraId="3DD9EED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预算金额：3,084,500.00元</w:t>
      </w:r>
    </w:p>
    <w:p w14:paraId="3934994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采购需求：</w:t>
      </w:r>
    </w:p>
    <w:p w14:paraId="7D5FC51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合同包1(高新区2025年广告发布、设计制作服务项目):</w:t>
      </w:r>
    </w:p>
    <w:p w14:paraId="79D181B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63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合同包预算金额：3,084,500.00元</w:t>
      </w:r>
    </w:p>
    <w:p w14:paraId="1BDE10A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63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合同包最高限价：3,084,500.00元</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1"/>
        <w:gridCol w:w="2389"/>
        <w:gridCol w:w="2389"/>
        <w:gridCol w:w="809"/>
        <w:gridCol w:w="1599"/>
        <w:gridCol w:w="1501"/>
      </w:tblGrid>
      <w:tr w14:paraId="277E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F6B56A">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EA82AA">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656BA2">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3246FD">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8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C27F1A">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6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73662E">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00B6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E79C2F">
            <w:pPr>
              <w:keepNext w:val="0"/>
              <w:keepLines w:val="0"/>
              <w:widowControl/>
              <w:suppressLineNumbers w:val="0"/>
              <w:wordWrap w:val="0"/>
              <w:spacing w:before="0" w:beforeAutospacing="0" w:after="0" w:afterAutospacing="0" w:line="360" w:lineRule="atLeast"/>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1-1</w:t>
            </w:r>
          </w:p>
        </w:tc>
        <w:tc>
          <w:tcPr>
            <w:tcW w:w="1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98DE4E">
            <w:pPr>
              <w:keepNext w:val="0"/>
              <w:keepLines w:val="0"/>
              <w:widowControl/>
              <w:suppressLineNumbers w:val="0"/>
              <w:wordWrap w:val="0"/>
              <w:spacing w:before="0" w:beforeAutospacing="0" w:after="0" w:afterAutospacing="0" w:line="360" w:lineRule="atLeast"/>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其他文化、体育、娱乐服务</w:t>
            </w:r>
          </w:p>
        </w:tc>
        <w:tc>
          <w:tcPr>
            <w:tcW w:w="13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24B0E5">
            <w:pPr>
              <w:keepNext w:val="0"/>
              <w:keepLines w:val="0"/>
              <w:widowControl/>
              <w:suppressLineNumbers w:val="0"/>
              <w:wordWrap w:val="0"/>
              <w:spacing w:before="0" w:beforeAutospacing="0" w:after="0" w:afterAutospacing="0" w:line="360" w:lineRule="atLeast"/>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设计、制作、发布</w:t>
            </w:r>
          </w:p>
        </w:tc>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FADA68">
            <w:pPr>
              <w:keepNext w:val="0"/>
              <w:keepLines w:val="0"/>
              <w:widowControl/>
              <w:suppressLineNumbers w:val="0"/>
              <w:wordWrap w:val="0"/>
              <w:spacing w:before="0" w:beforeAutospacing="0" w:after="0" w:afterAutospacing="0" w:line="360" w:lineRule="atLeast"/>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1(项)</w:t>
            </w:r>
          </w:p>
        </w:tc>
        <w:tc>
          <w:tcPr>
            <w:tcW w:w="8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6EC2DF">
            <w:pPr>
              <w:keepNext w:val="0"/>
              <w:keepLines w:val="0"/>
              <w:widowControl/>
              <w:suppressLineNumbers w:val="0"/>
              <w:wordWrap w:val="0"/>
              <w:spacing w:before="0" w:beforeAutospacing="0" w:after="0" w:afterAutospacing="0" w:line="360" w:lineRule="atLeast"/>
              <w:ind w:left="0" w:right="0"/>
              <w:jc w:val="center"/>
              <w:textAlignment w:val="center"/>
              <w:rPr>
                <w:color w:val="auto"/>
                <w:sz w:val="21"/>
                <w:szCs w:val="21"/>
              </w:rPr>
            </w:pPr>
            <w:r>
              <w:rPr>
                <w:rFonts w:ascii="宋体" w:hAnsi="宋体" w:eastAsia="宋体" w:cs="宋体"/>
                <w:color w:val="auto"/>
                <w:kern w:val="0"/>
                <w:sz w:val="21"/>
                <w:szCs w:val="21"/>
                <w:lang w:val="en-US" w:eastAsia="zh-CN" w:bidi="ar"/>
              </w:rPr>
              <w:t>详见采购文件</w:t>
            </w:r>
          </w:p>
        </w:tc>
        <w:tc>
          <w:tcPr>
            <w:tcW w:w="6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E320FC">
            <w:pPr>
              <w:keepNext w:val="0"/>
              <w:keepLines w:val="0"/>
              <w:widowControl/>
              <w:suppressLineNumbers w:val="0"/>
              <w:wordWrap/>
              <w:spacing w:before="0" w:beforeAutospacing="0" w:after="0" w:afterAutospacing="0" w:line="360" w:lineRule="atLeast"/>
              <w:ind w:left="0" w:right="0"/>
              <w:jc w:val="right"/>
              <w:textAlignment w:val="center"/>
              <w:rPr>
                <w:color w:val="auto"/>
                <w:sz w:val="21"/>
                <w:szCs w:val="21"/>
              </w:rPr>
            </w:pPr>
            <w:r>
              <w:rPr>
                <w:rFonts w:ascii="宋体" w:hAnsi="宋体" w:eastAsia="宋体" w:cs="宋体"/>
                <w:color w:val="auto"/>
                <w:kern w:val="0"/>
                <w:sz w:val="21"/>
                <w:szCs w:val="21"/>
                <w:vertAlign w:val="baseline"/>
                <w:lang w:val="en-US" w:eastAsia="zh-CN" w:bidi="ar"/>
              </w:rPr>
              <w:t>3,084,500.00</w:t>
            </w:r>
          </w:p>
        </w:tc>
      </w:tr>
    </w:tbl>
    <w:p w14:paraId="02E34A2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63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本合同包不接受联合体投标</w:t>
      </w:r>
    </w:p>
    <w:p w14:paraId="13B7FBB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63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合同履行期限：合同签订后365日历天</w:t>
      </w:r>
    </w:p>
    <w:p w14:paraId="57C6EF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60" w:lineRule="exact"/>
        <w:ind w:left="0" w:right="0"/>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二、申请人的资格要求：</w:t>
      </w:r>
    </w:p>
    <w:p w14:paraId="0B589BF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1.满足《中华人民共和国政府采购法》第二十二条规定;</w:t>
      </w:r>
    </w:p>
    <w:p w14:paraId="555884A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2.落实政府采购政策需满足的资格要求：</w:t>
      </w:r>
    </w:p>
    <w:p w14:paraId="39783EF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合同包1(高新区2025年广告发布、设计制作服务项目</w:t>
      </w:r>
      <w:r>
        <w:rPr>
          <w:rFonts w:hint="eastAsia" w:ascii="微软雅黑" w:hAnsi="微软雅黑" w:eastAsia="微软雅黑" w:cs="微软雅黑"/>
          <w:i w:val="0"/>
          <w:iCs w:val="0"/>
          <w:caps w:val="0"/>
          <w:color w:val="auto"/>
          <w:spacing w:val="0"/>
          <w:sz w:val="21"/>
          <w:szCs w:val="21"/>
          <w:shd w:val="clear" w:fill="FFFFFF"/>
          <w:vertAlign w:val="baseline"/>
          <w:lang w:eastAsia="zh-CN"/>
        </w:rPr>
        <w:t>（</w:t>
      </w:r>
      <w:r>
        <w:rPr>
          <w:rFonts w:hint="eastAsia" w:ascii="微软雅黑" w:hAnsi="微软雅黑" w:eastAsia="微软雅黑" w:cs="微软雅黑"/>
          <w:i w:val="0"/>
          <w:iCs w:val="0"/>
          <w:caps w:val="0"/>
          <w:color w:val="auto"/>
          <w:spacing w:val="0"/>
          <w:sz w:val="21"/>
          <w:szCs w:val="21"/>
          <w:shd w:val="clear" w:fill="FFFFFF"/>
          <w:vertAlign w:val="baseline"/>
          <w:lang w:val="en-US" w:eastAsia="zh-CN"/>
        </w:rPr>
        <w:t>二次</w:t>
      </w:r>
      <w:r>
        <w:rPr>
          <w:rFonts w:hint="eastAsia" w:ascii="微软雅黑" w:hAnsi="微软雅黑" w:eastAsia="微软雅黑" w:cs="微软雅黑"/>
          <w:i w:val="0"/>
          <w:iCs w:val="0"/>
          <w:caps w:val="0"/>
          <w:color w:val="auto"/>
          <w:spacing w:val="0"/>
          <w:sz w:val="21"/>
          <w:szCs w:val="21"/>
          <w:shd w:val="clear" w:fill="FFFFFF"/>
          <w:vertAlign w:val="baseline"/>
          <w:lang w:eastAsia="zh-CN"/>
        </w:rPr>
        <w:t>）</w:t>
      </w:r>
      <w:r>
        <w:rPr>
          <w:rFonts w:hint="eastAsia" w:ascii="微软雅黑" w:hAnsi="微软雅黑" w:eastAsia="微软雅黑" w:cs="微软雅黑"/>
          <w:i w:val="0"/>
          <w:iCs w:val="0"/>
          <w:caps w:val="0"/>
          <w:color w:val="auto"/>
          <w:spacing w:val="0"/>
          <w:sz w:val="21"/>
          <w:szCs w:val="21"/>
          <w:shd w:val="clear" w:fill="FFFFFF"/>
          <w:vertAlign w:val="baseline"/>
        </w:rPr>
        <w:t>)落实政府采购政策需满足的资格要求如下:</w:t>
      </w:r>
    </w:p>
    <w:p w14:paraId="32E9D04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（1）财政部、国家发展和改革委员会关于印发《节能产品政府采购实施意见》的通知（财库[2004]185号）；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（2）财政部、国家环保总局联合印发《关于环境标志产品政府采购实施的意见》(财库[2006]90号)；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（3）国务院办公厅关于建立政府强制采购节能产品制度的通知 国办发〔2007〕51号；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（4）财政部、发展改革委、生态环境部、市场监管总局关于调整优化节能产品、环境标志产品政府采购执行机制的通知（财库〔2019〕9号）；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（5）财政部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（6）财政部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（7）财政部、民政部、中国残疾人联合会关于促进残疾人就业政府采购政策的通知（财库〔2017〕141号）；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（8）关于印发《政府采购促进中小企业发展管理办法》的通知（财库〔2020〕46号）；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（9）财政部关于在政府采购活动中查询及使用信用记录有关问题的通知（财库〔2016〕125号）；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（10）陕西省财政厅关于印发《陕西省中小企业政府采购信用融资办法》（陕财办采〔2018〕23号）；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（11）陕西省财政厅关于进一步加大政府采购支持中小企业力度的通知（陕财办采〔2022〕5号）；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（12）陕西省财政厅关于落实政府采购支持中小企业政策有关事项的通知（陕财办采函〔2022〕10号）；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（13）《财政部关于进一步加大政府采购支持中小企业力度的通知》（财库〔2022〕19号）；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（14）《关于政府采购优先购买福利性企业产品和服务的意见》（陕民发（2015）1号）；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（15)财政部 农业农村部 国家乡村振兴局关于运用政府采购政策支持乡村产业振兴的通知；</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（16）《关于印发环境标志产品政府采购品目清单的通知》（财库〔2019〕18号）；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（17）《关于印发节能产品政府采购品目清单的通知》（财库〔2019〕19号）；</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（18）《陕西省财政厅关于加快推进我省中小企业政府采购信用融资工作的通知》（陕财办采〔2020〕15号）。若享受以上政策优惠的企业，提供相应声明函或品目范围内产品有效认证证书；</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（19）如有最新颁布的政府采购政策，按最新的文件执行；</w:t>
      </w:r>
    </w:p>
    <w:p w14:paraId="0AECF3B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3.本项目的特定资格要求：</w:t>
      </w:r>
    </w:p>
    <w:p w14:paraId="39301E2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合同包1(高新区2025年广告发布、设计制作服务项目</w:t>
      </w:r>
      <w:r>
        <w:rPr>
          <w:rFonts w:hint="eastAsia" w:ascii="微软雅黑" w:hAnsi="微软雅黑" w:eastAsia="微软雅黑" w:cs="微软雅黑"/>
          <w:i w:val="0"/>
          <w:iCs w:val="0"/>
          <w:caps w:val="0"/>
          <w:color w:val="auto"/>
          <w:spacing w:val="0"/>
          <w:sz w:val="21"/>
          <w:szCs w:val="21"/>
          <w:shd w:val="clear" w:fill="FFFFFF"/>
          <w:vertAlign w:val="baseline"/>
          <w:lang w:eastAsia="zh-CN"/>
        </w:rPr>
        <w:t>（</w:t>
      </w:r>
      <w:r>
        <w:rPr>
          <w:rFonts w:hint="eastAsia" w:ascii="微软雅黑" w:hAnsi="微软雅黑" w:eastAsia="微软雅黑" w:cs="微软雅黑"/>
          <w:i w:val="0"/>
          <w:iCs w:val="0"/>
          <w:caps w:val="0"/>
          <w:color w:val="auto"/>
          <w:spacing w:val="0"/>
          <w:sz w:val="21"/>
          <w:szCs w:val="21"/>
          <w:shd w:val="clear" w:fill="FFFFFF"/>
          <w:vertAlign w:val="baseline"/>
          <w:lang w:val="en-US" w:eastAsia="zh-CN"/>
        </w:rPr>
        <w:t>二次</w:t>
      </w:r>
      <w:r>
        <w:rPr>
          <w:rFonts w:hint="eastAsia" w:ascii="微软雅黑" w:hAnsi="微软雅黑" w:eastAsia="微软雅黑" w:cs="微软雅黑"/>
          <w:i w:val="0"/>
          <w:iCs w:val="0"/>
          <w:caps w:val="0"/>
          <w:color w:val="auto"/>
          <w:spacing w:val="0"/>
          <w:sz w:val="21"/>
          <w:szCs w:val="21"/>
          <w:shd w:val="clear" w:fill="FFFFFF"/>
          <w:vertAlign w:val="baseline"/>
          <w:lang w:eastAsia="zh-CN"/>
        </w:rPr>
        <w:t>）</w:t>
      </w:r>
      <w:r>
        <w:rPr>
          <w:rFonts w:hint="eastAsia" w:ascii="微软雅黑" w:hAnsi="微软雅黑" w:eastAsia="微软雅黑" w:cs="微软雅黑"/>
          <w:i w:val="0"/>
          <w:iCs w:val="0"/>
          <w:caps w:val="0"/>
          <w:color w:val="auto"/>
          <w:spacing w:val="0"/>
          <w:sz w:val="21"/>
          <w:szCs w:val="21"/>
          <w:shd w:val="clear" w:fill="FFFFFF"/>
          <w:vertAlign w:val="baseline"/>
        </w:rPr>
        <w:t>)特定资格要求如下:</w:t>
      </w:r>
    </w:p>
    <w:p w14:paraId="6E4EC05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480" w:right="0" w:firstLine="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（1）具有独立承担民事责任能力的法人、其他组织或自然人，提供合法有效的统一社会信用代码营业执照（事业单位提供事业单位法人证书，自然人提供身份证明）；</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（2）法定代表人授权书（附法定代表人、被授权人身份证复印件）及被授权人身份证（法定代表人直接参加投标会议，须提供法定代表人身份证明及身份证原件及复印件加盖公章）；</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（3）财务状况报告：提供投标人2023年度经审计的财务报告或在开标日期前6个月内其基本开户银行出具的资信证明和开户行许可证或基本存款账户信息；</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4）税收缴纳证明：投标人提供近一年内已缴纳的至少一个月的纳税证明或完税证明（任意税种），纳税证明或完税证明上应有代收机构或税务机关的公章或业务专用章；（依法不需要缴纳税收的供应商应提供相关证明）；</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（5）社会保障资金缴纳证明：投标人提供近一年内已缴纳的至少一个月的社会保障资金缴存单据或社保机构开具的社会保险参保缴费情况证明，依法不需要缴纳社会保障资金的单位应提供相关证明材料；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（6）投标人具备履行合同所必需的设备及专业技术能力的承诺；</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（7）参加本次投标前3年内，在经营活动中没有重大违法记录的书面声明；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（8）法定代表人（负责人）为同一人或者存在直接控股、管理关系的不同投标人，不得同时参加本采购项目投标；</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（9）投标人应在“中国执行信息公开网”(http://zxgk.court.gov.cn/)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r>
        <w:rPr>
          <w:rFonts w:hint="eastAsia" w:ascii="微软雅黑" w:hAnsi="微软雅黑" w:eastAsia="微软雅黑" w:cs="微软雅黑"/>
          <w:i w:val="0"/>
          <w:iCs w:val="0"/>
          <w:caps w:val="0"/>
          <w:color w:val="auto"/>
          <w:spacing w:val="0"/>
          <w:sz w:val="21"/>
          <w:szCs w:val="21"/>
          <w:shd w:val="clear" w:fill="FFFFFF"/>
          <w:vertAlign w:val="baseline"/>
        </w:rPr>
        <w:br w:type="textWrapping"/>
      </w:r>
      <w:r>
        <w:rPr>
          <w:rFonts w:hint="eastAsia" w:ascii="微软雅黑" w:hAnsi="微软雅黑" w:eastAsia="微软雅黑" w:cs="微软雅黑"/>
          <w:i w:val="0"/>
          <w:iCs w:val="0"/>
          <w:caps w:val="0"/>
          <w:color w:val="auto"/>
          <w:spacing w:val="0"/>
          <w:sz w:val="21"/>
          <w:szCs w:val="21"/>
          <w:shd w:val="clear" w:fill="FFFFFF"/>
          <w:vertAlign w:val="baseline"/>
        </w:rPr>
        <w:t>（10）本项目专门面向中小企业。</w:t>
      </w:r>
    </w:p>
    <w:p w14:paraId="5CEF76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80" w:lineRule="exact"/>
        <w:ind w:left="0" w:right="0"/>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三、获取招标文件</w:t>
      </w:r>
    </w:p>
    <w:p w14:paraId="663B2EE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时间： 2025年09月02日 至 2025年09月08日 ，每天上午 08:30:00 至 12:00:00 ，下午 14:00:00 至 18:00:00 （北京时间）</w:t>
      </w:r>
    </w:p>
    <w:p w14:paraId="72A3D6C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途径：阳光明珠酒店咸阳市（秦都区咸阳世纪西路路南111号）1楼</w:t>
      </w:r>
    </w:p>
    <w:p w14:paraId="2F01CF1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方式：现场获取</w:t>
      </w:r>
    </w:p>
    <w:p w14:paraId="4A2837C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售价： 0元</w:t>
      </w:r>
    </w:p>
    <w:p w14:paraId="5B3ADA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80" w:lineRule="exact"/>
        <w:ind w:left="0" w:right="0"/>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四、提交投标文件截止时间、开标时间和地点</w:t>
      </w:r>
    </w:p>
    <w:p w14:paraId="05456F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2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时间： 2025年09月22日 15时00分00秒 （北京时间）</w:t>
      </w:r>
    </w:p>
    <w:p w14:paraId="10256F2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2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提交投标文件地点：详见招标文件</w:t>
      </w:r>
    </w:p>
    <w:p w14:paraId="2C82332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2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开标地点：详见招标文件</w:t>
      </w:r>
    </w:p>
    <w:p w14:paraId="45136C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20" w:lineRule="exact"/>
        <w:ind w:left="0" w:right="0"/>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五、公告期限</w:t>
      </w:r>
    </w:p>
    <w:p w14:paraId="704E492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2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自本公告发布之日起5个工作日。</w:t>
      </w:r>
    </w:p>
    <w:p w14:paraId="7A06B9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20" w:lineRule="exact"/>
        <w:ind w:left="0" w:right="0"/>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六、其他补充事宜</w:t>
      </w:r>
    </w:p>
    <w:p w14:paraId="3FC5FEF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2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1）投标人须于文件发售时间内携带：单位介绍信、经办人身份证原件及加盖单位鲜章的复印件一套；（谢绝邮寄，原件阅后退还，节假日除外)。（2）投标人须按照陕西省财政厅《关于政府采购供应商注册登记有关事项的通知》中的要求，通过陕西省政府采购网（http://www.ccgp-shaanxi.gov.cn/）注册登记加入陕西省政府采购供应商库。</w:t>
      </w:r>
    </w:p>
    <w:p w14:paraId="4BBADD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280" w:lineRule="exact"/>
        <w:ind w:left="0" w:right="0"/>
        <w:jc w:val="left"/>
        <w:textAlignment w:val="baseline"/>
        <w:rPr>
          <w:b w:val="0"/>
          <w:bCs w:val="0"/>
          <w:color w:val="auto"/>
          <w:sz w:val="21"/>
          <w:szCs w:val="21"/>
        </w:rPr>
      </w:pPr>
      <w:r>
        <w:rPr>
          <w:rStyle w:val="27"/>
          <w:b/>
          <w:bCs/>
          <w:i w:val="0"/>
          <w:iCs w:val="0"/>
          <w:caps w:val="0"/>
          <w:color w:val="auto"/>
          <w:spacing w:val="0"/>
          <w:sz w:val="21"/>
          <w:szCs w:val="21"/>
          <w:shd w:val="clear" w:fill="FFFFFF"/>
          <w:vertAlign w:val="baseline"/>
        </w:rPr>
        <w:t>七、对本次招标提出询问，请按以下方式联系。</w:t>
      </w:r>
    </w:p>
    <w:p w14:paraId="611788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1150" w:leftChars="200" w:right="0" w:hanging="730" w:hangingChars="348"/>
        <w:jc w:val="left"/>
        <w:textAlignment w:val="baseline"/>
        <w:rPr>
          <w:b w:val="0"/>
          <w:bCs w:val="0"/>
          <w:color w:val="auto"/>
          <w:sz w:val="21"/>
          <w:szCs w:val="21"/>
        </w:rPr>
      </w:pPr>
      <w:r>
        <w:rPr>
          <w:b w:val="0"/>
          <w:bCs w:val="0"/>
          <w:i w:val="0"/>
          <w:iCs w:val="0"/>
          <w:caps w:val="0"/>
          <w:color w:val="auto"/>
          <w:spacing w:val="0"/>
          <w:sz w:val="21"/>
          <w:szCs w:val="21"/>
          <w:shd w:val="clear" w:fill="FFFFFF"/>
          <w:vertAlign w:val="baseline"/>
        </w:rPr>
        <w:t>1.采购人信息</w:t>
      </w:r>
    </w:p>
    <w:p w14:paraId="1E15FFA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名称：咸阳高新技术产业开发区管理委员会</w:t>
      </w:r>
    </w:p>
    <w:p w14:paraId="3337165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地址：咸阳市高科三路创业大厦</w:t>
      </w:r>
    </w:p>
    <w:p w14:paraId="5B3458B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联系方式：029-34013231</w:t>
      </w:r>
    </w:p>
    <w:p w14:paraId="11CEFD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1150" w:leftChars="200" w:right="0" w:hanging="730" w:hangingChars="348"/>
        <w:jc w:val="left"/>
        <w:textAlignment w:val="baseline"/>
        <w:rPr>
          <w:b w:val="0"/>
          <w:bCs w:val="0"/>
          <w:color w:val="auto"/>
          <w:sz w:val="21"/>
          <w:szCs w:val="21"/>
        </w:rPr>
      </w:pPr>
      <w:r>
        <w:rPr>
          <w:b w:val="0"/>
          <w:bCs w:val="0"/>
          <w:i w:val="0"/>
          <w:iCs w:val="0"/>
          <w:caps w:val="0"/>
          <w:color w:val="auto"/>
          <w:spacing w:val="0"/>
          <w:sz w:val="21"/>
          <w:szCs w:val="21"/>
          <w:shd w:val="clear" w:fill="FFFFFF"/>
          <w:vertAlign w:val="baseline"/>
        </w:rPr>
        <w:t>2.采购代理机构信息</w:t>
      </w:r>
    </w:p>
    <w:p w14:paraId="33D1C85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名称：陕西九升土木工程咨询有限公司</w:t>
      </w:r>
    </w:p>
    <w:p w14:paraId="6B3F7D5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地址：陕西省西安市未央区朱宏路立交桥东北角“西安农资”大楼第8层</w:t>
      </w:r>
    </w:p>
    <w:p w14:paraId="52C8DFD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联系方式：15319088407</w:t>
      </w:r>
    </w:p>
    <w:p w14:paraId="204755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1150" w:leftChars="200" w:right="0" w:hanging="730" w:hangingChars="348"/>
        <w:jc w:val="left"/>
        <w:textAlignment w:val="baseline"/>
        <w:rPr>
          <w:b w:val="0"/>
          <w:bCs w:val="0"/>
          <w:color w:val="auto"/>
          <w:sz w:val="21"/>
          <w:szCs w:val="21"/>
        </w:rPr>
      </w:pPr>
      <w:r>
        <w:rPr>
          <w:b w:val="0"/>
          <w:bCs w:val="0"/>
          <w:i w:val="0"/>
          <w:iCs w:val="0"/>
          <w:caps w:val="0"/>
          <w:color w:val="auto"/>
          <w:spacing w:val="0"/>
          <w:sz w:val="21"/>
          <w:szCs w:val="21"/>
          <w:shd w:val="clear" w:fill="FFFFFF"/>
          <w:vertAlign w:val="baseline"/>
        </w:rPr>
        <w:t>3.项目联系方式</w:t>
      </w:r>
    </w:p>
    <w:p w14:paraId="1B8E08A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项目联系人：冯晓燕</w:t>
      </w:r>
    </w:p>
    <w:p w14:paraId="3013B1E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80" w:lineRule="exact"/>
        <w:ind w:left="0" w:right="0" w:firstLine="480"/>
        <w:jc w:val="both"/>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电话：15319088407</w:t>
      </w:r>
    </w:p>
    <w:p w14:paraId="660E902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20" w:lineRule="exact"/>
        <w:ind w:left="0" w:right="0" w:firstLine="480"/>
        <w:jc w:val="right"/>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陕西九升土木工程咨询有限公司</w:t>
      </w:r>
    </w:p>
    <w:p w14:paraId="7FFAD44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20" w:lineRule="exact"/>
        <w:ind w:left="0" w:right="0" w:firstLine="480"/>
        <w:jc w:val="right"/>
        <w:textAlignment w:val="baseline"/>
        <w:rPr>
          <w:color w:val="auto"/>
          <w:sz w:val="21"/>
          <w:szCs w:val="21"/>
        </w:rPr>
      </w:pPr>
      <w:r>
        <w:rPr>
          <w:rFonts w:hint="eastAsia" w:ascii="微软雅黑" w:hAnsi="微软雅黑" w:eastAsia="微软雅黑" w:cs="微软雅黑"/>
          <w:i w:val="0"/>
          <w:iCs w:val="0"/>
          <w:caps w:val="0"/>
          <w:color w:val="auto"/>
          <w:spacing w:val="0"/>
          <w:sz w:val="21"/>
          <w:szCs w:val="21"/>
          <w:shd w:val="clear" w:fill="FFFFFF"/>
          <w:vertAlign w:val="baseline"/>
        </w:rPr>
        <w:t>2025年09月01日</w:t>
      </w:r>
    </w:p>
    <w:p w14:paraId="657F481D">
      <w:pPr>
        <w:pStyle w:val="3"/>
        <w:spacing w:line="360" w:lineRule="auto"/>
        <w:outlineLvl w:val="0"/>
        <w:rPr>
          <w:color w:val="auto"/>
          <w:highlight w:val="none"/>
        </w:rPr>
      </w:pPr>
      <w:r>
        <w:rPr>
          <w:rFonts w:hint="eastAsia"/>
          <w:b/>
          <w:bCs/>
          <w:color w:val="auto"/>
          <w:highlight w:val="none"/>
        </w:rPr>
        <w:t>第二部分  投标供应商须知</w:t>
      </w:r>
      <w:bookmarkEnd w:id="2"/>
      <w:bookmarkEnd w:id="3"/>
      <w:bookmarkEnd w:id="4"/>
      <w:bookmarkEnd w:id="5"/>
    </w:p>
    <w:p w14:paraId="6FEBA93E">
      <w:pPr>
        <w:pStyle w:val="5"/>
        <w:jc w:val="center"/>
        <w:rPr>
          <w:color w:val="auto"/>
          <w:szCs w:val="24"/>
          <w:highlight w:val="none"/>
          <w:u w:val="none"/>
        </w:rPr>
      </w:pPr>
      <w:bookmarkStart w:id="6" w:name="_Toc293040569"/>
      <w:bookmarkStart w:id="7" w:name="_Toc4683195"/>
      <w:bookmarkStart w:id="8" w:name="_Toc26752"/>
      <w:r>
        <w:rPr>
          <w:rFonts w:hint="eastAsia"/>
          <w:color w:val="auto"/>
          <w:szCs w:val="24"/>
          <w:highlight w:val="none"/>
          <w:u w:val="none"/>
        </w:rPr>
        <w:t>投标供应商须知前附表</w:t>
      </w:r>
      <w:bookmarkEnd w:id="6"/>
      <w:bookmarkEnd w:id="7"/>
      <w:bookmarkEnd w:id="8"/>
    </w:p>
    <w:tbl>
      <w:tblPr>
        <w:tblStyle w:val="24"/>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12"/>
        <w:gridCol w:w="6462"/>
      </w:tblGrid>
      <w:tr w14:paraId="2535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9" w:type="dxa"/>
            <w:vAlign w:val="center"/>
          </w:tcPr>
          <w:p w14:paraId="4DDC5FE9">
            <w:pPr>
              <w:spacing w:line="288"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12" w:type="dxa"/>
            <w:vAlign w:val="center"/>
          </w:tcPr>
          <w:p w14:paraId="4A732013">
            <w:pPr>
              <w:spacing w:line="288" w:lineRule="auto"/>
              <w:jc w:val="center"/>
              <w:rPr>
                <w:rFonts w:ascii="宋体" w:hAnsi="宋体"/>
                <w:b/>
                <w:color w:val="auto"/>
                <w:sz w:val="24"/>
                <w:highlight w:val="none"/>
              </w:rPr>
            </w:pPr>
            <w:r>
              <w:rPr>
                <w:rFonts w:hint="eastAsia" w:ascii="宋体" w:hAnsi="宋体"/>
                <w:b/>
                <w:color w:val="auto"/>
                <w:sz w:val="24"/>
                <w:highlight w:val="none"/>
              </w:rPr>
              <w:t>项 目 名 称</w:t>
            </w:r>
          </w:p>
        </w:tc>
        <w:tc>
          <w:tcPr>
            <w:tcW w:w="6462" w:type="dxa"/>
            <w:vAlign w:val="center"/>
          </w:tcPr>
          <w:p w14:paraId="0E70F597">
            <w:pPr>
              <w:spacing w:line="288" w:lineRule="auto"/>
              <w:jc w:val="center"/>
              <w:rPr>
                <w:rFonts w:ascii="宋体" w:hAnsi="宋体"/>
                <w:b/>
                <w:color w:val="auto"/>
                <w:sz w:val="24"/>
                <w:highlight w:val="none"/>
              </w:rPr>
            </w:pPr>
            <w:r>
              <w:rPr>
                <w:rFonts w:hint="eastAsia" w:ascii="宋体" w:hAnsi="宋体"/>
                <w:b/>
                <w:color w:val="auto"/>
                <w:sz w:val="24"/>
                <w:highlight w:val="none"/>
              </w:rPr>
              <w:t>编 列 内 容</w:t>
            </w:r>
          </w:p>
        </w:tc>
      </w:tr>
      <w:tr w14:paraId="74FC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19" w:type="dxa"/>
            <w:vAlign w:val="center"/>
          </w:tcPr>
          <w:p w14:paraId="5D1AC416">
            <w:pPr>
              <w:spacing w:line="288" w:lineRule="auto"/>
              <w:jc w:val="center"/>
              <w:rPr>
                <w:rFonts w:ascii="宋体" w:hAnsi="宋体"/>
                <w:color w:val="auto"/>
                <w:sz w:val="24"/>
                <w:highlight w:val="none"/>
              </w:rPr>
            </w:pPr>
            <w:r>
              <w:rPr>
                <w:rFonts w:hint="eastAsia" w:ascii="宋体" w:hAnsi="宋体"/>
                <w:color w:val="auto"/>
                <w:sz w:val="24"/>
                <w:highlight w:val="none"/>
              </w:rPr>
              <w:t>1.1.2</w:t>
            </w:r>
          </w:p>
        </w:tc>
        <w:tc>
          <w:tcPr>
            <w:tcW w:w="1712" w:type="dxa"/>
            <w:vAlign w:val="center"/>
          </w:tcPr>
          <w:p w14:paraId="0908FDD5">
            <w:pPr>
              <w:spacing w:line="288" w:lineRule="auto"/>
              <w:jc w:val="center"/>
              <w:rPr>
                <w:rFonts w:ascii="宋体" w:hAnsi="宋体"/>
                <w:color w:val="auto"/>
                <w:sz w:val="24"/>
                <w:highlight w:val="none"/>
              </w:rPr>
            </w:pPr>
            <w:r>
              <w:rPr>
                <w:rFonts w:hint="eastAsia" w:ascii="宋体" w:hAnsi="宋体"/>
                <w:color w:val="auto"/>
                <w:sz w:val="24"/>
                <w:highlight w:val="none"/>
              </w:rPr>
              <w:t>采购人</w:t>
            </w:r>
          </w:p>
        </w:tc>
        <w:tc>
          <w:tcPr>
            <w:tcW w:w="6462" w:type="dxa"/>
            <w:vAlign w:val="center"/>
          </w:tcPr>
          <w:p w14:paraId="3F29E33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咸阳高新技术产业开发区管理委员会</w:t>
            </w:r>
            <w:r>
              <w:rPr>
                <w:rFonts w:hint="eastAsia" w:ascii="宋体" w:hAnsi="宋体" w:eastAsia="宋体" w:cs="宋体"/>
                <w:color w:val="auto"/>
                <w:sz w:val="24"/>
                <w:szCs w:val="24"/>
                <w:highlight w:val="none"/>
              </w:rPr>
              <w:t>　</w:t>
            </w:r>
          </w:p>
          <w:p w14:paraId="408F0C89">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陕西省咸阳市高科三路创业大厦</w:t>
            </w:r>
          </w:p>
          <w:p w14:paraId="25D46122">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联系人：商翊晨</w:t>
            </w:r>
          </w:p>
          <w:p w14:paraId="7973AAA6">
            <w:pPr>
              <w:spacing w:line="240" w:lineRule="auto"/>
              <w:rPr>
                <w:rFonts w:ascii="宋体" w:hAnsi="宋体"/>
                <w:color w:val="auto"/>
                <w:sz w:val="24"/>
                <w:highlight w:val="none"/>
              </w:rPr>
            </w:pPr>
            <w:r>
              <w:rPr>
                <w:rFonts w:hint="eastAsia" w:ascii="宋体" w:hAnsi="宋体" w:eastAsia="宋体" w:cs="宋体"/>
                <w:color w:val="auto"/>
                <w:sz w:val="24"/>
                <w:szCs w:val="24"/>
                <w:highlight w:val="none"/>
                <w:lang w:eastAsia="zh-CN"/>
              </w:rPr>
              <w:t>电  话：029-34013231</w:t>
            </w:r>
            <w:r>
              <w:rPr>
                <w:rFonts w:hint="eastAsia" w:ascii="宋体" w:hAnsi="宋体"/>
                <w:color w:val="auto"/>
                <w:sz w:val="24"/>
                <w:highlight w:val="none"/>
              </w:rPr>
              <w:t xml:space="preserve">      </w:t>
            </w:r>
          </w:p>
        </w:tc>
      </w:tr>
      <w:tr w14:paraId="7A76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119" w:type="dxa"/>
            <w:vAlign w:val="center"/>
          </w:tcPr>
          <w:p w14:paraId="029794EC">
            <w:pPr>
              <w:spacing w:line="288" w:lineRule="auto"/>
              <w:jc w:val="center"/>
              <w:rPr>
                <w:rFonts w:ascii="宋体" w:hAnsi="宋体"/>
                <w:color w:val="auto"/>
                <w:sz w:val="24"/>
                <w:highlight w:val="none"/>
              </w:rPr>
            </w:pPr>
            <w:r>
              <w:rPr>
                <w:rFonts w:hint="eastAsia" w:ascii="宋体" w:hAnsi="宋体"/>
                <w:color w:val="auto"/>
                <w:sz w:val="24"/>
                <w:highlight w:val="none"/>
              </w:rPr>
              <w:t>1.1.3</w:t>
            </w:r>
          </w:p>
        </w:tc>
        <w:tc>
          <w:tcPr>
            <w:tcW w:w="1712" w:type="dxa"/>
            <w:vAlign w:val="center"/>
          </w:tcPr>
          <w:p w14:paraId="3B87C45E">
            <w:pPr>
              <w:spacing w:line="288" w:lineRule="auto"/>
              <w:jc w:val="center"/>
              <w:rPr>
                <w:rFonts w:ascii="宋体" w:hAnsi="宋体"/>
                <w:color w:val="auto"/>
                <w:sz w:val="24"/>
                <w:highlight w:val="none"/>
              </w:rPr>
            </w:pPr>
            <w:r>
              <w:rPr>
                <w:rFonts w:hint="eastAsia" w:ascii="宋体" w:hAnsi="宋体"/>
                <w:color w:val="auto"/>
                <w:sz w:val="24"/>
                <w:highlight w:val="none"/>
              </w:rPr>
              <w:t>采购代理机构</w:t>
            </w:r>
          </w:p>
        </w:tc>
        <w:tc>
          <w:tcPr>
            <w:tcW w:w="6462" w:type="dxa"/>
            <w:vAlign w:val="center"/>
          </w:tcPr>
          <w:p w14:paraId="44D4EBE4">
            <w:pPr>
              <w:spacing w:line="240" w:lineRule="auto"/>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招标代理机构：陕西九升土木工程咨询有限公司</w:t>
            </w:r>
          </w:p>
          <w:p w14:paraId="0FD091D8">
            <w:pPr>
              <w:spacing w:line="240" w:lineRule="auto"/>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 xml:space="preserve">地 址：陕西省西安市未央区朱宏路立交桥东北角“西安农资”大楼第8层  </w:t>
            </w:r>
          </w:p>
          <w:p w14:paraId="640BF3BC">
            <w:pPr>
              <w:spacing w:line="240" w:lineRule="auto"/>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联 系 人：冯晓燕</w:t>
            </w:r>
          </w:p>
          <w:p w14:paraId="6F46E294">
            <w:pPr>
              <w:spacing w:line="240" w:lineRule="auto"/>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电 话：15319088407</w:t>
            </w:r>
          </w:p>
          <w:p w14:paraId="243ADB2C">
            <w:pPr>
              <w:spacing w:line="240" w:lineRule="auto"/>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电子邮件：SXjstm123@163.com</w:t>
            </w:r>
          </w:p>
        </w:tc>
      </w:tr>
      <w:tr w14:paraId="7827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19" w:type="dxa"/>
            <w:vAlign w:val="center"/>
          </w:tcPr>
          <w:p w14:paraId="4D68AA7E">
            <w:pPr>
              <w:spacing w:line="288" w:lineRule="auto"/>
              <w:jc w:val="center"/>
              <w:rPr>
                <w:rFonts w:ascii="宋体" w:hAnsi="宋体"/>
                <w:color w:val="auto"/>
                <w:sz w:val="24"/>
                <w:highlight w:val="none"/>
              </w:rPr>
            </w:pPr>
            <w:r>
              <w:rPr>
                <w:rFonts w:hint="eastAsia" w:ascii="宋体" w:hAnsi="宋体"/>
                <w:color w:val="auto"/>
                <w:sz w:val="24"/>
                <w:highlight w:val="none"/>
              </w:rPr>
              <w:t>1.1.11</w:t>
            </w:r>
          </w:p>
        </w:tc>
        <w:tc>
          <w:tcPr>
            <w:tcW w:w="1712" w:type="dxa"/>
            <w:vAlign w:val="center"/>
          </w:tcPr>
          <w:p w14:paraId="66113B4F">
            <w:pPr>
              <w:spacing w:line="288" w:lineRule="auto"/>
              <w:jc w:val="center"/>
              <w:rPr>
                <w:rFonts w:ascii="宋体" w:hAnsi="宋体"/>
                <w:color w:val="auto"/>
                <w:sz w:val="24"/>
                <w:highlight w:val="none"/>
              </w:rPr>
            </w:pPr>
            <w:r>
              <w:rPr>
                <w:rFonts w:hint="eastAsia" w:ascii="宋体" w:hAnsi="宋体"/>
                <w:color w:val="auto"/>
                <w:sz w:val="24"/>
                <w:highlight w:val="none"/>
                <w:lang w:val="en-US" w:eastAsia="zh-CN"/>
              </w:rPr>
              <w:t>项目</w:t>
            </w:r>
            <w:r>
              <w:rPr>
                <w:rFonts w:hint="eastAsia" w:ascii="宋体" w:hAnsi="宋体"/>
                <w:color w:val="auto"/>
                <w:sz w:val="24"/>
                <w:highlight w:val="none"/>
              </w:rPr>
              <w:t>名称</w:t>
            </w:r>
          </w:p>
        </w:tc>
        <w:tc>
          <w:tcPr>
            <w:tcW w:w="6462" w:type="dxa"/>
            <w:vAlign w:val="center"/>
          </w:tcPr>
          <w:p w14:paraId="2974F146">
            <w:pPr>
              <w:spacing w:line="360" w:lineRule="auto"/>
              <w:rPr>
                <w:rFonts w:hint="default" w:ascii="宋体" w:hAnsi="宋体" w:eastAsia="宋体"/>
                <w:color w:val="auto"/>
                <w:kern w:val="0"/>
                <w:sz w:val="24"/>
                <w:highlight w:val="none"/>
                <w:lang w:val="en-US" w:eastAsia="zh-CN"/>
              </w:rPr>
            </w:pPr>
            <w:r>
              <w:rPr>
                <w:rFonts w:hint="default" w:ascii="宋体" w:hAnsi="宋体" w:eastAsia="宋体"/>
                <w:color w:val="auto"/>
                <w:kern w:val="0"/>
                <w:sz w:val="24"/>
                <w:highlight w:val="none"/>
                <w:lang w:val="en-US" w:eastAsia="zh-CN"/>
              </w:rPr>
              <w:t>高新区2025年广告发布、设计制作服务项目</w:t>
            </w:r>
            <w:r>
              <w:rPr>
                <w:rFonts w:hint="eastAsia" w:ascii="宋体" w:hAnsi="宋体"/>
                <w:color w:val="auto"/>
                <w:kern w:val="0"/>
                <w:sz w:val="24"/>
                <w:highlight w:val="none"/>
                <w:lang w:val="en-US" w:eastAsia="zh-CN"/>
              </w:rPr>
              <w:t>（二次）</w:t>
            </w:r>
          </w:p>
        </w:tc>
      </w:tr>
      <w:tr w14:paraId="05EC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19" w:type="dxa"/>
            <w:vAlign w:val="center"/>
          </w:tcPr>
          <w:p w14:paraId="79936273">
            <w:pPr>
              <w:spacing w:line="288" w:lineRule="auto"/>
              <w:jc w:val="center"/>
              <w:rPr>
                <w:rFonts w:ascii="宋体" w:hAnsi="宋体"/>
                <w:color w:val="auto"/>
                <w:sz w:val="24"/>
                <w:highlight w:val="none"/>
              </w:rPr>
            </w:pPr>
            <w:r>
              <w:rPr>
                <w:rFonts w:hint="eastAsia" w:ascii="宋体" w:hAnsi="宋体"/>
                <w:color w:val="auto"/>
                <w:sz w:val="24"/>
                <w:highlight w:val="none"/>
              </w:rPr>
              <w:t>1.1.12</w:t>
            </w:r>
          </w:p>
        </w:tc>
        <w:tc>
          <w:tcPr>
            <w:tcW w:w="1712" w:type="dxa"/>
            <w:vAlign w:val="center"/>
          </w:tcPr>
          <w:p w14:paraId="78C47FB3">
            <w:pPr>
              <w:spacing w:line="288" w:lineRule="auto"/>
              <w:jc w:val="center"/>
              <w:rPr>
                <w:rFonts w:ascii="宋体" w:hAnsi="宋体"/>
                <w:color w:val="auto"/>
                <w:sz w:val="24"/>
                <w:highlight w:val="none"/>
              </w:rPr>
            </w:pPr>
            <w:r>
              <w:rPr>
                <w:rFonts w:hint="eastAsia" w:ascii="宋体" w:hAnsi="宋体"/>
                <w:color w:val="auto"/>
                <w:sz w:val="24"/>
                <w:highlight w:val="none"/>
              </w:rPr>
              <w:t>项目地点</w:t>
            </w:r>
          </w:p>
        </w:tc>
        <w:tc>
          <w:tcPr>
            <w:tcW w:w="6462" w:type="dxa"/>
            <w:vAlign w:val="center"/>
          </w:tcPr>
          <w:p w14:paraId="45315354">
            <w:pPr>
              <w:spacing w:line="360" w:lineRule="auto"/>
              <w:rPr>
                <w:rFonts w:hint="default" w:ascii="宋体" w:hAnsi="宋体"/>
                <w:color w:val="auto"/>
                <w:sz w:val="24"/>
                <w:highlight w:val="none"/>
                <w:lang w:val="en-US"/>
              </w:rPr>
            </w:pPr>
            <w:r>
              <w:rPr>
                <w:rFonts w:hint="default" w:ascii="宋体" w:hAnsi="宋体" w:eastAsia="宋体"/>
                <w:color w:val="auto"/>
                <w:kern w:val="0"/>
                <w:sz w:val="24"/>
                <w:highlight w:val="none"/>
                <w:lang w:val="en-US" w:eastAsia="zh-CN"/>
              </w:rPr>
              <w:t>咸阳</w:t>
            </w:r>
            <w:r>
              <w:rPr>
                <w:rFonts w:hint="eastAsia" w:ascii="宋体" w:hAnsi="宋体"/>
                <w:color w:val="auto"/>
                <w:kern w:val="0"/>
                <w:sz w:val="24"/>
                <w:highlight w:val="none"/>
                <w:lang w:val="en-US" w:eastAsia="zh-CN"/>
              </w:rPr>
              <w:t>高新区</w:t>
            </w:r>
          </w:p>
        </w:tc>
      </w:tr>
      <w:tr w14:paraId="6FE1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Align w:val="center"/>
          </w:tcPr>
          <w:p w14:paraId="4B4F2585">
            <w:pPr>
              <w:spacing w:line="288" w:lineRule="auto"/>
              <w:jc w:val="center"/>
              <w:rPr>
                <w:rFonts w:hint="eastAsia" w:ascii="宋体" w:hAnsi="宋体"/>
                <w:color w:val="auto"/>
                <w:sz w:val="24"/>
                <w:highlight w:val="none"/>
              </w:rPr>
            </w:pPr>
            <w:r>
              <w:rPr>
                <w:rFonts w:hint="eastAsia" w:ascii="宋体" w:hAnsi="宋体"/>
                <w:color w:val="auto"/>
                <w:sz w:val="24"/>
                <w:highlight w:val="none"/>
              </w:rPr>
              <w:t>1.3</w:t>
            </w:r>
          </w:p>
        </w:tc>
        <w:tc>
          <w:tcPr>
            <w:tcW w:w="1712" w:type="dxa"/>
            <w:vAlign w:val="center"/>
          </w:tcPr>
          <w:p w14:paraId="7F7415CD">
            <w:pPr>
              <w:spacing w:line="288" w:lineRule="auto"/>
              <w:jc w:val="center"/>
              <w:rPr>
                <w:rFonts w:ascii="宋体" w:hAnsi="宋体"/>
                <w:color w:val="auto"/>
                <w:sz w:val="24"/>
                <w:highlight w:val="none"/>
              </w:rPr>
            </w:pPr>
            <w:r>
              <w:rPr>
                <w:rFonts w:hint="eastAsia" w:ascii="宋体" w:hAnsi="宋体"/>
                <w:color w:val="auto"/>
                <w:sz w:val="24"/>
                <w:highlight w:val="none"/>
              </w:rPr>
              <w:t>是否接受</w:t>
            </w:r>
          </w:p>
          <w:p w14:paraId="082425F2">
            <w:pPr>
              <w:spacing w:line="288" w:lineRule="auto"/>
              <w:jc w:val="center"/>
              <w:rPr>
                <w:rFonts w:hint="eastAsia" w:ascii="宋体" w:hAnsi="宋体"/>
                <w:color w:val="auto"/>
                <w:sz w:val="24"/>
                <w:highlight w:val="none"/>
              </w:rPr>
            </w:pPr>
            <w:r>
              <w:rPr>
                <w:rFonts w:hint="eastAsia" w:ascii="宋体" w:hAnsi="宋体"/>
                <w:color w:val="auto"/>
                <w:sz w:val="24"/>
                <w:highlight w:val="none"/>
              </w:rPr>
              <w:t>联合体投标</w:t>
            </w:r>
          </w:p>
        </w:tc>
        <w:tc>
          <w:tcPr>
            <w:tcW w:w="6462" w:type="dxa"/>
            <w:vAlign w:val="center"/>
          </w:tcPr>
          <w:p w14:paraId="35589E22">
            <w:pPr>
              <w:spacing w:line="360" w:lineRule="auto"/>
              <w:rPr>
                <w:rFonts w:hint="eastAsia" w:ascii="宋体" w:hAnsi="宋体"/>
                <w:color w:val="auto"/>
                <w:sz w:val="24"/>
                <w:highlight w:val="none"/>
              </w:rPr>
            </w:pPr>
            <w:r>
              <w:rPr>
                <w:rFonts w:hint="eastAsia" w:ascii="宋体" w:hAnsi="宋体"/>
                <w:color w:val="auto"/>
                <w:sz w:val="24"/>
                <w:highlight w:val="none"/>
              </w:rPr>
              <w:t>不接受</w:t>
            </w:r>
          </w:p>
        </w:tc>
      </w:tr>
      <w:tr w14:paraId="5D0B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19" w:type="dxa"/>
            <w:vAlign w:val="center"/>
          </w:tcPr>
          <w:p w14:paraId="2DDFBC3E">
            <w:pPr>
              <w:spacing w:line="288" w:lineRule="auto"/>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1.4</w:t>
            </w:r>
          </w:p>
        </w:tc>
        <w:tc>
          <w:tcPr>
            <w:tcW w:w="1712" w:type="dxa"/>
            <w:vAlign w:val="center"/>
          </w:tcPr>
          <w:p w14:paraId="6CA12A92">
            <w:pPr>
              <w:spacing w:line="288" w:lineRule="auto"/>
              <w:jc w:val="center"/>
              <w:rPr>
                <w:rFonts w:hint="eastAsia" w:ascii="宋体" w:hAnsi="宋体" w:eastAsia="宋体" w:cs="Times New Roman"/>
                <w:color w:val="auto"/>
                <w:kern w:val="0"/>
                <w:sz w:val="24"/>
                <w:highlight w:val="none"/>
                <w:lang w:val="en-US" w:eastAsia="zh-CN" w:bidi="ar-SA"/>
              </w:rPr>
            </w:pPr>
            <w:r>
              <w:rPr>
                <w:rFonts w:hint="eastAsia" w:ascii="宋体" w:hAnsi="宋体"/>
                <w:color w:val="auto"/>
                <w:kern w:val="0"/>
                <w:sz w:val="24"/>
                <w:highlight w:val="none"/>
              </w:rPr>
              <w:t>资金来源</w:t>
            </w:r>
          </w:p>
        </w:tc>
        <w:tc>
          <w:tcPr>
            <w:tcW w:w="6462" w:type="dxa"/>
            <w:vAlign w:val="center"/>
          </w:tcPr>
          <w:p w14:paraId="45BF7C5B">
            <w:pPr>
              <w:spacing w:line="288" w:lineRule="auto"/>
              <w:jc w:val="left"/>
              <w:rPr>
                <w:rFonts w:hint="eastAsia" w:ascii="宋体" w:hAnsi="宋体" w:eastAsia="宋体" w:cs="Times New Roman"/>
                <w:color w:val="auto"/>
                <w:kern w:val="0"/>
                <w:sz w:val="24"/>
                <w:highlight w:val="none"/>
                <w:lang w:val="en-US" w:eastAsia="zh-CN" w:bidi="ar-SA"/>
              </w:rPr>
            </w:pPr>
            <w:r>
              <w:rPr>
                <w:rFonts w:hint="eastAsia" w:ascii="宋体" w:hAnsi="宋体"/>
                <w:color w:val="auto"/>
                <w:kern w:val="0"/>
                <w:sz w:val="24"/>
                <w:highlight w:val="none"/>
              </w:rPr>
              <w:t>财政资金</w:t>
            </w:r>
          </w:p>
        </w:tc>
      </w:tr>
      <w:tr w14:paraId="4CB1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19" w:type="dxa"/>
            <w:vAlign w:val="center"/>
          </w:tcPr>
          <w:p w14:paraId="3FCCE705">
            <w:pPr>
              <w:spacing w:line="288" w:lineRule="auto"/>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1.5</w:t>
            </w:r>
          </w:p>
        </w:tc>
        <w:tc>
          <w:tcPr>
            <w:tcW w:w="1712" w:type="dxa"/>
            <w:vAlign w:val="center"/>
          </w:tcPr>
          <w:p w14:paraId="201BC75A">
            <w:pPr>
              <w:spacing w:line="288" w:lineRule="auto"/>
              <w:jc w:val="center"/>
              <w:rPr>
                <w:rFonts w:hint="eastAsia" w:ascii="宋体" w:hAnsi="宋体" w:eastAsia="宋体" w:cs="Times New Roman"/>
                <w:color w:val="auto"/>
                <w:kern w:val="0"/>
                <w:sz w:val="24"/>
                <w:highlight w:val="none"/>
                <w:lang w:val="en-US" w:eastAsia="zh-CN" w:bidi="ar-SA"/>
              </w:rPr>
            </w:pPr>
            <w:r>
              <w:rPr>
                <w:rFonts w:hint="eastAsia" w:ascii="宋体" w:hAnsi="宋体"/>
                <w:color w:val="auto"/>
                <w:kern w:val="0"/>
                <w:sz w:val="24"/>
                <w:highlight w:val="none"/>
              </w:rPr>
              <w:t>资金落实情况</w:t>
            </w:r>
          </w:p>
        </w:tc>
        <w:tc>
          <w:tcPr>
            <w:tcW w:w="6462" w:type="dxa"/>
            <w:vAlign w:val="center"/>
          </w:tcPr>
          <w:p w14:paraId="089F715D">
            <w:pPr>
              <w:spacing w:line="288" w:lineRule="auto"/>
              <w:jc w:val="left"/>
              <w:rPr>
                <w:rFonts w:hint="eastAsia" w:ascii="宋体" w:hAnsi="宋体" w:eastAsia="宋体" w:cs="Times New Roman"/>
                <w:color w:val="auto"/>
                <w:kern w:val="0"/>
                <w:sz w:val="24"/>
                <w:highlight w:val="none"/>
                <w:lang w:val="en-US" w:eastAsia="zh-CN" w:bidi="ar-SA"/>
              </w:rPr>
            </w:pPr>
            <w:r>
              <w:rPr>
                <w:rFonts w:hint="eastAsia" w:ascii="宋体" w:hAnsi="宋体"/>
                <w:color w:val="auto"/>
                <w:kern w:val="0"/>
                <w:sz w:val="24"/>
                <w:highlight w:val="none"/>
              </w:rPr>
              <w:t>资金已落实到位</w:t>
            </w:r>
          </w:p>
        </w:tc>
      </w:tr>
      <w:tr w14:paraId="24BE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19" w:type="dxa"/>
            <w:vAlign w:val="center"/>
          </w:tcPr>
          <w:p w14:paraId="41ADBCE0">
            <w:pPr>
              <w:spacing w:line="288" w:lineRule="auto"/>
              <w:jc w:val="center"/>
              <w:rPr>
                <w:rFonts w:ascii="宋体" w:hAnsi="宋体"/>
                <w:color w:val="auto"/>
                <w:sz w:val="24"/>
                <w:highlight w:val="none"/>
              </w:rPr>
            </w:pPr>
            <w:r>
              <w:rPr>
                <w:rFonts w:ascii="宋体" w:hAnsi="宋体"/>
                <w:color w:val="auto"/>
                <w:sz w:val="24"/>
                <w:highlight w:val="none"/>
              </w:rPr>
              <w:t>1.6</w:t>
            </w:r>
          </w:p>
        </w:tc>
        <w:tc>
          <w:tcPr>
            <w:tcW w:w="1712" w:type="dxa"/>
            <w:vAlign w:val="center"/>
          </w:tcPr>
          <w:p w14:paraId="28174219">
            <w:pPr>
              <w:spacing w:line="288" w:lineRule="auto"/>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最高限价</w:t>
            </w:r>
          </w:p>
        </w:tc>
        <w:tc>
          <w:tcPr>
            <w:tcW w:w="6462" w:type="dxa"/>
            <w:vAlign w:val="center"/>
          </w:tcPr>
          <w:p w14:paraId="6044F712">
            <w:pPr>
              <w:pStyle w:val="20"/>
              <w:spacing w:before="0" w:beforeAutospacing="0" w:after="0" w:afterAutospacing="0" w:line="46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3,084,500.00元</w:t>
            </w:r>
          </w:p>
        </w:tc>
      </w:tr>
      <w:tr w14:paraId="0D91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19" w:type="dxa"/>
            <w:vAlign w:val="center"/>
          </w:tcPr>
          <w:p w14:paraId="76930E65">
            <w:pPr>
              <w:spacing w:line="288" w:lineRule="auto"/>
              <w:jc w:val="center"/>
              <w:rPr>
                <w:rFonts w:ascii="宋体" w:hAnsi="宋体"/>
                <w:color w:val="auto"/>
                <w:kern w:val="0"/>
                <w:sz w:val="24"/>
                <w:highlight w:val="none"/>
              </w:rPr>
            </w:pPr>
            <w:r>
              <w:rPr>
                <w:rFonts w:hint="eastAsia" w:ascii="宋体" w:hAnsi="宋体"/>
                <w:color w:val="auto"/>
                <w:kern w:val="0"/>
                <w:sz w:val="24"/>
                <w:highlight w:val="none"/>
              </w:rPr>
              <w:t>1.7</w:t>
            </w:r>
          </w:p>
        </w:tc>
        <w:tc>
          <w:tcPr>
            <w:tcW w:w="1712" w:type="dxa"/>
            <w:vAlign w:val="center"/>
          </w:tcPr>
          <w:p w14:paraId="007A59BE">
            <w:pPr>
              <w:spacing w:line="288" w:lineRule="auto"/>
              <w:jc w:val="center"/>
              <w:rPr>
                <w:rFonts w:ascii="宋体" w:hAnsi="宋体"/>
                <w:color w:val="auto"/>
                <w:kern w:val="0"/>
                <w:sz w:val="24"/>
                <w:highlight w:val="none"/>
              </w:rPr>
            </w:pPr>
            <w:r>
              <w:rPr>
                <w:rFonts w:hint="eastAsia"/>
                <w:color w:val="auto"/>
                <w:sz w:val="24"/>
                <w:highlight w:val="none"/>
                <w:lang w:val="en-US" w:eastAsia="zh-CN"/>
              </w:rPr>
              <w:t>服务</w:t>
            </w:r>
            <w:r>
              <w:rPr>
                <w:rFonts w:hint="eastAsia"/>
                <w:color w:val="auto"/>
                <w:sz w:val="24"/>
                <w:highlight w:val="none"/>
              </w:rPr>
              <w:t>期</w:t>
            </w:r>
          </w:p>
        </w:tc>
        <w:tc>
          <w:tcPr>
            <w:tcW w:w="6462" w:type="dxa"/>
            <w:vAlign w:val="center"/>
          </w:tcPr>
          <w:p w14:paraId="0B8AF9ED">
            <w:pPr>
              <w:spacing w:line="500" w:lineRule="exact"/>
              <w:rPr>
                <w:rFonts w:hint="default" w:ascii="宋体" w:hAnsi="宋体" w:eastAsia="宋体" w:cs="宋体"/>
                <w:bCs/>
                <w:color w:val="auto"/>
                <w:sz w:val="24"/>
                <w:highlight w:val="none"/>
                <w:lang w:val="en-US" w:eastAsia="zh-CN"/>
              </w:rPr>
            </w:pPr>
            <w:r>
              <w:rPr>
                <w:rFonts w:hint="default" w:ascii="宋体" w:hAnsi="宋体" w:eastAsia="宋体" w:cs="宋体"/>
                <w:bCs/>
                <w:color w:val="auto"/>
                <w:sz w:val="24"/>
                <w:highlight w:val="none"/>
                <w:lang w:val="en-US" w:eastAsia="zh-CN"/>
              </w:rPr>
              <w:t>合同签订后</w:t>
            </w:r>
            <w:r>
              <w:rPr>
                <w:rFonts w:hint="eastAsia" w:ascii="宋体" w:hAnsi="宋体" w:cs="宋体"/>
                <w:bCs/>
                <w:color w:val="auto"/>
                <w:sz w:val="24"/>
                <w:highlight w:val="none"/>
                <w:lang w:val="en-US" w:eastAsia="zh-CN"/>
              </w:rPr>
              <w:t>365日</w:t>
            </w:r>
            <w:r>
              <w:rPr>
                <w:rFonts w:hint="default" w:ascii="宋体" w:hAnsi="宋体" w:eastAsia="宋体" w:cs="宋体"/>
                <w:bCs/>
                <w:color w:val="auto"/>
                <w:sz w:val="24"/>
                <w:highlight w:val="none"/>
                <w:lang w:val="en-US" w:eastAsia="zh-CN"/>
              </w:rPr>
              <w:t>历天</w:t>
            </w:r>
          </w:p>
        </w:tc>
      </w:tr>
      <w:tr w14:paraId="79F7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119" w:type="dxa"/>
            <w:vAlign w:val="center"/>
          </w:tcPr>
          <w:p w14:paraId="31FB0F3C">
            <w:pPr>
              <w:spacing w:line="288" w:lineRule="auto"/>
              <w:jc w:val="center"/>
              <w:rPr>
                <w:rFonts w:ascii="宋体" w:hAnsi="宋体"/>
                <w:color w:val="auto"/>
                <w:sz w:val="24"/>
                <w:highlight w:val="none"/>
              </w:rPr>
            </w:pPr>
            <w:r>
              <w:rPr>
                <w:rFonts w:hint="eastAsia" w:ascii="宋体" w:hAnsi="宋体"/>
                <w:color w:val="auto"/>
                <w:sz w:val="24"/>
                <w:highlight w:val="none"/>
              </w:rPr>
              <w:t>7.2</w:t>
            </w:r>
          </w:p>
        </w:tc>
        <w:tc>
          <w:tcPr>
            <w:tcW w:w="1712" w:type="dxa"/>
            <w:vAlign w:val="center"/>
          </w:tcPr>
          <w:p w14:paraId="38F6EC38">
            <w:pPr>
              <w:spacing w:line="288" w:lineRule="auto"/>
              <w:jc w:val="center"/>
              <w:rPr>
                <w:rFonts w:ascii="宋体" w:hAnsi="宋体"/>
                <w:color w:val="auto"/>
                <w:sz w:val="24"/>
                <w:highlight w:val="none"/>
              </w:rPr>
            </w:pPr>
            <w:r>
              <w:rPr>
                <w:rFonts w:hint="eastAsia" w:ascii="宋体" w:hAnsi="宋体"/>
                <w:color w:val="auto"/>
                <w:sz w:val="24"/>
                <w:highlight w:val="none"/>
              </w:rPr>
              <w:t>投标供应商资质条件</w:t>
            </w:r>
          </w:p>
        </w:tc>
        <w:tc>
          <w:tcPr>
            <w:tcW w:w="6462" w:type="dxa"/>
            <w:vAlign w:val="center"/>
          </w:tcPr>
          <w:p w14:paraId="27E6FDBB">
            <w:pPr>
              <w:spacing w:line="360" w:lineRule="auto"/>
              <w:rPr>
                <w:rFonts w:ascii="宋体" w:hAnsi="宋体" w:cs="宋体"/>
                <w:bCs/>
                <w:color w:val="auto"/>
                <w:sz w:val="24"/>
                <w:highlight w:val="none"/>
              </w:rPr>
            </w:pPr>
            <w:r>
              <w:rPr>
                <w:rFonts w:hint="eastAsia" w:ascii="宋体" w:hAnsi="宋体" w:cs="宋体"/>
                <w:bCs/>
                <w:color w:val="auto"/>
                <w:sz w:val="24"/>
                <w:highlight w:val="none"/>
              </w:rPr>
              <w:t>1.投标供应商具备《政府采购法》第二十二条规定之资格条件。须提供的证明材料有：</w:t>
            </w:r>
          </w:p>
          <w:p w14:paraId="5718FB29">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（1）具有独立承担民事责任能力的法人、其他组织或自然人，提供合法有效的统一社会信用代码营业执照（事业单位提供事业单位法人证书，自然人提供身份证明）；</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（2）法定代表人授权书（附法定代表人、被授权人身份证复印件）及被授权人身份证（法定代表人直接参加投标会议，须提供法定代表人身份证明及身份证原件及复印件加盖公章）；</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（3）财务状况报告：提供投标人2023年度经审计的财务报告或在开标日期前6个月内其基本开户银行出具的资信证明和开户行许可证或基本存款账户信息；</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4）税收缴纳证明：投标人提供近一年内已缴纳的至少一个月的纳税证明或完税证明（任意税种），纳税证明或完税证明上应有代收机构或税务机关的公章或业务专用章；（依法不需要缴纳税收的供应商应提供相关证明）；</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（5）社会保障资金缴纳证明：投标人提供近一年内已缴纳的至少一个月的社会保障资金缴存单据或社保机构开具的社会保险参保缴费情况证明，依法不需要缴纳社会保障资金的单位应提供相关证明材料；</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（6）投标人具备履行合同所必需的设备及专业技术能力的承诺；</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（7）参加本次投标前3年内，在经营活动中没有重大违法记录的书面声明；</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（8）法定代表人（负责人）为同一人或者存在直接控股、管理关系的不同投标人，不得同时参加本采购项目投标；</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（9）投标人应在“中国执行信息公开网”(http://zxgk.court.gov.cn/)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r>
              <w:rPr>
                <w:rFonts w:hint="eastAsia" w:ascii="宋体" w:hAnsi="宋体" w:cs="宋体"/>
                <w:bCs/>
                <w:color w:val="auto"/>
                <w:sz w:val="24"/>
                <w:highlight w:val="none"/>
                <w:lang w:val="en-US" w:eastAsia="zh-CN"/>
              </w:rPr>
              <w:br w:type="textWrapping"/>
            </w:r>
            <w:r>
              <w:rPr>
                <w:rFonts w:hint="eastAsia" w:ascii="宋体" w:hAnsi="宋体" w:cs="宋体"/>
                <w:bCs/>
                <w:color w:val="auto"/>
                <w:sz w:val="24"/>
                <w:highlight w:val="none"/>
                <w:lang w:val="en-US" w:eastAsia="zh-CN"/>
              </w:rPr>
              <w:t>（10）本项目专门面向中小企业。 </w:t>
            </w:r>
          </w:p>
          <w:p w14:paraId="4105824E">
            <w:pPr>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本项目不接受联合体投标。</w:t>
            </w:r>
          </w:p>
        </w:tc>
      </w:tr>
      <w:tr w14:paraId="1D61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19" w:type="dxa"/>
            <w:vAlign w:val="center"/>
          </w:tcPr>
          <w:p w14:paraId="0FD493A8">
            <w:pPr>
              <w:spacing w:line="288" w:lineRule="auto"/>
              <w:jc w:val="center"/>
              <w:rPr>
                <w:rFonts w:ascii="宋体" w:hAnsi="宋体"/>
                <w:color w:val="auto"/>
                <w:sz w:val="24"/>
                <w:highlight w:val="none"/>
              </w:rPr>
            </w:pPr>
            <w:r>
              <w:rPr>
                <w:rFonts w:hint="eastAsia" w:ascii="宋体" w:hAnsi="宋体"/>
                <w:color w:val="auto"/>
                <w:sz w:val="24"/>
                <w:highlight w:val="none"/>
              </w:rPr>
              <w:t>3.1</w:t>
            </w:r>
          </w:p>
        </w:tc>
        <w:tc>
          <w:tcPr>
            <w:tcW w:w="1712" w:type="dxa"/>
            <w:vAlign w:val="center"/>
          </w:tcPr>
          <w:p w14:paraId="316A8A04">
            <w:pPr>
              <w:spacing w:line="288" w:lineRule="auto"/>
              <w:jc w:val="center"/>
              <w:rPr>
                <w:rFonts w:ascii="宋体" w:hAnsi="宋体"/>
                <w:color w:val="auto"/>
                <w:sz w:val="24"/>
                <w:highlight w:val="none"/>
              </w:rPr>
            </w:pPr>
            <w:r>
              <w:rPr>
                <w:rFonts w:hint="eastAsia" w:ascii="宋体" w:hAnsi="宋体"/>
                <w:color w:val="auto"/>
                <w:sz w:val="24"/>
                <w:highlight w:val="none"/>
              </w:rPr>
              <w:t>构成招标文件的其他材料</w:t>
            </w:r>
          </w:p>
        </w:tc>
        <w:tc>
          <w:tcPr>
            <w:tcW w:w="6462" w:type="dxa"/>
            <w:vAlign w:val="center"/>
          </w:tcPr>
          <w:p w14:paraId="7E912C21">
            <w:pPr>
              <w:spacing w:line="360" w:lineRule="auto"/>
              <w:rPr>
                <w:rFonts w:ascii="宋体" w:hAnsi="宋体"/>
                <w:color w:val="auto"/>
                <w:sz w:val="24"/>
                <w:highlight w:val="none"/>
              </w:rPr>
            </w:pPr>
            <w:r>
              <w:rPr>
                <w:rFonts w:hint="eastAsia" w:ascii="宋体" w:hAnsi="宋体"/>
                <w:color w:val="auto"/>
                <w:sz w:val="24"/>
                <w:highlight w:val="none"/>
              </w:rPr>
              <w:t>招标答疑文件等相关材料</w:t>
            </w:r>
          </w:p>
        </w:tc>
      </w:tr>
      <w:tr w14:paraId="5BDD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9" w:type="dxa"/>
            <w:vAlign w:val="center"/>
          </w:tcPr>
          <w:p w14:paraId="10B80D8B">
            <w:pPr>
              <w:spacing w:line="288" w:lineRule="auto"/>
              <w:jc w:val="center"/>
              <w:rPr>
                <w:rFonts w:ascii="宋体" w:hAnsi="宋体"/>
                <w:color w:val="auto"/>
                <w:sz w:val="24"/>
                <w:highlight w:val="none"/>
              </w:rPr>
            </w:pPr>
            <w:r>
              <w:rPr>
                <w:rFonts w:hint="eastAsia" w:ascii="宋体" w:hAnsi="宋体"/>
                <w:color w:val="auto"/>
                <w:sz w:val="24"/>
                <w:highlight w:val="none"/>
              </w:rPr>
              <w:t>4.2</w:t>
            </w:r>
          </w:p>
        </w:tc>
        <w:tc>
          <w:tcPr>
            <w:tcW w:w="1712" w:type="dxa"/>
            <w:vAlign w:val="center"/>
          </w:tcPr>
          <w:p w14:paraId="00E94EAC">
            <w:pPr>
              <w:spacing w:line="288" w:lineRule="auto"/>
              <w:jc w:val="center"/>
              <w:rPr>
                <w:rFonts w:ascii="宋体" w:hAnsi="宋体"/>
                <w:color w:val="auto"/>
                <w:sz w:val="24"/>
                <w:highlight w:val="none"/>
              </w:rPr>
            </w:pPr>
            <w:r>
              <w:rPr>
                <w:rFonts w:hint="eastAsia" w:ascii="宋体" w:hAnsi="宋体"/>
                <w:color w:val="auto"/>
                <w:sz w:val="24"/>
                <w:highlight w:val="none"/>
              </w:rPr>
              <w:t>投标供应商要求澄清招标文件的截止时间</w:t>
            </w:r>
          </w:p>
        </w:tc>
        <w:tc>
          <w:tcPr>
            <w:tcW w:w="6462" w:type="dxa"/>
            <w:vAlign w:val="center"/>
          </w:tcPr>
          <w:p w14:paraId="0034852A">
            <w:pPr>
              <w:spacing w:line="360" w:lineRule="auto"/>
              <w:rPr>
                <w:rFonts w:ascii="宋体" w:hAnsi="宋体"/>
                <w:color w:val="auto"/>
                <w:sz w:val="24"/>
                <w:highlight w:val="none"/>
              </w:rPr>
            </w:pPr>
            <w:r>
              <w:rPr>
                <w:rFonts w:hint="eastAsia" w:ascii="宋体" w:hAnsi="宋体"/>
                <w:color w:val="auto"/>
                <w:sz w:val="24"/>
                <w:highlight w:val="none"/>
              </w:rPr>
              <w:t>投标截止时间15天前</w:t>
            </w:r>
          </w:p>
        </w:tc>
      </w:tr>
      <w:tr w14:paraId="5494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19" w:type="dxa"/>
            <w:vAlign w:val="center"/>
          </w:tcPr>
          <w:p w14:paraId="54ABE78D">
            <w:pPr>
              <w:spacing w:line="288" w:lineRule="auto"/>
              <w:jc w:val="center"/>
              <w:rPr>
                <w:rFonts w:ascii="宋体" w:hAnsi="宋体"/>
                <w:color w:val="auto"/>
                <w:sz w:val="24"/>
                <w:highlight w:val="none"/>
              </w:rPr>
            </w:pPr>
            <w:r>
              <w:rPr>
                <w:rFonts w:hint="eastAsia" w:ascii="宋体" w:hAnsi="宋体"/>
                <w:color w:val="auto"/>
                <w:sz w:val="24"/>
                <w:highlight w:val="none"/>
              </w:rPr>
              <w:t>4.1</w:t>
            </w:r>
          </w:p>
        </w:tc>
        <w:tc>
          <w:tcPr>
            <w:tcW w:w="1712" w:type="dxa"/>
            <w:vAlign w:val="center"/>
          </w:tcPr>
          <w:p w14:paraId="6CAA27AF">
            <w:pPr>
              <w:spacing w:line="288" w:lineRule="auto"/>
              <w:jc w:val="center"/>
              <w:rPr>
                <w:rFonts w:ascii="宋体" w:hAnsi="宋体"/>
                <w:color w:val="auto"/>
                <w:sz w:val="24"/>
                <w:highlight w:val="none"/>
              </w:rPr>
            </w:pPr>
            <w:r>
              <w:rPr>
                <w:rFonts w:hint="eastAsia" w:ascii="宋体" w:hAnsi="宋体"/>
                <w:color w:val="auto"/>
                <w:sz w:val="24"/>
                <w:highlight w:val="none"/>
              </w:rPr>
              <w:t>投标供应商确认收到招标文件澄清的时间</w:t>
            </w:r>
          </w:p>
        </w:tc>
        <w:tc>
          <w:tcPr>
            <w:tcW w:w="6462" w:type="dxa"/>
            <w:vAlign w:val="center"/>
          </w:tcPr>
          <w:p w14:paraId="6681AC38">
            <w:pPr>
              <w:spacing w:line="360" w:lineRule="auto"/>
              <w:rPr>
                <w:rFonts w:ascii="宋体" w:hAnsi="宋体"/>
                <w:color w:val="auto"/>
                <w:sz w:val="24"/>
                <w:highlight w:val="none"/>
              </w:rPr>
            </w:pPr>
            <w:r>
              <w:rPr>
                <w:rFonts w:hint="eastAsia" w:ascii="宋体" w:hAnsi="宋体"/>
                <w:color w:val="auto"/>
                <w:sz w:val="24"/>
                <w:highlight w:val="none"/>
              </w:rPr>
              <w:t>招标文件澄清发出后24小时以内</w:t>
            </w:r>
          </w:p>
        </w:tc>
      </w:tr>
      <w:tr w14:paraId="4B89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19" w:type="dxa"/>
            <w:vAlign w:val="center"/>
          </w:tcPr>
          <w:p w14:paraId="443DF026">
            <w:pPr>
              <w:spacing w:line="288" w:lineRule="auto"/>
              <w:jc w:val="center"/>
              <w:rPr>
                <w:rFonts w:ascii="宋体" w:hAnsi="宋体"/>
                <w:color w:val="auto"/>
                <w:sz w:val="24"/>
                <w:highlight w:val="none"/>
              </w:rPr>
            </w:pPr>
            <w:r>
              <w:rPr>
                <w:rFonts w:hint="eastAsia" w:ascii="宋体" w:hAnsi="宋体"/>
                <w:color w:val="auto"/>
                <w:sz w:val="24"/>
                <w:highlight w:val="none"/>
              </w:rPr>
              <w:t>4.2</w:t>
            </w:r>
          </w:p>
        </w:tc>
        <w:tc>
          <w:tcPr>
            <w:tcW w:w="1712" w:type="dxa"/>
            <w:vAlign w:val="center"/>
          </w:tcPr>
          <w:p w14:paraId="1B270EA8">
            <w:pPr>
              <w:spacing w:line="288" w:lineRule="auto"/>
              <w:jc w:val="center"/>
              <w:rPr>
                <w:rFonts w:ascii="宋体" w:hAnsi="宋体"/>
                <w:color w:val="auto"/>
                <w:sz w:val="24"/>
                <w:highlight w:val="none"/>
              </w:rPr>
            </w:pPr>
            <w:r>
              <w:rPr>
                <w:rFonts w:hint="eastAsia" w:ascii="宋体" w:hAnsi="宋体"/>
                <w:color w:val="auto"/>
                <w:sz w:val="24"/>
                <w:highlight w:val="none"/>
              </w:rPr>
              <w:t>投标供应商确认收到招标文件修改的时间</w:t>
            </w:r>
          </w:p>
        </w:tc>
        <w:tc>
          <w:tcPr>
            <w:tcW w:w="6462" w:type="dxa"/>
            <w:vAlign w:val="center"/>
          </w:tcPr>
          <w:p w14:paraId="1F5DD305">
            <w:pPr>
              <w:spacing w:line="360" w:lineRule="auto"/>
              <w:rPr>
                <w:rFonts w:ascii="宋体" w:hAnsi="宋体"/>
                <w:color w:val="auto"/>
                <w:sz w:val="24"/>
                <w:highlight w:val="none"/>
              </w:rPr>
            </w:pPr>
            <w:r>
              <w:rPr>
                <w:rFonts w:hint="eastAsia" w:ascii="宋体" w:hAnsi="宋体"/>
                <w:color w:val="auto"/>
                <w:sz w:val="24"/>
                <w:highlight w:val="none"/>
              </w:rPr>
              <w:t>招标文件修改发出后24小时以内</w:t>
            </w:r>
          </w:p>
        </w:tc>
      </w:tr>
      <w:tr w14:paraId="2795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19" w:type="dxa"/>
            <w:vAlign w:val="center"/>
          </w:tcPr>
          <w:p w14:paraId="5DF5657E">
            <w:pPr>
              <w:spacing w:line="288" w:lineRule="auto"/>
              <w:jc w:val="center"/>
              <w:rPr>
                <w:rFonts w:hint="eastAsia" w:ascii="宋体" w:hAnsi="宋体" w:eastAsia="宋体" w:cs="Times New Roman"/>
                <w:bCs/>
                <w:color w:val="auto"/>
                <w:kern w:val="2"/>
                <w:sz w:val="24"/>
                <w:highlight w:val="none"/>
                <w:lang w:val="en-US" w:eastAsia="zh-CN" w:bidi="ar-SA"/>
              </w:rPr>
            </w:pPr>
            <w:r>
              <w:rPr>
                <w:rFonts w:hint="eastAsia" w:ascii="宋体" w:hAnsi="宋体"/>
                <w:color w:val="auto"/>
                <w:sz w:val="24"/>
                <w:highlight w:val="none"/>
              </w:rPr>
              <w:t>9.1</w:t>
            </w:r>
          </w:p>
        </w:tc>
        <w:tc>
          <w:tcPr>
            <w:tcW w:w="1712" w:type="dxa"/>
            <w:vAlign w:val="center"/>
          </w:tcPr>
          <w:p w14:paraId="58FC36A2">
            <w:pPr>
              <w:spacing w:line="288" w:lineRule="auto"/>
              <w:jc w:val="center"/>
              <w:rPr>
                <w:rFonts w:hint="eastAsia" w:ascii="宋体" w:hAnsi="宋体" w:eastAsia="宋体" w:cs="Times New Roman"/>
                <w:bCs/>
                <w:color w:val="auto"/>
                <w:kern w:val="2"/>
                <w:sz w:val="24"/>
                <w:highlight w:val="none"/>
                <w:lang w:val="en-US" w:eastAsia="zh-CN" w:bidi="ar-SA"/>
              </w:rPr>
            </w:pPr>
            <w:r>
              <w:rPr>
                <w:rFonts w:hint="eastAsia" w:ascii="宋体" w:hAnsi="宋体"/>
                <w:bCs/>
                <w:color w:val="auto"/>
                <w:sz w:val="24"/>
                <w:highlight w:val="none"/>
              </w:rPr>
              <w:t>是否允许递交备选投标方案</w:t>
            </w:r>
          </w:p>
        </w:tc>
        <w:tc>
          <w:tcPr>
            <w:tcW w:w="6462" w:type="dxa"/>
            <w:vAlign w:val="center"/>
          </w:tcPr>
          <w:p w14:paraId="04862821">
            <w:pPr>
              <w:spacing w:line="360" w:lineRule="auto"/>
              <w:rPr>
                <w:rFonts w:hint="eastAsia" w:ascii="宋体" w:hAnsi="宋体" w:eastAsia="宋体" w:cs="Times New Roman"/>
                <w:bCs/>
                <w:color w:val="auto"/>
                <w:kern w:val="2"/>
                <w:sz w:val="24"/>
                <w:highlight w:val="none"/>
                <w:lang w:val="en-US" w:eastAsia="zh-CN" w:bidi="ar-SA"/>
              </w:rPr>
            </w:pPr>
            <w:r>
              <w:rPr>
                <w:rFonts w:hint="eastAsia" w:ascii="宋体" w:hAnsi="宋体"/>
                <w:bCs/>
                <w:color w:val="auto"/>
                <w:sz w:val="24"/>
                <w:highlight w:val="none"/>
              </w:rPr>
              <w:t>不允许</w:t>
            </w:r>
          </w:p>
        </w:tc>
      </w:tr>
      <w:tr w14:paraId="1556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19" w:type="dxa"/>
            <w:vAlign w:val="center"/>
          </w:tcPr>
          <w:p w14:paraId="5FAE1884">
            <w:pPr>
              <w:spacing w:line="288"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1712" w:type="dxa"/>
            <w:vAlign w:val="center"/>
          </w:tcPr>
          <w:p w14:paraId="236228BE">
            <w:pPr>
              <w:spacing w:line="360" w:lineRule="auto"/>
              <w:jc w:val="center"/>
              <w:rPr>
                <w:rFonts w:hint="eastAsia" w:ascii="宋体" w:hAnsi="宋体" w:eastAsia="宋体" w:cs="Times New Roman"/>
                <w:color w:val="auto"/>
                <w:kern w:val="2"/>
                <w:sz w:val="24"/>
                <w:highlight w:val="none"/>
                <w:lang w:val="en-US" w:eastAsia="zh-CN" w:bidi="ar-SA"/>
              </w:rPr>
            </w:pPr>
            <w:r>
              <w:rPr>
                <w:rFonts w:hint="eastAsia" w:ascii="宋体" w:hAnsi="宋体" w:cs="宋体"/>
                <w:color w:val="auto"/>
                <w:szCs w:val="21"/>
                <w:highlight w:val="none"/>
              </w:rPr>
              <w:t>报价要求</w:t>
            </w:r>
          </w:p>
        </w:tc>
        <w:tc>
          <w:tcPr>
            <w:tcW w:w="6462" w:type="dxa"/>
            <w:vAlign w:val="center"/>
          </w:tcPr>
          <w:p w14:paraId="66C9BCE9">
            <w:pPr>
              <w:spacing w:line="360" w:lineRule="auto"/>
              <w:rPr>
                <w:rFonts w:hint="default" w:eastAsia="宋体"/>
                <w:color w:val="auto"/>
                <w:highlight w:val="none"/>
                <w:lang w:val="en-US" w:eastAsia="zh-CN"/>
              </w:rPr>
            </w:pPr>
            <w:r>
              <w:rPr>
                <w:rFonts w:hint="default" w:eastAsia="宋体"/>
                <w:color w:val="auto"/>
                <w:highlight w:val="none"/>
                <w:lang w:val="en-US" w:eastAsia="zh-CN"/>
              </w:rPr>
              <w:t>（1）投标报价包含完成招标要求所列内容所需的全部费用。</w:t>
            </w:r>
          </w:p>
          <w:p w14:paraId="28FB0EB4">
            <w:pPr>
              <w:spacing w:line="360" w:lineRule="auto"/>
              <w:rPr>
                <w:rFonts w:hint="default" w:eastAsia="宋体"/>
                <w:color w:val="auto"/>
                <w:highlight w:val="none"/>
                <w:lang w:val="en-US" w:eastAsia="zh-CN"/>
              </w:rPr>
            </w:pPr>
            <w:r>
              <w:rPr>
                <w:rFonts w:hint="default" w:eastAsia="宋体"/>
                <w:color w:val="auto"/>
                <w:highlight w:val="none"/>
                <w:lang w:val="en-US" w:eastAsia="zh-CN"/>
              </w:rPr>
              <w:t>（2）投标供应商提供的报价应是招标文件所确定的招标范围内的全部工作内容的价格体现</w:t>
            </w:r>
            <w:r>
              <w:rPr>
                <w:rFonts w:hint="eastAsia" w:eastAsia="宋体"/>
                <w:color w:val="auto"/>
                <w:highlight w:val="none"/>
                <w:lang w:val="en-US" w:eastAsia="zh-CN"/>
              </w:rPr>
              <w:t>，最终按实际发生的量乘以单价结算</w:t>
            </w:r>
            <w:r>
              <w:rPr>
                <w:rFonts w:hint="default" w:eastAsia="宋体"/>
                <w:color w:val="auto"/>
                <w:highlight w:val="none"/>
                <w:lang w:val="en-US" w:eastAsia="zh-CN"/>
              </w:rPr>
              <w:t>。</w:t>
            </w:r>
          </w:p>
          <w:p w14:paraId="19C11309">
            <w:pPr>
              <w:spacing w:line="360" w:lineRule="auto"/>
              <w:rPr>
                <w:rFonts w:hint="default" w:eastAsia="宋体"/>
                <w:color w:val="auto"/>
                <w:highlight w:val="none"/>
                <w:lang w:val="en-US" w:eastAsia="zh-CN"/>
              </w:rPr>
            </w:pPr>
            <w:r>
              <w:rPr>
                <w:rFonts w:hint="default" w:eastAsia="宋体"/>
                <w:color w:val="auto"/>
                <w:highlight w:val="none"/>
                <w:lang w:val="en-US" w:eastAsia="zh-CN"/>
              </w:rPr>
              <w:t>（3）投标供应商应按照相关法律、法规及招标文件的要求，根据企业自身技术力量、企业管理水平、市场价格行情在不低于成本的基础上自主报价。</w:t>
            </w:r>
          </w:p>
          <w:p w14:paraId="24629A03">
            <w:pPr>
              <w:spacing w:line="360" w:lineRule="auto"/>
              <w:rPr>
                <w:rFonts w:hint="default" w:eastAsia="宋体"/>
                <w:color w:val="auto"/>
                <w:highlight w:val="none"/>
                <w:lang w:val="en-US" w:eastAsia="zh-CN"/>
              </w:rPr>
            </w:pPr>
            <w:r>
              <w:rPr>
                <w:rFonts w:hint="default" w:eastAsia="宋体"/>
                <w:color w:val="auto"/>
                <w:highlight w:val="none"/>
                <w:lang w:val="en-US" w:eastAsia="zh-CN"/>
              </w:rPr>
              <w:t>（4）招标文件要求投标供应商所报投标报价均包括完成本项目的全部费用以及投标供应商必须花费的其他费用，并全面考虑招标文件的所有风险和责任、义务等的全部费用。</w:t>
            </w:r>
          </w:p>
          <w:p w14:paraId="0285D30F">
            <w:pPr>
              <w:spacing w:line="360" w:lineRule="auto"/>
              <w:rPr>
                <w:rFonts w:hint="default" w:eastAsia="宋体"/>
                <w:b/>
                <w:bCs/>
                <w:color w:val="auto"/>
                <w:highlight w:val="none"/>
                <w:lang w:val="en-US" w:eastAsia="zh-CN"/>
              </w:rPr>
            </w:pPr>
            <w:r>
              <w:rPr>
                <w:rFonts w:hint="eastAsia"/>
                <w:b/>
                <w:bCs/>
                <w:color w:val="auto"/>
                <w:highlight w:val="none"/>
                <w:lang w:val="en-US" w:eastAsia="zh-CN"/>
              </w:rPr>
              <w:t>（5）</w:t>
            </w:r>
            <w:r>
              <w:rPr>
                <w:rFonts w:hint="eastAsia" w:eastAsia="宋体"/>
                <w:b/>
                <w:bCs/>
                <w:color w:val="auto"/>
                <w:highlight w:val="none"/>
                <w:lang w:val="en-US" w:eastAsia="zh-CN"/>
              </w:rPr>
              <w:t>最终按实际发生的量乘以单价结算</w:t>
            </w:r>
            <w:r>
              <w:rPr>
                <w:rFonts w:hint="default" w:eastAsia="宋体"/>
                <w:b/>
                <w:bCs/>
                <w:color w:val="auto"/>
                <w:highlight w:val="none"/>
                <w:lang w:val="en-US" w:eastAsia="zh-CN"/>
              </w:rPr>
              <w:t>。</w:t>
            </w:r>
          </w:p>
          <w:p w14:paraId="2DB12773">
            <w:pPr>
              <w:spacing w:line="360" w:lineRule="auto"/>
              <w:rPr>
                <w:rFonts w:hint="default" w:eastAsia="宋体"/>
                <w:color w:val="auto"/>
                <w:highlight w:val="none"/>
                <w:lang w:val="en-US" w:eastAsia="zh-CN"/>
              </w:rPr>
            </w:pPr>
            <w:r>
              <w:rPr>
                <w:rFonts w:hint="default" w:eastAsia="宋体"/>
                <w:color w:val="auto"/>
                <w:highlight w:val="none"/>
                <w:lang w:val="en-US" w:eastAsia="zh-CN"/>
              </w:rPr>
              <w:t>（</w:t>
            </w:r>
            <w:r>
              <w:rPr>
                <w:rFonts w:hint="eastAsia"/>
                <w:color w:val="auto"/>
                <w:highlight w:val="none"/>
                <w:lang w:val="en-US" w:eastAsia="zh-CN"/>
              </w:rPr>
              <w:t>6</w:t>
            </w:r>
            <w:r>
              <w:rPr>
                <w:rFonts w:hint="default" w:eastAsia="宋体"/>
                <w:color w:val="auto"/>
                <w:highlight w:val="none"/>
                <w:lang w:val="en-US" w:eastAsia="zh-CN"/>
              </w:rPr>
              <w:t>）凡国家法律法规和招标文件要求（或允许）及投标供应商认为需要进行报价的费用，若未能在投标报价中进行体现，则视为投标供应商已经将相关费用在投标报价中进行了综合考虑，招标过程中不对其做任何修正或调整，且在本项目费用支付时采购人也不做任何追加。</w:t>
            </w:r>
          </w:p>
        </w:tc>
      </w:tr>
      <w:tr w14:paraId="0D60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19" w:type="dxa"/>
            <w:vAlign w:val="center"/>
          </w:tcPr>
          <w:p w14:paraId="4501254E">
            <w:pPr>
              <w:spacing w:line="288" w:lineRule="auto"/>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11.1</w:t>
            </w:r>
          </w:p>
        </w:tc>
        <w:tc>
          <w:tcPr>
            <w:tcW w:w="1712" w:type="dxa"/>
            <w:vAlign w:val="center"/>
          </w:tcPr>
          <w:p w14:paraId="35DCECD9">
            <w:pPr>
              <w:spacing w:line="288" w:lineRule="auto"/>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投标保证金</w:t>
            </w:r>
          </w:p>
        </w:tc>
        <w:tc>
          <w:tcPr>
            <w:tcW w:w="6462" w:type="dxa"/>
            <w:vAlign w:val="center"/>
          </w:tcPr>
          <w:p w14:paraId="53C748F1">
            <w:pPr>
              <w:spacing w:line="360" w:lineRule="auto"/>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本项目免收投标保证金</w:t>
            </w:r>
          </w:p>
        </w:tc>
      </w:tr>
      <w:tr w14:paraId="7963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9" w:type="dxa"/>
            <w:vAlign w:val="center"/>
          </w:tcPr>
          <w:p w14:paraId="73783E4A">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12.2</w:t>
            </w:r>
          </w:p>
        </w:tc>
        <w:tc>
          <w:tcPr>
            <w:tcW w:w="1712" w:type="dxa"/>
            <w:vAlign w:val="center"/>
          </w:tcPr>
          <w:p w14:paraId="666F98F2">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签字或盖章要求</w:t>
            </w:r>
          </w:p>
        </w:tc>
        <w:tc>
          <w:tcPr>
            <w:tcW w:w="6462" w:type="dxa"/>
            <w:vAlign w:val="center"/>
          </w:tcPr>
          <w:p w14:paraId="05F8D3AA">
            <w:pPr>
              <w:shd w:val="clear"/>
              <w:spacing w:line="24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1、按投标文件格式中要求签字和盖章</w:t>
            </w:r>
          </w:p>
          <w:p w14:paraId="20698224">
            <w:pPr>
              <w:shd w:val="clear"/>
              <w:spacing w:line="240" w:lineRule="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2、证明资料复印件、扫描件加盖投标供应商公章</w:t>
            </w:r>
          </w:p>
          <w:p w14:paraId="1389598B">
            <w:pPr>
              <w:spacing w:line="240" w:lineRule="auto"/>
              <w:rPr>
                <w:rFonts w:ascii="宋体" w:hAnsi="宋体" w:eastAsia="宋体" w:cs="Times New Roman"/>
                <w:color w:val="auto"/>
                <w:kern w:val="2"/>
                <w:sz w:val="24"/>
                <w:highlight w:val="none"/>
                <w:lang w:val="en-US" w:eastAsia="zh-CN" w:bidi="ar-SA"/>
              </w:rPr>
            </w:pPr>
            <w:r>
              <w:rPr>
                <w:rFonts w:hint="eastAsia" w:ascii="Times New Roman" w:hAnsi="Times New Roman" w:eastAsia="宋体" w:cs="Times New Roman"/>
                <w:color w:val="auto"/>
                <w:sz w:val="24"/>
                <w:highlight w:val="none"/>
                <w:lang w:val="en-US" w:eastAsia="zh-CN"/>
              </w:rPr>
              <w:t>3、相关网站查询证明截图加盖投标供应商公章</w:t>
            </w:r>
          </w:p>
        </w:tc>
      </w:tr>
      <w:tr w14:paraId="730F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9" w:type="dxa"/>
            <w:vAlign w:val="center"/>
          </w:tcPr>
          <w:p w14:paraId="65F61569">
            <w:pPr>
              <w:spacing w:line="288"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12.3</w:t>
            </w:r>
          </w:p>
        </w:tc>
        <w:tc>
          <w:tcPr>
            <w:tcW w:w="1712" w:type="dxa"/>
            <w:vAlign w:val="center"/>
          </w:tcPr>
          <w:p w14:paraId="4E6B70CC">
            <w:pPr>
              <w:spacing w:line="288" w:lineRule="auto"/>
              <w:jc w:val="center"/>
              <w:rPr>
                <w:rFonts w:hint="eastAsia" w:ascii="宋体" w:hAnsi="宋体"/>
                <w:color w:val="auto"/>
                <w:sz w:val="24"/>
                <w:highlight w:val="none"/>
              </w:rPr>
            </w:pPr>
            <w:r>
              <w:rPr>
                <w:rFonts w:hint="eastAsia" w:ascii="宋体" w:hAnsi="宋体"/>
                <w:color w:val="auto"/>
                <w:sz w:val="24"/>
                <w:highlight w:val="none"/>
                <w:lang w:eastAsia="zh-CN"/>
              </w:rPr>
              <w:t>投标文件</w:t>
            </w:r>
            <w:r>
              <w:rPr>
                <w:rFonts w:hint="eastAsia" w:ascii="宋体" w:hAnsi="宋体"/>
                <w:color w:val="auto"/>
                <w:sz w:val="24"/>
                <w:highlight w:val="none"/>
              </w:rPr>
              <w:t>份数</w:t>
            </w:r>
          </w:p>
        </w:tc>
        <w:tc>
          <w:tcPr>
            <w:tcW w:w="6462" w:type="dxa"/>
            <w:vAlign w:val="center"/>
          </w:tcPr>
          <w:p w14:paraId="6C7B63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正本壹</w:t>
            </w:r>
            <w:r>
              <w:rPr>
                <w:rFonts w:hint="eastAsia" w:ascii="宋体" w:hAnsi="宋体"/>
                <w:color w:val="auto"/>
                <w:sz w:val="24"/>
                <w:highlight w:val="none"/>
                <w:lang w:eastAsia="zh-CN"/>
              </w:rPr>
              <w:t>份，</w:t>
            </w:r>
            <w:r>
              <w:rPr>
                <w:rFonts w:hint="eastAsia" w:ascii="宋体" w:hAnsi="宋体"/>
                <w:color w:val="auto"/>
                <w:sz w:val="24"/>
                <w:highlight w:val="none"/>
                <w:lang w:val="en-US" w:eastAsia="zh-CN"/>
              </w:rPr>
              <w:t>副本贰份</w:t>
            </w:r>
          </w:p>
          <w:p w14:paraId="4B00E8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rPr>
            </w:pPr>
            <w:r>
              <w:rPr>
                <w:rFonts w:hint="eastAsia" w:ascii="宋体" w:hAnsi="宋体"/>
                <w:color w:val="auto"/>
                <w:sz w:val="24"/>
                <w:highlight w:val="none"/>
                <w:lang w:eastAsia="zh-CN"/>
              </w:rPr>
              <w:t>电子版文件：</w:t>
            </w:r>
            <w:r>
              <w:rPr>
                <w:rFonts w:hint="eastAsia" w:ascii="宋体" w:hAnsi="宋体"/>
                <w:color w:val="auto"/>
                <w:sz w:val="24"/>
                <w:highlight w:val="none"/>
                <w:lang w:val="en-US" w:eastAsia="zh-CN"/>
              </w:rPr>
              <w:t>贰</w:t>
            </w:r>
            <w:r>
              <w:rPr>
                <w:rFonts w:hint="eastAsia" w:ascii="宋体" w:hAnsi="宋体"/>
                <w:color w:val="auto"/>
                <w:sz w:val="24"/>
                <w:highlight w:val="none"/>
                <w:lang w:eastAsia="zh-CN"/>
              </w:rPr>
              <w:t>份电子版（注：包含两</w:t>
            </w:r>
            <w:r>
              <w:rPr>
                <w:rFonts w:hint="eastAsia" w:ascii="宋体" w:hAnsi="宋体"/>
                <w:color w:val="auto"/>
                <w:sz w:val="24"/>
                <w:highlight w:val="none"/>
                <w:lang w:val="en-US" w:eastAsia="zh-CN"/>
              </w:rPr>
              <w:t>份U盘</w:t>
            </w:r>
            <w:r>
              <w:rPr>
                <w:rFonts w:hint="eastAsia" w:ascii="宋体" w:hAnsi="宋体"/>
                <w:color w:val="auto"/>
                <w:sz w:val="24"/>
                <w:highlight w:val="none"/>
                <w:lang w:eastAsia="zh-CN"/>
              </w:rPr>
              <w:t>）</w:t>
            </w:r>
          </w:p>
        </w:tc>
      </w:tr>
      <w:tr w14:paraId="127B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9" w:type="dxa"/>
            <w:vAlign w:val="center"/>
          </w:tcPr>
          <w:p w14:paraId="47A6B446">
            <w:pPr>
              <w:spacing w:line="288"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12.4</w:t>
            </w:r>
          </w:p>
        </w:tc>
        <w:tc>
          <w:tcPr>
            <w:tcW w:w="1712" w:type="dxa"/>
            <w:vAlign w:val="center"/>
          </w:tcPr>
          <w:p w14:paraId="1CA69596">
            <w:pPr>
              <w:spacing w:line="288"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封套上应载明的信息</w:t>
            </w:r>
          </w:p>
        </w:tc>
        <w:tc>
          <w:tcPr>
            <w:tcW w:w="6462" w:type="dxa"/>
            <w:vAlign w:val="center"/>
          </w:tcPr>
          <w:p w14:paraId="5013AC3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 xml:space="preserve">采购人名称：                       </w:t>
            </w:r>
          </w:p>
          <w:p w14:paraId="42349AD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供应商名称：     （名称加盖公章及法定代表人章或签字）</w:t>
            </w:r>
          </w:p>
          <w:p w14:paraId="5378DF5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 xml:space="preserve">（投标文件）                                     </w:t>
            </w:r>
          </w:p>
          <w:p w14:paraId="247BAB1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项目</w:t>
            </w:r>
            <w:r>
              <w:rPr>
                <w:rFonts w:hint="eastAsia" w:ascii="宋体" w:hAnsi="宋体"/>
                <w:color w:val="auto"/>
                <w:sz w:val="24"/>
                <w:highlight w:val="none"/>
                <w:lang w:eastAsia="zh-CN"/>
              </w:rPr>
              <w:t>名称）投标文件在     年   月   日   时   分前不得开启</w:t>
            </w:r>
          </w:p>
          <w:p w14:paraId="361500F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注：封口处均应加盖公章及法人章或粘贴加盖公章及法人章的密封条。</w:t>
            </w:r>
          </w:p>
        </w:tc>
      </w:tr>
      <w:tr w14:paraId="39DF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9" w:type="dxa"/>
            <w:vAlign w:val="center"/>
          </w:tcPr>
          <w:p w14:paraId="6F447621">
            <w:pPr>
              <w:spacing w:line="288"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12.5</w:t>
            </w:r>
          </w:p>
        </w:tc>
        <w:tc>
          <w:tcPr>
            <w:tcW w:w="1712" w:type="dxa"/>
            <w:vAlign w:val="center"/>
          </w:tcPr>
          <w:p w14:paraId="4628E2FF">
            <w:pPr>
              <w:spacing w:line="288"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投标文件密封</w:t>
            </w:r>
          </w:p>
        </w:tc>
        <w:tc>
          <w:tcPr>
            <w:tcW w:w="6462" w:type="dxa"/>
            <w:vAlign w:val="center"/>
          </w:tcPr>
          <w:p w14:paraId="2F2DAA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（1）投标文件正本封在一个标袋内；</w:t>
            </w:r>
          </w:p>
          <w:p w14:paraId="58699C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）投标文件</w:t>
            </w:r>
            <w:r>
              <w:rPr>
                <w:rFonts w:hint="eastAsia" w:ascii="宋体" w:hAnsi="宋体" w:eastAsia="宋体" w:cs="Times New Roman"/>
                <w:color w:val="auto"/>
                <w:sz w:val="24"/>
                <w:highlight w:val="none"/>
                <w:lang w:val="en-US" w:eastAsia="zh-CN"/>
              </w:rPr>
              <w:t>所有</w:t>
            </w:r>
            <w:r>
              <w:rPr>
                <w:rFonts w:hint="eastAsia" w:ascii="宋体" w:hAnsi="宋体" w:eastAsia="宋体" w:cs="Times New Roman"/>
                <w:color w:val="auto"/>
                <w:sz w:val="24"/>
                <w:highlight w:val="none"/>
                <w:lang w:eastAsia="zh-CN"/>
              </w:rPr>
              <w:t>副本封在一个标袋内；</w:t>
            </w:r>
          </w:p>
          <w:p w14:paraId="07EB2D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lang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）电子</w:t>
            </w:r>
            <w:r>
              <w:rPr>
                <w:rFonts w:hint="eastAsia" w:ascii="宋体" w:hAnsi="宋体" w:eastAsia="宋体" w:cs="Times New Roman"/>
                <w:color w:val="auto"/>
                <w:sz w:val="24"/>
                <w:highlight w:val="none"/>
                <w:lang w:val="en-US" w:eastAsia="zh-CN"/>
              </w:rPr>
              <w:t>版U盘</w:t>
            </w:r>
            <w:r>
              <w:rPr>
                <w:rFonts w:hint="eastAsia" w:ascii="宋体" w:hAnsi="宋体" w:eastAsia="宋体" w:cs="Times New Roman"/>
                <w:color w:val="auto"/>
                <w:sz w:val="24"/>
                <w:highlight w:val="none"/>
                <w:lang w:eastAsia="zh-CN"/>
              </w:rPr>
              <w:t>封入正本标袋内；</w:t>
            </w:r>
          </w:p>
        </w:tc>
      </w:tr>
      <w:tr w14:paraId="4D9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19" w:type="dxa"/>
            <w:vAlign w:val="center"/>
          </w:tcPr>
          <w:p w14:paraId="795951D4">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bCs/>
                <w:color w:val="auto"/>
                <w:sz w:val="24"/>
                <w:highlight w:val="none"/>
              </w:rPr>
              <w:t>12.6</w:t>
            </w:r>
          </w:p>
        </w:tc>
        <w:tc>
          <w:tcPr>
            <w:tcW w:w="1712" w:type="dxa"/>
            <w:vAlign w:val="center"/>
          </w:tcPr>
          <w:p w14:paraId="5923103C">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投标有效期</w:t>
            </w:r>
          </w:p>
        </w:tc>
        <w:tc>
          <w:tcPr>
            <w:tcW w:w="6462" w:type="dxa"/>
            <w:vAlign w:val="center"/>
          </w:tcPr>
          <w:p w14:paraId="4DADA1EC">
            <w:pPr>
              <w:spacing w:line="360" w:lineRule="auto"/>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90日历天（从投标截止之日算起）</w:t>
            </w:r>
          </w:p>
        </w:tc>
      </w:tr>
      <w:tr w14:paraId="614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19" w:type="dxa"/>
            <w:vAlign w:val="center"/>
          </w:tcPr>
          <w:p w14:paraId="1FD32377">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13</w:t>
            </w:r>
          </w:p>
        </w:tc>
        <w:tc>
          <w:tcPr>
            <w:tcW w:w="1712" w:type="dxa"/>
            <w:vAlign w:val="center"/>
          </w:tcPr>
          <w:p w14:paraId="6BBC42F9">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递交投标文件地点</w:t>
            </w:r>
          </w:p>
        </w:tc>
        <w:tc>
          <w:tcPr>
            <w:tcW w:w="6462" w:type="dxa"/>
            <w:vAlign w:val="center"/>
          </w:tcPr>
          <w:p w14:paraId="098C1CA0">
            <w:pPr>
              <w:spacing w:line="360" w:lineRule="auto"/>
              <w:rPr>
                <w:rFonts w:hint="default" w:ascii="宋体" w:hAnsi="宋体" w:eastAsia="宋体" w:cs="Times New Roman"/>
                <w:color w:val="auto"/>
                <w:kern w:val="2"/>
                <w:sz w:val="24"/>
                <w:highlight w:val="none"/>
                <w:lang w:val="en-US" w:eastAsia="zh-CN" w:bidi="ar-SA"/>
              </w:rPr>
            </w:pPr>
            <w:r>
              <w:rPr>
                <w:rFonts w:hint="default" w:ascii="宋体" w:hAnsi="宋体" w:eastAsia="宋体" w:cs="Times New Roman"/>
                <w:color w:val="auto"/>
                <w:kern w:val="2"/>
                <w:sz w:val="24"/>
                <w:highlight w:val="none"/>
                <w:lang w:val="en-US" w:eastAsia="zh-CN" w:bidi="ar-SA"/>
              </w:rPr>
              <w:t>咸阳市秦都区玉泉西路217号咸阳郎格安酒店8楼会议室</w:t>
            </w:r>
          </w:p>
        </w:tc>
      </w:tr>
      <w:tr w14:paraId="1C5E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9" w:type="dxa"/>
            <w:vAlign w:val="center"/>
          </w:tcPr>
          <w:p w14:paraId="3367E803">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13.1</w:t>
            </w:r>
          </w:p>
        </w:tc>
        <w:tc>
          <w:tcPr>
            <w:tcW w:w="1712" w:type="dxa"/>
            <w:vAlign w:val="center"/>
          </w:tcPr>
          <w:p w14:paraId="4C3A7050">
            <w:pPr>
              <w:spacing w:line="288" w:lineRule="auto"/>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构成投标文件的其他材料</w:t>
            </w:r>
          </w:p>
        </w:tc>
        <w:tc>
          <w:tcPr>
            <w:tcW w:w="6462" w:type="dxa"/>
            <w:vAlign w:val="center"/>
          </w:tcPr>
          <w:p w14:paraId="5C6566DE">
            <w:pPr>
              <w:spacing w:line="360" w:lineRule="auto"/>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投标供应商按照招标文件的要求认为有利于投标的材料</w:t>
            </w:r>
          </w:p>
        </w:tc>
      </w:tr>
      <w:tr w14:paraId="5EFE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19" w:type="dxa"/>
            <w:vAlign w:val="center"/>
          </w:tcPr>
          <w:p w14:paraId="3A8BC033">
            <w:pPr>
              <w:spacing w:line="288" w:lineRule="auto"/>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14.1</w:t>
            </w:r>
          </w:p>
        </w:tc>
        <w:tc>
          <w:tcPr>
            <w:tcW w:w="1712" w:type="dxa"/>
            <w:vAlign w:val="center"/>
          </w:tcPr>
          <w:p w14:paraId="0217FE1B">
            <w:pPr>
              <w:spacing w:line="288" w:lineRule="auto"/>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投标截止时间</w:t>
            </w:r>
          </w:p>
        </w:tc>
        <w:tc>
          <w:tcPr>
            <w:tcW w:w="6462" w:type="dxa"/>
            <w:vAlign w:val="center"/>
          </w:tcPr>
          <w:p w14:paraId="016433C8">
            <w:pPr>
              <w:spacing w:line="360" w:lineRule="auto"/>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09</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22 </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15</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 xml:space="preserve"> </w:t>
            </w:r>
            <w:r>
              <w:rPr>
                <w:rFonts w:hint="eastAsia" w:ascii="宋体" w:hAnsi="宋体"/>
                <w:color w:val="auto"/>
                <w:sz w:val="24"/>
                <w:highlight w:val="none"/>
              </w:rPr>
              <w:t>分</w:t>
            </w:r>
          </w:p>
        </w:tc>
      </w:tr>
      <w:tr w14:paraId="69BC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119" w:type="dxa"/>
            <w:vAlign w:val="center"/>
          </w:tcPr>
          <w:p w14:paraId="18E4C969">
            <w:pPr>
              <w:spacing w:line="288" w:lineRule="auto"/>
              <w:jc w:val="center"/>
              <w:rPr>
                <w:rFonts w:ascii="宋体" w:hAnsi="宋体"/>
                <w:color w:val="auto"/>
                <w:sz w:val="24"/>
                <w:highlight w:val="none"/>
              </w:rPr>
            </w:pPr>
            <w:r>
              <w:rPr>
                <w:rFonts w:hint="eastAsia" w:ascii="宋体" w:hAnsi="宋体"/>
                <w:color w:val="auto"/>
                <w:sz w:val="24"/>
                <w:highlight w:val="none"/>
              </w:rPr>
              <w:t>16.1</w:t>
            </w:r>
          </w:p>
        </w:tc>
        <w:tc>
          <w:tcPr>
            <w:tcW w:w="1712" w:type="dxa"/>
            <w:vAlign w:val="center"/>
          </w:tcPr>
          <w:p w14:paraId="5BF78C96">
            <w:pPr>
              <w:spacing w:line="288"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rPr>
              <w:t>开标时间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地点</w:t>
            </w:r>
          </w:p>
        </w:tc>
        <w:tc>
          <w:tcPr>
            <w:tcW w:w="6462" w:type="dxa"/>
            <w:vAlign w:val="center"/>
          </w:tcPr>
          <w:p w14:paraId="7C02112F">
            <w:pPr>
              <w:spacing w:line="360" w:lineRule="auto"/>
              <w:rPr>
                <w:rFonts w:hint="eastAsia" w:ascii="宋体" w:hAnsi="宋体"/>
                <w:color w:val="auto"/>
                <w:sz w:val="24"/>
                <w:highlight w:val="none"/>
              </w:rPr>
            </w:pP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09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22 </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15</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 xml:space="preserve"> </w:t>
            </w:r>
            <w:r>
              <w:rPr>
                <w:rFonts w:hint="eastAsia" w:ascii="宋体" w:hAnsi="宋体"/>
                <w:color w:val="auto"/>
                <w:sz w:val="24"/>
                <w:highlight w:val="none"/>
              </w:rPr>
              <w:t>分</w:t>
            </w:r>
          </w:p>
          <w:p w14:paraId="2CB8822A">
            <w:pPr>
              <w:pStyle w:val="22"/>
              <w:ind w:left="0" w:leftChars="0" w:firstLine="0" w:firstLineChars="0"/>
              <w:jc w:val="both"/>
              <w:rPr>
                <w:rFonts w:hint="eastAsia" w:eastAsia="宋体"/>
                <w:color w:val="auto"/>
                <w:highlight w:val="none"/>
                <w:lang w:val="en-US" w:eastAsia="zh-CN"/>
              </w:rPr>
            </w:pPr>
            <w:r>
              <w:rPr>
                <w:rFonts w:hint="eastAsia"/>
                <w:color w:val="auto"/>
                <w:highlight w:val="none"/>
                <w:lang w:val="en-US" w:eastAsia="zh-CN"/>
              </w:rPr>
              <w:t>地点：</w:t>
            </w:r>
            <w:r>
              <w:rPr>
                <w:rFonts w:hint="default" w:ascii="宋体" w:hAnsi="宋体" w:eastAsia="宋体" w:cs="Times New Roman"/>
                <w:color w:val="auto"/>
                <w:kern w:val="2"/>
                <w:sz w:val="24"/>
                <w:highlight w:val="none"/>
                <w:lang w:val="en-US" w:eastAsia="zh-CN" w:bidi="ar-SA"/>
              </w:rPr>
              <w:t>咸阳市秦都区玉泉西路217号咸阳郎格安酒店8楼会议室</w:t>
            </w:r>
          </w:p>
        </w:tc>
      </w:tr>
      <w:tr w14:paraId="5857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19" w:type="dxa"/>
            <w:vAlign w:val="center"/>
          </w:tcPr>
          <w:p w14:paraId="256A300E">
            <w:pPr>
              <w:spacing w:line="288"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16.2</w:t>
            </w:r>
          </w:p>
        </w:tc>
        <w:tc>
          <w:tcPr>
            <w:tcW w:w="1712" w:type="dxa"/>
            <w:vAlign w:val="center"/>
          </w:tcPr>
          <w:p w14:paraId="4B93E96C">
            <w:pPr>
              <w:spacing w:line="288"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开标所携带</w:t>
            </w:r>
          </w:p>
          <w:p w14:paraId="46A0FF90">
            <w:pPr>
              <w:spacing w:line="288" w:lineRule="auto"/>
              <w:jc w:val="center"/>
              <w:rPr>
                <w:rFonts w:hint="eastAsia" w:ascii="宋体" w:hAnsi="宋体"/>
                <w:color w:val="auto"/>
                <w:sz w:val="24"/>
                <w:highlight w:val="none"/>
              </w:rPr>
            </w:pPr>
            <w:r>
              <w:rPr>
                <w:rFonts w:hint="eastAsia" w:ascii="宋体" w:hAnsi="宋体"/>
                <w:color w:val="auto"/>
                <w:sz w:val="24"/>
                <w:highlight w:val="none"/>
                <w:lang w:val="en-US" w:eastAsia="zh-CN"/>
              </w:rPr>
              <w:t>的原件</w:t>
            </w:r>
          </w:p>
        </w:tc>
        <w:tc>
          <w:tcPr>
            <w:tcW w:w="6462" w:type="dxa"/>
            <w:vAlign w:val="center"/>
          </w:tcPr>
          <w:p w14:paraId="0C083F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1、授权代表出席开标会议：须携带授权委托书（附法定代表人、被授权人身份证复印件）、被授权人身份证原件及加盖公章的复印件。</w:t>
            </w:r>
          </w:p>
          <w:p w14:paraId="43291A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u w:val="single"/>
              </w:rPr>
            </w:pPr>
            <w:r>
              <w:rPr>
                <w:rFonts w:hint="eastAsia" w:ascii="宋体" w:hAnsi="宋体"/>
                <w:color w:val="auto"/>
                <w:sz w:val="24"/>
                <w:highlight w:val="none"/>
                <w:u w:val="none"/>
                <w:lang w:val="en-US" w:eastAsia="zh-CN"/>
              </w:rPr>
              <w:t>2、法定代表人直接参加投标会议，须提供法定代表人身份证明及身份证原件</w:t>
            </w:r>
          </w:p>
        </w:tc>
      </w:tr>
      <w:tr w14:paraId="33AB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1119" w:type="dxa"/>
            <w:vAlign w:val="center"/>
          </w:tcPr>
          <w:p w14:paraId="0E05ED06">
            <w:pPr>
              <w:spacing w:line="288"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16.3</w:t>
            </w:r>
          </w:p>
        </w:tc>
        <w:tc>
          <w:tcPr>
            <w:tcW w:w="1712" w:type="dxa"/>
            <w:vAlign w:val="center"/>
          </w:tcPr>
          <w:p w14:paraId="598C2592">
            <w:pPr>
              <w:spacing w:line="288" w:lineRule="auto"/>
              <w:jc w:val="center"/>
              <w:rPr>
                <w:rFonts w:ascii="宋体" w:hAnsi="宋体"/>
                <w:color w:val="auto"/>
                <w:sz w:val="24"/>
                <w:highlight w:val="none"/>
              </w:rPr>
            </w:pPr>
            <w:r>
              <w:rPr>
                <w:rFonts w:hint="eastAsia" w:ascii="宋体" w:hAnsi="宋体"/>
                <w:color w:val="auto"/>
                <w:sz w:val="24"/>
                <w:highlight w:val="none"/>
              </w:rPr>
              <w:t>需要补充的</w:t>
            </w:r>
          </w:p>
          <w:p w14:paraId="2BA960F7">
            <w:pPr>
              <w:spacing w:line="288" w:lineRule="auto"/>
              <w:jc w:val="center"/>
              <w:rPr>
                <w:rFonts w:ascii="宋体" w:hAnsi="宋体"/>
                <w:b/>
                <w:color w:val="auto"/>
                <w:sz w:val="24"/>
                <w:highlight w:val="none"/>
              </w:rPr>
            </w:pPr>
            <w:r>
              <w:rPr>
                <w:rFonts w:hint="eastAsia" w:ascii="宋体" w:hAnsi="宋体"/>
                <w:color w:val="auto"/>
                <w:sz w:val="24"/>
                <w:highlight w:val="none"/>
              </w:rPr>
              <w:t>其他内容</w:t>
            </w:r>
          </w:p>
        </w:tc>
        <w:tc>
          <w:tcPr>
            <w:tcW w:w="6462" w:type="dxa"/>
            <w:vAlign w:val="center"/>
          </w:tcPr>
          <w:p w14:paraId="3DED169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 w:val="24"/>
                <w:highlight w:val="none"/>
              </w:rPr>
            </w:pPr>
            <w:r>
              <w:rPr>
                <w:rFonts w:hint="eastAsia" w:ascii="宋体" w:hAnsi="宋体"/>
                <w:color w:val="auto"/>
                <w:sz w:val="24"/>
                <w:highlight w:val="none"/>
                <w:lang w:val="en-US" w:eastAsia="zh-CN"/>
              </w:rPr>
              <w:t>招标代理报酬为：以中标价为基数，按照《招标代理服务收费管理暂行办法》（国家发改委计价格[2002]1980号）文件、《国家发展改革委关于降低部分建设项目收费标准规范收费行为等有关问题的通知》（发改价格[2011]534号）文件规定下浮50%收取，成交供应商</w:t>
            </w:r>
            <w:r>
              <w:rPr>
                <w:rFonts w:hint="eastAsia" w:ascii="宋体" w:hAnsi="宋体"/>
                <w:color w:val="auto"/>
                <w:sz w:val="24"/>
                <w:highlight w:val="none"/>
              </w:rPr>
              <w:t>在领取</w:t>
            </w:r>
            <w:r>
              <w:rPr>
                <w:rFonts w:hint="eastAsia" w:ascii="宋体" w:hAnsi="宋体"/>
                <w:color w:val="auto"/>
                <w:sz w:val="24"/>
                <w:highlight w:val="none"/>
                <w:lang w:val="en-US" w:eastAsia="zh-CN"/>
              </w:rPr>
              <w:t>成交</w:t>
            </w:r>
            <w:r>
              <w:rPr>
                <w:rFonts w:hint="eastAsia" w:ascii="宋体" w:hAnsi="宋体"/>
                <w:color w:val="auto"/>
                <w:sz w:val="24"/>
                <w:highlight w:val="none"/>
              </w:rPr>
              <w:t>通知书前，须向采购代理机构一次性支付招标代理服务费。</w:t>
            </w:r>
          </w:p>
        </w:tc>
      </w:tr>
    </w:tbl>
    <w:p w14:paraId="5658FBBB">
      <w:pPr>
        <w:pStyle w:val="22"/>
        <w:rPr>
          <w:rFonts w:hint="eastAsia"/>
          <w:color w:val="auto"/>
          <w:szCs w:val="24"/>
          <w:highlight w:val="none"/>
        </w:rPr>
      </w:pPr>
      <w:bookmarkStart w:id="9" w:name="_Toc237342987"/>
      <w:bookmarkStart w:id="10" w:name="_Toc23116"/>
    </w:p>
    <w:p w14:paraId="34B49A15">
      <w:pPr>
        <w:pStyle w:val="4"/>
        <w:spacing w:line="400" w:lineRule="exact"/>
        <w:rPr>
          <w:rFonts w:hint="eastAsia"/>
          <w:color w:val="auto"/>
          <w:szCs w:val="24"/>
          <w:highlight w:val="none"/>
        </w:rPr>
      </w:pPr>
    </w:p>
    <w:p w14:paraId="02297C70">
      <w:pPr>
        <w:pStyle w:val="4"/>
        <w:spacing w:line="400" w:lineRule="exact"/>
        <w:rPr>
          <w:rFonts w:hint="eastAsia"/>
          <w:color w:val="auto"/>
          <w:szCs w:val="24"/>
          <w:highlight w:val="none"/>
        </w:rPr>
      </w:pPr>
    </w:p>
    <w:p w14:paraId="7216A373">
      <w:pPr>
        <w:pStyle w:val="4"/>
        <w:spacing w:line="400" w:lineRule="exact"/>
        <w:rPr>
          <w:rFonts w:hint="eastAsia"/>
          <w:color w:val="auto"/>
          <w:szCs w:val="24"/>
          <w:highlight w:val="none"/>
        </w:rPr>
      </w:pPr>
    </w:p>
    <w:p w14:paraId="00D1231A">
      <w:pPr>
        <w:pStyle w:val="4"/>
        <w:spacing w:line="400" w:lineRule="exact"/>
        <w:jc w:val="both"/>
        <w:rPr>
          <w:rFonts w:hint="eastAsia"/>
          <w:color w:val="auto"/>
          <w:szCs w:val="24"/>
          <w:highlight w:val="none"/>
        </w:rPr>
      </w:pPr>
    </w:p>
    <w:p w14:paraId="460B4C62">
      <w:pPr>
        <w:pStyle w:val="4"/>
        <w:spacing w:line="400" w:lineRule="exact"/>
        <w:rPr>
          <w:color w:val="auto"/>
          <w:szCs w:val="24"/>
          <w:highlight w:val="none"/>
        </w:rPr>
      </w:pPr>
      <w:r>
        <w:rPr>
          <w:rFonts w:hint="eastAsia"/>
          <w:color w:val="auto"/>
          <w:szCs w:val="24"/>
          <w:highlight w:val="none"/>
        </w:rPr>
        <w:t>A、</w:t>
      </w:r>
      <w:bookmarkEnd w:id="9"/>
      <w:r>
        <w:rPr>
          <w:rFonts w:hint="eastAsia"/>
          <w:color w:val="auto"/>
          <w:szCs w:val="24"/>
          <w:highlight w:val="none"/>
        </w:rPr>
        <w:t>总 则</w:t>
      </w:r>
      <w:bookmarkEnd w:id="10"/>
    </w:p>
    <w:p w14:paraId="602D13F8">
      <w:pPr>
        <w:pStyle w:val="8"/>
        <w:ind w:firstLine="0" w:firstLineChars="0"/>
        <w:rPr>
          <w:rFonts w:ascii="宋体" w:hAnsi="宋体"/>
          <w:color w:val="auto"/>
          <w:highlight w:val="none"/>
        </w:rPr>
      </w:pPr>
      <w:r>
        <w:rPr>
          <w:rFonts w:hint="eastAsia" w:ascii="宋体" w:hAnsi="宋体"/>
          <w:b/>
          <w:color w:val="auto"/>
          <w:sz w:val="24"/>
          <w:highlight w:val="none"/>
        </w:rPr>
        <w:t>1.说明</w:t>
      </w:r>
    </w:p>
    <w:p w14:paraId="59C52CE2">
      <w:pPr>
        <w:spacing w:line="360" w:lineRule="auto"/>
        <w:ind w:firstLine="480" w:firstLineChars="200"/>
        <w:rPr>
          <w:rFonts w:ascii="宋体" w:hAnsi="宋体"/>
          <w:color w:val="auto"/>
          <w:sz w:val="24"/>
          <w:highlight w:val="none"/>
        </w:rPr>
      </w:pPr>
      <w:bookmarkStart w:id="11" w:name="_Toc259085151"/>
      <w:bookmarkStart w:id="12" w:name="_Toc266693177"/>
      <w:r>
        <w:rPr>
          <w:rFonts w:hint="eastAsia" w:ascii="宋体" w:hAnsi="宋体"/>
          <w:color w:val="auto"/>
          <w:sz w:val="24"/>
          <w:highlight w:val="none"/>
        </w:rPr>
        <w:t>1.1 招标文件涉及术语的内涵及解释</w:t>
      </w:r>
      <w:bookmarkEnd w:id="11"/>
      <w:bookmarkEnd w:id="12"/>
    </w:p>
    <w:p w14:paraId="1B35F6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 “招标当事人”是指在招标活动中享有权利和承担义务的各类主体，包括采购人、投标供应商和采购代理机构等。</w:t>
      </w:r>
    </w:p>
    <w:p w14:paraId="7288C99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1.1.2 “采购人”是</w:t>
      </w:r>
      <w:r>
        <w:rPr>
          <w:rFonts w:ascii="宋体" w:hAnsi="宋体"/>
          <w:color w:val="auto"/>
          <w:sz w:val="24"/>
          <w:highlight w:val="none"/>
        </w:rPr>
        <w:t>指</w:t>
      </w:r>
      <w:r>
        <w:rPr>
          <w:rFonts w:hint="eastAsia" w:ascii="宋体" w:hAnsi="宋体"/>
          <w:color w:val="auto"/>
          <w:sz w:val="24"/>
          <w:highlight w:val="none"/>
        </w:rPr>
        <w:t>：</w:t>
      </w:r>
      <w:r>
        <w:rPr>
          <w:rFonts w:hint="eastAsia" w:ascii="宋体" w:hAnsi="宋体" w:eastAsia="宋体" w:cs="宋体"/>
          <w:color w:val="auto"/>
          <w:sz w:val="24"/>
          <w:szCs w:val="24"/>
          <w:highlight w:val="none"/>
          <w:lang w:eastAsia="zh-CN"/>
        </w:rPr>
        <w:t>咸阳高新技术产业开发区管理委员会</w:t>
      </w:r>
    </w:p>
    <w:p w14:paraId="6C2752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 “采购代理机构”是指：</w:t>
      </w:r>
      <w:r>
        <w:rPr>
          <w:rFonts w:hint="eastAsia" w:ascii="宋体" w:hAnsi="宋体"/>
          <w:color w:val="auto"/>
          <w:sz w:val="24"/>
          <w:highlight w:val="none"/>
          <w:lang w:val="en-US" w:eastAsia="zh-CN"/>
        </w:rPr>
        <w:t xml:space="preserve">陕西九升土木工程咨询有限公司 </w:t>
      </w:r>
    </w:p>
    <w:p w14:paraId="6419D5B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1.1.4 “投标供应商”是指：符合本招标条件，自愿欲向采购人提供货物、工程或者服务的法人、其他组织或者自然人。</w:t>
      </w:r>
    </w:p>
    <w:p w14:paraId="119D672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1.1.5 “招标文件”是指：由采购人发出的文本、文件，包括全部章节和附件及答疑会议纪要。</w:t>
      </w:r>
    </w:p>
    <w:p w14:paraId="3469259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1.1.6 “投标文件”是指：投标供应商根据本招标文件向采购人提交的全部文件。</w:t>
      </w:r>
    </w:p>
    <w:p w14:paraId="27913C3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1.1.7 “货物”是指：投标供应商中标后根据招标文件和合同的规定须向采购人提供的各种形态和种类的物品，包括原材料、设备等。</w:t>
      </w:r>
    </w:p>
    <w:p w14:paraId="79EC249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1.1.8 “安装”是指：投标供应商中标后按招标文件和合同的规定在项目现场所进行的安装、调试、检验、验收及修补缺陷等内容。中标人应对所有现场作业、所有全部安装的完备性、稳定性和安全性负责。</w:t>
      </w:r>
    </w:p>
    <w:p w14:paraId="00E1811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1.1.9 “服务”是指</w:t>
      </w:r>
      <w:r>
        <w:rPr>
          <w:rFonts w:hint="eastAsia" w:ascii="宋体" w:hAnsi="宋体"/>
          <w:color w:val="auto"/>
          <w:sz w:val="24"/>
          <w:highlight w:val="none"/>
          <w:lang w:eastAsia="zh-CN"/>
        </w:rPr>
        <w:t>：</w:t>
      </w:r>
      <w:r>
        <w:rPr>
          <w:rFonts w:hint="eastAsia" w:ascii="宋体" w:hAnsi="宋体"/>
          <w:color w:val="auto"/>
          <w:sz w:val="24"/>
          <w:highlight w:val="none"/>
        </w:rPr>
        <w:t>投标供应商中标后根据招标文件和合同的规定承担与供货、安装有关的服务，包括运输、仓储、保险以及其它的伴随服务，如售后、维修、更换、培训和应承担的其它义务。</w:t>
      </w:r>
    </w:p>
    <w:p w14:paraId="2EFA84E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1.1.10 “书面形式”是指：任何手写、打印或印刷的各种函件，不包括电传、电报、电子邮件。</w:t>
      </w:r>
    </w:p>
    <w:p w14:paraId="21BFEC05">
      <w:pPr>
        <w:spacing w:line="360" w:lineRule="auto"/>
        <w:ind w:firstLine="480" w:firstLineChars="200"/>
        <w:rPr>
          <w:rFonts w:hint="eastAsia" w:ascii="宋体" w:hAnsi="宋体" w:eastAsia="宋体" w:cs="宋体"/>
          <w:bCs/>
          <w:color w:val="auto"/>
          <w:sz w:val="24"/>
          <w:highlight w:val="none"/>
          <w:lang w:eastAsia="zh-CN"/>
        </w:rPr>
      </w:pPr>
      <w:r>
        <w:rPr>
          <w:rFonts w:ascii="宋体" w:hAnsi="宋体"/>
          <w:color w:val="auto"/>
          <w:sz w:val="24"/>
          <w:highlight w:val="none"/>
        </w:rPr>
        <w:t>1.1.11</w:t>
      </w:r>
      <w:r>
        <w:rPr>
          <w:rFonts w:hint="eastAsia" w:ascii="宋体" w:hAnsi="宋体"/>
          <w:color w:val="auto"/>
          <w:sz w:val="24"/>
          <w:highlight w:val="none"/>
        </w:rPr>
        <w:t>项目名称见供应商须知前附表</w:t>
      </w:r>
      <w:r>
        <w:rPr>
          <w:rFonts w:hint="eastAsia" w:ascii="宋体" w:hAnsi="宋体"/>
          <w:color w:val="auto"/>
          <w:sz w:val="24"/>
          <w:highlight w:val="none"/>
          <w:lang w:eastAsia="zh-CN"/>
        </w:rPr>
        <w:t>。</w:t>
      </w:r>
    </w:p>
    <w:p w14:paraId="6E2F904F">
      <w:pPr>
        <w:pStyle w:val="6"/>
        <w:ind w:firstLine="480" w:firstLineChars="200"/>
        <w:rPr>
          <w:rFonts w:hint="eastAsia" w:eastAsia="宋体"/>
          <w:color w:val="auto"/>
          <w:highlight w:val="none"/>
          <w:lang w:eastAsia="zh-CN"/>
        </w:rPr>
      </w:pPr>
      <w:r>
        <w:rPr>
          <w:rFonts w:ascii="宋体" w:hAnsi="宋体"/>
          <w:color w:val="auto"/>
          <w:sz w:val="24"/>
          <w:highlight w:val="none"/>
          <w:u w:val="none"/>
        </w:rPr>
        <w:t>1.1.</w:t>
      </w:r>
      <w:r>
        <w:rPr>
          <w:rFonts w:hint="eastAsia" w:ascii="宋体" w:hAnsi="宋体"/>
          <w:color w:val="auto"/>
          <w:sz w:val="24"/>
          <w:highlight w:val="none"/>
          <w:u w:val="none"/>
        </w:rPr>
        <w:t>1</w:t>
      </w:r>
      <w:r>
        <w:rPr>
          <w:rFonts w:ascii="宋体" w:hAnsi="宋体"/>
          <w:color w:val="auto"/>
          <w:sz w:val="24"/>
          <w:highlight w:val="none"/>
          <w:u w:val="none"/>
        </w:rPr>
        <w:t>2</w:t>
      </w:r>
      <w:r>
        <w:rPr>
          <w:rFonts w:hint="eastAsia" w:ascii="宋体" w:hAnsi="宋体"/>
          <w:color w:val="auto"/>
          <w:sz w:val="24"/>
          <w:highlight w:val="none"/>
          <w:u w:val="none"/>
        </w:rPr>
        <w:t>项目地点见供应商须知前附表</w:t>
      </w:r>
      <w:r>
        <w:rPr>
          <w:rStyle w:val="34"/>
          <w:rFonts w:hint="eastAsia"/>
          <w:color w:val="auto"/>
          <w:highlight w:val="none"/>
          <w:u w:val="none"/>
          <w:lang w:eastAsia="zh-CN"/>
        </w:rPr>
        <w:t>。</w:t>
      </w:r>
    </w:p>
    <w:p w14:paraId="00941C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1.2投标供应商，如投标供应商代表不是法定代表人，须随投标文件提供《法定代表人授权委托书》(统一格式)。</w:t>
      </w:r>
    </w:p>
    <w:p w14:paraId="5C2AEC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本项目不接受联合体投标。</w:t>
      </w:r>
    </w:p>
    <w:p w14:paraId="0A818342">
      <w:pPr>
        <w:spacing w:line="360" w:lineRule="auto"/>
        <w:ind w:firstLine="480" w:firstLineChars="200"/>
        <w:rPr>
          <w:rFonts w:ascii="宋体" w:hAnsi="宋体"/>
          <w:color w:val="auto"/>
          <w:sz w:val="24"/>
          <w:highlight w:val="none"/>
        </w:rPr>
      </w:pPr>
      <w:r>
        <w:rPr>
          <w:rFonts w:ascii="宋体" w:hAnsi="宋体"/>
          <w:color w:val="auto"/>
          <w:sz w:val="24"/>
          <w:highlight w:val="none"/>
        </w:rPr>
        <w:t>1.4</w:t>
      </w:r>
      <w:r>
        <w:rPr>
          <w:rFonts w:hint="eastAsia" w:ascii="宋体" w:hAnsi="宋体"/>
          <w:color w:val="auto"/>
          <w:sz w:val="24"/>
          <w:highlight w:val="none"/>
        </w:rPr>
        <w:t>“资金来源”本项目资金来源为财政资金。</w:t>
      </w:r>
    </w:p>
    <w:p w14:paraId="2E158499">
      <w:pPr>
        <w:spacing w:line="360" w:lineRule="auto"/>
        <w:ind w:firstLine="480" w:firstLineChars="200"/>
        <w:rPr>
          <w:rFonts w:ascii="宋体" w:hAnsi="宋体"/>
          <w:color w:val="auto"/>
          <w:sz w:val="24"/>
          <w:highlight w:val="none"/>
        </w:rPr>
      </w:pPr>
      <w:r>
        <w:rPr>
          <w:rFonts w:ascii="宋体" w:hAnsi="宋体"/>
          <w:color w:val="auto"/>
          <w:sz w:val="24"/>
          <w:highlight w:val="none"/>
        </w:rPr>
        <w:t>1.5</w:t>
      </w:r>
      <w:r>
        <w:rPr>
          <w:rFonts w:hint="eastAsia" w:ascii="宋体" w:hAnsi="宋体"/>
          <w:color w:val="auto"/>
          <w:sz w:val="24"/>
          <w:highlight w:val="none"/>
        </w:rPr>
        <w:t>本项目资金已落实。</w:t>
      </w:r>
    </w:p>
    <w:p w14:paraId="0B488CA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hint="eastAsia" w:ascii="宋体" w:hAnsi="宋体"/>
          <w:color w:val="auto"/>
          <w:sz w:val="24"/>
          <w:highlight w:val="none"/>
          <w:lang w:val="en-US" w:eastAsia="zh-CN"/>
        </w:rPr>
        <w:t>最高限价</w:t>
      </w:r>
      <w:r>
        <w:rPr>
          <w:rFonts w:hint="eastAsia" w:ascii="宋体" w:hAnsi="宋体"/>
          <w:color w:val="auto"/>
          <w:sz w:val="24"/>
          <w:highlight w:val="none"/>
        </w:rPr>
        <w:t>∶</w:t>
      </w:r>
      <w:r>
        <w:rPr>
          <w:rFonts w:hint="eastAsia" w:ascii="宋体" w:hAnsi="宋体" w:cs="Times New Roman"/>
          <w:color w:val="auto"/>
          <w:kern w:val="2"/>
          <w:sz w:val="24"/>
          <w:highlight w:val="none"/>
          <w:lang w:val="en-US" w:eastAsia="zh-CN" w:bidi="ar-SA"/>
        </w:rPr>
        <w:t>详</w:t>
      </w:r>
      <w:r>
        <w:rPr>
          <w:rFonts w:hint="eastAsia" w:ascii="宋体" w:hAnsi="宋体"/>
          <w:color w:val="auto"/>
          <w:sz w:val="24"/>
          <w:highlight w:val="none"/>
          <w:lang w:val="en-US" w:eastAsia="zh-CN"/>
        </w:rPr>
        <w:t>见</w:t>
      </w:r>
      <w:r>
        <w:rPr>
          <w:rFonts w:hint="eastAsia" w:ascii="宋体" w:hAnsi="宋体"/>
          <w:color w:val="auto"/>
          <w:sz w:val="24"/>
          <w:highlight w:val="none"/>
        </w:rPr>
        <w:t>投标供应商须知前附表</w:t>
      </w:r>
      <w:r>
        <w:rPr>
          <w:rFonts w:hint="eastAsia" w:ascii="宋体" w:hAnsi="宋体"/>
          <w:color w:val="auto"/>
          <w:sz w:val="24"/>
          <w:highlight w:val="none"/>
          <w:lang w:val="en-US" w:eastAsia="zh-CN"/>
        </w:rPr>
        <w:t>1.</w:t>
      </w:r>
      <w:r>
        <w:rPr>
          <w:rFonts w:hint="eastAsia" w:ascii="宋体" w:hAnsi="宋体" w:cs="Times New Roman"/>
          <w:color w:val="auto"/>
          <w:kern w:val="2"/>
          <w:sz w:val="24"/>
          <w:highlight w:val="none"/>
          <w:lang w:val="en-US" w:eastAsia="zh-CN" w:bidi="ar-SA"/>
        </w:rPr>
        <w:t>6</w:t>
      </w:r>
      <w:r>
        <w:rPr>
          <w:rFonts w:hint="eastAsia" w:ascii="宋体" w:hAnsi="宋体" w:eastAsia="宋体"/>
          <w:color w:val="auto"/>
          <w:sz w:val="24"/>
          <w:highlight w:val="none"/>
          <w:lang w:val="en-US" w:eastAsia="zh-CN"/>
        </w:rPr>
        <w:t>。</w:t>
      </w:r>
    </w:p>
    <w:p w14:paraId="555F5164">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hint="eastAsia" w:ascii="宋体" w:hAnsi="宋体"/>
          <w:color w:val="auto"/>
          <w:sz w:val="24"/>
          <w:highlight w:val="none"/>
          <w:lang w:val="en-US" w:eastAsia="zh-CN"/>
        </w:rPr>
        <w:t>服务期</w:t>
      </w:r>
      <w:r>
        <w:rPr>
          <w:rFonts w:hint="eastAsia" w:ascii="宋体" w:hAnsi="宋体"/>
          <w:color w:val="auto"/>
          <w:sz w:val="24"/>
          <w:highlight w:val="none"/>
        </w:rPr>
        <w:t>：</w:t>
      </w:r>
      <w:r>
        <w:rPr>
          <w:rFonts w:hint="eastAsia" w:ascii="宋体" w:hAnsi="宋体"/>
          <w:color w:val="auto"/>
          <w:sz w:val="24"/>
          <w:highlight w:val="none"/>
          <w:lang w:val="en-US" w:eastAsia="zh-CN"/>
        </w:rPr>
        <w:t>合同签订后365日历天。</w:t>
      </w:r>
    </w:p>
    <w:p w14:paraId="0A815C53">
      <w:pPr>
        <w:spacing w:line="360" w:lineRule="auto"/>
        <w:ind w:firstLine="480" w:firstLineChars="200"/>
        <w:rPr>
          <w:rFonts w:ascii="宋体" w:hAnsi="宋体"/>
          <w:color w:val="auto"/>
          <w:sz w:val="24"/>
          <w:highlight w:val="none"/>
        </w:rPr>
      </w:pPr>
      <w:r>
        <w:rPr>
          <w:rFonts w:ascii="宋体" w:hAnsi="宋体"/>
          <w:color w:val="auto"/>
          <w:sz w:val="24"/>
          <w:highlight w:val="none"/>
        </w:rPr>
        <w:t>2.投标费用</w:t>
      </w:r>
    </w:p>
    <w:p w14:paraId="4A5EBE9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无论投标过程中的作法和结果如何，投标供应商自行承担与参加投标有关的全部费用。</w:t>
      </w:r>
    </w:p>
    <w:p w14:paraId="7F9B7E22">
      <w:pPr>
        <w:pStyle w:val="4"/>
        <w:spacing w:line="600" w:lineRule="auto"/>
        <w:rPr>
          <w:color w:val="auto"/>
          <w:szCs w:val="24"/>
          <w:highlight w:val="none"/>
        </w:rPr>
      </w:pPr>
      <w:bookmarkStart w:id="13" w:name="_Toc21841"/>
      <w:bookmarkStart w:id="14" w:name="_Toc237342988"/>
      <w:r>
        <w:rPr>
          <w:rFonts w:hint="eastAsia"/>
          <w:color w:val="auto"/>
          <w:szCs w:val="24"/>
          <w:highlight w:val="none"/>
        </w:rPr>
        <w:t>B、招标文件</w:t>
      </w:r>
      <w:bookmarkEnd w:id="13"/>
      <w:bookmarkEnd w:id="14"/>
    </w:p>
    <w:p w14:paraId="2BAFC0F2">
      <w:pPr>
        <w:spacing w:line="360" w:lineRule="auto"/>
        <w:outlineLvl w:val="0"/>
        <w:rPr>
          <w:rFonts w:ascii="宋体" w:hAnsi="宋体"/>
          <w:b/>
          <w:color w:val="auto"/>
          <w:sz w:val="24"/>
          <w:szCs w:val="24"/>
          <w:highlight w:val="none"/>
        </w:rPr>
      </w:pPr>
      <w:bookmarkStart w:id="15" w:name="_Toc27606"/>
      <w:bookmarkStart w:id="16" w:name="_Toc31287"/>
      <w:r>
        <w:rPr>
          <w:rFonts w:hint="eastAsia" w:ascii="宋体" w:hAnsi="宋体"/>
          <w:b/>
          <w:color w:val="auto"/>
          <w:sz w:val="24"/>
          <w:szCs w:val="24"/>
          <w:highlight w:val="none"/>
        </w:rPr>
        <w:t>3.招标文件</w:t>
      </w:r>
      <w:bookmarkEnd w:id="15"/>
      <w:bookmarkEnd w:id="16"/>
    </w:p>
    <w:p w14:paraId="5C9D83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 招标文件由招标文件总目录所列内容组成。</w:t>
      </w:r>
    </w:p>
    <w:p w14:paraId="0C7DD7F6">
      <w:pPr>
        <w:spacing w:line="360" w:lineRule="auto"/>
        <w:rPr>
          <w:rFonts w:ascii="宋体" w:hAnsi="宋体"/>
          <w:color w:val="auto"/>
          <w:sz w:val="24"/>
          <w:highlight w:val="none"/>
        </w:rPr>
      </w:pPr>
      <w:r>
        <w:rPr>
          <w:rFonts w:hint="eastAsia" w:ascii="宋体" w:hAnsi="宋体"/>
          <w:color w:val="auto"/>
          <w:sz w:val="24"/>
          <w:szCs w:val="24"/>
          <w:highlight w:val="none"/>
        </w:rPr>
        <w:t xml:space="preserve">    3.2 投标供应商应详细阅读招标文件的全部内容，不按招标文件要求提供的投标文件和资料可能导致投标被拒绝。</w:t>
      </w:r>
    </w:p>
    <w:p w14:paraId="4C9D95C8">
      <w:pPr>
        <w:spacing w:line="360" w:lineRule="auto"/>
        <w:outlineLvl w:val="0"/>
        <w:rPr>
          <w:rFonts w:ascii="宋体" w:hAnsi="宋体"/>
          <w:b/>
          <w:color w:val="auto"/>
          <w:sz w:val="24"/>
          <w:szCs w:val="24"/>
          <w:highlight w:val="none"/>
        </w:rPr>
      </w:pPr>
      <w:bookmarkStart w:id="17" w:name="_Toc18903"/>
      <w:bookmarkStart w:id="18" w:name="_Toc13825"/>
      <w:r>
        <w:rPr>
          <w:rFonts w:hint="eastAsia" w:ascii="宋体" w:hAnsi="宋体"/>
          <w:b/>
          <w:color w:val="auto"/>
          <w:sz w:val="24"/>
          <w:szCs w:val="24"/>
          <w:highlight w:val="none"/>
        </w:rPr>
        <w:t>4.招标文件的修改和澄清</w:t>
      </w:r>
      <w:bookmarkEnd w:id="17"/>
      <w:bookmarkEnd w:id="18"/>
    </w:p>
    <w:p w14:paraId="429009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 在投标截止时间前，采购代理机构无论出于何种原因，可以对已发出招标文件进行必要的澄清或者修改，但不得修改采购标的和资格条件。</w:t>
      </w:r>
    </w:p>
    <w:p w14:paraId="6BA8E82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4.2 澄清或者修改的内容可能影响投标文件编制的，采购代理机构应当在投标文件截止时间15日前，以书面形式将澄清或者修改的内容通知所有获取招标文件的潜在投标供应商，同时在原信息发布媒体上发布变更公告。该澄清或者修改的内容为招标文件的组成部分。如果澄清或者修改发出的时间距规定的投标截止时间不足15日，将相应顺延投标截止时间。</w:t>
      </w:r>
    </w:p>
    <w:p w14:paraId="3CA5F8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4.3在投标文件递交截止时间前，采购代理机构可以视采购具体情况，延长投标截止时间和开标时间并在财政部门指定的媒体上发布变更公告，同时将变更时间书面通知获取招标文件的潜在投标供应商。</w:t>
      </w:r>
    </w:p>
    <w:p w14:paraId="618EE0B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4.4已经购买招标文件的投标供应商对招标文件有疑问的，均应在购买招标文件后7个工作日内以书面形式向采购代理机构提出。采购代理机构视情况采用适当方式予以澄清或以书面形式予以答复，涉及变更的内容在原信息发布媒体上发布变更公告，并以书面形式通知所有购买招标文件的潜在投标供应商，且作为招标文件的组成部分。</w:t>
      </w:r>
    </w:p>
    <w:p w14:paraId="0F9DAD7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4.5投标供应商在收到上述通知后，应立即向采购代理机构回函确认。</w:t>
      </w:r>
    </w:p>
    <w:p w14:paraId="619F8EE5">
      <w:pPr>
        <w:pStyle w:val="12"/>
        <w:rPr>
          <w:color w:val="auto"/>
          <w:highlight w:val="none"/>
        </w:rPr>
      </w:pPr>
    </w:p>
    <w:p w14:paraId="43F205BE">
      <w:pPr>
        <w:pStyle w:val="4"/>
        <w:spacing w:line="600" w:lineRule="auto"/>
        <w:rPr>
          <w:color w:val="auto"/>
          <w:szCs w:val="24"/>
          <w:highlight w:val="none"/>
        </w:rPr>
      </w:pPr>
      <w:bookmarkStart w:id="19" w:name="_Toc6903"/>
      <w:bookmarkStart w:id="20" w:name="_Toc237342989"/>
      <w:r>
        <w:rPr>
          <w:rFonts w:hint="eastAsia"/>
          <w:color w:val="auto"/>
          <w:szCs w:val="24"/>
          <w:highlight w:val="none"/>
        </w:rPr>
        <w:t>C、投标文件</w:t>
      </w:r>
      <w:bookmarkEnd w:id="19"/>
      <w:bookmarkEnd w:id="20"/>
    </w:p>
    <w:p w14:paraId="0ECC1A41">
      <w:pPr>
        <w:spacing w:line="360" w:lineRule="auto"/>
        <w:outlineLvl w:val="0"/>
        <w:rPr>
          <w:rFonts w:ascii="宋体" w:hAnsi="宋体"/>
          <w:b/>
          <w:color w:val="auto"/>
          <w:sz w:val="24"/>
          <w:szCs w:val="24"/>
          <w:highlight w:val="none"/>
        </w:rPr>
      </w:pPr>
      <w:bookmarkStart w:id="21" w:name="_Toc12979"/>
      <w:bookmarkStart w:id="22" w:name="_Toc29956"/>
      <w:r>
        <w:rPr>
          <w:rFonts w:hint="eastAsia" w:ascii="宋体" w:hAnsi="宋体"/>
          <w:b/>
          <w:color w:val="auto"/>
          <w:sz w:val="24"/>
          <w:szCs w:val="24"/>
          <w:highlight w:val="none"/>
        </w:rPr>
        <w:t>6.投标文件计量单位</w:t>
      </w:r>
      <w:bookmarkEnd w:id="21"/>
      <w:bookmarkEnd w:id="22"/>
    </w:p>
    <w:p w14:paraId="1548E691">
      <w:pPr>
        <w:tabs>
          <w:tab w:val="left" w:pos="420"/>
        </w:tabs>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投标文件中所使用的计量单位，除有特殊要求外，均采用国家法定计量单位。</w:t>
      </w:r>
    </w:p>
    <w:p w14:paraId="00199525">
      <w:pPr>
        <w:spacing w:line="360" w:lineRule="auto"/>
        <w:outlineLvl w:val="0"/>
        <w:rPr>
          <w:rFonts w:ascii="宋体" w:hAnsi="宋体"/>
          <w:b/>
          <w:color w:val="auto"/>
          <w:sz w:val="24"/>
          <w:szCs w:val="24"/>
          <w:highlight w:val="none"/>
        </w:rPr>
      </w:pPr>
      <w:bookmarkStart w:id="23" w:name="_Toc29508"/>
      <w:bookmarkStart w:id="24" w:name="_Toc29873"/>
      <w:r>
        <w:rPr>
          <w:rFonts w:hint="eastAsia" w:ascii="宋体" w:hAnsi="宋体"/>
          <w:b/>
          <w:color w:val="auto"/>
          <w:sz w:val="24"/>
          <w:szCs w:val="24"/>
          <w:highlight w:val="none"/>
        </w:rPr>
        <w:t>7.投标文件的组成</w:t>
      </w:r>
      <w:bookmarkEnd w:id="23"/>
      <w:bookmarkEnd w:id="24"/>
    </w:p>
    <w:p w14:paraId="5C03F43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7.1 投标文件应由商务部分、技术部分和其它部分组成。</w:t>
      </w:r>
    </w:p>
    <w:p w14:paraId="040E86B4">
      <w:pPr>
        <w:spacing w:line="360" w:lineRule="auto"/>
        <w:ind w:firstLine="360" w:firstLineChars="15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 7.2 资格证明文件部分应包括：</w:t>
      </w:r>
      <w:r>
        <w:rPr>
          <w:rFonts w:hint="eastAsia" w:ascii="宋体" w:hAnsi="宋体"/>
          <w:color w:val="auto"/>
          <w:sz w:val="24"/>
          <w:szCs w:val="24"/>
          <w:highlight w:val="none"/>
          <w:lang w:val="en-US" w:eastAsia="zh-CN"/>
        </w:rPr>
        <w:t>见前附表</w:t>
      </w:r>
    </w:p>
    <w:p w14:paraId="6D45DB4B">
      <w:pPr>
        <w:spacing w:line="360" w:lineRule="auto"/>
        <w:outlineLvl w:val="0"/>
        <w:rPr>
          <w:rFonts w:ascii="宋体" w:hAnsi="宋体"/>
          <w:b/>
          <w:color w:val="auto"/>
          <w:sz w:val="24"/>
          <w:highlight w:val="none"/>
        </w:rPr>
      </w:pPr>
      <w:bookmarkStart w:id="25" w:name="_Toc26996"/>
      <w:bookmarkStart w:id="26" w:name="_Toc20310"/>
      <w:r>
        <w:rPr>
          <w:rFonts w:ascii="宋体" w:hAnsi="宋体"/>
          <w:b/>
          <w:color w:val="auto"/>
          <w:sz w:val="24"/>
          <w:szCs w:val="24"/>
          <w:highlight w:val="none"/>
        </w:rPr>
        <w:t>8.投标内容填写说明</w:t>
      </w:r>
      <w:bookmarkEnd w:id="25"/>
      <w:bookmarkEnd w:id="26"/>
    </w:p>
    <w:p w14:paraId="7B1C22B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 开标一览表为在开标仪式上唱标的内容，要求按格式填写。</w:t>
      </w:r>
    </w:p>
    <w:p w14:paraId="52D424D4">
      <w:pPr>
        <w:spacing w:line="360" w:lineRule="auto"/>
        <w:outlineLvl w:val="0"/>
        <w:rPr>
          <w:rFonts w:ascii="宋体" w:hAnsi="宋体"/>
          <w:b/>
          <w:color w:val="auto"/>
          <w:sz w:val="24"/>
          <w:szCs w:val="24"/>
          <w:highlight w:val="none"/>
        </w:rPr>
      </w:pPr>
      <w:bookmarkStart w:id="27" w:name="_Toc23710"/>
      <w:bookmarkStart w:id="28" w:name="_Toc2472"/>
      <w:r>
        <w:rPr>
          <w:rFonts w:hint="eastAsia" w:ascii="宋体" w:hAnsi="宋体"/>
          <w:b/>
          <w:color w:val="auto"/>
          <w:sz w:val="24"/>
          <w:szCs w:val="24"/>
          <w:highlight w:val="none"/>
        </w:rPr>
        <w:t>9.投标文件的组成说明</w:t>
      </w:r>
      <w:bookmarkEnd w:id="27"/>
      <w:bookmarkEnd w:id="28"/>
    </w:p>
    <w:p w14:paraId="78EE78F1">
      <w:pPr>
        <w:overflowPunct w:val="0"/>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9.1 所有服务方案只允许投标供应商有一个投标方案，不接受任何有选择的方案和报价（包括有条件的折扣）。投标供应商未按要求，提供了选择方案和/或报价的，其投标将被拒绝。</w:t>
      </w:r>
    </w:p>
    <w:p w14:paraId="16B3D55B">
      <w:pPr>
        <w:overflowPunct w:val="0"/>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9.2 投标供应商编写的投标文件应包括下列部分：</w:t>
      </w:r>
    </w:p>
    <w:p w14:paraId="3F5C9B93">
      <w:pPr>
        <w:overflowPunct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（1）</w:t>
      </w:r>
      <w:r>
        <w:rPr>
          <w:rFonts w:hint="eastAsia" w:ascii="宋体" w:hAnsi="宋体" w:cs="宋体"/>
          <w:color w:val="auto"/>
          <w:sz w:val="24"/>
          <w:highlight w:val="none"/>
        </w:rPr>
        <w:t>投标响应函、投标报价表以及所有附件内容。</w:t>
      </w:r>
    </w:p>
    <w:p w14:paraId="15823868">
      <w:pPr>
        <w:overflowPunct w:val="0"/>
        <w:adjustRightInd w:val="0"/>
        <w:snapToGrid w:val="0"/>
        <w:spacing w:line="360" w:lineRule="auto"/>
        <w:ind w:firstLine="360" w:firstLineChars="150"/>
        <w:rPr>
          <w:rFonts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按照投标供应商须知出具的投标供应商资格证明文件。</w:t>
      </w:r>
    </w:p>
    <w:p w14:paraId="727B89C6">
      <w:pPr>
        <w:overflowPunct w:val="0"/>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（3）</w:t>
      </w:r>
      <w:r>
        <w:rPr>
          <w:rFonts w:hint="eastAsia" w:ascii="宋体" w:hAnsi="宋体" w:cs="宋体"/>
          <w:color w:val="auto"/>
          <w:sz w:val="24"/>
          <w:highlight w:val="none"/>
        </w:rPr>
        <w:t>按照投标供应商须知出具的报价符合招标文件规定的证明文件及投标供应商认为需加以说明的其他内容。</w:t>
      </w:r>
    </w:p>
    <w:p w14:paraId="72935756">
      <w:pPr>
        <w:overflowPunct w:val="0"/>
        <w:adjustRightInd w:val="0"/>
        <w:snapToGrid w:val="0"/>
        <w:spacing w:line="360" w:lineRule="auto"/>
        <w:ind w:firstLine="360" w:firstLineChars="150"/>
        <w:rPr>
          <w:rFonts w:ascii="宋体" w:hAnsi="宋体" w:cs="宋体"/>
          <w:color w:val="auto"/>
          <w:sz w:val="24"/>
          <w:highlight w:val="none"/>
        </w:rPr>
      </w:pPr>
      <w:r>
        <w:rPr>
          <w:rFonts w:hint="eastAsia" w:ascii="宋体" w:hAnsi="宋体"/>
          <w:color w:val="auto"/>
          <w:sz w:val="24"/>
          <w:highlight w:val="none"/>
        </w:rPr>
        <w:t>（4）</w:t>
      </w:r>
      <w:r>
        <w:rPr>
          <w:rFonts w:hint="eastAsia" w:ascii="宋体" w:hAnsi="宋体" w:cs="宋体"/>
          <w:color w:val="auto"/>
          <w:sz w:val="24"/>
          <w:highlight w:val="none"/>
        </w:rPr>
        <w:t>招标文件要求投标供应商提供的其他内容。</w:t>
      </w:r>
    </w:p>
    <w:p w14:paraId="10CFF538">
      <w:pPr>
        <w:spacing w:line="360" w:lineRule="auto"/>
        <w:rPr>
          <w:rFonts w:ascii="宋体" w:hAnsi="宋体"/>
          <w:b/>
          <w:color w:val="auto"/>
          <w:sz w:val="24"/>
          <w:szCs w:val="24"/>
          <w:highlight w:val="none"/>
        </w:rPr>
      </w:pPr>
      <w:r>
        <w:rPr>
          <w:rFonts w:hint="eastAsia" w:ascii="宋体" w:hAnsi="宋体"/>
          <w:b/>
          <w:color w:val="auto"/>
          <w:sz w:val="24"/>
          <w:szCs w:val="24"/>
          <w:highlight w:val="none"/>
        </w:rPr>
        <w:t>10.投标报价</w:t>
      </w:r>
    </w:p>
    <w:p w14:paraId="1CB2241C">
      <w:pPr>
        <w:spacing w:line="360" w:lineRule="auto"/>
        <w:rPr>
          <w:rFonts w:ascii="宋体" w:hAnsi="宋体"/>
          <w:color w:val="auto"/>
          <w:sz w:val="24"/>
          <w:highlight w:val="none"/>
        </w:rPr>
      </w:pPr>
      <w:r>
        <w:rPr>
          <w:rFonts w:hint="eastAsia" w:ascii="宋体" w:hAnsi="宋体"/>
          <w:color w:val="auto"/>
          <w:sz w:val="24"/>
          <w:szCs w:val="24"/>
          <w:highlight w:val="none"/>
        </w:rPr>
        <w:t xml:space="preserve">    </w:t>
      </w:r>
      <w:r>
        <w:rPr>
          <w:rFonts w:ascii="宋体" w:hAnsi="宋体"/>
          <w:color w:val="auto"/>
          <w:sz w:val="24"/>
          <w:highlight w:val="none"/>
        </w:rPr>
        <w:t>10.1</w:t>
      </w:r>
      <w:r>
        <w:rPr>
          <w:rFonts w:hint="eastAsia" w:ascii="宋体" w:hAnsi="宋体"/>
          <w:color w:val="auto"/>
          <w:sz w:val="24"/>
          <w:highlight w:val="none"/>
        </w:rPr>
        <w:t xml:space="preserve"> 投标货币：人民币  单位：元</w:t>
      </w:r>
    </w:p>
    <w:p w14:paraId="2A3209E9">
      <w:pPr>
        <w:spacing w:line="360" w:lineRule="auto"/>
        <w:ind w:firstLine="480" w:firstLineChars="200"/>
        <w:rPr>
          <w:rFonts w:ascii="宋体" w:hAnsi="宋体"/>
          <w:color w:val="auto"/>
          <w:sz w:val="24"/>
          <w:highlight w:val="none"/>
        </w:rPr>
      </w:pPr>
      <w:r>
        <w:rPr>
          <w:rFonts w:ascii="宋体" w:hAnsi="宋体"/>
          <w:color w:val="auto"/>
          <w:sz w:val="24"/>
          <w:highlight w:val="none"/>
        </w:rPr>
        <w:t>10.</w:t>
      </w:r>
      <w:r>
        <w:rPr>
          <w:rFonts w:hint="eastAsia" w:ascii="宋体" w:hAnsi="宋体"/>
          <w:color w:val="auto"/>
          <w:sz w:val="24"/>
          <w:highlight w:val="none"/>
        </w:rPr>
        <w:t>2 投标报价应包括完成招标文件规定的招标范围全部内容所需的全部费用。</w:t>
      </w:r>
      <w:r>
        <w:rPr>
          <w:rFonts w:hint="eastAsia" w:ascii="宋体" w:hAnsi="宋体" w:cs="宋体"/>
          <w:color w:val="auto"/>
          <w:sz w:val="24"/>
          <w:highlight w:val="none"/>
        </w:rPr>
        <w:t>凡本招标文件要求（或允许）及投标供应商认为需要进行投标报价的各项费用项目，若报价时未报或未在招标文件中予以说明，采购人将认为这些费用投标供应商已计取，并包含在总报价中</w:t>
      </w:r>
      <w:r>
        <w:rPr>
          <w:rFonts w:hint="eastAsia" w:ascii="宋体" w:hAnsi="宋体"/>
          <w:color w:val="auto"/>
          <w:sz w:val="24"/>
          <w:highlight w:val="none"/>
        </w:rPr>
        <w:t>。</w:t>
      </w:r>
    </w:p>
    <w:p w14:paraId="6BF9F17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10.3投标报价表中标明的价格在合同执行过程中是固定不变的，不得以任何理由予以变更。</w:t>
      </w:r>
    </w:p>
    <w:p w14:paraId="34A2BC7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10.4采购人不接受任何有选择性的报价。</w:t>
      </w:r>
    </w:p>
    <w:p w14:paraId="1AF6D5F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10.5凡因投标供应商对招标文件阅读不深、理解不透、误解、疏漏、或因市场行情了解不清造成的后果和风险均由投标供应商自负。</w:t>
      </w:r>
    </w:p>
    <w:p w14:paraId="00EC98B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10.6 最低报价不是中标的唯一依据。</w:t>
      </w:r>
    </w:p>
    <w:p w14:paraId="41923F1F">
      <w:pPr>
        <w:spacing w:line="360" w:lineRule="auto"/>
        <w:rPr>
          <w:rFonts w:ascii="宋体" w:hAnsi="宋体"/>
          <w:b/>
          <w:color w:val="auto"/>
          <w:sz w:val="24"/>
          <w:szCs w:val="24"/>
          <w:highlight w:val="none"/>
        </w:rPr>
      </w:pPr>
      <w:r>
        <w:rPr>
          <w:rFonts w:hint="eastAsia" w:ascii="宋体" w:hAnsi="宋体"/>
          <w:b/>
          <w:color w:val="auto"/>
          <w:sz w:val="24"/>
          <w:szCs w:val="24"/>
          <w:highlight w:val="none"/>
        </w:rPr>
        <w:t>11.投标保证金</w:t>
      </w:r>
    </w:p>
    <w:p w14:paraId="4513CF8A">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本项目免收投标保证金。</w:t>
      </w:r>
    </w:p>
    <w:p w14:paraId="6D63DCE1">
      <w:pPr>
        <w:spacing w:line="360" w:lineRule="auto"/>
        <w:outlineLvl w:val="0"/>
        <w:rPr>
          <w:rFonts w:ascii="宋体" w:hAnsi="宋体"/>
          <w:b/>
          <w:color w:val="auto"/>
          <w:sz w:val="24"/>
          <w:highlight w:val="none"/>
        </w:rPr>
      </w:pPr>
      <w:bookmarkStart w:id="29" w:name="_Toc24966"/>
      <w:bookmarkStart w:id="30" w:name="_Toc7804"/>
      <w:r>
        <w:rPr>
          <w:rFonts w:hint="eastAsia" w:ascii="宋体" w:hAnsi="宋体"/>
          <w:b/>
          <w:color w:val="auto"/>
          <w:sz w:val="24"/>
          <w:highlight w:val="none"/>
        </w:rPr>
        <w:t>12.投标文件的签署及规定</w:t>
      </w:r>
      <w:bookmarkEnd w:id="29"/>
      <w:bookmarkEnd w:id="30"/>
    </w:p>
    <w:p w14:paraId="491E4FFD">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  12.1 投标文件的各项资料均应遵守本条其他款项的规定。</w:t>
      </w:r>
    </w:p>
    <w:p w14:paraId="02587829">
      <w:pPr>
        <w:spacing w:line="360" w:lineRule="auto"/>
        <w:rPr>
          <w:rFonts w:ascii="宋体" w:hAnsi="宋体"/>
          <w:color w:val="auto"/>
          <w:sz w:val="24"/>
          <w:highlight w:val="none"/>
        </w:rPr>
      </w:pPr>
      <w:r>
        <w:rPr>
          <w:rFonts w:hint="eastAsia" w:ascii="宋体" w:hAnsi="宋体"/>
          <w:color w:val="auto"/>
          <w:sz w:val="24"/>
          <w:highlight w:val="none"/>
        </w:rPr>
        <w:t xml:space="preserve">    12.2 投标供应商应填写全称，同时加盖投标供应商印章。投标文件</w:t>
      </w:r>
      <w:r>
        <w:rPr>
          <w:rFonts w:hint="eastAsia"/>
          <w:color w:val="auto"/>
          <w:sz w:val="24"/>
          <w:highlight w:val="none"/>
        </w:rPr>
        <w:t>加盖投标供应商印章并经法定代表人或其委托代理人签字或盖章。由委托代理人签字或盖章的在投标文件中须同时提交有效</w:t>
      </w:r>
      <w:r>
        <w:rPr>
          <w:rFonts w:hint="eastAsia" w:ascii="宋体" w:hAnsi="宋体"/>
          <w:color w:val="auto"/>
          <w:sz w:val="24"/>
          <w:highlight w:val="none"/>
        </w:rPr>
        <w:t>投标文件</w:t>
      </w:r>
      <w:r>
        <w:rPr>
          <w:rFonts w:hint="eastAsia"/>
          <w:color w:val="auto"/>
          <w:sz w:val="24"/>
          <w:highlight w:val="none"/>
        </w:rPr>
        <w:t>签署授权委托书。</w:t>
      </w:r>
    </w:p>
    <w:p w14:paraId="33460B31">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12.3 </w:t>
      </w:r>
      <w:r>
        <w:rPr>
          <w:rFonts w:hint="eastAsia" w:ascii="宋体" w:hAnsi="宋体"/>
          <w:color w:val="auto"/>
          <w:sz w:val="24"/>
          <w:highlight w:val="none"/>
          <w:lang w:eastAsia="zh-CN"/>
        </w:rPr>
        <w:t>投标文件</w:t>
      </w:r>
      <w:r>
        <w:rPr>
          <w:rFonts w:hint="eastAsia" w:ascii="宋体" w:hAnsi="宋体"/>
          <w:color w:val="auto"/>
          <w:sz w:val="24"/>
          <w:highlight w:val="none"/>
        </w:rPr>
        <w:t>份数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正本壹</w:t>
      </w:r>
      <w:r>
        <w:rPr>
          <w:rFonts w:hint="eastAsia" w:ascii="宋体" w:hAnsi="宋体"/>
          <w:color w:val="auto"/>
          <w:sz w:val="24"/>
          <w:highlight w:val="none"/>
          <w:lang w:eastAsia="zh-CN"/>
        </w:rPr>
        <w:t>份，</w:t>
      </w:r>
      <w:r>
        <w:rPr>
          <w:rFonts w:hint="eastAsia" w:ascii="宋体" w:hAnsi="宋体"/>
          <w:color w:val="auto"/>
          <w:sz w:val="24"/>
          <w:highlight w:val="none"/>
          <w:lang w:val="en-US" w:eastAsia="zh-CN"/>
        </w:rPr>
        <w:t>副本贰份，</w:t>
      </w:r>
      <w:r>
        <w:rPr>
          <w:rFonts w:hint="eastAsia" w:ascii="宋体" w:hAnsi="宋体"/>
          <w:color w:val="auto"/>
          <w:sz w:val="24"/>
          <w:highlight w:val="none"/>
          <w:lang w:eastAsia="zh-CN"/>
        </w:rPr>
        <w:t>电子版文件：</w:t>
      </w:r>
      <w:r>
        <w:rPr>
          <w:rFonts w:hint="eastAsia" w:ascii="宋体" w:hAnsi="宋体"/>
          <w:color w:val="auto"/>
          <w:sz w:val="24"/>
          <w:highlight w:val="none"/>
          <w:lang w:val="en-US" w:eastAsia="zh-CN"/>
        </w:rPr>
        <w:t>贰</w:t>
      </w:r>
      <w:r>
        <w:rPr>
          <w:rFonts w:hint="eastAsia" w:ascii="宋体" w:hAnsi="宋体"/>
          <w:color w:val="auto"/>
          <w:sz w:val="24"/>
          <w:highlight w:val="none"/>
          <w:lang w:eastAsia="zh-CN"/>
        </w:rPr>
        <w:t>份电子版（注：包含两</w:t>
      </w:r>
      <w:r>
        <w:rPr>
          <w:rFonts w:hint="eastAsia" w:ascii="宋体" w:hAnsi="宋体"/>
          <w:color w:val="auto"/>
          <w:sz w:val="24"/>
          <w:highlight w:val="none"/>
          <w:lang w:val="en-US" w:eastAsia="zh-CN"/>
        </w:rPr>
        <w:t>份U盘</w:t>
      </w:r>
      <w:r>
        <w:rPr>
          <w:rFonts w:hint="eastAsia" w:ascii="宋体" w:hAnsi="宋体"/>
          <w:color w:val="auto"/>
          <w:sz w:val="24"/>
          <w:highlight w:val="none"/>
          <w:lang w:eastAsia="zh-CN"/>
        </w:rPr>
        <w:t>）。</w:t>
      </w:r>
    </w:p>
    <w:p w14:paraId="4D545905">
      <w:pPr>
        <w:spacing w:line="360" w:lineRule="auto"/>
        <w:rPr>
          <w:rFonts w:ascii="宋体" w:hAnsi="宋体"/>
          <w:color w:val="auto"/>
          <w:sz w:val="24"/>
          <w:highlight w:val="none"/>
        </w:rPr>
      </w:pPr>
      <w:r>
        <w:rPr>
          <w:rFonts w:hint="eastAsia" w:ascii="宋体" w:hAnsi="宋体"/>
          <w:color w:val="auto"/>
          <w:sz w:val="24"/>
          <w:highlight w:val="none"/>
        </w:rPr>
        <w:t xml:space="preserve">    12.4 </w:t>
      </w:r>
      <w:r>
        <w:rPr>
          <w:rFonts w:hint="eastAsia" w:ascii="宋体" w:hAnsi="宋体"/>
          <w:color w:val="auto"/>
          <w:sz w:val="24"/>
          <w:highlight w:val="none"/>
          <w:lang w:eastAsia="zh-CN"/>
        </w:rPr>
        <w:t>投标文件封套上应写明的内容见投标人须知前附表。</w:t>
      </w:r>
    </w:p>
    <w:p w14:paraId="4348F07A">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12.5 投标文件不得涂改和增删，如有修改错漏处，必须由法定代表人或授权代表人签字或盖章。因字迹潦草或表达不清所引起的后果由投标供应商负责。</w:t>
      </w:r>
    </w:p>
    <w:p w14:paraId="01B1103D">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12.6投标有效期见供应商须知前附表</w:t>
      </w:r>
    </w:p>
    <w:p w14:paraId="06114D35">
      <w:pPr>
        <w:pStyle w:val="4"/>
        <w:spacing w:line="600" w:lineRule="auto"/>
        <w:rPr>
          <w:color w:val="auto"/>
          <w:szCs w:val="24"/>
          <w:highlight w:val="none"/>
        </w:rPr>
      </w:pPr>
      <w:bookmarkStart w:id="31" w:name="_Toc237342990"/>
      <w:bookmarkStart w:id="32" w:name="_Toc28183"/>
      <w:r>
        <w:rPr>
          <w:rFonts w:hint="eastAsia"/>
          <w:color w:val="auto"/>
          <w:szCs w:val="24"/>
          <w:highlight w:val="none"/>
        </w:rPr>
        <w:t>D、投标文件的递交</w:t>
      </w:r>
      <w:bookmarkEnd w:id="31"/>
      <w:bookmarkEnd w:id="32"/>
    </w:p>
    <w:p w14:paraId="6CC2D134">
      <w:pPr>
        <w:spacing w:line="360" w:lineRule="auto"/>
        <w:rPr>
          <w:rFonts w:ascii="宋体" w:hAnsi="宋体"/>
          <w:b/>
          <w:color w:val="auto"/>
          <w:sz w:val="24"/>
          <w:szCs w:val="24"/>
          <w:highlight w:val="none"/>
        </w:rPr>
      </w:pPr>
      <w:r>
        <w:rPr>
          <w:rFonts w:hint="eastAsia" w:ascii="宋体" w:hAnsi="宋体"/>
          <w:b/>
          <w:color w:val="auto"/>
          <w:sz w:val="24"/>
          <w:szCs w:val="24"/>
          <w:highlight w:val="none"/>
        </w:rPr>
        <w:t>13.投标文件的递交</w:t>
      </w:r>
    </w:p>
    <w:p w14:paraId="4D791298">
      <w:pPr>
        <w:spacing w:line="360" w:lineRule="auto"/>
        <w:ind w:firstLine="480" w:firstLineChars="200"/>
        <w:rPr>
          <w:rFonts w:ascii="宋体" w:hAnsi="宋体"/>
          <w:color w:val="auto"/>
          <w:sz w:val="24"/>
          <w:szCs w:val="24"/>
          <w:highlight w:val="none"/>
        </w:rPr>
      </w:pPr>
      <w:r>
        <w:rPr>
          <w:rFonts w:hint="eastAsia" w:ascii="宋体" w:hAnsi="宋体" w:eastAsia="宋体" w:cs="宋体"/>
          <w:color w:val="auto"/>
          <w:spacing w:val="0"/>
          <w:w w:val="100"/>
          <w:sz w:val="24"/>
          <w:highlight w:val="none"/>
          <w:lang w:val="en-US" w:eastAsia="zh-CN"/>
        </w:rPr>
        <w:t>供应商</w:t>
      </w:r>
      <w:r>
        <w:rPr>
          <w:rFonts w:hint="eastAsia" w:ascii="宋体" w:hAnsi="宋体" w:eastAsia="宋体" w:cs="宋体"/>
          <w:color w:val="auto"/>
          <w:spacing w:val="0"/>
          <w:w w:val="100"/>
          <w:sz w:val="24"/>
          <w:highlight w:val="none"/>
        </w:rPr>
        <w:t>在规定的投标截止时间（开标时间）</w:t>
      </w:r>
      <w:r>
        <w:rPr>
          <w:rFonts w:hint="eastAsia" w:ascii="宋体" w:hAnsi="宋体" w:eastAsia="宋体" w:cs="宋体"/>
          <w:color w:val="auto"/>
          <w:spacing w:val="0"/>
          <w:w w:val="100"/>
          <w:sz w:val="24"/>
          <w:highlight w:val="none"/>
          <w:lang w:val="en-US" w:eastAsia="zh-CN"/>
        </w:rPr>
        <w:t>递交投标文件</w:t>
      </w:r>
      <w:r>
        <w:rPr>
          <w:rFonts w:hint="eastAsia" w:ascii="宋体" w:hAnsi="宋体" w:cs="仿宋_GB2312"/>
          <w:color w:val="auto"/>
          <w:sz w:val="24"/>
          <w:highlight w:val="none"/>
        </w:rPr>
        <w:t>。</w:t>
      </w:r>
    </w:p>
    <w:p w14:paraId="262DB217">
      <w:pPr>
        <w:spacing w:line="360" w:lineRule="auto"/>
        <w:rPr>
          <w:rFonts w:ascii="宋体" w:hAnsi="宋体"/>
          <w:b/>
          <w:color w:val="auto"/>
          <w:sz w:val="24"/>
          <w:szCs w:val="24"/>
          <w:highlight w:val="none"/>
        </w:rPr>
      </w:pPr>
      <w:r>
        <w:rPr>
          <w:rFonts w:hint="eastAsia" w:ascii="宋体" w:hAnsi="宋体"/>
          <w:b/>
          <w:color w:val="auto"/>
          <w:sz w:val="24"/>
          <w:szCs w:val="24"/>
          <w:highlight w:val="none"/>
        </w:rPr>
        <w:t>14.投标截止时间</w:t>
      </w:r>
    </w:p>
    <w:p w14:paraId="7F21A87D">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14.1</w:t>
      </w:r>
      <w:r>
        <w:rPr>
          <w:rFonts w:hint="eastAsia" w:ascii="宋体" w:hAnsi="宋体"/>
          <w:color w:val="auto"/>
          <w:sz w:val="24"/>
          <w:highlight w:val="none"/>
        </w:rPr>
        <w:t xml:space="preserve"> 所有投标文件都必须按“招标公告”中规定的统一递交投标文件时间送达“招标公告”中规定的递交地址。</w:t>
      </w:r>
    </w:p>
    <w:p w14:paraId="45FB9F1C">
      <w:pPr>
        <w:spacing w:line="360" w:lineRule="auto"/>
        <w:ind w:firstLine="480"/>
        <w:rPr>
          <w:color w:val="auto"/>
          <w:highlight w:val="none"/>
        </w:rPr>
      </w:pPr>
      <w:r>
        <w:rPr>
          <w:rFonts w:hint="eastAsia" w:ascii="宋体" w:hAnsi="宋体"/>
          <w:color w:val="auto"/>
          <w:sz w:val="24"/>
          <w:highlight w:val="none"/>
        </w:rPr>
        <w:t>14.2 在投标文件递交截止时间之后递交的任何投标文件及资料将被拒绝接收。</w:t>
      </w:r>
    </w:p>
    <w:p w14:paraId="02F9B50C">
      <w:pPr>
        <w:spacing w:line="360" w:lineRule="auto"/>
        <w:rPr>
          <w:rFonts w:ascii="宋体" w:hAnsi="宋体"/>
          <w:b/>
          <w:color w:val="auto"/>
          <w:sz w:val="24"/>
          <w:highlight w:val="none"/>
        </w:rPr>
      </w:pPr>
      <w:bookmarkStart w:id="33" w:name="_Toc237342991"/>
      <w:r>
        <w:rPr>
          <w:rFonts w:hint="eastAsia" w:ascii="宋体" w:hAnsi="宋体"/>
          <w:b/>
          <w:color w:val="auto"/>
          <w:sz w:val="24"/>
          <w:highlight w:val="none"/>
        </w:rPr>
        <w:t>15.投标文件的修改、撤回和撤销</w:t>
      </w:r>
    </w:p>
    <w:p w14:paraId="2722893F">
      <w:pPr>
        <w:spacing w:line="360" w:lineRule="auto"/>
        <w:rPr>
          <w:rFonts w:ascii="宋体" w:hAnsi="宋体"/>
          <w:color w:val="auto"/>
          <w:sz w:val="24"/>
          <w:highlight w:val="none"/>
        </w:rPr>
      </w:pPr>
      <w:r>
        <w:rPr>
          <w:rFonts w:hint="eastAsia" w:ascii="宋体" w:hAnsi="宋体"/>
          <w:color w:val="auto"/>
          <w:sz w:val="24"/>
          <w:highlight w:val="none"/>
        </w:rPr>
        <w:t xml:space="preserve">    15.1投标供应商在提交投标文件后可对其进行修改、撤回和撤销，但必须使采购代理机构在投标截止时间前收到该修改、撤回和撤销的书面通知，该通知须由法定代表人或其授权代表签署。</w:t>
      </w:r>
    </w:p>
    <w:p w14:paraId="222CA990">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  15.2采购人拒绝接受以电报、电话、传真、电子邮件形式的投标。</w:t>
      </w:r>
    </w:p>
    <w:p w14:paraId="0E0BBC7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15.3投标截止时间之后，投标供应商不得对其投标文件做任何修改。</w:t>
      </w:r>
    </w:p>
    <w:p w14:paraId="073EA6C3">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highlight w:val="none"/>
        </w:rPr>
        <w:t>15.4 投标供应商不得在投标截止时间起至投标有效期满前撤回和撤销投标文件。</w:t>
      </w:r>
      <w:r>
        <w:rPr>
          <w:rFonts w:hint="eastAsia" w:ascii="宋体" w:hAnsi="宋体"/>
          <w:color w:val="auto"/>
          <w:sz w:val="24"/>
          <w:highlight w:val="none"/>
          <w:lang w:val="en-US" w:eastAsia="zh-CN"/>
        </w:rPr>
        <w:t>投标截止时间递交投标文件的供应商少于3家时，采购活动终止，采购人重新组织采购。</w:t>
      </w:r>
    </w:p>
    <w:p w14:paraId="030AD125">
      <w:pPr>
        <w:pStyle w:val="4"/>
        <w:spacing w:line="600" w:lineRule="auto"/>
        <w:rPr>
          <w:color w:val="auto"/>
          <w:szCs w:val="24"/>
          <w:highlight w:val="none"/>
        </w:rPr>
      </w:pPr>
      <w:bookmarkStart w:id="34" w:name="_Toc28653"/>
      <w:r>
        <w:rPr>
          <w:rFonts w:hint="eastAsia"/>
          <w:color w:val="auto"/>
          <w:szCs w:val="24"/>
          <w:highlight w:val="none"/>
        </w:rPr>
        <w:t>E、开标及评标</w:t>
      </w:r>
      <w:bookmarkEnd w:id="33"/>
      <w:bookmarkEnd w:id="34"/>
    </w:p>
    <w:p w14:paraId="77D59813">
      <w:pPr>
        <w:spacing w:line="360" w:lineRule="auto"/>
        <w:rPr>
          <w:rFonts w:ascii="宋体" w:hAnsi="宋体"/>
          <w:b/>
          <w:color w:val="auto"/>
          <w:sz w:val="24"/>
          <w:highlight w:val="none"/>
        </w:rPr>
      </w:pPr>
      <w:r>
        <w:rPr>
          <w:rFonts w:hint="eastAsia" w:ascii="宋体" w:hAnsi="宋体"/>
          <w:b/>
          <w:color w:val="auto"/>
          <w:sz w:val="24"/>
          <w:highlight w:val="none"/>
        </w:rPr>
        <w:t>16.开标</w:t>
      </w:r>
    </w:p>
    <w:p w14:paraId="5DEFA702">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 采购代理机构按招标公告中规定的时间和地点接受供应商递交的投标文件。</w:t>
      </w:r>
    </w:p>
    <w:p w14:paraId="3E342353">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16.2 开标所携带的原件（见前附表）</w:t>
      </w:r>
    </w:p>
    <w:p w14:paraId="112308A0">
      <w:pPr>
        <w:spacing w:line="360" w:lineRule="auto"/>
        <w:ind w:firstLine="480" w:firstLineChars="200"/>
        <w:rPr>
          <w:rFonts w:hint="eastAsia" w:ascii="宋体" w:hAnsi="宋体" w:eastAsia="宋体" w:cs="Times New Roman"/>
          <w:color w:val="auto"/>
          <w:sz w:val="24"/>
          <w:szCs w:val="24"/>
          <w:highlight w:val="none"/>
        </w:rPr>
      </w:pPr>
      <w:bookmarkStart w:id="35" w:name="_Toc12993"/>
      <w:bookmarkStart w:id="36" w:name="_Toc179632579"/>
      <w:bookmarkStart w:id="37" w:name="_Toc144974529"/>
      <w:bookmarkStart w:id="38" w:name="_Toc152042337"/>
      <w:bookmarkStart w:id="39" w:name="_Toc152045561"/>
      <w:bookmarkStart w:id="40" w:name="_Toc30085"/>
      <w:r>
        <w:rPr>
          <w:rFonts w:hint="eastAsia" w:ascii="宋体" w:hAnsi="宋体" w:eastAsia="宋体" w:cs="Times New Roman"/>
          <w:color w:val="auto"/>
          <w:sz w:val="24"/>
          <w:szCs w:val="24"/>
          <w:highlight w:val="none"/>
          <w:lang w:val="en-US" w:eastAsia="zh-CN"/>
        </w:rPr>
        <w:t>16.3</w:t>
      </w:r>
      <w:r>
        <w:rPr>
          <w:rFonts w:hint="eastAsia" w:ascii="宋体" w:hAnsi="宋体" w:eastAsia="宋体" w:cs="Times New Roman"/>
          <w:color w:val="auto"/>
          <w:sz w:val="24"/>
          <w:szCs w:val="24"/>
          <w:highlight w:val="none"/>
        </w:rPr>
        <w:t>开标程序</w:t>
      </w:r>
      <w:bookmarkEnd w:id="35"/>
      <w:bookmarkEnd w:id="36"/>
      <w:bookmarkEnd w:id="37"/>
      <w:bookmarkEnd w:id="38"/>
      <w:bookmarkEnd w:id="39"/>
    </w:p>
    <w:bookmarkEnd w:id="40"/>
    <w:p w14:paraId="298277AD">
      <w:pPr>
        <w:shd w:val="clear"/>
        <w:spacing w:line="360" w:lineRule="auto"/>
        <w:ind w:firstLine="240" w:firstLineChars="100"/>
        <w:rPr>
          <w:rFonts w:hint="eastAsia" w:ascii="宋体" w:hAnsi="宋体" w:eastAsia="宋体" w:cs="Times New Roman"/>
          <w:color w:val="auto"/>
          <w:sz w:val="24"/>
          <w:highlight w:val="none"/>
        </w:rPr>
      </w:pPr>
      <w:bookmarkStart w:id="41" w:name="_Toc24060"/>
      <w:r>
        <w:rPr>
          <w:rFonts w:hint="eastAsia" w:ascii="宋体" w:hAnsi="宋体" w:eastAsia="宋体" w:cs="Times New Roman"/>
          <w:color w:val="auto"/>
          <w:sz w:val="24"/>
          <w:highlight w:val="none"/>
        </w:rPr>
        <w:t>主持人按下列程序进行开标：</w:t>
      </w:r>
      <w:bookmarkEnd w:id="41"/>
    </w:p>
    <w:p w14:paraId="074AF93B">
      <w:pPr>
        <w:shd w:val="clear"/>
        <w:spacing w:line="360" w:lineRule="auto"/>
        <w:ind w:firstLine="240" w:firstLineChars="1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1）介绍参加会议的单位领导和来宾；</w:t>
      </w:r>
    </w:p>
    <w:p w14:paraId="159CF241">
      <w:pPr>
        <w:shd w:val="clear"/>
        <w:spacing w:line="360" w:lineRule="auto"/>
        <w:ind w:firstLine="240" w:firstLineChars="100"/>
        <w:rPr>
          <w:rFonts w:hint="eastAsia" w:ascii="宋体" w:hAnsi="宋体" w:eastAsia="宋体" w:cs="Times New Roman"/>
          <w:color w:val="auto"/>
          <w:sz w:val="24"/>
          <w:highlight w:val="none"/>
        </w:rPr>
      </w:pPr>
      <w:bookmarkStart w:id="42" w:name="_Toc16559"/>
      <w:r>
        <w:rPr>
          <w:rFonts w:hint="eastAsia" w:ascii="宋体" w:hAnsi="宋体" w:eastAsia="宋体" w:cs="Times New Roman"/>
          <w:color w:val="auto"/>
          <w:sz w:val="24"/>
          <w:highlight w:val="none"/>
        </w:rPr>
        <w:t>2）介绍参加开标会议的投标单位；</w:t>
      </w:r>
      <w:bookmarkEnd w:id="42"/>
    </w:p>
    <w:p w14:paraId="3D8660F6">
      <w:pPr>
        <w:shd w:val="clear"/>
        <w:spacing w:line="360" w:lineRule="auto"/>
        <w:ind w:firstLine="240" w:firstLineChars="100"/>
        <w:rPr>
          <w:rFonts w:hint="eastAsia" w:ascii="宋体" w:hAnsi="宋体" w:eastAsia="宋体" w:cs="Times New Roman"/>
          <w:color w:val="auto"/>
          <w:sz w:val="24"/>
          <w:highlight w:val="none"/>
        </w:rPr>
      </w:pPr>
      <w:bookmarkStart w:id="43" w:name="_Toc20879"/>
      <w:r>
        <w:rPr>
          <w:rFonts w:hint="eastAsia" w:ascii="宋体" w:hAnsi="宋体" w:eastAsia="宋体" w:cs="Times New Roman"/>
          <w:color w:val="auto"/>
          <w:sz w:val="24"/>
          <w:highlight w:val="none"/>
        </w:rPr>
        <w:t>3）宣布开标纪律；</w:t>
      </w:r>
      <w:bookmarkEnd w:id="43"/>
    </w:p>
    <w:p w14:paraId="385E6730">
      <w:pPr>
        <w:shd w:val="clear"/>
        <w:spacing w:line="360" w:lineRule="auto"/>
        <w:ind w:firstLine="240" w:firstLineChars="100"/>
        <w:rPr>
          <w:rFonts w:hint="eastAsia" w:ascii="宋体" w:hAnsi="宋体" w:eastAsia="宋体" w:cs="Times New Roman"/>
          <w:color w:val="auto"/>
          <w:sz w:val="24"/>
          <w:highlight w:val="none"/>
        </w:rPr>
      </w:pPr>
      <w:bookmarkStart w:id="44" w:name="_Toc4293"/>
      <w:r>
        <w:rPr>
          <w:rFonts w:hint="eastAsia" w:ascii="宋体" w:hAnsi="宋体" w:eastAsia="宋体" w:cs="Times New Roman"/>
          <w:color w:val="auto"/>
          <w:sz w:val="24"/>
          <w:highlight w:val="none"/>
        </w:rPr>
        <w:t>4）宣布监督、监标、唱标、记录人员名单；</w:t>
      </w:r>
      <w:bookmarkEnd w:id="44"/>
    </w:p>
    <w:p w14:paraId="73A7744A">
      <w:pPr>
        <w:shd w:val="clear"/>
        <w:spacing w:line="360" w:lineRule="auto"/>
        <w:ind w:firstLine="240" w:firstLineChars="100"/>
        <w:rPr>
          <w:rFonts w:hint="eastAsia" w:ascii="宋体" w:hAnsi="宋体" w:eastAsia="宋体" w:cs="Times New Roman"/>
          <w:color w:val="auto"/>
          <w:sz w:val="24"/>
          <w:highlight w:val="none"/>
          <w:lang w:val="en-US" w:eastAsia="zh-CN"/>
        </w:rPr>
      </w:pPr>
      <w:bookmarkStart w:id="45" w:name="_Toc21146"/>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）由监标人查验</w:t>
      </w:r>
      <w:r>
        <w:rPr>
          <w:rFonts w:hint="eastAsia" w:ascii="宋体" w:hAnsi="宋体" w:eastAsia="宋体" w:cs="Times New Roman"/>
          <w:color w:val="auto"/>
          <w:sz w:val="24"/>
          <w:highlight w:val="none"/>
          <w:lang w:val="en-US" w:eastAsia="zh-CN"/>
        </w:rPr>
        <w:t>开标所携带的原件</w:t>
      </w:r>
      <w:r>
        <w:rPr>
          <w:rFonts w:hint="eastAsia" w:ascii="宋体" w:hAnsi="宋体" w:eastAsia="宋体" w:cs="Times New Roman"/>
          <w:color w:val="auto"/>
          <w:sz w:val="24"/>
          <w:highlight w:val="none"/>
        </w:rPr>
        <w:t>，并宣布查验结果；</w:t>
      </w:r>
    </w:p>
    <w:p w14:paraId="08E30ABF">
      <w:pPr>
        <w:shd w:val="clear"/>
        <w:spacing w:line="360" w:lineRule="auto"/>
        <w:ind w:firstLine="240" w:firstLineChars="100"/>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rPr>
        <w:t>）</w:t>
      </w:r>
      <w:bookmarkEnd w:id="45"/>
      <w:r>
        <w:rPr>
          <w:rFonts w:hint="eastAsia" w:ascii="宋体" w:hAnsi="宋体" w:eastAsia="宋体" w:cs="Times New Roman"/>
          <w:color w:val="auto"/>
          <w:sz w:val="24"/>
          <w:highlight w:val="none"/>
        </w:rPr>
        <w:t>由监标人及各投标</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rPr>
        <w:t>代表共同查验投标文件密封</w:t>
      </w:r>
      <w:r>
        <w:rPr>
          <w:rFonts w:hint="eastAsia" w:ascii="宋体" w:hAnsi="宋体" w:eastAsia="宋体" w:cs="Times New Roman"/>
          <w:color w:val="auto"/>
          <w:sz w:val="24"/>
          <w:highlight w:val="none"/>
          <w:lang w:val="en-US" w:eastAsia="zh-CN"/>
        </w:rPr>
        <w:t>及标识情况</w:t>
      </w:r>
      <w:r>
        <w:rPr>
          <w:rFonts w:hint="eastAsia" w:ascii="宋体" w:hAnsi="宋体" w:eastAsia="宋体" w:cs="Times New Roman"/>
          <w:color w:val="auto"/>
          <w:sz w:val="24"/>
          <w:highlight w:val="none"/>
        </w:rPr>
        <w:t>，并宣布查验结果；</w:t>
      </w:r>
    </w:p>
    <w:p w14:paraId="7A9B499D">
      <w:pPr>
        <w:shd w:val="clear"/>
        <w:spacing w:line="360" w:lineRule="auto"/>
        <w:ind w:firstLine="240" w:firstLineChars="100"/>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rPr>
        <w:t>）开启</w:t>
      </w:r>
      <w:r>
        <w:rPr>
          <w:rFonts w:hint="eastAsia" w:ascii="宋体" w:hAnsi="宋体" w:eastAsia="宋体" w:cs="Times New Roman"/>
          <w:color w:val="auto"/>
          <w:sz w:val="24"/>
          <w:highlight w:val="none"/>
          <w:lang w:eastAsia="zh-CN"/>
        </w:rPr>
        <w:t>投标</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lang w:eastAsia="zh-CN"/>
        </w:rPr>
        <w:t>投标文件</w:t>
      </w:r>
      <w:r>
        <w:rPr>
          <w:rFonts w:hint="eastAsia" w:ascii="宋体" w:hAnsi="宋体" w:eastAsia="宋体" w:cs="Times New Roman"/>
          <w:color w:val="auto"/>
          <w:sz w:val="24"/>
          <w:highlight w:val="none"/>
        </w:rPr>
        <w:t>，唱标人宣读投标</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rPr>
        <w:t>名称、投标总价等主要内容，并经投标</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rPr>
        <w:t>签字确认；</w:t>
      </w:r>
    </w:p>
    <w:p w14:paraId="2B1BA4B2">
      <w:pPr>
        <w:shd w:val="clear"/>
        <w:spacing w:line="360" w:lineRule="auto"/>
        <w:ind w:firstLine="240" w:firstLineChars="100"/>
        <w:rPr>
          <w:rFonts w:hint="eastAsia" w:ascii="宋体" w:hAnsi="宋体" w:eastAsia="宋体" w:cs="Times New Roman"/>
          <w:color w:val="auto"/>
          <w:sz w:val="24"/>
          <w:highlight w:val="none"/>
        </w:rPr>
      </w:pPr>
      <w:bookmarkStart w:id="46" w:name="_Toc20146"/>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rPr>
        <w:t>）</w:t>
      </w:r>
      <w:bookmarkEnd w:id="46"/>
      <w:r>
        <w:rPr>
          <w:rFonts w:hint="eastAsia" w:ascii="宋体" w:hAnsi="宋体" w:eastAsia="宋体" w:cs="Times New Roman"/>
          <w:color w:val="auto"/>
          <w:sz w:val="24"/>
          <w:highlight w:val="none"/>
        </w:rPr>
        <w:t>休会，评审</w:t>
      </w:r>
      <w:r>
        <w:rPr>
          <w:rFonts w:hint="eastAsia" w:ascii="宋体" w:hAnsi="宋体" w:eastAsia="宋体" w:cs="Times New Roman"/>
          <w:color w:val="auto"/>
          <w:sz w:val="24"/>
          <w:highlight w:val="none"/>
          <w:lang w:eastAsia="zh-CN"/>
        </w:rPr>
        <w:t>投标文件</w:t>
      </w:r>
      <w:r>
        <w:rPr>
          <w:rFonts w:hint="eastAsia" w:ascii="宋体" w:hAnsi="宋体" w:eastAsia="宋体" w:cs="Times New Roman"/>
          <w:color w:val="auto"/>
          <w:sz w:val="24"/>
          <w:highlight w:val="none"/>
        </w:rPr>
        <w:t>；</w:t>
      </w:r>
    </w:p>
    <w:p w14:paraId="2CDB8BB1">
      <w:pPr>
        <w:shd w:val="clear"/>
        <w:spacing w:line="360" w:lineRule="auto"/>
        <w:ind w:firstLine="240" w:firstLineChars="100"/>
        <w:rPr>
          <w:rFonts w:hint="eastAsia" w:ascii="宋体" w:hAnsi="宋体" w:eastAsia="宋体" w:cs="Times New Roman"/>
          <w:color w:val="auto"/>
          <w:sz w:val="24"/>
          <w:highlight w:val="none"/>
        </w:rPr>
      </w:pPr>
      <w:bookmarkStart w:id="47" w:name="_Toc6331"/>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rPr>
        <w:t>）</w:t>
      </w:r>
      <w:bookmarkEnd w:id="47"/>
      <w:r>
        <w:rPr>
          <w:rFonts w:hint="eastAsia" w:ascii="宋体" w:hAnsi="宋体" w:eastAsia="宋体" w:cs="Times New Roman"/>
          <w:color w:val="auto"/>
          <w:sz w:val="24"/>
          <w:highlight w:val="none"/>
        </w:rPr>
        <w:t>开标会结束。</w:t>
      </w:r>
    </w:p>
    <w:p w14:paraId="5364E822">
      <w:pPr>
        <w:spacing w:line="360" w:lineRule="auto"/>
        <w:rPr>
          <w:rFonts w:ascii="宋体" w:hAnsi="宋体"/>
          <w:b/>
          <w:color w:val="auto"/>
          <w:sz w:val="24"/>
          <w:szCs w:val="24"/>
          <w:highlight w:val="none"/>
        </w:rPr>
      </w:pPr>
      <w:r>
        <w:rPr>
          <w:rFonts w:hint="eastAsia" w:ascii="宋体" w:hAnsi="宋体"/>
          <w:b/>
          <w:color w:val="auto"/>
          <w:sz w:val="24"/>
          <w:szCs w:val="24"/>
          <w:highlight w:val="none"/>
        </w:rPr>
        <w:t>17.评标委员会</w:t>
      </w:r>
    </w:p>
    <w:p w14:paraId="4B6EA6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17.1评标委员会由采购人和有关技术、经济等方面的专家组成，其中三分之二以上为技术、经济等方面的专家。</w:t>
      </w:r>
    </w:p>
    <w:p w14:paraId="0055E94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17.2 评标委员会根据招标文件确定的评分方法和标准对投标文件进行评审。</w:t>
      </w:r>
    </w:p>
    <w:p w14:paraId="2289DB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17.3评标委员会独立工作，任何单位和个人不得非法干涉评标委员会的评标工作。</w:t>
      </w:r>
    </w:p>
    <w:p w14:paraId="3980F26C">
      <w:pPr>
        <w:spacing w:line="360" w:lineRule="auto"/>
        <w:rPr>
          <w:rFonts w:ascii="宋体" w:hAnsi="宋体"/>
          <w:b/>
          <w:color w:val="auto"/>
          <w:sz w:val="24"/>
          <w:szCs w:val="24"/>
          <w:highlight w:val="none"/>
        </w:rPr>
      </w:pPr>
      <w:r>
        <w:rPr>
          <w:rFonts w:hint="eastAsia" w:ascii="宋体" w:hAnsi="宋体"/>
          <w:b/>
          <w:color w:val="auto"/>
          <w:sz w:val="24"/>
          <w:szCs w:val="24"/>
          <w:highlight w:val="none"/>
        </w:rPr>
        <w:t>18.对投标文件的评审</w:t>
      </w:r>
    </w:p>
    <w:p w14:paraId="605AE7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18.1评审内容为投标文件是否符合招标文件的要求，内容是否完整，价格构成有无计算错误，文件签署是否齐全。</w:t>
      </w:r>
    </w:p>
    <w:p w14:paraId="7D6F960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18.2评审中，对价格的计算错误按下述原则修正：</w:t>
      </w:r>
    </w:p>
    <w:p w14:paraId="5BAEB45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（1）单价乘数量不等于总价，以单价为准修正总价。</w:t>
      </w:r>
    </w:p>
    <w:p w14:paraId="03C3B7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（2）单价金额小数点有明显错误的，应以总价为准，并修改单价。</w:t>
      </w:r>
    </w:p>
    <w:p w14:paraId="2BF001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（3）文字表示的数据与相应阿拉伯数字不符，以文字所示为准，修正数字。</w:t>
      </w:r>
    </w:p>
    <w:p w14:paraId="7F239A1C">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（4）投标供应商不同意以上修正，则其投标将被拒绝。</w:t>
      </w:r>
    </w:p>
    <w:p w14:paraId="66F3784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18.3与招标文件有重大偏离的投标文件将被拒绝。重大偏离系指投标所报货物的质量、数量性能指标及资格证明文件中明显不能满足招标文件的要求。这些偏离不允许在开标后修正。但允许修改不构成重大偏离的、微小的、非正规的不一致或不规则的地方。</w:t>
      </w:r>
    </w:p>
    <w:p w14:paraId="0AEC7088">
      <w:pPr>
        <w:tabs>
          <w:tab w:val="left" w:pos="420"/>
        </w:tabs>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18.4对投标文件的判定，只依据投标文件所列内容，不依靠开标后的任何外来证明。</w:t>
      </w:r>
    </w:p>
    <w:p w14:paraId="288284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18.5投标供应商</w:t>
      </w:r>
      <w:r>
        <w:rPr>
          <w:rFonts w:ascii="宋体" w:hAnsi="宋体"/>
          <w:color w:val="auto"/>
          <w:sz w:val="24"/>
          <w:szCs w:val="24"/>
          <w:highlight w:val="none"/>
        </w:rPr>
        <w:t>及投标文件有效性和符合性审查，出现下列情况之一者（但不限于），按</w:t>
      </w:r>
      <w:r>
        <w:rPr>
          <w:rFonts w:ascii="宋体" w:hAnsi="宋体"/>
          <w:b/>
          <w:color w:val="auto"/>
          <w:sz w:val="24"/>
          <w:szCs w:val="24"/>
          <w:highlight w:val="none"/>
        </w:rPr>
        <w:t>无效</w:t>
      </w:r>
      <w:r>
        <w:rPr>
          <w:rFonts w:hint="eastAsia" w:ascii="宋体" w:hAnsi="宋体"/>
          <w:b/>
          <w:color w:val="auto"/>
          <w:sz w:val="24"/>
          <w:szCs w:val="24"/>
          <w:highlight w:val="none"/>
        </w:rPr>
        <w:t>文件</w:t>
      </w:r>
      <w:r>
        <w:rPr>
          <w:rFonts w:ascii="宋体" w:hAnsi="宋体"/>
          <w:b/>
          <w:color w:val="auto"/>
          <w:sz w:val="24"/>
          <w:szCs w:val="24"/>
          <w:highlight w:val="none"/>
        </w:rPr>
        <w:t>处理</w:t>
      </w:r>
      <w:r>
        <w:rPr>
          <w:rFonts w:ascii="宋体" w:hAnsi="宋体"/>
          <w:color w:val="auto"/>
          <w:sz w:val="24"/>
          <w:szCs w:val="24"/>
          <w:highlight w:val="none"/>
        </w:rPr>
        <w:t>。</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1"/>
        <w:gridCol w:w="8801"/>
      </w:tblGrid>
      <w:tr w14:paraId="427A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0" w:type="dxa"/>
            <w:tcBorders>
              <w:bottom w:val="nil"/>
              <w:right w:val="nil"/>
            </w:tcBorders>
            <w:shd w:val="clear" w:color="auto" w:fill="auto"/>
            <w:vAlign w:val="center"/>
          </w:tcPr>
          <w:p w14:paraId="3D554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color w:val="auto"/>
                <w:sz w:val="19"/>
                <w:szCs w:val="19"/>
                <w:highlight w:val="none"/>
              </w:rPr>
            </w:pPr>
          </w:p>
        </w:tc>
        <w:tc>
          <w:tcPr>
            <w:tcW w:w="7791" w:type="dxa"/>
            <w:tcBorders>
              <w:bottom w:val="nil"/>
              <w:right w:val="nil"/>
            </w:tcBorders>
            <w:shd w:val="clear" w:color="auto" w:fill="auto"/>
            <w:vAlign w:val="center"/>
          </w:tcPr>
          <w:p w14:paraId="7C33EB26">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1)投标供应商没有经过正常渠道获取招标文件或投标供应商的名称与登记领取招标文件单位的名称不符；</w:t>
            </w:r>
          </w:p>
          <w:p w14:paraId="652A8ABE">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)投标文件无投标有效期或有效期达不到招标文件的要求；</w:t>
            </w:r>
          </w:p>
          <w:p w14:paraId="0C28FA20">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)投标截止时间以后递交的投标文件；</w:t>
            </w:r>
          </w:p>
          <w:p w14:paraId="28AC94F9">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)投标供应商针对同一项目递交两份或多份内容不同的投标文件的；出现选择性报价的；投标报价超出采购预算；</w:t>
            </w:r>
          </w:p>
          <w:p w14:paraId="5F9EA9DC">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)投标文件不满足招标文件要求</w:t>
            </w:r>
            <w:r>
              <w:rPr>
                <w:rFonts w:hint="eastAsia" w:ascii="宋体" w:hAnsi="宋体" w:cs="Times New Roman"/>
                <w:color w:val="auto"/>
                <w:sz w:val="24"/>
                <w:szCs w:val="24"/>
                <w:highlight w:val="none"/>
                <w:lang w:val="en-US" w:eastAsia="zh-CN"/>
              </w:rPr>
              <w:t>（供货</w:t>
            </w:r>
            <w:r>
              <w:rPr>
                <w:rFonts w:hint="eastAsia" w:ascii="宋体" w:hAnsi="宋体" w:eastAsia="宋体" w:cs="Times New Roman"/>
                <w:color w:val="auto"/>
                <w:sz w:val="24"/>
                <w:szCs w:val="24"/>
                <w:highlight w:val="none"/>
                <w:lang w:val="en-US" w:eastAsia="zh-CN"/>
              </w:rPr>
              <w:t>期、付款、验收、售后服务等项）；</w:t>
            </w:r>
          </w:p>
          <w:p w14:paraId="5A7BCD82">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)投标供应商的必备资格证明文件不全、无效或达不到招标文件规定要求的；</w:t>
            </w:r>
          </w:p>
          <w:p w14:paraId="6BA0BD4C">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val="en-US" w:eastAsia="zh-CN"/>
              </w:rPr>
              <w:t>)未按招标文件指定格式填写“开标一览表”或“分项报价表”；</w:t>
            </w:r>
          </w:p>
          <w:p w14:paraId="624CF153">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val="en-US" w:eastAsia="zh-CN"/>
              </w:rPr>
              <w:t>)投标供应商拒不按照要求对投标文件进行澄清、说明或者补正的，评标委员会可以否决其投标。</w:t>
            </w:r>
          </w:p>
          <w:p w14:paraId="7A4BE815">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val="en-US" w:eastAsia="zh-CN"/>
              </w:rPr>
              <w:t>)提供虚假证明，开具虚假资质，除按无效标处理外，还进行相应的处罚。</w:t>
            </w:r>
          </w:p>
          <w:p w14:paraId="1F6C47AB">
            <w:pPr>
              <w:numPr>
                <w:ilvl w:val="0"/>
                <w:numId w:val="0"/>
              </w:num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(10)法律、法规和招标文件规定的其他无效情形。</w:t>
            </w:r>
          </w:p>
        </w:tc>
      </w:tr>
    </w:tbl>
    <w:p w14:paraId="68EC8BD9">
      <w:pPr>
        <w:pStyle w:val="15"/>
        <w:spacing w:line="360" w:lineRule="auto"/>
        <w:rPr>
          <w:rFonts w:hAnsi="宋体"/>
          <w:b/>
          <w:color w:val="auto"/>
          <w:sz w:val="24"/>
          <w:highlight w:val="none"/>
        </w:rPr>
      </w:pPr>
      <w:r>
        <w:rPr>
          <w:rFonts w:hint="eastAsia" w:hAnsi="宋体"/>
          <w:b/>
          <w:color w:val="auto"/>
          <w:sz w:val="24"/>
          <w:highlight w:val="none"/>
        </w:rPr>
        <w:t>19.投标文件的澄清</w:t>
      </w:r>
    </w:p>
    <w:p w14:paraId="16B802D9">
      <w:pPr>
        <w:pStyle w:val="15"/>
        <w:spacing w:line="360" w:lineRule="auto"/>
        <w:ind w:firstLine="480" w:firstLineChars="200"/>
        <w:rPr>
          <w:rFonts w:hAnsi="宋体"/>
          <w:color w:val="auto"/>
          <w:sz w:val="24"/>
          <w:highlight w:val="none"/>
        </w:rPr>
      </w:pPr>
      <w:r>
        <w:rPr>
          <w:rFonts w:hint="eastAsia" w:hAnsi="宋体"/>
          <w:color w:val="auto"/>
          <w:sz w:val="24"/>
          <w:highlight w:val="none"/>
        </w:rPr>
        <w:t>19.1评标委员会可以要求投标供应商对投标文件中含义不明确、对同类问题表述不一致或者有明显文字和计算错误的内容作必要的澄清、说明或者补正。</w:t>
      </w:r>
    </w:p>
    <w:p w14:paraId="6157AB92">
      <w:pPr>
        <w:pStyle w:val="15"/>
        <w:spacing w:line="360" w:lineRule="auto"/>
        <w:ind w:firstLine="480" w:firstLineChars="200"/>
        <w:rPr>
          <w:rFonts w:hAnsi="宋体"/>
          <w:color w:val="auto"/>
          <w:sz w:val="24"/>
          <w:highlight w:val="none"/>
        </w:rPr>
      </w:pPr>
      <w:r>
        <w:rPr>
          <w:rFonts w:hint="eastAsia" w:hAnsi="宋体"/>
          <w:color w:val="auto"/>
          <w:sz w:val="24"/>
          <w:highlight w:val="none"/>
        </w:rPr>
        <w:t>19.2投标供应商的澄清、说明或者补正不得超出投标文件的范围或者改变投标文件的实质性内容。</w:t>
      </w:r>
    </w:p>
    <w:p w14:paraId="119E1B02">
      <w:pPr>
        <w:spacing w:line="360" w:lineRule="auto"/>
        <w:ind w:firstLine="480" w:firstLineChars="200"/>
        <w:rPr>
          <w:rFonts w:ascii="宋体" w:hAnsi="宋体"/>
          <w:color w:val="auto"/>
          <w:sz w:val="24"/>
          <w:szCs w:val="24"/>
          <w:highlight w:val="none"/>
        </w:rPr>
      </w:pPr>
      <w:r>
        <w:rPr>
          <w:rFonts w:ascii="宋体" w:hAnsi="宋体"/>
          <w:color w:val="auto"/>
          <w:sz w:val="24"/>
          <w:highlight w:val="none"/>
        </w:rPr>
        <w:t>19.</w:t>
      </w:r>
      <w:r>
        <w:rPr>
          <w:rFonts w:hint="eastAsia" w:ascii="宋体" w:hAnsi="宋体"/>
          <w:color w:val="auto"/>
          <w:sz w:val="24"/>
          <w:highlight w:val="none"/>
        </w:rPr>
        <w:t>3投标供应商对投标文件的澄清只是评标委员会根据评标的需要而可能进行的工作，并非是评标的必要程序，也并非每个投标供应商都需要进行澄清。</w:t>
      </w:r>
    </w:p>
    <w:p w14:paraId="490D8BCF">
      <w:pPr>
        <w:spacing w:line="360" w:lineRule="auto"/>
        <w:outlineLvl w:val="0"/>
        <w:rPr>
          <w:rFonts w:ascii="宋体" w:hAnsi="宋体"/>
          <w:b/>
          <w:color w:val="auto"/>
          <w:sz w:val="24"/>
          <w:szCs w:val="24"/>
          <w:highlight w:val="none"/>
        </w:rPr>
      </w:pPr>
      <w:bookmarkStart w:id="48" w:name="_Toc28976"/>
      <w:bookmarkStart w:id="49" w:name="_Toc21674"/>
      <w:r>
        <w:rPr>
          <w:rFonts w:hint="eastAsia" w:ascii="宋体" w:hAnsi="宋体"/>
          <w:b/>
          <w:color w:val="auto"/>
          <w:sz w:val="24"/>
          <w:szCs w:val="24"/>
          <w:highlight w:val="none"/>
        </w:rPr>
        <w:t>20.评标</w:t>
      </w:r>
      <w:bookmarkEnd w:id="48"/>
      <w:bookmarkEnd w:id="49"/>
    </w:p>
    <w:p w14:paraId="331F6E0F">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20.1采购人根据招标内容及要求等特点组建评标委员会，评标委员会由采购人、技术和其他有关方面专家组成，成员人数为</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人，其中招标人代表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人，评审专家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人。评标委员会负责对具备实质性响应的投标文件进行评估和比较。</w:t>
      </w:r>
    </w:p>
    <w:p w14:paraId="6720E843">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s="宋体"/>
          <w:color w:val="auto"/>
          <w:kern w:val="0"/>
          <w:sz w:val="24"/>
          <w:szCs w:val="24"/>
          <w:highlight w:val="none"/>
          <w:lang w:val="zh-CN"/>
        </w:rPr>
        <w:t>依照《中华人民共和国政府采购法》《中华人民共和国政府采购法实施条例》</w:t>
      </w:r>
      <w:r>
        <w:rPr>
          <w:rFonts w:hint="eastAsia" w:ascii="宋体" w:hAnsi="宋体" w:cs="宋体"/>
          <w:color w:val="auto"/>
          <w:sz w:val="24"/>
          <w:szCs w:val="24"/>
          <w:highlight w:val="none"/>
        </w:rPr>
        <w:t>《政府采购货物和服务招标投标管理办法》</w:t>
      </w:r>
      <w:r>
        <w:rPr>
          <w:rFonts w:hint="eastAsia" w:ascii="宋体" w:hAnsi="宋体" w:cs="宋体"/>
          <w:color w:val="auto"/>
          <w:kern w:val="0"/>
          <w:sz w:val="24"/>
          <w:szCs w:val="24"/>
          <w:highlight w:val="none"/>
          <w:lang w:val="zh-CN"/>
        </w:rPr>
        <w:t>的规定，结合该项目的特点制定本评审办法。本次评审采用综合评分法。</w:t>
      </w:r>
    </w:p>
    <w:p w14:paraId="67AC3EBB">
      <w:pPr>
        <w:tabs>
          <w:tab w:val="left" w:pos="420"/>
        </w:tabs>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20.3评审标准：</w:t>
      </w:r>
      <w:bookmarkStart w:id="50" w:name="_Toc144974440"/>
      <w:bookmarkStart w:id="51" w:name="_Toc419212523"/>
      <w:bookmarkStart w:id="52" w:name="_Toc419213051"/>
      <w:bookmarkStart w:id="53" w:name="_Toc152047236"/>
      <w:bookmarkStart w:id="54" w:name="_Toc490582062"/>
      <w:bookmarkStart w:id="55" w:name="_Toc179715729"/>
      <w:bookmarkStart w:id="56" w:name="_Toc344378623"/>
    </w:p>
    <w:p w14:paraId="196FEFA9">
      <w:pPr>
        <w:tabs>
          <w:tab w:val="left" w:pos="420"/>
        </w:tabs>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20.3.1资格审查标准</w:t>
      </w:r>
      <w:bookmarkEnd w:id="50"/>
      <w:bookmarkEnd w:id="51"/>
      <w:bookmarkEnd w:id="52"/>
      <w:bookmarkEnd w:id="53"/>
      <w:bookmarkEnd w:id="54"/>
      <w:bookmarkEnd w:id="55"/>
      <w:bookmarkEnd w:id="56"/>
    </w:p>
    <w:p w14:paraId="1472A13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资格审查标准：见后附评标办法。</w:t>
      </w:r>
      <w:bookmarkStart w:id="57" w:name="_Toc144974441"/>
      <w:bookmarkStart w:id="58" w:name="_Toc344378624"/>
      <w:bookmarkStart w:id="59" w:name="_Toc419212524"/>
      <w:bookmarkStart w:id="60" w:name="_Toc152047237"/>
      <w:bookmarkStart w:id="61" w:name="_Toc490582063"/>
      <w:bookmarkStart w:id="62" w:name="_Toc179715730"/>
      <w:bookmarkStart w:id="63" w:name="_Toc419213052"/>
    </w:p>
    <w:p w14:paraId="63E528F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20.3.2符合性审查标准</w:t>
      </w:r>
      <w:bookmarkEnd w:id="57"/>
      <w:bookmarkEnd w:id="58"/>
      <w:bookmarkEnd w:id="59"/>
      <w:bookmarkEnd w:id="60"/>
      <w:bookmarkEnd w:id="61"/>
      <w:bookmarkEnd w:id="62"/>
      <w:bookmarkEnd w:id="63"/>
    </w:p>
    <w:p w14:paraId="2EB46F7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符合性审查标准：见后附评标办法。</w:t>
      </w:r>
    </w:p>
    <w:p w14:paraId="51E7011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20.3.3评分标准</w:t>
      </w:r>
    </w:p>
    <w:p w14:paraId="7BFFE4AD">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评分标准：见后附评标办法。</w:t>
      </w:r>
    </w:p>
    <w:p w14:paraId="36778CDD">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20.4 评审流程：</w:t>
      </w:r>
    </w:p>
    <w:p w14:paraId="6221EEE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20.4.1资格审查</w:t>
      </w:r>
    </w:p>
    <w:p w14:paraId="491ED7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采购人或者采购代理机构依据本章第20.6.1款规定的标准，对投标文件进行资格审查。有一项因素不符合审查标准的，不能通过资格审查。</w:t>
      </w:r>
    </w:p>
    <w:p w14:paraId="00F504B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20.4.2符合性审查</w:t>
      </w:r>
    </w:p>
    <w:p w14:paraId="011FB3E5">
      <w:pPr>
        <w:keepLines w:val="0"/>
        <w:pageBreakBefore w:val="0"/>
        <w:widowControl w:val="0"/>
        <w:kinsoku/>
        <w:wordWrap/>
        <w:overflowPunct/>
        <w:topLinePunct w:val="0"/>
        <w:autoSpaceDE/>
        <w:autoSpaceDN/>
        <w:bidi w:val="0"/>
        <w:adjustRightInd/>
        <w:snapToGrid/>
        <w:spacing w:line="360" w:lineRule="auto"/>
        <w:ind w:firstLine="435"/>
        <w:textAlignment w:val="auto"/>
        <w:rPr>
          <w:rFonts w:hint="default" w:eastAsia="宋体"/>
          <w:color w:val="auto"/>
          <w:highlight w:val="none"/>
          <w:lang w:val="en-US" w:eastAsia="zh-CN"/>
        </w:rPr>
      </w:pPr>
      <w:r>
        <w:rPr>
          <w:rFonts w:hint="eastAsia" w:ascii="宋体" w:hAnsi="宋体"/>
          <w:color w:val="auto"/>
          <w:sz w:val="24"/>
          <w:szCs w:val="24"/>
          <w:highlight w:val="none"/>
        </w:rPr>
        <w:t>20.4.2.1评标委员会依据本章第20.6.2款规定的标准，对通过资格审查的招标文件进行符合性审查。有一项因素不符合审查标准的，不能通过符合性审查。</w:t>
      </w:r>
    </w:p>
    <w:p w14:paraId="20504A35">
      <w:pPr>
        <w:keepLines w:val="0"/>
        <w:pageBreakBefore w:val="0"/>
        <w:widowControl w:val="0"/>
        <w:kinsoku/>
        <w:wordWrap/>
        <w:overflowPunct/>
        <w:topLinePunct w:val="0"/>
        <w:autoSpaceDE/>
        <w:autoSpaceDN/>
        <w:bidi w:val="0"/>
        <w:adjustRightInd/>
        <w:snapToGrid/>
        <w:spacing w:line="360" w:lineRule="auto"/>
        <w:ind w:firstLine="435"/>
        <w:textAlignment w:val="auto"/>
        <w:rPr>
          <w:rFonts w:ascii="宋体" w:hAnsi="宋体"/>
          <w:color w:val="auto"/>
          <w:sz w:val="24"/>
          <w:szCs w:val="24"/>
          <w:highlight w:val="none"/>
        </w:rPr>
      </w:pPr>
      <w:r>
        <w:rPr>
          <w:rFonts w:hint="eastAsia" w:ascii="宋体" w:hAnsi="宋体"/>
          <w:color w:val="auto"/>
          <w:sz w:val="24"/>
          <w:szCs w:val="24"/>
          <w:highlight w:val="none"/>
        </w:rPr>
        <w:t>20.4.3综合评估打分</w:t>
      </w:r>
    </w:p>
    <w:p w14:paraId="2B2969B1">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评标委员会依据本章第20.6.3款规定的标准对通过资格审查和符合性审查的投标供应商进行综合比较打分。</w:t>
      </w:r>
    </w:p>
    <w:p w14:paraId="1F211913">
      <w:pPr>
        <w:pStyle w:val="6"/>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auto"/>
          <w:kern w:val="2"/>
          <w:sz w:val="24"/>
          <w:szCs w:val="24"/>
          <w:highlight w:val="none"/>
          <w:u w:val="none"/>
          <w:lang w:val="en-US" w:eastAsia="zh-CN" w:bidi="ar-SA"/>
        </w:rPr>
      </w:pPr>
      <w:r>
        <w:rPr>
          <w:rFonts w:hint="eastAsia" w:ascii="宋体" w:hAnsi="宋体" w:eastAsia="宋体" w:cs="Times New Roman"/>
          <w:color w:val="auto"/>
          <w:kern w:val="2"/>
          <w:sz w:val="24"/>
          <w:szCs w:val="24"/>
          <w:highlight w:val="none"/>
          <w:u w:val="none"/>
          <w:lang w:val="en-US" w:eastAsia="zh-CN" w:bidi="ar-SA"/>
        </w:rPr>
        <w:t xml:space="preserve">   20.4.4</w:t>
      </w:r>
      <w:r>
        <w:rPr>
          <w:rFonts w:hint="eastAsia" w:ascii="宋体" w:hAnsi="宋体" w:cs="Times New Roman"/>
          <w:color w:val="auto"/>
          <w:kern w:val="2"/>
          <w:sz w:val="24"/>
          <w:szCs w:val="24"/>
          <w:highlight w:val="none"/>
          <w:u w:val="none"/>
          <w:lang w:val="en-US" w:eastAsia="zh-CN" w:bidi="ar-SA"/>
        </w:rPr>
        <w:t>在评审过程中，符合要求的供应商不足三家时，不再进行下一步评审，采购人重新进行采购。</w:t>
      </w:r>
    </w:p>
    <w:p w14:paraId="0B93BEBE">
      <w:pPr>
        <w:keepLines w:val="0"/>
        <w:pageBreakBefore w:val="0"/>
        <w:widowControl w:val="0"/>
        <w:kinsoku/>
        <w:wordWrap/>
        <w:overflowPunct/>
        <w:topLinePunct w:val="0"/>
        <w:autoSpaceDE/>
        <w:autoSpaceDN/>
        <w:bidi w:val="0"/>
        <w:adjustRightInd/>
        <w:snapToGrid/>
        <w:spacing w:line="360" w:lineRule="auto"/>
        <w:ind w:firstLine="435"/>
        <w:textAlignment w:val="auto"/>
        <w:rPr>
          <w:rFonts w:ascii="宋体" w:hAnsi="宋体"/>
          <w:color w:val="auto"/>
          <w:sz w:val="24"/>
          <w:szCs w:val="24"/>
          <w:highlight w:val="none"/>
        </w:rPr>
      </w:pPr>
      <w:r>
        <w:rPr>
          <w:rFonts w:hint="eastAsia" w:ascii="宋体" w:hAnsi="宋体"/>
          <w:color w:val="auto"/>
          <w:sz w:val="24"/>
          <w:szCs w:val="24"/>
          <w:highlight w:val="none"/>
        </w:rPr>
        <w:t>20.4.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排序</w:t>
      </w:r>
    </w:p>
    <w:p w14:paraId="589CC206">
      <w:pPr>
        <w:keepLines w:val="0"/>
        <w:pageBreakBefore w:val="0"/>
        <w:widowControl w:val="0"/>
        <w:kinsoku/>
        <w:wordWrap/>
        <w:overflowPunct/>
        <w:topLinePunct w:val="0"/>
        <w:autoSpaceDE/>
        <w:autoSpaceDN/>
        <w:bidi w:val="0"/>
        <w:adjustRightInd/>
        <w:snapToGrid/>
        <w:spacing w:line="360" w:lineRule="auto"/>
        <w:ind w:firstLine="435"/>
        <w:textAlignment w:val="auto"/>
        <w:rPr>
          <w:rFonts w:ascii="宋体" w:hAnsi="宋体"/>
          <w:color w:val="auto"/>
          <w:sz w:val="24"/>
          <w:szCs w:val="24"/>
          <w:highlight w:val="none"/>
        </w:rPr>
      </w:pPr>
      <w:r>
        <w:rPr>
          <w:rFonts w:hint="eastAsia" w:ascii="宋体" w:hAnsi="宋体"/>
          <w:color w:val="auto"/>
          <w:sz w:val="24"/>
          <w:szCs w:val="24"/>
          <w:highlight w:val="none"/>
        </w:rPr>
        <w:t>按照得分由高到低的顺序，按排序推荐中标候选单位。</w:t>
      </w:r>
    </w:p>
    <w:p w14:paraId="1ABA7CD3">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评审内容及赋分方式</w:t>
      </w:r>
    </w:p>
    <w:p w14:paraId="6D5483FA">
      <w:pPr>
        <w:pStyle w:val="16"/>
        <w:rPr>
          <w:rFonts w:ascii="宋体" w:hAnsi="宋体"/>
          <w:color w:val="auto"/>
          <w:sz w:val="24"/>
          <w:szCs w:val="24"/>
          <w:highlight w:val="none"/>
        </w:rPr>
      </w:pPr>
    </w:p>
    <w:p w14:paraId="358B65C0">
      <w:pPr>
        <w:pStyle w:val="12"/>
        <w:rPr>
          <w:rFonts w:ascii="宋体" w:hAnsi="宋体" w:cs="宋体"/>
          <w:b/>
          <w:bCs/>
          <w:color w:val="auto"/>
          <w:sz w:val="24"/>
          <w:szCs w:val="24"/>
          <w:highlight w:val="none"/>
        </w:rPr>
      </w:pPr>
    </w:p>
    <w:p w14:paraId="161BAC32">
      <w:pPr>
        <w:pStyle w:val="12"/>
        <w:rPr>
          <w:rFonts w:ascii="宋体" w:hAnsi="宋体" w:cs="宋体"/>
          <w:b/>
          <w:bCs/>
          <w:color w:val="auto"/>
          <w:sz w:val="24"/>
          <w:szCs w:val="24"/>
          <w:highlight w:val="none"/>
        </w:rPr>
      </w:pPr>
    </w:p>
    <w:p w14:paraId="0B5D7093">
      <w:pPr>
        <w:rPr>
          <w:rFonts w:ascii="宋体" w:hAnsi="宋体" w:cs="宋体"/>
          <w:b/>
          <w:bCs/>
          <w:color w:val="auto"/>
          <w:sz w:val="24"/>
          <w:szCs w:val="24"/>
          <w:highlight w:val="none"/>
        </w:rPr>
      </w:pPr>
    </w:p>
    <w:p w14:paraId="69D9F815">
      <w:pPr>
        <w:pStyle w:val="6"/>
        <w:rPr>
          <w:rFonts w:ascii="宋体" w:hAnsi="宋体" w:cs="宋体"/>
          <w:b/>
          <w:bCs/>
          <w:color w:val="auto"/>
          <w:sz w:val="24"/>
          <w:szCs w:val="24"/>
          <w:highlight w:val="none"/>
        </w:rPr>
      </w:pPr>
    </w:p>
    <w:p w14:paraId="3A545217">
      <w:pPr>
        <w:rPr>
          <w:rFonts w:ascii="宋体" w:hAnsi="宋体" w:cs="宋体"/>
          <w:b/>
          <w:bCs/>
          <w:color w:val="auto"/>
          <w:sz w:val="24"/>
          <w:szCs w:val="24"/>
          <w:highlight w:val="none"/>
        </w:rPr>
      </w:pPr>
    </w:p>
    <w:p w14:paraId="54D7DF0F">
      <w:pPr>
        <w:pStyle w:val="6"/>
        <w:rPr>
          <w:rFonts w:ascii="宋体" w:hAnsi="宋体" w:cs="宋体"/>
          <w:b/>
          <w:bCs/>
          <w:color w:val="auto"/>
          <w:sz w:val="24"/>
          <w:szCs w:val="24"/>
          <w:highlight w:val="none"/>
        </w:rPr>
      </w:pPr>
    </w:p>
    <w:p w14:paraId="6DD051FF">
      <w:pPr>
        <w:rPr>
          <w:rFonts w:ascii="宋体" w:hAnsi="宋体" w:cs="宋体"/>
          <w:b/>
          <w:bCs/>
          <w:color w:val="auto"/>
          <w:sz w:val="24"/>
          <w:szCs w:val="24"/>
          <w:highlight w:val="none"/>
        </w:rPr>
      </w:pPr>
    </w:p>
    <w:p w14:paraId="242B04D8">
      <w:pPr>
        <w:rPr>
          <w:rFonts w:ascii="宋体" w:hAnsi="宋体" w:cs="宋体"/>
          <w:b/>
          <w:bCs/>
          <w:color w:val="auto"/>
          <w:sz w:val="24"/>
          <w:szCs w:val="24"/>
          <w:highlight w:val="none"/>
        </w:rPr>
      </w:pPr>
    </w:p>
    <w:p w14:paraId="753C59E6">
      <w:pPr>
        <w:rPr>
          <w:rFonts w:ascii="宋体" w:hAnsi="宋体" w:cs="宋体"/>
          <w:b/>
          <w:bCs/>
          <w:color w:val="auto"/>
          <w:sz w:val="24"/>
          <w:szCs w:val="24"/>
          <w:highlight w:val="none"/>
        </w:rPr>
      </w:pPr>
    </w:p>
    <w:p w14:paraId="1D2518EE">
      <w:pPr>
        <w:rPr>
          <w:rFonts w:ascii="宋体" w:hAnsi="宋体" w:cs="宋体"/>
          <w:b/>
          <w:bCs/>
          <w:color w:val="auto"/>
          <w:sz w:val="24"/>
          <w:szCs w:val="24"/>
          <w:highlight w:val="none"/>
        </w:rPr>
      </w:pPr>
    </w:p>
    <w:p w14:paraId="799C8EC1">
      <w:pPr>
        <w:rPr>
          <w:rFonts w:ascii="宋体" w:hAnsi="宋体" w:cs="宋体"/>
          <w:b/>
          <w:bCs/>
          <w:color w:val="auto"/>
          <w:sz w:val="24"/>
          <w:szCs w:val="24"/>
          <w:highlight w:val="none"/>
        </w:rPr>
      </w:pPr>
    </w:p>
    <w:p w14:paraId="35FA6EB5">
      <w:pPr>
        <w:rPr>
          <w:rFonts w:ascii="宋体" w:hAnsi="宋体" w:cs="宋体"/>
          <w:b/>
          <w:bCs/>
          <w:color w:val="auto"/>
          <w:sz w:val="24"/>
          <w:szCs w:val="24"/>
          <w:highlight w:val="none"/>
        </w:rPr>
      </w:pPr>
    </w:p>
    <w:p w14:paraId="48FFF790">
      <w:pPr>
        <w:rPr>
          <w:rFonts w:ascii="宋体" w:hAnsi="宋体" w:cs="宋体"/>
          <w:b/>
          <w:bCs/>
          <w:color w:val="auto"/>
          <w:sz w:val="24"/>
          <w:szCs w:val="24"/>
          <w:highlight w:val="none"/>
        </w:rPr>
      </w:pPr>
    </w:p>
    <w:p w14:paraId="5D51B1E7">
      <w:pPr>
        <w:rPr>
          <w:rFonts w:ascii="宋体" w:hAnsi="宋体" w:cs="宋体"/>
          <w:b/>
          <w:bCs/>
          <w:color w:val="auto"/>
          <w:sz w:val="24"/>
          <w:szCs w:val="24"/>
          <w:highlight w:val="none"/>
        </w:rPr>
      </w:pPr>
    </w:p>
    <w:p w14:paraId="395FCD53">
      <w:pPr>
        <w:rPr>
          <w:rFonts w:ascii="宋体" w:hAnsi="宋体" w:cs="宋体"/>
          <w:b/>
          <w:bCs/>
          <w:color w:val="auto"/>
          <w:sz w:val="24"/>
          <w:szCs w:val="24"/>
          <w:highlight w:val="none"/>
        </w:rPr>
      </w:pPr>
    </w:p>
    <w:p w14:paraId="7E84046B">
      <w:pPr>
        <w:rPr>
          <w:rFonts w:ascii="宋体" w:hAnsi="宋体" w:cs="宋体"/>
          <w:b/>
          <w:bCs/>
          <w:color w:val="auto"/>
          <w:sz w:val="24"/>
          <w:szCs w:val="24"/>
          <w:highlight w:val="none"/>
        </w:rPr>
      </w:pPr>
    </w:p>
    <w:p w14:paraId="27A694E0">
      <w:pPr>
        <w:rPr>
          <w:rFonts w:ascii="宋体" w:hAnsi="宋体" w:cs="宋体"/>
          <w:b/>
          <w:bCs/>
          <w:color w:val="auto"/>
          <w:sz w:val="24"/>
          <w:szCs w:val="24"/>
          <w:highlight w:val="none"/>
        </w:rPr>
      </w:pPr>
    </w:p>
    <w:p w14:paraId="1E7B0D25">
      <w:pPr>
        <w:rPr>
          <w:rFonts w:ascii="宋体" w:hAnsi="宋体" w:cs="宋体"/>
          <w:b/>
          <w:bCs/>
          <w:color w:val="auto"/>
          <w:sz w:val="24"/>
          <w:szCs w:val="24"/>
          <w:highlight w:val="none"/>
        </w:rPr>
      </w:pPr>
    </w:p>
    <w:p w14:paraId="52C6D9C6">
      <w:pPr>
        <w:rPr>
          <w:rFonts w:ascii="宋体" w:hAnsi="宋体" w:cs="宋体"/>
          <w:b/>
          <w:bCs/>
          <w:color w:val="auto"/>
          <w:sz w:val="24"/>
          <w:szCs w:val="24"/>
          <w:highlight w:val="none"/>
        </w:rPr>
      </w:pPr>
    </w:p>
    <w:p w14:paraId="195D81CF">
      <w:pPr>
        <w:rPr>
          <w:rFonts w:ascii="宋体" w:hAnsi="宋体" w:cs="宋体"/>
          <w:b/>
          <w:bCs/>
          <w:color w:val="auto"/>
          <w:sz w:val="24"/>
          <w:szCs w:val="24"/>
          <w:highlight w:val="none"/>
        </w:rPr>
      </w:pPr>
    </w:p>
    <w:p w14:paraId="272BA95C">
      <w:pPr>
        <w:rPr>
          <w:rFonts w:ascii="宋体" w:hAnsi="宋体" w:cs="宋体"/>
          <w:b/>
          <w:bCs/>
          <w:color w:val="auto"/>
          <w:sz w:val="24"/>
          <w:szCs w:val="24"/>
          <w:highlight w:val="none"/>
        </w:rPr>
      </w:pPr>
    </w:p>
    <w:p w14:paraId="494806C7">
      <w:pPr>
        <w:rPr>
          <w:rFonts w:ascii="宋体" w:hAnsi="宋体" w:cs="宋体"/>
          <w:b/>
          <w:bCs/>
          <w:color w:val="auto"/>
          <w:sz w:val="24"/>
          <w:szCs w:val="24"/>
          <w:highlight w:val="none"/>
        </w:rPr>
      </w:pPr>
    </w:p>
    <w:p w14:paraId="02645398">
      <w:pPr>
        <w:rPr>
          <w:rFonts w:ascii="宋体" w:hAnsi="宋体" w:cs="宋体"/>
          <w:b/>
          <w:bCs/>
          <w:color w:val="auto"/>
          <w:sz w:val="24"/>
          <w:szCs w:val="24"/>
          <w:highlight w:val="none"/>
        </w:rPr>
      </w:pPr>
    </w:p>
    <w:p w14:paraId="05ACADC2">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026A9CF0">
      <w:pPr>
        <w:pStyle w:val="1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20.6.1资格性审查</w:t>
      </w:r>
    </w:p>
    <w:p w14:paraId="63A1FBE3">
      <w:pPr>
        <w:pStyle w:val="12"/>
        <w:rPr>
          <w:rFonts w:ascii="宋体" w:hAnsi="宋体" w:cs="宋体"/>
          <w:b/>
          <w:bCs/>
          <w:color w:val="auto"/>
          <w:sz w:val="24"/>
          <w:szCs w:val="24"/>
          <w:highlight w:val="none"/>
        </w:rPr>
      </w:pPr>
      <w:r>
        <w:rPr>
          <w:rFonts w:hint="eastAsia" w:ascii="宋体" w:hAnsi="宋体" w:cs="宋体"/>
          <w:b/>
          <w:bCs/>
          <w:color w:val="auto"/>
          <w:sz w:val="24"/>
          <w:szCs w:val="24"/>
          <w:highlight w:val="none"/>
        </w:rPr>
        <w:t>资格性审查要素表</w:t>
      </w:r>
    </w:p>
    <w:p w14:paraId="107B2ABF">
      <w:pPr>
        <w:pStyle w:val="16"/>
        <w:rPr>
          <w:color w:val="auto"/>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609"/>
        <w:gridCol w:w="6172"/>
      </w:tblGrid>
      <w:tr w14:paraId="4593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blHeader/>
        </w:trPr>
        <w:tc>
          <w:tcPr>
            <w:tcW w:w="734" w:type="dxa"/>
            <w:vAlign w:val="center"/>
          </w:tcPr>
          <w:p w14:paraId="4C2F56FB">
            <w:pPr>
              <w:tabs>
                <w:tab w:val="left" w:pos="0"/>
              </w:tabs>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609" w:type="dxa"/>
            <w:vAlign w:val="center"/>
          </w:tcPr>
          <w:p w14:paraId="7DF56AA3">
            <w:pPr>
              <w:tabs>
                <w:tab w:val="left" w:pos="0"/>
              </w:tabs>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6172" w:type="dxa"/>
            <w:vAlign w:val="center"/>
          </w:tcPr>
          <w:p w14:paraId="21C941AA">
            <w:pPr>
              <w:tabs>
                <w:tab w:val="left" w:pos="0"/>
              </w:tabs>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1B42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vMerge w:val="restart"/>
            <w:vAlign w:val="center"/>
          </w:tcPr>
          <w:p w14:paraId="3FE2DB82">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p>
          <w:p w14:paraId="76385A22">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资格性评审标准</w:t>
            </w:r>
          </w:p>
        </w:tc>
        <w:tc>
          <w:tcPr>
            <w:tcW w:w="1609" w:type="dxa"/>
            <w:vMerge w:val="restart"/>
            <w:vAlign w:val="center"/>
          </w:tcPr>
          <w:p w14:paraId="7A514478">
            <w:pPr>
              <w:keepNext w:val="0"/>
              <w:keepLines w:val="0"/>
              <w:pageBreakBefore w:val="0"/>
              <w:widowControl w:val="0"/>
              <w:kinsoku/>
              <w:wordWrap/>
              <w:overflowPunct/>
              <w:topLinePunct w:val="0"/>
              <w:autoSpaceDE/>
              <w:autoSpaceDN/>
              <w:bidi w:val="0"/>
              <w:adjustRightInd/>
              <w:snapToGrid/>
              <w:spacing w:line="440" w:lineRule="exact"/>
              <w:ind w:left="62"/>
              <w:jc w:val="center"/>
              <w:textAlignment w:val="auto"/>
              <w:rPr>
                <w:rFonts w:hint="eastAsia" w:ascii="宋体" w:hAnsi="宋体" w:eastAsia="宋体" w:cs="仿宋_GB2312"/>
                <w:bCs/>
                <w:color w:val="auto"/>
                <w:sz w:val="22"/>
                <w:szCs w:val="22"/>
                <w:highlight w:val="none"/>
              </w:rPr>
            </w:pPr>
            <w:r>
              <w:rPr>
                <w:rFonts w:hint="eastAsia" w:ascii="宋体" w:hAnsi="宋体" w:eastAsia="宋体" w:cs="仿宋_GB2312"/>
                <w:bCs/>
                <w:color w:val="auto"/>
                <w:sz w:val="22"/>
                <w:szCs w:val="22"/>
                <w:highlight w:val="none"/>
              </w:rPr>
              <w:t>资格性评审</w:t>
            </w:r>
          </w:p>
          <w:p w14:paraId="273D565A">
            <w:pPr>
              <w:keepNext w:val="0"/>
              <w:keepLines w:val="0"/>
              <w:pageBreakBefore w:val="0"/>
              <w:widowControl w:val="0"/>
              <w:kinsoku/>
              <w:wordWrap/>
              <w:overflowPunct/>
              <w:topLinePunct w:val="0"/>
              <w:autoSpaceDE/>
              <w:autoSpaceDN/>
              <w:bidi w:val="0"/>
              <w:adjustRightInd/>
              <w:snapToGrid/>
              <w:spacing w:line="440" w:lineRule="exact"/>
              <w:ind w:left="62"/>
              <w:jc w:val="center"/>
              <w:textAlignment w:val="auto"/>
              <w:rPr>
                <w:rFonts w:hint="eastAsia" w:ascii="宋体" w:hAnsi="宋体" w:eastAsia="宋体" w:cs="宋体"/>
                <w:color w:val="auto"/>
                <w:szCs w:val="22"/>
                <w:highlight w:val="none"/>
                <w:lang w:val="en-US" w:eastAsia="zh-CN"/>
              </w:rPr>
            </w:pPr>
            <w:r>
              <w:rPr>
                <w:rFonts w:hint="eastAsia" w:ascii="宋体" w:hAnsi="宋体" w:eastAsia="宋体" w:cs="仿宋_GB2312"/>
                <w:bCs/>
                <w:color w:val="auto"/>
                <w:sz w:val="22"/>
                <w:szCs w:val="22"/>
                <w:highlight w:val="none"/>
              </w:rPr>
              <w:t>标准</w:t>
            </w:r>
          </w:p>
        </w:tc>
        <w:tc>
          <w:tcPr>
            <w:tcW w:w="6172" w:type="dxa"/>
            <w:shd w:val="clear" w:color="auto" w:fill="auto"/>
            <w:vAlign w:val="center"/>
          </w:tcPr>
          <w:p w14:paraId="539F8630">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（1）具有独立承担民事责任能力的法人、其他组织或自然人，提供合法有效的统一社会信用代码营业执照（事业单位提供事业单位法人证书，自然人提供身份证明）；</w:t>
            </w:r>
          </w:p>
        </w:tc>
      </w:tr>
      <w:tr w14:paraId="6DE3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34" w:type="dxa"/>
            <w:vMerge w:val="continue"/>
            <w:vAlign w:val="center"/>
          </w:tcPr>
          <w:p w14:paraId="07337A5F">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p>
        </w:tc>
        <w:tc>
          <w:tcPr>
            <w:tcW w:w="1609" w:type="dxa"/>
            <w:vMerge w:val="continue"/>
            <w:vAlign w:val="center"/>
          </w:tcPr>
          <w:p w14:paraId="1BF40F02">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p>
        </w:tc>
        <w:tc>
          <w:tcPr>
            <w:tcW w:w="6172" w:type="dxa"/>
            <w:vAlign w:val="center"/>
          </w:tcPr>
          <w:p w14:paraId="32D829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2"/>
                <w:highlight w:val="none"/>
                <w:lang w:val="en-US" w:eastAsia="zh-CN"/>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（2）法定代表人授权书（附法定代表人、被授权人身份证复印件）及被授权人身份证（法定代表人直接参加投标会议，须提供法定代表人身份证明及身份证原件及复印件加盖公章）；</w:t>
            </w:r>
          </w:p>
        </w:tc>
      </w:tr>
      <w:tr w14:paraId="41B1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34" w:type="dxa"/>
            <w:vMerge w:val="continue"/>
            <w:vAlign w:val="center"/>
          </w:tcPr>
          <w:p w14:paraId="5FB17503">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p>
        </w:tc>
        <w:tc>
          <w:tcPr>
            <w:tcW w:w="1609" w:type="dxa"/>
            <w:vMerge w:val="continue"/>
            <w:vAlign w:val="center"/>
          </w:tcPr>
          <w:p w14:paraId="7E3A6FEB">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p>
        </w:tc>
        <w:tc>
          <w:tcPr>
            <w:tcW w:w="6172" w:type="dxa"/>
            <w:vAlign w:val="center"/>
          </w:tcPr>
          <w:p w14:paraId="134ABAF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kern w:val="2"/>
                <w:sz w:val="21"/>
                <w:szCs w:val="22"/>
                <w:highlight w:val="none"/>
                <w:lang w:val="en-US" w:eastAsia="zh-CN" w:bidi="ar-SA"/>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（3）财务状况报告：提供投标人2023年度经审计的财务报告或在开标日期前6个月内其基本开户银行出具的资信证明和开户行许可证或基本存款账户信息；</w:t>
            </w:r>
          </w:p>
        </w:tc>
      </w:tr>
      <w:tr w14:paraId="0C4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4" w:type="dxa"/>
            <w:vMerge w:val="continue"/>
            <w:vAlign w:val="center"/>
          </w:tcPr>
          <w:p w14:paraId="1E1546B5">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p>
        </w:tc>
        <w:tc>
          <w:tcPr>
            <w:tcW w:w="1609" w:type="dxa"/>
            <w:vMerge w:val="continue"/>
            <w:vAlign w:val="center"/>
          </w:tcPr>
          <w:p w14:paraId="28D7390F">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p>
        </w:tc>
        <w:tc>
          <w:tcPr>
            <w:tcW w:w="6172" w:type="dxa"/>
            <w:vAlign w:val="center"/>
          </w:tcPr>
          <w:p w14:paraId="611CCC8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kern w:val="2"/>
                <w:sz w:val="21"/>
                <w:szCs w:val="22"/>
                <w:highlight w:val="none"/>
                <w:lang w:val="en-US" w:eastAsia="zh-CN" w:bidi="ar-SA"/>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4）税收缴纳证明：投标人提供近一年内已缴纳的至少一个月的纳税证明或完税证明（任意税种），纳税证明或完税证明上应有代收机构或税务机关的公章或业务专用章；（依法不需要缴纳税收的供应商应提供相关证明）；</w:t>
            </w:r>
          </w:p>
        </w:tc>
      </w:tr>
      <w:tr w14:paraId="2880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4" w:type="dxa"/>
            <w:vMerge w:val="continue"/>
            <w:vAlign w:val="center"/>
          </w:tcPr>
          <w:p w14:paraId="27EE22FF">
            <w:pPr>
              <w:jc w:val="left"/>
              <w:rPr>
                <w:rFonts w:ascii="宋体" w:hAnsi="宋体" w:cs="宋体"/>
                <w:bCs/>
                <w:color w:val="auto"/>
                <w:sz w:val="20"/>
                <w:highlight w:val="none"/>
              </w:rPr>
            </w:pPr>
          </w:p>
        </w:tc>
        <w:tc>
          <w:tcPr>
            <w:tcW w:w="1609" w:type="dxa"/>
            <w:vMerge w:val="continue"/>
            <w:vAlign w:val="center"/>
          </w:tcPr>
          <w:p w14:paraId="223D10C5">
            <w:pPr>
              <w:jc w:val="center"/>
              <w:rPr>
                <w:rFonts w:ascii="宋体" w:hAnsi="宋体" w:cs="宋体"/>
                <w:bCs/>
                <w:color w:val="auto"/>
                <w:sz w:val="20"/>
                <w:highlight w:val="none"/>
              </w:rPr>
            </w:pPr>
          </w:p>
        </w:tc>
        <w:tc>
          <w:tcPr>
            <w:tcW w:w="6172" w:type="dxa"/>
            <w:vAlign w:val="center"/>
          </w:tcPr>
          <w:p w14:paraId="35CD232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kern w:val="2"/>
                <w:sz w:val="21"/>
                <w:szCs w:val="22"/>
                <w:highlight w:val="none"/>
                <w:lang w:val="en-US" w:eastAsia="zh-CN" w:bidi="ar-SA"/>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（5）社会保障资金缴纳证明：投标人提供近一年内已缴纳的至少一个月的社会保障资金缴存单据或社保机构开具的社会保险参保缴费情况证明，依法不需要缴纳社会保障资金的单位应提供相关证明材料；</w:t>
            </w:r>
          </w:p>
        </w:tc>
      </w:tr>
      <w:tr w14:paraId="739F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34" w:type="dxa"/>
            <w:vMerge w:val="continue"/>
            <w:vAlign w:val="center"/>
          </w:tcPr>
          <w:p w14:paraId="49AB4583">
            <w:pPr>
              <w:jc w:val="left"/>
              <w:rPr>
                <w:rFonts w:ascii="宋体" w:hAnsi="宋体" w:cs="宋体"/>
                <w:bCs/>
                <w:color w:val="auto"/>
                <w:sz w:val="20"/>
                <w:highlight w:val="none"/>
              </w:rPr>
            </w:pPr>
          </w:p>
        </w:tc>
        <w:tc>
          <w:tcPr>
            <w:tcW w:w="1609" w:type="dxa"/>
            <w:vMerge w:val="continue"/>
            <w:vAlign w:val="center"/>
          </w:tcPr>
          <w:p w14:paraId="067E0D5C">
            <w:pPr>
              <w:jc w:val="center"/>
              <w:rPr>
                <w:rFonts w:ascii="宋体" w:hAnsi="宋体" w:cs="宋体"/>
                <w:bCs/>
                <w:color w:val="auto"/>
                <w:sz w:val="20"/>
                <w:highlight w:val="none"/>
              </w:rPr>
            </w:pPr>
          </w:p>
        </w:tc>
        <w:tc>
          <w:tcPr>
            <w:tcW w:w="6172" w:type="dxa"/>
            <w:vAlign w:val="center"/>
          </w:tcPr>
          <w:p w14:paraId="13D59B0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kern w:val="2"/>
                <w:sz w:val="21"/>
                <w:szCs w:val="22"/>
                <w:highlight w:val="none"/>
                <w:lang w:val="en-US" w:eastAsia="zh-CN" w:bidi="ar-SA"/>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（6）投标人具备履行合同所必需的设备及专业技术能力的承诺；</w:t>
            </w:r>
          </w:p>
        </w:tc>
      </w:tr>
      <w:tr w14:paraId="60E0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34" w:type="dxa"/>
            <w:vMerge w:val="continue"/>
            <w:vAlign w:val="center"/>
          </w:tcPr>
          <w:p w14:paraId="63FBE4DE">
            <w:pPr>
              <w:jc w:val="left"/>
              <w:rPr>
                <w:rFonts w:ascii="宋体" w:hAnsi="宋体" w:cs="宋体"/>
                <w:bCs/>
                <w:color w:val="auto"/>
                <w:sz w:val="20"/>
                <w:highlight w:val="none"/>
              </w:rPr>
            </w:pPr>
          </w:p>
        </w:tc>
        <w:tc>
          <w:tcPr>
            <w:tcW w:w="1609" w:type="dxa"/>
            <w:vMerge w:val="continue"/>
            <w:vAlign w:val="center"/>
          </w:tcPr>
          <w:p w14:paraId="4A709D57">
            <w:pPr>
              <w:jc w:val="center"/>
              <w:rPr>
                <w:rFonts w:ascii="宋体" w:hAnsi="宋体" w:cs="宋体"/>
                <w:bCs/>
                <w:color w:val="auto"/>
                <w:sz w:val="20"/>
                <w:highlight w:val="none"/>
              </w:rPr>
            </w:pPr>
          </w:p>
        </w:tc>
        <w:tc>
          <w:tcPr>
            <w:tcW w:w="6172" w:type="dxa"/>
            <w:vAlign w:val="center"/>
          </w:tcPr>
          <w:p w14:paraId="7AD3F7E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kern w:val="2"/>
                <w:sz w:val="21"/>
                <w:szCs w:val="22"/>
                <w:highlight w:val="none"/>
                <w:lang w:val="en-US" w:eastAsia="zh-CN" w:bidi="ar-SA"/>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（7）参加本次投标前3年内，在经营活动中没有重大违法记录的书面声明；</w:t>
            </w:r>
          </w:p>
        </w:tc>
      </w:tr>
      <w:tr w14:paraId="3C6C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34" w:type="dxa"/>
            <w:vMerge w:val="continue"/>
            <w:vAlign w:val="center"/>
          </w:tcPr>
          <w:p w14:paraId="09F21900">
            <w:pPr>
              <w:jc w:val="left"/>
              <w:rPr>
                <w:rFonts w:ascii="宋体" w:hAnsi="宋体" w:cs="宋体"/>
                <w:bCs/>
                <w:color w:val="auto"/>
                <w:sz w:val="20"/>
                <w:highlight w:val="none"/>
              </w:rPr>
            </w:pPr>
          </w:p>
        </w:tc>
        <w:tc>
          <w:tcPr>
            <w:tcW w:w="1609" w:type="dxa"/>
            <w:vMerge w:val="continue"/>
            <w:vAlign w:val="center"/>
          </w:tcPr>
          <w:p w14:paraId="5DFD5620">
            <w:pPr>
              <w:jc w:val="center"/>
              <w:rPr>
                <w:rFonts w:ascii="宋体" w:hAnsi="宋体" w:cs="宋体"/>
                <w:bCs/>
                <w:color w:val="auto"/>
                <w:sz w:val="20"/>
                <w:highlight w:val="none"/>
              </w:rPr>
            </w:pPr>
          </w:p>
        </w:tc>
        <w:tc>
          <w:tcPr>
            <w:tcW w:w="6172" w:type="dxa"/>
            <w:vAlign w:val="center"/>
          </w:tcPr>
          <w:p w14:paraId="74826A5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微软雅黑" w:hAnsi="微软雅黑" w:eastAsia="微软雅黑" w:cs="微软雅黑"/>
                <w:i w:val="0"/>
                <w:iCs w:val="0"/>
                <w:caps w:val="0"/>
                <w:color w:val="auto"/>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（8）法定代表人（负责人）为同一人或者存在直接控股、管理关系的不同投标人，不得同时参加本采购项目投标；</w:t>
            </w:r>
          </w:p>
        </w:tc>
      </w:tr>
      <w:tr w14:paraId="373B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4" w:type="dxa"/>
            <w:vMerge w:val="continue"/>
            <w:vAlign w:val="center"/>
          </w:tcPr>
          <w:p w14:paraId="4C4B1839">
            <w:pPr>
              <w:jc w:val="left"/>
              <w:rPr>
                <w:rFonts w:ascii="宋体" w:hAnsi="宋体" w:cs="宋体"/>
                <w:bCs/>
                <w:color w:val="auto"/>
                <w:sz w:val="20"/>
                <w:highlight w:val="none"/>
              </w:rPr>
            </w:pPr>
          </w:p>
        </w:tc>
        <w:tc>
          <w:tcPr>
            <w:tcW w:w="1609" w:type="dxa"/>
            <w:vMerge w:val="continue"/>
            <w:vAlign w:val="center"/>
          </w:tcPr>
          <w:p w14:paraId="376AD902">
            <w:pPr>
              <w:jc w:val="center"/>
              <w:rPr>
                <w:rFonts w:ascii="宋体" w:hAnsi="宋体" w:cs="宋体"/>
                <w:bCs/>
                <w:color w:val="auto"/>
                <w:sz w:val="20"/>
                <w:highlight w:val="none"/>
              </w:rPr>
            </w:pPr>
          </w:p>
        </w:tc>
        <w:tc>
          <w:tcPr>
            <w:tcW w:w="6172" w:type="dxa"/>
            <w:vAlign w:val="center"/>
          </w:tcPr>
          <w:p w14:paraId="215E6DC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微软雅黑" w:hAnsi="微软雅黑" w:eastAsia="微软雅黑" w:cs="微软雅黑"/>
                <w:i w:val="0"/>
                <w:iCs w:val="0"/>
                <w:caps w:val="0"/>
                <w:color w:val="auto"/>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（9）投标人应在“中国执行信息公开网”(http://zxgk.court.gov.cn/)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p>
        </w:tc>
      </w:tr>
      <w:tr w14:paraId="66A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34" w:type="dxa"/>
            <w:vMerge w:val="continue"/>
            <w:vAlign w:val="center"/>
          </w:tcPr>
          <w:p w14:paraId="0D206D19">
            <w:pPr>
              <w:jc w:val="left"/>
              <w:rPr>
                <w:rFonts w:ascii="宋体" w:hAnsi="宋体" w:cs="宋体"/>
                <w:bCs/>
                <w:color w:val="auto"/>
                <w:sz w:val="20"/>
                <w:highlight w:val="none"/>
              </w:rPr>
            </w:pPr>
          </w:p>
        </w:tc>
        <w:tc>
          <w:tcPr>
            <w:tcW w:w="1609" w:type="dxa"/>
            <w:vMerge w:val="continue"/>
            <w:vAlign w:val="center"/>
          </w:tcPr>
          <w:p w14:paraId="1549A8E6">
            <w:pPr>
              <w:jc w:val="center"/>
              <w:rPr>
                <w:rFonts w:ascii="宋体" w:hAnsi="宋体" w:cs="宋体"/>
                <w:bCs/>
                <w:color w:val="auto"/>
                <w:sz w:val="20"/>
                <w:highlight w:val="none"/>
              </w:rPr>
            </w:pPr>
          </w:p>
        </w:tc>
        <w:tc>
          <w:tcPr>
            <w:tcW w:w="6172" w:type="dxa"/>
            <w:vAlign w:val="center"/>
          </w:tcPr>
          <w:p w14:paraId="5437FE3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微软雅黑" w:hAnsi="微软雅黑" w:eastAsia="微软雅黑" w:cs="微软雅黑"/>
                <w:i w:val="0"/>
                <w:iCs w:val="0"/>
                <w:caps w:val="0"/>
                <w:color w:val="auto"/>
                <w:spacing w:val="0"/>
                <w:sz w:val="21"/>
                <w:szCs w:val="21"/>
                <w:highlight w:val="none"/>
                <w:shd w:val="clear" w:color="auto" w:fill="FFFFFF"/>
                <w:vertAlign w:val="baseline"/>
              </w:rPr>
            </w:pPr>
            <w:r>
              <w:rPr>
                <w:rFonts w:hint="eastAsia" w:ascii="微软雅黑" w:hAnsi="微软雅黑" w:eastAsia="微软雅黑" w:cs="微软雅黑"/>
                <w:i w:val="0"/>
                <w:iCs w:val="0"/>
                <w:caps w:val="0"/>
                <w:color w:val="auto"/>
                <w:spacing w:val="0"/>
                <w:sz w:val="21"/>
                <w:szCs w:val="21"/>
                <w:highlight w:val="none"/>
                <w:shd w:val="clear" w:color="auto" w:fill="FFFFFF"/>
                <w:vertAlign w:val="baseline"/>
              </w:rPr>
              <w:t>本项目专门面向中小企业。  </w:t>
            </w:r>
          </w:p>
        </w:tc>
      </w:tr>
    </w:tbl>
    <w:p w14:paraId="44FC2BCB">
      <w:pPr>
        <w:pStyle w:val="1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注：</w:t>
      </w: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由采购人代表或采购代理机构进行资格审查。未按要求提供或提供的资料不符合规定的，资格审查不通过，按无效投标文件处理。</w:t>
      </w: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结论为 “合格”和“不合格”；上表所列所有评审项目均符合要求的结论为“合格”，有任意一项不符合要求则结论为“不合格”。</w:t>
      </w:r>
    </w:p>
    <w:p w14:paraId="75ED2A24">
      <w:pPr>
        <w:pStyle w:val="12"/>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cs="宋体"/>
          <w:b/>
          <w:bCs/>
          <w:color w:val="auto"/>
          <w:sz w:val="24"/>
          <w:szCs w:val="24"/>
          <w:highlight w:val="none"/>
        </w:rPr>
      </w:pPr>
    </w:p>
    <w:p w14:paraId="46D076D6">
      <w:pPr>
        <w:pStyle w:val="12"/>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cs="宋体"/>
          <w:b/>
          <w:bCs/>
          <w:color w:val="auto"/>
          <w:sz w:val="24"/>
          <w:szCs w:val="24"/>
          <w:highlight w:val="none"/>
        </w:rPr>
      </w:pPr>
      <w:r>
        <w:rPr>
          <w:rFonts w:ascii="宋体" w:hAnsi="宋体" w:cs="宋体"/>
          <w:b/>
          <w:bCs/>
          <w:color w:val="auto"/>
          <w:sz w:val="24"/>
          <w:szCs w:val="24"/>
          <w:highlight w:val="none"/>
        </w:rPr>
        <w:t>20.6.2</w:t>
      </w:r>
      <w:r>
        <w:rPr>
          <w:rFonts w:hint="eastAsia" w:ascii="宋体" w:hAnsi="宋体" w:cs="宋体"/>
          <w:b/>
          <w:bCs/>
          <w:color w:val="auto"/>
          <w:sz w:val="24"/>
          <w:szCs w:val="24"/>
          <w:highlight w:val="none"/>
        </w:rPr>
        <w:t>符合性审查</w:t>
      </w:r>
    </w:p>
    <w:p w14:paraId="0674BC52">
      <w:pPr>
        <w:pStyle w:val="37"/>
        <w:jc w:val="center"/>
        <w:rPr>
          <w:color w:val="auto"/>
          <w:highlight w:val="none"/>
        </w:rPr>
      </w:pPr>
      <w:r>
        <w:rPr>
          <w:rFonts w:hint="eastAsia" w:ascii="宋体" w:hAnsi="宋体" w:eastAsia="宋体" w:cs="宋体"/>
          <w:bCs/>
          <w:color w:val="auto"/>
          <w:szCs w:val="24"/>
          <w:highlight w:val="none"/>
        </w:rPr>
        <w:t>符合性审查要素表</w:t>
      </w:r>
    </w:p>
    <w:tbl>
      <w:tblPr>
        <w:tblStyle w:val="24"/>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678"/>
        <w:gridCol w:w="5758"/>
      </w:tblGrid>
      <w:tr w14:paraId="768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941" w:type="dxa"/>
            <w:vMerge w:val="restart"/>
            <w:tcBorders>
              <w:top w:val="single" w:color="auto" w:sz="4" w:space="0"/>
            </w:tcBorders>
            <w:vAlign w:val="center"/>
          </w:tcPr>
          <w:p w14:paraId="779F51E0">
            <w:pPr>
              <w:widowControl/>
              <w:jc w:val="center"/>
              <w:rPr>
                <w:rFonts w:hint="eastAsia" w:ascii="宋体" w:hAnsi="宋体" w:eastAsia="宋体" w:cs="仿宋_GB2312"/>
                <w:bCs/>
                <w:color w:val="auto"/>
                <w:sz w:val="24"/>
                <w:szCs w:val="24"/>
                <w:highlight w:val="none"/>
              </w:rPr>
            </w:pPr>
            <w:r>
              <w:rPr>
                <w:rFonts w:hint="eastAsia" w:ascii="宋体" w:hAnsi="宋体" w:eastAsia="宋体" w:cs="仿宋_GB2312"/>
                <w:bCs/>
                <w:color w:val="auto"/>
                <w:sz w:val="24"/>
                <w:szCs w:val="24"/>
                <w:highlight w:val="none"/>
              </w:rPr>
              <w:t>符合性</w:t>
            </w:r>
          </w:p>
          <w:p w14:paraId="5D28D546">
            <w:pPr>
              <w:widowControl/>
              <w:jc w:val="center"/>
              <w:rPr>
                <w:rFonts w:ascii="宋体" w:hAnsi="宋体" w:cs="宋体"/>
                <w:bCs/>
                <w:color w:val="auto"/>
                <w:sz w:val="20"/>
                <w:highlight w:val="none"/>
              </w:rPr>
            </w:pPr>
            <w:r>
              <w:rPr>
                <w:rFonts w:hint="eastAsia" w:ascii="宋体" w:hAnsi="宋体" w:eastAsia="宋体" w:cs="仿宋_GB2312"/>
                <w:bCs/>
                <w:color w:val="auto"/>
                <w:sz w:val="24"/>
                <w:szCs w:val="24"/>
                <w:highlight w:val="none"/>
              </w:rPr>
              <w:t>审查</w:t>
            </w:r>
          </w:p>
        </w:tc>
        <w:tc>
          <w:tcPr>
            <w:tcW w:w="2678" w:type="dxa"/>
            <w:tcBorders>
              <w:top w:val="single" w:color="auto" w:sz="4" w:space="0"/>
              <w:bottom w:val="single" w:color="auto" w:sz="4" w:space="0"/>
            </w:tcBorders>
            <w:vAlign w:val="center"/>
          </w:tcPr>
          <w:p w14:paraId="36B2E5EE">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供应商</w:t>
            </w:r>
            <w:r>
              <w:rPr>
                <w:rFonts w:hint="eastAsia" w:ascii="宋体" w:hAnsi="宋体" w:eastAsia="宋体" w:cs="宋体"/>
                <w:color w:val="auto"/>
                <w:szCs w:val="22"/>
                <w:highlight w:val="none"/>
                <w:lang w:val="en-US" w:eastAsia="zh-CN"/>
              </w:rPr>
              <w:t>名称</w:t>
            </w:r>
          </w:p>
        </w:tc>
        <w:tc>
          <w:tcPr>
            <w:tcW w:w="5758" w:type="dxa"/>
            <w:tcBorders>
              <w:top w:val="single" w:color="auto" w:sz="4" w:space="0"/>
              <w:bottom w:val="single" w:color="auto" w:sz="4" w:space="0"/>
            </w:tcBorders>
            <w:vAlign w:val="center"/>
          </w:tcPr>
          <w:p w14:paraId="5F5A470B">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与营业执照一致</w:t>
            </w:r>
          </w:p>
        </w:tc>
      </w:tr>
      <w:tr w14:paraId="4272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41" w:type="dxa"/>
            <w:vMerge w:val="continue"/>
            <w:vAlign w:val="center"/>
          </w:tcPr>
          <w:p w14:paraId="44D61773">
            <w:pPr>
              <w:jc w:val="left"/>
              <w:rPr>
                <w:rFonts w:ascii="宋体" w:hAnsi="宋体" w:cs="宋体"/>
                <w:bCs/>
                <w:color w:val="auto"/>
                <w:sz w:val="20"/>
                <w:highlight w:val="none"/>
              </w:rPr>
            </w:pPr>
          </w:p>
        </w:tc>
        <w:tc>
          <w:tcPr>
            <w:tcW w:w="2678" w:type="dxa"/>
            <w:tcBorders>
              <w:top w:val="single" w:color="auto" w:sz="4" w:space="0"/>
            </w:tcBorders>
            <w:vAlign w:val="center"/>
          </w:tcPr>
          <w:p w14:paraId="1B84AC54">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投标函签字盖章</w:t>
            </w:r>
          </w:p>
        </w:tc>
        <w:tc>
          <w:tcPr>
            <w:tcW w:w="5758" w:type="dxa"/>
            <w:tcBorders>
              <w:top w:val="single" w:color="auto" w:sz="4" w:space="0"/>
            </w:tcBorders>
            <w:vAlign w:val="center"/>
          </w:tcPr>
          <w:p w14:paraId="6A4891C0">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按照招标文件要求有法定代表人或其委托代理人签字或加盖单位章</w:t>
            </w:r>
          </w:p>
        </w:tc>
      </w:tr>
      <w:tr w14:paraId="6498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41" w:type="dxa"/>
            <w:vMerge w:val="continue"/>
            <w:vAlign w:val="center"/>
          </w:tcPr>
          <w:p w14:paraId="68405418">
            <w:pPr>
              <w:jc w:val="left"/>
              <w:rPr>
                <w:rFonts w:ascii="宋体" w:hAnsi="宋体" w:cs="宋体"/>
                <w:bCs/>
                <w:color w:val="auto"/>
                <w:sz w:val="20"/>
                <w:highlight w:val="none"/>
              </w:rPr>
            </w:pPr>
          </w:p>
        </w:tc>
        <w:tc>
          <w:tcPr>
            <w:tcW w:w="2678" w:type="dxa"/>
            <w:vAlign w:val="center"/>
          </w:tcPr>
          <w:p w14:paraId="228E93D4">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投标报价</w:t>
            </w:r>
          </w:p>
        </w:tc>
        <w:tc>
          <w:tcPr>
            <w:tcW w:w="5758" w:type="dxa"/>
            <w:vAlign w:val="center"/>
          </w:tcPr>
          <w:p w14:paraId="4C189419">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报价唯一且未超过最高限价</w:t>
            </w:r>
          </w:p>
        </w:tc>
      </w:tr>
      <w:tr w14:paraId="2A90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41" w:type="dxa"/>
            <w:vMerge w:val="continue"/>
            <w:vAlign w:val="center"/>
          </w:tcPr>
          <w:p w14:paraId="40F8373B">
            <w:pPr>
              <w:jc w:val="left"/>
              <w:rPr>
                <w:rFonts w:ascii="宋体" w:hAnsi="宋体" w:cs="宋体"/>
                <w:bCs/>
                <w:color w:val="auto"/>
                <w:sz w:val="20"/>
                <w:highlight w:val="none"/>
              </w:rPr>
            </w:pPr>
          </w:p>
        </w:tc>
        <w:tc>
          <w:tcPr>
            <w:tcW w:w="2678" w:type="dxa"/>
            <w:vAlign w:val="center"/>
          </w:tcPr>
          <w:p w14:paraId="1D1F1D92">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投标文件格式</w:t>
            </w:r>
          </w:p>
        </w:tc>
        <w:tc>
          <w:tcPr>
            <w:tcW w:w="5758" w:type="dxa"/>
            <w:vAlign w:val="center"/>
          </w:tcPr>
          <w:p w14:paraId="38DCE92A">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符合第五部分“投标文件格式”的要求</w:t>
            </w:r>
          </w:p>
        </w:tc>
      </w:tr>
      <w:tr w14:paraId="2034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41" w:type="dxa"/>
            <w:vMerge w:val="continue"/>
            <w:vAlign w:val="center"/>
          </w:tcPr>
          <w:p w14:paraId="287ED5C3">
            <w:pPr>
              <w:jc w:val="left"/>
              <w:rPr>
                <w:rFonts w:ascii="宋体" w:hAnsi="宋体" w:cs="宋体"/>
                <w:bCs/>
                <w:color w:val="auto"/>
                <w:sz w:val="20"/>
                <w:highlight w:val="none"/>
              </w:rPr>
            </w:pPr>
          </w:p>
        </w:tc>
        <w:tc>
          <w:tcPr>
            <w:tcW w:w="2678" w:type="dxa"/>
            <w:vAlign w:val="center"/>
          </w:tcPr>
          <w:p w14:paraId="5237CEB8">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投标有效期</w:t>
            </w:r>
          </w:p>
        </w:tc>
        <w:tc>
          <w:tcPr>
            <w:tcW w:w="5758" w:type="dxa"/>
            <w:vAlign w:val="center"/>
          </w:tcPr>
          <w:p w14:paraId="5F203E31">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符合供应商须知前附表12.6项规定</w:t>
            </w:r>
          </w:p>
        </w:tc>
      </w:tr>
      <w:tr w14:paraId="77D9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Header/>
          <w:jc w:val="center"/>
        </w:trPr>
        <w:tc>
          <w:tcPr>
            <w:tcW w:w="941" w:type="dxa"/>
            <w:vMerge w:val="continue"/>
            <w:vAlign w:val="center"/>
          </w:tcPr>
          <w:p w14:paraId="7C7CC786">
            <w:pPr>
              <w:jc w:val="left"/>
              <w:rPr>
                <w:rFonts w:ascii="宋体" w:hAnsi="宋体" w:cs="宋体"/>
                <w:bCs/>
                <w:color w:val="auto"/>
                <w:sz w:val="20"/>
                <w:highlight w:val="none"/>
              </w:rPr>
            </w:pPr>
          </w:p>
        </w:tc>
        <w:tc>
          <w:tcPr>
            <w:tcW w:w="2678" w:type="dxa"/>
            <w:vAlign w:val="center"/>
          </w:tcPr>
          <w:p w14:paraId="56FF97CE">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服务</w:t>
            </w:r>
            <w:r>
              <w:rPr>
                <w:rFonts w:hint="eastAsia" w:ascii="宋体" w:hAnsi="宋体" w:eastAsia="宋体" w:cs="宋体"/>
                <w:color w:val="auto"/>
                <w:szCs w:val="22"/>
                <w:highlight w:val="none"/>
                <w:lang w:val="en-US" w:eastAsia="zh-CN"/>
              </w:rPr>
              <w:t>期</w:t>
            </w:r>
          </w:p>
        </w:tc>
        <w:tc>
          <w:tcPr>
            <w:tcW w:w="5758" w:type="dxa"/>
            <w:vAlign w:val="center"/>
          </w:tcPr>
          <w:p w14:paraId="5D3666CE">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符合供应商须知前附表1.7项规定</w:t>
            </w:r>
          </w:p>
        </w:tc>
      </w:tr>
      <w:tr w14:paraId="3A5A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Header/>
          <w:jc w:val="center"/>
        </w:trPr>
        <w:tc>
          <w:tcPr>
            <w:tcW w:w="941" w:type="dxa"/>
            <w:vMerge w:val="continue"/>
            <w:vAlign w:val="center"/>
          </w:tcPr>
          <w:p w14:paraId="4EB42728">
            <w:pPr>
              <w:jc w:val="left"/>
              <w:rPr>
                <w:rFonts w:ascii="宋体" w:hAnsi="宋体" w:cs="宋体"/>
                <w:bCs/>
                <w:color w:val="auto"/>
                <w:sz w:val="20"/>
                <w:highlight w:val="none"/>
              </w:rPr>
            </w:pPr>
          </w:p>
        </w:tc>
        <w:tc>
          <w:tcPr>
            <w:tcW w:w="2678" w:type="dxa"/>
            <w:vAlign w:val="center"/>
          </w:tcPr>
          <w:p w14:paraId="33D94701">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采购内容及</w:t>
            </w:r>
            <w:r>
              <w:rPr>
                <w:rFonts w:hint="eastAsia" w:ascii="宋体" w:hAnsi="宋体" w:cs="宋体"/>
                <w:color w:val="auto"/>
                <w:szCs w:val="22"/>
                <w:highlight w:val="none"/>
                <w:lang w:val="en-US" w:eastAsia="zh-CN"/>
              </w:rPr>
              <w:t>要</w:t>
            </w:r>
            <w:r>
              <w:rPr>
                <w:rFonts w:hint="eastAsia" w:ascii="宋体" w:hAnsi="宋体" w:eastAsia="宋体" w:cs="宋体"/>
                <w:color w:val="auto"/>
                <w:szCs w:val="22"/>
                <w:highlight w:val="none"/>
                <w:lang w:val="en-US" w:eastAsia="zh-CN"/>
              </w:rPr>
              <w:t>求</w:t>
            </w:r>
          </w:p>
        </w:tc>
        <w:tc>
          <w:tcPr>
            <w:tcW w:w="5758" w:type="dxa"/>
            <w:vAlign w:val="center"/>
          </w:tcPr>
          <w:p w14:paraId="47F39C0F">
            <w:pPr>
              <w:keepNext w:val="0"/>
              <w:keepLines w:val="0"/>
              <w:pageBreakBefore w:val="0"/>
              <w:widowControl w:val="0"/>
              <w:kinsoku/>
              <w:wordWrap/>
              <w:overflowPunct/>
              <w:topLinePunct w:val="0"/>
              <w:autoSpaceDE/>
              <w:autoSpaceDN/>
              <w:bidi w:val="0"/>
              <w:adjustRightInd/>
              <w:snapToGrid/>
              <w:spacing w:line="440" w:lineRule="exact"/>
              <w:ind w:left="62"/>
              <w:jc w:val="left"/>
              <w:textAlignment w:val="auto"/>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满足招标文件</w:t>
            </w:r>
            <w:r>
              <w:rPr>
                <w:rFonts w:hint="eastAsia" w:ascii="宋体" w:hAnsi="宋体" w:cs="宋体"/>
                <w:color w:val="auto"/>
                <w:szCs w:val="22"/>
                <w:highlight w:val="none"/>
                <w:lang w:val="en-US" w:eastAsia="zh-CN"/>
              </w:rPr>
              <w:t>要求</w:t>
            </w:r>
          </w:p>
        </w:tc>
      </w:tr>
      <w:tr w14:paraId="49B6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377" w:type="dxa"/>
            <w:gridSpan w:val="3"/>
            <w:vAlign w:val="center"/>
          </w:tcPr>
          <w:p w14:paraId="7539A1CB">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83" w:firstLineChars="38"/>
              <w:jc w:val="left"/>
              <w:textAlignment w:val="auto"/>
              <w:rPr>
                <w:rFonts w:hint="eastAsia" w:ascii="宋体" w:hAnsi="宋体" w:eastAsia="宋体" w:cs="仿宋_GB2312"/>
                <w:bCs/>
                <w:color w:val="auto"/>
                <w:sz w:val="22"/>
                <w:szCs w:val="22"/>
                <w:highlight w:val="none"/>
              </w:rPr>
            </w:pPr>
            <w:r>
              <w:rPr>
                <w:rFonts w:hint="eastAsia" w:ascii="宋体" w:hAnsi="宋体" w:eastAsia="宋体" w:cs="仿宋_GB2312"/>
                <w:bCs/>
                <w:color w:val="auto"/>
                <w:sz w:val="22"/>
                <w:szCs w:val="22"/>
                <w:highlight w:val="none"/>
              </w:rPr>
              <w:t>注：以上符合性审查由评审小组审查。</w:t>
            </w:r>
          </w:p>
          <w:p w14:paraId="0F15BAF0">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83" w:firstLineChars="38"/>
              <w:jc w:val="left"/>
              <w:textAlignment w:val="auto"/>
              <w:rPr>
                <w:rFonts w:hint="eastAsia" w:ascii="宋体" w:hAnsi="宋体" w:eastAsia="宋体" w:cs="仿宋_GB2312"/>
                <w:bCs/>
                <w:color w:val="auto"/>
                <w:sz w:val="22"/>
                <w:szCs w:val="22"/>
                <w:highlight w:val="none"/>
              </w:rPr>
            </w:pPr>
            <w:r>
              <w:rPr>
                <w:rFonts w:hint="eastAsia" w:ascii="宋体" w:hAnsi="宋体" w:eastAsia="宋体" w:cs="仿宋_GB2312"/>
                <w:bCs/>
                <w:color w:val="auto"/>
                <w:sz w:val="22"/>
                <w:szCs w:val="22"/>
                <w:highlight w:val="none"/>
              </w:rPr>
              <w:t>1. 每一项符合的打“√”，不符合的打“×”。</w:t>
            </w:r>
          </w:p>
          <w:p w14:paraId="350C458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bCs/>
                <w:color w:val="auto"/>
                <w:sz w:val="20"/>
                <w:highlight w:val="none"/>
              </w:rPr>
            </w:pPr>
            <w:r>
              <w:rPr>
                <w:rFonts w:hint="eastAsia" w:ascii="宋体" w:hAnsi="宋体" w:eastAsia="宋体" w:cs="仿宋_GB2312"/>
                <w:bCs/>
                <w:color w:val="auto"/>
                <w:sz w:val="22"/>
                <w:szCs w:val="22"/>
                <w:highlight w:val="none"/>
              </w:rPr>
              <w:t>2.“结论”一栏填写“合格”或“不合格”；有一项不合格的供应商不得继续参与本项目评标，由评审小组评审后作废标处理。</w:t>
            </w:r>
          </w:p>
        </w:tc>
      </w:tr>
    </w:tbl>
    <w:p w14:paraId="5086744B">
      <w:pPr>
        <w:pStyle w:val="12"/>
        <w:rPr>
          <w:color w:val="auto"/>
          <w:highlight w:val="none"/>
        </w:rPr>
      </w:pPr>
      <w:r>
        <w:rPr>
          <w:rFonts w:hint="eastAsia"/>
          <w:color w:val="auto"/>
          <w:highlight w:val="none"/>
        </w:rPr>
        <w:br w:type="page"/>
      </w:r>
    </w:p>
    <w:p w14:paraId="504FC608">
      <w:pPr>
        <w:spacing w:line="560" w:lineRule="exact"/>
        <w:rPr>
          <w:rFonts w:hAnsi="宋体" w:cs="宋体"/>
          <w:b/>
          <w:color w:val="auto"/>
          <w:szCs w:val="24"/>
          <w:highlight w:val="none"/>
        </w:rPr>
      </w:pPr>
      <w:r>
        <w:rPr>
          <w:rFonts w:hint="eastAsia" w:hAnsi="宋体" w:cs="宋体"/>
          <w:b/>
          <w:color w:val="auto"/>
          <w:szCs w:val="24"/>
          <w:highlight w:val="none"/>
        </w:rPr>
        <w:t>20.6.3评审因素及权重分值表</w:t>
      </w:r>
    </w:p>
    <w:tbl>
      <w:tblPr>
        <w:tblStyle w:val="24"/>
        <w:tblpPr w:leftFromText="180" w:rightFromText="180" w:vertAnchor="page" w:horzAnchor="margin" w:tblpY="292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110"/>
        <w:gridCol w:w="6233"/>
      </w:tblGrid>
      <w:tr w14:paraId="5A92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299" w:type="dxa"/>
            <w:vAlign w:val="center"/>
          </w:tcPr>
          <w:p w14:paraId="33FD2B53">
            <w:pPr>
              <w:spacing w:line="260" w:lineRule="exact"/>
              <w:jc w:val="center"/>
              <w:rPr>
                <w:rFonts w:ascii="宋体" w:hAnsi="宋体" w:cs="宋体"/>
                <w:b/>
                <w:bCs/>
                <w:color w:val="auto"/>
                <w:highlight w:val="none"/>
              </w:rPr>
            </w:pPr>
            <w:r>
              <w:rPr>
                <w:rFonts w:hint="eastAsia" w:ascii="宋体" w:hAnsi="宋体" w:cs="宋体"/>
                <w:b/>
                <w:bCs/>
                <w:color w:val="auto"/>
                <w:highlight w:val="none"/>
              </w:rPr>
              <w:t>评审</w:t>
            </w:r>
          </w:p>
          <w:p w14:paraId="3B461D09">
            <w:pPr>
              <w:spacing w:line="260" w:lineRule="exact"/>
              <w:jc w:val="center"/>
              <w:rPr>
                <w:rFonts w:ascii="宋体" w:hAnsi="宋体" w:cs="宋体"/>
                <w:b/>
                <w:bCs/>
                <w:color w:val="auto"/>
                <w:highlight w:val="none"/>
              </w:rPr>
            </w:pPr>
            <w:r>
              <w:rPr>
                <w:rFonts w:hint="eastAsia" w:ascii="宋体" w:hAnsi="宋体" w:cs="宋体"/>
                <w:b/>
                <w:bCs/>
                <w:color w:val="auto"/>
                <w:highlight w:val="none"/>
              </w:rPr>
              <w:t>因素</w:t>
            </w:r>
          </w:p>
        </w:tc>
        <w:tc>
          <w:tcPr>
            <w:tcW w:w="1110" w:type="dxa"/>
            <w:vAlign w:val="center"/>
          </w:tcPr>
          <w:p w14:paraId="1B7CBB4C">
            <w:pPr>
              <w:spacing w:line="460" w:lineRule="exact"/>
              <w:jc w:val="center"/>
              <w:rPr>
                <w:rFonts w:ascii="宋体" w:hAnsi="宋体" w:cs="宋体"/>
                <w:b/>
                <w:bCs/>
                <w:color w:val="auto"/>
                <w:highlight w:val="none"/>
              </w:rPr>
            </w:pPr>
            <w:r>
              <w:rPr>
                <w:rFonts w:hint="eastAsia" w:ascii="宋体" w:hAnsi="宋体" w:cs="宋体"/>
                <w:b/>
                <w:color w:val="auto"/>
                <w:highlight w:val="none"/>
              </w:rPr>
              <w:t>得分</w:t>
            </w:r>
          </w:p>
        </w:tc>
        <w:tc>
          <w:tcPr>
            <w:tcW w:w="6233" w:type="dxa"/>
            <w:vAlign w:val="center"/>
          </w:tcPr>
          <w:p w14:paraId="5E9AA229">
            <w:pPr>
              <w:spacing w:line="440" w:lineRule="exact"/>
              <w:jc w:val="center"/>
              <w:rPr>
                <w:rFonts w:ascii="宋体" w:hAnsi="宋体" w:cs="宋体"/>
                <w:b/>
                <w:bCs/>
                <w:color w:val="auto"/>
                <w:highlight w:val="none"/>
              </w:rPr>
            </w:pPr>
            <w:r>
              <w:rPr>
                <w:rFonts w:hint="eastAsia" w:ascii="宋体" w:hAnsi="宋体" w:cs="宋体"/>
                <w:b/>
                <w:bCs/>
                <w:color w:val="auto"/>
                <w:highlight w:val="none"/>
              </w:rPr>
              <w:t>评审要素</w:t>
            </w:r>
          </w:p>
        </w:tc>
      </w:tr>
      <w:tr w14:paraId="1ADB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1299" w:type="dxa"/>
            <w:vAlign w:val="center"/>
          </w:tcPr>
          <w:p w14:paraId="7B52328C">
            <w:pPr>
              <w:adjustRightInd w:val="0"/>
              <w:snapToGrid w:val="0"/>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报价</w:t>
            </w:r>
          </w:p>
          <w:p w14:paraId="6C255E95">
            <w:pPr>
              <w:adjustRightInd w:val="0"/>
              <w:snapToGrid w:val="0"/>
              <w:jc w:val="center"/>
              <w:textAlignment w:val="baseline"/>
              <w:rPr>
                <w:rFonts w:ascii="宋体" w:hAnsi="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1110" w:type="dxa"/>
            <w:vAlign w:val="center"/>
          </w:tcPr>
          <w:p w14:paraId="5FD29BE0">
            <w:pPr>
              <w:spacing w:line="26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233" w:type="dxa"/>
            <w:vAlign w:val="center"/>
          </w:tcPr>
          <w:p w14:paraId="4523C48B">
            <w:pPr>
              <w:keepNext w:val="0"/>
              <w:keepLines w:val="0"/>
              <w:pageBreakBefore w:val="0"/>
              <w:widowControl w:val="0"/>
              <w:kinsoku/>
              <w:wordWrap/>
              <w:overflowPunct/>
              <w:topLinePunct w:val="0"/>
              <w:autoSpaceDE/>
              <w:autoSpaceDN/>
              <w:bidi w:val="0"/>
              <w:adjustRightInd/>
              <w:snapToGrid/>
              <w:spacing w:line="400" w:lineRule="exact"/>
              <w:ind w:left="62"/>
              <w:textAlignment w:val="auto"/>
              <w:rPr>
                <w:color w:val="auto"/>
                <w:sz w:val="21"/>
                <w:szCs w:val="21"/>
                <w:highlight w:val="none"/>
              </w:rPr>
            </w:pPr>
            <w:r>
              <w:rPr>
                <w:rFonts w:hint="eastAsia"/>
                <w:color w:val="auto"/>
                <w:sz w:val="21"/>
                <w:szCs w:val="21"/>
                <w:highlight w:val="none"/>
              </w:rPr>
              <w:t>经</w:t>
            </w:r>
            <w:r>
              <w:rPr>
                <w:rFonts w:hint="eastAsia"/>
                <w:color w:val="auto"/>
                <w:sz w:val="21"/>
                <w:szCs w:val="21"/>
                <w:highlight w:val="none"/>
                <w:lang w:val="en-US" w:eastAsia="zh-CN"/>
              </w:rPr>
              <w:t>资格性审查、符合性审查</w:t>
            </w:r>
            <w:r>
              <w:rPr>
                <w:rFonts w:hint="eastAsia"/>
                <w:color w:val="auto"/>
                <w:sz w:val="21"/>
                <w:szCs w:val="21"/>
                <w:highlight w:val="none"/>
              </w:rPr>
              <w:t>合格的供应商，其投标报价为有效投标价。</w:t>
            </w:r>
          </w:p>
          <w:p w14:paraId="5B6349B5">
            <w:pPr>
              <w:keepNext w:val="0"/>
              <w:keepLines w:val="0"/>
              <w:pageBreakBefore w:val="0"/>
              <w:widowControl w:val="0"/>
              <w:kinsoku/>
              <w:wordWrap/>
              <w:overflowPunct/>
              <w:topLinePunct w:val="0"/>
              <w:autoSpaceDE/>
              <w:autoSpaceDN/>
              <w:bidi w:val="0"/>
              <w:adjustRightInd/>
              <w:snapToGrid/>
              <w:spacing w:line="400" w:lineRule="exact"/>
              <w:ind w:left="62"/>
              <w:textAlignment w:val="auto"/>
              <w:rPr>
                <w:color w:val="auto"/>
                <w:sz w:val="21"/>
                <w:szCs w:val="21"/>
                <w:highlight w:val="none"/>
              </w:rPr>
            </w:pPr>
            <w:r>
              <w:rPr>
                <w:rFonts w:hint="eastAsia"/>
                <w:color w:val="auto"/>
                <w:sz w:val="21"/>
                <w:szCs w:val="21"/>
                <w:highlight w:val="none"/>
              </w:rPr>
              <w:t>评审基准价：即满足招标文件要求且投标价格最低的投标报价为评审基准价。</w:t>
            </w:r>
          </w:p>
          <w:p w14:paraId="72D89A49">
            <w:pPr>
              <w:keepNext w:val="0"/>
              <w:keepLines w:val="0"/>
              <w:pageBreakBefore w:val="0"/>
              <w:widowControl w:val="0"/>
              <w:kinsoku/>
              <w:wordWrap/>
              <w:overflowPunct/>
              <w:topLinePunct w:val="0"/>
              <w:autoSpaceDE/>
              <w:autoSpaceDN/>
              <w:bidi w:val="0"/>
              <w:adjustRightInd/>
              <w:snapToGrid/>
              <w:spacing w:line="400" w:lineRule="exact"/>
              <w:ind w:left="62"/>
              <w:textAlignment w:val="auto"/>
              <w:rPr>
                <w:color w:val="auto"/>
                <w:sz w:val="21"/>
                <w:szCs w:val="21"/>
                <w:highlight w:val="none"/>
              </w:rPr>
            </w:pPr>
            <w:r>
              <w:rPr>
                <w:rFonts w:hint="eastAsia"/>
                <w:color w:val="auto"/>
                <w:sz w:val="21"/>
                <w:szCs w:val="21"/>
                <w:highlight w:val="none"/>
              </w:rPr>
              <w:t>其他供应商的价格分统一按照下列公式计算。</w:t>
            </w:r>
          </w:p>
          <w:p w14:paraId="74B0BB6A">
            <w:pPr>
              <w:keepNext w:val="0"/>
              <w:keepLines w:val="0"/>
              <w:pageBreakBefore w:val="0"/>
              <w:widowControl w:val="0"/>
              <w:kinsoku/>
              <w:wordWrap/>
              <w:overflowPunct/>
              <w:topLinePunct w:val="0"/>
              <w:autoSpaceDE/>
              <w:autoSpaceDN/>
              <w:bidi w:val="0"/>
              <w:adjustRightInd/>
              <w:snapToGrid/>
              <w:spacing w:line="400" w:lineRule="exact"/>
              <w:ind w:left="62"/>
              <w:jc w:val="left"/>
              <w:textAlignment w:val="auto"/>
              <w:rPr>
                <w:color w:val="auto"/>
                <w:sz w:val="21"/>
                <w:szCs w:val="21"/>
                <w:highlight w:val="none"/>
              </w:rPr>
            </w:pPr>
            <w:r>
              <w:rPr>
                <w:rFonts w:hint="eastAsia" w:ascii="宋体" w:hAnsi="宋体" w:eastAsia="宋体" w:cs="宋体"/>
                <w:color w:val="auto"/>
                <w:sz w:val="21"/>
                <w:szCs w:val="21"/>
                <w:highlight w:val="none"/>
              </w:rPr>
              <w:t>投标报价得分=(评审基准价／投标报价)×</w:t>
            </w:r>
            <w:r>
              <w:rPr>
                <w:rFonts w:hint="eastAsia" w:ascii="宋体" w:hAnsi="宋体" w:cs="宋体"/>
                <w:color w:val="auto"/>
                <w:sz w:val="21"/>
                <w:szCs w:val="21"/>
                <w:highlight w:val="none"/>
                <w:lang w:val="en-US" w:eastAsia="zh-CN"/>
              </w:rPr>
              <w:t>10</w:t>
            </w:r>
          </w:p>
        </w:tc>
      </w:tr>
      <w:tr w14:paraId="19A5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299" w:type="dxa"/>
            <w:vMerge w:val="restart"/>
            <w:vAlign w:val="center"/>
          </w:tcPr>
          <w:p w14:paraId="3F18A9BD">
            <w:pPr>
              <w:adjustRightInd w:val="0"/>
              <w:snapToGrid w:val="0"/>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总体方案</w:t>
            </w:r>
          </w:p>
          <w:p w14:paraId="633DA5AC">
            <w:pPr>
              <w:adjustRightInd w:val="0"/>
              <w:snapToGrid w:val="0"/>
              <w:jc w:val="center"/>
              <w:textAlignment w:val="baseline"/>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（75分）</w:t>
            </w:r>
          </w:p>
        </w:tc>
        <w:tc>
          <w:tcPr>
            <w:tcW w:w="1110" w:type="dxa"/>
            <w:vAlign w:val="center"/>
          </w:tcPr>
          <w:p w14:paraId="6FE60A8E">
            <w:pPr>
              <w:keepNext w:val="0"/>
              <w:keepLines w:val="0"/>
              <w:pageBreakBefore w:val="0"/>
              <w:widowControl w:val="0"/>
              <w:kinsoku/>
              <w:wordWrap/>
              <w:overflowPunct/>
              <w:topLinePunct w:val="0"/>
              <w:autoSpaceDE/>
              <w:autoSpaceDN/>
              <w:bidi w:val="0"/>
              <w:adjustRightInd/>
              <w:snapToGrid/>
              <w:spacing w:line="400" w:lineRule="exact"/>
              <w:ind w:left="62"/>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30分</w:t>
            </w:r>
          </w:p>
        </w:tc>
        <w:tc>
          <w:tcPr>
            <w:tcW w:w="6233" w:type="dxa"/>
            <w:vAlign w:val="center"/>
          </w:tcPr>
          <w:p w14:paraId="2E20D89C">
            <w:pPr>
              <w:keepNext w:val="0"/>
              <w:keepLines w:val="0"/>
              <w:pageBreakBefore w:val="0"/>
              <w:widowControl w:val="0"/>
              <w:kinsoku/>
              <w:wordWrap/>
              <w:overflowPunct/>
              <w:topLinePunct w:val="0"/>
              <w:autoSpaceDE/>
              <w:autoSpaceDN/>
              <w:bidi w:val="0"/>
              <w:adjustRightInd/>
              <w:snapToGrid/>
              <w:spacing w:line="400" w:lineRule="exact"/>
              <w:ind w:left="6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w:t>
            </w:r>
          </w:p>
          <w:p w14:paraId="6D13B52E">
            <w:pPr>
              <w:keepNext w:val="0"/>
              <w:keepLines w:val="0"/>
              <w:pageBreakBefore w:val="0"/>
              <w:widowControl w:val="0"/>
              <w:kinsoku/>
              <w:wordWrap/>
              <w:overflowPunct/>
              <w:topLinePunct w:val="0"/>
              <w:autoSpaceDE/>
              <w:autoSpaceDN/>
              <w:bidi w:val="0"/>
              <w:adjustRightInd/>
              <w:snapToGrid/>
              <w:spacing w:line="400" w:lineRule="exact"/>
              <w:ind w:left="62"/>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服务方案</w:t>
            </w:r>
            <w:r>
              <w:rPr>
                <w:rFonts w:ascii="宋体" w:hAnsi="宋体" w:eastAsia="宋体" w:cs="宋体"/>
                <w:color w:val="auto"/>
                <w:sz w:val="21"/>
                <w:szCs w:val="21"/>
                <w:highlight w:val="none"/>
              </w:rPr>
              <w:t>合理、切实可行得</w:t>
            </w:r>
            <w:r>
              <w:rPr>
                <w:rFonts w:hint="eastAsia" w:ascii="宋体" w:hAnsi="宋体" w:cs="宋体"/>
                <w:color w:val="auto"/>
                <w:sz w:val="21"/>
                <w:szCs w:val="21"/>
                <w:highlight w:val="none"/>
                <w:lang w:val="en-US" w:eastAsia="zh-CN"/>
              </w:rPr>
              <w:t>15</w:t>
            </w:r>
            <w:r>
              <w:rPr>
                <w:rFonts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ascii="宋体" w:hAnsi="宋体" w:eastAsia="宋体" w:cs="宋体"/>
                <w:color w:val="auto"/>
                <w:sz w:val="21"/>
                <w:szCs w:val="21"/>
                <w:highlight w:val="none"/>
              </w:rPr>
              <w:t xml:space="preserve"> 分</w:t>
            </w:r>
            <w:r>
              <w:rPr>
                <w:rFonts w:hint="eastAsia" w:ascii="宋体" w:hAnsi="宋体" w:cs="宋体"/>
                <w:color w:val="auto"/>
                <w:sz w:val="21"/>
                <w:szCs w:val="21"/>
                <w:highlight w:val="none"/>
                <w:lang w:eastAsia="zh-CN"/>
              </w:rPr>
              <w:t>；</w:t>
            </w:r>
          </w:p>
          <w:p w14:paraId="0550A912">
            <w:pPr>
              <w:keepNext w:val="0"/>
              <w:keepLines w:val="0"/>
              <w:pageBreakBefore w:val="0"/>
              <w:widowControl w:val="0"/>
              <w:kinsoku/>
              <w:wordWrap/>
              <w:overflowPunct/>
              <w:topLinePunct w:val="0"/>
              <w:autoSpaceDE/>
              <w:autoSpaceDN/>
              <w:bidi w:val="0"/>
              <w:adjustRightInd/>
              <w:snapToGrid/>
              <w:spacing w:line="400" w:lineRule="exact"/>
              <w:ind w:left="6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服务方案</w:t>
            </w:r>
            <w:r>
              <w:rPr>
                <w:rFonts w:ascii="宋体" w:hAnsi="宋体" w:eastAsia="宋体" w:cs="宋体"/>
                <w:color w:val="auto"/>
                <w:sz w:val="21"/>
                <w:szCs w:val="21"/>
                <w:highlight w:val="none"/>
              </w:rPr>
              <w:t>较为完善、合理、切实可行得</w:t>
            </w:r>
            <w:r>
              <w:rPr>
                <w:rFonts w:hint="eastAsia" w:ascii="宋体" w:hAnsi="宋体" w:cs="宋体"/>
                <w:color w:val="auto"/>
                <w:sz w:val="21"/>
                <w:szCs w:val="21"/>
                <w:highlight w:val="none"/>
                <w:lang w:val="en-US" w:eastAsia="zh-CN"/>
              </w:rPr>
              <w:t>0</w:t>
            </w:r>
            <w:r>
              <w:rPr>
                <w:rFonts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14</w:t>
            </w:r>
            <w:r>
              <w:rPr>
                <w:rFonts w:ascii="宋体" w:hAnsi="宋体" w:eastAsia="宋体" w:cs="宋体"/>
                <w:color w:val="auto"/>
                <w:sz w:val="21"/>
                <w:szCs w:val="21"/>
                <w:highlight w:val="none"/>
              </w:rPr>
              <w:t xml:space="preserve"> 分</w:t>
            </w:r>
          </w:p>
        </w:tc>
      </w:tr>
      <w:tr w14:paraId="61F0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99" w:type="dxa"/>
            <w:vMerge w:val="continue"/>
            <w:vAlign w:val="center"/>
          </w:tcPr>
          <w:p w14:paraId="0C22AAF9">
            <w:pPr>
              <w:adjustRightInd w:val="0"/>
              <w:snapToGrid w:val="0"/>
              <w:jc w:val="center"/>
              <w:textAlignment w:val="baseline"/>
              <w:rPr>
                <w:rFonts w:hint="default" w:ascii="宋体" w:hAnsi="宋体" w:eastAsia="宋体" w:cs="宋体"/>
                <w:b/>
                <w:bCs/>
                <w:color w:val="auto"/>
                <w:sz w:val="21"/>
                <w:szCs w:val="21"/>
                <w:highlight w:val="none"/>
                <w:lang w:val="en-US" w:eastAsia="zh-CN"/>
              </w:rPr>
            </w:pPr>
          </w:p>
        </w:tc>
        <w:tc>
          <w:tcPr>
            <w:tcW w:w="1110" w:type="dxa"/>
            <w:vAlign w:val="center"/>
          </w:tcPr>
          <w:p w14:paraId="0DBCCBFD">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233" w:type="dxa"/>
            <w:vAlign w:val="center"/>
          </w:tcPr>
          <w:p w14:paraId="7E476DC7">
            <w:pPr>
              <w:pStyle w:val="3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质量措施</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质量措施完善、合理、切实可行得7-</w:t>
            </w:r>
            <w:r>
              <w:rPr>
                <w:rFonts w:hint="eastAsia" w:ascii="宋体" w:hAnsi="宋体" w:cs="宋体"/>
                <w:color w:val="auto"/>
                <w:sz w:val="21"/>
                <w:szCs w:val="21"/>
                <w:highlight w:val="none"/>
                <w:lang w:val="en-US" w:eastAsia="zh-CN"/>
              </w:rPr>
              <w:t>10</w:t>
            </w:r>
            <w:r>
              <w:rPr>
                <w:rFonts w:ascii="宋体" w:hAnsi="宋体" w:eastAsia="宋体" w:cs="宋体"/>
                <w:color w:val="auto"/>
                <w:sz w:val="21"/>
                <w:szCs w:val="21"/>
                <w:highlight w:val="none"/>
              </w:rPr>
              <w:t xml:space="preserve"> 分；质量措施较为完善、合理、切实可行得 4-7 分；质量措施较混乱、但可行性较差或无质量控制措施得 0-4 分</w:t>
            </w:r>
            <w:r>
              <w:rPr>
                <w:rFonts w:hint="eastAsia" w:ascii="宋体" w:hAnsi="宋体" w:eastAsia="宋体" w:cs="宋体"/>
                <w:color w:val="auto"/>
                <w:sz w:val="21"/>
                <w:szCs w:val="21"/>
                <w:highlight w:val="none"/>
              </w:rPr>
              <w:t xml:space="preserve"> </w:t>
            </w:r>
          </w:p>
        </w:tc>
      </w:tr>
      <w:tr w14:paraId="051F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1299" w:type="dxa"/>
            <w:vMerge w:val="continue"/>
            <w:vAlign w:val="center"/>
          </w:tcPr>
          <w:p w14:paraId="4B4F4749">
            <w:pPr>
              <w:adjustRightInd w:val="0"/>
              <w:snapToGrid w:val="0"/>
              <w:jc w:val="center"/>
              <w:textAlignment w:val="baseline"/>
              <w:rPr>
                <w:rFonts w:hint="eastAsia" w:ascii="宋体" w:hAnsi="宋体" w:cs="宋体"/>
                <w:color w:val="auto"/>
                <w:sz w:val="21"/>
                <w:szCs w:val="21"/>
                <w:highlight w:val="none"/>
              </w:rPr>
            </w:pPr>
          </w:p>
        </w:tc>
        <w:tc>
          <w:tcPr>
            <w:tcW w:w="1110" w:type="dxa"/>
            <w:vAlign w:val="center"/>
          </w:tcPr>
          <w:p w14:paraId="2382DD5F">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233" w:type="dxa"/>
            <w:vAlign w:val="center"/>
          </w:tcPr>
          <w:p w14:paraId="27B29A93">
            <w:pPr>
              <w:pStyle w:val="3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应急预案：</w:t>
            </w:r>
            <w:r>
              <w:rPr>
                <w:rFonts w:ascii="宋体" w:hAnsi="宋体" w:eastAsia="宋体" w:cs="宋体"/>
                <w:color w:val="auto"/>
                <w:sz w:val="21"/>
                <w:szCs w:val="21"/>
                <w:highlight w:val="none"/>
              </w:rPr>
              <w:t>根据投标人提供的特殊情况、突发情况的应急保障措施，从项目服务实施难点、各类不可预期风险以及各类临时性、突发性应急事件的应对措施、项目组织管理办法、风险控制方法和应急处理预案等方面进行综合评审，应急保障措施，详细，实用，切实可行得7-</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ascii="宋体" w:hAnsi="宋体" w:eastAsia="宋体" w:cs="宋体"/>
                <w:color w:val="auto"/>
                <w:sz w:val="21"/>
                <w:szCs w:val="21"/>
                <w:highlight w:val="none"/>
              </w:rPr>
              <w:t xml:space="preserve"> 分；应急保障措施，详细，实用，可行性较强得 4-7；应急保障措施，详细，实用，可行性差得0-4 分。</w:t>
            </w:r>
          </w:p>
        </w:tc>
      </w:tr>
      <w:tr w14:paraId="4CCE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trPr>
        <w:tc>
          <w:tcPr>
            <w:tcW w:w="1299" w:type="dxa"/>
            <w:vMerge w:val="continue"/>
            <w:vAlign w:val="center"/>
          </w:tcPr>
          <w:p w14:paraId="23B292EB">
            <w:pPr>
              <w:adjustRightInd w:val="0"/>
              <w:snapToGrid w:val="0"/>
              <w:jc w:val="center"/>
              <w:textAlignment w:val="baseline"/>
              <w:rPr>
                <w:rFonts w:hint="eastAsia" w:ascii="宋体" w:hAnsi="宋体" w:cs="宋体"/>
                <w:color w:val="auto"/>
                <w:sz w:val="21"/>
                <w:szCs w:val="21"/>
                <w:highlight w:val="none"/>
              </w:rPr>
            </w:pPr>
          </w:p>
        </w:tc>
        <w:tc>
          <w:tcPr>
            <w:tcW w:w="1110" w:type="dxa"/>
            <w:vAlign w:val="center"/>
          </w:tcPr>
          <w:p w14:paraId="154EBA5F">
            <w:pPr>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6233" w:type="dxa"/>
            <w:vAlign w:val="center"/>
          </w:tcPr>
          <w:p w14:paraId="2AA903E2">
            <w:pPr>
              <w:pStyle w:val="39"/>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w:t>
            </w:r>
            <w:r>
              <w:rPr>
                <w:rFonts w:ascii="宋体" w:hAnsi="宋体" w:eastAsia="宋体" w:cs="宋体"/>
                <w:color w:val="auto"/>
                <w:sz w:val="21"/>
                <w:szCs w:val="21"/>
                <w:highlight w:val="none"/>
              </w:rPr>
              <w:t>提供拟投项目组成人员的组织机构、数量、执业年限、专业程度、工作经验等：专业人员配备充足、架构合理、分工明确、经验丰富计5-</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ascii="宋体" w:hAnsi="宋体" w:eastAsia="宋体" w:cs="宋体"/>
                <w:color w:val="auto"/>
                <w:sz w:val="21"/>
                <w:szCs w:val="21"/>
                <w:highlight w:val="none"/>
              </w:rPr>
              <w:t xml:space="preserve"> 分；组织机构简单，专业人员配备基本满足服务要求，分工基本明确、经验欠缺计 0-5 分。</w:t>
            </w:r>
          </w:p>
        </w:tc>
      </w:tr>
      <w:tr w14:paraId="6FF5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trPr>
        <w:tc>
          <w:tcPr>
            <w:tcW w:w="1299" w:type="dxa"/>
            <w:vMerge w:val="continue"/>
            <w:vAlign w:val="center"/>
          </w:tcPr>
          <w:p w14:paraId="43885762">
            <w:pPr>
              <w:adjustRightInd w:val="0"/>
              <w:snapToGrid w:val="0"/>
              <w:jc w:val="center"/>
              <w:textAlignment w:val="baseline"/>
              <w:rPr>
                <w:rFonts w:hint="eastAsia" w:ascii="宋体" w:hAnsi="宋体" w:cs="宋体"/>
                <w:color w:val="auto"/>
                <w:sz w:val="21"/>
                <w:szCs w:val="21"/>
                <w:highlight w:val="none"/>
              </w:rPr>
            </w:pPr>
          </w:p>
        </w:tc>
        <w:tc>
          <w:tcPr>
            <w:tcW w:w="1110" w:type="dxa"/>
            <w:vAlign w:val="center"/>
          </w:tcPr>
          <w:p w14:paraId="325E5FBD">
            <w:pPr>
              <w:spacing w:line="26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8分</w:t>
            </w:r>
          </w:p>
        </w:tc>
        <w:tc>
          <w:tcPr>
            <w:tcW w:w="6233" w:type="dxa"/>
            <w:vAlign w:val="center"/>
          </w:tcPr>
          <w:p w14:paraId="0A53996D">
            <w:pPr>
              <w:pStyle w:val="39"/>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服务承诺：对服务期限内质量、人员到位等情况做出实质性承诺。（0-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6ED7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1299" w:type="dxa"/>
            <w:vMerge w:val="continue"/>
            <w:vAlign w:val="center"/>
          </w:tcPr>
          <w:p w14:paraId="7129F006">
            <w:pPr>
              <w:widowControl w:val="0"/>
              <w:ind w:left="-118" w:leftChars="-56" w:right="-94" w:rightChars="-45"/>
              <w:jc w:val="center"/>
              <w:rPr>
                <w:rFonts w:hAnsi="宋体"/>
                <w:color w:val="auto"/>
                <w:kern w:val="2"/>
                <w:sz w:val="21"/>
                <w:szCs w:val="21"/>
                <w:highlight w:val="none"/>
              </w:rPr>
            </w:pPr>
          </w:p>
        </w:tc>
        <w:tc>
          <w:tcPr>
            <w:tcW w:w="1110" w:type="dxa"/>
            <w:vAlign w:val="center"/>
          </w:tcPr>
          <w:p w14:paraId="72C8FA58">
            <w:pPr>
              <w:keepNext w:val="0"/>
              <w:keepLines w:val="0"/>
              <w:pageBreakBefore w:val="0"/>
              <w:widowControl w:val="0"/>
              <w:kinsoku/>
              <w:wordWrap/>
              <w:overflowPunct/>
              <w:topLinePunct w:val="0"/>
              <w:autoSpaceDE/>
              <w:autoSpaceDN/>
              <w:bidi w:val="0"/>
              <w:adjustRightInd/>
              <w:snapToGrid/>
              <w:spacing w:line="440" w:lineRule="exact"/>
              <w:ind w:left="-118" w:leftChars="-56" w:right="-94" w:rightChars="-45"/>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7分</w:t>
            </w:r>
          </w:p>
        </w:tc>
        <w:tc>
          <w:tcPr>
            <w:tcW w:w="6233" w:type="dxa"/>
            <w:vAlign w:val="center"/>
          </w:tcPr>
          <w:p w14:paraId="43A00827">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保密措施：保密措施得力，不泄露采购人数据信息。</w:t>
            </w:r>
          </w:p>
          <w:p w14:paraId="462819F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（1）保密措施得力得</w:t>
            </w: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分。</w:t>
            </w:r>
          </w:p>
          <w:p w14:paraId="1AD52728">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（2）保密措施一般得0-</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w:t>
            </w:r>
          </w:p>
        </w:tc>
      </w:tr>
      <w:tr w14:paraId="47DB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1299" w:type="dxa"/>
            <w:vAlign w:val="center"/>
          </w:tcPr>
          <w:p w14:paraId="51AD2A7C">
            <w:pPr>
              <w:widowControl w:val="0"/>
              <w:ind w:left="-118" w:leftChars="-56" w:right="-94" w:rightChars="-45"/>
              <w:jc w:val="center"/>
              <w:rPr>
                <w:rFonts w:hAnsi="宋体"/>
                <w:color w:val="auto"/>
                <w:kern w:val="2"/>
                <w:sz w:val="21"/>
                <w:szCs w:val="21"/>
                <w:highlight w:val="none"/>
              </w:rPr>
            </w:pPr>
            <w:r>
              <w:rPr>
                <w:rFonts w:hint="eastAsia" w:ascii="宋体" w:hAnsi="宋体" w:eastAsia="宋体" w:cs="宋体"/>
                <w:color w:val="auto"/>
                <w:kern w:val="0"/>
                <w:sz w:val="21"/>
                <w:szCs w:val="21"/>
                <w:highlight w:val="none"/>
                <w:lang w:val="en-US" w:eastAsia="zh-CN" w:bidi="ar-SA"/>
              </w:rPr>
              <w:t>业绩</w:t>
            </w:r>
          </w:p>
        </w:tc>
        <w:tc>
          <w:tcPr>
            <w:tcW w:w="1110" w:type="dxa"/>
            <w:vAlign w:val="center"/>
          </w:tcPr>
          <w:p w14:paraId="2DC2BB0A">
            <w:pPr>
              <w:keepNext w:val="0"/>
              <w:keepLines w:val="0"/>
              <w:widowControl/>
              <w:suppressLineNumbers w:val="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15分</w:t>
            </w:r>
          </w:p>
        </w:tc>
        <w:tc>
          <w:tcPr>
            <w:tcW w:w="6233" w:type="dxa"/>
            <w:vAlign w:val="center"/>
          </w:tcPr>
          <w:p w14:paraId="4F4F4EC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提供供应商2022年1月至今的类似项目业绩（以合同签订日期为准），每提供1个得5分，此项满分15分。</w:t>
            </w:r>
          </w:p>
        </w:tc>
      </w:tr>
    </w:tbl>
    <w:p w14:paraId="1E849479">
      <w:pPr>
        <w:spacing w:line="360" w:lineRule="auto"/>
        <w:rPr>
          <w:rFonts w:ascii="宋体" w:hAnsi="宋体"/>
          <w:b/>
          <w:color w:val="auto"/>
          <w:sz w:val="24"/>
          <w:szCs w:val="24"/>
          <w:highlight w:val="none"/>
        </w:rPr>
      </w:pPr>
      <w:r>
        <w:rPr>
          <w:rFonts w:hAnsi="宋体" w:cs="宋体"/>
          <w:b/>
          <w:color w:val="auto"/>
          <w:szCs w:val="24"/>
          <w:highlight w:val="none"/>
        </w:rPr>
        <w:tab/>
      </w:r>
      <w:r>
        <w:rPr>
          <w:rFonts w:hint="eastAsia" w:ascii="宋体" w:hAnsi="宋体"/>
          <w:b/>
          <w:color w:val="auto"/>
          <w:sz w:val="24"/>
          <w:szCs w:val="24"/>
          <w:highlight w:val="none"/>
        </w:rPr>
        <w:t>备注：</w:t>
      </w:r>
    </w:p>
    <w:p w14:paraId="6683FACB">
      <w:pPr>
        <w:spacing w:line="360" w:lineRule="auto"/>
        <w:ind w:firstLine="470" w:firstLineChars="196"/>
        <w:rPr>
          <w:rFonts w:ascii="宋体" w:hAnsi="宋体"/>
          <w:color w:val="auto"/>
          <w:sz w:val="24"/>
          <w:szCs w:val="24"/>
          <w:highlight w:val="none"/>
        </w:rPr>
      </w:pPr>
      <w:r>
        <w:rPr>
          <w:rFonts w:hint="eastAsia" w:ascii="宋体" w:hAnsi="宋体"/>
          <w:color w:val="auto"/>
          <w:sz w:val="24"/>
          <w:szCs w:val="24"/>
          <w:highlight w:val="none"/>
        </w:rPr>
        <w:t>1) 若出现综合得分并列时，按投标报价由低到高顺序排列；若报价得分仍相同，</w:t>
      </w:r>
      <w:r>
        <w:rPr>
          <w:rFonts w:hint="eastAsia" w:ascii="宋体" w:hAnsi="宋体"/>
          <w:color w:val="auto"/>
          <w:sz w:val="24"/>
          <w:szCs w:val="24"/>
          <w:highlight w:val="none"/>
          <w:lang w:val="en-US" w:eastAsia="zh-CN"/>
        </w:rPr>
        <w:t>分别比较总体方案</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若</w:t>
      </w:r>
      <w:r>
        <w:rPr>
          <w:rFonts w:hint="eastAsia" w:ascii="宋体" w:hAnsi="宋体"/>
          <w:color w:val="auto"/>
          <w:sz w:val="24"/>
          <w:szCs w:val="24"/>
          <w:highlight w:val="none"/>
        </w:rPr>
        <w:t>得分仍相同，则由评标委员会无记名投票，得票高者排序在前。</w:t>
      </w:r>
    </w:p>
    <w:p w14:paraId="2562299B">
      <w:pPr>
        <w:spacing w:line="360" w:lineRule="auto"/>
        <w:ind w:firstLine="470" w:firstLineChars="196"/>
        <w:rPr>
          <w:rFonts w:ascii="宋体" w:hAnsi="宋体"/>
          <w:b/>
          <w:color w:val="auto"/>
          <w:sz w:val="24"/>
          <w:szCs w:val="24"/>
          <w:highlight w:val="none"/>
        </w:rPr>
      </w:pPr>
      <w:r>
        <w:rPr>
          <w:rFonts w:hint="eastAsia" w:ascii="宋体" w:hAnsi="宋体"/>
          <w:color w:val="auto"/>
          <w:sz w:val="24"/>
          <w:szCs w:val="24"/>
          <w:highlight w:val="none"/>
        </w:rPr>
        <w:t>2) 投标文件中缺少某分项时，该分项为0分。</w:t>
      </w:r>
    </w:p>
    <w:p w14:paraId="5E8DD13A">
      <w:pPr>
        <w:spacing w:line="360" w:lineRule="auto"/>
        <w:ind w:firstLine="470" w:firstLineChars="196"/>
        <w:rPr>
          <w:rFonts w:ascii="宋体" w:hAnsi="宋体"/>
          <w:b/>
          <w:color w:val="auto"/>
          <w:sz w:val="24"/>
          <w:szCs w:val="24"/>
          <w:highlight w:val="none"/>
        </w:rPr>
      </w:pPr>
      <w:r>
        <w:rPr>
          <w:rFonts w:hint="eastAsia" w:ascii="宋体" w:hAnsi="宋体"/>
          <w:color w:val="auto"/>
          <w:sz w:val="24"/>
          <w:szCs w:val="24"/>
          <w:highlight w:val="none"/>
        </w:rPr>
        <w:t>3) 评委打分超过得分界限或未按本方法赋分时，该评委的打分按废票处理。</w:t>
      </w:r>
    </w:p>
    <w:p w14:paraId="784552EF">
      <w:pPr>
        <w:spacing w:line="360" w:lineRule="auto"/>
        <w:ind w:firstLine="470" w:firstLineChars="196"/>
        <w:rPr>
          <w:rFonts w:ascii="宋体" w:hAnsi="宋体"/>
          <w:b/>
          <w:color w:val="auto"/>
          <w:sz w:val="24"/>
          <w:szCs w:val="24"/>
          <w:highlight w:val="none"/>
        </w:rPr>
      </w:pPr>
      <w:r>
        <w:rPr>
          <w:rFonts w:hint="eastAsia" w:ascii="宋体" w:hAnsi="宋体"/>
          <w:color w:val="auto"/>
          <w:sz w:val="24"/>
          <w:szCs w:val="24"/>
          <w:highlight w:val="none"/>
        </w:rPr>
        <w:t>4) 各种计算采用插入法，数字均保留两位小数，第三位“四舍五入”。</w:t>
      </w:r>
    </w:p>
    <w:p w14:paraId="73151AE6">
      <w:pPr>
        <w:spacing w:line="360" w:lineRule="auto"/>
        <w:ind w:firstLine="470" w:firstLineChars="196"/>
        <w:rPr>
          <w:rFonts w:ascii="宋体" w:hAnsi="宋体"/>
          <w:bCs/>
          <w:color w:val="auto"/>
          <w:sz w:val="24"/>
          <w:szCs w:val="24"/>
          <w:highlight w:val="none"/>
        </w:rPr>
      </w:pPr>
      <w:r>
        <w:rPr>
          <w:rFonts w:hint="eastAsia" w:ascii="宋体" w:hAnsi="宋体"/>
          <w:color w:val="auto"/>
          <w:sz w:val="24"/>
          <w:szCs w:val="24"/>
          <w:highlight w:val="none"/>
        </w:rPr>
        <w:t>5）最低报价不是中标的唯一条件。</w:t>
      </w:r>
    </w:p>
    <w:p w14:paraId="551C9A0F">
      <w:pPr>
        <w:keepNext w:val="0"/>
        <w:keepLines w:val="0"/>
        <w:pageBreakBefore w:val="0"/>
        <w:widowControl w:val="0"/>
        <w:kinsoku/>
        <w:wordWrap/>
        <w:overflowPunct/>
        <w:topLinePunct w:val="0"/>
        <w:autoSpaceDE/>
        <w:autoSpaceDN/>
        <w:bidi w:val="0"/>
        <w:adjustRightInd/>
        <w:spacing w:line="500" w:lineRule="exact"/>
        <w:ind w:firstLine="105" w:firstLineChars="50"/>
        <w:textAlignment w:val="auto"/>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21</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政策性扣减</w:t>
      </w:r>
    </w:p>
    <w:p w14:paraId="6190E200">
      <w:pPr>
        <w:spacing w:line="360" w:lineRule="auto"/>
        <w:ind w:firstLine="470" w:firstLineChars="19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《政府采购促进中小企业发展管理办法》的通知--财库〔2020〕46号</w:t>
      </w:r>
      <w:r>
        <w:rPr>
          <w:rFonts w:hint="eastAsia" w:ascii="宋体" w:hAnsi="宋体" w:cs="Times New Roman"/>
          <w:color w:val="auto"/>
          <w:sz w:val="24"/>
          <w:szCs w:val="24"/>
          <w:highlight w:val="none"/>
          <w:lang w:val="en-US" w:eastAsia="zh-CN"/>
        </w:rPr>
        <w:t>。</w:t>
      </w:r>
    </w:p>
    <w:p w14:paraId="00C29B9D">
      <w:pPr>
        <w:spacing w:line="360" w:lineRule="auto"/>
        <w:ind w:firstLine="470" w:firstLineChars="19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）参加本项目的</w:t>
      </w:r>
      <w:r>
        <w:rPr>
          <w:rFonts w:hint="eastAsia" w:ascii="宋体" w:hAnsi="宋体" w:cs="Times New Roman"/>
          <w:color w:val="auto"/>
          <w:sz w:val="24"/>
          <w:szCs w:val="24"/>
          <w:highlight w:val="none"/>
          <w:lang w:val="en-US" w:eastAsia="zh-CN"/>
        </w:rPr>
        <w:t>中小</w:t>
      </w:r>
      <w:r>
        <w:rPr>
          <w:rFonts w:hint="eastAsia" w:ascii="宋体" w:hAnsi="宋体" w:eastAsia="宋体" w:cs="Times New Roman"/>
          <w:color w:val="auto"/>
          <w:sz w:val="24"/>
          <w:szCs w:val="24"/>
          <w:highlight w:val="none"/>
        </w:rPr>
        <w:t>企业须提供《中小企业声明函》。</w:t>
      </w:r>
      <w:r>
        <w:rPr>
          <w:rFonts w:hint="eastAsia" w:ascii="宋体" w:hAnsi="宋体" w:eastAsia="宋体" w:cs="Times New Roman"/>
          <w:color w:val="auto"/>
          <w:sz w:val="24"/>
          <w:szCs w:val="24"/>
          <w:highlight w:val="none"/>
          <w:lang w:eastAsia="zh-CN"/>
        </w:rPr>
        <w:tab/>
      </w:r>
    </w:p>
    <w:p w14:paraId="6344FB0D">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）中小企业按《政府采购促进中小企业发展</w:t>
      </w:r>
      <w:r>
        <w:rPr>
          <w:rFonts w:hint="eastAsia" w:ascii="宋体" w:hAnsi="宋体" w:eastAsia="宋体" w:cs="Times New Roman"/>
          <w:color w:val="auto"/>
          <w:sz w:val="24"/>
          <w:szCs w:val="24"/>
          <w:highlight w:val="none"/>
          <w:lang w:val="en-US" w:eastAsia="zh-CN"/>
        </w:rPr>
        <w:t>政策性问答</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专门面向中小企业采购的项目或者采购包，不再执行价格评审优惠的扶持政策。</w:t>
      </w:r>
    </w:p>
    <w:p w14:paraId="0E5AE2D9">
      <w:pPr>
        <w:spacing w:line="360" w:lineRule="auto"/>
        <w:ind w:firstLine="470" w:firstLineChars="19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根据《政府采购促进中小企业发展管理办法》、《陕西省财政厅关于落实政府采购支持中小企业政策有关事项的通知》陕财办采函〔2022〕10号的相关规定，未预留份额专门面向中小企业的货物服务项目，采购人、采购代理机构应当对符合规定的小微企业报价给予10%的扣除，用扣除后的价格参加评审；货物服务采购项目联合协议或者分包意向协议约定</w:t>
      </w:r>
    </w:p>
    <w:p w14:paraId="30F75C99">
      <w:pPr>
        <w:spacing w:line="360" w:lineRule="auto"/>
        <w:ind w:firstLine="470" w:firstLineChars="196"/>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）对中型、小型企业产品的价格给予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%的扣除，用扣除后的价格参与评审，其评标价=投标报价*（1-</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p>
    <w:p w14:paraId="3E59D65F">
      <w:pPr>
        <w:spacing w:line="360" w:lineRule="auto"/>
        <w:ind w:firstLine="470" w:firstLineChars="196"/>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）联合体共同参加非专门面向中小企业的政府采购活动，联合协议中约定，中型和小型企业的协议合同金额占到联合体协议合同金额的30%以上的，可给予联合体</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%的价格扣除，用扣除后的价格参与评审，其评标价=投标报价*（1-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p>
    <w:p w14:paraId="0ADCBF49">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、监狱企业的价格评分标准</w:t>
      </w:r>
    </w:p>
    <w:p w14:paraId="776AE98B">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（1）在政府采购活动中，监狱企业视同小型、微型企业，享受预留份额、评审中价格扣除等政府采购促进中小企业发展的政府采购政策。</w:t>
      </w:r>
    </w:p>
    <w:p w14:paraId="45BFD5B8">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（2）监狱企业属于小型、微型企业的，不重复享受政策。</w:t>
      </w:r>
    </w:p>
    <w:p w14:paraId="7B4A8F51">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（3）监狱企业参加政府采购活动时，应当提供由省级以上监狱管理局、戒毒管理局（含新疆生产建设兵团）出具的属于监狱企业的证明文件。</w:t>
      </w:r>
    </w:p>
    <w:p w14:paraId="49223366">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（4）监狱企业按《财政部、司法部关于政府采购支持监狱企业发展有关问题的通知》（财库〔2014〕68号）文件规定标准执行。</w:t>
      </w:r>
    </w:p>
    <w:p w14:paraId="631A7D31">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3、残疾人福利性单位的价格评分标准</w:t>
      </w:r>
    </w:p>
    <w:p w14:paraId="1C40B3D5">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（1）在政府采购活动中，残疾人福利性单位视同小型、微型企业，享受预留份额、评审中价格扣除等政府采购促进中小企业发展的政府采购政策。</w:t>
      </w:r>
    </w:p>
    <w:p w14:paraId="41DB235D">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（2）残疾人福利性单位属于小型、微型企业的，不重复享受政策。</w:t>
      </w:r>
    </w:p>
    <w:p w14:paraId="4AECDDFD">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14:paraId="3B43296B">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4、节能产品、环境标志产品政策</w:t>
      </w:r>
    </w:p>
    <w:p w14:paraId="56013349">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w:t>
      </w:r>
    </w:p>
    <w:p w14:paraId="6E7405FD">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14:paraId="3C5B5A29">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供应商在投标文件中对所投标产品为节能、环境标志产品清单中的产品，在投标报价时必须对此类产品单独分项报价，并提供属于清单内产品的证明资料（从中国政府采购网上下载的网页公告等），未提供节能、环境标志产品计分明细表及属于清单内产品的证明资料的不给予计分。 </w:t>
      </w:r>
    </w:p>
    <w:p w14:paraId="04483341">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（4）若节能、环境标志清单内的产品仅是构成投标产品的部件、组件或零件的，则该投标产品不享受鼓励优惠政策。</w:t>
      </w:r>
    </w:p>
    <w:p w14:paraId="2CB3F5D1">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（5）节能、环境标志产品部分计分只对属于清单内的非强制类产品进行计分，强制类产品不给予计分。 </w:t>
      </w:r>
    </w:p>
    <w:p w14:paraId="7E99FE05">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（6）对于同时列入环保清单和节能产品政府采购清单的产品，应当优先于只列入其中一个清单的产品。</w:t>
      </w:r>
    </w:p>
    <w:p w14:paraId="4AE1408A">
      <w:pPr>
        <w:spacing w:line="360" w:lineRule="auto"/>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（7）获得上述认证的产品在投标时应提供有效证明材料。以上所有证明文件复印件须加盖供应商公章并注明“与原件一致”，否则不予计分</w:t>
      </w:r>
      <w:r>
        <w:rPr>
          <w:rFonts w:hint="eastAsia" w:ascii="宋体" w:hAnsi="宋体" w:eastAsia="宋体" w:cs="Times New Roman"/>
          <w:color w:val="auto"/>
          <w:sz w:val="24"/>
          <w:szCs w:val="24"/>
          <w:highlight w:val="none"/>
        </w:rPr>
        <w:t>。</w:t>
      </w:r>
    </w:p>
    <w:p w14:paraId="488D7215">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 、落实政府采购信用融资政策</w:t>
      </w:r>
    </w:p>
    <w:p w14:paraId="12697BAA">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（一）相关政策</w:t>
      </w:r>
    </w:p>
    <w:p w14:paraId="3418F939">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1.陕西省财政厅关于印发《陕西省中小企业政府采购信用融资办法》；</w:t>
      </w:r>
    </w:p>
    <w:p w14:paraId="02E87D15">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2.陕西省财政厅关于加快推进我省中小企业政府采购信用融资工作的通知。</w:t>
      </w:r>
    </w:p>
    <w:p w14:paraId="7C8583A6">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（二）业务流程</w:t>
      </w:r>
    </w:p>
    <w:p w14:paraId="4D061BC2">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选择中标项目→提交意向书→政采合同签约→银行授信放款。</w:t>
      </w:r>
    </w:p>
    <w:p w14:paraId="6ECB0CBB">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（三）办理平台</w:t>
      </w:r>
    </w:p>
    <w:p w14:paraId="4B85D0F3">
      <w:pPr>
        <w:spacing w:line="360" w:lineRule="auto"/>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陕西省政府采购信用融资平台</w:t>
      </w:r>
    </w:p>
    <w:p w14:paraId="1B1F8FE1">
      <w:pPr>
        <w:spacing w:line="360" w:lineRule="auto"/>
        <w:ind w:firstLine="470" w:firstLineChars="196"/>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（http://www.ccgp-shaanxi.gov.cn/zcdservice/zcd/shanxi/）。</w:t>
      </w:r>
    </w:p>
    <w:p w14:paraId="2744D36E">
      <w:pP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lang w:val="en-US" w:eastAsia="zh-CN"/>
        </w:rPr>
        <w:t>22</w:t>
      </w:r>
      <w:r>
        <w:rPr>
          <w:rFonts w:hint="eastAsia" w:ascii="宋体" w:hAnsi="宋体"/>
          <w:b/>
          <w:color w:val="auto"/>
          <w:sz w:val="24"/>
          <w:szCs w:val="24"/>
          <w:highlight w:val="none"/>
        </w:rPr>
        <w:t>评标过程保密</w:t>
      </w:r>
    </w:p>
    <w:p w14:paraId="7329C82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.1从开标之日到确定中标人止，评标人员不得向投标供应商或其他无关人员透露有关审查、澄清、评价和比较投标资料的情况或授标意向。</w:t>
      </w:r>
    </w:p>
    <w:p w14:paraId="40A3B4D7">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.2任何人员如发生泄密现象，将承担相应的法律责任。</w:t>
      </w:r>
    </w:p>
    <w:p w14:paraId="79301CEF">
      <w:pPr>
        <w:tabs>
          <w:tab w:val="left" w:pos="420"/>
        </w:tabs>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.3投标供应商企图影响采购人的任何行为，将导致该投标供应商被拒绝，并承担相应的法律责任。</w:t>
      </w:r>
    </w:p>
    <w:p w14:paraId="42836BCA">
      <w:pPr>
        <w:pStyle w:val="12"/>
        <w:ind w:firstLine="480"/>
        <w:rPr>
          <w:color w:val="auto"/>
          <w:highlight w:val="none"/>
        </w:rPr>
      </w:pPr>
    </w:p>
    <w:p w14:paraId="3142CF69">
      <w:pPr>
        <w:pStyle w:val="4"/>
        <w:rPr>
          <w:color w:val="auto"/>
          <w:szCs w:val="24"/>
          <w:highlight w:val="none"/>
        </w:rPr>
      </w:pPr>
      <w:bookmarkStart w:id="64" w:name="_Toc738"/>
      <w:bookmarkStart w:id="65" w:name="_Toc237342992"/>
      <w:r>
        <w:rPr>
          <w:rFonts w:hint="eastAsia"/>
          <w:color w:val="auto"/>
          <w:szCs w:val="24"/>
          <w:highlight w:val="none"/>
        </w:rPr>
        <w:t>F、确定中标</w:t>
      </w:r>
      <w:bookmarkEnd w:id="64"/>
      <w:bookmarkEnd w:id="65"/>
    </w:p>
    <w:p w14:paraId="01F7A8A3">
      <w:pPr>
        <w:shd w:val="clear"/>
        <w:spacing w:line="360" w:lineRule="auto"/>
        <w:ind w:firstLine="472" w:firstLineChars="196"/>
        <w:outlineLvl w:val="0"/>
        <w:rPr>
          <w:rFonts w:ascii="宋体" w:hAnsi="宋体"/>
          <w:b/>
          <w:color w:val="auto"/>
          <w:sz w:val="24"/>
          <w:szCs w:val="24"/>
          <w:highlight w:val="none"/>
        </w:rPr>
      </w:pPr>
      <w:bookmarkStart w:id="66" w:name="_Toc28639"/>
      <w:bookmarkStart w:id="67" w:name="_Toc24180"/>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.最终审查</w:t>
      </w:r>
      <w:bookmarkEnd w:id="66"/>
      <w:bookmarkEnd w:id="67"/>
    </w:p>
    <w:p w14:paraId="2C08ADA2">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评标委员会按照招标文件确定的内容和评标方法对投标文件进行评审，按照得分由高到低的顺序，按排序推荐</w:t>
      </w:r>
      <w:r>
        <w:rPr>
          <w:rFonts w:hint="eastAsia" w:ascii="宋体" w:hAnsi="宋体"/>
          <w:color w:val="auto"/>
          <w:sz w:val="24"/>
          <w:szCs w:val="24"/>
          <w:highlight w:val="none"/>
          <w:lang w:val="en-US" w:eastAsia="zh-CN"/>
        </w:rPr>
        <w:t>成交</w:t>
      </w:r>
      <w:r>
        <w:rPr>
          <w:rFonts w:hint="eastAsia" w:ascii="宋体" w:hAnsi="宋体"/>
          <w:color w:val="auto"/>
          <w:sz w:val="24"/>
          <w:szCs w:val="24"/>
          <w:highlight w:val="none"/>
        </w:rPr>
        <w:t>候选单位。</w:t>
      </w:r>
      <w:r>
        <w:rPr>
          <w:rFonts w:hint="eastAsia" w:ascii="宋体" w:hAnsi="宋体"/>
          <w:bCs/>
          <w:color w:val="auto"/>
          <w:sz w:val="24"/>
          <w:highlight w:val="none"/>
        </w:rPr>
        <w:t>采购人按</w:t>
      </w:r>
      <w:r>
        <w:rPr>
          <w:rFonts w:hint="eastAsia" w:ascii="宋体" w:hAnsi="宋体"/>
          <w:color w:val="auto"/>
          <w:sz w:val="24"/>
          <w:szCs w:val="24"/>
          <w:highlight w:val="none"/>
          <w:lang w:val="en-US" w:eastAsia="zh-CN"/>
        </w:rPr>
        <w:t>成交</w:t>
      </w:r>
      <w:r>
        <w:rPr>
          <w:rFonts w:hint="eastAsia" w:ascii="宋体" w:hAnsi="宋体"/>
          <w:bCs/>
          <w:color w:val="auto"/>
          <w:sz w:val="24"/>
          <w:highlight w:val="none"/>
        </w:rPr>
        <w:t>候选人的推荐排序最终确定</w:t>
      </w:r>
      <w:r>
        <w:rPr>
          <w:rFonts w:hint="eastAsia" w:ascii="宋体" w:hAnsi="宋体"/>
          <w:bCs/>
          <w:color w:val="auto"/>
          <w:sz w:val="24"/>
          <w:highlight w:val="none"/>
          <w:lang w:val="en-US" w:eastAsia="zh-CN"/>
        </w:rPr>
        <w:t>成交供应商</w:t>
      </w:r>
      <w:r>
        <w:rPr>
          <w:rFonts w:hint="eastAsia" w:ascii="宋体" w:hAnsi="宋体"/>
          <w:color w:val="auto"/>
          <w:sz w:val="24"/>
          <w:szCs w:val="24"/>
          <w:highlight w:val="none"/>
        </w:rPr>
        <w:t>并在收到评标报告之日起5个工作日内</w:t>
      </w:r>
      <w:r>
        <w:rPr>
          <w:rFonts w:ascii="宋体" w:hAnsi="宋体"/>
          <w:color w:val="auto"/>
          <w:sz w:val="24"/>
          <w:szCs w:val="24"/>
          <w:highlight w:val="none"/>
        </w:rPr>
        <w:t>复函</w:t>
      </w:r>
      <w:r>
        <w:rPr>
          <w:rFonts w:hint="eastAsia" w:ascii="宋体" w:hAnsi="宋体"/>
          <w:color w:val="auto"/>
          <w:sz w:val="24"/>
          <w:szCs w:val="24"/>
          <w:highlight w:val="none"/>
        </w:rPr>
        <w:t>采购代理机构</w:t>
      </w:r>
      <w:r>
        <w:rPr>
          <w:rFonts w:ascii="宋体" w:hAnsi="宋体"/>
          <w:color w:val="auto"/>
          <w:sz w:val="24"/>
          <w:highlight w:val="none"/>
        </w:rPr>
        <w:t>。</w:t>
      </w:r>
    </w:p>
    <w:p w14:paraId="6BA7CC64">
      <w:pPr>
        <w:shd w:val="clear"/>
        <w:spacing w:line="360" w:lineRule="auto"/>
        <w:ind w:firstLine="472" w:firstLineChars="196"/>
        <w:rPr>
          <w:rFonts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4</w:t>
      </w:r>
      <w:r>
        <w:rPr>
          <w:rFonts w:hint="eastAsia" w:ascii="宋体" w:hAnsi="宋体"/>
          <w:b/>
          <w:color w:val="auto"/>
          <w:sz w:val="24"/>
          <w:szCs w:val="24"/>
          <w:highlight w:val="none"/>
        </w:rPr>
        <w:t>.中标通知</w:t>
      </w:r>
    </w:p>
    <w:p w14:paraId="110C44F2">
      <w:pPr>
        <w:shd w:val="clea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.1</w:t>
      </w:r>
      <w:r>
        <w:rPr>
          <w:rFonts w:hint="eastAsia" w:ascii="宋体" w:hAnsi="宋体"/>
          <w:color w:val="auto"/>
          <w:sz w:val="24"/>
          <w:highlight w:val="none"/>
        </w:rPr>
        <w:t>采购代理机构</w:t>
      </w:r>
      <w:r>
        <w:rPr>
          <w:rFonts w:ascii="宋体" w:hAnsi="宋体"/>
          <w:color w:val="auto"/>
          <w:sz w:val="24"/>
          <w:highlight w:val="none"/>
        </w:rPr>
        <w:t>在接到</w:t>
      </w:r>
      <w:r>
        <w:rPr>
          <w:rFonts w:hint="eastAsia" w:ascii="宋体" w:hAnsi="宋体"/>
          <w:color w:val="auto"/>
          <w:sz w:val="24"/>
          <w:highlight w:val="none"/>
        </w:rPr>
        <w:t>采购人</w:t>
      </w:r>
      <w:r>
        <w:rPr>
          <w:rFonts w:ascii="宋体" w:hAnsi="宋体"/>
          <w:color w:val="auto"/>
          <w:sz w:val="24"/>
          <w:highlight w:val="none"/>
        </w:rPr>
        <w:t>的“</w:t>
      </w:r>
      <w:r>
        <w:rPr>
          <w:rFonts w:hint="eastAsia" w:ascii="宋体" w:hAnsi="宋体"/>
          <w:color w:val="auto"/>
          <w:sz w:val="24"/>
          <w:highlight w:val="none"/>
        </w:rPr>
        <w:t>中标</w:t>
      </w:r>
      <w:r>
        <w:rPr>
          <w:rFonts w:ascii="宋体" w:hAnsi="宋体"/>
          <w:color w:val="auto"/>
          <w:sz w:val="24"/>
          <w:highlight w:val="none"/>
        </w:rPr>
        <w:t>”复函后，在财政部门指定的政府采购信息发布媒体上</w:t>
      </w:r>
      <w:r>
        <w:rPr>
          <w:rFonts w:hint="eastAsia" w:ascii="宋体" w:hAnsi="宋体"/>
          <w:color w:val="auto"/>
          <w:sz w:val="24"/>
          <w:highlight w:val="none"/>
        </w:rPr>
        <w:t>发布中标</w:t>
      </w:r>
      <w:r>
        <w:rPr>
          <w:rFonts w:ascii="宋体" w:hAnsi="宋体"/>
          <w:color w:val="auto"/>
          <w:sz w:val="24"/>
          <w:highlight w:val="none"/>
        </w:rPr>
        <w:t>公告，</w:t>
      </w:r>
      <w:r>
        <w:rPr>
          <w:rFonts w:hint="eastAsia" w:ascii="宋体" w:hAnsi="宋体"/>
          <w:color w:val="auto"/>
          <w:sz w:val="24"/>
          <w:highlight w:val="none"/>
        </w:rPr>
        <w:t>公示期</w:t>
      </w:r>
      <w:r>
        <w:rPr>
          <w:rFonts w:hint="eastAsia" w:ascii="宋体" w:hAnsi="宋体"/>
          <w:color w:val="auto"/>
          <w:sz w:val="24"/>
          <w:highlight w:val="none"/>
          <w:lang w:val="en-US" w:eastAsia="zh-CN"/>
        </w:rPr>
        <w:t>同时</w:t>
      </w:r>
      <w:r>
        <w:rPr>
          <w:rFonts w:ascii="宋体" w:hAnsi="宋体"/>
          <w:color w:val="auto"/>
          <w:sz w:val="24"/>
          <w:highlight w:val="none"/>
        </w:rPr>
        <w:t>向</w:t>
      </w:r>
      <w:r>
        <w:rPr>
          <w:rFonts w:hint="eastAsia" w:ascii="宋体" w:hAnsi="宋体"/>
          <w:color w:val="auto"/>
          <w:sz w:val="24"/>
          <w:highlight w:val="none"/>
          <w:lang w:val="en-US" w:eastAsia="zh-CN"/>
        </w:rPr>
        <w:t>成交供应商</w:t>
      </w:r>
      <w:r>
        <w:rPr>
          <w:rFonts w:ascii="宋体" w:hAnsi="宋体"/>
          <w:color w:val="auto"/>
          <w:sz w:val="24"/>
          <w:highlight w:val="none"/>
        </w:rPr>
        <w:t>发“</w:t>
      </w:r>
      <w:r>
        <w:rPr>
          <w:rFonts w:hint="eastAsia" w:ascii="宋体" w:hAnsi="宋体"/>
          <w:color w:val="auto"/>
          <w:sz w:val="24"/>
          <w:highlight w:val="none"/>
          <w:lang w:val="en-US" w:eastAsia="zh-CN"/>
        </w:rPr>
        <w:t>成交</w:t>
      </w:r>
      <w:r>
        <w:rPr>
          <w:rFonts w:ascii="宋体" w:hAnsi="宋体"/>
          <w:color w:val="auto"/>
          <w:sz w:val="24"/>
          <w:highlight w:val="none"/>
        </w:rPr>
        <w:t>通知书”。</w:t>
      </w:r>
      <w:r>
        <w:rPr>
          <w:rFonts w:hint="eastAsia" w:ascii="宋体" w:hAnsi="宋体"/>
          <w:color w:val="auto"/>
          <w:sz w:val="24"/>
          <w:highlight w:val="none"/>
        </w:rPr>
        <w:t>采购代理机构</w:t>
      </w:r>
      <w:r>
        <w:rPr>
          <w:rFonts w:ascii="宋体" w:hAnsi="宋体"/>
          <w:color w:val="auto"/>
          <w:sz w:val="24"/>
          <w:highlight w:val="none"/>
        </w:rPr>
        <w:t>将评审过程及</w:t>
      </w:r>
      <w:r>
        <w:rPr>
          <w:rFonts w:hint="eastAsia" w:ascii="宋体" w:hAnsi="宋体"/>
          <w:color w:val="auto"/>
          <w:sz w:val="24"/>
          <w:highlight w:val="none"/>
          <w:lang w:val="en-US" w:eastAsia="zh-CN"/>
        </w:rPr>
        <w:t>成交供应商</w:t>
      </w:r>
      <w:r>
        <w:rPr>
          <w:rFonts w:ascii="宋体" w:hAnsi="宋体"/>
          <w:color w:val="auto"/>
          <w:sz w:val="24"/>
          <w:highlight w:val="none"/>
        </w:rPr>
        <w:t>情况书面报监督机构备案。</w:t>
      </w:r>
      <w:r>
        <w:rPr>
          <w:rFonts w:hint="eastAsia" w:ascii="宋体" w:hAnsi="宋体"/>
          <w:color w:val="auto"/>
          <w:sz w:val="24"/>
          <w:highlight w:val="none"/>
        </w:rPr>
        <w:t>投标供应商有权利查询其得分及排名。</w:t>
      </w:r>
    </w:p>
    <w:p w14:paraId="0D0A688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.2采购代理机构不做未中标原因的解释。</w:t>
      </w:r>
    </w:p>
    <w:p w14:paraId="562AEC1A">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成交</w:t>
      </w:r>
      <w:r>
        <w:rPr>
          <w:rFonts w:hint="eastAsia" w:ascii="宋体" w:hAnsi="宋体"/>
          <w:color w:val="auto"/>
          <w:sz w:val="24"/>
          <w:szCs w:val="24"/>
          <w:highlight w:val="none"/>
        </w:rPr>
        <w:t>通知书将是合同的一个组成部分。</w:t>
      </w:r>
    </w:p>
    <w:p w14:paraId="39D88742">
      <w:pPr>
        <w:shd w:val="clear"/>
        <w:spacing w:line="360" w:lineRule="auto"/>
        <w:ind w:firstLine="472" w:firstLineChars="196"/>
        <w:rPr>
          <w:rFonts w:hint="eastAsia" w:ascii="宋体" w:hAnsi="宋体" w:eastAsia="宋体" w:cs="Times New Roman"/>
          <w:color w:val="auto"/>
          <w:sz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.签订合同</w:t>
      </w:r>
    </w:p>
    <w:p w14:paraId="50841826">
      <w:pPr>
        <w:shd w:val="clea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.1采购人应当自</w:t>
      </w:r>
      <w:r>
        <w:rPr>
          <w:rFonts w:hint="eastAsia" w:ascii="宋体" w:hAnsi="宋体" w:eastAsia="宋体" w:cs="Times New Roman"/>
          <w:color w:val="auto"/>
          <w:sz w:val="24"/>
          <w:szCs w:val="24"/>
          <w:highlight w:val="none"/>
          <w:lang w:val="en-US" w:eastAsia="zh-CN"/>
        </w:rPr>
        <w:t>成交</w:t>
      </w:r>
      <w:r>
        <w:rPr>
          <w:rFonts w:hint="eastAsia" w:ascii="宋体" w:hAnsi="宋体" w:eastAsia="宋体" w:cs="Times New Roman"/>
          <w:color w:val="auto"/>
          <w:sz w:val="24"/>
          <w:szCs w:val="24"/>
          <w:highlight w:val="none"/>
        </w:rPr>
        <w:t>通知书发出之日起</w:t>
      </w:r>
      <w:r>
        <w:rPr>
          <w:rFonts w:hint="eastAsia" w:ascii="宋体" w:hAnsi="宋体" w:eastAsia="宋体" w:cs="Times New Roman"/>
          <w:color w:val="auto"/>
          <w:sz w:val="24"/>
          <w:szCs w:val="24"/>
          <w:highlight w:val="none"/>
          <w:lang w:val="en-US" w:eastAsia="zh-CN"/>
        </w:rPr>
        <w:t>二十五日</w:t>
      </w:r>
      <w:r>
        <w:rPr>
          <w:rFonts w:hint="eastAsia" w:ascii="宋体" w:hAnsi="宋体" w:eastAsia="宋体" w:cs="Times New Roman"/>
          <w:color w:val="auto"/>
          <w:sz w:val="24"/>
          <w:szCs w:val="24"/>
          <w:highlight w:val="none"/>
        </w:rPr>
        <w:t>内，按照招标文件和</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投标文件（包括评标中形成的澄清文件）的约定，与</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签订书面合同。所签订的合同不得对招标文件和</w:t>
      </w:r>
      <w:r>
        <w:rPr>
          <w:rFonts w:hint="eastAsia" w:ascii="宋体" w:hAnsi="宋体"/>
          <w:color w:val="auto"/>
          <w:sz w:val="24"/>
          <w:highlight w:val="none"/>
          <w:lang w:val="en-US" w:eastAsia="zh-CN"/>
        </w:rPr>
        <w:t>成交供应商</w:t>
      </w:r>
      <w:r>
        <w:rPr>
          <w:rFonts w:hint="eastAsia" w:ascii="宋体" w:hAnsi="宋体" w:eastAsia="宋体" w:cs="Times New Roman"/>
          <w:color w:val="auto"/>
          <w:sz w:val="24"/>
          <w:szCs w:val="24"/>
          <w:highlight w:val="none"/>
        </w:rPr>
        <w:t>的投标文件（包括评标中形成的澄清文件）作实质性修改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确定的</w:t>
      </w:r>
      <w:r>
        <w:rPr>
          <w:rFonts w:hint="eastAsia" w:ascii="宋体" w:hAnsi="宋体"/>
          <w:color w:val="auto"/>
          <w:sz w:val="24"/>
          <w:highlight w:val="none"/>
          <w:lang w:val="en-US" w:eastAsia="zh-CN"/>
        </w:rPr>
        <w:t>成交</w:t>
      </w:r>
      <w:r>
        <w:rPr>
          <w:rFonts w:hint="eastAsia" w:ascii="宋体" w:hAnsi="宋体" w:eastAsia="宋体" w:cs="Times New Roman"/>
          <w:color w:val="auto"/>
          <w:sz w:val="24"/>
          <w:szCs w:val="24"/>
          <w:highlight w:val="none"/>
        </w:rPr>
        <w:t>候选人放弃中标、在规定期限内未能签订合同、因不可抗力不能履行合同、不按照招标文件要求提交履约保证金，或者被查实存在影响中标结果的违法行为等情形，不符合中标条件的，采购人可以按照评标委员会提出的</w:t>
      </w:r>
      <w:r>
        <w:rPr>
          <w:rFonts w:hint="eastAsia" w:ascii="宋体" w:hAnsi="宋体"/>
          <w:color w:val="auto"/>
          <w:sz w:val="24"/>
          <w:highlight w:val="none"/>
          <w:lang w:val="en-US" w:eastAsia="zh-CN"/>
        </w:rPr>
        <w:t>成交</w:t>
      </w:r>
      <w:r>
        <w:rPr>
          <w:rFonts w:hint="eastAsia" w:ascii="宋体" w:hAnsi="宋体" w:eastAsia="宋体" w:cs="Times New Roman"/>
          <w:color w:val="auto"/>
          <w:sz w:val="24"/>
          <w:szCs w:val="24"/>
          <w:highlight w:val="none"/>
        </w:rPr>
        <w:t>候选人名单排序依次确定其他</w:t>
      </w:r>
      <w:r>
        <w:rPr>
          <w:rFonts w:hint="eastAsia" w:ascii="宋体" w:hAnsi="宋体"/>
          <w:color w:val="auto"/>
          <w:sz w:val="24"/>
          <w:highlight w:val="none"/>
          <w:lang w:val="en-US" w:eastAsia="zh-CN"/>
        </w:rPr>
        <w:t>成交</w:t>
      </w:r>
      <w:r>
        <w:rPr>
          <w:rFonts w:hint="eastAsia" w:ascii="宋体" w:hAnsi="宋体" w:eastAsia="宋体" w:cs="Times New Roman"/>
          <w:color w:val="auto"/>
          <w:sz w:val="24"/>
          <w:szCs w:val="24"/>
          <w:highlight w:val="none"/>
        </w:rPr>
        <w:t>候选人为</w:t>
      </w:r>
      <w:r>
        <w:rPr>
          <w:rFonts w:hint="eastAsia" w:ascii="宋体" w:hAnsi="宋体"/>
          <w:color w:val="auto"/>
          <w:sz w:val="24"/>
          <w:highlight w:val="none"/>
          <w:lang w:val="en-US" w:eastAsia="zh-CN"/>
        </w:rPr>
        <w:t>成交供应商</w:t>
      </w:r>
      <w:r>
        <w:rPr>
          <w:rFonts w:hint="eastAsia" w:ascii="宋体" w:hAnsi="宋体" w:eastAsia="宋体" w:cs="Times New Roman"/>
          <w:color w:val="auto"/>
          <w:sz w:val="24"/>
          <w:szCs w:val="24"/>
          <w:highlight w:val="none"/>
        </w:rPr>
        <w:t>，也可以重新招标。</w:t>
      </w:r>
    </w:p>
    <w:p w14:paraId="45A838C8">
      <w:pPr>
        <w:shd w:val="clea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.2招标文件、</w:t>
      </w:r>
      <w:r>
        <w:rPr>
          <w:rFonts w:hint="eastAsia" w:ascii="宋体" w:hAnsi="宋体"/>
          <w:color w:val="auto"/>
          <w:sz w:val="24"/>
          <w:highlight w:val="none"/>
          <w:lang w:val="en-US" w:eastAsia="zh-CN"/>
        </w:rPr>
        <w:t>成交供应商</w:t>
      </w:r>
      <w:r>
        <w:rPr>
          <w:rFonts w:hint="eastAsia" w:ascii="宋体" w:hAnsi="宋体" w:eastAsia="宋体" w:cs="Times New Roman"/>
          <w:color w:val="auto"/>
          <w:sz w:val="24"/>
          <w:szCs w:val="24"/>
          <w:highlight w:val="none"/>
        </w:rPr>
        <w:t>的投标文件及评标过程中有关的澄清文件均作为合同附件</w:t>
      </w:r>
      <w:r>
        <w:rPr>
          <w:rFonts w:hint="eastAsia" w:ascii="宋体" w:hAnsi="宋体" w:eastAsia="宋体" w:cs="Times New Roman"/>
          <w:color w:val="auto"/>
          <w:sz w:val="24"/>
          <w:szCs w:val="24"/>
          <w:highlight w:val="none"/>
          <w:lang w:eastAsia="zh-CN"/>
        </w:rPr>
        <w:t>。</w:t>
      </w:r>
    </w:p>
    <w:p w14:paraId="7905F065">
      <w:pPr>
        <w:shd w:val="clea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采购人自政府采购合同签订之日起2个工作日内，将政府采购合同在省级以上人民政府财政部门指定的媒体上公告，但政府采购合同中涉及国家秘密、商业秘密的内容除外。</w:t>
      </w:r>
    </w:p>
    <w:p w14:paraId="17573345">
      <w:pPr>
        <w:spacing w:line="360" w:lineRule="auto"/>
        <w:ind w:firstLine="472" w:firstLineChars="196"/>
        <w:rPr>
          <w:rFonts w:hint="eastAsia"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26.履约验收</w:t>
      </w:r>
    </w:p>
    <w:p w14:paraId="512CDDAE">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26.1</w:t>
      </w:r>
      <w:r>
        <w:rPr>
          <w:rFonts w:hint="eastAsia" w:ascii="宋体" w:hAnsi="宋体" w:eastAsia="宋体" w:cs="Times New Roman"/>
          <w:color w:val="auto"/>
          <w:sz w:val="24"/>
          <w:szCs w:val="24"/>
          <w:highlight w:val="none"/>
        </w:rPr>
        <w:t>政府采购合同的履行、违约责任和解决争议的方法等适用《中华人民共和国</w:t>
      </w:r>
      <w:r>
        <w:rPr>
          <w:rFonts w:hint="eastAsia" w:ascii="宋体" w:hAnsi="宋体" w:cs="Times New Roman"/>
          <w:color w:val="auto"/>
          <w:sz w:val="24"/>
          <w:szCs w:val="24"/>
          <w:highlight w:val="none"/>
          <w:lang w:val="en-US" w:eastAsia="zh-CN"/>
        </w:rPr>
        <w:t>民法典</w:t>
      </w:r>
      <w:r>
        <w:rPr>
          <w:rFonts w:hint="eastAsia" w:ascii="宋体" w:hAnsi="宋体" w:eastAsia="宋体" w:cs="Times New Roman"/>
          <w:color w:val="auto"/>
          <w:sz w:val="24"/>
          <w:szCs w:val="24"/>
          <w:highlight w:val="none"/>
        </w:rPr>
        <w:t>》。采购人按照政府采购合同规定的技术、服务、安全标准组织对供应商履约情况进行验收</w:t>
      </w:r>
      <w:r>
        <w:rPr>
          <w:rFonts w:hint="eastAsia" w:ascii="宋体" w:hAnsi="宋体" w:eastAsia="宋体" w:cs="Times New Roman"/>
          <w:color w:val="auto"/>
          <w:sz w:val="24"/>
          <w:szCs w:val="24"/>
          <w:highlight w:val="none"/>
          <w:lang w:val="en-US" w:eastAsia="zh-CN"/>
        </w:rPr>
        <w:t>。</w:t>
      </w:r>
    </w:p>
    <w:p w14:paraId="018D5F8E">
      <w:pPr>
        <w:spacing w:line="360" w:lineRule="auto"/>
        <w:ind w:firstLine="472" w:firstLineChars="196"/>
        <w:rPr>
          <w:rFonts w:hint="eastAsia"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27.质疑</w:t>
      </w:r>
    </w:p>
    <w:p w14:paraId="43C3BDF5">
      <w:pP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27.1</w:t>
      </w:r>
      <w:r>
        <w:rPr>
          <w:rFonts w:hint="eastAsia" w:ascii="宋体" w:hAnsi="宋体" w:eastAsia="宋体" w:cs="Times New Roman"/>
          <w:color w:val="auto"/>
          <w:sz w:val="24"/>
          <w:szCs w:val="24"/>
          <w:highlight w:val="none"/>
          <w:lang w:eastAsia="zh-CN"/>
        </w:rPr>
        <w:t xml:space="preserve">潜在供应商已依法获取其可质疑的采购文件的，可以对该文件提出质疑。对采购文件提出质疑的，应当在获取采购文件或者采购文件公告期限届满之日起7个工作日内提出。 </w:t>
      </w:r>
    </w:p>
    <w:p w14:paraId="38A2D289">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27.2供应商认为采购文件、采购过程、中标或者成交结果使自己的权益受到损害的，可以在知道或者应知其权益受到损害之日起7个工作日内，以书面形式向采购人、采购代理机构提出质疑。</w:t>
      </w:r>
    </w:p>
    <w:p w14:paraId="6D7197D8">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27.3供应商提出质疑应当提交质疑函和必要的证明材料。质疑函应当包括下列内容：</w:t>
      </w:r>
    </w:p>
    <w:p w14:paraId="27409F72">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供应商的姓名或者名称、地址、邮编、联系人及联系电话；</w:t>
      </w:r>
    </w:p>
    <w:p w14:paraId="2A649E62">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质疑项目的名称、编号；</w:t>
      </w:r>
    </w:p>
    <w:p w14:paraId="2D2A5791">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具体、明确的质疑事项和与质疑事项相关的请求；</w:t>
      </w:r>
    </w:p>
    <w:p w14:paraId="3937C44D">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事实依据；</w:t>
      </w:r>
    </w:p>
    <w:p w14:paraId="7707CF3A">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必要的法律依据；</w:t>
      </w:r>
    </w:p>
    <w:p w14:paraId="0B843019">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提出质疑的日期。</w:t>
      </w:r>
    </w:p>
    <w:p w14:paraId="49A1CC37">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27.4供应商为自然人的，应当由本人签字；供应商为法人或者其他组织的，应当由法定代表人、主要负责人，或者其授权代表签字或者盖章，并加盖公章。</w:t>
      </w:r>
    </w:p>
    <w:p w14:paraId="0A4FF79E">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27.5采购人、采购代理机构应当在收到质疑函后7个工作日内作出答复，并以书面形式通知质疑供应商和其他有关供应商。</w:t>
      </w:r>
    </w:p>
    <w:p w14:paraId="191BFDCF">
      <w:pPr>
        <w:spacing w:line="360" w:lineRule="auto"/>
        <w:ind w:firstLine="480" w:firstLineChars="200"/>
        <w:rPr>
          <w:rFonts w:ascii="宋体" w:hAnsi="宋体"/>
          <w:color w:val="auto"/>
          <w:spacing w:val="-10"/>
          <w:sz w:val="24"/>
          <w:szCs w:val="24"/>
          <w:highlight w:val="none"/>
        </w:rPr>
      </w:pPr>
      <w:r>
        <w:rPr>
          <w:rFonts w:hint="eastAsia" w:ascii="宋体" w:hAnsi="宋体" w:eastAsia="宋体" w:cs="Times New Roman"/>
          <w:color w:val="auto"/>
          <w:sz w:val="24"/>
          <w:szCs w:val="24"/>
          <w:highlight w:val="none"/>
          <w:lang w:val="en-US" w:eastAsia="zh-CN"/>
        </w:rPr>
        <w:t>27.6质疑供应商对采购人、采购代理机构的答复不满意，或者采购人、采购代理机构未在规定时间内作出答复的，可以在答复期满后15个工作日内向政府采购质疑和投诉办法（财政部第94号令）第六条规定的财政部门提起投诉。</w:t>
      </w:r>
      <w:bookmarkStart w:id="68" w:name="_Toc237342993"/>
    </w:p>
    <w:bookmarkEnd w:id="68"/>
    <w:p w14:paraId="116AEA5D">
      <w:pPr>
        <w:spacing w:line="360" w:lineRule="auto"/>
        <w:ind w:firstLine="472" w:firstLineChars="196"/>
        <w:rPr>
          <w:rFonts w:hint="eastAsia" w:ascii="宋体" w:hAnsi="宋体" w:eastAsia="宋体" w:cs="Times New Roman"/>
          <w:b/>
          <w:color w:val="auto"/>
          <w:sz w:val="24"/>
          <w:szCs w:val="24"/>
          <w:highlight w:val="none"/>
          <w:lang w:val="en-US" w:eastAsia="zh-CN"/>
        </w:rPr>
      </w:pPr>
      <w:bookmarkStart w:id="69" w:name="_Toc105649520"/>
      <w:bookmarkStart w:id="70" w:name="_Toc105649645"/>
      <w:bookmarkStart w:id="71" w:name="_Toc237343008"/>
      <w:r>
        <w:rPr>
          <w:rFonts w:hint="eastAsia" w:ascii="宋体" w:hAnsi="宋体" w:eastAsia="宋体" w:cs="Times New Roman"/>
          <w:b/>
          <w:color w:val="auto"/>
          <w:sz w:val="24"/>
          <w:szCs w:val="24"/>
          <w:highlight w:val="none"/>
          <w:lang w:val="en-US" w:eastAsia="zh-CN"/>
        </w:rPr>
        <w:t>28.其他</w:t>
      </w:r>
    </w:p>
    <w:p w14:paraId="68632978">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28.1 废标的情形</w:t>
      </w:r>
    </w:p>
    <w:p w14:paraId="167F4F97">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28.1.1招标采购中，出现下列情形之一的，应予以废标：</w:t>
      </w:r>
    </w:p>
    <w:p w14:paraId="754672FE">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（1）符合专业条件的供应商或者对招标文件作实质响应的供应商不足3家的；</w:t>
      </w:r>
    </w:p>
    <w:p w14:paraId="0B868574">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（2）出现影响采购公正的违法、违规行为的；</w:t>
      </w:r>
    </w:p>
    <w:p w14:paraId="169339DA">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（3）供应商的报价均超过了采购预算，采购人不能支付的；</w:t>
      </w:r>
    </w:p>
    <w:p w14:paraId="547C8562">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（4）因重大变故，采购任务取消的。                                              </w:t>
      </w:r>
    </w:p>
    <w:p w14:paraId="628D9FA5">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28.1.2废标后，采购代理机构应在财政部门指定采购网上公告，并公告废标的详细理由。</w:t>
      </w:r>
    </w:p>
    <w:p w14:paraId="42878FA9">
      <w:pPr>
        <w:rPr>
          <w:rFonts w:hint="eastAsia" w:eastAsia="宋体"/>
          <w:b/>
          <w:bCs/>
          <w:color w:val="auto"/>
          <w:highlight w:val="none"/>
          <w:lang w:val="en-US" w:eastAsia="zh-CN"/>
        </w:rPr>
      </w:pPr>
      <w:r>
        <w:rPr>
          <w:color w:val="auto"/>
          <w:sz w:val="24"/>
          <w:szCs w:val="24"/>
          <w:highlight w:val="none"/>
        </w:rPr>
        <w:br w:type="page"/>
      </w:r>
      <w:bookmarkStart w:id="72" w:name="_Toc23701"/>
    </w:p>
    <w:p w14:paraId="060CB8EE">
      <w:pPr>
        <w:pStyle w:val="3"/>
        <w:numPr>
          <w:ilvl w:val="0"/>
          <w:numId w:val="1"/>
        </w:numPr>
        <w:spacing w:line="360" w:lineRule="auto"/>
        <w:outlineLvl w:val="0"/>
        <w:rPr>
          <w:b/>
          <w:bCs/>
          <w:color w:val="auto"/>
          <w:highlight w:val="none"/>
        </w:rPr>
      </w:pPr>
      <w:r>
        <w:rPr>
          <w:rFonts w:hint="eastAsia"/>
          <w:b/>
          <w:bCs/>
          <w:color w:val="auto"/>
          <w:highlight w:val="none"/>
        </w:rPr>
        <w:t xml:space="preserve"> </w:t>
      </w:r>
      <w:bookmarkStart w:id="73" w:name="_Toc4190"/>
      <w:r>
        <w:rPr>
          <w:rFonts w:hint="eastAsia"/>
          <w:b/>
          <w:bCs/>
          <w:color w:val="auto"/>
          <w:highlight w:val="none"/>
          <w:lang w:val="en-US" w:eastAsia="zh-CN"/>
        </w:rPr>
        <w:t>采购内容</w:t>
      </w:r>
      <w:bookmarkEnd w:id="72"/>
      <w:r>
        <w:rPr>
          <w:rFonts w:hint="eastAsia"/>
          <w:b/>
          <w:bCs/>
          <w:color w:val="auto"/>
          <w:highlight w:val="none"/>
          <w:lang w:val="en-US" w:eastAsia="zh-CN"/>
        </w:rPr>
        <w:t>及要求</w:t>
      </w:r>
      <w:bookmarkEnd w:id="73"/>
    </w:p>
    <w:p w14:paraId="10A934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4"/>
          <w:szCs w:val="24"/>
          <w:highlight w:val="none"/>
          <w:lang w:val="en-US" w:eastAsia="zh-CN"/>
        </w:rPr>
      </w:pPr>
      <w:bookmarkStart w:id="74" w:name="_Toc21568"/>
    </w:p>
    <w:p w14:paraId="5095DB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一、项目名称 </w:t>
      </w:r>
    </w:p>
    <w:p w14:paraId="7BA3F9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高新区2025年广告发布、设计制作服务项目（二次）</w:t>
      </w:r>
    </w:p>
    <w:p w14:paraId="75CEF3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二、服务内容及要求  </w:t>
      </w:r>
    </w:p>
    <w:p w14:paraId="0BDB83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（一）采购内容</w:t>
      </w:r>
    </w:p>
    <w:p w14:paraId="6E40B3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高新区2025年广告发布</w:t>
      </w:r>
      <w:r>
        <w:rPr>
          <w:rFonts w:hint="eastAsia" w:ascii="宋体" w:hAnsi="宋体" w:cs="宋体"/>
          <w:color w:val="auto"/>
          <w:kern w:val="2"/>
          <w:sz w:val="24"/>
          <w:szCs w:val="24"/>
          <w:lang w:val="en-US" w:eastAsia="zh-CN" w:bidi="ar-SA"/>
        </w:rPr>
        <w:t>、高新区日常制作。</w:t>
      </w:r>
    </w:p>
    <w:p w14:paraId="7D796D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（二）主要功能或目标</w:t>
      </w:r>
    </w:p>
    <w:p w14:paraId="2B2D86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符合国家相关标准。  </w:t>
      </w:r>
    </w:p>
    <w:p w14:paraId="3B35FA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（三）需满足的要求</w:t>
      </w:r>
    </w:p>
    <w:p w14:paraId="275FB1E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广告发布：  </w:t>
      </w:r>
    </w:p>
    <w:p w14:paraId="078AD4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广告</w:t>
      </w:r>
      <w:r>
        <w:rPr>
          <w:rFonts w:hint="eastAsia" w:ascii="宋体" w:hAnsi="宋体" w:cs="宋体"/>
          <w:color w:val="auto"/>
          <w:kern w:val="2"/>
          <w:sz w:val="24"/>
          <w:szCs w:val="24"/>
          <w:lang w:val="en-US" w:eastAsia="zh-CN" w:bidi="ar-SA"/>
        </w:rPr>
        <w:t>发布</w:t>
      </w:r>
      <w:r>
        <w:rPr>
          <w:rFonts w:hint="eastAsia" w:ascii="宋体" w:hAnsi="宋体" w:eastAsia="宋体" w:cs="宋体"/>
          <w:color w:val="auto"/>
          <w:kern w:val="2"/>
          <w:sz w:val="24"/>
          <w:szCs w:val="24"/>
          <w:lang w:val="en-US" w:eastAsia="zh-CN" w:bidi="ar-SA"/>
        </w:rPr>
        <w:t>应满足这几点：</w:t>
      </w:r>
      <w:r>
        <w:rPr>
          <w:rFonts w:hint="eastAsia" w:ascii="宋体" w:hAnsi="宋体" w:cs="宋体"/>
          <w:color w:val="auto"/>
          <w:kern w:val="2"/>
          <w:sz w:val="24"/>
          <w:szCs w:val="24"/>
          <w:lang w:val="en-US" w:eastAsia="zh-CN" w:bidi="ar-SA"/>
        </w:rPr>
        <w:t>1、发布范围：咸阳市秦都区、渭城区、高新区；2、发布形式；广告牌、发光字、精神堡垒；3、发布数量：1个发光字、7个单立柱广告牌、3个精神堡垒、53个灯箱广告牌、19个落地广告牌；；发布时间：1年；</w:t>
      </w:r>
    </w:p>
    <w:p w14:paraId="3EDFAEB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360" w:leftChars="0"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高新区日常制作：</w:t>
      </w:r>
    </w:p>
    <w:p w14:paraId="3C99D3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根据用户的需求，要有独特的创意和新颖的表现形式，合理安排文字、图像、标志等元素，做到层次分明、重点突出、简洁明了。并且无条件的按用户要求进行修改，直到满意为止。  </w:t>
      </w:r>
    </w:p>
    <w:p w14:paraId="15D51956">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14:paraId="7AC0BC00">
      <w:pPr>
        <w:pStyle w:val="2"/>
        <w:ind w:firstLine="480" w:firstLineChars="200"/>
        <w:rPr>
          <w:rFonts w:hint="default"/>
          <w:color w:val="auto"/>
          <w:lang w:val="en-US" w:eastAsia="zh-CN"/>
        </w:rPr>
      </w:pPr>
      <w:r>
        <w:rPr>
          <w:rFonts w:hint="eastAsia" w:ascii="宋体" w:hAnsi="宋体" w:eastAsia="宋体" w:cs="宋体"/>
          <w:color w:val="auto"/>
          <w:kern w:val="2"/>
          <w:sz w:val="24"/>
          <w:szCs w:val="24"/>
          <w:lang w:val="en-US" w:eastAsia="zh-CN" w:bidi="ar-SA"/>
        </w:rPr>
        <w:t>三、本项目最终按实际发生的量乘以单价结算</w:t>
      </w:r>
    </w:p>
    <w:p w14:paraId="0A50F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四</w:t>
      </w:r>
      <w:r>
        <w:rPr>
          <w:rFonts w:hint="eastAsia" w:ascii="宋体" w:hAnsi="宋体" w:eastAsia="宋体" w:cs="宋体"/>
          <w:color w:val="auto"/>
          <w:kern w:val="2"/>
          <w:sz w:val="24"/>
          <w:szCs w:val="24"/>
          <w:lang w:val="en-US" w:eastAsia="zh-CN" w:bidi="ar-SA"/>
        </w:rPr>
        <w:t>、服务期</w:t>
      </w:r>
    </w:p>
    <w:p w14:paraId="3B8EBB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合同签订后365日历天</w:t>
      </w:r>
    </w:p>
    <w:p w14:paraId="27A3D1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五</w:t>
      </w:r>
      <w:r>
        <w:rPr>
          <w:rFonts w:hint="eastAsia" w:ascii="宋体" w:hAnsi="宋体" w:eastAsia="宋体" w:cs="宋体"/>
          <w:color w:val="auto"/>
          <w:kern w:val="2"/>
          <w:sz w:val="24"/>
          <w:szCs w:val="24"/>
          <w:lang w:val="en-US" w:eastAsia="zh-CN" w:bidi="ar-SA"/>
        </w:rPr>
        <w:t xml:space="preserve">、服务质量要求  </w:t>
      </w:r>
    </w:p>
    <w:p w14:paraId="10BAF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（一）执行标准</w:t>
      </w:r>
    </w:p>
    <w:p w14:paraId="201A6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所有宣传内容需符合《中华人民共和国广告法》《互联网信息服务管理办法》等相关法律法规，杜绝虚假宣传。  </w:t>
      </w:r>
    </w:p>
    <w:p w14:paraId="5939D0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（二）验收标准</w:t>
      </w:r>
    </w:p>
    <w:p w14:paraId="5A26E2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广告发布：按要求完成发布后，提供对应的照片；</w:t>
      </w:r>
    </w:p>
    <w:p w14:paraId="6DBD1A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高新区日常制作：按照约定的材料以及设计图案完成制作，按甲方要求验收。</w:t>
      </w:r>
    </w:p>
    <w:p w14:paraId="410314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六</w:t>
      </w:r>
      <w:r>
        <w:rPr>
          <w:rFonts w:hint="eastAsia" w:ascii="宋体" w:hAnsi="宋体" w:eastAsia="宋体" w:cs="宋体"/>
          <w:color w:val="auto"/>
          <w:kern w:val="2"/>
          <w:sz w:val="24"/>
          <w:szCs w:val="24"/>
          <w:lang w:val="en-US" w:eastAsia="zh-CN" w:bidi="ar-SA"/>
        </w:rPr>
        <w:t xml:space="preserve">、违约责任 </w:t>
      </w:r>
    </w:p>
    <w:p w14:paraId="5DEDD6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未按计划完成发布的（如内容发布延迟、质量不达标），每项按合同金额的1%扣款。  </w:t>
      </w:r>
    </w:p>
    <w:p w14:paraId="6614C4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 因宣传内容违规导致负面影响的，每次处5000-20000元罚款，情节严重追究法律责任。   </w:t>
      </w:r>
    </w:p>
    <w:p w14:paraId="02C0BD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七</w:t>
      </w:r>
      <w:r>
        <w:rPr>
          <w:rFonts w:hint="eastAsia" w:ascii="宋体" w:hAnsi="宋体" w:eastAsia="宋体" w:cs="宋体"/>
          <w:color w:val="auto"/>
          <w:kern w:val="2"/>
          <w:sz w:val="24"/>
          <w:szCs w:val="24"/>
          <w:lang w:val="en-US" w:eastAsia="zh-CN" w:bidi="ar-SA"/>
        </w:rPr>
        <w:t xml:space="preserve">、其他要求 </w:t>
      </w:r>
    </w:p>
    <w:p w14:paraId="6571D2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服务方需</w:t>
      </w:r>
      <w:r>
        <w:rPr>
          <w:rFonts w:hint="eastAsia" w:ascii="宋体" w:hAnsi="宋体" w:cs="宋体"/>
          <w:color w:val="auto"/>
          <w:kern w:val="2"/>
          <w:sz w:val="24"/>
          <w:szCs w:val="24"/>
          <w:lang w:val="en-US" w:eastAsia="zh-CN" w:bidi="ar-SA"/>
        </w:rPr>
        <w:t>全力配合</w:t>
      </w:r>
      <w:r>
        <w:rPr>
          <w:rFonts w:hint="eastAsia" w:ascii="宋体" w:hAnsi="宋体" w:eastAsia="宋体" w:cs="宋体"/>
          <w:color w:val="auto"/>
          <w:kern w:val="2"/>
          <w:sz w:val="24"/>
          <w:szCs w:val="24"/>
          <w:lang w:val="en-US" w:eastAsia="zh-CN" w:bidi="ar-SA"/>
        </w:rPr>
        <w:t xml:space="preserve">，提供24小时应急支持。  </w:t>
      </w:r>
    </w:p>
    <w:p w14:paraId="33C49A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 所有原创内容知识产权归高新区管委会所有，未经许可不得擅自使用或授权第三方。  </w:t>
      </w:r>
    </w:p>
    <w:p w14:paraId="695609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lang w:val="en-US" w:eastAsia="zh-CN" w:bidi="ar-SA"/>
        </w:rPr>
      </w:pPr>
    </w:p>
    <w:p w14:paraId="35D0ECE8">
      <w:pPr>
        <w:rPr>
          <w:color w:val="auto"/>
        </w:rPr>
      </w:pPr>
    </w:p>
    <w:p w14:paraId="46D43B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lang w:val="en-US" w:eastAsia="zh-CN" w:bidi="ar-SA"/>
        </w:rPr>
      </w:pPr>
    </w:p>
    <w:p w14:paraId="05A3E997">
      <w:pPr>
        <w:rPr>
          <w:rFonts w:hint="eastAsia"/>
          <w:color w:val="auto"/>
          <w:lang w:val="en-US" w:eastAsia="zh-CN"/>
        </w:rPr>
      </w:pPr>
      <w:r>
        <w:rPr>
          <w:rFonts w:hint="eastAsia"/>
          <w:color w:val="auto"/>
          <w:lang w:val="en-US" w:eastAsia="zh-CN"/>
        </w:rPr>
        <w:t xml:space="preserve">    </w:t>
      </w:r>
    </w:p>
    <w:p w14:paraId="557D0F35">
      <w:pPr>
        <w:pStyle w:val="2"/>
        <w:rPr>
          <w:rFonts w:hint="eastAsia"/>
          <w:color w:val="auto"/>
          <w:lang w:val="en-US" w:eastAsia="zh-CN"/>
        </w:rPr>
      </w:pPr>
    </w:p>
    <w:p w14:paraId="23A9005E">
      <w:pPr>
        <w:pStyle w:val="2"/>
        <w:rPr>
          <w:rFonts w:hint="eastAsia"/>
          <w:color w:val="auto"/>
          <w:lang w:val="en-US" w:eastAsia="zh-CN"/>
        </w:rPr>
      </w:pPr>
    </w:p>
    <w:p w14:paraId="50213B65">
      <w:pPr>
        <w:pStyle w:val="2"/>
        <w:rPr>
          <w:rFonts w:hint="eastAsia"/>
          <w:color w:val="auto"/>
          <w:lang w:val="en-US" w:eastAsia="zh-CN"/>
        </w:rPr>
      </w:pPr>
    </w:p>
    <w:p w14:paraId="58C8ABFC">
      <w:pPr>
        <w:pStyle w:val="2"/>
        <w:rPr>
          <w:rFonts w:hint="eastAsia"/>
          <w:color w:val="auto"/>
          <w:lang w:val="en-US" w:eastAsia="zh-CN"/>
        </w:rPr>
      </w:pPr>
    </w:p>
    <w:p w14:paraId="374BA15A">
      <w:pPr>
        <w:pStyle w:val="2"/>
        <w:rPr>
          <w:rFonts w:hint="eastAsia"/>
          <w:color w:val="auto"/>
          <w:lang w:val="en-US" w:eastAsia="zh-CN"/>
        </w:rPr>
      </w:pPr>
    </w:p>
    <w:p w14:paraId="762755CE">
      <w:pPr>
        <w:pStyle w:val="2"/>
        <w:rPr>
          <w:rFonts w:hint="eastAsia"/>
          <w:color w:val="auto"/>
          <w:lang w:val="en-US" w:eastAsia="zh-CN"/>
        </w:rPr>
      </w:pPr>
    </w:p>
    <w:p w14:paraId="4963C852">
      <w:pPr>
        <w:pStyle w:val="2"/>
        <w:rPr>
          <w:rFonts w:hint="eastAsia"/>
          <w:color w:val="auto"/>
          <w:lang w:val="en-US" w:eastAsia="zh-CN"/>
        </w:rPr>
      </w:pPr>
    </w:p>
    <w:p w14:paraId="2E33A6E2">
      <w:pPr>
        <w:pStyle w:val="2"/>
        <w:rPr>
          <w:rFonts w:hint="eastAsia"/>
          <w:color w:val="auto"/>
          <w:lang w:val="en-US" w:eastAsia="zh-CN"/>
        </w:rPr>
      </w:pPr>
    </w:p>
    <w:p w14:paraId="5BF67760">
      <w:pPr>
        <w:pStyle w:val="2"/>
        <w:rPr>
          <w:rFonts w:hint="eastAsia"/>
          <w:color w:val="auto"/>
          <w:lang w:val="en-US" w:eastAsia="zh-CN"/>
        </w:rPr>
      </w:pPr>
    </w:p>
    <w:p w14:paraId="1747B671">
      <w:pPr>
        <w:pStyle w:val="2"/>
        <w:rPr>
          <w:rFonts w:hint="eastAsia"/>
          <w:color w:val="auto"/>
          <w:lang w:val="en-US" w:eastAsia="zh-CN"/>
        </w:rPr>
      </w:pPr>
    </w:p>
    <w:p w14:paraId="5A9C756A">
      <w:pPr>
        <w:pStyle w:val="2"/>
        <w:rPr>
          <w:rFonts w:hint="eastAsia"/>
          <w:color w:val="auto"/>
          <w:lang w:val="en-US" w:eastAsia="zh-CN"/>
        </w:rPr>
      </w:pPr>
    </w:p>
    <w:p w14:paraId="1D5B3872">
      <w:pPr>
        <w:pStyle w:val="2"/>
        <w:rPr>
          <w:rFonts w:hint="eastAsia"/>
          <w:color w:val="auto"/>
          <w:lang w:val="en-US" w:eastAsia="zh-CN"/>
        </w:rPr>
      </w:pPr>
    </w:p>
    <w:p w14:paraId="5ED3496F">
      <w:pPr>
        <w:pStyle w:val="2"/>
        <w:rPr>
          <w:rFonts w:hint="eastAsia"/>
          <w:color w:val="auto"/>
          <w:lang w:val="en-US" w:eastAsia="zh-CN"/>
        </w:rPr>
      </w:pPr>
    </w:p>
    <w:p w14:paraId="6A31D83B">
      <w:pPr>
        <w:pStyle w:val="2"/>
        <w:rPr>
          <w:rFonts w:hint="eastAsia"/>
          <w:color w:val="auto"/>
          <w:lang w:val="en-US" w:eastAsia="zh-CN"/>
        </w:rPr>
      </w:pPr>
    </w:p>
    <w:p w14:paraId="55C8F0A4">
      <w:pPr>
        <w:pStyle w:val="2"/>
        <w:rPr>
          <w:rFonts w:hint="eastAsia"/>
          <w:b/>
          <w:bCs/>
          <w:color w:val="auto"/>
          <w:lang w:val="en-US" w:eastAsia="zh-CN"/>
        </w:rPr>
      </w:pPr>
      <w:r>
        <w:rPr>
          <w:rFonts w:hint="eastAsia"/>
          <w:b/>
          <w:bCs/>
          <w:color w:val="auto"/>
          <w:lang w:val="en-US" w:eastAsia="zh-CN"/>
        </w:rPr>
        <w:t>八、清单</w:t>
      </w:r>
    </w:p>
    <w:p w14:paraId="4487427C">
      <w:pPr>
        <w:pStyle w:val="2"/>
        <w:rPr>
          <w:rFonts w:hint="eastAsia"/>
          <w:color w:val="auto"/>
          <w:lang w:val="en-US"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756"/>
        <w:gridCol w:w="1646"/>
        <w:gridCol w:w="2490"/>
        <w:gridCol w:w="766"/>
        <w:gridCol w:w="656"/>
        <w:gridCol w:w="1316"/>
      </w:tblGrid>
      <w:tr w14:paraId="47F5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3764">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广告发布</w:t>
            </w:r>
          </w:p>
        </w:tc>
      </w:tr>
      <w:tr w14:paraId="000C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 w:type="pct"/>
            <w:tcBorders>
              <w:top w:val="nil"/>
              <w:left w:val="single" w:color="000000" w:sz="4" w:space="0"/>
              <w:bottom w:val="single" w:color="000000" w:sz="4" w:space="0"/>
              <w:right w:val="single" w:color="000000" w:sz="4" w:space="0"/>
            </w:tcBorders>
            <w:shd w:val="clear" w:color="auto" w:fill="FFFFFF"/>
            <w:noWrap/>
            <w:vAlign w:val="center"/>
          </w:tcPr>
          <w:p w14:paraId="5F7B27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66" w:type="pct"/>
            <w:tcBorders>
              <w:top w:val="nil"/>
              <w:left w:val="single" w:color="000000" w:sz="4" w:space="0"/>
              <w:bottom w:val="single" w:color="000000" w:sz="4" w:space="0"/>
              <w:right w:val="single" w:color="000000" w:sz="4" w:space="0"/>
            </w:tcBorders>
            <w:shd w:val="clear" w:color="auto" w:fill="FFFFFF"/>
            <w:vAlign w:val="center"/>
          </w:tcPr>
          <w:p w14:paraId="1EB7B9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发布数量</w:t>
            </w:r>
          </w:p>
        </w:tc>
        <w:tc>
          <w:tcPr>
            <w:tcW w:w="700" w:type="pct"/>
            <w:tcBorders>
              <w:top w:val="nil"/>
              <w:left w:val="single" w:color="000000" w:sz="4" w:space="0"/>
              <w:bottom w:val="single" w:color="000000" w:sz="4" w:space="0"/>
              <w:right w:val="single" w:color="000000" w:sz="4" w:space="0"/>
            </w:tcBorders>
            <w:shd w:val="clear" w:color="auto" w:fill="FFFFFF"/>
            <w:vAlign w:val="center"/>
          </w:tcPr>
          <w:p w14:paraId="551548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发布形式</w:t>
            </w:r>
          </w:p>
        </w:tc>
        <w:tc>
          <w:tcPr>
            <w:tcW w:w="3253" w:type="pct"/>
            <w:gridSpan w:val="4"/>
            <w:tcBorders>
              <w:top w:val="nil"/>
              <w:left w:val="single" w:color="000000" w:sz="4" w:space="0"/>
              <w:bottom w:val="single" w:color="000000" w:sz="4" w:space="0"/>
              <w:right w:val="single" w:color="000000" w:sz="4" w:space="0"/>
            </w:tcBorders>
            <w:shd w:val="clear" w:color="auto" w:fill="FFFFFF"/>
            <w:vAlign w:val="center"/>
          </w:tcPr>
          <w:p w14:paraId="6F4CA2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发布要求</w:t>
            </w:r>
          </w:p>
        </w:tc>
      </w:tr>
      <w:tr w14:paraId="2870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9FA8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1 </w:t>
            </w:r>
          </w:p>
        </w:tc>
        <w:tc>
          <w:tcPr>
            <w:tcW w:w="7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2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385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发光字</w:t>
            </w:r>
          </w:p>
        </w:tc>
        <w:tc>
          <w:tcPr>
            <w:tcW w:w="325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35BF5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体现 “国家级咸阳高新区”字样</w:t>
            </w:r>
          </w:p>
        </w:tc>
      </w:tr>
      <w:tr w14:paraId="69A6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0FA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2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2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87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精神堡垒</w:t>
            </w:r>
          </w:p>
        </w:tc>
        <w:tc>
          <w:tcPr>
            <w:tcW w:w="32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A0F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高度12米-18米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宽度1.6米-3米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厚度0.8米-3米</w:t>
            </w:r>
          </w:p>
        </w:tc>
      </w:tr>
      <w:tr w14:paraId="0EB9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34FE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C9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7个</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7C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单立柱广告牌</w:t>
            </w:r>
          </w:p>
        </w:tc>
        <w:tc>
          <w:tcPr>
            <w:tcW w:w="32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D43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长度：18米-21米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高度：6米-8米</w:t>
            </w:r>
          </w:p>
        </w:tc>
      </w:tr>
      <w:tr w14:paraId="43C5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BD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4 </w:t>
            </w:r>
          </w:p>
        </w:tc>
        <w:tc>
          <w:tcPr>
            <w:tcW w:w="7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89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50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灯箱广告牌</w:t>
            </w:r>
          </w:p>
        </w:tc>
        <w:tc>
          <w:tcPr>
            <w:tcW w:w="32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8AA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长度：50厘米-600厘米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高度：120厘米-150厘米</w:t>
            </w:r>
          </w:p>
        </w:tc>
      </w:tr>
      <w:tr w14:paraId="5AC6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38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5 </w:t>
            </w:r>
          </w:p>
        </w:tc>
        <w:tc>
          <w:tcPr>
            <w:tcW w:w="766" w:type="pct"/>
            <w:tcBorders>
              <w:top w:val="single" w:color="000000" w:sz="4" w:space="0"/>
              <w:left w:val="single" w:color="000000" w:sz="4" w:space="0"/>
              <w:bottom w:val="nil"/>
              <w:right w:val="single" w:color="000000" w:sz="4" w:space="0"/>
            </w:tcBorders>
            <w:shd w:val="clear" w:color="auto" w:fill="FFFFFF"/>
            <w:noWrap/>
            <w:vAlign w:val="center"/>
          </w:tcPr>
          <w:p w14:paraId="467B8D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13个</w:t>
            </w: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00522F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广告牌</w:t>
            </w:r>
          </w:p>
        </w:tc>
        <w:tc>
          <w:tcPr>
            <w:tcW w:w="32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2B8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长度：27米-30米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高度：2.5米-3米</w:t>
            </w:r>
          </w:p>
        </w:tc>
      </w:tr>
      <w:tr w14:paraId="65FF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AB6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6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7C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6个</w:t>
            </w: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007434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广告牌</w:t>
            </w:r>
          </w:p>
        </w:tc>
        <w:tc>
          <w:tcPr>
            <w:tcW w:w="32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0220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长度：5米-27米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高度：2.5米-3米</w:t>
            </w:r>
          </w:p>
        </w:tc>
      </w:tr>
      <w:tr w14:paraId="23F7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86C7">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cs="宋体"/>
                <w:b/>
                <w:bCs/>
                <w:i w:val="0"/>
                <w:iCs w:val="0"/>
                <w:color w:val="auto"/>
                <w:kern w:val="0"/>
                <w:sz w:val="36"/>
                <w:szCs w:val="36"/>
                <w:u w:val="none"/>
                <w:lang w:val="en-US" w:eastAsia="zh-CN" w:bidi="ar"/>
              </w:rPr>
              <w:t>高新区日常制作</w:t>
            </w:r>
          </w:p>
        </w:tc>
      </w:tr>
      <w:tr w14:paraId="6D7E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FB4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8E8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106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w:t>
            </w:r>
          </w:p>
        </w:tc>
        <w:tc>
          <w:tcPr>
            <w:tcW w:w="16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487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材质</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F6E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A97A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D0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743C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0F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1F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项目展板</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4E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1.2mx2m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4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5mm厚KT板5mm厚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5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CB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4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33C8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25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180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展板</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02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1200X2400mm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F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5mm厚KT板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6F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53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AB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6DC8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BF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2E92">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1200X2400mm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A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含铝合金海报架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8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83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0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4375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9B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37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横幅</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24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30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0.7m热转印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4C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0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F7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5559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0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20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奖牌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A7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350X500mm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3B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12mm厚普通木托</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BE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CD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5B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4920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18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54C6">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8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350X500mm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7D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15mm厚黑胡桃木木托</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C2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F7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DA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4B87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58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21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荣誉证书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8A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A3</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AE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皮面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F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FC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82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27CF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1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00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画册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8F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F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157g铜版纸彩印胶装</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7C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7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4A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79C5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5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D5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奖杯</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2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中号（28cm高）</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EE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水晶奖杯</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64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34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B9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5D53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70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8E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公司铭牌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1A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400X600mm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5F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5mm厚KT板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2F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B9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DF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2AD8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6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5B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公司铭牌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9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400X600mm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8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1.2mm不锈钢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23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A9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7A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1D43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B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工作证</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2D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55x94mm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58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C9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7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758E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F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 </w:t>
            </w:r>
          </w:p>
        </w:tc>
        <w:tc>
          <w:tcPr>
            <w:tcW w:w="766" w:type="pct"/>
            <w:tcBorders>
              <w:top w:val="single" w:color="000000" w:sz="4" w:space="0"/>
              <w:left w:val="single" w:color="000000" w:sz="4" w:space="0"/>
              <w:bottom w:val="nil"/>
              <w:right w:val="single" w:color="000000" w:sz="4" w:space="0"/>
            </w:tcBorders>
            <w:shd w:val="clear" w:color="auto" w:fill="auto"/>
            <w:noWrap/>
            <w:vAlign w:val="center"/>
          </w:tcPr>
          <w:p w14:paraId="026164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人员去向牌名牌</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73502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45X145mm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B1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铝合金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2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B6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3F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4AC8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91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5A1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工作手册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E2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A4，180g封面纸</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4E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加急印刷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1D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A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8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58D8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D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2B84">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A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A4，180g封面纸</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46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9A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98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2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69AD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56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622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普通报告册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73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A4，180g封面纸</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B5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黑白印刷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84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B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F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1E99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06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010F">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E8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68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彩色印刷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7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5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8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5CB9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93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8C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普通报告册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F8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A3，180g封面纸</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04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黑白印刷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0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EF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8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7D5C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3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F108">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F3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A3，157g铜板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6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彩色印刷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B8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2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4C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4299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E0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彩印宣传册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DE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72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3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0B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14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285F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2E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8356">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0E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A3，157g铜板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34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BD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6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27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60A2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EE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9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招商手册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F8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5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B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E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55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04B1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54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0E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招商折页</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56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9A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加急印刷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05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FF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7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2583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E1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38CC">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7B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BC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普印500张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8E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28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B2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795C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3F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CC8E">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A9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D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1000-5000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B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F1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B1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6667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F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5411">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86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A4，157g铜板</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D0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5000以上</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8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13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7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4E17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25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97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海报</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27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500X700mm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0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彩印背胶贴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F7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7B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1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7C7A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D7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64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国旗</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05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3号</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35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旗帜布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F7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EC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4443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C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44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喷绘</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3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6A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550喷绘布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7D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E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2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4586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E8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7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布图</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5D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A1</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5D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真丝布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65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C1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F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3164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4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31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6D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地图</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E8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1240X1850mm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5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5mm厚KT木质边框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6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63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B4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6AAD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15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4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手提袋</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2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260X320X80mm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E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卡纸彩印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B1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78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BD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6292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DF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5E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餐巾纸</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D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115X115mm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1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彩印logo</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E9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CA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9D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0832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46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B3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名片</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CD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200张/盒</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AD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50X89mm名片纸</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6B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CF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71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08A9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C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F8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标识牌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5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300x400mm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6C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3.5mm亚克力</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DC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76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19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0CF3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17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91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桌牌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5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100mmx195mm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39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3.5mm亚克力</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E5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93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88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7572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1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8B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桌签纸</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20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195X195mm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9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80g双胶纸彩印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2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04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21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0A90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3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17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立体字</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CD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A0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亚克力（厚度1CM）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4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55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平方</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12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7F14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D2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90CB">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57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C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不锈钢（厚度1CM）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1D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C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平方</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89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220E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B6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08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标识牌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9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400X600mm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A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5mm厚KT板材质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FF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22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38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75E4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0C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41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71AA">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39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400X600mm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0A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5mm厚PVC材质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D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B0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A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1307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2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42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C83F">
            <w:pPr>
              <w:jc w:val="center"/>
              <w:rPr>
                <w:rFonts w:hint="eastAsia" w:ascii="宋体" w:hAnsi="宋体" w:eastAsia="宋体" w:cs="宋体"/>
                <w:i w:val="0"/>
                <w:iCs w:val="0"/>
                <w:color w:val="auto"/>
                <w:sz w:val="22"/>
                <w:szCs w:val="22"/>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D0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400X600mm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5E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3.5mm厚亚克力材质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1D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9A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22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4E39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7F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9B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印制纸杯</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D1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180ml</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90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纸制品</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83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40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7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6ADF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47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44 </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D6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形象墙</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99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1500X4600mm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51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15mmPVC+0.2mm水晶板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08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B7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AB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39E3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9A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45 </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9A28">
            <w:pPr>
              <w:jc w:val="center"/>
              <w:rPr>
                <w:rFonts w:hint="eastAsia" w:ascii="宋体" w:hAnsi="宋体" w:eastAsia="宋体" w:cs="宋体"/>
                <w:i w:val="0"/>
                <w:iCs w:val="0"/>
                <w:color w:val="auto"/>
                <w:sz w:val="22"/>
                <w:szCs w:val="22"/>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24004">
            <w:pPr>
              <w:jc w:val="center"/>
              <w:rPr>
                <w:rFonts w:hint="eastAsia" w:ascii="宋体" w:hAnsi="宋体" w:eastAsia="宋体" w:cs="宋体"/>
                <w:i w:val="0"/>
                <w:iCs w:val="0"/>
                <w:color w:val="auto"/>
                <w:sz w:val="22"/>
                <w:szCs w:val="22"/>
                <w:u w:val="none"/>
              </w:rPr>
            </w:pP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4A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3.5mm厚亚克力</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74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2E02">
            <w:pPr>
              <w:jc w:val="center"/>
              <w:rPr>
                <w:rFonts w:hint="eastAsia" w:ascii="宋体" w:hAnsi="宋体" w:eastAsia="宋体" w:cs="宋体"/>
                <w:i w:val="0"/>
                <w:iCs w:val="0"/>
                <w:color w:val="auto"/>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DA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6215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06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46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62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警示灯</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38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430X140X100mm </w:t>
            </w:r>
          </w:p>
        </w:tc>
        <w:tc>
          <w:tcPr>
            <w:tcW w:w="1621" w:type="pct"/>
            <w:tcBorders>
              <w:top w:val="nil"/>
              <w:left w:val="nil"/>
              <w:bottom w:val="nil"/>
              <w:right w:val="nil"/>
            </w:tcBorders>
            <w:shd w:val="clear" w:color="auto" w:fill="auto"/>
            <w:vAlign w:val="center"/>
          </w:tcPr>
          <w:p w14:paraId="5C9FCA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太阳能爆闪灯</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0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FC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B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3E12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2B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47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81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警示牌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BE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1200X1220mm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56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1.2mm厚铝板反光膜</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AC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B0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51BD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6A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12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手电筒</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C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184mmX32X32mm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98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1000流明</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5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C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B7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436D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A9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C4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镜头纸</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4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100X150MM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D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优质棉纸</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3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73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92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10B1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78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笔记本</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5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0E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80g黄道林纸</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0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C7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6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1BB2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15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51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40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伞</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F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570mmX8K</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4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银胶伞布重290g</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31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33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5EEF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DF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 </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F4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筷子套</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59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5mmX300mm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8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157g铜版纸印刷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73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9F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5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0B84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8E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53 </w:t>
            </w:r>
          </w:p>
        </w:tc>
        <w:tc>
          <w:tcPr>
            <w:tcW w:w="7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545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交通警示牌</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92C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1.2X2mm</w:t>
            </w:r>
          </w:p>
        </w:tc>
        <w:tc>
          <w:tcPr>
            <w:tcW w:w="16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BC9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1.2mm厚铝板反光膜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33C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983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3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1183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7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54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E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绶带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AD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100X1200mm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C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绒面</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A4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67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63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1625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A9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55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4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园长制牌子</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1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600x1200mm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F6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5mmPVC UV 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4C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C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40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含运输安装</w:t>
            </w:r>
          </w:p>
        </w:tc>
      </w:tr>
      <w:tr w14:paraId="00F5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1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56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9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倡议书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E6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500X700mm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6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不干胶印刷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DF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6C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27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含运输</w:t>
            </w:r>
          </w:p>
        </w:tc>
      </w:tr>
      <w:tr w14:paraId="2A6A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3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57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8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照片</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1B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5寸</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8D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相纸</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D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50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B81B">
            <w:pPr>
              <w:jc w:val="center"/>
              <w:rPr>
                <w:rFonts w:hint="eastAsia" w:ascii="宋体" w:hAnsi="宋体" w:eastAsia="宋体" w:cs="宋体"/>
                <w:i w:val="0"/>
                <w:iCs w:val="0"/>
                <w:color w:val="auto"/>
                <w:sz w:val="22"/>
                <w:szCs w:val="22"/>
                <w:u w:val="none"/>
              </w:rPr>
            </w:pPr>
          </w:p>
        </w:tc>
      </w:tr>
      <w:tr w14:paraId="5CBE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D6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3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锥形桶</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95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97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橡胶路锥90cm雪糕筒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A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3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AFD8">
            <w:pPr>
              <w:jc w:val="center"/>
              <w:rPr>
                <w:rFonts w:hint="eastAsia" w:ascii="宋体" w:hAnsi="宋体" w:eastAsia="宋体" w:cs="宋体"/>
                <w:i w:val="0"/>
                <w:iCs w:val="0"/>
                <w:color w:val="auto"/>
                <w:sz w:val="22"/>
                <w:szCs w:val="22"/>
                <w:u w:val="none"/>
              </w:rPr>
            </w:pPr>
          </w:p>
        </w:tc>
      </w:tr>
      <w:tr w14:paraId="60B3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11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59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8B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警戒带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6D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50mmX1000MM </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41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盘式安全警戒带</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E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59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E0BA">
            <w:pPr>
              <w:jc w:val="center"/>
              <w:rPr>
                <w:rFonts w:hint="eastAsia" w:ascii="宋体" w:hAnsi="宋体" w:eastAsia="宋体" w:cs="宋体"/>
                <w:i w:val="0"/>
                <w:iCs w:val="0"/>
                <w:color w:val="auto"/>
                <w:sz w:val="22"/>
                <w:szCs w:val="22"/>
                <w:u w:val="none"/>
              </w:rPr>
            </w:pPr>
          </w:p>
        </w:tc>
      </w:tr>
      <w:tr w14:paraId="361E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2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60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31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引导牌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CE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1200X2000mm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82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30方管焊接包喷绘布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91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E1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0A08">
            <w:pPr>
              <w:jc w:val="center"/>
              <w:rPr>
                <w:rFonts w:hint="eastAsia" w:ascii="宋体" w:hAnsi="宋体" w:eastAsia="宋体" w:cs="宋体"/>
                <w:i w:val="0"/>
                <w:iCs w:val="0"/>
                <w:color w:val="auto"/>
                <w:sz w:val="22"/>
                <w:szCs w:val="22"/>
                <w:u w:val="none"/>
              </w:rPr>
            </w:pPr>
          </w:p>
        </w:tc>
      </w:tr>
      <w:tr w14:paraId="3071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8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61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D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引导牌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38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700X1500mm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8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30方管焊接包喷绘布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FB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3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27FE">
            <w:pPr>
              <w:jc w:val="center"/>
              <w:rPr>
                <w:rFonts w:hint="eastAsia" w:ascii="宋体" w:hAnsi="宋体" w:eastAsia="宋体" w:cs="宋体"/>
                <w:i w:val="0"/>
                <w:iCs w:val="0"/>
                <w:color w:val="auto"/>
                <w:sz w:val="22"/>
                <w:szCs w:val="22"/>
                <w:u w:val="none"/>
              </w:rPr>
            </w:pPr>
          </w:p>
        </w:tc>
      </w:tr>
      <w:tr w14:paraId="689E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32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62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B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纸图</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1F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A2</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F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双胶纸彩印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5F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A2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6685">
            <w:pPr>
              <w:jc w:val="center"/>
              <w:rPr>
                <w:rFonts w:hint="eastAsia" w:ascii="宋体" w:hAnsi="宋体" w:eastAsia="宋体" w:cs="宋体"/>
                <w:i w:val="0"/>
                <w:iCs w:val="0"/>
                <w:color w:val="auto"/>
                <w:sz w:val="22"/>
                <w:szCs w:val="22"/>
                <w:u w:val="none"/>
              </w:rPr>
            </w:pPr>
          </w:p>
        </w:tc>
      </w:tr>
      <w:tr w14:paraId="1137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0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63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E1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1E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60X90</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4A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不锈钢架子加牌子</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1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83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09D5">
            <w:pPr>
              <w:jc w:val="center"/>
              <w:rPr>
                <w:rFonts w:hint="eastAsia" w:ascii="宋体" w:hAnsi="宋体" w:eastAsia="宋体" w:cs="宋体"/>
                <w:i w:val="0"/>
                <w:iCs w:val="0"/>
                <w:color w:val="auto"/>
                <w:sz w:val="22"/>
                <w:szCs w:val="22"/>
                <w:u w:val="none"/>
              </w:rPr>
            </w:pPr>
          </w:p>
        </w:tc>
      </w:tr>
      <w:tr w14:paraId="7737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EF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64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02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仪容仪表镜</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C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0.5X1.5</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CB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5mm厚穿衣镜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4D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97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83A5">
            <w:pPr>
              <w:jc w:val="center"/>
              <w:rPr>
                <w:rFonts w:hint="eastAsia" w:ascii="宋体" w:hAnsi="宋体" w:eastAsia="宋体" w:cs="宋体"/>
                <w:i w:val="0"/>
                <w:iCs w:val="0"/>
                <w:color w:val="auto"/>
                <w:sz w:val="22"/>
                <w:szCs w:val="22"/>
                <w:u w:val="none"/>
              </w:rPr>
            </w:pPr>
          </w:p>
        </w:tc>
      </w:tr>
      <w:tr w14:paraId="5BA1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45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B3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仪容仪表制度</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52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500*1500mm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8B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35型材边框加板材</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1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E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85E1">
            <w:pPr>
              <w:jc w:val="center"/>
              <w:rPr>
                <w:rFonts w:hint="eastAsia" w:ascii="宋体" w:hAnsi="宋体" w:eastAsia="宋体" w:cs="宋体"/>
                <w:i w:val="0"/>
                <w:iCs w:val="0"/>
                <w:color w:val="auto"/>
                <w:sz w:val="22"/>
                <w:szCs w:val="22"/>
                <w:u w:val="none"/>
              </w:rPr>
            </w:pPr>
          </w:p>
        </w:tc>
      </w:tr>
      <w:tr w14:paraId="26D0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1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66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3D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精神堡垒翻新</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15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4800X1500mm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8B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翻新刷漆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E7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81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付</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D286">
            <w:pPr>
              <w:jc w:val="center"/>
              <w:rPr>
                <w:rFonts w:hint="eastAsia" w:ascii="宋体" w:hAnsi="宋体" w:eastAsia="宋体" w:cs="宋体"/>
                <w:i w:val="0"/>
                <w:iCs w:val="0"/>
                <w:color w:val="auto"/>
                <w:sz w:val="22"/>
                <w:szCs w:val="22"/>
                <w:u w:val="none"/>
              </w:rPr>
            </w:pPr>
          </w:p>
        </w:tc>
      </w:tr>
      <w:tr w14:paraId="3345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8D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67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2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内存卡</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61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32G</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67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金士顿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CA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00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5078">
            <w:pPr>
              <w:jc w:val="center"/>
              <w:rPr>
                <w:rFonts w:hint="eastAsia" w:ascii="宋体" w:hAnsi="宋体" w:eastAsia="宋体" w:cs="宋体"/>
                <w:i w:val="0"/>
                <w:iCs w:val="0"/>
                <w:color w:val="auto"/>
                <w:sz w:val="22"/>
                <w:szCs w:val="22"/>
                <w:u w:val="none"/>
              </w:rPr>
            </w:pPr>
          </w:p>
        </w:tc>
      </w:tr>
      <w:tr w14:paraId="75CF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0E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68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5D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易拉宝</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800X2000mm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AB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OKE型材易拉宝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F5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E1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0CC2">
            <w:pPr>
              <w:jc w:val="center"/>
              <w:rPr>
                <w:rFonts w:hint="eastAsia" w:ascii="宋体" w:hAnsi="宋体" w:eastAsia="宋体" w:cs="宋体"/>
                <w:i w:val="0"/>
                <w:iCs w:val="0"/>
                <w:color w:val="auto"/>
                <w:sz w:val="22"/>
                <w:szCs w:val="22"/>
                <w:u w:val="none"/>
              </w:rPr>
            </w:pPr>
          </w:p>
        </w:tc>
      </w:tr>
      <w:tr w14:paraId="1926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33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69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37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印制餐劵</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2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45X145mm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AE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200g铜板纸印刷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DF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85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5CD0">
            <w:pPr>
              <w:jc w:val="center"/>
              <w:rPr>
                <w:rFonts w:hint="eastAsia" w:ascii="宋体" w:hAnsi="宋体" w:eastAsia="宋体" w:cs="宋体"/>
                <w:i w:val="0"/>
                <w:iCs w:val="0"/>
                <w:color w:val="auto"/>
                <w:sz w:val="22"/>
                <w:szCs w:val="22"/>
                <w:u w:val="none"/>
              </w:rPr>
            </w:pPr>
          </w:p>
        </w:tc>
      </w:tr>
      <w:tr w14:paraId="4A78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1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 </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35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导视牌</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1C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1500X3000mm</w:t>
            </w:r>
          </w:p>
        </w:tc>
        <w:tc>
          <w:tcPr>
            <w:tcW w:w="1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FD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30方管焊接包喷绘布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9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2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01B">
            <w:pPr>
              <w:jc w:val="center"/>
              <w:rPr>
                <w:rFonts w:hint="eastAsia" w:ascii="宋体" w:hAnsi="宋体" w:eastAsia="宋体" w:cs="宋体"/>
                <w:i w:val="0"/>
                <w:iCs w:val="0"/>
                <w:color w:val="auto"/>
                <w:sz w:val="22"/>
                <w:szCs w:val="22"/>
                <w:u w:val="none"/>
              </w:rPr>
            </w:pPr>
          </w:p>
        </w:tc>
      </w:tr>
    </w:tbl>
    <w:p w14:paraId="1B5E519D">
      <w:pPr>
        <w:pStyle w:val="2"/>
        <w:rPr>
          <w:rFonts w:hint="eastAsia"/>
          <w:color w:val="auto"/>
          <w:lang w:val="en-US" w:eastAsia="zh-CN"/>
        </w:rPr>
      </w:pPr>
    </w:p>
    <w:p w14:paraId="28DD7947">
      <w:pPr>
        <w:pStyle w:val="2"/>
        <w:rPr>
          <w:rFonts w:hint="eastAsia"/>
          <w:color w:val="auto"/>
          <w:lang w:val="en-US" w:eastAsia="zh-CN"/>
        </w:rPr>
      </w:pPr>
    </w:p>
    <w:p w14:paraId="60E0CB3F">
      <w:pPr>
        <w:pStyle w:val="2"/>
        <w:rPr>
          <w:rFonts w:hint="eastAsia"/>
          <w:color w:val="auto"/>
          <w:lang w:val="en-US" w:eastAsia="zh-CN"/>
        </w:rPr>
      </w:pPr>
    </w:p>
    <w:p w14:paraId="6B24BCED">
      <w:pPr>
        <w:pStyle w:val="2"/>
        <w:rPr>
          <w:rFonts w:hint="default"/>
          <w:color w:val="auto"/>
          <w:lang w:val="en-US" w:eastAsia="zh-CN"/>
        </w:rPr>
      </w:pPr>
    </w:p>
    <w:p w14:paraId="16B35DF1">
      <w:pPr>
        <w:pStyle w:val="2"/>
        <w:rPr>
          <w:rFonts w:hint="eastAsia"/>
          <w:color w:val="auto"/>
          <w:lang w:val="en-US" w:eastAsia="zh-CN"/>
        </w:rPr>
      </w:pPr>
    </w:p>
    <w:p w14:paraId="088B4926">
      <w:pPr>
        <w:pStyle w:val="2"/>
        <w:rPr>
          <w:rFonts w:hint="eastAsia"/>
          <w:color w:val="auto"/>
          <w:lang w:val="en-US" w:eastAsia="zh-CN"/>
        </w:rPr>
      </w:pPr>
    </w:p>
    <w:p w14:paraId="3759E5ED">
      <w:pPr>
        <w:pStyle w:val="2"/>
        <w:rPr>
          <w:rFonts w:hint="eastAsia"/>
          <w:color w:val="auto"/>
          <w:lang w:val="en-US" w:eastAsia="zh-CN"/>
        </w:rPr>
      </w:pPr>
    </w:p>
    <w:p w14:paraId="263AACBB">
      <w:pPr>
        <w:pStyle w:val="2"/>
        <w:rPr>
          <w:rFonts w:hint="eastAsia"/>
          <w:color w:val="auto"/>
          <w:lang w:val="en-US" w:eastAsia="zh-CN"/>
        </w:rPr>
      </w:pPr>
    </w:p>
    <w:p w14:paraId="5A6B7D72">
      <w:pPr>
        <w:pStyle w:val="2"/>
        <w:rPr>
          <w:rFonts w:hint="default"/>
          <w:color w:val="auto"/>
          <w:lang w:val="en-US" w:eastAsia="zh-CN"/>
        </w:rPr>
      </w:pPr>
    </w:p>
    <w:p w14:paraId="7A4DFA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lang w:val="en-US" w:eastAsia="zh-CN"/>
        </w:rPr>
      </w:pPr>
    </w:p>
    <w:p w14:paraId="67782F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lang w:val="en-US" w:eastAsia="zh-CN"/>
        </w:rPr>
      </w:pPr>
    </w:p>
    <w:p w14:paraId="17BB1D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lang w:val="en-US" w:eastAsia="zh-CN"/>
        </w:rPr>
      </w:pPr>
    </w:p>
    <w:p w14:paraId="519BD8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lang w:val="en-US" w:eastAsia="zh-CN"/>
        </w:rPr>
      </w:pPr>
    </w:p>
    <w:p w14:paraId="5F54FC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lang w:val="en-US" w:eastAsia="zh-CN"/>
        </w:rPr>
      </w:pPr>
    </w:p>
    <w:p w14:paraId="75F3A9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lang w:val="en-US" w:eastAsia="zh-CN"/>
        </w:rPr>
      </w:pPr>
    </w:p>
    <w:p w14:paraId="1E61DD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sz w:val="24"/>
          <w:szCs w:val="24"/>
          <w:highlight w:val="none"/>
          <w:lang w:val="en-US" w:eastAsia="zh-CN"/>
        </w:rPr>
      </w:pPr>
    </w:p>
    <w:p w14:paraId="24C69D3F">
      <w:pPr>
        <w:pStyle w:val="22"/>
        <w:ind w:left="0" w:leftChars="0" w:firstLine="0" w:firstLineChars="0"/>
        <w:jc w:val="both"/>
        <w:rPr>
          <w:rFonts w:hint="eastAsia"/>
          <w:b/>
          <w:bCs/>
          <w:color w:val="auto"/>
          <w:highlight w:val="none"/>
        </w:rPr>
      </w:pPr>
    </w:p>
    <w:p w14:paraId="1376D26C">
      <w:pPr>
        <w:rPr>
          <w:rFonts w:hint="eastAsia"/>
          <w:b/>
          <w:bCs/>
          <w:color w:val="auto"/>
          <w:highlight w:val="none"/>
        </w:rPr>
      </w:pPr>
      <w:bookmarkStart w:id="75" w:name="_Toc5739"/>
      <w:r>
        <w:rPr>
          <w:rFonts w:hint="eastAsia"/>
          <w:b/>
          <w:bCs/>
          <w:color w:val="auto"/>
          <w:highlight w:val="none"/>
        </w:rPr>
        <w:br w:type="page"/>
      </w:r>
    </w:p>
    <w:p w14:paraId="5CF428D2">
      <w:pPr>
        <w:pStyle w:val="3"/>
        <w:spacing w:line="360" w:lineRule="auto"/>
        <w:outlineLvl w:val="0"/>
        <w:rPr>
          <w:b/>
          <w:bCs/>
          <w:color w:val="auto"/>
          <w:szCs w:val="44"/>
          <w:highlight w:val="none"/>
        </w:rPr>
      </w:pPr>
      <w:r>
        <w:rPr>
          <w:rFonts w:hint="eastAsia"/>
          <w:b/>
          <w:bCs/>
          <w:color w:val="auto"/>
          <w:highlight w:val="none"/>
        </w:rPr>
        <w:t xml:space="preserve">第四部分  </w:t>
      </w:r>
      <w:r>
        <w:rPr>
          <w:rFonts w:hint="eastAsia"/>
          <w:b/>
          <w:bCs/>
          <w:color w:val="auto"/>
          <w:szCs w:val="44"/>
          <w:highlight w:val="none"/>
        </w:rPr>
        <w:t>合同主要条款及格式</w:t>
      </w:r>
      <w:bookmarkEnd w:id="74"/>
      <w:bookmarkEnd w:id="75"/>
    </w:p>
    <w:bookmarkEnd w:id="69"/>
    <w:bookmarkEnd w:id="70"/>
    <w:bookmarkEnd w:id="71"/>
    <w:p w14:paraId="7FC693AD">
      <w:pPr>
        <w:jc w:val="center"/>
        <w:rPr>
          <w:rFonts w:ascii="黑体" w:eastAsia="黑体"/>
          <w:b/>
          <w:bCs/>
          <w:color w:val="auto"/>
          <w:sz w:val="18"/>
          <w:szCs w:val="18"/>
          <w:highlight w:val="none"/>
        </w:rPr>
      </w:pPr>
      <w:bookmarkStart w:id="76" w:name="_Toc237343009"/>
      <w:r>
        <w:rPr>
          <w:rFonts w:ascii="宋体"/>
          <w:bCs/>
          <w:color w:val="auto"/>
          <w:sz w:val="18"/>
          <w:szCs w:val="18"/>
          <w:highlight w:val="none"/>
        </w:rPr>
        <w:t xml:space="preserve">                       </w:t>
      </w:r>
    </w:p>
    <w:p w14:paraId="2A41A1DE">
      <w:pPr>
        <w:jc w:val="center"/>
        <w:rPr>
          <w:rFonts w:hint="eastAsia"/>
          <w:b/>
          <w:bCs/>
          <w:color w:val="auto"/>
          <w:sz w:val="44"/>
          <w:szCs w:val="44"/>
          <w:lang w:eastAsia="zh-CN"/>
        </w:rPr>
      </w:pPr>
      <w:bookmarkStart w:id="77" w:name="_Toc11499"/>
      <w:r>
        <w:rPr>
          <w:rFonts w:hint="eastAsia"/>
          <w:b/>
          <w:bCs/>
          <w:color w:val="auto"/>
          <w:sz w:val="44"/>
          <w:szCs w:val="44"/>
          <w:lang w:eastAsia="zh-CN"/>
        </w:rPr>
        <w:t>户外广告发布及广告制作合同</w:t>
      </w:r>
    </w:p>
    <w:p w14:paraId="12BFFB90">
      <w:pPr>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甲方：</w:t>
      </w:r>
      <w:r>
        <w:rPr>
          <w:rFonts w:hint="eastAsia" w:ascii="宋体" w:hAnsi="宋体" w:eastAsia="宋体" w:cs="宋体"/>
          <w:b/>
          <w:bCs/>
          <w:color w:val="auto"/>
          <w:sz w:val="28"/>
          <w:szCs w:val="28"/>
          <w:u w:val="single"/>
        </w:rPr>
        <w:t>咸阳高新技术产业开发区管理委员会</w:t>
      </w:r>
    </w:p>
    <w:p w14:paraId="35239A9D">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乙方：</w:t>
      </w:r>
    </w:p>
    <w:p w14:paraId="234F4C19">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依据《中华人民共和国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》及其他有关法律法规的规定，双方本着平等互利、真诚合作的原则，经协商达成一致，订立本合同，以资信守执行。</w:t>
      </w:r>
    </w:p>
    <w:p w14:paraId="3B3532F2">
      <w:pPr>
        <w:keepNext w:val="0"/>
        <w:keepLines w:val="0"/>
        <w:pageBreakBefore w:val="0"/>
        <w:widowControl w:val="0"/>
        <w:kinsoku/>
        <w:wordWrap/>
        <w:overflowPunct/>
        <w:topLinePunct w:val="0"/>
        <w:bidi w:val="0"/>
        <w:snapToGrid/>
        <w:spacing w:line="540" w:lineRule="exact"/>
        <w:ind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一、合作内容及服务</w:t>
      </w:r>
    </w:p>
    <w:p w14:paraId="674749CB">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甲方委托乙方全权负责户外广告内容的设计</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创意、发布及广告制作</w:t>
      </w:r>
      <w:r>
        <w:rPr>
          <w:rFonts w:hint="eastAsia" w:ascii="宋体" w:hAnsi="宋体" w:eastAsia="宋体" w:cs="宋体"/>
          <w:color w:val="auto"/>
          <w:sz w:val="28"/>
          <w:szCs w:val="28"/>
        </w:rPr>
        <w:t>等</w:t>
      </w:r>
      <w:r>
        <w:rPr>
          <w:rFonts w:hint="eastAsia" w:ascii="宋体" w:hAnsi="宋体" w:eastAsia="宋体" w:cs="宋体"/>
          <w:color w:val="auto"/>
          <w:sz w:val="28"/>
          <w:szCs w:val="28"/>
          <w:lang w:eastAsia="zh-CN"/>
        </w:rPr>
        <w:t>相关事宜工作；</w:t>
      </w:r>
    </w:p>
    <w:p w14:paraId="5A9D7C5C">
      <w:pPr>
        <w:keepNext w:val="0"/>
        <w:keepLines w:val="0"/>
        <w:pageBreakBefore w:val="0"/>
        <w:widowControl w:val="0"/>
        <w:kinsoku/>
        <w:wordWrap/>
        <w:overflowPunct/>
        <w:topLinePunct w:val="0"/>
        <w:bidi w:val="0"/>
        <w:snapToGrid/>
        <w:spacing w:line="54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广告设计：乙方结合甲方的社会形象、文化宣传形象等向甲方提供广告设计思路及具体方案（乙方依据甲方应乙方要求所提供的有关资料、素材，结合甲方实际目的，进行全方位的分析、策划并制定具体实施方案）乙方应于们协议签署后【】内完成此项工作。</w:t>
      </w:r>
    </w:p>
    <w:p w14:paraId="3663B959">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2、广告制作：经甲方书面同意后，乙方结合甲方提供的清单及相关要求，</w:t>
      </w:r>
      <w:r>
        <w:rPr>
          <w:rFonts w:hint="eastAsia" w:ascii="宋体" w:hAnsi="宋体" w:eastAsia="宋体" w:cs="宋体"/>
          <w:b w:val="0"/>
          <w:bCs w:val="0"/>
          <w:color w:val="auto"/>
          <w:sz w:val="28"/>
          <w:szCs w:val="28"/>
          <w:lang w:val="en-US" w:eastAsia="zh-CN"/>
        </w:rPr>
        <w:t>照甲方要求提供定作物的设计样稿及材料样品（甲方对定作物样稿或材料样品提出修改意见的，乙方应按甲方要求进行修改），样品经甲方书面确认无误后方可制作生产。乙方承诺</w:t>
      </w:r>
      <w:r>
        <w:rPr>
          <w:rFonts w:hint="eastAsia" w:ascii="宋体" w:hAnsi="宋体" w:eastAsia="宋体" w:cs="宋体"/>
          <w:color w:val="auto"/>
          <w:sz w:val="28"/>
          <w:szCs w:val="28"/>
        </w:rPr>
        <w:t>所提供的</w:t>
      </w:r>
      <w:r>
        <w:rPr>
          <w:rFonts w:hint="eastAsia" w:ascii="宋体" w:hAnsi="宋体" w:eastAsia="宋体" w:cs="宋体"/>
          <w:color w:val="auto"/>
          <w:sz w:val="28"/>
          <w:szCs w:val="28"/>
          <w:lang w:eastAsia="zh-CN"/>
        </w:rPr>
        <w:t>物料</w:t>
      </w:r>
      <w:r>
        <w:rPr>
          <w:rFonts w:hint="eastAsia" w:ascii="宋体" w:hAnsi="宋体" w:eastAsia="宋体" w:cs="宋体"/>
          <w:color w:val="auto"/>
          <w:sz w:val="28"/>
          <w:szCs w:val="28"/>
        </w:rPr>
        <w:t>是全新、未使用过的</w:t>
      </w:r>
      <w:r>
        <w:rPr>
          <w:rFonts w:hint="eastAsia" w:ascii="宋体" w:hAnsi="宋体" w:eastAsia="宋体" w:cs="宋体"/>
          <w:color w:val="auto"/>
          <w:sz w:val="28"/>
          <w:szCs w:val="28"/>
          <w:lang w:eastAsia="zh-CN"/>
        </w:rPr>
        <w:t>；物料在</w:t>
      </w:r>
      <w:r>
        <w:rPr>
          <w:rFonts w:hint="eastAsia" w:ascii="宋体" w:hAnsi="宋体" w:eastAsia="宋体" w:cs="宋体"/>
          <w:color w:val="auto"/>
          <w:sz w:val="28"/>
          <w:szCs w:val="28"/>
        </w:rPr>
        <w:t>质量、规格、技术、性能及售后服务符合国家相关规定</w:t>
      </w:r>
      <w:r>
        <w:rPr>
          <w:rFonts w:hint="eastAsia" w:ascii="宋体" w:hAnsi="宋体" w:eastAsia="宋体" w:cs="宋体"/>
          <w:color w:val="auto"/>
          <w:sz w:val="28"/>
          <w:szCs w:val="28"/>
          <w:lang w:eastAsia="zh-CN"/>
        </w:rPr>
        <w:t>。</w:t>
      </w:r>
    </w:p>
    <w:p w14:paraId="6AB40E60">
      <w:pPr>
        <w:keepNext w:val="0"/>
        <w:keepLines w:val="0"/>
        <w:pageBreakBefore w:val="0"/>
        <w:widowControl w:val="0"/>
        <w:numPr>
          <w:ilvl w:val="-1"/>
          <w:numId w:val="0"/>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3、广告发布：</w:t>
      </w:r>
    </w:p>
    <w:p w14:paraId="1DF7A196">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（1）</w:t>
      </w:r>
      <w:r>
        <w:rPr>
          <w:rFonts w:hint="eastAsia" w:ascii="宋体" w:hAnsi="宋体" w:eastAsia="宋体" w:cs="宋体"/>
          <w:color w:val="auto"/>
          <w:sz w:val="28"/>
          <w:szCs w:val="28"/>
          <w:lang w:eastAsia="zh-CN"/>
        </w:rPr>
        <w:t>广告牌数量及发布方式</w:t>
      </w:r>
      <w:r>
        <w:rPr>
          <w:rFonts w:hint="eastAsia" w:ascii="宋体" w:hAnsi="宋体" w:eastAsia="宋体" w:cs="宋体"/>
          <w:color w:val="auto"/>
          <w:sz w:val="28"/>
          <w:szCs w:val="28"/>
        </w:rPr>
        <w:t>：</w:t>
      </w:r>
    </w:p>
    <w:p w14:paraId="4F4D413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（2）广告牌规格及位置：</w:t>
      </w:r>
    </w:p>
    <w:p w14:paraId="0533EAD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（3）发布费用：</w:t>
      </w:r>
    </w:p>
    <w:p w14:paraId="4631E86B">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发布时间：</w:t>
      </w:r>
    </w:p>
    <w:p w14:paraId="3D85F1AB">
      <w:pPr>
        <w:keepNext w:val="0"/>
        <w:keepLines w:val="0"/>
        <w:pageBreakBefore w:val="0"/>
        <w:widowControl w:val="0"/>
        <w:numPr>
          <w:ilvl w:val="0"/>
          <w:numId w:val="3"/>
        </w:numPr>
        <w:kinsoku/>
        <w:wordWrap/>
        <w:overflowPunct/>
        <w:topLinePunct w:val="0"/>
        <w:bidi w:val="0"/>
        <w:snapToGrid/>
        <w:spacing w:line="540" w:lineRule="exact"/>
        <w:ind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验收</w:t>
      </w:r>
    </w:p>
    <w:p w14:paraId="2DD0B4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b w:val="0"/>
          <w:bCs w:val="0"/>
          <w:color w:val="auto"/>
          <w:sz w:val="28"/>
          <w:szCs w:val="28"/>
          <w:lang w:val="en-US" w:eastAsia="zh-CN"/>
        </w:rPr>
        <w:t>乙方须在本协议签署后【】日内</w:t>
      </w:r>
      <w:r>
        <w:rPr>
          <w:rFonts w:hint="eastAsia" w:ascii="宋体" w:hAnsi="宋体" w:eastAsia="宋体" w:cs="宋体"/>
          <w:color w:val="auto"/>
          <w:sz w:val="28"/>
          <w:szCs w:val="28"/>
        </w:rPr>
        <w:t>向甲方提供发布广告后的实景照片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并经甲方验收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w:t>
      </w:r>
      <w:r>
        <w:rPr>
          <w:rFonts w:hint="eastAsia" w:ascii="宋体" w:hAnsi="宋体" w:eastAsia="宋体" w:cs="宋体"/>
          <w:color w:val="auto"/>
          <w:sz w:val="28"/>
          <w:szCs w:val="28"/>
          <w:lang w:eastAsia="zh-CN"/>
        </w:rPr>
        <w:t>验收</w:t>
      </w:r>
      <w:r>
        <w:rPr>
          <w:rFonts w:hint="eastAsia" w:ascii="宋体" w:hAnsi="宋体" w:eastAsia="宋体" w:cs="宋体"/>
          <w:color w:val="auto"/>
          <w:sz w:val="28"/>
          <w:szCs w:val="28"/>
        </w:rPr>
        <w:t>不</w:t>
      </w:r>
      <w:r>
        <w:rPr>
          <w:rFonts w:hint="eastAsia" w:ascii="宋体" w:hAnsi="宋体" w:eastAsia="宋体" w:cs="宋体"/>
          <w:color w:val="auto"/>
          <w:sz w:val="28"/>
          <w:szCs w:val="28"/>
          <w:lang w:eastAsia="zh-CN"/>
        </w:rPr>
        <w:t>合格</w:t>
      </w:r>
      <w:r>
        <w:rPr>
          <w:rFonts w:hint="eastAsia" w:ascii="宋体" w:hAnsi="宋体" w:eastAsia="宋体" w:cs="宋体"/>
          <w:color w:val="auto"/>
          <w:sz w:val="28"/>
          <w:szCs w:val="28"/>
        </w:rPr>
        <w:t>的，甲方有权要求乙方在</w:t>
      </w:r>
      <w:r>
        <w:rPr>
          <w:rFonts w:hint="eastAsia" w:ascii="宋体" w:hAnsi="宋体" w:eastAsia="宋体" w:cs="宋体"/>
          <w:color w:val="auto"/>
          <w:sz w:val="28"/>
          <w:szCs w:val="28"/>
          <w:u w:val="single"/>
        </w:rPr>
        <w:t>5</w:t>
      </w:r>
      <w:r>
        <w:rPr>
          <w:rFonts w:hint="eastAsia" w:ascii="宋体" w:hAnsi="宋体" w:eastAsia="宋体" w:cs="宋体"/>
          <w:color w:val="auto"/>
          <w:sz w:val="28"/>
          <w:szCs w:val="28"/>
        </w:rPr>
        <w:t>天内重做并达到合同及甲方的要求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验收合格的，甲方出具书面文件予以确认。</w:t>
      </w:r>
    </w:p>
    <w:p w14:paraId="21F6BEAB">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甲方对设计、样品、成品的验收通过不代表对乙方所提供方案及生产成品的最终确认，</w:t>
      </w:r>
      <w:r>
        <w:rPr>
          <w:rFonts w:hint="eastAsia" w:ascii="宋体" w:hAnsi="宋体" w:eastAsia="宋体" w:cs="宋体"/>
          <w:color w:val="auto"/>
          <w:sz w:val="28"/>
          <w:szCs w:val="28"/>
        </w:rPr>
        <w:t>在验收过程中，因产品全部或部分不符合约定的质量或技术要求，乙方负责按照</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的要求采取补足、更换或退货等处理措施，并承担由此产生的一切费用和损失。</w:t>
      </w:r>
    </w:p>
    <w:p w14:paraId="20CE52DE">
      <w:pPr>
        <w:keepNext w:val="0"/>
        <w:keepLines w:val="0"/>
        <w:pageBreakBefore w:val="0"/>
        <w:widowControl w:val="0"/>
        <w:numPr>
          <w:ilvl w:val="0"/>
          <w:numId w:val="3"/>
        </w:numPr>
        <w:kinsoku/>
        <w:wordWrap/>
        <w:overflowPunct/>
        <w:topLinePunct w:val="0"/>
        <w:bidi w:val="0"/>
        <w:snapToGrid/>
        <w:spacing w:line="540" w:lineRule="exact"/>
        <w:ind w:left="0" w:leftChars="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合作费用及费用支付方式</w:t>
      </w:r>
    </w:p>
    <w:p w14:paraId="27DD35EA">
      <w:pPr>
        <w:pStyle w:val="2"/>
        <w:ind w:firstLine="562" w:firstLineChars="200"/>
        <w:rPr>
          <w:rFonts w:hint="default" w:eastAsia="宋体"/>
          <w:color w:val="auto"/>
          <w:lang w:val="en-US" w:eastAsia="zh-CN"/>
        </w:rPr>
      </w:pPr>
      <w:r>
        <w:rPr>
          <w:rFonts w:hint="eastAsia" w:ascii="宋体" w:hAnsi="宋体" w:eastAsia="宋体" w:cs="宋体"/>
          <w:b/>
          <w:bCs/>
          <w:color w:val="auto"/>
          <w:sz w:val="28"/>
          <w:szCs w:val="28"/>
          <w:lang w:val="en-US" w:eastAsia="zh-CN"/>
        </w:rPr>
        <w:t>1、本合同项下费用由两部分构成：</w:t>
      </w:r>
    </w:p>
    <w:p w14:paraId="410331B8">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）高新区日常</w:t>
      </w:r>
      <w:r>
        <w:rPr>
          <w:rFonts w:hint="eastAsia" w:ascii="宋体" w:hAnsi="宋体" w:cs="宋体"/>
          <w:color w:val="auto"/>
          <w:sz w:val="28"/>
          <w:szCs w:val="28"/>
          <w:lang w:val="en-US" w:eastAsia="zh-CN"/>
        </w:rPr>
        <w:t>制作</w:t>
      </w:r>
      <w:r>
        <w:rPr>
          <w:rFonts w:hint="eastAsia" w:ascii="宋体" w:hAnsi="宋体" w:eastAsia="宋体" w:cs="宋体"/>
          <w:bCs/>
          <w:color w:val="auto"/>
          <w:sz w:val="28"/>
          <w:szCs w:val="28"/>
          <w:lang w:val="en-US" w:eastAsia="zh-CN"/>
        </w:rPr>
        <w:t>费用：</w:t>
      </w:r>
      <w:r>
        <w:rPr>
          <w:rFonts w:hint="eastAsia" w:ascii="宋体" w:hAnsi="宋体" w:eastAsia="宋体" w:cs="宋体"/>
          <w:color w:val="auto"/>
          <w:sz w:val="28"/>
          <w:szCs w:val="28"/>
          <w:lang w:eastAsia="zh-CN"/>
        </w:rPr>
        <w:t>该费用含增值税总价为人民币</w:t>
      </w:r>
      <w:r>
        <w:rPr>
          <w:rFonts w:hint="eastAsia" w:ascii="宋体" w:hAnsi="宋体" w:eastAsia="宋体" w:cs="宋体"/>
          <w:color w:val="auto"/>
          <w:sz w:val="28"/>
          <w:szCs w:val="28"/>
          <w:u w:val="none"/>
          <w:lang w:eastAsia="zh-CN"/>
        </w:rPr>
        <w:t>（大写）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    元</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lang w:eastAsia="zh-CN"/>
        </w:rPr>
        <w:t>，其中不含增值税总价为人民币</w:t>
      </w:r>
      <w:r>
        <w:rPr>
          <w:rFonts w:hint="eastAsia" w:ascii="宋体" w:hAnsi="宋体" w:eastAsia="宋体" w:cs="宋体"/>
          <w:color w:val="auto"/>
          <w:sz w:val="28"/>
          <w:szCs w:val="28"/>
          <w:u w:val="single"/>
          <w:lang w:eastAsia="zh-CN"/>
        </w:rPr>
        <w:t>（大写）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i w:val="0"/>
          <w:iCs w:val="0"/>
          <w:caps w:val="0"/>
          <w:color w:val="auto"/>
          <w:spacing w:val="0"/>
          <w:sz w:val="28"/>
          <w:szCs w:val="28"/>
          <w:u w:val="single"/>
          <w:shd w:val="clear"/>
          <w:lang w:val="en-US" w:eastAsia="zh-CN"/>
        </w:rPr>
        <w:t xml:space="preserve">    </w:t>
      </w:r>
      <w:r>
        <w:rPr>
          <w:rFonts w:hint="eastAsia" w:ascii="宋体" w:hAnsi="宋体" w:eastAsia="宋体" w:cs="宋体"/>
          <w:color w:val="auto"/>
          <w:sz w:val="28"/>
          <w:szCs w:val="28"/>
          <w:u w:val="single"/>
          <w:lang w:val="en-US" w:eastAsia="zh-CN"/>
        </w:rPr>
        <w:t>元</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lang w:eastAsia="zh-CN"/>
        </w:rPr>
        <w:t>，增值税税率为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lang w:eastAsia="zh-CN"/>
        </w:rPr>
        <w:t>，增值税税额为人民币</w:t>
      </w:r>
      <w:r>
        <w:rPr>
          <w:rFonts w:hint="eastAsia" w:ascii="宋体" w:hAnsi="宋体" w:eastAsia="宋体" w:cs="宋体"/>
          <w:color w:val="auto"/>
          <w:sz w:val="28"/>
          <w:szCs w:val="28"/>
          <w:u w:val="single"/>
          <w:lang w:eastAsia="zh-CN"/>
        </w:rPr>
        <w:t>（大写）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i w:val="0"/>
          <w:iCs w:val="0"/>
          <w:caps w:val="0"/>
          <w:color w:val="auto"/>
          <w:spacing w:val="0"/>
          <w:sz w:val="28"/>
          <w:szCs w:val="28"/>
          <w:u w:val="single"/>
          <w:shd w:val="clear"/>
          <w:lang w:val="en-US" w:eastAsia="zh-CN"/>
        </w:rPr>
        <w:t xml:space="preserve">    </w:t>
      </w:r>
      <w:r>
        <w:rPr>
          <w:rFonts w:hint="eastAsia" w:ascii="宋体" w:hAnsi="宋体" w:eastAsia="宋体" w:cs="宋体"/>
          <w:color w:val="auto"/>
          <w:sz w:val="28"/>
          <w:szCs w:val="28"/>
          <w:u w:val="single"/>
          <w:lang w:val="en-US" w:eastAsia="zh-CN"/>
        </w:rPr>
        <w:t>元</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本合同所约定的</w:t>
      </w:r>
      <w:r>
        <w:rPr>
          <w:rFonts w:hint="eastAsia" w:ascii="宋体" w:hAnsi="宋体" w:eastAsia="宋体" w:cs="宋体"/>
          <w:color w:val="auto"/>
          <w:sz w:val="28"/>
          <w:szCs w:val="28"/>
          <w:lang w:val="en-US" w:eastAsia="zh-Hans"/>
        </w:rPr>
        <w:t>总价</w:t>
      </w:r>
      <w:r>
        <w:rPr>
          <w:rFonts w:hint="eastAsia" w:ascii="宋体" w:hAnsi="宋体" w:eastAsia="宋体" w:cs="宋体"/>
          <w:color w:val="auto"/>
          <w:sz w:val="28"/>
          <w:szCs w:val="28"/>
        </w:rPr>
        <w:t>已包含人工费、</w:t>
      </w:r>
      <w:r>
        <w:rPr>
          <w:rFonts w:hint="eastAsia" w:ascii="宋体" w:hAnsi="宋体" w:eastAsia="宋体" w:cs="宋体"/>
          <w:color w:val="auto"/>
          <w:sz w:val="28"/>
          <w:szCs w:val="28"/>
          <w:lang w:val="en-US" w:eastAsia="zh-CN"/>
        </w:rPr>
        <w:t>设计费、制作费、</w:t>
      </w:r>
      <w:r>
        <w:rPr>
          <w:rFonts w:hint="eastAsia" w:ascii="宋体" w:hAnsi="宋体" w:eastAsia="宋体" w:cs="宋体"/>
          <w:color w:val="auto"/>
          <w:sz w:val="28"/>
          <w:szCs w:val="28"/>
        </w:rPr>
        <w:t>材料费、安装费、利润、税金等乙方为履行本合同项下义务所产生的一切费用。</w:t>
      </w:r>
    </w:p>
    <w:p w14:paraId="0922E9E0">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合同签订后，</w:t>
      </w:r>
      <w:r>
        <w:rPr>
          <w:rFonts w:hint="eastAsia" w:ascii="宋体" w:hAnsi="宋体" w:eastAsia="宋体" w:cs="宋体"/>
          <w:color w:val="auto"/>
          <w:sz w:val="28"/>
          <w:szCs w:val="28"/>
        </w:rPr>
        <w:t>乙方于</w:t>
      </w:r>
      <w:r>
        <w:rPr>
          <w:rFonts w:hint="eastAsia" w:ascii="宋体" w:hAnsi="宋体" w:eastAsia="宋体" w:cs="宋体"/>
          <w:color w:val="auto"/>
          <w:sz w:val="28"/>
          <w:szCs w:val="28"/>
          <w:lang w:eastAsia="zh-CN"/>
        </w:rPr>
        <w:t>每月</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u w:val="none"/>
        </w:rPr>
        <w:t>5</w:t>
      </w:r>
      <w:r>
        <w:rPr>
          <w:rFonts w:hint="eastAsia" w:ascii="宋体" w:hAnsi="宋体" w:eastAsia="宋体" w:cs="宋体"/>
          <w:color w:val="auto"/>
          <w:sz w:val="28"/>
          <w:szCs w:val="28"/>
        </w:rPr>
        <w:t>日前向甲方报送</w:t>
      </w:r>
      <w:r>
        <w:rPr>
          <w:rFonts w:hint="eastAsia" w:ascii="宋体" w:hAnsi="宋体" w:eastAsia="宋体" w:cs="宋体"/>
          <w:color w:val="auto"/>
          <w:sz w:val="28"/>
          <w:szCs w:val="28"/>
          <w:lang w:eastAsia="zh-CN"/>
        </w:rPr>
        <w:t>本月实际发生的</w:t>
      </w:r>
      <w:r>
        <w:rPr>
          <w:rFonts w:hint="eastAsia" w:ascii="宋体" w:hAnsi="宋体" w:eastAsia="宋体" w:cs="宋体"/>
          <w:color w:val="auto"/>
          <w:sz w:val="28"/>
          <w:szCs w:val="28"/>
        </w:rPr>
        <w:t>费用明细，经审核确认无误并验收后，于</w:t>
      </w:r>
      <w:r>
        <w:rPr>
          <w:rFonts w:hint="eastAsia" w:ascii="宋体" w:hAnsi="宋体" w:eastAsia="宋体" w:cs="宋体"/>
          <w:color w:val="auto"/>
          <w:sz w:val="28"/>
          <w:szCs w:val="28"/>
          <w:u w:val="single"/>
        </w:rPr>
        <w:t>7</w:t>
      </w:r>
      <w:r>
        <w:rPr>
          <w:rFonts w:hint="eastAsia" w:ascii="宋体" w:hAnsi="宋体" w:eastAsia="宋体" w:cs="宋体"/>
          <w:color w:val="auto"/>
          <w:sz w:val="28"/>
          <w:szCs w:val="28"/>
        </w:rPr>
        <w:t>个工作日内支付。</w:t>
      </w:r>
      <w:r>
        <w:rPr>
          <w:rFonts w:hint="eastAsia" w:ascii="宋体" w:hAnsi="宋体" w:eastAsia="宋体" w:cs="宋体"/>
          <w:color w:val="auto"/>
          <w:sz w:val="28"/>
          <w:szCs w:val="28"/>
          <w:lang w:eastAsia="zh-CN"/>
        </w:rPr>
        <w:t>该费用支付待甲方定作物清单完成后止。</w:t>
      </w:r>
    </w:p>
    <w:p w14:paraId="1624AEC7">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广告</w:t>
      </w:r>
      <w:r>
        <w:rPr>
          <w:rFonts w:hint="eastAsia" w:ascii="宋体" w:hAnsi="宋体" w:eastAsia="宋体" w:cs="宋体"/>
          <w:color w:val="auto"/>
          <w:sz w:val="28"/>
          <w:szCs w:val="28"/>
          <w:lang w:eastAsia="zh-CN"/>
        </w:rPr>
        <w:t>发布</w:t>
      </w:r>
      <w:r>
        <w:rPr>
          <w:rFonts w:hint="eastAsia" w:ascii="宋体" w:hAnsi="宋体" w:eastAsia="宋体" w:cs="宋体"/>
          <w:color w:val="auto"/>
          <w:sz w:val="28"/>
          <w:szCs w:val="28"/>
        </w:rPr>
        <w:t>费用：</w:t>
      </w:r>
      <w:r>
        <w:rPr>
          <w:rFonts w:hint="eastAsia" w:ascii="宋体" w:hAnsi="宋体" w:eastAsia="宋体" w:cs="宋体"/>
          <w:color w:val="auto"/>
          <w:sz w:val="28"/>
          <w:szCs w:val="28"/>
          <w:lang w:eastAsia="zh-CN"/>
        </w:rPr>
        <w:t>该费用</w:t>
      </w:r>
      <w:r>
        <w:rPr>
          <w:rFonts w:hint="eastAsia" w:ascii="宋体" w:hAnsi="宋体" w:eastAsia="宋体" w:cs="宋体"/>
          <w:color w:val="auto"/>
          <w:sz w:val="28"/>
          <w:szCs w:val="28"/>
          <w:u w:val="none"/>
          <w:lang w:eastAsia="zh-CN"/>
        </w:rPr>
        <w:t>含增值税</w:t>
      </w:r>
      <w:r>
        <w:rPr>
          <w:rFonts w:hint="eastAsia" w:ascii="宋体" w:hAnsi="宋体" w:eastAsia="宋体" w:cs="宋体"/>
          <w:color w:val="auto"/>
          <w:sz w:val="28"/>
          <w:szCs w:val="28"/>
          <w:u w:val="none"/>
        </w:rPr>
        <w:t>总价为</w:t>
      </w:r>
      <w:r>
        <w:rPr>
          <w:rFonts w:hint="eastAsia" w:ascii="宋体" w:hAnsi="宋体" w:eastAsia="宋体" w:cs="宋体"/>
          <w:color w:val="auto"/>
          <w:sz w:val="28"/>
          <w:szCs w:val="28"/>
          <w:u w:val="none"/>
          <w:lang w:eastAsia="zh-CN"/>
        </w:rPr>
        <w:t>人民币（大写）：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    元</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none"/>
          <w:lang w:eastAsia="zh-CN"/>
        </w:rPr>
        <w:t>，其中不含增值税总价为人民币（大写）：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    元</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none"/>
          <w:lang w:val="en-US" w:eastAsia="zh-CN"/>
        </w:rPr>
        <w:t>增值税税率为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%,增值税税额为人民币（大写）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    元</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rPr>
        <w:t>此费用包含税金、广告位使用费、安装费、维护费及审批费等乙方因履行本合同</w:t>
      </w:r>
      <w:r>
        <w:rPr>
          <w:rFonts w:hint="eastAsia" w:ascii="宋体" w:hAnsi="宋体" w:eastAsia="宋体" w:cs="宋体"/>
          <w:color w:val="auto"/>
          <w:sz w:val="28"/>
          <w:szCs w:val="28"/>
          <w:lang w:val="en-US" w:eastAsia="zh-CN"/>
        </w:rPr>
        <w:t>项下全部义务</w:t>
      </w:r>
      <w:r>
        <w:rPr>
          <w:rFonts w:hint="eastAsia" w:ascii="宋体" w:hAnsi="宋体" w:eastAsia="宋体" w:cs="宋体"/>
          <w:color w:val="auto"/>
          <w:sz w:val="28"/>
          <w:szCs w:val="28"/>
        </w:rPr>
        <w:t>所产生的一切费用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除甲乙双方或本合同另有约定外，乙方不得向甲方收取其他任何费用。</w:t>
      </w:r>
    </w:p>
    <w:p w14:paraId="5AF218B3">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i w:val="0"/>
          <w:caps w:val="0"/>
          <w:color w:val="auto"/>
          <w:spacing w:val="0"/>
          <w:sz w:val="28"/>
          <w:szCs w:val="28"/>
          <w:shd w:val="clear"/>
          <w:lang w:eastAsia="zh-CN"/>
        </w:rPr>
        <w:t>广告发布费分三次支付，合同签订后</w:t>
      </w:r>
      <w:r>
        <w:rPr>
          <w:rFonts w:hint="eastAsia" w:ascii="宋体" w:hAnsi="宋体" w:eastAsia="宋体" w:cs="宋体"/>
          <w:i w:val="0"/>
          <w:caps w:val="0"/>
          <w:color w:val="auto"/>
          <w:spacing w:val="0"/>
          <w:sz w:val="28"/>
          <w:szCs w:val="28"/>
          <w:u w:val="single"/>
          <w:shd w:val="clear"/>
          <w:lang w:val="en-US" w:eastAsia="zh-CN"/>
        </w:rPr>
        <w:t>10</w:t>
      </w:r>
      <w:r>
        <w:rPr>
          <w:rFonts w:hint="eastAsia" w:ascii="宋体" w:hAnsi="宋体" w:eastAsia="宋体" w:cs="宋体"/>
          <w:i w:val="0"/>
          <w:caps w:val="0"/>
          <w:color w:val="auto"/>
          <w:spacing w:val="0"/>
          <w:sz w:val="28"/>
          <w:szCs w:val="28"/>
          <w:shd w:val="clear"/>
          <w:lang w:val="en-US" w:eastAsia="zh-CN"/>
        </w:rPr>
        <w:t>内支付</w:t>
      </w:r>
      <w:r>
        <w:rPr>
          <w:rFonts w:hint="eastAsia" w:ascii="宋体" w:hAnsi="宋体" w:eastAsia="宋体" w:cs="宋体"/>
          <w:color w:val="auto"/>
          <w:sz w:val="28"/>
          <w:szCs w:val="28"/>
          <w:lang w:val="en-US" w:eastAsia="zh-CN"/>
        </w:rPr>
        <w:t>广告发布费总价款</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40%作为预付款，</w:t>
      </w:r>
      <w:r>
        <w:rPr>
          <w:rFonts w:hint="eastAsia" w:ascii="宋体" w:hAnsi="宋体" w:eastAsia="宋体" w:cs="宋体"/>
          <w:bCs/>
          <w:color w:val="auto"/>
          <w:sz w:val="28"/>
          <w:szCs w:val="28"/>
        </w:rPr>
        <w:t>人民币（大写）</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rPr>
        <w:t>（小写￥</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元</w:t>
      </w:r>
      <w:r>
        <w:rPr>
          <w:rFonts w:hint="eastAsia" w:ascii="宋体" w:hAnsi="宋体" w:eastAsia="宋体" w:cs="宋体"/>
          <w:bCs/>
          <w:color w:val="auto"/>
          <w:sz w:val="28"/>
          <w:szCs w:val="28"/>
        </w:rPr>
        <w:t>）</w:t>
      </w:r>
      <w:r>
        <w:rPr>
          <w:rFonts w:hint="eastAsia" w:ascii="宋体" w:hAnsi="宋体" w:eastAsia="宋体" w:cs="宋体"/>
          <w:color w:val="auto"/>
          <w:sz w:val="28"/>
          <w:szCs w:val="28"/>
          <w:u w:val="none"/>
          <w:lang w:eastAsia="zh-CN"/>
        </w:rPr>
        <w:t>；</w:t>
      </w:r>
      <w:r>
        <w:rPr>
          <w:rFonts w:hint="default" w:ascii="宋体" w:hAnsi="宋体" w:eastAsia="宋体" w:cs="宋体"/>
          <w:color w:val="auto"/>
          <w:sz w:val="28"/>
          <w:szCs w:val="28"/>
          <w:u w:val="none"/>
          <w:lang w:val="en-US" w:eastAsia="zh-CN"/>
        </w:rPr>
        <w:t>2025年</w:t>
      </w:r>
      <w:r>
        <w:rPr>
          <w:rFonts w:hint="default" w:ascii="宋体" w:hAnsi="宋体" w:eastAsia="宋体" w:cs="宋体"/>
          <w:color w:val="auto"/>
          <w:sz w:val="28"/>
          <w:szCs w:val="28"/>
          <w:lang w:val="en-US"/>
        </w:rPr>
        <w:t>12月</w:t>
      </w:r>
      <w:r>
        <w:rPr>
          <w:rFonts w:hint="default" w:ascii="宋体" w:hAnsi="宋体" w:eastAsia="宋体" w:cs="宋体"/>
          <w:color w:val="auto"/>
          <w:sz w:val="28"/>
          <w:szCs w:val="28"/>
          <w:lang w:val="en-US" w:eastAsia="zh-CN"/>
        </w:rPr>
        <w:t>20</w:t>
      </w:r>
      <w:r>
        <w:rPr>
          <w:rFonts w:hint="default" w:ascii="宋体" w:hAnsi="宋体" w:eastAsia="宋体" w:cs="宋体"/>
          <w:color w:val="auto"/>
          <w:sz w:val="28"/>
          <w:szCs w:val="28"/>
          <w:lang w:val="en-US"/>
        </w:rPr>
        <w:t>日前</w:t>
      </w:r>
      <w:r>
        <w:rPr>
          <w:rFonts w:hint="eastAsia" w:ascii="宋体" w:hAnsi="宋体" w:eastAsia="宋体" w:cs="宋体"/>
          <w:color w:val="auto"/>
          <w:sz w:val="28"/>
          <w:szCs w:val="28"/>
          <w:lang w:eastAsia="zh-CN"/>
        </w:rPr>
        <w:t>，</w:t>
      </w:r>
      <w:r>
        <w:rPr>
          <w:rFonts w:hint="eastAsia" w:ascii="宋体" w:hAnsi="宋体" w:eastAsia="宋体" w:cs="宋体"/>
          <w:bCs/>
          <w:color w:val="auto"/>
          <w:sz w:val="28"/>
          <w:szCs w:val="28"/>
        </w:rPr>
        <w:t>甲方支付</w:t>
      </w:r>
      <w:r>
        <w:rPr>
          <w:rFonts w:hint="eastAsia" w:ascii="宋体" w:hAnsi="宋体" w:eastAsia="宋体" w:cs="宋体"/>
          <w:bCs/>
          <w:color w:val="auto"/>
          <w:sz w:val="28"/>
          <w:szCs w:val="28"/>
          <w:lang w:eastAsia="zh-CN"/>
        </w:rPr>
        <w:t>广告发布费</w:t>
      </w:r>
      <w:r>
        <w:rPr>
          <w:rFonts w:hint="eastAsia" w:ascii="宋体" w:hAnsi="宋体" w:eastAsia="宋体" w:cs="宋体"/>
          <w:bCs/>
          <w:color w:val="auto"/>
          <w:sz w:val="28"/>
          <w:szCs w:val="28"/>
        </w:rPr>
        <w:t>总价款的</w:t>
      </w:r>
      <w:r>
        <w:rPr>
          <w:rFonts w:hint="eastAsia" w:ascii="宋体" w:hAnsi="宋体" w:eastAsia="宋体" w:cs="宋体"/>
          <w:bCs/>
          <w:color w:val="auto"/>
          <w:sz w:val="28"/>
          <w:szCs w:val="28"/>
          <w:lang w:val="en-US" w:eastAsia="zh-CN"/>
        </w:rPr>
        <w:t>25</w:t>
      </w:r>
      <w:r>
        <w:rPr>
          <w:rFonts w:hint="eastAsia" w:ascii="宋体" w:hAnsi="宋体" w:eastAsia="宋体" w:cs="宋体"/>
          <w:bCs/>
          <w:color w:val="auto"/>
          <w:sz w:val="28"/>
          <w:szCs w:val="28"/>
        </w:rPr>
        <w:t>%，即：人民币（大写）</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rPr>
        <w:t>（小写￥</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元</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；待乙方广告发布完成</w:t>
      </w:r>
      <w:r>
        <w:rPr>
          <w:rFonts w:hint="eastAsia" w:ascii="宋体" w:hAnsi="宋体" w:eastAsia="宋体" w:cs="宋体"/>
          <w:bCs/>
          <w:color w:val="auto"/>
          <w:sz w:val="28"/>
          <w:szCs w:val="28"/>
          <w:lang w:val="en-US" w:eastAsia="zh-CN"/>
        </w:rPr>
        <w:t>并经双方确认的</w:t>
      </w:r>
      <w:r>
        <w:rPr>
          <w:rFonts w:hint="eastAsia" w:ascii="宋体" w:hAnsi="宋体" w:eastAsia="宋体" w:cs="宋体"/>
          <w:bCs/>
          <w:color w:val="auto"/>
          <w:sz w:val="28"/>
          <w:szCs w:val="28"/>
        </w:rPr>
        <w:t>实际</w:t>
      </w:r>
      <w:r>
        <w:rPr>
          <w:rFonts w:hint="eastAsia" w:ascii="宋体" w:hAnsi="宋体" w:eastAsia="宋体" w:cs="宋体"/>
          <w:bCs/>
          <w:color w:val="auto"/>
          <w:sz w:val="28"/>
          <w:szCs w:val="28"/>
          <w:lang w:val="en-US" w:eastAsia="zh-CN"/>
        </w:rPr>
        <w:t>广告</w:t>
      </w:r>
      <w:r>
        <w:rPr>
          <w:rFonts w:hint="eastAsia" w:ascii="宋体" w:hAnsi="宋体" w:eastAsia="宋体" w:cs="宋体"/>
          <w:bCs/>
          <w:color w:val="auto"/>
          <w:sz w:val="28"/>
          <w:szCs w:val="28"/>
        </w:rPr>
        <w:t>发布</w:t>
      </w:r>
      <w:r>
        <w:rPr>
          <w:rFonts w:hint="eastAsia" w:ascii="宋体" w:hAnsi="宋体" w:eastAsia="宋体" w:cs="宋体"/>
          <w:bCs/>
          <w:color w:val="auto"/>
          <w:sz w:val="28"/>
          <w:szCs w:val="28"/>
          <w:lang w:eastAsia="zh-CN"/>
        </w:rPr>
        <w:t>量，</w:t>
      </w:r>
      <w:r>
        <w:rPr>
          <w:rFonts w:hint="eastAsia" w:ascii="宋体" w:hAnsi="宋体" w:eastAsia="宋体" w:cs="宋体"/>
          <w:bCs/>
          <w:color w:val="auto"/>
          <w:sz w:val="28"/>
          <w:szCs w:val="28"/>
        </w:rPr>
        <w:t>支付剩余</w:t>
      </w:r>
      <w:r>
        <w:rPr>
          <w:rFonts w:hint="eastAsia" w:ascii="宋体" w:hAnsi="宋体" w:eastAsia="宋体" w:cs="宋体"/>
          <w:bCs/>
          <w:color w:val="auto"/>
          <w:sz w:val="28"/>
          <w:szCs w:val="28"/>
          <w:lang w:val="en-US" w:eastAsia="zh-CN"/>
        </w:rPr>
        <w:t>广告发布费，多退少补</w:t>
      </w:r>
      <w:r>
        <w:rPr>
          <w:rFonts w:hint="eastAsia" w:ascii="宋体" w:hAnsi="宋体" w:eastAsia="宋体" w:cs="宋体"/>
          <w:bCs/>
          <w:color w:val="auto"/>
          <w:sz w:val="28"/>
          <w:szCs w:val="28"/>
          <w:lang w:eastAsia="zh-CN"/>
        </w:rPr>
        <w:t>。</w:t>
      </w:r>
    </w:p>
    <w:p w14:paraId="4343021C">
      <w:pPr>
        <w:pStyle w:val="2"/>
        <w:keepNext w:val="0"/>
        <w:keepLines w:val="0"/>
        <w:pageBreakBefore w:val="0"/>
        <w:widowControl w:val="0"/>
        <w:kinsoku/>
        <w:wordWrap/>
        <w:overflowPunct/>
        <w:topLinePunct w:val="0"/>
        <w:bidi w:val="0"/>
        <w:snapToGrid/>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合同价格以不含税价格为基准，当国家政策法规对增值税税率有调整时，则本</w:t>
      </w:r>
      <w:r>
        <w:rPr>
          <w:rFonts w:hint="eastAsia" w:ascii="宋体" w:hAnsi="宋体" w:eastAsia="宋体" w:cs="宋体"/>
          <w:color w:val="auto"/>
          <w:sz w:val="28"/>
          <w:szCs w:val="28"/>
          <w:lang w:eastAsia="zh-CN"/>
        </w:rPr>
        <w:t>合同</w:t>
      </w:r>
      <w:r>
        <w:rPr>
          <w:rFonts w:hint="eastAsia" w:ascii="宋体" w:hAnsi="宋体" w:eastAsia="宋体" w:cs="宋体"/>
          <w:color w:val="auto"/>
          <w:sz w:val="28"/>
          <w:szCs w:val="28"/>
        </w:rPr>
        <w:t>不含税价不变，增值税税率和税额同步调整。</w:t>
      </w:r>
    </w:p>
    <w:p w14:paraId="532FC238">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乙方同意甲方以银行转账的方式向乙方支付广告费用，乙方指定收款银行账户信息如下：</w:t>
      </w:r>
    </w:p>
    <w:p w14:paraId="12BF058E">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户  名：</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6FEB3649">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开户行：</w:t>
      </w:r>
      <w:r>
        <w:rPr>
          <w:rFonts w:hint="eastAsia" w:ascii="宋体" w:hAnsi="宋体" w:eastAsia="宋体" w:cs="宋体"/>
          <w:color w:val="auto"/>
          <w:sz w:val="28"/>
          <w:szCs w:val="28"/>
          <w:lang w:val="en-US" w:eastAsia="zh-CN"/>
        </w:rPr>
        <w:t xml:space="preserve"> </w:t>
      </w:r>
    </w:p>
    <w:p w14:paraId="20717DD1">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账  号：</w:t>
      </w:r>
      <w:r>
        <w:rPr>
          <w:rFonts w:hint="eastAsia" w:ascii="宋体" w:hAnsi="宋体" w:eastAsia="宋体" w:cs="宋体"/>
          <w:color w:val="auto"/>
          <w:sz w:val="28"/>
          <w:szCs w:val="28"/>
          <w:lang w:val="en-US" w:eastAsia="zh-CN"/>
        </w:rPr>
        <w:t xml:space="preserve"> </w:t>
      </w:r>
    </w:p>
    <w:p w14:paraId="4FBE898A">
      <w:pPr>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rPr>
        <w:t>乙方要求甲方付款前，应</w:t>
      </w:r>
      <w:r>
        <w:rPr>
          <w:rFonts w:hint="eastAsia" w:ascii="宋体" w:hAnsi="宋体" w:eastAsia="宋体" w:cs="宋体"/>
          <w:bCs/>
          <w:color w:val="auto"/>
          <w:sz w:val="28"/>
          <w:szCs w:val="28"/>
          <w:lang w:val="en-US" w:eastAsia="zh-CN"/>
        </w:rPr>
        <w:t>提前10日</w:t>
      </w:r>
      <w:r>
        <w:rPr>
          <w:rFonts w:hint="eastAsia" w:ascii="宋体" w:hAnsi="宋体" w:eastAsia="宋体" w:cs="宋体"/>
          <w:bCs/>
          <w:color w:val="auto"/>
          <w:sz w:val="28"/>
          <w:szCs w:val="28"/>
        </w:rPr>
        <w:t>向甲方提供与待付款金额等额的增值税</w:t>
      </w:r>
      <w:r>
        <w:rPr>
          <w:rFonts w:hint="eastAsia" w:ascii="宋体" w:hAnsi="宋体" w:eastAsia="宋体" w:cs="宋体"/>
          <w:bCs/>
          <w:color w:val="auto"/>
          <w:sz w:val="28"/>
          <w:szCs w:val="28"/>
          <w:u w:val="single"/>
          <w:lang w:eastAsia="zh-CN"/>
        </w:rPr>
        <w:t>普通</w:t>
      </w:r>
      <w:r>
        <w:rPr>
          <w:rFonts w:hint="eastAsia" w:ascii="宋体" w:hAnsi="宋体" w:eastAsia="宋体" w:cs="宋体"/>
          <w:bCs/>
          <w:color w:val="auto"/>
          <w:sz w:val="28"/>
          <w:szCs w:val="28"/>
        </w:rPr>
        <w:t>发票，否则</w:t>
      </w:r>
      <w:r>
        <w:rPr>
          <w:rFonts w:hint="eastAsia" w:ascii="宋体" w:hAnsi="宋体" w:eastAsia="宋体" w:cs="宋体"/>
          <w:bCs/>
          <w:color w:val="auto"/>
          <w:sz w:val="28"/>
          <w:szCs w:val="28"/>
          <w:lang w:val="en-US" w:eastAsia="zh-CN"/>
        </w:rPr>
        <w:t>视为付款条件不成就，</w:t>
      </w:r>
      <w:r>
        <w:rPr>
          <w:rFonts w:hint="eastAsia" w:ascii="宋体" w:hAnsi="宋体" w:eastAsia="宋体" w:cs="宋体"/>
          <w:bCs/>
          <w:color w:val="auto"/>
          <w:sz w:val="28"/>
          <w:szCs w:val="28"/>
        </w:rPr>
        <w:t>甲方有权迟延付款且无需承担任何责任，同时不免除乙方所应履行的合同义务。乙方应当对其开具发票的合法性、合规性负责，如果因为乙方开具发票的合法性、合规性而导致甲方遭受其他损失的，乙方应承担赔偿责任，并在甲方要求的期限内重新开具合法有效的发票。</w:t>
      </w:r>
    </w:p>
    <w:p w14:paraId="50DA4298">
      <w:pPr>
        <w:pStyle w:val="2"/>
        <w:keepNext w:val="0"/>
        <w:keepLines w:val="0"/>
        <w:pageBreakBefore w:val="0"/>
        <w:widowControl w:val="0"/>
        <w:kinsoku/>
        <w:wordWrap/>
        <w:overflowPunct/>
        <w:topLinePunct w:val="0"/>
        <w:bidi w:val="0"/>
        <w:snapToGrid/>
        <w:spacing w:line="540" w:lineRule="exact"/>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四、</w:t>
      </w:r>
      <w:r>
        <w:rPr>
          <w:rFonts w:hint="eastAsia" w:ascii="宋体" w:hAnsi="宋体" w:eastAsia="宋体" w:cs="宋体"/>
          <w:b/>
          <w:color w:val="auto"/>
          <w:sz w:val="28"/>
          <w:szCs w:val="28"/>
        </w:rPr>
        <w:t>甲方的权利和义务</w:t>
      </w:r>
    </w:p>
    <w:p w14:paraId="1F15C7B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本合同项下所发布的广告内容均由甲方提供，</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CN"/>
        </w:rPr>
        <w:t>应</w:t>
      </w:r>
      <w:r>
        <w:rPr>
          <w:rFonts w:hint="eastAsia" w:ascii="宋体" w:hAnsi="宋体" w:eastAsia="宋体" w:cs="宋体"/>
          <w:color w:val="auto"/>
          <w:sz w:val="28"/>
          <w:szCs w:val="28"/>
        </w:rPr>
        <w:t>保证广告内容符合《广告法》及相关法规的规定，承担广告内容及文字真实性的法律责任；甲方保证所上广告的真实性及合法性，因广告内容与实物不符引起的一系列纠纷与责任，均与乙方无关，甲方自行承担解决</w:t>
      </w:r>
      <w:r>
        <w:rPr>
          <w:rFonts w:hint="eastAsia" w:ascii="宋体" w:hAnsi="宋体" w:eastAsia="宋体" w:cs="宋体"/>
          <w:color w:val="auto"/>
          <w:sz w:val="28"/>
          <w:szCs w:val="28"/>
          <w:lang w:eastAsia="zh-CN"/>
        </w:rPr>
        <w:t>；</w:t>
      </w:r>
    </w:p>
    <w:p w14:paraId="0B6B0EF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2、甲方应在广告发布开始之日前5天向乙方提供广告内容；</w:t>
      </w:r>
    </w:p>
    <w:p w14:paraId="0651D88B">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如若</w:t>
      </w:r>
      <w:r>
        <w:rPr>
          <w:rFonts w:hint="eastAsia" w:ascii="宋体" w:hAnsi="宋体" w:eastAsia="宋体" w:cs="宋体"/>
          <w:color w:val="auto"/>
          <w:sz w:val="28"/>
          <w:szCs w:val="28"/>
        </w:rPr>
        <w:t>发现乙方交付的定作物不符合约定的，甲方有权有权要求乙方限期返工、修理或者重作，由此造成的损失由乙方自行承担，且制作时间不予顺延。甲方的监督行为不得作为乙方免除质量保证义务的理由。</w:t>
      </w:r>
    </w:p>
    <w:p w14:paraId="4A99F058">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、甲方有权要求乙方及时更换不符合约定的原材料，由此造成的损失由乙方自行承担。</w:t>
      </w:r>
    </w:p>
    <w:p w14:paraId="2DA25A53">
      <w:pPr>
        <w:pStyle w:val="2"/>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、甲方有权根据工作需要增加或者减少</w:t>
      </w:r>
      <w:r>
        <w:rPr>
          <w:rFonts w:hint="eastAsia" w:ascii="宋体" w:hAnsi="宋体" w:eastAsia="宋体" w:cs="宋体"/>
          <w:color w:val="auto"/>
          <w:sz w:val="28"/>
          <w:szCs w:val="28"/>
          <w:lang w:val="en-US" w:eastAsia="zh-CN"/>
        </w:rPr>
        <w:t>定作物清单中</w:t>
      </w:r>
      <w:r>
        <w:rPr>
          <w:rFonts w:hint="eastAsia" w:ascii="宋体" w:hAnsi="宋体" w:eastAsia="宋体" w:cs="宋体"/>
          <w:color w:val="auto"/>
          <w:sz w:val="28"/>
          <w:szCs w:val="28"/>
        </w:rPr>
        <w:t>制作</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数量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变更或解除通知自到达乙方</w:t>
      </w:r>
      <w:r>
        <w:rPr>
          <w:rFonts w:hint="eastAsia" w:ascii="宋体" w:hAnsi="宋体" w:eastAsia="宋体" w:cs="宋体"/>
          <w:color w:val="auto"/>
          <w:sz w:val="28"/>
          <w:szCs w:val="28"/>
          <w:lang w:val="en-US" w:eastAsia="zh-CN"/>
        </w:rPr>
        <w:t>指定经办人任一</w:t>
      </w:r>
      <w:r>
        <w:rPr>
          <w:rFonts w:hint="eastAsia" w:ascii="宋体" w:hAnsi="宋体" w:eastAsia="宋体" w:cs="宋体"/>
          <w:color w:val="auto"/>
          <w:sz w:val="28"/>
          <w:szCs w:val="28"/>
        </w:rPr>
        <w:t>收件系统时产生法律效力，不以乙方是否确认收到为条件。最终</w:t>
      </w:r>
      <w:r>
        <w:rPr>
          <w:rFonts w:hint="eastAsia" w:ascii="宋体" w:hAnsi="宋体" w:eastAsia="宋体" w:cs="宋体"/>
          <w:color w:val="auto"/>
          <w:sz w:val="28"/>
          <w:szCs w:val="28"/>
          <w:lang w:eastAsia="zh-CN"/>
        </w:rPr>
        <w:t>广告制作</w:t>
      </w:r>
      <w:r>
        <w:rPr>
          <w:rFonts w:hint="eastAsia" w:ascii="宋体" w:hAnsi="宋体" w:eastAsia="宋体" w:cs="宋体"/>
          <w:color w:val="auto"/>
          <w:sz w:val="28"/>
          <w:szCs w:val="28"/>
        </w:rPr>
        <w:t>价款以乙方实际交付且经甲方验收合格的定作物数量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以及订单中确定的单价</w:t>
      </w:r>
      <w:r>
        <w:rPr>
          <w:rFonts w:hint="eastAsia" w:ascii="宋体" w:hAnsi="宋体" w:eastAsia="宋体" w:cs="宋体"/>
          <w:color w:val="auto"/>
          <w:sz w:val="28"/>
          <w:szCs w:val="28"/>
        </w:rPr>
        <w:t>为准</w:t>
      </w:r>
      <w:r>
        <w:rPr>
          <w:rFonts w:hint="eastAsia" w:ascii="宋体" w:hAnsi="宋体" w:eastAsia="宋体" w:cs="宋体"/>
          <w:color w:val="auto"/>
          <w:sz w:val="28"/>
          <w:szCs w:val="28"/>
          <w:lang w:eastAsia="zh-CN"/>
        </w:rPr>
        <w:t>。</w:t>
      </w:r>
    </w:p>
    <w:p w14:paraId="7D80F64D">
      <w:pPr>
        <w:pStyle w:val="2"/>
        <w:keepNext w:val="0"/>
        <w:keepLines w:val="0"/>
        <w:pageBreakBefore w:val="0"/>
        <w:widowControl w:val="0"/>
        <w:kinsoku/>
        <w:wordWrap/>
        <w:overflowPunct/>
        <w:topLinePunct w:val="0"/>
        <w:bidi w:val="0"/>
        <w:snapToGrid/>
        <w:spacing w:line="54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乙方权利</w:t>
      </w:r>
      <w:r>
        <w:rPr>
          <w:rFonts w:hint="eastAsia" w:ascii="宋体" w:hAnsi="宋体" w:eastAsia="宋体" w:cs="宋体"/>
          <w:b/>
          <w:bCs/>
          <w:color w:val="auto"/>
          <w:sz w:val="28"/>
          <w:szCs w:val="28"/>
          <w:lang w:eastAsia="zh-CN"/>
        </w:rPr>
        <w:t>和</w:t>
      </w:r>
      <w:r>
        <w:rPr>
          <w:rFonts w:hint="eastAsia" w:ascii="宋体" w:hAnsi="宋体" w:eastAsia="宋体" w:cs="宋体"/>
          <w:b/>
          <w:bCs/>
          <w:color w:val="auto"/>
          <w:sz w:val="28"/>
          <w:szCs w:val="28"/>
        </w:rPr>
        <w:t>义务</w:t>
      </w:r>
    </w:p>
    <w:p w14:paraId="69212DA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办理广告发布的有关审批手续，由此引起的责任及费用由乙方负责。乙方承诺其为本合同约定的广告位的合法所有权人，并合法拥有本合同约定的媒体广告的发布资格，否则乙方应退还甲方所有广告费用，并向甲方支付等额款项作为违约金。</w:t>
      </w:r>
    </w:p>
    <w:p w14:paraId="751F949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、乙方负责广告发布有关的广告构造及广告设施的维护保养，以保证合同期内广告正常发布，无影响广告内容及效果的情形，否则乙方应相应延长甲方广告的发布时间。</w:t>
      </w:r>
    </w:p>
    <w:p w14:paraId="192CD6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乙方对其制作的广告排版及画面负责，因乙方制作广告画面侵犯第三人合法权益的，由乙方承担相应法律责任，造成甲方损失或向第三人赔偿的，甲方有权向乙方要求赔偿或追偿。</w:t>
      </w:r>
    </w:p>
    <w:p w14:paraId="2F2AD2AC">
      <w:pPr>
        <w:pStyle w:val="2"/>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、乙方负责单立柱及与广告发布有关的一切安全。由于广告发布设施的安装、维修不及时等因素引发的人身、财产事故由乙方负全责，与甲方无关。</w:t>
      </w:r>
    </w:p>
    <w:p w14:paraId="7489A8C4">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乙方应严格按照</w:t>
      </w:r>
      <w:r>
        <w:rPr>
          <w:rFonts w:hint="eastAsia" w:ascii="宋体" w:hAnsi="宋体" w:eastAsia="宋体" w:cs="宋体"/>
          <w:color w:val="auto"/>
          <w:sz w:val="28"/>
          <w:szCs w:val="28"/>
          <w:lang w:val="en-US" w:eastAsia="zh-CN"/>
        </w:rPr>
        <w:t>经双方确认的清单</w:t>
      </w:r>
      <w:r>
        <w:rPr>
          <w:rFonts w:hint="eastAsia" w:ascii="宋体" w:hAnsi="宋体" w:eastAsia="宋体" w:cs="宋体"/>
          <w:color w:val="auto"/>
          <w:sz w:val="28"/>
          <w:szCs w:val="28"/>
        </w:rPr>
        <w:t>要求进行制作，</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负责将制作完成的定作物运送并卸货至甲方指定位置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承担因此所产生的全部费用。定作物毁损灭失的风险在定作物</w:t>
      </w:r>
      <w:r>
        <w:rPr>
          <w:rFonts w:hint="eastAsia" w:ascii="宋体" w:hAnsi="宋体" w:eastAsia="宋体" w:cs="宋体"/>
          <w:color w:val="auto"/>
          <w:sz w:val="28"/>
          <w:szCs w:val="28"/>
          <w:lang w:val="en-US" w:eastAsia="zh-CN"/>
        </w:rPr>
        <w:t>制作</w:t>
      </w:r>
      <w:r>
        <w:rPr>
          <w:rFonts w:hint="eastAsia" w:ascii="宋体" w:hAnsi="宋体" w:eastAsia="宋体" w:cs="宋体"/>
          <w:color w:val="auto"/>
          <w:sz w:val="28"/>
          <w:szCs w:val="28"/>
        </w:rPr>
        <w:t>安装完毕并经甲方验收合格签字确认前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全部由乙方承担。</w:t>
      </w:r>
    </w:p>
    <w:p w14:paraId="6F611A12">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乙方应保证所有定作物画面平整，安全、可靠、美观；因定作物质量问题给甲方或第三人造成人身伤亡或财产损失的，乙方应承担全部赔偿责任。如果甲方因此被第三人主张要求赔偿的，甲方有权在赔偿后向乙方进行追偿。</w:t>
      </w:r>
    </w:p>
    <w:p w14:paraId="06B52CE0">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定作物需要安装的，</w:t>
      </w:r>
      <w:r>
        <w:rPr>
          <w:rFonts w:hint="eastAsia" w:ascii="宋体" w:hAnsi="宋体" w:eastAsia="宋体" w:cs="宋体"/>
          <w:color w:val="auto"/>
          <w:sz w:val="28"/>
          <w:szCs w:val="28"/>
        </w:rPr>
        <w:t>乙方应负责将定作物安装到位，并承担因此所产生的费用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乙方应</w:t>
      </w:r>
      <w:r>
        <w:rPr>
          <w:rFonts w:hint="eastAsia" w:ascii="宋体" w:hAnsi="宋体" w:eastAsia="宋体" w:cs="宋体"/>
          <w:color w:val="auto"/>
          <w:sz w:val="28"/>
          <w:szCs w:val="28"/>
        </w:rPr>
        <w:t>在</w:t>
      </w:r>
      <w:r>
        <w:rPr>
          <w:rFonts w:hint="eastAsia" w:ascii="宋体" w:hAnsi="宋体" w:eastAsia="宋体" w:cs="宋体"/>
          <w:color w:val="auto"/>
          <w:sz w:val="28"/>
          <w:szCs w:val="28"/>
          <w:lang w:val="en-US" w:eastAsia="zh-CN"/>
        </w:rPr>
        <w:t>安装</w:t>
      </w:r>
      <w:r>
        <w:rPr>
          <w:rFonts w:hint="eastAsia" w:ascii="宋体" w:hAnsi="宋体" w:eastAsia="宋体" w:cs="宋体"/>
          <w:color w:val="auto"/>
          <w:sz w:val="28"/>
          <w:szCs w:val="28"/>
        </w:rPr>
        <w:t>施工期间对其施工财产及人员自身安全承担全部责任，</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按照有关规定，采取严格的安全防护措施</w:t>
      </w:r>
      <w:r>
        <w:rPr>
          <w:rFonts w:hint="eastAsia" w:ascii="宋体" w:hAnsi="宋体" w:eastAsia="宋体" w:cs="宋体"/>
          <w:color w:val="auto"/>
          <w:sz w:val="28"/>
          <w:szCs w:val="28"/>
          <w:lang w:eastAsia="zh-CN"/>
        </w:rPr>
        <w:t>。</w:t>
      </w:r>
    </w:p>
    <w:p w14:paraId="0984856B">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定作物制作、运输、装卸、安装期间发生的一切安全责任全部由乙方承担，与甲方无关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因乙方原因给甲方或第三人造成人员伤亡</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和财产损失的，乙方应承担全部赔偿责任</w:t>
      </w:r>
      <w:r>
        <w:rPr>
          <w:rFonts w:hint="eastAsia" w:ascii="宋体" w:hAnsi="宋体" w:eastAsia="宋体" w:cs="宋体"/>
          <w:color w:val="auto"/>
          <w:sz w:val="28"/>
          <w:szCs w:val="28"/>
          <w:lang w:eastAsia="zh-CN"/>
        </w:rPr>
        <w:t>。</w:t>
      </w:r>
    </w:p>
    <w:p w14:paraId="6B5D189E">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9、甲方向乙方所提供的资料以及乙方为履行本合同向甲方提供的设计样稿的所有权均属于甲方，</w:t>
      </w:r>
      <w:r>
        <w:rPr>
          <w:rFonts w:hint="eastAsia" w:ascii="宋体" w:hAnsi="宋体" w:eastAsia="宋体" w:cs="宋体"/>
          <w:color w:val="auto"/>
          <w:sz w:val="28"/>
          <w:szCs w:val="28"/>
        </w:rPr>
        <w:t>乙方应对</w:t>
      </w:r>
      <w:r>
        <w:rPr>
          <w:rFonts w:hint="eastAsia" w:ascii="宋体" w:hAnsi="宋体" w:eastAsia="宋体" w:cs="宋体"/>
          <w:color w:val="auto"/>
          <w:sz w:val="28"/>
          <w:szCs w:val="28"/>
          <w:lang w:val="en-US" w:eastAsia="zh-CN"/>
        </w:rPr>
        <w:t>属于甲方的</w:t>
      </w:r>
      <w:r>
        <w:rPr>
          <w:rFonts w:hint="eastAsia" w:ascii="宋体" w:hAnsi="宋体" w:eastAsia="宋体" w:cs="宋体"/>
          <w:color w:val="auto"/>
          <w:sz w:val="28"/>
          <w:szCs w:val="28"/>
        </w:rPr>
        <w:t>资料进行保密，未经甲方书面同意不得以任何方式留存、转让、复制、传播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或向第三方披露，并应于交付定作物之同时向甲方返还</w:t>
      </w:r>
      <w:r>
        <w:rPr>
          <w:rFonts w:hint="eastAsia" w:ascii="宋体" w:hAnsi="宋体" w:eastAsia="宋体" w:cs="宋体"/>
          <w:color w:val="auto"/>
          <w:sz w:val="28"/>
          <w:szCs w:val="28"/>
          <w:lang w:eastAsia="zh-CN"/>
        </w:rPr>
        <w:t>；甲方提供的资料为电子件的，乙方应于定作物</w:t>
      </w:r>
      <w:r>
        <w:rPr>
          <w:rFonts w:hint="eastAsia" w:ascii="宋体" w:hAnsi="宋体" w:eastAsia="宋体" w:cs="宋体"/>
          <w:color w:val="auto"/>
          <w:sz w:val="28"/>
          <w:szCs w:val="28"/>
          <w:lang w:val="en-US" w:eastAsia="zh-CN"/>
        </w:rPr>
        <w:t>交付</w:t>
      </w:r>
      <w:r>
        <w:rPr>
          <w:rFonts w:hint="eastAsia" w:ascii="宋体" w:hAnsi="宋体" w:eastAsia="宋体" w:cs="宋体"/>
          <w:color w:val="auto"/>
          <w:sz w:val="28"/>
          <w:szCs w:val="28"/>
          <w:lang w:eastAsia="zh-CN"/>
        </w:rPr>
        <w:t>当日删除全部电子件</w:t>
      </w:r>
      <w:r>
        <w:rPr>
          <w:rFonts w:hint="eastAsia" w:ascii="宋体" w:hAnsi="宋体" w:eastAsia="宋体" w:cs="宋体"/>
          <w:color w:val="auto"/>
          <w:sz w:val="28"/>
          <w:szCs w:val="28"/>
        </w:rPr>
        <w:t>。本合同项下乙方按照甲方要求制作的产品知识产权均归甲方所有</w:t>
      </w:r>
      <w:r>
        <w:rPr>
          <w:rFonts w:hint="eastAsia" w:ascii="宋体" w:hAnsi="宋体" w:eastAsia="宋体" w:cs="宋体"/>
          <w:color w:val="auto"/>
          <w:sz w:val="28"/>
          <w:szCs w:val="28"/>
          <w:lang w:eastAsia="zh-CN"/>
        </w:rPr>
        <w:t>。</w:t>
      </w:r>
    </w:p>
    <w:p w14:paraId="6DA7FA69">
      <w:pPr>
        <w:keepNext w:val="0"/>
        <w:keepLines w:val="0"/>
        <w:pageBreakBefore w:val="0"/>
        <w:widowControl w:val="0"/>
        <w:kinsoku/>
        <w:wordWrap/>
        <w:overflowPunct/>
        <w:topLinePunct w:val="0"/>
        <w:bidi w:val="0"/>
        <w:adjustRightInd/>
        <w:snapToGrid/>
        <w:spacing w:after="0" w:line="54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、乙方应按甲方要求的时间完成定作物的制作和安装工作，如遇不可抗力因素</w:t>
      </w:r>
      <w:r>
        <w:rPr>
          <w:rFonts w:hint="eastAsia" w:ascii="宋体" w:hAnsi="宋体" w:eastAsia="宋体" w:cs="宋体"/>
          <w:color w:val="auto"/>
          <w:sz w:val="28"/>
          <w:szCs w:val="28"/>
          <w:lang w:val="en-US" w:eastAsia="zh-CN"/>
        </w:rPr>
        <w:t>导致无法按期交付</w:t>
      </w:r>
      <w:r>
        <w:rPr>
          <w:rFonts w:hint="eastAsia" w:ascii="宋体" w:hAnsi="宋体" w:eastAsia="宋体" w:cs="宋体"/>
          <w:color w:val="auto"/>
          <w:sz w:val="28"/>
          <w:szCs w:val="28"/>
        </w:rPr>
        <w:t>，乙方应自不可抗力发生之日起</w:t>
      </w:r>
      <w:r>
        <w:rPr>
          <w:rFonts w:hint="eastAsia" w:ascii="宋体" w:hAnsi="宋体" w:eastAsia="宋体" w:cs="宋体"/>
          <w:color w:val="auto"/>
          <w:sz w:val="28"/>
          <w:szCs w:val="28"/>
          <w:u w:val="none"/>
        </w:rPr>
        <w:t>3</w:t>
      </w:r>
      <w:r>
        <w:rPr>
          <w:rFonts w:hint="eastAsia" w:ascii="宋体" w:hAnsi="宋体" w:eastAsia="宋体" w:cs="宋体"/>
          <w:color w:val="auto"/>
          <w:sz w:val="28"/>
          <w:szCs w:val="28"/>
        </w:rPr>
        <w:t>日内向甲方提供书面证明，经甲方书面同意后</w:t>
      </w:r>
      <w:r>
        <w:rPr>
          <w:rFonts w:hint="eastAsia" w:ascii="宋体" w:hAnsi="宋体" w:eastAsia="宋体" w:cs="宋体"/>
          <w:color w:val="auto"/>
          <w:sz w:val="28"/>
          <w:szCs w:val="28"/>
          <w:lang w:val="en-US" w:eastAsia="zh-CN"/>
        </w:rPr>
        <w:t>制作期限可</w:t>
      </w:r>
      <w:r>
        <w:rPr>
          <w:rFonts w:hint="eastAsia" w:ascii="宋体" w:hAnsi="宋体" w:eastAsia="宋体" w:cs="宋体"/>
          <w:color w:val="auto"/>
          <w:sz w:val="28"/>
          <w:szCs w:val="28"/>
        </w:rPr>
        <w:t>顺延。</w:t>
      </w:r>
    </w:p>
    <w:p w14:paraId="73A6DD20">
      <w:pPr>
        <w:pStyle w:val="2"/>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11、乙方应确保其为甲方提供的设计样稿及原材料不存在侵犯第三人合法权益（含知识产权等）的情形，否则乙方应负责侵权事宜的处理，并赔偿因此给甲方造成的损失。</w:t>
      </w:r>
    </w:p>
    <w:p w14:paraId="3A319954">
      <w:pPr>
        <w:pStyle w:val="2"/>
        <w:keepNext w:val="0"/>
        <w:keepLines w:val="0"/>
        <w:pageBreakBefore w:val="0"/>
        <w:widowControl w:val="0"/>
        <w:kinsoku/>
        <w:wordWrap/>
        <w:overflowPunct/>
        <w:topLinePunct w:val="0"/>
        <w:bidi w:val="0"/>
        <w:snapToGrid/>
        <w:spacing w:line="54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违约责任</w:t>
      </w:r>
    </w:p>
    <w:p w14:paraId="567EC02B">
      <w:pPr>
        <w:pStyle w:val="2"/>
        <w:keepNext w:val="0"/>
        <w:keepLines w:val="0"/>
        <w:pageBreakBefore w:val="0"/>
        <w:widowControl w:val="0"/>
        <w:numPr>
          <w:ilvl w:val="0"/>
          <w:numId w:val="4"/>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乙方除自然力、政府</w:t>
      </w:r>
      <w:r>
        <w:rPr>
          <w:rFonts w:hint="eastAsia" w:ascii="宋体" w:hAnsi="宋体" w:eastAsia="宋体" w:cs="宋体"/>
          <w:color w:val="auto"/>
          <w:sz w:val="28"/>
          <w:szCs w:val="28"/>
          <w:lang w:val="en-US" w:eastAsia="zh-CN"/>
        </w:rPr>
        <w:t>行为</w:t>
      </w:r>
      <w:r>
        <w:rPr>
          <w:rFonts w:hint="eastAsia" w:ascii="宋体" w:hAnsi="宋体" w:eastAsia="宋体" w:cs="宋体"/>
          <w:color w:val="auto"/>
          <w:sz w:val="28"/>
          <w:szCs w:val="28"/>
        </w:rPr>
        <w:t>等不可抗力之因素外，应</w:t>
      </w:r>
      <w:r>
        <w:rPr>
          <w:rFonts w:hint="eastAsia" w:ascii="宋体" w:hAnsi="宋体" w:eastAsia="宋体" w:cs="宋体"/>
          <w:color w:val="auto"/>
          <w:sz w:val="28"/>
          <w:szCs w:val="28"/>
          <w:lang w:val="en-US" w:eastAsia="zh-CN"/>
        </w:rPr>
        <w:t>按时</w:t>
      </w:r>
      <w:r>
        <w:rPr>
          <w:rFonts w:hint="eastAsia" w:ascii="宋体" w:hAnsi="宋体" w:eastAsia="宋体" w:cs="宋体"/>
          <w:color w:val="auto"/>
          <w:sz w:val="28"/>
          <w:szCs w:val="28"/>
        </w:rPr>
        <w:t>完成各项工作，否则视为乙方违约，每延迟一日，应按</w:t>
      </w:r>
      <w:r>
        <w:rPr>
          <w:rFonts w:hint="eastAsia" w:ascii="宋体" w:hAnsi="宋体" w:eastAsia="宋体" w:cs="宋体"/>
          <w:color w:val="auto"/>
          <w:sz w:val="28"/>
          <w:szCs w:val="28"/>
          <w:lang w:val="en-US" w:eastAsia="zh-CN"/>
        </w:rPr>
        <w:t>当期订单</w:t>
      </w:r>
      <w:r>
        <w:rPr>
          <w:rFonts w:hint="eastAsia" w:ascii="宋体" w:hAnsi="宋体" w:eastAsia="宋体" w:cs="宋体"/>
          <w:color w:val="auto"/>
          <w:sz w:val="28"/>
          <w:szCs w:val="28"/>
        </w:rPr>
        <w:t>总金额的1%向甲方支付违约金，逾期超过30日，甲方有权解除本</w:t>
      </w:r>
      <w:r>
        <w:rPr>
          <w:rFonts w:hint="eastAsia" w:ascii="宋体" w:hAnsi="宋体" w:eastAsia="宋体" w:cs="宋体"/>
          <w:color w:val="auto"/>
          <w:sz w:val="28"/>
          <w:szCs w:val="28"/>
          <w:lang w:val="en-US" w:eastAsia="zh-CN"/>
        </w:rPr>
        <w:t>次订单</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要求乙方按照</w:t>
      </w:r>
      <w:r>
        <w:rPr>
          <w:rFonts w:hint="eastAsia" w:ascii="宋体" w:hAnsi="宋体" w:eastAsia="宋体" w:cs="宋体"/>
          <w:color w:val="auto"/>
          <w:sz w:val="28"/>
          <w:szCs w:val="28"/>
          <w:lang w:val="en-US" w:eastAsia="zh-CN"/>
        </w:rPr>
        <w:t>当期订单</w:t>
      </w:r>
      <w:r>
        <w:rPr>
          <w:rFonts w:hint="eastAsia" w:ascii="宋体" w:hAnsi="宋体" w:eastAsia="宋体" w:cs="宋体"/>
          <w:color w:val="auto"/>
          <w:sz w:val="28"/>
          <w:szCs w:val="28"/>
        </w:rPr>
        <w:t>总金额的20%向甲方支付违约金</w:t>
      </w:r>
      <w:r>
        <w:rPr>
          <w:rFonts w:hint="eastAsia" w:ascii="宋体" w:hAnsi="宋体" w:eastAsia="宋体" w:cs="宋体"/>
          <w:color w:val="auto"/>
          <w:sz w:val="28"/>
          <w:szCs w:val="28"/>
          <w:lang w:val="en-US" w:eastAsia="zh-CN"/>
        </w:rPr>
        <w:t>。</w:t>
      </w:r>
    </w:p>
    <w:p w14:paraId="6A4DBBA3">
      <w:pPr>
        <w:pStyle w:val="2"/>
        <w:keepNext w:val="0"/>
        <w:keepLines w:val="0"/>
        <w:pageBreakBefore w:val="0"/>
        <w:widowControl w:val="0"/>
        <w:numPr>
          <w:ilvl w:val="0"/>
          <w:numId w:val="4"/>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甲方保证广告内容的合法性，若因甲方广告内容侵犯相关规定，甲方承担相应责任。</w:t>
      </w:r>
    </w:p>
    <w:p w14:paraId="2CFC6942">
      <w:pPr>
        <w:pStyle w:val="2"/>
        <w:keepNext w:val="0"/>
        <w:keepLines w:val="0"/>
        <w:pageBreakBefore w:val="0"/>
        <w:widowControl w:val="0"/>
        <w:numPr>
          <w:ilvl w:val="0"/>
          <w:numId w:val="4"/>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乙方须保证广告发布的连续性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中断时间达到</w:t>
      </w:r>
      <w:r>
        <w:rPr>
          <w:rFonts w:hint="eastAsia" w:ascii="宋体" w:hAnsi="宋体" w:eastAsia="宋体" w:cs="宋体"/>
          <w:color w:val="auto"/>
          <w:sz w:val="28"/>
          <w:szCs w:val="28"/>
          <w:u w:val="single"/>
        </w:rPr>
        <w:t>30</w:t>
      </w:r>
      <w:r>
        <w:rPr>
          <w:rFonts w:hint="eastAsia" w:ascii="宋体" w:hAnsi="宋体" w:eastAsia="宋体" w:cs="宋体"/>
          <w:color w:val="auto"/>
          <w:sz w:val="28"/>
          <w:szCs w:val="28"/>
        </w:rPr>
        <w:t>日的，甲方有权解除本合同，要求乙方按照合同总价的</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%向甲方支付违约金，并赔偿因此给甲方造成的损失。</w:t>
      </w:r>
    </w:p>
    <w:p w14:paraId="16C91F3A">
      <w:pPr>
        <w:pStyle w:val="2"/>
        <w:keepNext w:val="0"/>
        <w:keepLines w:val="0"/>
        <w:pageBreakBefore w:val="0"/>
        <w:widowControl w:val="0"/>
        <w:numPr>
          <w:ilvl w:val="0"/>
          <w:numId w:val="4"/>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由于市政建设等政府行为，致使</w:t>
      </w:r>
      <w:r>
        <w:rPr>
          <w:rFonts w:hint="eastAsia" w:ascii="宋体" w:hAnsi="宋体" w:eastAsia="宋体" w:cs="宋体"/>
          <w:color w:val="auto"/>
          <w:sz w:val="28"/>
          <w:szCs w:val="28"/>
          <w:lang w:eastAsia="zh-CN"/>
        </w:rPr>
        <w:t>广告发布</w:t>
      </w:r>
      <w:r>
        <w:rPr>
          <w:rFonts w:hint="eastAsia" w:ascii="宋体" w:hAnsi="宋体" w:eastAsia="宋体" w:cs="宋体"/>
          <w:color w:val="auto"/>
          <w:sz w:val="28"/>
          <w:szCs w:val="28"/>
        </w:rPr>
        <w:t>未履行或无法继续履行的，由乙方承担违约责任，即向甲</w:t>
      </w:r>
      <w:r>
        <w:rPr>
          <w:rFonts w:hint="eastAsia" w:ascii="宋体" w:hAnsi="宋体" w:eastAsia="宋体" w:cs="宋体"/>
          <w:color w:val="auto"/>
          <w:sz w:val="28"/>
          <w:szCs w:val="28"/>
          <w:lang w:eastAsia="zh-CN"/>
        </w:rPr>
        <w:t>方</w:t>
      </w:r>
      <w:r>
        <w:rPr>
          <w:rFonts w:hint="eastAsia" w:ascii="宋体" w:hAnsi="宋体" w:eastAsia="宋体" w:cs="宋体"/>
          <w:color w:val="auto"/>
          <w:sz w:val="28"/>
          <w:szCs w:val="28"/>
        </w:rPr>
        <w:t>退还未发布天数的相应款项。</w:t>
      </w:r>
    </w:p>
    <w:p w14:paraId="0078658D">
      <w:pPr>
        <w:pStyle w:val="2"/>
        <w:keepNext w:val="0"/>
        <w:keepLines w:val="0"/>
        <w:pageBreakBefore w:val="0"/>
        <w:widowControl w:val="0"/>
        <w:numPr>
          <w:ilvl w:val="0"/>
          <w:numId w:val="4"/>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乙方未经甲方书面同意，将甲方提供的资料信息予以留存、转让、复制、传播或向第三方披露的，应向甲方支付违约金</w:t>
      </w:r>
      <w:r>
        <w:rPr>
          <w:rFonts w:hint="eastAsia" w:ascii="宋体" w:hAnsi="宋体" w:eastAsia="宋体" w:cs="宋体"/>
          <w:color w:val="auto"/>
          <w:sz w:val="28"/>
          <w:szCs w:val="28"/>
          <w:lang w:val="en-US" w:eastAsia="zh-CN"/>
        </w:rPr>
        <w:t>人民币￥</w:t>
      </w:r>
      <w:r>
        <w:rPr>
          <w:rFonts w:hint="eastAsia" w:ascii="宋体" w:hAnsi="宋体" w:eastAsia="宋体" w:cs="宋体"/>
          <w:color w:val="auto"/>
          <w:sz w:val="28"/>
          <w:szCs w:val="28"/>
          <w:u w:val="single"/>
          <w:lang w:val="en-US" w:eastAsia="zh-CN"/>
        </w:rPr>
        <w:t>1000</w:t>
      </w:r>
      <w:r>
        <w:rPr>
          <w:rFonts w:hint="eastAsia" w:ascii="宋体" w:hAnsi="宋体" w:eastAsia="宋体" w:cs="宋体"/>
          <w:color w:val="auto"/>
          <w:sz w:val="28"/>
          <w:szCs w:val="28"/>
          <w:u w:val="none"/>
          <w:lang w:val="en-US" w:eastAsia="zh-CN"/>
        </w:rPr>
        <w:t>元整</w:t>
      </w:r>
      <w:r>
        <w:rPr>
          <w:rFonts w:hint="eastAsia" w:ascii="宋体" w:hAnsi="宋体" w:eastAsia="宋体" w:cs="宋体"/>
          <w:color w:val="auto"/>
          <w:sz w:val="28"/>
          <w:szCs w:val="28"/>
        </w:rPr>
        <w:t>。</w:t>
      </w:r>
    </w:p>
    <w:p w14:paraId="51B2EF55">
      <w:pPr>
        <w:pStyle w:val="2"/>
        <w:keepNext w:val="0"/>
        <w:keepLines w:val="0"/>
        <w:pageBreakBefore w:val="0"/>
        <w:widowControl w:val="0"/>
        <w:numPr>
          <w:ilvl w:val="0"/>
          <w:numId w:val="4"/>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合同约定的违约金不足以弥补甲方的实际损失的，以实际损失为准进行赔偿。实际损失的赔偿范围包括但不限于甲方的所有直接损失和为减少损失及解决纠纷而支出的诉讼费、仲裁费、保全费、律师费、公证费、评估费、鉴定费、交通费、咨询费、文件制作费、差旅费等。</w:t>
      </w:r>
    </w:p>
    <w:p w14:paraId="7B6F522B">
      <w:pPr>
        <w:keepNext w:val="0"/>
        <w:keepLines w:val="0"/>
        <w:pageBreakBefore w:val="0"/>
        <w:widowControl w:val="0"/>
        <w:kinsoku/>
        <w:wordWrap/>
        <w:overflowPunct/>
        <w:topLinePunct w:val="0"/>
        <w:bidi w:val="0"/>
        <w:snapToGrid/>
        <w:spacing w:line="54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中止合作的条件</w:t>
      </w:r>
    </w:p>
    <w:p w14:paraId="3D7200BB">
      <w:pPr>
        <w:pStyle w:val="2"/>
        <w:keepNext w:val="0"/>
        <w:keepLines w:val="0"/>
        <w:pageBreakBefore w:val="0"/>
        <w:widowControl w:val="0"/>
        <w:numPr>
          <w:ilvl w:val="0"/>
          <w:numId w:val="0"/>
        </w:numPr>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任何一方违反本</w:t>
      </w:r>
      <w:r>
        <w:rPr>
          <w:rFonts w:hint="eastAsia" w:ascii="宋体" w:hAnsi="宋体" w:eastAsia="宋体" w:cs="宋体"/>
          <w:color w:val="auto"/>
          <w:sz w:val="28"/>
          <w:szCs w:val="28"/>
          <w:lang w:val="en-US" w:eastAsia="zh-CN"/>
        </w:rPr>
        <w:t>合同</w:t>
      </w:r>
      <w:r>
        <w:rPr>
          <w:rFonts w:hint="eastAsia" w:ascii="宋体" w:hAnsi="宋体" w:eastAsia="宋体" w:cs="宋体"/>
          <w:color w:val="auto"/>
          <w:sz w:val="28"/>
          <w:szCs w:val="28"/>
        </w:rPr>
        <w:t>各项规定的，对方有权书面通知对方予以及时纠正；如一方不能</w:t>
      </w:r>
      <w:r>
        <w:rPr>
          <w:rFonts w:hint="eastAsia" w:ascii="宋体" w:hAnsi="宋体" w:eastAsia="宋体" w:cs="宋体"/>
          <w:color w:val="auto"/>
          <w:sz w:val="28"/>
          <w:szCs w:val="28"/>
          <w:lang w:val="en-US" w:eastAsia="zh-CN"/>
        </w:rPr>
        <w:t>在对方规定的期限内</w:t>
      </w:r>
      <w:r>
        <w:rPr>
          <w:rFonts w:hint="eastAsia" w:ascii="宋体" w:hAnsi="宋体" w:eastAsia="宋体" w:cs="宋体"/>
          <w:color w:val="auto"/>
          <w:sz w:val="28"/>
          <w:szCs w:val="28"/>
        </w:rPr>
        <w:t>及时纠正，则另一方有权中止本</w:t>
      </w:r>
      <w:r>
        <w:rPr>
          <w:rFonts w:hint="eastAsia" w:ascii="宋体" w:hAnsi="宋体" w:eastAsia="宋体" w:cs="宋体"/>
          <w:color w:val="auto"/>
          <w:sz w:val="28"/>
          <w:szCs w:val="28"/>
          <w:lang w:val="en-US" w:eastAsia="zh-CN"/>
        </w:rPr>
        <w:t>合同</w:t>
      </w:r>
      <w:r>
        <w:rPr>
          <w:rFonts w:hint="eastAsia" w:ascii="宋体" w:hAnsi="宋体" w:eastAsia="宋体" w:cs="宋体"/>
          <w:color w:val="auto"/>
          <w:sz w:val="28"/>
          <w:szCs w:val="28"/>
        </w:rPr>
        <w:t>的执行。</w:t>
      </w:r>
    </w:p>
    <w:p w14:paraId="3487196A">
      <w:pPr>
        <w:keepNext w:val="0"/>
        <w:keepLines w:val="0"/>
        <w:pageBreakBefore w:val="0"/>
        <w:widowControl w:val="0"/>
        <w:kinsoku/>
        <w:wordWrap/>
        <w:overflowPunct/>
        <w:topLinePunct w:val="0"/>
        <w:bidi w:val="0"/>
        <w:snapToGrid/>
        <w:spacing w:line="54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其他约定</w:t>
      </w:r>
    </w:p>
    <w:p w14:paraId="7491D620">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w:t>
      </w:r>
      <w:r>
        <w:rPr>
          <w:rFonts w:hint="eastAsia" w:ascii="宋体" w:hAnsi="宋体" w:eastAsia="宋体" w:cs="宋体"/>
          <w:color w:val="auto"/>
          <w:sz w:val="28"/>
          <w:szCs w:val="28"/>
          <w:lang w:val="en-US" w:eastAsia="zh-CN"/>
        </w:rPr>
        <w:t>合同</w:t>
      </w:r>
      <w:r>
        <w:rPr>
          <w:rFonts w:hint="eastAsia" w:ascii="宋体" w:hAnsi="宋体" w:eastAsia="宋体" w:cs="宋体"/>
          <w:color w:val="auto"/>
          <w:sz w:val="28"/>
          <w:szCs w:val="28"/>
        </w:rPr>
        <w:t>未尽事宜，甲乙双方可在协商一致情形下，签订</w:t>
      </w:r>
      <w:r>
        <w:rPr>
          <w:rFonts w:hint="eastAsia" w:ascii="宋体" w:hAnsi="宋体" w:eastAsia="宋体" w:cs="宋体"/>
          <w:color w:val="auto"/>
          <w:sz w:val="28"/>
          <w:szCs w:val="28"/>
          <w:lang w:val="en-US" w:eastAsia="zh-CN"/>
        </w:rPr>
        <w:t>书面</w:t>
      </w:r>
      <w:r>
        <w:rPr>
          <w:rFonts w:hint="eastAsia" w:ascii="宋体" w:hAnsi="宋体" w:eastAsia="宋体" w:cs="宋体"/>
          <w:color w:val="auto"/>
          <w:sz w:val="28"/>
          <w:szCs w:val="28"/>
        </w:rPr>
        <w:t>补充协议。</w:t>
      </w:r>
    </w:p>
    <w:p w14:paraId="3BB5404E">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2、本</w:t>
      </w:r>
      <w:r>
        <w:rPr>
          <w:rFonts w:hint="eastAsia" w:ascii="宋体" w:hAnsi="宋体" w:eastAsia="宋体" w:cs="宋体"/>
          <w:color w:val="auto"/>
          <w:sz w:val="28"/>
          <w:szCs w:val="28"/>
          <w:lang w:val="en-US" w:eastAsia="zh-CN"/>
        </w:rPr>
        <w:t>合同</w:t>
      </w:r>
      <w:r>
        <w:rPr>
          <w:rFonts w:hint="eastAsia" w:ascii="宋体" w:hAnsi="宋体" w:eastAsia="宋体" w:cs="宋体"/>
          <w:color w:val="auto"/>
          <w:sz w:val="28"/>
          <w:szCs w:val="28"/>
        </w:rPr>
        <w:t>未尽事宜，双方协商解决，协商不成，任何一方可</w:t>
      </w:r>
      <w:r>
        <w:rPr>
          <w:rFonts w:hint="eastAsia" w:ascii="宋体" w:hAnsi="宋体" w:eastAsia="宋体" w:cs="宋体"/>
          <w:color w:val="auto"/>
          <w:sz w:val="28"/>
          <w:szCs w:val="28"/>
          <w:lang w:val="en-US" w:eastAsia="zh-CN"/>
        </w:rPr>
        <w:t>向甲方所在地人民法院起诉解决</w:t>
      </w:r>
      <w:r>
        <w:rPr>
          <w:rFonts w:hint="eastAsia" w:ascii="宋体" w:hAnsi="宋体" w:eastAsia="宋体" w:cs="宋体"/>
          <w:color w:val="auto"/>
          <w:sz w:val="28"/>
          <w:szCs w:val="28"/>
        </w:rPr>
        <w:t>。</w:t>
      </w:r>
    </w:p>
    <w:p w14:paraId="40380D5A">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3、本</w:t>
      </w:r>
      <w:r>
        <w:rPr>
          <w:rFonts w:hint="eastAsia" w:ascii="宋体" w:hAnsi="宋体" w:eastAsia="宋体" w:cs="宋体"/>
          <w:color w:val="auto"/>
          <w:sz w:val="28"/>
          <w:szCs w:val="28"/>
          <w:lang w:val="en-US" w:eastAsia="zh-CN"/>
        </w:rPr>
        <w:t>合同</w:t>
      </w:r>
      <w:r>
        <w:rPr>
          <w:rFonts w:hint="eastAsia" w:ascii="宋体" w:hAnsi="宋体" w:eastAsia="宋体" w:cs="宋体"/>
          <w:color w:val="auto"/>
          <w:sz w:val="28"/>
          <w:szCs w:val="28"/>
        </w:rPr>
        <w:t>一式</w:t>
      </w:r>
      <w:r>
        <w:rPr>
          <w:rFonts w:hint="eastAsia" w:ascii="宋体" w:hAnsi="宋体" w:eastAsia="宋体" w:cs="宋体"/>
          <w:color w:val="auto"/>
          <w:sz w:val="28"/>
          <w:szCs w:val="28"/>
          <w:lang w:eastAsia="zh-CN"/>
        </w:rPr>
        <w:t>陆</w:t>
      </w:r>
      <w:r>
        <w:rPr>
          <w:rFonts w:hint="eastAsia" w:ascii="宋体" w:hAnsi="宋体" w:eastAsia="宋体" w:cs="宋体"/>
          <w:color w:val="auto"/>
          <w:sz w:val="28"/>
          <w:szCs w:val="28"/>
        </w:rPr>
        <w:t>份，双方各执</w:t>
      </w:r>
      <w:r>
        <w:rPr>
          <w:rFonts w:hint="eastAsia" w:ascii="宋体" w:hAnsi="宋体" w:eastAsia="宋体" w:cs="宋体"/>
          <w:color w:val="auto"/>
          <w:sz w:val="28"/>
          <w:szCs w:val="28"/>
          <w:lang w:eastAsia="zh-CN"/>
        </w:rPr>
        <w:t>叁</w:t>
      </w:r>
      <w:r>
        <w:rPr>
          <w:rFonts w:hint="eastAsia" w:ascii="宋体" w:hAnsi="宋体" w:eastAsia="宋体" w:cs="宋体"/>
          <w:color w:val="auto"/>
          <w:sz w:val="28"/>
          <w:szCs w:val="28"/>
        </w:rPr>
        <w:t>份，具有同等法律效力。</w:t>
      </w:r>
    </w:p>
    <w:p w14:paraId="27857DCF">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4、本合同自双方法定代表人或授权代表签字并盖章后生效。</w:t>
      </w:r>
    </w:p>
    <w:p w14:paraId="650E8ECD">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、甲乙双方的联系方式</w:t>
      </w:r>
      <w:r>
        <w:rPr>
          <w:rFonts w:hint="eastAsia" w:ascii="宋体" w:hAnsi="宋体" w:eastAsia="宋体" w:cs="宋体"/>
          <w:color w:val="auto"/>
          <w:sz w:val="28"/>
          <w:szCs w:val="28"/>
          <w:lang w:val="en-US" w:eastAsia="zh-CN"/>
        </w:rPr>
        <w:t>及文件送达地址</w:t>
      </w:r>
      <w:r>
        <w:rPr>
          <w:rFonts w:hint="eastAsia" w:ascii="宋体" w:hAnsi="宋体" w:eastAsia="宋体" w:cs="宋体"/>
          <w:color w:val="auto"/>
          <w:sz w:val="28"/>
          <w:szCs w:val="28"/>
        </w:rPr>
        <w:t>以本合同签章处注明的</w:t>
      </w:r>
      <w:r>
        <w:rPr>
          <w:rFonts w:hint="eastAsia" w:ascii="宋体" w:hAnsi="宋体" w:eastAsia="宋体" w:cs="宋体"/>
          <w:color w:val="auto"/>
          <w:sz w:val="28"/>
          <w:szCs w:val="28"/>
          <w:lang w:val="en-US" w:eastAsia="zh-CN"/>
        </w:rPr>
        <w:t>信息</w:t>
      </w:r>
      <w:r>
        <w:rPr>
          <w:rFonts w:hint="eastAsia" w:ascii="宋体" w:hAnsi="宋体" w:eastAsia="宋体" w:cs="宋体"/>
          <w:color w:val="auto"/>
          <w:sz w:val="28"/>
          <w:szCs w:val="28"/>
        </w:rPr>
        <w:t>为准，任何一方变更联系方式</w:t>
      </w:r>
      <w:r>
        <w:rPr>
          <w:rFonts w:hint="eastAsia" w:ascii="宋体" w:hAnsi="宋体" w:eastAsia="宋体" w:cs="宋体"/>
          <w:color w:val="auto"/>
          <w:sz w:val="28"/>
          <w:szCs w:val="28"/>
          <w:lang w:val="en-US" w:eastAsia="zh-CN"/>
        </w:rPr>
        <w:t>或送达地址</w:t>
      </w:r>
      <w:r>
        <w:rPr>
          <w:rFonts w:hint="eastAsia" w:ascii="宋体" w:hAnsi="宋体" w:eastAsia="宋体" w:cs="宋体"/>
          <w:color w:val="auto"/>
          <w:sz w:val="28"/>
          <w:szCs w:val="28"/>
        </w:rPr>
        <w:t>时，应</w:t>
      </w:r>
      <w:r>
        <w:rPr>
          <w:rFonts w:hint="eastAsia" w:ascii="宋体" w:hAnsi="宋体" w:eastAsia="宋体" w:cs="宋体"/>
          <w:color w:val="auto"/>
          <w:sz w:val="28"/>
          <w:szCs w:val="28"/>
          <w:lang w:val="en-US" w:eastAsia="zh-CN"/>
        </w:rPr>
        <w:t>提前</w:t>
      </w:r>
      <w:r>
        <w:rPr>
          <w:rFonts w:hint="eastAsia" w:ascii="宋体" w:hAnsi="宋体" w:eastAsia="宋体" w:cs="宋体"/>
          <w:color w:val="auto"/>
          <w:sz w:val="28"/>
          <w:szCs w:val="28"/>
        </w:rPr>
        <w:t>3日以书面形式通知对方，</w:t>
      </w:r>
      <w:r>
        <w:rPr>
          <w:rFonts w:hint="eastAsia" w:ascii="宋体" w:hAnsi="宋体" w:eastAsia="宋体" w:cs="宋体"/>
          <w:color w:val="auto"/>
          <w:sz w:val="28"/>
          <w:szCs w:val="28"/>
          <w:lang w:val="en-US" w:eastAsia="zh-CN"/>
        </w:rPr>
        <w:t>否则视为未变更，因此</w:t>
      </w:r>
      <w:r>
        <w:rPr>
          <w:rFonts w:hint="eastAsia" w:ascii="宋体" w:hAnsi="宋体" w:eastAsia="宋体" w:cs="宋体"/>
          <w:color w:val="auto"/>
          <w:sz w:val="28"/>
          <w:szCs w:val="28"/>
        </w:rPr>
        <w:t>导致通知</w:t>
      </w:r>
      <w:r>
        <w:rPr>
          <w:rFonts w:hint="eastAsia" w:ascii="宋体" w:hAnsi="宋体" w:eastAsia="宋体" w:cs="宋体"/>
          <w:color w:val="auto"/>
          <w:sz w:val="28"/>
          <w:szCs w:val="28"/>
          <w:lang w:val="en-US" w:eastAsia="zh-CN"/>
        </w:rPr>
        <w:t>或文件</w:t>
      </w:r>
      <w:r>
        <w:rPr>
          <w:rFonts w:hint="eastAsia" w:ascii="宋体" w:hAnsi="宋体" w:eastAsia="宋体" w:cs="宋体"/>
          <w:color w:val="auto"/>
          <w:sz w:val="28"/>
          <w:szCs w:val="28"/>
        </w:rPr>
        <w:t>无法按时送达的，</w:t>
      </w:r>
      <w:r>
        <w:rPr>
          <w:rFonts w:hint="eastAsia" w:ascii="宋体" w:hAnsi="宋体" w:eastAsia="宋体" w:cs="宋体"/>
          <w:color w:val="auto"/>
          <w:sz w:val="28"/>
          <w:szCs w:val="28"/>
          <w:lang w:val="en-US" w:eastAsia="zh-CN"/>
        </w:rPr>
        <w:t>自通知或文件发出之日起即</w:t>
      </w:r>
      <w:r>
        <w:rPr>
          <w:rFonts w:hint="eastAsia" w:ascii="宋体" w:hAnsi="宋体" w:eastAsia="宋体" w:cs="宋体"/>
          <w:color w:val="auto"/>
          <w:sz w:val="28"/>
          <w:szCs w:val="28"/>
        </w:rPr>
        <w:t>视为已送达，由变更方自行承担相应的法律责任。</w:t>
      </w:r>
    </w:p>
    <w:p w14:paraId="16291267">
      <w:pPr>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6、本合同文本中的“日”、“天”，除特别指出为工作日的，一律按日历天解释。</w:t>
      </w:r>
    </w:p>
    <w:p w14:paraId="4F5CC80C">
      <w:pPr>
        <w:keepNext w:val="0"/>
        <w:keepLines w:val="0"/>
        <w:pageBreakBefore w:val="0"/>
        <w:widowControl w:val="0"/>
        <w:kinsoku/>
        <w:wordWrap/>
        <w:overflowPunct/>
        <w:topLinePunct w:val="0"/>
        <w:bidi w:val="0"/>
        <w:snapToGrid/>
        <w:spacing w:line="540" w:lineRule="exact"/>
        <w:textAlignment w:val="auto"/>
        <w:rPr>
          <w:rFonts w:hint="default" w:ascii="宋体" w:hAnsi="宋体" w:eastAsia="宋体" w:cs="宋体"/>
          <w:color w:val="auto"/>
          <w:sz w:val="24"/>
        </w:rPr>
      </w:pPr>
      <w:r>
        <w:rPr>
          <w:rFonts w:hint="eastAsia" w:ascii="宋体" w:hAnsi="宋体" w:eastAsia="宋体" w:cs="宋体"/>
          <w:color w:val="auto"/>
          <w:sz w:val="28"/>
          <w:szCs w:val="28"/>
        </w:rPr>
        <w:t>-------------------------</w:t>
      </w:r>
      <w:r>
        <w:rPr>
          <w:rFonts w:hint="eastAsia" w:ascii="宋体" w:hAnsi="宋体" w:eastAsia="宋体" w:cs="宋体"/>
          <w:color w:val="auto"/>
          <w:sz w:val="24"/>
        </w:rPr>
        <w:t>以下无正文---------------------------</w:t>
      </w:r>
      <w:r>
        <w:rPr>
          <w:rFonts w:hint="eastAsia" w:ascii="宋体" w:hAnsi="宋体" w:eastAsia="宋体" w:cs="宋体"/>
          <w:color w:val="auto"/>
          <w:sz w:val="24"/>
          <w:lang w:val="en-US" w:eastAsia="zh-CN"/>
        </w:rPr>
        <w:t>--</w:t>
      </w:r>
    </w:p>
    <w:p w14:paraId="5276A6A9">
      <w:pPr>
        <w:keepNext w:val="0"/>
        <w:keepLines w:val="0"/>
        <w:pageBreakBefore w:val="0"/>
        <w:widowControl w:val="0"/>
        <w:tabs>
          <w:tab w:val="left" w:pos="3780"/>
        </w:tabs>
        <w:kinsoku/>
        <w:wordWrap/>
        <w:overflowPunct/>
        <w:topLinePunct w:val="0"/>
        <w:bidi w:val="0"/>
        <w:snapToGrid/>
        <w:spacing w:line="54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咸阳高新技术产业开发区</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乙方：</w:t>
      </w:r>
    </w:p>
    <w:p w14:paraId="3A6CBF5A">
      <w:pPr>
        <w:keepNext w:val="0"/>
        <w:keepLines w:val="0"/>
        <w:pageBreakBefore w:val="0"/>
        <w:widowControl w:val="0"/>
        <w:tabs>
          <w:tab w:val="left" w:pos="3780"/>
        </w:tabs>
        <w:kinsoku/>
        <w:wordWrap/>
        <w:overflowPunct/>
        <w:topLinePunct w:val="0"/>
        <w:bidi w:val="0"/>
        <w:snapToGrid/>
        <w:spacing w:line="54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管理委员会</w:t>
      </w:r>
    </w:p>
    <w:p w14:paraId="122DCF7E">
      <w:pPr>
        <w:keepNext w:val="0"/>
        <w:keepLines w:val="0"/>
        <w:pageBreakBefore w:val="0"/>
        <w:widowControl w:val="0"/>
        <w:kinsoku/>
        <w:wordWrap/>
        <w:overflowPunct/>
        <w:topLinePunct w:val="0"/>
        <w:bidi w:val="0"/>
        <w:snapToGrid/>
        <w:spacing w:line="5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法定代表人（委托人）：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法定代表人（委托人）：</w:t>
      </w:r>
    </w:p>
    <w:p w14:paraId="3D4D843E">
      <w:pPr>
        <w:keepNext w:val="0"/>
        <w:keepLines w:val="0"/>
        <w:pageBreakBefore w:val="0"/>
        <w:widowControl w:val="0"/>
        <w:kinsoku/>
        <w:wordWrap/>
        <w:overflowPunct/>
        <w:topLinePunct w:val="0"/>
        <w:bidi w:val="0"/>
        <w:snapToGrid/>
        <w:spacing w:line="54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联系地址：                       联系地址：</w:t>
      </w:r>
    </w:p>
    <w:p w14:paraId="6EB14045">
      <w:pPr>
        <w:keepNext w:val="0"/>
        <w:keepLines w:val="0"/>
        <w:pageBreakBefore w:val="0"/>
        <w:widowControl w:val="0"/>
        <w:kinsoku/>
        <w:wordWrap/>
        <w:overflowPunct/>
        <w:topLinePunct w:val="0"/>
        <w:bidi w:val="0"/>
        <w:snapToGrid/>
        <w:spacing w:line="54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联系电话：                       联系电话：</w:t>
      </w:r>
    </w:p>
    <w:p w14:paraId="3A272104">
      <w:pPr>
        <w:pStyle w:val="2"/>
        <w:keepNext w:val="0"/>
        <w:keepLines w:val="0"/>
        <w:pageBreakBefore w:val="0"/>
        <w:widowControl w:val="0"/>
        <w:numPr>
          <w:ilvl w:val="0"/>
          <w:numId w:val="0"/>
        </w:numPr>
        <w:kinsoku/>
        <w:wordWrap/>
        <w:overflowPunct/>
        <w:topLinePunct w:val="0"/>
        <w:bidi w:val="0"/>
        <w:snapToGrid/>
        <w:spacing w:line="540" w:lineRule="exact"/>
        <w:textAlignment w:val="auto"/>
        <w:rPr>
          <w:rFonts w:hint="eastAsia" w:ascii="宋体" w:hAnsi="宋体" w:eastAsia="宋体" w:cs="宋体"/>
          <w:color w:val="auto"/>
          <w:sz w:val="24"/>
          <w:lang w:val="en-US" w:eastAsia="zh-CN"/>
        </w:rPr>
      </w:pPr>
      <w:r>
        <w:rPr>
          <w:rFonts w:hint="eastAsia" w:ascii="宋体" w:hAnsi="宋体" w:eastAsia="宋体" w:cs="宋体"/>
          <w:color w:val="auto"/>
          <w:kern w:val="0"/>
          <w:sz w:val="28"/>
          <w:szCs w:val="28"/>
        </w:rPr>
        <w:t>签约日期</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签约地点：咸阳</w:t>
      </w:r>
      <w:r>
        <w:rPr>
          <w:rFonts w:hint="eastAsia" w:ascii="宋体" w:hAnsi="宋体" w:eastAsia="宋体" w:cs="宋体"/>
          <w:color w:val="auto"/>
          <w:kern w:val="0"/>
          <w:sz w:val="28"/>
          <w:szCs w:val="28"/>
          <w:lang w:val="en-US" w:eastAsia="zh-CN"/>
        </w:rPr>
        <w:t>高新区</w:t>
      </w:r>
    </w:p>
    <w:p w14:paraId="21CBBAC0">
      <w:pPr>
        <w:spacing w:line="360" w:lineRule="auto"/>
        <w:jc w:val="center"/>
        <w:rPr>
          <w:rFonts w:hint="eastAsia" w:ascii="宋体" w:hAnsi="宋体" w:eastAsia="宋体" w:cs="宋体"/>
          <w:b/>
          <w:bCs/>
          <w:color w:val="auto"/>
          <w:sz w:val="24"/>
          <w:szCs w:val="24"/>
          <w:highlight w:val="none"/>
          <w:lang w:val="en-US" w:eastAsia="zh-CN"/>
        </w:rPr>
      </w:pPr>
    </w:p>
    <w:p w14:paraId="39AF8D56">
      <w:pPr>
        <w:spacing w:line="360" w:lineRule="auto"/>
        <w:jc w:val="center"/>
        <w:rPr>
          <w:rFonts w:hint="eastAsia" w:ascii="宋体" w:hAnsi="宋体" w:eastAsia="宋体" w:cs="宋体"/>
          <w:b/>
          <w:bCs/>
          <w:color w:val="auto"/>
          <w:sz w:val="24"/>
          <w:szCs w:val="24"/>
          <w:highlight w:val="none"/>
          <w:lang w:val="en-US" w:eastAsia="zh-CN"/>
        </w:rPr>
      </w:pPr>
    </w:p>
    <w:p w14:paraId="7CD6B888">
      <w:pPr>
        <w:spacing w:line="360" w:lineRule="auto"/>
        <w:jc w:val="center"/>
        <w:rPr>
          <w:rFonts w:hint="eastAsia" w:ascii="宋体" w:hAnsi="宋体" w:eastAsia="宋体" w:cs="宋体"/>
          <w:b/>
          <w:bCs/>
          <w:color w:val="auto"/>
          <w:sz w:val="24"/>
          <w:szCs w:val="24"/>
          <w:highlight w:val="none"/>
          <w:lang w:val="en-US" w:eastAsia="zh-CN"/>
        </w:rPr>
      </w:pPr>
    </w:p>
    <w:p w14:paraId="4A5969AE">
      <w:pPr>
        <w:spacing w:line="360" w:lineRule="auto"/>
        <w:jc w:val="center"/>
        <w:rPr>
          <w:rFonts w:hint="eastAsia" w:ascii="宋体" w:hAnsi="宋体" w:eastAsia="宋体" w:cs="宋体"/>
          <w:b/>
          <w:bCs/>
          <w:color w:val="auto"/>
          <w:sz w:val="24"/>
          <w:szCs w:val="24"/>
          <w:highlight w:val="none"/>
          <w:lang w:val="en-US" w:eastAsia="zh-CN"/>
        </w:rPr>
      </w:pPr>
    </w:p>
    <w:p w14:paraId="20F29588">
      <w:pPr>
        <w:spacing w:line="360" w:lineRule="auto"/>
        <w:jc w:val="center"/>
        <w:rPr>
          <w:rFonts w:hint="eastAsia" w:ascii="宋体" w:hAnsi="宋体" w:eastAsia="宋体" w:cs="宋体"/>
          <w:b/>
          <w:bCs/>
          <w:color w:val="auto"/>
          <w:sz w:val="24"/>
          <w:szCs w:val="24"/>
          <w:highlight w:val="none"/>
          <w:lang w:val="en-US" w:eastAsia="zh-CN"/>
        </w:rPr>
      </w:pPr>
    </w:p>
    <w:p w14:paraId="36236A34">
      <w:pPr>
        <w:spacing w:line="360" w:lineRule="auto"/>
        <w:jc w:val="center"/>
        <w:rPr>
          <w:rFonts w:hint="eastAsia" w:ascii="宋体" w:hAnsi="宋体" w:eastAsia="宋体" w:cs="宋体"/>
          <w:b/>
          <w:bCs/>
          <w:color w:val="auto"/>
          <w:sz w:val="24"/>
          <w:szCs w:val="24"/>
          <w:highlight w:val="none"/>
          <w:lang w:val="en-US" w:eastAsia="zh-CN"/>
        </w:rPr>
      </w:pPr>
    </w:p>
    <w:p w14:paraId="62DDEDE8">
      <w:pPr>
        <w:spacing w:line="360" w:lineRule="auto"/>
        <w:jc w:val="center"/>
        <w:rPr>
          <w:rFonts w:hint="eastAsia" w:ascii="宋体" w:hAnsi="宋体" w:eastAsia="宋体" w:cs="宋体"/>
          <w:b/>
          <w:bCs/>
          <w:color w:val="auto"/>
          <w:sz w:val="24"/>
          <w:szCs w:val="24"/>
          <w:highlight w:val="none"/>
          <w:lang w:val="en-US" w:eastAsia="zh-CN"/>
        </w:rPr>
      </w:pPr>
    </w:p>
    <w:p w14:paraId="7E60D5E6">
      <w:pPr>
        <w:spacing w:line="360" w:lineRule="auto"/>
        <w:jc w:val="center"/>
        <w:rPr>
          <w:rFonts w:hint="eastAsia" w:ascii="宋体" w:hAnsi="宋体" w:eastAsia="宋体" w:cs="宋体"/>
          <w:b/>
          <w:bCs/>
          <w:color w:val="auto"/>
          <w:sz w:val="24"/>
          <w:szCs w:val="24"/>
          <w:highlight w:val="none"/>
          <w:lang w:val="en-US" w:eastAsia="zh-CN"/>
        </w:rPr>
      </w:pPr>
    </w:p>
    <w:p w14:paraId="22685A38">
      <w:pPr>
        <w:spacing w:line="360" w:lineRule="auto"/>
        <w:jc w:val="center"/>
        <w:rPr>
          <w:rFonts w:hint="eastAsia" w:ascii="宋体" w:hAnsi="宋体" w:eastAsia="宋体" w:cs="宋体"/>
          <w:b/>
          <w:bCs/>
          <w:color w:val="auto"/>
          <w:sz w:val="24"/>
          <w:szCs w:val="24"/>
          <w:highlight w:val="none"/>
          <w:lang w:val="en-US" w:eastAsia="zh-CN"/>
        </w:rPr>
      </w:pPr>
    </w:p>
    <w:p w14:paraId="009E604A">
      <w:pPr>
        <w:spacing w:line="360" w:lineRule="auto"/>
        <w:jc w:val="center"/>
        <w:rPr>
          <w:rFonts w:hint="eastAsia" w:ascii="宋体" w:hAnsi="宋体" w:eastAsia="宋体" w:cs="宋体"/>
          <w:b/>
          <w:bCs/>
          <w:color w:val="auto"/>
          <w:sz w:val="24"/>
          <w:szCs w:val="24"/>
          <w:highlight w:val="none"/>
          <w:lang w:val="en-US" w:eastAsia="zh-CN"/>
        </w:rPr>
      </w:pPr>
    </w:p>
    <w:p w14:paraId="79094707">
      <w:pPr>
        <w:spacing w:line="360" w:lineRule="auto"/>
        <w:jc w:val="center"/>
        <w:rPr>
          <w:rFonts w:hint="eastAsia" w:ascii="宋体" w:hAnsi="宋体" w:eastAsia="宋体" w:cs="宋体"/>
          <w:b/>
          <w:bCs/>
          <w:color w:val="auto"/>
          <w:sz w:val="24"/>
          <w:szCs w:val="24"/>
          <w:highlight w:val="none"/>
          <w:lang w:val="en-US" w:eastAsia="zh-CN"/>
        </w:rPr>
      </w:pPr>
    </w:p>
    <w:p w14:paraId="3745A9CC">
      <w:pPr>
        <w:spacing w:line="360" w:lineRule="auto"/>
        <w:jc w:val="center"/>
        <w:rPr>
          <w:rFonts w:hint="eastAsia" w:ascii="宋体" w:hAnsi="宋体" w:eastAsia="宋体" w:cs="宋体"/>
          <w:b/>
          <w:bCs/>
          <w:color w:val="auto"/>
          <w:sz w:val="24"/>
          <w:szCs w:val="24"/>
          <w:highlight w:val="none"/>
          <w:lang w:val="en-US" w:eastAsia="zh-CN"/>
        </w:rPr>
      </w:pPr>
    </w:p>
    <w:p w14:paraId="32B1E772">
      <w:pPr>
        <w:pStyle w:val="8"/>
        <w:ind w:left="0" w:leftChars="0" w:firstLine="0" w:firstLineChars="0"/>
        <w:rPr>
          <w:rFonts w:hint="eastAsia"/>
          <w:color w:val="auto"/>
          <w:highlight w:val="none"/>
        </w:rPr>
      </w:pPr>
    </w:p>
    <w:p w14:paraId="4204B2E9">
      <w:pPr>
        <w:bidi w:val="0"/>
        <w:jc w:val="center"/>
        <w:outlineLvl w:val="0"/>
        <w:rPr>
          <w:rFonts w:hint="eastAsia" w:ascii="宋体" w:hAnsi="宋体" w:eastAsia="宋体" w:cs="Times New Roman"/>
          <w:b/>
          <w:bCs/>
          <w:color w:val="auto"/>
          <w:kern w:val="2"/>
          <w:sz w:val="36"/>
          <w:szCs w:val="44"/>
          <w:highlight w:val="none"/>
          <w:lang w:val="en-US" w:eastAsia="zh-CN" w:bidi="ar-SA"/>
        </w:rPr>
      </w:pPr>
      <w:bookmarkStart w:id="78" w:name="_Toc22046"/>
      <w:r>
        <w:rPr>
          <w:rFonts w:hint="eastAsia" w:ascii="宋体" w:hAnsi="宋体" w:eastAsia="宋体" w:cs="Times New Roman"/>
          <w:b/>
          <w:bCs/>
          <w:color w:val="auto"/>
          <w:kern w:val="2"/>
          <w:sz w:val="36"/>
          <w:szCs w:val="44"/>
          <w:highlight w:val="none"/>
          <w:lang w:val="en-US" w:eastAsia="zh-CN" w:bidi="ar-SA"/>
        </w:rPr>
        <w:t>第五部分   投标文件格式</w:t>
      </w:r>
      <w:bookmarkEnd w:id="76"/>
      <w:bookmarkEnd w:id="77"/>
      <w:bookmarkEnd w:id="78"/>
    </w:p>
    <w:p w14:paraId="2B08CFC8">
      <w:pPr>
        <w:rPr>
          <w:rFonts w:hAnsi="宋体" w:cs="宋体"/>
          <w:b/>
          <w:color w:val="auto"/>
          <w:sz w:val="36"/>
          <w:highlight w:val="none"/>
        </w:rPr>
      </w:pPr>
      <w:r>
        <w:rPr>
          <w:rFonts w:hint="eastAsia" w:hAnsi="宋体" w:cs="宋体"/>
          <w:b/>
          <w:bCs/>
          <w:color w:val="auto"/>
          <w:sz w:val="30"/>
          <w:szCs w:val="30"/>
          <w:highlight w:val="none"/>
          <w:lang w:val="en-US" w:eastAsia="zh-CN"/>
        </w:rPr>
        <w:t>项目</w:t>
      </w:r>
      <w:r>
        <w:rPr>
          <w:rFonts w:hint="eastAsia" w:hAnsi="宋体" w:cs="宋体"/>
          <w:b/>
          <w:bCs/>
          <w:color w:val="auto"/>
          <w:sz w:val="30"/>
          <w:szCs w:val="30"/>
          <w:highlight w:val="none"/>
        </w:rPr>
        <w:t>编号:</w:t>
      </w:r>
    </w:p>
    <w:p w14:paraId="4A4A21D3">
      <w:pPr>
        <w:jc w:val="right"/>
        <w:rPr>
          <w:rFonts w:hint="default" w:hAnsi="宋体" w:eastAsia="宋体" w:cs="宋体"/>
          <w:b/>
          <w:color w:val="auto"/>
          <w:sz w:val="32"/>
          <w:szCs w:val="32"/>
          <w:highlight w:val="none"/>
          <w:lang w:val="en-US" w:eastAsia="zh-CN"/>
        </w:rPr>
      </w:pPr>
      <w:r>
        <w:rPr>
          <w:rFonts w:hint="eastAsia" w:hAnsi="宋体" w:cs="宋体"/>
          <w:b/>
          <w:color w:val="auto"/>
          <w:sz w:val="32"/>
          <w:szCs w:val="32"/>
          <w:highlight w:val="none"/>
          <w:lang w:val="en-US" w:eastAsia="zh-CN"/>
        </w:rPr>
        <w:t>正（副）本</w:t>
      </w:r>
    </w:p>
    <w:p w14:paraId="07FE9A88">
      <w:pPr>
        <w:jc w:val="right"/>
        <w:rPr>
          <w:rFonts w:hAnsi="宋体" w:cs="宋体"/>
          <w:b/>
          <w:color w:val="auto"/>
          <w:sz w:val="32"/>
          <w:szCs w:val="32"/>
          <w:highlight w:val="none"/>
        </w:rPr>
      </w:pPr>
    </w:p>
    <w:p w14:paraId="1145062A">
      <w:pPr>
        <w:jc w:val="right"/>
        <w:rPr>
          <w:rFonts w:hAnsi="宋体" w:cs="宋体"/>
          <w:b/>
          <w:color w:val="auto"/>
          <w:sz w:val="32"/>
          <w:szCs w:val="32"/>
          <w:highlight w:val="none"/>
        </w:rPr>
      </w:pPr>
    </w:p>
    <w:p w14:paraId="414929BE">
      <w:pPr>
        <w:rPr>
          <w:rFonts w:hAnsi="宋体" w:cs="宋体"/>
          <w:b/>
          <w:bCs/>
          <w:color w:val="auto"/>
          <w:sz w:val="36"/>
          <w:szCs w:val="36"/>
          <w:highlight w:val="none"/>
        </w:rPr>
      </w:pPr>
    </w:p>
    <w:p w14:paraId="2121A230">
      <w:pPr>
        <w:jc w:val="center"/>
        <w:rPr>
          <w:rFonts w:hint="default" w:ascii="Times New Roman" w:hAnsi="宋体" w:eastAsia="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项目</w:t>
      </w:r>
      <w:r>
        <w:rPr>
          <w:rFonts w:hint="eastAsia" w:ascii="Times New Roman" w:hAnsi="宋体" w:eastAsia="宋体" w:cs="宋体"/>
          <w:b/>
          <w:bCs/>
          <w:color w:val="auto"/>
          <w:sz w:val="52"/>
          <w:szCs w:val="52"/>
          <w:highlight w:val="none"/>
          <w:lang w:val="en-US" w:eastAsia="zh-CN"/>
        </w:rPr>
        <w:t>名称</w:t>
      </w:r>
    </w:p>
    <w:p w14:paraId="5547B363">
      <w:pPr>
        <w:pStyle w:val="16"/>
        <w:rPr>
          <w:rFonts w:hAnsi="宋体" w:cs="宋体"/>
          <w:b/>
          <w:color w:val="auto"/>
          <w:sz w:val="72"/>
          <w:szCs w:val="72"/>
          <w:highlight w:val="none"/>
        </w:rPr>
      </w:pPr>
    </w:p>
    <w:p w14:paraId="4389890D">
      <w:pPr>
        <w:pStyle w:val="12"/>
        <w:rPr>
          <w:color w:val="auto"/>
          <w:highlight w:val="none"/>
        </w:rPr>
      </w:pPr>
    </w:p>
    <w:p w14:paraId="4ECAA650">
      <w:pPr>
        <w:jc w:val="center"/>
        <w:rPr>
          <w:rFonts w:hAnsi="宋体" w:cs="宋体"/>
          <w:b/>
          <w:color w:val="auto"/>
          <w:sz w:val="72"/>
          <w:szCs w:val="72"/>
          <w:highlight w:val="none"/>
        </w:rPr>
      </w:pPr>
      <w:r>
        <w:rPr>
          <w:rFonts w:hint="eastAsia" w:hAnsi="宋体" w:cs="宋体"/>
          <w:b/>
          <w:color w:val="auto"/>
          <w:sz w:val="72"/>
          <w:szCs w:val="72"/>
          <w:highlight w:val="none"/>
        </w:rPr>
        <w:t>投 标 文 件</w:t>
      </w:r>
    </w:p>
    <w:p w14:paraId="16D8B787">
      <w:pPr>
        <w:jc w:val="center"/>
        <w:rPr>
          <w:rFonts w:hAnsi="宋体" w:cs="宋体"/>
          <w:b/>
          <w:color w:val="auto"/>
          <w:sz w:val="72"/>
          <w:szCs w:val="72"/>
          <w:highlight w:val="none"/>
        </w:rPr>
      </w:pPr>
    </w:p>
    <w:p w14:paraId="17A34436">
      <w:pPr>
        <w:pStyle w:val="12"/>
        <w:jc w:val="both"/>
        <w:rPr>
          <w:rFonts w:ascii="宋体" w:hAnsi="宋体" w:cs="宋体"/>
          <w:b/>
          <w:color w:val="auto"/>
          <w:sz w:val="72"/>
          <w:szCs w:val="72"/>
          <w:highlight w:val="none"/>
        </w:rPr>
      </w:pPr>
    </w:p>
    <w:p w14:paraId="35C0129A">
      <w:pPr>
        <w:pStyle w:val="19"/>
        <w:rPr>
          <w:color w:val="auto"/>
          <w:highlight w:val="none"/>
        </w:rPr>
      </w:pPr>
    </w:p>
    <w:p w14:paraId="419FD706">
      <w:pPr>
        <w:rPr>
          <w:rFonts w:hAnsi="宋体" w:cs="宋体"/>
          <w:b/>
          <w:color w:val="auto"/>
          <w:sz w:val="36"/>
          <w:szCs w:val="36"/>
          <w:highlight w:val="none"/>
        </w:rPr>
      </w:pPr>
    </w:p>
    <w:p w14:paraId="4ECA8A7D">
      <w:pPr>
        <w:tabs>
          <w:tab w:val="center" w:pos="5346"/>
        </w:tabs>
        <w:spacing w:line="720" w:lineRule="auto"/>
        <w:ind w:firstLine="643" w:firstLineChars="200"/>
        <w:rPr>
          <w:rFonts w:hAnsi="宋体" w:cs="宋体"/>
          <w:b/>
          <w:color w:val="auto"/>
          <w:sz w:val="32"/>
          <w:szCs w:val="32"/>
          <w:highlight w:val="none"/>
          <w:u w:val="single"/>
        </w:rPr>
      </w:pPr>
      <w:r>
        <w:rPr>
          <w:rFonts w:hint="eastAsia" w:hAnsi="宋体" w:cs="宋体"/>
          <w:b/>
          <w:color w:val="auto"/>
          <w:sz w:val="32"/>
          <w:szCs w:val="32"/>
          <w:highlight w:val="none"/>
        </w:rPr>
        <w:t>投标供应商名称：</w:t>
      </w:r>
      <w:r>
        <w:rPr>
          <w:rFonts w:hint="eastAsia" w:hAnsi="宋体" w:cs="宋体"/>
          <w:b/>
          <w:color w:val="auto"/>
          <w:sz w:val="32"/>
          <w:szCs w:val="32"/>
          <w:highlight w:val="none"/>
          <w:u w:val="single"/>
        </w:rPr>
        <w:t xml:space="preserve">           （公章）</w:t>
      </w:r>
    </w:p>
    <w:p w14:paraId="31949DAD">
      <w:pPr>
        <w:tabs>
          <w:tab w:val="center" w:pos="5346"/>
        </w:tabs>
        <w:spacing w:line="720" w:lineRule="auto"/>
        <w:ind w:firstLine="643" w:firstLineChars="200"/>
        <w:rPr>
          <w:rFonts w:ascii="宋体" w:hAnsi="宋体" w:cs="宋体"/>
          <w:b/>
          <w:color w:val="auto"/>
          <w:sz w:val="32"/>
          <w:szCs w:val="32"/>
          <w:highlight w:val="none"/>
          <w:u w:val="single"/>
        </w:rPr>
      </w:pPr>
      <w:r>
        <w:rPr>
          <w:rFonts w:hint="eastAsia" w:ascii="宋体" w:hAnsi="宋体" w:cs="宋体"/>
          <w:b/>
          <w:color w:val="auto"/>
          <w:sz w:val="32"/>
          <w:szCs w:val="32"/>
          <w:highlight w:val="none"/>
        </w:rPr>
        <w:t>法定代表人或其授权代理人：</w:t>
      </w:r>
      <w:r>
        <w:rPr>
          <w:rFonts w:hint="eastAsia" w:ascii="宋体" w:hAnsi="宋体" w:cs="宋体"/>
          <w:b/>
          <w:color w:val="auto"/>
          <w:sz w:val="32"/>
          <w:szCs w:val="32"/>
          <w:highlight w:val="none"/>
          <w:u w:val="thick"/>
        </w:rPr>
        <w:t xml:space="preserve">         （签字或盖章）</w:t>
      </w:r>
    </w:p>
    <w:p w14:paraId="0B4FDA53">
      <w:pPr>
        <w:pStyle w:val="16"/>
        <w:rPr>
          <w:color w:val="auto"/>
          <w:highlight w:val="none"/>
        </w:rPr>
      </w:pPr>
    </w:p>
    <w:p w14:paraId="45A010AB">
      <w:pPr>
        <w:tabs>
          <w:tab w:val="center" w:pos="5346"/>
        </w:tabs>
        <w:spacing w:line="720" w:lineRule="auto"/>
        <w:ind w:firstLine="643" w:firstLineChars="200"/>
        <w:rPr>
          <w:rFonts w:hint="eastAsia" w:hAnsi="宋体" w:cs="宋体"/>
          <w:b/>
          <w:color w:val="auto"/>
          <w:sz w:val="36"/>
          <w:szCs w:val="36"/>
          <w:highlight w:val="none"/>
        </w:rPr>
      </w:pPr>
      <w:r>
        <w:rPr>
          <w:rFonts w:hint="eastAsia" w:hAnsi="宋体" w:cs="宋体"/>
          <w:b/>
          <w:color w:val="auto"/>
          <w:sz w:val="32"/>
          <w:szCs w:val="32"/>
          <w:highlight w:val="none"/>
        </w:rPr>
        <w:t xml:space="preserve">日      期：    年  </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 xml:space="preserve"> 月     日</w:t>
      </w:r>
    </w:p>
    <w:p w14:paraId="1B8EA9E8">
      <w:pPr>
        <w:spacing w:line="720" w:lineRule="auto"/>
        <w:jc w:val="center"/>
        <w:rPr>
          <w:rFonts w:hAnsi="宋体" w:cs="宋体"/>
          <w:color w:val="auto"/>
          <w:highlight w:val="none"/>
        </w:rPr>
      </w:pPr>
      <w:r>
        <w:rPr>
          <w:rFonts w:hint="eastAsia" w:hAnsi="宋体" w:cs="宋体"/>
          <w:b/>
          <w:color w:val="auto"/>
          <w:sz w:val="36"/>
          <w:szCs w:val="36"/>
          <w:highlight w:val="none"/>
        </w:rPr>
        <w:t>目 录</w:t>
      </w:r>
    </w:p>
    <w:p w14:paraId="751B4D82">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hAnsi="宋体" w:cs="宋体"/>
          <w:color w:val="auto"/>
          <w:spacing w:val="4"/>
          <w:sz w:val="24"/>
          <w:szCs w:val="24"/>
          <w:highlight w:val="none"/>
        </w:rPr>
      </w:pPr>
      <w:r>
        <w:rPr>
          <w:rFonts w:hint="eastAsia" w:hAnsi="宋体" w:cs="宋体"/>
          <w:color w:val="auto"/>
          <w:spacing w:val="4"/>
          <w:sz w:val="24"/>
          <w:szCs w:val="24"/>
          <w:highlight w:val="none"/>
        </w:rPr>
        <w:t>一、投标函</w:t>
      </w:r>
    </w:p>
    <w:p w14:paraId="22A53B39">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ascii="宋体" w:hAnsi="宋体" w:cs="宋体"/>
          <w:color w:val="auto"/>
          <w:spacing w:val="4"/>
          <w:sz w:val="24"/>
          <w:szCs w:val="24"/>
          <w:highlight w:val="none"/>
        </w:rPr>
      </w:pPr>
      <w:r>
        <w:rPr>
          <w:rFonts w:hint="eastAsia" w:hAnsi="宋体" w:cs="宋体"/>
          <w:color w:val="auto"/>
          <w:spacing w:val="4"/>
          <w:sz w:val="24"/>
          <w:szCs w:val="24"/>
          <w:highlight w:val="none"/>
        </w:rPr>
        <w:t>二、开标一览表</w:t>
      </w:r>
    </w:p>
    <w:p w14:paraId="2D71FE8F">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三、资格证明文件</w:t>
      </w:r>
    </w:p>
    <w:p w14:paraId="0E62327C">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hint="eastAsia" w:ascii="Times New Roman" w:hAnsi="宋体" w:eastAsia="宋体" w:cs="宋体"/>
          <w:color w:val="auto"/>
          <w:spacing w:val="4"/>
          <w:kern w:val="2"/>
          <w:sz w:val="24"/>
          <w:szCs w:val="24"/>
          <w:highlight w:val="none"/>
          <w:lang w:val="en-US" w:eastAsia="zh-CN" w:bidi="ar-SA"/>
        </w:rPr>
      </w:pPr>
      <w:r>
        <w:rPr>
          <w:rFonts w:hint="eastAsia" w:hAnsi="宋体" w:cs="宋体"/>
          <w:color w:val="auto"/>
          <w:spacing w:val="4"/>
          <w:sz w:val="24"/>
          <w:szCs w:val="24"/>
          <w:highlight w:val="none"/>
        </w:rPr>
        <w:t>四、</w:t>
      </w:r>
      <w:r>
        <w:rPr>
          <w:rFonts w:hint="eastAsia" w:hAnsi="宋体" w:cs="宋体"/>
          <w:color w:val="auto"/>
          <w:spacing w:val="4"/>
          <w:sz w:val="24"/>
          <w:szCs w:val="24"/>
          <w:highlight w:val="none"/>
          <w:lang w:val="en-US" w:eastAsia="zh-CN"/>
        </w:rPr>
        <w:t>采购内容及要求响应偏离表</w:t>
      </w:r>
    </w:p>
    <w:p w14:paraId="37971A9B">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hAnsi="宋体" w:cs="宋体"/>
          <w:color w:val="auto"/>
          <w:spacing w:val="4"/>
          <w:sz w:val="24"/>
          <w:szCs w:val="24"/>
          <w:highlight w:val="none"/>
        </w:rPr>
      </w:pPr>
      <w:r>
        <w:rPr>
          <w:rFonts w:hint="eastAsia" w:hAnsi="宋体" w:cs="宋体"/>
          <w:color w:val="auto"/>
          <w:spacing w:val="4"/>
          <w:sz w:val="24"/>
          <w:szCs w:val="24"/>
          <w:highlight w:val="none"/>
          <w:lang w:val="en-US" w:eastAsia="zh-CN"/>
        </w:rPr>
        <w:t>五</w:t>
      </w:r>
      <w:r>
        <w:rPr>
          <w:rFonts w:hint="eastAsia" w:hAnsi="宋体" w:cs="宋体"/>
          <w:color w:val="auto"/>
          <w:spacing w:val="4"/>
          <w:sz w:val="24"/>
          <w:szCs w:val="24"/>
          <w:highlight w:val="none"/>
        </w:rPr>
        <w:t>、</w:t>
      </w:r>
      <w:r>
        <w:rPr>
          <w:rFonts w:hint="eastAsia" w:hAnsi="宋体" w:cs="宋体"/>
          <w:color w:val="auto"/>
          <w:spacing w:val="4"/>
          <w:sz w:val="24"/>
          <w:szCs w:val="24"/>
          <w:highlight w:val="none"/>
          <w:lang w:val="en-US" w:eastAsia="zh-CN"/>
        </w:rPr>
        <w:t>供应商承诺书</w:t>
      </w:r>
    </w:p>
    <w:p w14:paraId="76964EFD">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hint="eastAsia" w:hAnsi="宋体" w:cs="宋体"/>
          <w:color w:val="auto"/>
          <w:spacing w:val="4"/>
          <w:sz w:val="24"/>
          <w:szCs w:val="24"/>
          <w:highlight w:val="none"/>
        </w:rPr>
      </w:pPr>
      <w:r>
        <w:rPr>
          <w:rFonts w:hint="eastAsia" w:hAnsi="宋体" w:cs="宋体"/>
          <w:color w:val="auto"/>
          <w:spacing w:val="4"/>
          <w:sz w:val="24"/>
          <w:szCs w:val="24"/>
          <w:highlight w:val="none"/>
          <w:lang w:val="en-US" w:eastAsia="zh-CN"/>
        </w:rPr>
        <w:t>六</w:t>
      </w:r>
      <w:r>
        <w:rPr>
          <w:rFonts w:hint="eastAsia" w:hAnsi="宋体" w:cs="宋体"/>
          <w:color w:val="auto"/>
          <w:spacing w:val="4"/>
          <w:sz w:val="24"/>
          <w:szCs w:val="24"/>
          <w:highlight w:val="none"/>
        </w:rPr>
        <w:t>、</w:t>
      </w:r>
      <w:r>
        <w:rPr>
          <w:rFonts w:hint="eastAsia" w:hAnsi="宋体" w:cs="宋体"/>
          <w:color w:val="auto"/>
          <w:spacing w:val="4"/>
          <w:sz w:val="24"/>
          <w:szCs w:val="24"/>
          <w:highlight w:val="none"/>
          <w:lang w:val="en-US" w:eastAsia="zh-CN"/>
        </w:rPr>
        <w:t>总体</w:t>
      </w:r>
      <w:r>
        <w:rPr>
          <w:rFonts w:hint="eastAsia" w:hAnsi="宋体" w:cs="宋体"/>
          <w:color w:val="auto"/>
          <w:spacing w:val="4"/>
          <w:sz w:val="24"/>
          <w:szCs w:val="24"/>
          <w:highlight w:val="none"/>
        </w:rPr>
        <w:t>方案</w:t>
      </w:r>
    </w:p>
    <w:p w14:paraId="28251087">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hint="default" w:hAnsi="宋体" w:eastAsia="宋体" w:cs="宋体"/>
          <w:color w:val="auto"/>
          <w:spacing w:val="4"/>
          <w:sz w:val="24"/>
          <w:szCs w:val="24"/>
          <w:highlight w:val="none"/>
          <w:lang w:val="en-US" w:eastAsia="zh-CN"/>
        </w:rPr>
      </w:pPr>
      <w:r>
        <w:rPr>
          <w:rFonts w:hint="eastAsia" w:hAnsi="宋体" w:cs="宋体"/>
          <w:color w:val="auto"/>
          <w:spacing w:val="4"/>
          <w:sz w:val="24"/>
          <w:szCs w:val="24"/>
          <w:highlight w:val="none"/>
          <w:lang w:val="en-US" w:eastAsia="zh-CN"/>
        </w:rPr>
        <w:t>七、业绩</w:t>
      </w:r>
    </w:p>
    <w:p w14:paraId="610241C1">
      <w:pPr>
        <w:keepNext w:val="0"/>
        <w:keepLines w:val="0"/>
        <w:pageBreakBefore w:val="0"/>
        <w:widowControl w:val="0"/>
        <w:tabs>
          <w:tab w:val="left" w:pos="1418"/>
        </w:tabs>
        <w:kinsoku/>
        <w:wordWrap/>
        <w:overflowPunct/>
        <w:topLinePunct w:val="0"/>
        <w:autoSpaceDE/>
        <w:autoSpaceDN/>
        <w:bidi w:val="0"/>
        <w:adjustRightInd/>
        <w:snapToGrid/>
        <w:spacing w:line="600" w:lineRule="exact"/>
        <w:ind w:firstLine="992" w:firstLineChars="400"/>
        <w:textAlignment w:val="auto"/>
        <w:rPr>
          <w:rFonts w:hint="eastAsia" w:hAnsi="宋体" w:cs="宋体"/>
          <w:color w:val="auto"/>
          <w:spacing w:val="4"/>
          <w:sz w:val="24"/>
          <w:szCs w:val="24"/>
          <w:highlight w:val="none"/>
          <w:lang w:eastAsia="zh-CN"/>
        </w:rPr>
      </w:pPr>
      <w:r>
        <w:rPr>
          <w:rFonts w:hint="eastAsia" w:hAnsi="宋体" w:cs="宋体"/>
          <w:color w:val="auto"/>
          <w:spacing w:val="4"/>
          <w:sz w:val="24"/>
          <w:szCs w:val="24"/>
          <w:highlight w:val="none"/>
          <w:lang w:val="en-US" w:eastAsia="zh-CN"/>
        </w:rPr>
        <w:t>八</w:t>
      </w:r>
      <w:r>
        <w:rPr>
          <w:rFonts w:hint="eastAsia" w:hAnsi="宋体" w:cs="宋体"/>
          <w:color w:val="auto"/>
          <w:spacing w:val="4"/>
          <w:sz w:val="24"/>
          <w:szCs w:val="24"/>
          <w:highlight w:val="none"/>
        </w:rPr>
        <w:t>、</w:t>
      </w:r>
      <w:r>
        <w:rPr>
          <w:rFonts w:hint="eastAsia" w:hAnsi="宋体" w:cs="宋体"/>
          <w:color w:val="auto"/>
          <w:spacing w:val="4"/>
          <w:sz w:val="24"/>
          <w:szCs w:val="24"/>
          <w:highlight w:val="none"/>
          <w:lang w:val="en-US" w:eastAsia="zh-CN"/>
        </w:rPr>
        <w:t>供应商认为需要提交的其他资料</w:t>
      </w:r>
    </w:p>
    <w:p w14:paraId="5B7BB527">
      <w:pPr>
        <w:spacing w:line="480" w:lineRule="auto"/>
        <w:ind w:left="105"/>
        <w:rPr>
          <w:rFonts w:hAnsi="宋体" w:cs="宋体"/>
          <w:color w:val="auto"/>
          <w:spacing w:val="4"/>
          <w:szCs w:val="24"/>
          <w:highlight w:val="none"/>
        </w:rPr>
      </w:pPr>
    </w:p>
    <w:p w14:paraId="5E8FDF7E">
      <w:pPr>
        <w:keepNext/>
        <w:spacing w:line="360" w:lineRule="auto"/>
        <w:ind w:left="283"/>
        <w:rPr>
          <w:rFonts w:hAnsi="宋体" w:cs="宋体"/>
          <w:color w:val="auto"/>
          <w:sz w:val="32"/>
          <w:highlight w:val="none"/>
        </w:rPr>
      </w:pPr>
      <w:bookmarkStart w:id="79" w:name="_Toc363474027"/>
      <w:bookmarkStart w:id="80" w:name="_Toc403077648"/>
      <w:bookmarkStart w:id="81" w:name="_Toc426457700"/>
      <w:bookmarkStart w:id="82" w:name="_Toc23702"/>
      <w:bookmarkStart w:id="83" w:name="_Toc13414"/>
      <w:bookmarkStart w:id="84" w:name="_Toc4930"/>
      <w:bookmarkStart w:id="85" w:name="_Toc28404"/>
      <w:bookmarkStart w:id="86" w:name="_Toc24231"/>
      <w:bookmarkStart w:id="87" w:name="_Toc14057"/>
      <w:r>
        <w:rPr>
          <w:rFonts w:hint="eastAsia" w:hAnsi="宋体" w:cs="宋体"/>
          <w:color w:val="auto"/>
          <w:sz w:val="32"/>
          <w:highlight w:val="none"/>
        </w:rPr>
        <w:br w:type="page"/>
      </w:r>
      <w:r>
        <w:rPr>
          <w:rFonts w:hint="eastAsia" w:hAnsi="宋体" w:cs="宋体"/>
          <w:color w:val="auto"/>
          <w:sz w:val="32"/>
          <w:highlight w:val="none"/>
        </w:rPr>
        <w:t xml:space="preserve">                   </w:t>
      </w:r>
      <w:r>
        <w:rPr>
          <w:rFonts w:hint="eastAsia" w:hAnsi="宋体" w:cs="宋体"/>
          <w:b/>
          <w:bCs/>
          <w:color w:val="auto"/>
          <w:sz w:val="32"/>
          <w:highlight w:val="none"/>
        </w:rPr>
        <w:t>一、投标</w:t>
      </w:r>
      <w:bookmarkEnd w:id="79"/>
      <w:bookmarkEnd w:id="80"/>
      <w:r>
        <w:rPr>
          <w:rFonts w:hint="eastAsia" w:hAnsi="宋体" w:cs="宋体"/>
          <w:b/>
          <w:bCs/>
          <w:color w:val="auto"/>
          <w:sz w:val="32"/>
          <w:highlight w:val="none"/>
        </w:rPr>
        <w:t>函</w:t>
      </w:r>
      <w:bookmarkEnd w:id="81"/>
      <w:bookmarkEnd w:id="82"/>
      <w:bookmarkEnd w:id="83"/>
      <w:bookmarkEnd w:id="84"/>
      <w:bookmarkEnd w:id="85"/>
      <w:bookmarkEnd w:id="86"/>
      <w:bookmarkEnd w:id="87"/>
    </w:p>
    <w:p w14:paraId="3D58A645">
      <w:pPr>
        <w:spacing w:line="500" w:lineRule="exact"/>
        <w:jc w:val="left"/>
        <w:rPr>
          <w:rFonts w:hAnsi="宋体" w:cs="宋体"/>
          <w:color w:val="auto"/>
          <w:spacing w:val="4"/>
          <w:szCs w:val="24"/>
          <w:highlight w:val="none"/>
          <w:u w:val="single"/>
        </w:rPr>
      </w:pPr>
      <w:r>
        <w:rPr>
          <w:rFonts w:hint="eastAsia" w:hAnsi="宋体" w:cs="宋体"/>
          <w:b/>
          <w:color w:val="auto"/>
          <w:spacing w:val="4"/>
          <w:szCs w:val="24"/>
          <w:highlight w:val="none"/>
        </w:rPr>
        <w:t>致：</w:t>
      </w:r>
      <w:r>
        <w:rPr>
          <w:rFonts w:hint="eastAsia" w:hAnsi="宋体" w:cs="宋体"/>
          <w:color w:val="auto"/>
          <w:szCs w:val="24"/>
          <w:highlight w:val="none"/>
          <w:u w:val="single"/>
        </w:rPr>
        <w:t xml:space="preserve">                      </w:t>
      </w:r>
    </w:p>
    <w:p w14:paraId="6D6DCD6A">
      <w:pPr>
        <w:spacing w:line="600" w:lineRule="exact"/>
        <w:ind w:firstLine="630" w:firstLineChars="300"/>
        <w:jc w:val="left"/>
        <w:rPr>
          <w:rFonts w:hAnsi="宋体" w:cs="宋体"/>
          <w:color w:val="auto"/>
          <w:szCs w:val="24"/>
          <w:highlight w:val="none"/>
        </w:rPr>
      </w:pPr>
      <w:bookmarkStart w:id="88" w:name="_Toc15278"/>
      <w:bookmarkStart w:id="89" w:name="_Toc31326"/>
      <w:bookmarkStart w:id="90" w:name="_Toc609"/>
      <w:bookmarkStart w:id="91" w:name="_Toc8367"/>
      <w:bookmarkStart w:id="92" w:name="_Toc4085"/>
      <w:bookmarkStart w:id="93" w:name="_Toc19152"/>
      <w:bookmarkStart w:id="94" w:name="_Toc14384"/>
      <w:r>
        <w:rPr>
          <w:rFonts w:hint="eastAsia" w:hAnsi="宋体" w:cs="宋体"/>
          <w:color w:val="auto"/>
          <w:szCs w:val="24"/>
          <w:highlight w:val="none"/>
        </w:rPr>
        <w:t>我方已仔细研究了</w:t>
      </w:r>
      <w:r>
        <w:rPr>
          <w:rFonts w:hint="eastAsia" w:hAnsi="宋体" w:cs="宋体"/>
          <w:color w:val="auto"/>
          <w:szCs w:val="24"/>
          <w:highlight w:val="none"/>
          <w:u w:val="single"/>
        </w:rPr>
        <w:t xml:space="preserve">                          (</w:t>
      </w:r>
      <w:r>
        <w:rPr>
          <w:rFonts w:hint="eastAsia" w:hAnsi="宋体" w:cs="宋体"/>
          <w:color w:val="auto"/>
          <w:szCs w:val="24"/>
          <w:highlight w:val="none"/>
          <w:u w:val="single"/>
          <w:lang w:val="en-US" w:eastAsia="zh-CN"/>
        </w:rPr>
        <w:t>项目</w:t>
      </w:r>
      <w:r>
        <w:rPr>
          <w:rFonts w:hint="eastAsia" w:hAnsi="宋体" w:cs="宋体"/>
          <w:color w:val="auto"/>
          <w:szCs w:val="24"/>
          <w:highlight w:val="none"/>
          <w:u w:val="single"/>
        </w:rPr>
        <w:t>名称)</w:t>
      </w:r>
      <w:r>
        <w:rPr>
          <w:rFonts w:hint="eastAsia" w:hAnsi="宋体" w:cs="宋体"/>
          <w:color w:val="auto"/>
          <w:szCs w:val="24"/>
          <w:highlight w:val="none"/>
        </w:rPr>
        <w:t>的招标文件（政府采购</w:t>
      </w:r>
      <w:r>
        <w:rPr>
          <w:rFonts w:hint="eastAsia" w:hAnsi="宋体" w:cs="宋体"/>
          <w:color w:val="auto"/>
          <w:szCs w:val="24"/>
          <w:highlight w:val="none"/>
          <w:lang w:val="en-US" w:eastAsia="zh-CN"/>
        </w:rPr>
        <w:t>项目</w:t>
      </w:r>
      <w:r>
        <w:rPr>
          <w:rFonts w:hint="eastAsia" w:hAnsi="宋体" w:cs="宋体"/>
          <w:color w:val="auto"/>
          <w:szCs w:val="24"/>
          <w:highlight w:val="none"/>
        </w:rPr>
        <w:t>编号：</w:t>
      </w:r>
      <w:r>
        <w:rPr>
          <w:rFonts w:hint="eastAsia" w:hAnsi="宋体" w:cs="宋体"/>
          <w:color w:val="auto"/>
          <w:szCs w:val="24"/>
          <w:highlight w:val="none"/>
          <w:u w:val="single"/>
        </w:rPr>
        <w:t xml:space="preserve">          </w:t>
      </w:r>
      <w:r>
        <w:rPr>
          <w:rFonts w:hint="eastAsia" w:hAnsi="宋体" w:cs="宋体"/>
          <w:color w:val="auto"/>
          <w:szCs w:val="24"/>
          <w:highlight w:val="none"/>
        </w:rPr>
        <w:t>）的全部内容，知悉参加投标的风险，我方承诺接受招标文件的全部条款且无任何异议，决定参加贵单位组织的本项目招标。我方正式授权</w:t>
      </w:r>
      <w:r>
        <w:rPr>
          <w:rFonts w:hint="eastAsia" w:hAnsi="宋体" w:cs="宋体"/>
          <w:color w:val="auto"/>
          <w:szCs w:val="24"/>
          <w:highlight w:val="none"/>
          <w:u w:val="single"/>
        </w:rPr>
        <w:t xml:space="preserve">    （姓名、职务）   </w:t>
      </w:r>
      <w:r>
        <w:rPr>
          <w:rFonts w:hint="eastAsia" w:hAnsi="宋体" w:cs="宋体"/>
          <w:color w:val="auto"/>
          <w:szCs w:val="24"/>
          <w:highlight w:val="none"/>
        </w:rPr>
        <w:t>代表我方</w:t>
      </w:r>
      <w:r>
        <w:rPr>
          <w:rFonts w:hint="eastAsia" w:hAnsi="宋体" w:cs="宋体"/>
          <w:color w:val="auto"/>
          <w:szCs w:val="24"/>
          <w:highlight w:val="none"/>
          <w:u w:val="single"/>
        </w:rPr>
        <w:t xml:space="preserve">    （投标</w:t>
      </w:r>
      <w:r>
        <w:rPr>
          <w:rFonts w:hint="eastAsia" w:hAnsi="宋体" w:cs="宋体"/>
          <w:color w:val="auto"/>
          <w:szCs w:val="24"/>
          <w:highlight w:val="none"/>
          <w:u w:val="single"/>
          <w:lang w:val="en-US" w:eastAsia="zh-CN"/>
        </w:rPr>
        <w:t>供应商</w:t>
      </w:r>
      <w:r>
        <w:rPr>
          <w:rFonts w:hint="eastAsia" w:hAnsi="宋体" w:cs="宋体"/>
          <w:color w:val="auto"/>
          <w:szCs w:val="24"/>
          <w:highlight w:val="none"/>
          <w:u w:val="single"/>
        </w:rPr>
        <w:t xml:space="preserve">的名称）  </w:t>
      </w:r>
      <w:r>
        <w:rPr>
          <w:rFonts w:hint="eastAsia" w:hAnsi="宋体" w:cs="宋体"/>
          <w:color w:val="auto"/>
          <w:szCs w:val="24"/>
          <w:highlight w:val="none"/>
        </w:rPr>
        <w:t>全权处理本项目投标的有关事宜</w:t>
      </w:r>
      <w:r>
        <w:rPr>
          <w:rFonts w:hint="eastAsia" w:hAnsi="宋体" w:cs="宋体"/>
          <w:color w:val="auto"/>
          <w:szCs w:val="24"/>
          <w:highlight w:val="none"/>
          <w:lang w:eastAsia="zh-CN"/>
        </w:rPr>
        <w:t>，按照招标文件的规定，我公司投标总价为：人民币（大写）</w:t>
      </w:r>
      <w:r>
        <w:rPr>
          <w:rFonts w:hint="eastAsia" w:hAnsi="宋体" w:cs="宋体"/>
          <w:color w:val="auto"/>
          <w:szCs w:val="24"/>
          <w:highlight w:val="none"/>
          <w:u w:val="single"/>
          <w:lang w:eastAsia="zh-CN"/>
        </w:rPr>
        <w:t>　　</w:t>
      </w:r>
      <w:r>
        <w:rPr>
          <w:rFonts w:hint="eastAsia" w:hAnsi="宋体" w:cs="宋体"/>
          <w:color w:val="auto"/>
          <w:szCs w:val="24"/>
          <w:highlight w:val="none"/>
          <w:u w:val="single"/>
          <w:lang w:val="en-US" w:eastAsia="zh-CN"/>
        </w:rPr>
        <w:t xml:space="preserve">   </w:t>
      </w:r>
      <w:r>
        <w:rPr>
          <w:rFonts w:hint="eastAsia" w:hAnsi="宋体" w:cs="宋体"/>
          <w:color w:val="auto"/>
          <w:szCs w:val="24"/>
          <w:highlight w:val="none"/>
          <w:u w:val="single"/>
          <w:lang w:eastAsia="zh-CN"/>
        </w:rPr>
        <w:t xml:space="preserve"> </w:t>
      </w:r>
      <w:r>
        <w:rPr>
          <w:rFonts w:hint="eastAsia" w:hAnsi="宋体" w:cs="宋体"/>
          <w:color w:val="auto"/>
          <w:szCs w:val="24"/>
          <w:highlight w:val="none"/>
          <w:lang w:eastAsia="zh-CN"/>
        </w:rPr>
        <w:t xml:space="preserve"> （¥：</w:t>
      </w:r>
      <w:r>
        <w:rPr>
          <w:rFonts w:hint="eastAsia" w:hAnsi="宋体" w:cs="宋体"/>
          <w:color w:val="auto"/>
          <w:szCs w:val="24"/>
          <w:highlight w:val="none"/>
          <w:u w:val="single"/>
          <w:lang w:eastAsia="zh-CN"/>
        </w:rPr>
        <w:t xml:space="preserve">  </w:t>
      </w:r>
      <w:r>
        <w:rPr>
          <w:rFonts w:hint="eastAsia" w:hAnsi="宋体" w:cs="宋体"/>
          <w:color w:val="auto"/>
          <w:szCs w:val="24"/>
          <w:highlight w:val="none"/>
          <w:u w:val="single"/>
          <w:lang w:val="en-US" w:eastAsia="zh-CN"/>
        </w:rPr>
        <w:t xml:space="preserve">     </w:t>
      </w:r>
      <w:r>
        <w:rPr>
          <w:rFonts w:hint="eastAsia" w:hAnsi="宋体" w:cs="宋体"/>
          <w:color w:val="auto"/>
          <w:szCs w:val="24"/>
          <w:highlight w:val="none"/>
          <w:u w:val="single"/>
          <w:lang w:eastAsia="zh-CN"/>
        </w:rPr>
        <w:t xml:space="preserve"> </w:t>
      </w:r>
      <w:r>
        <w:rPr>
          <w:rFonts w:hint="eastAsia" w:hAnsi="宋体" w:cs="宋体"/>
          <w:color w:val="auto"/>
          <w:szCs w:val="24"/>
          <w:highlight w:val="none"/>
          <w:lang w:eastAsia="zh-CN"/>
        </w:rPr>
        <w:t>元）；</w:t>
      </w:r>
      <w:r>
        <w:rPr>
          <w:rFonts w:hint="eastAsia" w:hAnsi="宋体" w:cs="宋体"/>
          <w:color w:val="auto"/>
          <w:szCs w:val="24"/>
          <w:highlight w:val="none"/>
          <w:lang w:val="en-US" w:eastAsia="zh-CN"/>
        </w:rPr>
        <w:t>服务期限</w:t>
      </w:r>
      <w:r>
        <w:rPr>
          <w:rFonts w:hint="eastAsia" w:hAnsi="宋体" w:cs="宋体"/>
          <w:color w:val="auto"/>
          <w:szCs w:val="24"/>
          <w:highlight w:val="none"/>
          <w:lang w:eastAsia="zh-CN"/>
        </w:rPr>
        <w:t>：</w:t>
      </w:r>
      <w:r>
        <w:rPr>
          <w:rFonts w:hint="eastAsia" w:hAnsi="宋体" w:cs="宋体"/>
          <w:color w:val="auto"/>
          <w:szCs w:val="24"/>
          <w:highlight w:val="none"/>
          <w:u w:val="single"/>
          <w:lang w:eastAsia="zh-CN"/>
        </w:rPr>
        <w:t xml:space="preserve"> </w:t>
      </w:r>
      <w:r>
        <w:rPr>
          <w:rFonts w:hint="eastAsia" w:hAnsi="宋体" w:cs="宋体"/>
          <w:color w:val="auto"/>
          <w:szCs w:val="24"/>
          <w:highlight w:val="none"/>
          <w:u w:val="single"/>
          <w:lang w:val="en-US" w:eastAsia="zh-CN"/>
        </w:rPr>
        <w:t xml:space="preserve">           </w:t>
      </w:r>
      <w:r>
        <w:rPr>
          <w:rFonts w:hint="eastAsia" w:hAnsi="宋体" w:cs="宋体"/>
          <w:color w:val="auto"/>
          <w:szCs w:val="24"/>
          <w:highlight w:val="none"/>
          <w:lang w:val="en-US" w:eastAsia="zh-CN"/>
        </w:rPr>
        <w:t xml:space="preserve"> </w:t>
      </w:r>
      <w:r>
        <w:rPr>
          <w:rFonts w:hint="eastAsia" w:hAnsi="宋体" w:cs="宋体"/>
          <w:color w:val="auto"/>
          <w:szCs w:val="24"/>
          <w:highlight w:val="none"/>
        </w:rPr>
        <w:t>。</w:t>
      </w:r>
    </w:p>
    <w:p w14:paraId="42FC6D2D">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一、我方提交的投标文件保证数据和材料真实、准确。否则，愿承担《中华人民共和国政府采购法》第七十七条规定的法律责任。</w:t>
      </w:r>
    </w:p>
    <w:p w14:paraId="248B4DB1">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二、我方愿意按招标文件规定的各项要求，向采购人提供所需相应服务。</w:t>
      </w:r>
    </w:p>
    <w:p w14:paraId="05D73F23">
      <w:pPr>
        <w:spacing w:line="600" w:lineRule="exact"/>
        <w:ind w:firstLine="420" w:firstLineChars="200"/>
        <w:jc w:val="left"/>
        <w:rPr>
          <w:rFonts w:hint="eastAsia" w:hAnsi="宋体" w:cs="宋体"/>
          <w:color w:val="auto"/>
          <w:szCs w:val="24"/>
          <w:highlight w:val="none"/>
        </w:rPr>
      </w:pPr>
      <w:r>
        <w:rPr>
          <w:rFonts w:hint="eastAsia" w:hAnsi="宋体" w:cs="宋体"/>
          <w:color w:val="auto"/>
          <w:szCs w:val="24"/>
          <w:highlight w:val="none"/>
          <w:lang w:val="en-US" w:eastAsia="zh-CN"/>
        </w:rPr>
        <w:t>三、</w:t>
      </w:r>
      <w:r>
        <w:rPr>
          <w:rFonts w:hint="eastAsia" w:hAnsi="宋体" w:cs="宋体"/>
          <w:color w:val="auto"/>
          <w:szCs w:val="24"/>
          <w:highlight w:val="none"/>
        </w:rPr>
        <w:t>本投标有效期为自投标截止之日起</w:t>
      </w:r>
      <w:r>
        <w:rPr>
          <w:rFonts w:hint="eastAsia" w:hAnsi="宋体" w:cs="宋体"/>
          <w:color w:val="auto"/>
          <w:szCs w:val="24"/>
          <w:highlight w:val="none"/>
          <w:u w:val="single"/>
        </w:rPr>
        <w:t xml:space="preserve">        </w:t>
      </w:r>
      <w:r>
        <w:rPr>
          <w:rFonts w:hint="eastAsia" w:hAnsi="宋体" w:cs="宋体"/>
          <w:color w:val="auto"/>
          <w:szCs w:val="24"/>
          <w:highlight w:val="none"/>
        </w:rPr>
        <w:t>个日历</w:t>
      </w:r>
      <w:r>
        <w:rPr>
          <w:rFonts w:hint="eastAsia" w:hAnsi="宋体" w:cs="宋体"/>
          <w:color w:val="auto"/>
          <w:szCs w:val="24"/>
          <w:highlight w:val="none"/>
          <w:lang w:val="en-US" w:eastAsia="zh-CN"/>
        </w:rPr>
        <w:t>天</w:t>
      </w:r>
      <w:r>
        <w:rPr>
          <w:rFonts w:hint="eastAsia" w:hAnsi="宋体" w:cs="宋体"/>
          <w:color w:val="auto"/>
          <w:szCs w:val="24"/>
          <w:highlight w:val="none"/>
          <w:lang w:val="zh-CN"/>
        </w:rPr>
        <w:t>，若我方中标，投标文件有效期自动延长至合同执行完毕。</w:t>
      </w:r>
    </w:p>
    <w:p w14:paraId="4C3627A4">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四、我方愿意向贵方提供任何与本项采购有关的样品、数据、情况和技术资料。若贵方需要，我方愿意提供我方作出的一切承诺的证明材料。</w:t>
      </w:r>
    </w:p>
    <w:p w14:paraId="6F4BD40C">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lang w:val="en-US" w:eastAsia="zh-CN"/>
        </w:rPr>
        <w:t>五</w:t>
      </w:r>
      <w:r>
        <w:rPr>
          <w:rFonts w:hint="eastAsia" w:hAnsi="宋体" w:cs="宋体"/>
          <w:color w:val="auto"/>
          <w:szCs w:val="24"/>
          <w:highlight w:val="none"/>
        </w:rPr>
        <w:t>、我方承诺遵守《中华人民共和国政府采购法》及其实施条例的有关规定，保证在获得中标资格后：</w:t>
      </w:r>
    </w:p>
    <w:p w14:paraId="27A97E4A">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（1）按照招标文件确定的事项签订政府采购合同，履行双方所签订的合同，并承担合同规定的责任和义务，我方按照招标文件要求履行完成本项目；</w:t>
      </w:r>
    </w:p>
    <w:p w14:paraId="726E11A9">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（2）我方保证按规定和标准向招标代理单位缴纳采购代理服务费；</w:t>
      </w:r>
    </w:p>
    <w:p w14:paraId="0F84FA6D">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lang w:val="en-US" w:eastAsia="zh-CN"/>
        </w:rPr>
        <w:t>六</w:t>
      </w:r>
      <w:r>
        <w:rPr>
          <w:rFonts w:hint="eastAsia" w:hAnsi="宋体" w:cs="宋体"/>
          <w:color w:val="auto"/>
          <w:szCs w:val="24"/>
          <w:highlight w:val="none"/>
        </w:rPr>
        <w:t>、我方完全理解并尊重评标委员会的评审结论和中标结果。</w:t>
      </w:r>
    </w:p>
    <w:p w14:paraId="23A66B59">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lang w:val="en-US" w:eastAsia="zh-CN"/>
        </w:rPr>
        <w:t>七</w:t>
      </w:r>
      <w:r>
        <w:rPr>
          <w:rFonts w:hint="eastAsia" w:hAnsi="宋体" w:cs="宋体"/>
          <w:color w:val="auto"/>
          <w:szCs w:val="24"/>
          <w:highlight w:val="none"/>
        </w:rPr>
        <w:t>、有关本项目的所有函电，请按下列地址联系：</w:t>
      </w:r>
    </w:p>
    <w:p w14:paraId="5721D11F">
      <w:pPr>
        <w:spacing w:line="600" w:lineRule="exact"/>
        <w:ind w:firstLine="420" w:firstLineChars="200"/>
        <w:jc w:val="left"/>
        <w:rPr>
          <w:rFonts w:hAnsi="宋体" w:cs="宋体"/>
          <w:color w:val="auto"/>
          <w:szCs w:val="24"/>
          <w:highlight w:val="none"/>
        </w:rPr>
      </w:pPr>
    </w:p>
    <w:p w14:paraId="158AF4A0">
      <w:pPr>
        <w:spacing w:line="480" w:lineRule="auto"/>
        <w:ind w:firstLine="420" w:firstLineChars="200"/>
        <w:rPr>
          <w:rFonts w:hAnsi="宋体" w:cs="宋体"/>
          <w:color w:val="auto"/>
          <w:szCs w:val="24"/>
          <w:highlight w:val="none"/>
        </w:rPr>
      </w:pPr>
      <w:r>
        <w:rPr>
          <w:rFonts w:hint="eastAsia" w:hAnsi="宋体" w:cs="宋体"/>
          <w:color w:val="auto"/>
          <w:szCs w:val="24"/>
          <w:highlight w:val="none"/>
        </w:rPr>
        <w:t>投标供应商：</w:t>
      </w:r>
      <w:r>
        <w:rPr>
          <w:rFonts w:hint="eastAsia" w:hAnsi="宋体" w:cs="宋体"/>
          <w:color w:val="auto"/>
          <w:szCs w:val="24"/>
          <w:highlight w:val="none"/>
          <w:u w:val="single"/>
        </w:rPr>
        <w:t xml:space="preserve">                            </w:t>
      </w:r>
      <w:r>
        <w:rPr>
          <w:rFonts w:hint="eastAsia" w:hAnsi="宋体" w:cs="宋体"/>
          <w:color w:val="auto"/>
          <w:szCs w:val="24"/>
          <w:highlight w:val="none"/>
        </w:rPr>
        <w:t>（盖单位章）</w:t>
      </w:r>
    </w:p>
    <w:p w14:paraId="10E23353">
      <w:pPr>
        <w:spacing w:line="480" w:lineRule="auto"/>
        <w:ind w:firstLine="420" w:firstLineChars="200"/>
        <w:rPr>
          <w:rFonts w:hAnsi="宋体" w:cs="宋体"/>
          <w:color w:val="auto"/>
          <w:szCs w:val="24"/>
          <w:highlight w:val="none"/>
        </w:rPr>
      </w:pPr>
    </w:p>
    <w:p w14:paraId="41F6704F">
      <w:pPr>
        <w:spacing w:line="480" w:lineRule="auto"/>
        <w:ind w:firstLine="420" w:firstLineChars="200"/>
        <w:rPr>
          <w:rFonts w:hAnsi="宋体" w:cs="宋体"/>
          <w:color w:val="auto"/>
          <w:szCs w:val="24"/>
          <w:highlight w:val="none"/>
        </w:rPr>
      </w:pPr>
      <w:r>
        <w:rPr>
          <w:rFonts w:hint="eastAsia" w:hAnsi="宋体" w:cs="宋体"/>
          <w:color w:val="auto"/>
          <w:szCs w:val="24"/>
          <w:highlight w:val="none"/>
        </w:rPr>
        <w:t>法定代表人或其授权代理人：</w:t>
      </w:r>
      <w:r>
        <w:rPr>
          <w:rFonts w:hint="eastAsia" w:hAnsi="宋体" w:cs="宋体"/>
          <w:color w:val="auto"/>
          <w:szCs w:val="24"/>
          <w:highlight w:val="none"/>
          <w:u w:val="single"/>
        </w:rPr>
        <w:t xml:space="preserve">         </w:t>
      </w:r>
      <w:r>
        <w:rPr>
          <w:rFonts w:hint="eastAsia" w:hAnsi="宋体" w:cs="宋体"/>
          <w:color w:val="auto"/>
          <w:szCs w:val="24"/>
          <w:highlight w:val="none"/>
        </w:rPr>
        <w:t>（签字或盖章）</w:t>
      </w:r>
    </w:p>
    <w:p w14:paraId="0777A010">
      <w:pPr>
        <w:spacing w:line="600" w:lineRule="exact"/>
        <w:ind w:firstLine="420" w:firstLineChars="200"/>
        <w:jc w:val="left"/>
        <w:rPr>
          <w:rFonts w:hAnsi="宋体" w:cs="宋体"/>
          <w:color w:val="auto"/>
          <w:szCs w:val="24"/>
          <w:highlight w:val="none"/>
        </w:rPr>
      </w:pPr>
    </w:p>
    <w:p w14:paraId="3596538A">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通讯地址：</w:t>
      </w:r>
      <w:r>
        <w:rPr>
          <w:rFonts w:hint="eastAsia" w:hAnsi="宋体" w:cs="宋体"/>
          <w:color w:val="auto"/>
          <w:szCs w:val="24"/>
          <w:highlight w:val="none"/>
          <w:u w:val="single"/>
        </w:rPr>
        <w:t xml:space="preserve">                                </w:t>
      </w:r>
    </w:p>
    <w:p w14:paraId="2436080D">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邮政编码：</w:t>
      </w:r>
      <w:r>
        <w:rPr>
          <w:rFonts w:hint="eastAsia" w:hAnsi="宋体" w:cs="宋体"/>
          <w:color w:val="auto"/>
          <w:szCs w:val="24"/>
          <w:highlight w:val="none"/>
          <w:u w:val="single"/>
        </w:rPr>
        <w:t xml:space="preserve">                                </w:t>
      </w:r>
    </w:p>
    <w:p w14:paraId="7809990A">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single"/>
        </w:rPr>
        <w:t xml:space="preserve">                                </w:t>
      </w:r>
    </w:p>
    <w:p w14:paraId="57873F8D">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传    真：</w:t>
      </w:r>
      <w:r>
        <w:rPr>
          <w:rFonts w:hint="eastAsia" w:hAnsi="宋体" w:cs="宋体"/>
          <w:color w:val="auto"/>
          <w:szCs w:val="24"/>
          <w:highlight w:val="none"/>
          <w:u w:val="single"/>
        </w:rPr>
        <w:t xml:space="preserve">                                </w:t>
      </w:r>
    </w:p>
    <w:p w14:paraId="25F76163">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电子邮件：</w:t>
      </w:r>
      <w:r>
        <w:rPr>
          <w:rFonts w:hint="eastAsia" w:hAnsi="宋体" w:cs="宋体"/>
          <w:color w:val="auto"/>
          <w:szCs w:val="24"/>
          <w:highlight w:val="none"/>
          <w:u w:val="single"/>
        </w:rPr>
        <w:t xml:space="preserve">                                </w:t>
      </w:r>
    </w:p>
    <w:p w14:paraId="19BC5E97">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开户银行:</w:t>
      </w:r>
      <w:r>
        <w:rPr>
          <w:rFonts w:hint="eastAsia" w:hAnsi="宋体" w:cs="宋体"/>
          <w:color w:val="auto"/>
          <w:szCs w:val="24"/>
          <w:highlight w:val="none"/>
          <w:u w:val="single"/>
        </w:rPr>
        <w:t xml:space="preserve">                                 </w:t>
      </w:r>
    </w:p>
    <w:p w14:paraId="023C1BBC">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帐    号：</w:t>
      </w:r>
      <w:r>
        <w:rPr>
          <w:rFonts w:hint="eastAsia" w:hAnsi="宋体" w:cs="宋体"/>
          <w:color w:val="auto"/>
          <w:szCs w:val="24"/>
          <w:highlight w:val="none"/>
          <w:u w:val="single"/>
        </w:rPr>
        <w:t xml:space="preserve">                                 </w:t>
      </w:r>
    </w:p>
    <w:p w14:paraId="6FA27514">
      <w:pPr>
        <w:spacing w:line="600" w:lineRule="exact"/>
        <w:ind w:firstLine="420" w:firstLineChars="200"/>
        <w:jc w:val="left"/>
        <w:rPr>
          <w:rFonts w:hAnsi="宋体" w:cs="宋体"/>
          <w:color w:val="auto"/>
          <w:szCs w:val="24"/>
          <w:highlight w:val="none"/>
        </w:rPr>
      </w:pPr>
      <w:r>
        <w:rPr>
          <w:rFonts w:hint="eastAsia" w:hAnsi="宋体" w:cs="宋体"/>
          <w:color w:val="auto"/>
          <w:szCs w:val="24"/>
          <w:highlight w:val="none"/>
        </w:rPr>
        <w:t>日    期：</w:t>
      </w:r>
      <w:r>
        <w:rPr>
          <w:rFonts w:hint="eastAsia" w:hAnsi="宋体" w:cs="宋体"/>
          <w:color w:val="auto"/>
          <w:szCs w:val="24"/>
          <w:highlight w:val="none"/>
          <w:u w:val="single"/>
        </w:rPr>
        <w:t xml:space="preserve">                                 </w:t>
      </w:r>
    </w:p>
    <w:p w14:paraId="1F202392">
      <w:pPr>
        <w:rPr>
          <w:color w:val="auto"/>
          <w:highlight w:val="none"/>
        </w:rPr>
      </w:pPr>
      <w:r>
        <w:rPr>
          <w:color w:val="auto"/>
          <w:highlight w:val="none"/>
        </w:rPr>
        <w:br w:type="page"/>
      </w:r>
    </w:p>
    <w:p w14:paraId="405AA09D">
      <w:pPr>
        <w:jc w:val="center"/>
        <w:rPr>
          <w:rFonts w:hAnsi="宋体" w:cs="宋体"/>
          <w:b/>
          <w:bCs/>
          <w:color w:val="auto"/>
          <w:sz w:val="32"/>
          <w:szCs w:val="32"/>
          <w:highlight w:val="none"/>
        </w:rPr>
      </w:pPr>
      <w:r>
        <w:rPr>
          <w:rFonts w:hint="eastAsia" w:hAnsi="宋体" w:cs="宋体"/>
          <w:b/>
          <w:bCs/>
          <w:color w:val="auto"/>
          <w:sz w:val="32"/>
          <w:szCs w:val="32"/>
          <w:highlight w:val="none"/>
        </w:rPr>
        <w:t>二</w:t>
      </w:r>
      <w:r>
        <w:rPr>
          <w:rFonts w:hint="eastAsia" w:hAnsi="宋体" w:cs="宋体"/>
          <w:b/>
          <w:bCs/>
          <w:color w:val="auto"/>
          <w:sz w:val="32"/>
          <w:szCs w:val="32"/>
          <w:highlight w:val="none"/>
          <w:lang w:val="zh-CN"/>
        </w:rPr>
        <w:t>、开标一览表</w:t>
      </w:r>
      <w:bookmarkEnd w:id="88"/>
    </w:p>
    <w:p w14:paraId="11EDA755">
      <w:pPr>
        <w:pStyle w:val="40"/>
        <w:rPr>
          <w:rFonts w:ascii="宋体" w:hAnsi="宋体" w:cs="宋体"/>
          <w:color w:val="auto"/>
          <w:sz w:val="24"/>
          <w:highlight w:val="none"/>
        </w:rPr>
      </w:pPr>
    </w:p>
    <w:p w14:paraId="323873DC">
      <w:pPr>
        <w:spacing w:after="240" w:afterLines="100" w:line="440" w:lineRule="exact"/>
        <w:jc w:val="center"/>
        <w:rPr>
          <w:rFonts w:hAnsi="宋体" w:cs="宋体"/>
          <w:color w:val="auto"/>
          <w:szCs w:val="24"/>
          <w:highlight w:val="none"/>
        </w:rPr>
      </w:pPr>
      <w:r>
        <w:rPr>
          <w:rFonts w:hint="eastAsia" w:ascii="宋体" w:hAnsi="宋体" w:cs="宋体"/>
          <w:b/>
          <w:color w:val="auto"/>
          <w:spacing w:val="4"/>
          <w:sz w:val="30"/>
          <w:szCs w:val="30"/>
          <w:highlight w:val="none"/>
        </w:rPr>
        <w:t>2.1开标一览表</w:t>
      </w:r>
    </w:p>
    <w:p w14:paraId="789B6FE4">
      <w:pPr>
        <w:spacing w:line="360" w:lineRule="auto"/>
        <w:rPr>
          <w:rFonts w:hint="eastAsia"/>
          <w:color w:val="auto"/>
          <w:highlight w:val="none"/>
          <w:lang w:eastAsia="zh-CN"/>
        </w:rPr>
      </w:pP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名称：</w:t>
      </w:r>
    </w:p>
    <w:p w14:paraId="2008CC85">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lang w:eastAsia="zh-CN"/>
        </w:rPr>
        <w:t>编号</w:t>
      </w:r>
      <w:r>
        <w:rPr>
          <w:rFonts w:hint="eastAsia" w:ascii="宋体" w:hAnsi="宋体"/>
          <w:color w:val="auto"/>
          <w:sz w:val="24"/>
          <w:szCs w:val="24"/>
          <w:highlight w:val="none"/>
        </w:rPr>
        <w:t>：</w:t>
      </w:r>
    </w:p>
    <w:tbl>
      <w:tblPr>
        <w:tblStyle w:val="24"/>
        <w:tblpPr w:leftFromText="180" w:rightFromText="180" w:vertAnchor="text" w:horzAnchor="page" w:tblpX="1706" w:tblpY="31"/>
        <w:tblW w:w="8499" w:type="dxa"/>
        <w:tblInd w:w="0" w:type="dxa"/>
        <w:tblLayout w:type="fixed"/>
        <w:tblCellMar>
          <w:top w:w="15" w:type="dxa"/>
          <w:left w:w="15" w:type="dxa"/>
          <w:bottom w:w="15" w:type="dxa"/>
          <w:right w:w="15" w:type="dxa"/>
        </w:tblCellMar>
      </w:tblPr>
      <w:tblGrid>
        <w:gridCol w:w="1198"/>
        <w:gridCol w:w="7301"/>
      </w:tblGrid>
      <w:tr w14:paraId="6C096783">
        <w:tblPrEx>
          <w:tblCellMar>
            <w:top w:w="15" w:type="dxa"/>
            <w:left w:w="15" w:type="dxa"/>
            <w:bottom w:w="15" w:type="dxa"/>
            <w:right w:w="15" w:type="dxa"/>
          </w:tblCellMar>
        </w:tblPrEx>
        <w:trPr>
          <w:trHeight w:val="1389" w:hRule="atLeast"/>
        </w:trPr>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C87D457">
            <w:pPr>
              <w:jc w:val="center"/>
              <w:textAlignment w:val="center"/>
              <w:rPr>
                <w:rFonts w:hint="eastAsia" w:ascii="宋体" w:hAnsi="宋体"/>
                <w:color w:val="auto"/>
                <w:sz w:val="24"/>
                <w:highlight w:val="none"/>
                <w:lang w:eastAsia="zh-CN"/>
              </w:rPr>
            </w:pPr>
            <w:r>
              <w:rPr>
                <w:rFonts w:hint="eastAsia" w:ascii="宋体" w:hAnsi="宋体" w:cs="宋体"/>
                <w:color w:val="auto"/>
                <w:kern w:val="2"/>
                <w:sz w:val="24"/>
                <w:szCs w:val="24"/>
                <w:highlight w:val="none"/>
                <w:lang w:val="en-US" w:eastAsia="zh-CN"/>
              </w:rPr>
              <w:t>投标总价</w:t>
            </w:r>
            <w:r>
              <w:rPr>
                <w:rFonts w:hint="eastAsia" w:ascii="宋体" w:hAnsi="宋体" w:eastAsia="宋体" w:cs="宋体"/>
                <w:color w:val="auto"/>
                <w:kern w:val="2"/>
                <w:sz w:val="24"/>
                <w:szCs w:val="24"/>
                <w:highlight w:val="none"/>
              </w:rPr>
              <w:t>（元）</w:t>
            </w:r>
          </w:p>
        </w:tc>
        <w:tc>
          <w:tcPr>
            <w:tcW w:w="7301" w:type="dxa"/>
            <w:tcBorders>
              <w:top w:val="single" w:color="000000" w:sz="4" w:space="0"/>
              <w:left w:val="single" w:color="000000" w:sz="4" w:space="0"/>
              <w:bottom w:val="single" w:color="000000" w:sz="4" w:space="0"/>
              <w:right w:val="single" w:color="000000" w:sz="4" w:space="0"/>
            </w:tcBorders>
            <w:noWrap w:val="0"/>
            <w:vAlign w:val="center"/>
          </w:tcPr>
          <w:p w14:paraId="13E15BD2">
            <w:pPr>
              <w:widowControl w:val="0"/>
              <w:jc w:val="both"/>
              <w:rPr>
                <w:rFonts w:hint="default" w:ascii="宋体" w:hAnsi="宋体" w:cs="宋体"/>
                <w:color w:val="auto"/>
                <w:kern w:val="2"/>
                <w:sz w:val="24"/>
                <w:szCs w:val="24"/>
                <w:highlight w:val="none"/>
                <w:u w:val="single"/>
                <w:lang w:val="en-US" w:eastAsia="zh-CN"/>
              </w:rPr>
            </w:pPr>
            <w:r>
              <w:rPr>
                <w:rFonts w:hint="eastAsia" w:ascii="宋体" w:hAnsi="宋体" w:cs="宋体"/>
                <w:color w:val="auto"/>
                <w:kern w:val="2"/>
                <w:sz w:val="24"/>
                <w:szCs w:val="24"/>
                <w:highlight w:val="none"/>
                <w:lang w:val="en-US" w:eastAsia="zh-CN"/>
              </w:rPr>
              <w:t xml:space="preserve">1、广告发布总价 </w:t>
            </w:r>
            <w:r>
              <w:rPr>
                <w:rFonts w:hint="eastAsia" w:ascii="宋体" w:hAnsi="宋体" w:cs="宋体"/>
                <w:color w:val="auto"/>
                <w:kern w:val="2"/>
                <w:sz w:val="24"/>
                <w:szCs w:val="24"/>
                <w:highlight w:val="none"/>
                <w:u w:val="single"/>
                <w:lang w:val="en-US" w:eastAsia="zh-CN"/>
              </w:rPr>
              <w:t xml:space="preserve">             元</w:t>
            </w:r>
          </w:p>
          <w:p w14:paraId="2DEA94BC">
            <w:pPr>
              <w:pStyle w:val="2"/>
              <w:rPr>
                <w:rFonts w:hint="default" w:ascii="宋体" w:hAnsi="宋体" w:cs="宋体"/>
                <w:color w:val="auto"/>
                <w:kern w:val="2"/>
                <w:sz w:val="24"/>
                <w:szCs w:val="24"/>
                <w:highlight w:val="none"/>
                <w:u w:val="single"/>
                <w:lang w:val="en-US" w:eastAsia="zh-CN"/>
              </w:rPr>
            </w:pPr>
            <w:r>
              <w:rPr>
                <w:rFonts w:hint="eastAsia" w:ascii="宋体" w:hAnsi="宋体" w:cs="宋体"/>
                <w:color w:val="auto"/>
                <w:kern w:val="2"/>
                <w:sz w:val="24"/>
                <w:szCs w:val="24"/>
                <w:highlight w:val="none"/>
                <w:u w:val="none"/>
                <w:lang w:val="en-US" w:eastAsia="zh-CN"/>
              </w:rPr>
              <w:t>2、</w:t>
            </w:r>
            <w:r>
              <w:rPr>
                <w:rFonts w:hint="eastAsia" w:ascii="宋体" w:hAnsi="宋体" w:cs="宋体"/>
                <w:color w:val="auto"/>
                <w:kern w:val="2"/>
                <w:sz w:val="24"/>
                <w:szCs w:val="24"/>
                <w:highlight w:val="none"/>
                <w:lang w:val="en-US" w:eastAsia="zh-CN"/>
              </w:rPr>
              <w:t>高新区日常制作总价</w:t>
            </w:r>
            <w:r>
              <w:rPr>
                <w:rFonts w:hint="eastAsia" w:ascii="宋体" w:hAnsi="宋体" w:cs="宋体"/>
                <w:color w:val="auto"/>
                <w:kern w:val="2"/>
                <w:sz w:val="24"/>
                <w:szCs w:val="24"/>
                <w:highlight w:val="none"/>
                <w:u w:val="single"/>
                <w:lang w:val="en-US" w:eastAsia="zh-CN"/>
              </w:rPr>
              <w:t xml:space="preserve">        元</w:t>
            </w:r>
          </w:p>
          <w:p w14:paraId="49B9E629">
            <w:pPr>
              <w:pStyle w:val="2"/>
              <w:rPr>
                <w:rFonts w:hint="eastAsia" w:ascii="宋体" w:hAnsi="宋体" w:cs="宋体"/>
                <w:color w:val="auto"/>
                <w:kern w:val="2"/>
                <w:sz w:val="24"/>
                <w:szCs w:val="24"/>
                <w:highlight w:val="none"/>
                <w:lang w:val="en-US" w:eastAsia="zh-CN"/>
              </w:rPr>
            </w:pPr>
          </w:p>
          <w:p w14:paraId="6AEA4EA6">
            <w:pPr>
              <w:pStyle w:val="2"/>
              <w:jc w:val="both"/>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 xml:space="preserve">投标总价 </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none"/>
                <w:lang w:val="en-US" w:eastAsia="zh-CN"/>
              </w:rPr>
              <w:t xml:space="preserve"> 元</w:t>
            </w:r>
          </w:p>
        </w:tc>
      </w:tr>
      <w:tr w14:paraId="02FDFF26">
        <w:tblPrEx>
          <w:tblCellMar>
            <w:top w:w="15" w:type="dxa"/>
            <w:left w:w="15" w:type="dxa"/>
            <w:bottom w:w="15" w:type="dxa"/>
            <w:right w:w="15" w:type="dxa"/>
          </w:tblCellMar>
        </w:tblPrEx>
        <w:trPr>
          <w:trHeight w:val="1169" w:hRule="atLeast"/>
        </w:trPr>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B9A764F">
            <w:pPr>
              <w:jc w:val="center"/>
              <w:textAlignment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服务期</w:t>
            </w:r>
          </w:p>
        </w:tc>
        <w:tc>
          <w:tcPr>
            <w:tcW w:w="7301" w:type="dxa"/>
            <w:tcBorders>
              <w:top w:val="single" w:color="000000" w:sz="4" w:space="0"/>
              <w:left w:val="single" w:color="000000" w:sz="4" w:space="0"/>
              <w:bottom w:val="single" w:color="000000" w:sz="4" w:space="0"/>
              <w:right w:val="single" w:color="000000" w:sz="4" w:space="0"/>
            </w:tcBorders>
            <w:noWrap w:val="0"/>
            <w:vAlign w:val="center"/>
          </w:tcPr>
          <w:p w14:paraId="25D1D7E5">
            <w:pPr>
              <w:widowControl w:val="0"/>
              <w:jc w:val="center"/>
              <w:rPr>
                <w:rFonts w:hint="default" w:ascii="宋体" w:hAnsi="宋体" w:eastAsia="宋体" w:cs="宋体"/>
                <w:color w:val="auto"/>
                <w:kern w:val="2"/>
                <w:sz w:val="24"/>
                <w:szCs w:val="24"/>
                <w:highlight w:val="none"/>
                <w:lang w:val="en-US"/>
              </w:rPr>
            </w:pPr>
          </w:p>
        </w:tc>
      </w:tr>
      <w:tr w14:paraId="7EC5C34D">
        <w:tblPrEx>
          <w:tblCellMar>
            <w:top w:w="15" w:type="dxa"/>
            <w:left w:w="15" w:type="dxa"/>
            <w:bottom w:w="15" w:type="dxa"/>
            <w:right w:w="15" w:type="dxa"/>
          </w:tblCellMar>
        </w:tblPrEx>
        <w:trPr>
          <w:trHeight w:val="1193" w:hRule="atLeast"/>
        </w:trPr>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969F574">
            <w:pPr>
              <w:jc w:val="center"/>
              <w:textAlignment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p>
        </w:tc>
        <w:tc>
          <w:tcPr>
            <w:tcW w:w="7301" w:type="dxa"/>
            <w:tcBorders>
              <w:top w:val="single" w:color="000000" w:sz="4" w:space="0"/>
              <w:left w:val="single" w:color="000000" w:sz="4" w:space="0"/>
              <w:bottom w:val="single" w:color="000000" w:sz="4" w:space="0"/>
              <w:right w:val="single" w:color="000000" w:sz="4" w:space="0"/>
            </w:tcBorders>
            <w:noWrap w:val="0"/>
            <w:vAlign w:val="center"/>
          </w:tcPr>
          <w:p w14:paraId="460D8C45">
            <w:pPr>
              <w:widowControl w:val="0"/>
              <w:jc w:val="center"/>
              <w:rPr>
                <w:rFonts w:hint="default" w:ascii="宋体" w:hAnsi="宋体" w:eastAsia="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投标总价=广告发布总价+高新区日常制作总价</w:t>
            </w:r>
          </w:p>
        </w:tc>
      </w:tr>
    </w:tbl>
    <w:p w14:paraId="4342446D">
      <w:pPr>
        <w:widowControl w:val="0"/>
        <w:ind w:firstLine="140" w:firstLineChars="50"/>
        <w:rPr>
          <w:rFonts w:ascii="Times New Roman" w:hAnsi="Times New Roman" w:cs="Times New Roman"/>
          <w:bCs/>
          <w:color w:val="auto"/>
          <w:sz w:val="28"/>
          <w:szCs w:val="28"/>
          <w:highlight w:val="none"/>
          <w:u w:val="single"/>
        </w:rPr>
      </w:pPr>
    </w:p>
    <w:p w14:paraId="42370746">
      <w:pPr>
        <w:pStyle w:val="6"/>
        <w:rPr>
          <w:color w:val="auto"/>
          <w:highlight w:val="none"/>
        </w:rPr>
      </w:pPr>
    </w:p>
    <w:p w14:paraId="2EC8E599">
      <w:pPr>
        <w:widowControl w:val="0"/>
        <w:spacing w:line="360" w:lineRule="auto"/>
        <w:rPr>
          <w:rFonts w:hint="eastAsia" w:ascii="宋体" w:hAnsi="宋体" w:eastAsia="宋体" w:cs="宋体"/>
          <w:b/>
          <w:color w:val="auto"/>
          <w:sz w:val="24"/>
          <w:szCs w:val="24"/>
          <w:highlight w:val="none"/>
        </w:rPr>
      </w:pPr>
      <w:r>
        <w:rPr>
          <w:rFonts w:hint="eastAsia" w:ascii="宋体" w:hAnsi="宋体" w:eastAsia="宋体" w:cs="宋体"/>
          <w:iCs/>
          <w:color w:val="auto"/>
          <w:sz w:val="24"/>
          <w:szCs w:val="24"/>
          <w:highlight w:val="none"/>
        </w:rPr>
        <w:t>注：</w:t>
      </w:r>
      <w:r>
        <w:rPr>
          <w:rFonts w:hint="eastAsia" w:ascii="宋体" w:hAnsi="宋体" w:cs="宋体"/>
          <w:iCs/>
          <w:color w:val="auto"/>
          <w:sz w:val="24"/>
          <w:szCs w:val="24"/>
          <w:highlight w:val="none"/>
          <w:lang w:val="en-US" w:eastAsia="zh-CN"/>
        </w:rPr>
        <w:t>1</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结合企业自身管理水平及市场行情自主报价，且投标报价不得超过限价。</w:t>
      </w:r>
    </w:p>
    <w:p w14:paraId="3FCC7F21">
      <w:pPr>
        <w:widowControl w:val="0"/>
        <w:rPr>
          <w:rFonts w:hint="eastAsia" w:ascii="宋体" w:hAnsi="宋体" w:eastAsia="宋体" w:cs="宋体"/>
          <w:color w:val="auto"/>
          <w:sz w:val="24"/>
          <w:szCs w:val="24"/>
          <w:highlight w:val="none"/>
        </w:rPr>
      </w:pPr>
    </w:p>
    <w:p w14:paraId="32C69CE8">
      <w:pPr>
        <w:widowControl w:val="0"/>
        <w:rPr>
          <w:rFonts w:hint="eastAsia" w:ascii="宋体" w:hAnsi="宋体" w:eastAsia="宋体" w:cs="宋体"/>
          <w:color w:val="auto"/>
          <w:sz w:val="24"/>
          <w:szCs w:val="24"/>
          <w:highlight w:val="none"/>
        </w:rPr>
      </w:pPr>
    </w:p>
    <w:p w14:paraId="39A88B44">
      <w:pPr>
        <w:widowControl w:val="0"/>
        <w:ind w:firstLine="480" w:firstLineChars="200"/>
        <w:rPr>
          <w:rFonts w:hint="eastAsia" w:ascii="宋体" w:hAnsi="宋体" w:eastAsia="宋体" w:cs="宋体"/>
          <w:color w:val="auto"/>
          <w:sz w:val="24"/>
          <w:szCs w:val="24"/>
          <w:highlight w:val="none"/>
        </w:rPr>
      </w:pPr>
    </w:p>
    <w:p w14:paraId="76704464">
      <w:pPr>
        <w:widowControl w:val="0"/>
        <w:ind w:firstLine="480" w:firstLineChars="200"/>
        <w:rPr>
          <w:rFonts w:hint="eastAsia" w:ascii="宋体" w:hAnsi="宋体" w:eastAsia="宋体" w:cs="宋体"/>
          <w:color w:val="auto"/>
          <w:sz w:val="24"/>
          <w:szCs w:val="24"/>
          <w:highlight w:val="none"/>
        </w:rPr>
      </w:pPr>
    </w:p>
    <w:p w14:paraId="08B349EC">
      <w:pPr>
        <w:widowControl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单位公章：</w:t>
      </w:r>
      <w:r>
        <w:rPr>
          <w:rFonts w:hint="eastAsia" w:ascii="宋体" w:hAnsi="宋体" w:eastAsia="宋体" w:cs="宋体"/>
          <w:color w:val="auto"/>
          <w:sz w:val="24"/>
          <w:szCs w:val="24"/>
          <w:highlight w:val="none"/>
          <w:u w:val="single"/>
        </w:rPr>
        <w:t xml:space="preserve">                     </w:t>
      </w:r>
    </w:p>
    <w:p w14:paraId="737DFDE9">
      <w:pPr>
        <w:widowControl w:val="0"/>
        <w:ind w:firstLine="480" w:firstLineChars="200"/>
        <w:rPr>
          <w:rFonts w:hint="eastAsia" w:ascii="宋体" w:hAnsi="宋体" w:eastAsia="宋体" w:cs="宋体"/>
          <w:color w:val="auto"/>
          <w:sz w:val="24"/>
          <w:szCs w:val="24"/>
          <w:highlight w:val="none"/>
        </w:rPr>
      </w:pPr>
    </w:p>
    <w:p w14:paraId="6FD708F2">
      <w:pPr>
        <w:widowControl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法人代表或委托代理人（签字或盖章）：</w:t>
      </w:r>
      <w:r>
        <w:rPr>
          <w:rFonts w:hint="eastAsia" w:ascii="宋体" w:hAnsi="宋体" w:eastAsia="宋体" w:cs="宋体"/>
          <w:color w:val="auto"/>
          <w:sz w:val="24"/>
          <w:szCs w:val="24"/>
          <w:highlight w:val="none"/>
          <w:u w:val="single"/>
        </w:rPr>
        <w:t xml:space="preserve">                     </w:t>
      </w:r>
    </w:p>
    <w:p w14:paraId="3AC009C0">
      <w:pPr>
        <w:widowControl w:val="0"/>
        <w:ind w:firstLine="480" w:firstLineChars="200"/>
        <w:rPr>
          <w:rFonts w:hint="eastAsia" w:ascii="宋体" w:hAnsi="宋体" w:eastAsia="宋体" w:cs="宋体"/>
          <w:color w:val="auto"/>
          <w:sz w:val="24"/>
          <w:szCs w:val="24"/>
          <w:highlight w:val="none"/>
        </w:rPr>
      </w:pPr>
    </w:p>
    <w:p w14:paraId="23AF1CF8">
      <w:pPr>
        <w:widowControl w:val="0"/>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A84B741">
      <w:pPr>
        <w:spacing w:line="480" w:lineRule="auto"/>
        <w:rPr>
          <w:rFonts w:hAnsi="宋体" w:cs="宋体"/>
          <w:color w:val="auto"/>
          <w:szCs w:val="24"/>
          <w:highlight w:val="none"/>
        </w:rPr>
      </w:pPr>
    </w:p>
    <w:p w14:paraId="70E75A19">
      <w:pPr>
        <w:rPr>
          <w:rFonts w:hint="eastAsia"/>
          <w:color w:val="auto"/>
          <w:highlight w:val="none"/>
        </w:rPr>
      </w:pPr>
      <w:r>
        <w:rPr>
          <w:rFonts w:hint="eastAsia" w:ascii="宋体" w:hAnsi="宋体" w:cs="宋体"/>
          <w:b/>
          <w:bCs/>
          <w:color w:val="auto"/>
          <w:sz w:val="32"/>
          <w:szCs w:val="32"/>
          <w:highlight w:val="none"/>
        </w:rPr>
        <w:br w:type="page"/>
      </w:r>
    </w:p>
    <w:p w14:paraId="2E5DE3EE">
      <w:pPr>
        <w:keepNext/>
        <w:keepLines/>
        <w:widowControl/>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清单  </w:t>
      </w:r>
    </w:p>
    <w:p w14:paraId="21E7E904">
      <w:pPr>
        <w:keepNext/>
        <w:keepLines/>
        <w:widowControl/>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1-广告发布</w:t>
      </w:r>
    </w:p>
    <w:tbl>
      <w:tblPr>
        <w:tblStyle w:val="43"/>
        <w:tblW w:w="88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106"/>
        <w:gridCol w:w="1130"/>
        <w:gridCol w:w="1035"/>
        <w:gridCol w:w="1012"/>
        <w:gridCol w:w="1213"/>
        <w:gridCol w:w="1285"/>
        <w:gridCol w:w="1287"/>
      </w:tblGrid>
      <w:tr w14:paraId="30F41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jc w:val="center"/>
        </w:trPr>
        <w:tc>
          <w:tcPr>
            <w:tcW w:w="747" w:type="dxa"/>
            <w:textDirection w:val="tbRlV"/>
            <w:vAlign w:val="center"/>
          </w:tcPr>
          <w:p w14:paraId="1A3F9F29">
            <w:pPr>
              <w:pStyle w:val="42"/>
              <w:spacing w:before="200" w:line="207" w:lineRule="auto"/>
              <w:ind w:left="95"/>
              <w:jc w:val="center"/>
              <w:rPr>
                <w:color w:val="auto"/>
                <w:sz w:val="22"/>
                <w:szCs w:val="22"/>
              </w:rPr>
            </w:pPr>
            <w:r>
              <w:rPr>
                <w:color w:val="auto"/>
                <w:spacing w:val="37"/>
                <w:sz w:val="22"/>
                <w:szCs w:val="22"/>
              </w:rPr>
              <w:t>序号</w:t>
            </w:r>
          </w:p>
        </w:tc>
        <w:tc>
          <w:tcPr>
            <w:tcW w:w="1106" w:type="dxa"/>
            <w:vAlign w:val="center"/>
          </w:tcPr>
          <w:p w14:paraId="2BD94141">
            <w:pPr>
              <w:pStyle w:val="42"/>
              <w:spacing w:line="223" w:lineRule="auto"/>
              <w:jc w:val="both"/>
              <w:rPr>
                <w:rFonts w:hint="default" w:eastAsia="宋体"/>
                <w:color w:val="auto"/>
                <w:sz w:val="22"/>
                <w:szCs w:val="22"/>
                <w:lang w:val="en-US" w:eastAsia="zh-CN"/>
              </w:rPr>
            </w:pPr>
            <w:r>
              <w:rPr>
                <w:rFonts w:hint="eastAsia"/>
                <w:color w:val="auto"/>
                <w:sz w:val="22"/>
                <w:szCs w:val="22"/>
                <w:lang w:val="en-US" w:eastAsia="zh-CN"/>
              </w:rPr>
              <w:t>发布形式</w:t>
            </w:r>
          </w:p>
        </w:tc>
        <w:tc>
          <w:tcPr>
            <w:tcW w:w="1130" w:type="dxa"/>
            <w:vAlign w:val="center"/>
          </w:tcPr>
          <w:p w14:paraId="743AE161">
            <w:pPr>
              <w:pStyle w:val="42"/>
              <w:spacing w:before="124" w:line="215" w:lineRule="auto"/>
              <w:jc w:val="both"/>
              <w:rPr>
                <w:rFonts w:hint="default" w:eastAsia="宋体"/>
                <w:color w:val="auto"/>
                <w:sz w:val="22"/>
                <w:szCs w:val="22"/>
                <w:lang w:val="en-US" w:eastAsia="zh-CN"/>
              </w:rPr>
            </w:pPr>
            <w:r>
              <w:rPr>
                <w:rFonts w:hint="eastAsia" w:eastAsia="宋体"/>
                <w:color w:val="auto"/>
                <w:sz w:val="22"/>
                <w:szCs w:val="22"/>
                <w:lang w:val="en-US" w:eastAsia="zh-CN"/>
              </w:rPr>
              <w:t>发布要求</w:t>
            </w:r>
          </w:p>
        </w:tc>
        <w:tc>
          <w:tcPr>
            <w:tcW w:w="1035" w:type="dxa"/>
            <w:vAlign w:val="center"/>
          </w:tcPr>
          <w:p w14:paraId="6BC642FE">
            <w:pPr>
              <w:pStyle w:val="42"/>
              <w:spacing w:before="95" w:line="305" w:lineRule="exact"/>
              <w:jc w:val="both"/>
              <w:rPr>
                <w:color w:val="auto"/>
                <w:sz w:val="22"/>
                <w:szCs w:val="22"/>
              </w:rPr>
            </w:pPr>
            <w:r>
              <w:rPr>
                <w:rFonts w:hint="eastAsia"/>
                <w:color w:val="auto"/>
                <w:spacing w:val="-3"/>
                <w:sz w:val="22"/>
                <w:szCs w:val="22"/>
                <w:lang w:val="en-US" w:eastAsia="zh-CN"/>
              </w:rPr>
              <w:t>发布</w:t>
            </w:r>
            <w:r>
              <w:rPr>
                <w:color w:val="auto"/>
                <w:spacing w:val="-3"/>
                <w:sz w:val="22"/>
                <w:szCs w:val="22"/>
              </w:rPr>
              <w:t>数量</w:t>
            </w:r>
          </w:p>
        </w:tc>
        <w:tc>
          <w:tcPr>
            <w:tcW w:w="1012" w:type="dxa"/>
            <w:vAlign w:val="center"/>
          </w:tcPr>
          <w:p w14:paraId="5D4A80B6">
            <w:pPr>
              <w:pStyle w:val="42"/>
              <w:spacing w:before="236" w:line="226" w:lineRule="auto"/>
              <w:ind w:left="131"/>
              <w:jc w:val="both"/>
              <w:rPr>
                <w:color w:val="auto"/>
                <w:sz w:val="22"/>
                <w:szCs w:val="22"/>
              </w:rPr>
            </w:pPr>
            <w:r>
              <w:rPr>
                <w:color w:val="auto"/>
                <w:spacing w:val="-6"/>
                <w:sz w:val="22"/>
                <w:szCs w:val="22"/>
              </w:rPr>
              <w:t>单位</w:t>
            </w:r>
          </w:p>
        </w:tc>
        <w:tc>
          <w:tcPr>
            <w:tcW w:w="1213" w:type="dxa"/>
            <w:vAlign w:val="center"/>
          </w:tcPr>
          <w:p w14:paraId="4F9DC778">
            <w:pPr>
              <w:pStyle w:val="42"/>
              <w:spacing w:before="236" w:line="226" w:lineRule="auto"/>
              <w:ind w:left="139" w:leftChars="0"/>
              <w:jc w:val="both"/>
              <w:rPr>
                <w:color w:val="auto"/>
                <w:sz w:val="22"/>
                <w:szCs w:val="22"/>
              </w:rPr>
            </w:pPr>
            <w:r>
              <w:rPr>
                <w:color w:val="auto"/>
                <w:spacing w:val="-2"/>
                <w:sz w:val="22"/>
                <w:szCs w:val="22"/>
              </w:rPr>
              <w:t>单价(元)</w:t>
            </w:r>
          </w:p>
        </w:tc>
        <w:tc>
          <w:tcPr>
            <w:tcW w:w="1285" w:type="dxa"/>
            <w:vAlign w:val="center"/>
          </w:tcPr>
          <w:p w14:paraId="7654BB5A">
            <w:pPr>
              <w:pStyle w:val="42"/>
              <w:spacing w:before="237" w:line="230" w:lineRule="auto"/>
              <w:ind w:left="166" w:leftChars="0"/>
              <w:jc w:val="both"/>
              <w:rPr>
                <w:color w:val="auto"/>
                <w:sz w:val="22"/>
                <w:szCs w:val="22"/>
              </w:rPr>
            </w:pPr>
            <w:r>
              <w:rPr>
                <w:color w:val="auto"/>
                <w:spacing w:val="-1"/>
                <w:sz w:val="22"/>
                <w:szCs w:val="22"/>
              </w:rPr>
              <w:t>合计(元)</w:t>
            </w:r>
          </w:p>
        </w:tc>
        <w:tc>
          <w:tcPr>
            <w:tcW w:w="1287" w:type="dxa"/>
            <w:vAlign w:val="center"/>
          </w:tcPr>
          <w:p w14:paraId="66D10E46">
            <w:pPr>
              <w:pStyle w:val="42"/>
              <w:spacing w:before="237" w:line="230" w:lineRule="auto"/>
              <w:ind w:left="166" w:firstLine="220" w:firstLineChars="100"/>
              <w:jc w:val="both"/>
              <w:rPr>
                <w:rFonts w:hint="eastAsia" w:eastAsia="宋体"/>
                <w:color w:val="auto"/>
                <w:sz w:val="22"/>
                <w:szCs w:val="22"/>
                <w:lang w:val="en-US" w:eastAsia="zh-CN"/>
              </w:rPr>
            </w:pPr>
            <w:r>
              <w:rPr>
                <w:rFonts w:hint="eastAsia"/>
                <w:color w:val="auto"/>
                <w:sz w:val="22"/>
                <w:szCs w:val="22"/>
                <w:lang w:val="en-US" w:eastAsia="zh-CN"/>
              </w:rPr>
              <w:t>备注</w:t>
            </w:r>
          </w:p>
        </w:tc>
      </w:tr>
      <w:tr w14:paraId="1A37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747" w:type="dxa"/>
            <w:vAlign w:val="center"/>
          </w:tcPr>
          <w:p w14:paraId="0A77B299">
            <w:pPr>
              <w:pStyle w:val="42"/>
              <w:spacing w:before="268" w:line="184" w:lineRule="auto"/>
              <w:ind w:left="277"/>
              <w:jc w:val="both"/>
              <w:rPr>
                <w:color w:val="auto"/>
                <w:sz w:val="22"/>
                <w:szCs w:val="22"/>
                <w:highlight w:val="none"/>
              </w:rPr>
            </w:pPr>
            <w:r>
              <w:rPr>
                <w:color w:val="auto"/>
                <w:sz w:val="22"/>
                <w:szCs w:val="22"/>
                <w:highlight w:val="none"/>
              </w:rPr>
              <w:t>1</w:t>
            </w:r>
          </w:p>
        </w:tc>
        <w:tc>
          <w:tcPr>
            <w:tcW w:w="1106" w:type="dxa"/>
            <w:vAlign w:val="center"/>
          </w:tcPr>
          <w:p w14:paraId="4FF5DED5">
            <w:pPr>
              <w:jc w:val="center"/>
              <w:rPr>
                <w:rFonts w:hint="default" w:ascii="Arial" w:eastAsia="宋体"/>
                <w:color w:val="auto"/>
                <w:sz w:val="21"/>
                <w:highlight w:val="none"/>
                <w:lang w:val="en-US" w:eastAsia="zh-CN"/>
              </w:rPr>
            </w:pPr>
          </w:p>
        </w:tc>
        <w:tc>
          <w:tcPr>
            <w:tcW w:w="1130" w:type="dxa"/>
            <w:vAlign w:val="center"/>
          </w:tcPr>
          <w:p w14:paraId="4CE8C1DF">
            <w:pPr>
              <w:pStyle w:val="42"/>
              <w:spacing w:before="51" w:line="186" w:lineRule="auto"/>
              <w:ind w:left="141"/>
              <w:jc w:val="both"/>
              <w:rPr>
                <w:color w:val="auto"/>
                <w:sz w:val="22"/>
                <w:szCs w:val="22"/>
                <w:highlight w:val="none"/>
              </w:rPr>
            </w:pPr>
          </w:p>
        </w:tc>
        <w:tc>
          <w:tcPr>
            <w:tcW w:w="1035" w:type="dxa"/>
            <w:vAlign w:val="center"/>
          </w:tcPr>
          <w:p w14:paraId="4DFD3C4F">
            <w:pPr>
              <w:jc w:val="center"/>
              <w:rPr>
                <w:rFonts w:hint="eastAsia" w:ascii="Arial" w:eastAsia="宋体"/>
                <w:color w:val="auto"/>
                <w:sz w:val="21"/>
                <w:highlight w:val="none"/>
                <w:lang w:val="en-US" w:eastAsia="zh-CN"/>
              </w:rPr>
            </w:pPr>
          </w:p>
        </w:tc>
        <w:tc>
          <w:tcPr>
            <w:tcW w:w="1012" w:type="dxa"/>
            <w:vAlign w:val="center"/>
          </w:tcPr>
          <w:p w14:paraId="615BBAEF">
            <w:pPr>
              <w:pStyle w:val="42"/>
              <w:spacing w:before="234" w:line="232" w:lineRule="auto"/>
              <w:ind w:left="263"/>
              <w:jc w:val="center"/>
              <w:rPr>
                <w:color w:val="auto"/>
                <w:sz w:val="22"/>
                <w:szCs w:val="22"/>
                <w:highlight w:val="none"/>
              </w:rPr>
            </w:pPr>
          </w:p>
        </w:tc>
        <w:tc>
          <w:tcPr>
            <w:tcW w:w="1213" w:type="dxa"/>
            <w:vAlign w:val="center"/>
          </w:tcPr>
          <w:p w14:paraId="1EB5E2AB">
            <w:pPr>
              <w:jc w:val="center"/>
              <w:rPr>
                <w:rFonts w:ascii="Arial"/>
                <w:color w:val="auto"/>
                <w:sz w:val="21"/>
                <w:highlight w:val="none"/>
              </w:rPr>
            </w:pPr>
          </w:p>
        </w:tc>
        <w:tc>
          <w:tcPr>
            <w:tcW w:w="1285" w:type="dxa"/>
            <w:vAlign w:val="center"/>
          </w:tcPr>
          <w:p w14:paraId="22498766">
            <w:pPr>
              <w:pStyle w:val="42"/>
              <w:spacing w:before="265" w:line="186" w:lineRule="auto"/>
              <w:ind w:left="190"/>
              <w:jc w:val="both"/>
              <w:rPr>
                <w:color w:val="auto"/>
                <w:sz w:val="22"/>
                <w:szCs w:val="22"/>
                <w:highlight w:val="none"/>
              </w:rPr>
            </w:pPr>
          </w:p>
        </w:tc>
        <w:tc>
          <w:tcPr>
            <w:tcW w:w="1287" w:type="dxa"/>
            <w:vAlign w:val="center"/>
          </w:tcPr>
          <w:p w14:paraId="46F0361E">
            <w:pPr>
              <w:keepNext w:val="0"/>
              <w:keepLines w:val="0"/>
              <w:widowControl/>
              <w:suppressLineNumbers w:val="0"/>
              <w:jc w:val="center"/>
              <w:textAlignment w:val="center"/>
              <w:rPr>
                <w:rFonts w:ascii="楷体" w:hAnsi="楷体" w:eastAsia="楷体" w:cs="楷体"/>
                <w:snapToGrid w:val="0"/>
                <w:color w:val="auto"/>
                <w:spacing w:val="-1"/>
                <w:kern w:val="0"/>
                <w:sz w:val="22"/>
                <w:szCs w:val="22"/>
                <w:highlight w:val="none"/>
                <w:lang w:val="en-US" w:eastAsia="en-US" w:bidi="ar-SA"/>
              </w:rPr>
            </w:pPr>
          </w:p>
        </w:tc>
      </w:tr>
      <w:tr w14:paraId="7E5A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jc w:val="center"/>
        </w:trPr>
        <w:tc>
          <w:tcPr>
            <w:tcW w:w="747" w:type="dxa"/>
            <w:vAlign w:val="center"/>
          </w:tcPr>
          <w:p w14:paraId="6576DE9A">
            <w:pPr>
              <w:pStyle w:val="42"/>
              <w:spacing w:before="267" w:line="186" w:lineRule="auto"/>
              <w:ind w:left="264"/>
              <w:jc w:val="both"/>
              <w:rPr>
                <w:color w:val="auto"/>
                <w:sz w:val="22"/>
                <w:szCs w:val="22"/>
                <w:highlight w:val="none"/>
              </w:rPr>
            </w:pPr>
            <w:r>
              <w:rPr>
                <w:color w:val="auto"/>
                <w:sz w:val="22"/>
                <w:szCs w:val="22"/>
                <w:highlight w:val="none"/>
              </w:rPr>
              <w:t>2</w:t>
            </w:r>
          </w:p>
        </w:tc>
        <w:tc>
          <w:tcPr>
            <w:tcW w:w="1106" w:type="dxa"/>
            <w:vAlign w:val="center"/>
          </w:tcPr>
          <w:p w14:paraId="6AC2591A">
            <w:pPr>
              <w:jc w:val="center"/>
              <w:rPr>
                <w:rFonts w:ascii="Arial"/>
                <w:color w:val="auto"/>
                <w:sz w:val="21"/>
                <w:highlight w:val="none"/>
              </w:rPr>
            </w:pPr>
          </w:p>
        </w:tc>
        <w:tc>
          <w:tcPr>
            <w:tcW w:w="1130" w:type="dxa"/>
            <w:vAlign w:val="center"/>
          </w:tcPr>
          <w:p w14:paraId="4D4C4C66">
            <w:pPr>
              <w:pStyle w:val="42"/>
              <w:spacing w:before="92" w:line="234" w:lineRule="auto"/>
              <w:ind w:left="200" w:right="130" w:hanging="56"/>
              <w:jc w:val="both"/>
              <w:rPr>
                <w:color w:val="auto"/>
                <w:sz w:val="22"/>
                <w:szCs w:val="22"/>
                <w:highlight w:val="none"/>
              </w:rPr>
            </w:pPr>
          </w:p>
        </w:tc>
        <w:tc>
          <w:tcPr>
            <w:tcW w:w="1035" w:type="dxa"/>
            <w:vAlign w:val="center"/>
          </w:tcPr>
          <w:p w14:paraId="018F5985">
            <w:pPr>
              <w:jc w:val="center"/>
              <w:rPr>
                <w:rFonts w:ascii="Arial"/>
                <w:color w:val="auto"/>
                <w:sz w:val="21"/>
                <w:highlight w:val="none"/>
              </w:rPr>
            </w:pPr>
          </w:p>
        </w:tc>
        <w:tc>
          <w:tcPr>
            <w:tcW w:w="1012" w:type="dxa"/>
            <w:vAlign w:val="center"/>
          </w:tcPr>
          <w:p w14:paraId="7EC59CDF">
            <w:pPr>
              <w:pStyle w:val="42"/>
              <w:spacing w:before="236" w:line="232" w:lineRule="auto"/>
              <w:ind w:left="263"/>
              <w:jc w:val="center"/>
              <w:rPr>
                <w:color w:val="auto"/>
                <w:sz w:val="22"/>
                <w:szCs w:val="22"/>
                <w:highlight w:val="none"/>
              </w:rPr>
            </w:pPr>
          </w:p>
        </w:tc>
        <w:tc>
          <w:tcPr>
            <w:tcW w:w="1213" w:type="dxa"/>
            <w:vAlign w:val="center"/>
          </w:tcPr>
          <w:p w14:paraId="0609CF3B">
            <w:pPr>
              <w:jc w:val="center"/>
              <w:rPr>
                <w:rFonts w:ascii="Arial"/>
                <w:color w:val="auto"/>
                <w:sz w:val="21"/>
                <w:highlight w:val="none"/>
              </w:rPr>
            </w:pPr>
          </w:p>
        </w:tc>
        <w:tc>
          <w:tcPr>
            <w:tcW w:w="1285" w:type="dxa"/>
            <w:vAlign w:val="center"/>
          </w:tcPr>
          <w:p w14:paraId="6F3F8994">
            <w:pPr>
              <w:pStyle w:val="42"/>
              <w:spacing w:before="267" w:line="186" w:lineRule="auto"/>
              <w:ind w:left="188"/>
              <w:jc w:val="both"/>
              <w:rPr>
                <w:color w:val="auto"/>
                <w:sz w:val="22"/>
                <w:szCs w:val="22"/>
                <w:highlight w:val="none"/>
              </w:rPr>
            </w:pPr>
          </w:p>
        </w:tc>
        <w:tc>
          <w:tcPr>
            <w:tcW w:w="1287" w:type="dxa"/>
            <w:vAlign w:val="center"/>
          </w:tcPr>
          <w:p w14:paraId="4B4E4CB0">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39C27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jc w:val="center"/>
        </w:trPr>
        <w:tc>
          <w:tcPr>
            <w:tcW w:w="747" w:type="dxa"/>
            <w:vAlign w:val="center"/>
          </w:tcPr>
          <w:p w14:paraId="25576622">
            <w:pPr>
              <w:pStyle w:val="42"/>
              <w:spacing w:before="267" w:line="186" w:lineRule="auto"/>
              <w:ind w:left="265"/>
              <w:jc w:val="both"/>
              <w:rPr>
                <w:color w:val="auto"/>
                <w:sz w:val="22"/>
                <w:szCs w:val="22"/>
                <w:highlight w:val="none"/>
              </w:rPr>
            </w:pPr>
            <w:r>
              <w:rPr>
                <w:color w:val="auto"/>
                <w:sz w:val="22"/>
                <w:szCs w:val="22"/>
                <w:highlight w:val="none"/>
              </w:rPr>
              <w:t>3</w:t>
            </w:r>
          </w:p>
        </w:tc>
        <w:tc>
          <w:tcPr>
            <w:tcW w:w="1106" w:type="dxa"/>
            <w:vAlign w:val="center"/>
          </w:tcPr>
          <w:p w14:paraId="76088BBA">
            <w:pPr>
              <w:jc w:val="center"/>
              <w:rPr>
                <w:rFonts w:ascii="Arial"/>
                <w:color w:val="auto"/>
                <w:sz w:val="21"/>
                <w:highlight w:val="none"/>
              </w:rPr>
            </w:pPr>
          </w:p>
        </w:tc>
        <w:tc>
          <w:tcPr>
            <w:tcW w:w="1130" w:type="dxa"/>
            <w:vAlign w:val="center"/>
          </w:tcPr>
          <w:p w14:paraId="351704BF">
            <w:pPr>
              <w:pStyle w:val="42"/>
              <w:spacing w:before="234" w:line="221" w:lineRule="auto"/>
              <w:ind w:left="324"/>
              <w:jc w:val="both"/>
              <w:rPr>
                <w:color w:val="auto"/>
                <w:sz w:val="22"/>
                <w:szCs w:val="22"/>
                <w:highlight w:val="none"/>
              </w:rPr>
            </w:pPr>
          </w:p>
        </w:tc>
        <w:tc>
          <w:tcPr>
            <w:tcW w:w="1035" w:type="dxa"/>
            <w:vAlign w:val="center"/>
          </w:tcPr>
          <w:p w14:paraId="0DA4DF1C">
            <w:pPr>
              <w:jc w:val="center"/>
              <w:rPr>
                <w:rFonts w:ascii="Arial"/>
                <w:color w:val="auto"/>
                <w:sz w:val="21"/>
                <w:highlight w:val="none"/>
              </w:rPr>
            </w:pPr>
          </w:p>
        </w:tc>
        <w:tc>
          <w:tcPr>
            <w:tcW w:w="1012" w:type="dxa"/>
            <w:vAlign w:val="center"/>
          </w:tcPr>
          <w:p w14:paraId="29B4224F">
            <w:pPr>
              <w:pStyle w:val="42"/>
              <w:spacing w:before="235" w:line="232" w:lineRule="auto"/>
              <w:ind w:left="263"/>
              <w:jc w:val="center"/>
              <w:rPr>
                <w:color w:val="auto"/>
                <w:sz w:val="22"/>
                <w:szCs w:val="22"/>
                <w:highlight w:val="none"/>
              </w:rPr>
            </w:pPr>
          </w:p>
        </w:tc>
        <w:tc>
          <w:tcPr>
            <w:tcW w:w="1213" w:type="dxa"/>
            <w:vAlign w:val="center"/>
          </w:tcPr>
          <w:p w14:paraId="539C346F">
            <w:pPr>
              <w:jc w:val="center"/>
              <w:rPr>
                <w:rFonts w:ascii="Arial"/>
                <w:color w:val="auto"/>
                <w:sz w:val="21"/>
                <w:highlight w:val="none"/>
              </w:rPr>
            </w:pPr>
          </w:p>
        </w:tc>
        <w:tc>
          <w:tcPr>
            <w:tcW w:w="1285" w:type="dxa"/>
            <w:vAlign w:val="center"/>
          </w:tcPr>
          <w:p w14:paraId="1729CB89">
            <w:pPr>
              <w:pStyle w:val="42"/>
              <w:spacing w:before="266" w:line="186" w:lineRule="auto"/>
              <w:ind w:left="188"/>
              <w:jc w:val="both"/>
              <w:rPr>
                <w:color w:val="auto"/>
                <w:sz w:val="22"/>
                <w:szCs w:val="22"/>
                <w:highlight w:val="none"/>
              </w:rPr>
            </w:pPr>
          </w:p>
        </w:tc>
        <w:tc>
          <w:tcPr>
            <w:tcW w:w="1287" w:type="dxa"/>
            <w:vAlign w:val="center"/>
          </w:tcPr>
          <w:p w14:paraId="5095CD5D">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7CD0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747" w:type="dxa"/>
            <w:vAlign w:val="center"/>
          </w:tcPr>
          <w:p w14:paraId="2B7D0984">
            <w:pPr>
              <w:pStyle w:val="42"/>
              <w:spacing w:before="271" w:line="184" w:lineRule="auto"/>
              <w:ind w:left="259"/>
              <w:jc w:val="both"/>
              <w:rPr>
                <w:color w:val="auto"/>
                <w:sz w:val="22"/>
                <w:szCs w:val="22"/>
                <w:highlight w:val="none"/>
              </w:rPr>
            </w:pPr>
            <w:r>
              <w:rPr>
                <w:color w:val="auto"/>
                <w:sz w:val="22"/>
                <w:szCs w:val="22"/>
                <w:highlight w:val="none"/>
              </w:rPr>
              <w:t>4</w:t>
            </w:r>
          </w:p>
        </w:tc>
        <w:tc>
          <w:tcPr>
            <w:tcW w:w="1106" w:type="dxa"/>
            <w:vAlign w:val="center"/>
          </w:tcPr>
          <w:p w14:paraId="2229D03B">
            <w:pPr>
              <w:jc w:val="center"/>
              <w:rPr>
                <w:rFonts w:ascii="Arial"/>
                <w:color w:val="auto"/>
                <w:sz w:val="21"/>
                <w:highlight w:val="none"/>
              </w:rPr>
            </w:pPr>
          </w:p>
        </w:tc>
        <w:tc>
          <w:tcPr>
            <w:tcW w:w="1130" w:type="dxa"/>
            <w:vAlign w:val="center"/>
          </w:tcPr>
          <w:p w14:paraId="504B293D">
            <w:pPr>
              <w:pStyle w:val="42"/>
              <w:spacing w:before="236" w:line="221" w:lineRule="auto"/>
              <w:ind w:left="114"/>
              <w:jc w:val="both"/>
              <w:rPr>
                <w:rFonts w:hint="default" w:eastAsia="宋体"/>
                <w:color w:val="auto"/>
                <w:sz w:val="22"/>
                <w:szCs w:val="22"/>
                <w:highlight w:val="none"/>
                <w:lang w:val="en-US" w:eastAsia="zh-CN"/>
              </w:rPr>
            </w:pPr>
          </w:p>
        </w:tc>
        <w:tc>
          <w:tcPr>
            <w:tcW w:w="1035" w:type="dxa"/>
            <w:vAlign w:val="center"/>
          </w:tcPr>
          <w:p w14:paraId="25765133">
            <w:pPr>
              <w:jc w:val="center"/>
              <w:rPr>
                <w:rFonts w:ascii="Arial"/>
                <w:color w:val="auto"/>
                <w:sz w:val="21"/>
                <w:highlight w:val="none"/>
              </w:rPr>
            </w:pPr>
          </w:p>
        </w:tc>
        <w:tc>
          <w:tcPr>
            <w:tcW w:w="1012" w:type="dxa"/>
            <w:vAlign w:val="center"/>
          </w:tcPr>
          <w:p w14:paraId="50578733">
            <w:pPr>
              <w:pStyle w:val="42"/>
              <w:spacing w:before="237" w:line="232" w:lineRule="auto"/>
              <w:ind w:left="263"/>
              <w:jc w:val="center"/>
              <w:rPr>
                <w:color w:val="auto"/>
                <w:sz w:val="22"/>
                <w:szCs w:val="22"/>
                <w:highlight w:val="none"/>
              </w:rPr>
            </w:pPr>
          </w:p>
        </w:tc>
        <w:tc>
          <w:tcPr>
            <w:tcW w:w="1213" w:type="dxa"/>
            <w:vAlign w:val="center"/>
          </w:tcPr>
          <w:p w14:paraId="43238188">
            <w:pPr>
              <w:jc w:val="center"/>
              <w:rPr>
                <w:rFonts w:ascii="Arial"/>
                <w:color w:val="auto"/>
                <w:sz w:val="21"/>
                <w:highlight w:val="none"/>
              </w:rPr>
            </w:pPr>
          </w:p>
        </w:tc>
        <w:tc>
          <w:tcPr>
            <w:tcW w:w="1285" w:type="dxa"/>
            <w:vAlign w:val="center"/>
          </w:tcPr>
          <w:p w14:paraId="139A7321">
            <w:pPr>
              <w:pStyle w:val="42"/>
              <w:spacing w:before="268" w:line="186" w:lineRule="auto"/>
              <w:ind w:left="188"/>
              <w:jc w:val="both"/>
              <w:rPr>
                <w:color w:val="auto"/>
                <w:sz w:val="22"/>
                <w:szCs w:val="22"/>
                <w:highlight w:val="none"/>
              </w:rPr>
            </w:pPr>
          </w:p>
        </w:tc>
        <w:tc>
          <w:tcPr>
            <w:tcW w:w="1287" w:type="dxa"/>
            <w:vAlign w:val="center"/>
          </w:tcPr>
          <w:p w14:paraId="12C6C8CB">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41F6E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jc w:val="center"/>
        </w:trPr>
        <w:tc>
          <w:tcPr>
            <w:tcW w:w="747" w:type="dxa"/>
            <w:vAlign w:val="center"/>
          </w:tcPr>
          <w:p w14:paraId="4B5732A8">
            <w:pPr>
              <w:pStyle w:val="42"/>
              <w:spacing w:before="274" w:line="182" w:lineRule="auto"/>
              <w:ind w:left="260"/>
              <w:jc w:val="both"/>
              <w:rPr>
                <w:color w:val="auto"/>
                <w:sz w:val="22"/>
                <w:szCs w:val="22"/>
                <w:highlight w:val="none"/>
              </w:rPr>
            </w:pPr>
            <w:r>
              <w:rPr>
                <w:color w:val="auto"/>
                <w:sz w:val="22"/>
                <w:szCs w:val="22"/>
                <w:highlight w:val="none"/>
              </w:rPr>
              <w:t>5</w:t>
            </w:r>
          </w:p>
        </w:tc>
        <w:tc>
          <w:tcPr>
            <w:tcW w:w="1106" w:type="dxa"/>
            <w:vAlign w:val="center"/>
          </w:tcPr>
          <w:p w14:paraId="27D4BFA9">
            <w:pPr>
              <w:jc w:val="center"/>
              <w:rPr>
                <w:rFonts w:ascii="Arial"/>
                <w:color w:val="auto"/>
                <w:sz w:val="21"/>
                <w:highlight w:val="none"/>
              </w:rPr>
            </w:pPr>
          </w:p>
        </w:tc>
        <w:tc>
          <w:tcPr>
            <w:tcW w:w="1130" w:type="dxa"/>
            <w:vAlign w:val="center"/>
          </w:tcPr>
          <w:p w14:paraId="19A3C864">
            <w:pPr>
              <w:pStyle w:val="42"/>
              <w:spacing w:before="94" w:line="231" w:lineRule="auto"/>
              <w:ind w:left="1017" w:right="103" w:hanging="900"/>
              <w:jc w:val="both"/>
              <w:rPr>
                <w:color w:val="auto"/>
                <w:sz w:val="22"/>
                <w:szCs w:val="22"/>
                <w:highlight w:val="none"/>
              </w:rPr>
            </w:pPr>
          </w:p>
        </w:tc>
        <w:tc>
          <w:tcPr>
            <w:tcW w:w="1035" w:type="dxa"/>
            <w:vAlign w:val="center"/>
          </w:tcPr>
          <w:p w14:paraId="02BCD493">
            <w:pPr>
              <w:jc w:val="center"/>
              <w:rPr>
                <w:rFonts w:ascii="Arial"/>
                <w:color w:val="auto"/>
                <w:sz w:val="21"/>
                <w:highlight w:val="none"/>
              </w:rPr>
            </w:pPr>
          </w:p>
        </w:tc>
        <w:tc>
          <w:tcPr>
            <w:tcW w:w="1012" w:type="dxa"/>
            <w:vAlign w:val="center"/>
          </w:tcPr>
          <w:p w14:paraId="1D77B678">
            <w:pPr>
              <w:pStyle w:val="42"/>
              <w:spacing w:before="237" w:line="228" w:lineRule="auto"/>
              <w:ind w:left="246"/>
              <w:jc w:val="center"/>
              <w:rPr>
                <w:color w:val="auto"/>
                <w:sz w:val="22"/>
                <w:szCs w:val="22"/>
                <w:highlight w:val="none"/>
              </w:rPr>
            </w:pPr>
          </w:p>
        </w:tc>
        <w:tc>
          <w:tcPr>
            <w:tcW w:w="1213" w:type="dxa"/>
            <w:vAlign w:val="center"/>
          </w:tcPr>
          <w:p w14:paraId="096F7560">
            <w:pPr>
              <w:jc w:val="center"/>
              <w:rPr>
                <w:rFonts w:ascii="Arial"/>
                <w:color w:val="auto"/>
                <w:sz w:val="21"/>
                <w:highlight w:val="none"/>
              </w:rPr>
            </w:pPr>
          </w:p>
        </w:tc>
        <w:tc>
          <w:tcPr>
            <w:tcW w:w="1285" w:type="dxa"/>
            <w:vAlign w:val="center"/>
          </w:tcPr>
          <w:p w14:paraId="6627CA7A">
            <w:pPr>
              <w:pStyle w:val="42"/>
              <w:spacing w:before="270" w:line="185" w:lineRule="auto"/>
              <w:ind w:left="256"/>
              <w:jc w:val="both"/>
              <w:rPr>
                <w:color w:val="auto"/>
                <w:sz w:val="22"/>
                <w:szCs w:val="22"/>
                <w:highlight w:val="none"/>
              </w:rPr>
            </w:pPr>
          </w:p>
        </w:tc>
        <w:tc>
          <w:tcPr>
            <w:tcW w:w="1287" w:type="dxa"/>
            <w:vAlign w:val="center"/>
          </w:tcPr>
          <w:p w14:paraId="4BA338A7">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322F3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6243" w:type="dxa"/>
            <w:gridSpan w:val="6"/>
            <w:vAlign w:val="center"/>
          </w:tcPr>
          <w:p w14:paraId="11A8E0C5">
            <w:pPr>
              <w:jc w:val="center"/>
              <w:rPr>
                <w:rFonts w:hint="default" w:ascii="Arial" w:eastAsia="宋体"/>
                <w:color w:val="auto"/>
                <w:sz w:val="21"/>
                <w:highlight w:val="none"/>
                <w:lang w:val="en-US" w:eastAsia="zh-CN"/>
              </w:rPr>
            </w:pPr>
            <w:r>
              <w:rPr>
                <w:rFonts w:hint="eastAsia" w:ascii="Arial"/>
                <w:color w:val="auto"/>
                <w:sz w:val="21"/>
                <w:highlight w:val="none"/>
                <w:lang w:val="en-US" w:eastAsia="zh-CN"/>
              </w:rPr>
              <w:t>广告发布总价</w:t>
            </w:r>
          </w:p>
        </w:tc>
        <w:tc>
          <w:tcPr>
            <w:tcW w:w="1285" w:type="dxa"/>
            <w:vAlign w:val="center"/>
          </w:tcPr>
          <w:p w14:paraId="50EB2D6A">
            <w:pPr>
              <w:pStyle w:val="42"/>
              <w:spacing w:before="268" w:line="186" w:lineRule="auto"/>
              <w:ind w:left="190"/>
              <w:jc w:val="both"/>
              <w:rPr>
                <w:color w:val="auto"/>
                <w:sz w:val="22"/>
                <w:szCs w:val="22"/>
                <w:highlight w:val="none"/>
              </w:rPr>
            </w:pPr>
          </w:p>
        </w:tc>
        <w:tc>
          <w:tcPr>
            <w:tcW w:w="1287" w:type="dxa"/>
            <w:vAlign w:val="center"/>
          </w:tcPr>
          <w:p w14:paraId="28FFB3FC">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bl>
    <w:p w14:paraId="1A0D2C09">
      <w:pPr>
        <w:spacing w:line="360" w:lineRule="auto"/>
        <w:ind w:firstLine="240" w:firstLineChars="100"/>
        <w:rPr>
          <w:rFonts w:hint="eastAsia" w:ascii="宋体" w:hAnsi="宋体" w:cs="宋体"/>
          <w:color w:val="auto"/>
          <w:kern w:val="0"/>
          <w:sz w:val="24"/>
          <w:szCs w:val="24"/>
          <w:highlight w:val="none"/>
          <w:lang w:val="en-US" w:eastAsia="zh-CN"/>
        </w:rPr>
      </w:pPr>
    </w:p>
    <w:p w14:paraId="140A4E06">
      <w:pPr>
        <w:spacing w:line="360" w:lineRule="auto"/>
        <w:ind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说明：</w:t>
      </w:r>
      <w:r>
        <w:rPr>
          <w:rFonts w:hint="eastAsia" w:ascii="宋体" w:hAnsi="宋体" w:cs="宋体"/>
          <w:color w:val="auto"/>
          <w:kern w:val="0"/>
          <w:sz w:val="24"/>
          <w:szCs w:val="24"/>
          <w:highlight w:val="none"/>
        </w:rPr>
        <w:t>本表中报价数字保留小数点后两位</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报价为含税价</w:t>
      </w:r>
      <w:r>
        <w:rPr>
          <w:rFonts w:hint="eastAsia" w:ascii="宋体" w:hAnsi="宋体" w:cs="宋体"/>
          <w:color w:val="auto"/>
          <w:kern w:val="0"/>
          <w:sz w:val="24"/>
          <w:szCs w:val="24"/>
          <w:highlight w:val="none"/>
        </w:rPr>
        <w:t>。</w:t>
      </w:r>
    </w:p>
    <w:p w14:paraId="142C5BC3">
      <w:pPr>
        <w:keepNext/>
        <w:keepLines/>
        <w:widowControl/>
        <w:jc w:val="center"/>
        <w:rPr>
          <w:rFonts w:hint="eastAsia" w:ascii="宋体" w:hAnsi="宋体" w:cs="宋体"/>
          <w:b/>
          <w:bCs/>
          <w:color w:val="auto"/>
          <w:sz w:val="32"/>
          <w:szCs w:val="32"/>
          <w:highlight w:val="none"/>
          <w:lang w:val="en-US" w:eastAsia="zh-CN"/>
        </w:rPr>
      </w:pPr>
    </w:p>
    <w:p w14:paraId="0410F8EC">
      <w:pPr>
        <w:keepNext/>
        <w:keepLines/>
        <w:widowControl/>
        <w:jc w:val="center"/>
        <w:rPr>
          <w:rFonts w:hint="eastAsia" w:ascii="宋体" w:hAnsi="宋体" w:cs="宋体"/>
          <w:b/>
          <w:bCs/>
          <w:color w:val="auto"/>
          <w:sz w:val="32"/>
          <w:szCs w:val="32"/>
          <w:highlight w:val="none"/>
          <w:lang w:val="en-US" w:eastAsia="zh-CN"/>
        </w:rPr>
        <w:sectPr>
          <w:footerReference r:id="rId7" w:type="first"/>
          <w:footerReference r:id="rId6" w:type="default"/>
          <w:pgSz w:w="11906" w:h="16838"/>
          <w:pgMar w:top="1417" w:right="1417" w:bottom="1417" w:left="1417" w:header="1134" w:footer="992" w:gutter="0"/>
          <w:pgBorders>
            <w:top w:val="none" w:sz="0" w:space="0"/>
            <w:left w:val="none" w:sz="0" w:space="0"/>
            <w:bottom w:val="none" w:sz="0" w:space="0"/>
            <w:right w:val="none" w:sz="0" w:space="0"/>
          </w:pgBorders>
          <w:pgNumType w:fmt="decimal" w:start="1"/>
          <w:cols w:space="720" w:num="1"/>
          <w:titlePg/>
          <w:rtlGutter w:val="0"/>
          <w:docGrid w:type="lines" w:linePitch="333" w:charSpace="0"/>
        </w:sectPr>
      </w:pPr>
    </w:p>
    <w:p w14:paraId="17AFB1C7">
      <w:pPr>
        <w:keepNext/>
        <w:keepLines/>
        <w:widowControl/>
        <w:jc w:val="center"/>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2-高新区日常制作</w:t>
      </w:r>
    </w:p>
    <w:tbl>
      <w:tblPr>
        <w:tblStyle w:val="43"/>
        <w:tblW w:w="86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279"/>
        <w:gridCol w:w="930"/>
        <w:gridCol w:w="1125"/>
        <w:gridCol w:w="810"/>
        <w:gridCol w:w="735"/>
        <w:gridCol w:w="1020"/>
        <w:gridCol w:w="1080"/>
        <w:gridCol w:w="1082"/>
      </w:tblGrid>
      <w:tr w14:paraId="7D34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28" w:type="dxa"/>
            <w:textDirection w:val="tbRlV"/>
            <w:vAlign w:val="center"/>
          </w:tcPr>
          <w:p w14:paraId="5121D36C">
            <w:pPr>
              <w:pStyle w:val="42"/>
              <w:spacing w:before="200" w:line="207" w:lineRule="auto"/>
              <w:ind w:left="95"/>
              <w:jc w:val="center"/>
              <w:rPr>
                <w:color w:val="auto"/>
                <w:sz w:val="22"/>
                <w:szCs w:val="22"/>
              </w:rPr>
            </w:pPr>
            <w:r>
              <w:rPr>
                <w:color w:val="auto"/>
                <w:spacing w:val="37"/>
                <w:sz w:val="22"/>
                <w:szCs w:val="22"/>
              </w:rPr>
              <w:t>序号</w:t>
            </w:r>
          </w:p>
        </w:tc>
        <w:tc>
          <w:tcPr>
            <w:tcW w:w="1279" w:type="dxa"/>
            <w:vAlign w:val="center"/>
          </w:tcPr>
          <w:p w14:paraId="34DAF54F">
            <w:pPr>
              <w:pStyle w:val="42"/>
              <w:spacing w:before="95" w:line="238" w:lineRule="auto"/>
              <w:ind w:left="428" w:right="206" w:hanging="221"/>
              <w:jc w:val="both"/>
              <w:rPr>
                <w:rFonts w:hint="default" w:eastAsia="宋体"/>
                <w:color w:val="auto"/>
                <w:sz w:val="22"/>
                <w:szCs w:val="22"/>
                <w:lang w:val="en-US" w:eastAsia="zh-CN"/>
              </w:rPr>
            </w:pPr>
            <w:r>
              <w:rPr>
                <w:rFonts w:hint="eastAsia"/>
                <w:color w:val="auto"/>
                <w:spacing w:val="-2"/>
                <w:sz w:val="22"/>
                <w:szCs w:val="22"/>
                <w:lang w:val="en-US" w:eastAsia="zh-CN"/>
              </w:rPr>
              <w:t>项目名称</w:t>
            </w:r>
          </w:p>
        </w:tc>
        <w:tc>
          <w:tcPr>
            <w:tcW w:w="930" w:type="dxa"/>
            <w:vAlign w:val="center"/>
          </w:tcPr>
          <w:p w14:paraId="65097BF1">
            <w:pPr>
              <w:pStyle w:val="42"/>
              <w:spacing w:line="223" w:lineRule="auto"/>
              <w:ind w:left="224"/>
              <w:jc w:val="both"/>
              <w:rPr>
                <w:color w:val="auto"/>
                <w:sz w:val="22"/>
                <w:szCs w:val="22"/>
              </w:rPr>
            </w:pPr>
            <w:r>
              <w:rPr>
                <w:color w:val="auto"/>
                <w:spacing w:val="-2"/>
                <w:sz w:val="22"/>
                <w:szCs w:val="22"/>
              </w:rPr>
              <w:t>规格</w:t>
            </w:r>
          </w:p>
        </w:tc>
        <w:tc>
          <w:tcPr>
            <w:tcW w:w="1125" w:type="dxa"/>
            <w:vAlign w:val="center"/>
          </w:tcPr>
          <w:p w14:paraId="20DF6552">
            <w:pPr>
              <w:pStyle w:val="42"/>
              <w:spacing w:before="124" w:line="215" w:lineRule="auto"/>
              <w:ind w:left="232" w:firstLine="220" w:firstLineChars="100"/>
              <w:jc w:val="both"/>
              <w:rPr>
                <w:rFonts w:hint="eastAsia" w:eastAsia="宋体"/>
                <w:color w:val="auto"/>
                <w:sz w:val="22"/>
                <w:szCs w:val="22"/>
                <w:lang w:eastAsia="zh-CN"/>
              </w:rPr>
            </w:pPr>
            <w:r>
              <w:rPr>
                <w:rFonts w:hint="eastAsia"/>
                <w:color w:val="auto"/>
                <w:sz w:val="22"/>
                <w:szCs w:val="22"/>
                <w:lang w:val="en-US" w:eastAsia="zh-CN"/>
              </w:rPr>
              <w:t>材质</w:t>
            </w:r>
          </w:p>
        </w:tc>
        <w:tc>
          <w:tcPr>
            <w:tcW w:w="810" w:type="dxa"/>
            <w:vAlign w:val="center"/>
          </w:tcPr>
          <w:p w14:paraId="2A87136C">
            <w:pPr>
              <w:pStyle w:val="42"/>
              <w:spacing w:before="95" w:line="305" w:lineRule="exact"/>
              <w:ind w:left="198"/>
              <w:jc w:val="both"/>
              <w:rPr>
                <w:color w:val="auto"/>
                <w:sz w:val="22"/>
                <w:szCs w:val="22"/>
              </w:rPr>
            </w:pPr>
            <w:r>
              <w:rPr>
                <w:color w:val="auto"/>
                <w:spacing w:val="-3"/>
                <w:sz w:val="22"/>
                <w:szCs w:val="22"/>
              </w:rPr>
              <w:t>数量</w:t>
            </w:r>
          </w:p>
        </w:tc>
        <w:tc>
          <w:tcPr>
            <w:tcW w:w="735" w:type="dxa"/>
            <w:vAlign w:val="center"/>
          </w:tcPr>
          <w:p w14:paraId="4CE60D97">
            <w:pPr>
              <w:pStyle w:val="42"/>
              <w:spacing w:before="236" w:line="226" w:lineRule="auto"/>
              <w:ind w:left="131"/>
              <w:jc w:val="both"/>
              <w:rPr>
                <w:color w:val="auto"/>
                <w:sz w:val="22"/>
                <w:szCs w:val="22"/>
              </w:rPr>
            </w:pPr>
            <w:r>
              <w:rPr>
                <w:color w:val="auto"/>
                <w:spacing w:val="-6"/>
                <w:sz w:val="22"/>
                <w:szCs w:val="22"/>
              </w:rPr>
              <w:t>单位</w:t>
            </w:r>
          </w:p>
        </w:tc>
        <w:tc>
          <w:tcPr>
            <w:tcW w:w="1020" w:type="dxa"/>
            <w:vAlign w:val="center"/>
          </w:tcPr>
          <w:p w14:paraId="583E581E">
            <w:pPr>
              <w:pStyle w:val="42"/>
              <w:spacing w:before="236" w:line="226" w:lineRule="auto"/>
              <w:ind w:left="139" w:leftChars="0"/>
              <w:jc w:val="both"/>
              <w:rPr>
                <w:color w:val="auto"/>
                <w:sz w:val="22"/>
                <w:szCs w:val="22"/>
              </w:rPr>
            </w:pPr>
            <w:r>
              <w:rPr>
                <w:color w:val="auto"/>
                <w:spacing w:val="-2"/>
                <w:sz w:val="22"/>
                <w:szCs w:val="22"/>
              </w:rPr>
              <w:t>单价(元)</w:t>
            </w:r>
          </w:p>
        </w:tc>
        <w:tc>
          <w:tcPr>
            <w:tcW w:w="1080" w:type="dxa"/>
            <w:vAlign w:val="center"/>
          </w:tcPr>
          <w:p w14:paraId="15DFF1CA">
            <w:pPr>
              <w:pStyle w:val="42"/>
              <w:spacing w:before="237" w:line="230" w:lineRule="auto"/>
              <w:ind w:left="166" w:leftChars="0"/>
              <w:jc w:val="both"/>
              <w:rPr>
                <w:color w:val="auto"/>
                <w:sz w:val="22"/>
                <w:szCs w:val="22"/>
              </w:rPr>
            </w:pPr>
            <w:r>
              <w:rPr>
                <w:color w:val="auto"/>
                <w:spacing w:val="-1"/>
                <w:sz w:val="22"/>
                <w:szCs w:val="22"/>
              </w:rPr>
              <w:t>合计(元)</w:t>
            </w:r>
          </w:p>
        </w:tc>
        <w:tc>
          <w:tcPr>
            <w:tcW w:w="1082" w:type="dxa"/>
            <w:vAlign w:val="center"/>
          </w:tcPr>
          <w:p w14:paraId="7785609E">
            <w:pPr>
              <w:pStyle w:val="42"/>
              <w:spacing w:before="237" w:line="230" w:lineRule="auto"/>
              <w:ind w:left="166"/>
              <w:jc w:val="both"/>
              <w:rPr>
                <w:rFonts w:hint="eastAsia" w:eastAsia="宋体"/>
                <w:color w:val="auto"/>
                <w:sz w:val="22"/>
                <w:szCs w:val="22"/>
                <w:lang w:val="en-US" w:eastAsia="zh-CN"/>
              </w:rPr>
            </w:pPr>
            <w:r>
              <w:rPr>
                <w:rFonts w:hint="eastAsia"/>
                <w:color w:val="auto"/>
                <w:sz w:val="22"/>
                <w:szCs w:val="22"/>
                <w:lang w:val="en-US" w:eastAsia="zh-CN"/>
              </w:rPr>
              <w:t>备注</w:t>
            </w:r>
          </w:p>
        </w:tc>
      </w:tr>
      <w:tr w14:paraId="140D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628" w:type="dxa"/>
            <w:vAlign w:val="center"/>
          </w:tcPr>
          <w:p w14:paraId="0020B692">
            <w:pPr>
              <w:pStyle w:val="42"/>
              <w:spacing w:before="268" w:line="184" w:lineRule="auto"/>
              <w:ind w:left="277"/>
              <w:jc w:val="both"/>
              <w:rPr>
                <w:color w:val="auto"/>
                <w:sz w:val="22"/>
                <w:szCs w:val="22"/>
                <w:highlight w:val="none"/>
              </w:rPr>
            </w:pPr>
            <w:r>
              <w:rPr>
                <w:color w:val="auto"/>
                <w:sz w:val="22"/>
                <w:szCs w:val="22"/>
                <w:highlight w:val="none"/>
              </w:rPr>
              <w:t>1</w:t>
            </w:r>
          </w:p>
        </w:tc>
        <w:tc>
          <w:tcPr>
            <w:tcW w:w="1279" w:type="dxa"/>
            <w:vAlign w:val="center"/>
          </w:tcPr>
          <w:p w14:paraId="5A075DE9">
            <w:pPr>
              <w:pStyle w:val="42"/>
              <w:spacing w:before="92" w:line="235" w:lineRule="auto"/>
              <w:ind w:left="426" w:right="206" w:hanging="211"/>
              <w:jc w:val="center"/>
              <w:rPr>
                <w:color w:val="auto"/>
                <w:sz w:val="22"/>
                <w:szCs w:val="22"/>
                <w:highlight w:val="none"/>
              </w:rPr>
            </w:pPr>
          </w:p>
        </w:tc>
        <w:tc>
          <w:tcPr>
            <w:tcW w:w="930" w:type="dxa"/>
            <w:vAlign w:val="center"/>
          </w:tcPr>
          <w:p w14:paraId="09854F44">
            <w:pPr>
              <w:jc w:val="center"/>
              <w:rPr>
                <w:rFonts w:hint="default" w:ascii="Arial" w:eastAsia="宋体"/>
                <w:color w:val="auto"/>
                <w:sz w:val="21"/>
                <w:highlight w:val="none"/>
                <w:lang w:val="en-US" w:eastAsia="zh-CN"/>
              </w:rPr>
            </w:pPr>
          </w:p>
        </w:tc>
        <w:tc>
          <w:tcPr>
            <w:tcW w:w="1125" w:type="dxa"/>
            <w:vAlign w:val="center"/>
          </w:tcPr>
          <w:p w14:paraId="7CF9C96E">
            <w:pPr>
              <w:pStyle w:val="42"/>
              <w:spacing w:before="51" w:line="186" w:lineRule="auto"/>
              <w:ind w:left="141"/>
              <w:jc w:val="both"/>
              <w:rPr>
                <w:color w:val="auto"/>
                <w:sz w:val="22"/>
                <w:szCs w:val="22"/>
                <w:highlight w:val="none"/>
              </w:rPr>
            </w:pPr>
          </w:p>
        </w:tc>
        <w:tc>
          <w:tcPr>
            <w:tcW w:w="810" w:type="dxa"/>
            <w:vAlign w:val="center"/>
          </w:tcPr>
          <w:p w14:paraId="1480FABA">
            <w:pPr>
              <w:jc w:val="center"/>
              <w:rPr>
                <w:rFonts w:hint="eastAsia" w:ascii="Arial" w:eastAsia="宋体"/>
                <w:color w:val="auto"/>
                <w:sz w:val="21"/>
                <w:highlight w:val="none"/>
                <w:lang w:val="en-US" w:eastAsia="zh-CN"/>
              </w:rPr>
            </w:pPr>
          </w:p>
        </w:tc>
        <w:tc>
          <w:tcPr>
            <w:tcW w:w="735" w:type="dxa"/>
            <w:vAlign w:val="center"/>
          </w:tcPr>
          <w:p w14:paraId="5DB701EE">
            <w:pPr>
              <w:pStyle w:val="42"/>
              <w:spacing w:before="234" w:line="232" w:lineRule="auto"/>
              <w:ind w:left="263"/>
              <w:jc w:val="center"/>
              <w:rPr>
                <w:color w:val="auto"/>
                <w:sz w:val="22"/>
                <w:szCs w:val="22"/>
                <w:highlight w:val="none"/>
              </w:rPr>
            </w:pPr>
          </w:p>
        </w:tc>
        <w:tc>
          <w:tcPr>
            <w:tcW w:w="1020" w:type="dxa"/>
            <w:vAlign w:val="center"/>
          </w:tcPr>
          <w:p w14:paraId="09AC2AA8">
            <w:pPr>
              <w:jc w:val="center"/>
              <w:rPr>
                <w:rFonts w:ascii="Arial"/>
                <w:color w:val="auto"/>
                <w:sz w:val="21"/>
                <w:highlight w:val="none"/>
              </w:rPr>
            </w:pPr>
          </w:p>
        </w:tc>
        <w:tc>
          <w:tcPr>
            <w:tcW w:w="1080" w:type="dxa"/>
            <w:vAlign w:val="center"/>
          </w:tcPr>
          <w:p w14:paraId="159FD545">
            <w:pPr>
              <w:pStyle w:val="42"/>
              <w:spacing w:before="265" w:line="186" w:lineRule="auto"/>
              <w:ind w:left="190"/>
              <w:jc w:val="both"/>
              <w:rPr>
                <w:color w:val="auto"/>
                <w:sz w:val="22"/>
                <w:szCs w:val="22"/>
                <w:highlight w:val="none"/>
              </w:rPr>
            </w:pPr>
          </w:p>
        </w:tc>
        <w:tc>
          <w:tcPr>
            <w:tcW w:w="1082" w:type="dxa"/>
            <w:vAlign w:val="center"/>
          </w:tcPr>
          <w:p w14:paraId="4718EAB5">
            <w:pPr>
              <w:keepNext w:val="0"/>
              <w:keepLines w:val="0"/>
              <w:widowControl/>
              <w:suppressLineNumbers w:val="0"/>
              <w:jc w:val="center"/>
              <w:textAlignment w:val="center"/>
              <w:rPr>
                <w:rFonts w:ascii="楷体" w:hAnsi="楷体" w:eastAsia="楷体" w:cs="楷体"/>
                <w:snapToGrid w:val="0"/>
                <w:color w:val="auto"/>
                <w:spacing w:val="-1"/>
                <w:kern w:val="0"/>
                <w:sz w:val="22"/>
                <w:szCs w:val="22"/>
                <w:highlight w:val="none"/>
                <w:lang w:val="en-US" w:eastAsia="en-US" w:bidi="ar-SA"/>
              </w:rPr>
            </w:pPr>
          </w:p>
        </w:tc>
      </w:tr>
      <w:tr w14:paraId="27D4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628" w:type="dxa"/>
            <w:vAlign w:val="center"/>
          </w:tcPr>
          <w:p w14:paraId="7B89442C">
            <w:pPr>
              <w:pStyle w:val="42"/>
              <w:spacing w:before="267" w:line="186" w:lineRule="auto"/>
              <w:ind w:left="264"/>
              <w:jc w:val="both"/>
              <w:rPr>
                <w:color w:val="auto"/>
                <w:sz w:val="22"/>
                <w:szCs w:val="22"/>
                <w:highlight w:val="none"/>
              </w:rPr>
            </w:pPr>
            <w:r>
              <w:rPr>
                <w:color w:val="auto"/>
                <w:sz w:val="22"/>
                <w:szCs w:val="22"/>
                <w:highlight w:val="none"/>
              </w:rPr>
              <w:t>2</w:t>
            </w:r>
          </w:p>
        </w:tc>
        <w:tc>
          <w:tcPr>
            <w:tcW w:w="1279" w:type="dxa"/>
            <w:vAlign w:val="center"/>
          </w:tcPr>
          <w:p w14:paraId="5B60D9A2">
            <w:pPr>
              <w:pStyle w:val="42"/>
              <w:spacing w:before="235" w:line="233" w:lineRule="auto"/>
              <w:ind w:left="342"/>
              <w:jc w:val="both"/>
              <w:rPr>
                <w:color w:val="auto"/>
                <w:sz w:val="22"/>
                <w:szCs w:val="22"/>
                <w:highlight w:val="none"/>
              </w:rPr>
            </w:pPr>
          </w:p>
        </w:tc>
        <w:tc>
          <w:tcPr>
            <w:tcW w:w="930" w:type="dxa"/>
            <w:vAlign w:val="center"/>
          </w:tcPr>
          <w:p w14:paraId="65F1F3AF">
            <w:pPr>
              <w:jc w:val="center"/>
              <w:rPr>
                <w:rFonts w:ascii="Arial"/>
                <w:color w:val="auto"/>
                <w:sz w:val="21"/>
                <w:highlight w:val="none"/>
              </w:rPr>
            </w:pPr>
          </w:p>
        </w:tc>
        <w:tc>
          <w:tcPr>
            <w:tcW w:w="1125" w:type="dxa"/>
            <w:vAlign w:val="center"/>
          </w:tcPr>
          <w:p w14:paraId="26F02925">
            <w:pPr>
              <w:pStyle w:val="42"/>
              <w:spacing w:before="92" w:line="234" w:lineRule="auto"/>
              <w:ind w:left="200" w:right="130" w:hanging="56"/>
              <w:jc w:val="both"/>
              <w:rPr>
                <w:color w:val="auto"/>
                <w:sz w:val="22"/>
                <w:szCs w:val="22"/>
                <w:highlight w:val="none"/>
              </w:rPr>
            </w:pPr>
          </w:p>
        </w:tc>
        <w:tc>
          <w:tcPr>
            <w:tcW w:w="810" w:type="dxa"/>
            <w:vAlign w:val="center"/>
          </w:tcPr>
          <w:p w14:paraId="43582EF8">
            <w:pPr>
              <w:jc w:val="center"/>
              <w:rPr>
                <w:rFonts w:ascii="Arial"/>
                <w:color w:val="auto"/>
                <w:sz w:val="21"/>
                <w:highlight w:val="none"/>
              </w:rPr>
            </w:pPr>
          </w:p>
        </w:tc>
        <w:tc>
          <w:tcPr>
            <w:tcW w:w="735" w:type="dxa"/>
            <w:vAlign w:val="center"/>
          </w:tcPr>
          <w:p w14:paraId="496FF667">
            <w:pPr>
              <w:pStyle w:val="42"/>
              <w:spacing w:before="236" w:line="232" w:lineRule="auto"/>
              <w:ind w:left="263"/>
              <w:jc w:val="center"/>
              <w:rPr>
                <w:color w:val="auto"/>
                <w:sz w:val="22"/>
                <w:szCs w:val="22"/>
                <w:highlight w:val="none"/>
              </w:rPr>
            </w:pPr>
          </w:p>
        </w:tc>
        <w:tc>
          <w:tcPr>
            <w:tcW w:w="1020" w:type="dxa"/>
            <w:vAlign w:val="center"/>
          </w:tcPr>
          <w:p w14:paraId="78C6890E">
            <w:pPr>
              <w:jc w:val="center"/>
              <w:rPr>
                <w:rFonts w:ascii="Arial"/>
                <w:color w:val="auto"/>
                <w:sz w:val="21"/>
                <w:highlight w:val="none"/>
              </w:rPr>
            </w:pPr>
          </w:p>
        </w:tc>
        <w:tc>
          <w:tcPr>
            <w:tcW w:w="1080" w:type="dxa"/>
            <w:vAlign w:val="center"/>
          </w:tcPr>
          <w:p w14:paraId="5AAD81AE">
            <w:pPr>
              <w:pStyle w:val="42"/>
              <w:spacing w:before="267" w:line="186" w:lineRule="auto"/>
              <w:ind w:left="188"/>
              <w:jc w:val="both"/>
              <w:rPr>
                <w:color w:val="auto"/>
                <w:sz w:val="22"/>
                <w:szCs w:val="22"/>
                <w:highlight w:val="none"/>
              </w:rPr>
            </w:pPr>
          </w:p>
        </w:tc>
        <w:tc>
          <w:tcPr>
            <w:tcW w:w="1082" w:type="dxa"/>
            <w:vAlign w:val="center"/>
          </w:tcPr>
          <w:p w14:paraId="5B86FC81">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0C3B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28" w:type="dxa"/>
            <w:vAlign w:val="center"/>
          </w:tcPr>
          <w:p w14:paraId="0A7BC928">
            <w:pPr>
              <w:pStyle w:val="42"/>
              <w:spacing w:before="267" w:line="186" w:lineRule="auto"/>
              <w:ind w:left="265"/>
              <w:jc w:val="both"/>
              <w:rPr>
                <w:color w:val="auto"/>
                <w:sz w:val="22"/>
                <w:szCs w:val="22"/>
                <w:highlight w:val="none"/>
              </w:rPr>
            </w:pPr>
            <w:r>
              <w:rPr>
                <w:color w:val="auto"/>
                <w:sz w:val="22"/>
                <w:szCs w:val="22"/>
                <w:highlight w:val="none"/>
              </w:rPr>
              <w:t>3</w:t>
            </w:r>
          </w:p>
        </w:tc>
        <w:tc>
          <w:tcPr>
            <w:tcW w:w="1279" w:type="dxa"/>
            <w:vAlign w:val="center"/>
          </w:tcPr>
          <w:p w14:paraId="0B5D110C">
            <w:pPr>
              <w:pStyle w:val="42"/>
              <w:spacing w:before="92" w:line="239" w:lineRule="auto"/>
              <w:ind w:left="447" w:right="206" w:hanging="216"/>
              <w:jc w:val="center"/>
              <w:rPr>
                <w:color w:val="auto"/>
                <w:sz w:val="22"/>
                <w:szCs w:val="22"/>
                <w:highlight w:val="none"/>
              </w:rPr>
            </w:pPr>
          </w:p>
        </w:tc>
        <w:tc>
          <w:tcPr>
            <w:tcW w:w="930" w:type="dxa"/>
            <w:vAlign w:val="center"/>
          </w:tcPr>
          <w:p w14:paraId="50578F0D">
            <w:pPr>
              <w:jc w:val="center"/>
              <w:rPr>
                <w:rFonts w:ascii="Arial"/>
                <w:color w:val="auto"/>
                <w:sz w:val="21"/>
                <w:highlight w:val="none"/>
              </w:rPr>
            </w:pPr>
          </w:p>
        </w:tc>
        <w:tc>
          <w:tcPr>
            <w:tcW w:w="1125" w:type="dxa"/>
            <w:vAlign w:val="center"/>
          </w:tcPr>
          <w:p w14:paraId="127418A3">
            <w:pPr>
              <w:pStyle w:val="42"/>
              <w:spacing w:before="234" w:line="221" w:lineRule="auto"/>
              <w:ind w:left="324"/>
              <w:jc w:val="both"/>
              <w:rPr>
                <w:color w:val="auto"/>
                <w:sz w:val="22"/>
                <w:szCs w:val="22"/>
                <w:highlight w:val="none"/>
              </w:rPr>
            </w:pPr>
          </w:p>
        </w:tc>
        <w:tc>
          <w:tcPr>
            <w:tcW w:w="810" w:type="dxa"/>
            <w:vAlign w:val="center"/>
          </w:tcPr>
          <w:p w14:paraId="2221052F">
            <w:pPr>
              <w:jc w:val="center"/>
              <w:rPr>
                <w:rFonts w:ascii="Arial"/>
                <w:color w:val="auto"/>
                <w:sz w:val="21"/>
                <w:highlight w:val="none"/>
              </w:rPr>
            </w:pPr>
          </w:p>
        </w:tc>
        <w:tc>
          <w:tcPr>
            <w:tcW w:w="735" w:type="dxa"/>
            <w:vAlign w:val="center"/>
          </w:tcPr>
          <w:p w14:paraId="2F1EEA44">
            <w:pPr>
              <w:pStyle w:val="42"/>
              <w:spacing w:before="235" w:line="232" w:lineRule="auto"/>
              <w:ind w:left="263"/>
              <w:jc w:val="center"/>
              <w:rPr>
                <w:color w:val="auto"/>
                <w:sz w:val="22"/>
                <w:szCs w:val="22"/>
                <w:highlight w:val="none"/>
              </w:rPr>
            </w:pPr>
          </w:p>
        </w:tc>
        <w:tc>
          <w:tcPr>
            <w:tcW w:w="1020" w:type="dxa"/>
            <w:vAlign w:val="center"/>
          </w:tcPr>
          <w:p w14:paraId="0C9FAF23">
            <w:pPr>
              <w:jc w:val="center"/>
              <w:rPr>
                <w:rFonts w:ascii="Arial"/>
                <w:color w:val="auto"/>
                <w:sz w:val="21"/>
                <w:highlight w:val="none"/>
              </w:rPr>
            </w:pPr>
          </w:p>
        </w:tc>
        <w:tc>
          <w:tcPr>
            <w:tcW w:w="1080" w:type="dxa"/>
            <w:vAlign w:val="center"/>
          </w:tcPr>
          <w:p w14:paraId="298D3E73">
            <w:pPr>
              <w:pStyle w:val="42"/>
              <w:spacing w:before="266" w:line="186" w:lineRule="auto"/>
              <w:ind w:left="188"/>
              <w:jc w:val="both"/>
              <w:rPr>
                <w:color w:val="auto"/>
                <w:sz w:val="22"/>
                <w:szCs w:val="22"/>
                <w:highlight w:val="none"/>
              </w:rPr>
            </w:pPr>
          </w:p>
        </w:tc>
        <w:tc>
          <w:tcPr>
            <w:tcW w:w="1082" w:type="dxa"/>
            <w:vAlign w:val="center"/>
          </w:tcPr>
          <w:p w14:paraId="33E34256">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3141B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8" w:type="dxa"/>
            <w:vAlign w:val="center"/>
          </w:tcPr>
          <w:p w14:paraId="0DBD84E2">
            <w:pPr>
              <w:pStyle w:val="42"/>
              <w:spacing w:before="271" w:line="184" w:lineRule="auto"/>
              <w:ind w:left="259"/>
              <w:jc w:val="both"/>
              <w:rPr>
                <w:color w:val="auto"/>
                <w:sz w:val="22"/>
                <w:szCs w:val="22"/>
                <w:highlight w:val="none"/>
              </w:rPr>
            </w:pPr>
            <w:r>
              <w:rPr>
                <w:color w:val="auto"/>
                <w:sz w:val="22"/>
                <w:szCs w:val="22"/>
                <w:highlight w:val="none"/>
              </w:rPr>
              <w:t>4</w:t>
            </w:r>
          </w:p>
        </w:tc>
        <w:tc>
          <w:tcPr>
            <w:tcW w:w="1279" w:type="dxa"/>
            <w:vAlign w:val="center"/>
          </w:tcPr>
          <w:p w14:paraId="77190888">
            <w:pPr>
              <w:pStyle w:val="42"/>
              <w:spacing w:before="237" w:line="232" w:lineRule="auto"/>
              <w:ind w:left="212"/>
              <w:jc w:val="both"/>
              <w:rPr>
                <w:color w:val="auto"/>
                <w:sz w:val="22"/>
                <w:szCs w:val="22"/>
                <w:highlight w:val="none"/>
              </w:rPr>
            </w:pPr>
          </w:p>
        </w:tc>
        <w:tc>
          <w:tcPr>
            <w:tcW w:w="930" w:type="dxa"/>
            <w:vAlign w:val="center"/>
          </w:tcPr>
          <w:p w14:paraId="10064738">
            <w:pPr>
              <w:jc w:val="center"/>
              <w:rPr>
                <w:rFonts w:ascii="Arial"/>
                <w:color w:val="auto"/>
                <w:sz w:val="21"/>
                <w:highlight w:val="none"/>
              </w:rPr>
            </w:pPr>
          </w:p>
        </w:tc>
        <w:tc>
          <w:tcPr>
            <w:tcW w:w="1125" w:type="dxa"/>
            <w:vAlign w:val="center"/>
          </w:tcPr>
          <w:p w14:paraId="0DEB8997">
            <w:pPr>
              <w:pStyle w:val="42"/>
              <w:spacing w:before="236" w:line="221" w:lineRule="auto"/>
              <w:ind w:left="114"/>
              <w:jc w:val="both"/>
              <w:rPr>
                <w:rFonts w:hint="default" w:eastAsia="宋体"/>
                <w:color w:val="auto"/>
                <w:sz w:val="22"/>
                <w:szCs w:val="22"/>
                <w:highlight w:val="none"/>
                <w:lang w:val="en-US" w:eastAsia="zh-CN"/>
              </w:rPr>
            </w:pPr>
          </w:p>
        </w:tc>
        <w:tc>
          <w:tcPr>
            <w:tcW w:w="810" w:type="dxa"/>
            <w:vAlign w:val="center"/>
          </w:tcPr>
          <w:p w14:paraId="6BAF6181">
            <w:pPr>
              <w:jc w:val="center"/>
              <w:rPr>
                <w:rFonts w:ascii="Arial"/>
                <w:color w:val="auto"/>
                <w:sz w:val="21"/>
                <w:highlight w:val="none"/>
              </w:rPr>
            </w:pPr>
          </w:p>
        </w:tc>
        <w:tc>
          <w:tcPr>
            <w:tcW w:w="735" w:type="dxa"/>
            <w:vAlign w:val="center"/>
          </w:tcPr>
          <w:p w14:paraId="6E3746E2">
            <w:pPr>
              <w:pStyle w:val="42"/>
              <w:spacing w:before="237" w:line="232" w:lineRule="auto"/>
              <w:ind w:left="263"/>
              <w:jc w:val="center"/>
              <w:rPr>
                <w:color w:val="auto"/>
                <w:sz w:val="22"/>
                <w:szCs w:val="22"/>
                <w:highlight w:val="none"/>
              </w:rPr>
            </w:pPr>
          </w:p>
        </w:tc>
        <w:tc>
          <w:tcPr>
            <w:tcW w:w="1020" w:type="dxa"/>
            <w:vAlign w:val="center"/>
          </w:tcPr>
          <w:p w14:paraId="55B52908">
            <w:pPr>
              <w:jc w:val="center"/>
              <w:rPr>
                <w:rFonts w:ascii="Arial"/>
                <w:color w:val="auto"/>
                <w:sz w:val="21"/>
                <w:highlight w:val="none"/>
              </w:rPr>
            </w:pPr>
          </w:p>
        </w:tc>
        <w:tc>
          <w:tcPr>
            <w:tcW w:w="1080" w:type="dxa"/>
            <w:vAlign w:val="center"/>
          </w:tcPr>
          <w:p w14:paraId="14907D57">
            <w:pPr>
              <w:pStyle w:val="42"/>
              <w:spacing w:before="268" w:line="186" w:lineRule="auto"/>
              <w:ind w:left="188"/>
              <w:jc w:val="both"/>
              <w:rPr>
                <w:color w:val="auto"/>
                <w:sz w:val="22"/>
                <w:szCs w:val="22"/>
                <w:highlight w:val="none"/>
              </w:rPr>
            </w:pPr>
          </w:p>
        </w:tc>
        <w:tc>
          <w:tcPr>
            <w:tcW w:w="1082" w:type="dxa"/>
            <w:vAlign w:val="center"/>
          </w:tcPr>
          <w:p w14:paraId="6FE5F441">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03DC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28" w:type="dxa"/>
            <w:vAlign w:val="center"/>
          </w:tcPr>
          <w:p w14:paraId="45FD770E">
            <w:pPr>
              <w:pStyle w:val="42"/>
              <w:spacing w:before="274" w:line="182" w:lineRule="auto"/>
              <w:ind w:left="260"/>
              <w:jc w:val="both"/>
              <w:rPr>
                <w:color w:val="auto"/>
                <w:sz w:val="22"/>
                <w:szCs w:val="22"/>
                <w:highlight w:val="none"/>
              </w:rPr>
            </w:pPr>
            <w:r>
              <w:rPr>
                <w:color w:val="auto"/>
                <w:sz w:val="22"/>
                <w:szCs w:val="22"/>
                <w:highlight w:val="none"/>
              </w:rPr>
              <w:t>5</w:t>
            </w:r>
          </w:p>
        </w:tc>
        <w:tc>
          <w:tcPr>
            <w:tcW w:w="1279" w:type="dxa"/>
            <w:vAlign w:val="center"/>
          </w:tcPr>
          <w:p w14:paraId="21D80270">
            <w:pPr>
              <w:pStyle w:val="42"/>
              <w:spacing w:before="93" w:line="234" w:lineRule="auto"/>
              <w:ind w:left="324" w:right="205" w:hanging="84"/>
              <w:jc w:val="center"/>
              <w:rPr>
                <w:color w:val="auto"/>
                <w:sz w:val="22"/>
                <w:szCs w:val="22"/>
                <w:highlight w:val="none"/>
              </w:rPr>
            </w:pPr>
          </w:p>
        </w:tc>
        <w:tc>
          <w:tcPr>
            <w:tcW w:w="930" w:type="dxa"/>
            <w:vAlign w:val="center"/>
          </w:tcPr>
          <w:p w14:paraId="7DA92C0F">
            <w:pPr>
              <w:jc w:val="center"/>
              <w:rPr>
                <w:rFonts w:ascii="Arial"/>
                <w:color w:val="auto"/>
                <w:sz w:val="21"/>
                <w:highlight w:val="none"/>
              </w:rPr>
            </w:pPr>
          </w:p>
        </w:tc>
        <w:tc>
          <w:tcPr>
            <w:tcW w:w="1125" w:type="dxa"/>
            <w:vAlign w:val="center"/>
          </w:tcPr>
          <w:p w14:paraId="3713438B">
            <w:pPr>
              <w:pStyle w:val="42"/>
              <w:spacing w:before="94" w:line="231" w:lineRule="auto"/>
              <w:ind w:left="1017" w:right="103" w:hanging="900"/>
              <w:jc w:val="both"/>
              <w:rPr>
                <w:color w:val="auto"/>
                <w:sz w:val="22"/>
                <w:szCs w:val="22"/>
                <w:highlight w:val="none"/>
              </w:rPr>
            </w:pPr>
          </w:p>
        </w:tc>
        <w:tc>
          <w:tcPr>
            <w:tcW w:w="810" w:type="dxa"/>
            <w:vAlign w:val="center"/>
          </w:tcPr>
          <w:p w14:paraId="46CB6B65">
            <w:pPr>
              <w:jc w:val="center"/>
              <w:rPr>
                <w:rFonts w:ascii="Arial"/>
                <w:color w:val="auto"/>
                <w:sz w:val="21"/>
                <w:highlight w:val="none"/>
              </w:rPr>
            </w:pPr>
          </w:p>
        </w:tc>
        <w:tc>
          <w:tcPr>
            <w:tcW w:w="735" w:type="dxa"/>
            <w:vAlign w:val="center"/>
          </w:tcPr>
          <w:p w14:paraId="0C13C708">
            <w:pPr>
              <w:pStyle w:val="42"/>
              <w:spacing w:before="237" w:line="228" w:lineRule="auto"/>
              <w:ind w:left="246"/>
              <w:jc w:val="center"/>
              <w:rPr>
                <w:color w:val="auto"/>
                <w:sz w:val="22"/>
                <w:szCs w:val="22"/>
                <w:highlight w:val="none"/>
              </w:rPr>
            </w:pPr>
          </w:p>
        </w:tc>
        <w:tc>
          <w:tcPr>
            <w:tcW w:w="1020" w:type="dxa"/>
            <w:vAlign w:val="center"/>
          </w:tcPr>
          <w:p w14:paraId="30567AB5">
            <w:pPr>
              <w:jc w:val="center"/>
              <w:rPr>
                <w:rFonts w:ascii="Arial"/>
                <w:color w:val="auto"/>
                <w:sz w:val="21"/>
                <w:highlight w:val="none"/>
              </w:rPr>
            </w:pPr>
          </w:p>
        </w:tc>
        <w:tc>
          <w:tcPr>
            <w:tcW w:w="1080" w:type="dxa"/>
            <w:vAlign w:val="center"/>
          </w:tcPr>
          <w:p w14:paraId="2426D38F">
            <w:pPr>
              <w:pStyle w:val="42"/>
              <w:spacing w:before="270" w:line="185" w:lineRule="auto"/>
              <w:ind w:left="256"/>
              <w:jc w:val="both"/>
              <w:rPr>
                <w:color w:val="auto"/>
                <w:sz w:val="22"/>
                <w:szCs w:val="22"/>
                <w:highlight w:val="none"/>
              </w:rPr>
            </w:pPr>
          </w:p>
        </w:tc>
        <w:tc>
          <w:tcPr>
            <w:tcW w:w="1082" w:type="dxa"/>
            <w:vAlign w:val="center"/>
          </w:tcPr>
          <w:p w14:paraId="5DD81C58">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74FD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8" w:type="dxa"/>
            <w:vAlign w:val="center"/>
          </w:tcPr>
          <w:p w14:paraId="4A70BABE">
            <w:pPr>
              <w:pStyle w:val="42"/>
              <w:spacing w:before="271" w:line="184" w:lineRule="auto"/>
              <w:ind w:left="264"/>
              <w:jc w:val="both"/>
              <w:rPr>
                <w:color w:val="auto"/>
                <w:sz w:val="22"/>
                <w:szCs w:val="22"/>
                <w:highlight w:val="none"/>
              </w:rPr>
            </w:pPr>
            <w:r>
              <w:rPr>
                <w:color w:val="auto"/>
                <w:sz w:val="22"/>
                <w:szCs w:val="22"/>
                <w:highlight w:val="none"/>
              </w:rPr>
              <w:t>6</w:t>
            </w:r>
          </w:p>
        </w:tc>
        <w:tc>
          <w:tcPr>
            <w:tcW w:w="1279" w:type="dxa"/>
            <w:vAlign w:val="center"/>
          </w:tcPr>
          <w:p w14:paraId="48A1B71A">
            <w:pPr>
              <w:pStyle w:val="42"/>
              <w:spacing w:before="237" w:line="230" w:lineRule="auto"/>
              <w:ind w:left="218"/>
              <w:jc w:val="center"/>
              <w:rPr>
                <w:color w:val="auto"/>
                <w:sz w:val="22"/>
                <w:szCs w:val="22"/>
                <w:highlight w:val="none"/>
              </w:rPr>
            </w:pPr>
          </w:p>
        </w:tc>
        <w:tc>
          <w:tcPr>
            <w:tcW w:w="930" w:type="dxa"/>
            <w:vAlign w:val="center"/>
          </w:tcPr>
          <w:p w14:paraId="7669C669">
            <w:pPr>
              <w:jc w:val="center"/>
              <w:rPr>
                <w:rFonts w:ascii="Arial"/>
                <w:color w:val="auto"/>
                <w:sz w:val="21"/>
                <w:highlight w:val="none"/>
              </w:rPr>
            </w:pPr>
          </w:p>
        </w:tc>
        <w:tc>
          <w:tcPr>
            <w:tcW w:w="1125" w:type="dxa"/>
            <w:vAlign w:val="center"/>
          </w:tcPr>
          <w:p w14:paraId="0034DE32">
            <w:pPr>
              <w:pStyle w:val="42"/>
              <w:spacing w:before="94" w:line="234" w:lineRule="auto"/>
              <w:ind w:left="385" w:right="103" w:hanging="266"/>
              <w:jc w:val="both"/>
              <w:rPr>
                <w:color w:val="auto"/>
                <w:sz w:val="22"/>
                <w:szCs w:val="22"/>
                <w:highlight w:val="none"/>
              </w:rPr>
            </w:pPr>
          </w:p>
        </w:tc>
        <w:tc>
          <w:tcPr>
            <w:tcW w:w="810" w:type="dxa"/>
            <w:vAlign w:val="center"/>
          </w:tcPr>
          <w:p w14:paraId="181C7650">
            <w:pPr>
              <w:jc w:val="center"/>
              <w:rPr>
                <w:rFonts w:ascii="Arial"/>
                <w:color w:val="auto"/>
                <w:sz w:val="21"/>
                <w:highlight w:val="none"/>
              </w:rPr>
            </w:pPr>
          </w:p>
        </w:tc>
        <w:tc>
          <w:tcPr>
            <w:tcW w:w="735" w:type="dxa"/>
            <w:vAlign w:val="center"/>
          </w:tcPr>
          <w:p w14:paraId="55767D70">
            <w:pPr>
              <w:pStyle w:val="42"/>
              <w:spacing w:before="237" w:line="232" w:lineRule="auto"/>
              <w:ind w:left="263"/>
              <w:jc w:val="center"/>
              <w:rPr>
                <w:color w:val="auto"/>
                <w:sz w:val="22"/>
                <w:szCs w:val="22"/>
                <w:highlight w:val="none"/>
              </w:rPr>
            </w:pPr>
          </w:p>
        </w:tc>
        <w:tc>
          <w:tcPr>
            <w:tcW w:w="1020" w:type="dxa"/>
            <w:vAlign w:val="center"/>
          </w:tcPr>
          <w:p w14:paraId="7B337149">
            <w:pPr>
              <w:jc w:val="center"/>
              <w:rPr>
                <w:rFonts w:ascii="Arial"/>
                <w:color w:val="auto"/>
                <w:sz w:val="21"/>
                <w:highlight w:val="none"/>
              </w:rPr>
            </w:pPr>
          </w:p>
        </w:tc>
        <w:tc>
          <w:tcPr>
            <w:tcW w:w="1080" w:type="dxa"/>
            <w:vAlign w:val="center"/>
          </w:tcPr>
          <w:p w14:paraId="2EEA5B15">
            <w:pPr>
              <w:pStyle w:val="42"/>
              <w:spacing w:before="268" w:line="186" w:lineRule="auto"/>
              <w:ind w:left="190"/>
              <w:jc w:val="both"/>
              <w:rPr>
                <w:color w:val="auto"/>
                <w:sz w:val="22"/>
                <w:szCs w:val="22"/>
                <w:highlight w:val="none"/>
              </w:rPr>
            </w:pPr>
          </w:p>
        </w:tc>
        <w:tc>
          <w:tcPr>
            <w:tcW w:w="1082" w:type="dxa"/>
            <w:vAlign w:val="center"/>
          </w:tcPr>
          <w:p w14:paraId="0D1B97BD">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highlight w:val="none"/>
                <w:lang w:val="en-US" w:eastAsia="zh-CN" w:bidi="ar-SA"/>
              </w:rPr>
            </w:pPr>
          </w:p>
        </w:tc>
      </w:tr>
      <w:tr w14:paraId="67B5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8" w:type="dxa"/>
            <w:vAlign w:val="center"/>
          </w:tcPr>
          <w:p w14:paraId="45A9544D">
            <w:pPr>
              <w:pStyle w:val="42"/>
              <w:spacing w:before="274" w:line="182" w:lineRule="auto"/>
              <w:ind w:left="266"/>
              <w:jc w:val="both"/>
              <w:rPr>
                <w:color w:val="auto"/>
                <w:sz w:val="22"/>
                <w:szCs w:val="22"/>
              </w:rPr>
            </w:pPr>
            <w:r>
              <w:rPr>
                <w:color w:val="auto"/>
                <w:sz w:val="22"/>
                <w:szCs w:val="22"/>
              </w:rPr>
              <w:t>7</w:t>
            </w:r>
          </w:p>
        </w:tc>
        <w:tc>
          <w:tcPr>
            <w:tcW w:w="1279" w:type="dxa"/>
            <w:vAlign w:val="center"/>
          </w:tcPr>
          <w:p w14:paraId="2E3542A7">
            <w:pPr>
              <w:pStyle w:val="42"/>
              <w:spacing w:before="238" w:line="225" w:lineRule="auto"/>
              <w:ind w:left="326"/>
              <w:jc w:val="both"/>
              <w:rPr>
                <w:color w:val="auto"/>
                <w:sz w:val="22"/>
                <w:szCs w:val="22"/>
              </w:rPr>
            </w:pPr>
          </w:p>
        </w:tc>
        <w:tc>
          <w:tcPr>
            <w:tcW w:w="930" w:type="dxa"/>
            <w:vAlign w:val="center"/>
          </w:tcPr>
          <w:p w14:paraId="3BA9F0CA">
            <w:pPr>
              <w:jc w:val="center"/>
              <w:rPr>
                <w:rFonts w:hint="default" w:ascii="Arial" w:eastAsia="宋体"/>
                <w:color w:val="auto"/>
                <w:sz w:val="21"/>
                <w:lang w:val="en-US" w:eastAsia="zh-CN"/>
              </w:rPr>
            </w:pPr>
          </w:p>
        </w:tc>
        <w:tc>
          <w:tcPr>
            <w:tcW w:w="1125" w:type="dxa"/>
            <w:vAlign w:val="center"/>
          </w:tcPr>
          <w:p w14:paraId="4A1B850E">
            <w:pPr>
              <w:pStyle w:val="42"/>
              <w:spacing w:before="95" w:line="233" w:lineRule="auto"/>
              <w:ind w:left="712" w:right="130" w:hanging="569"/>
              <w:jc w:val="both"/>
              <w:rPr>
                <w:color w:val="auto"/>
                <w:sz w:val="22"/>
                <w:szCs w:val="22"/>
              </w:rPr>
            </w:pPr>
          </w:p>
        </w:tc>
        <w:tc>
          <w:tcPr>
            <w:tcW w:w="810" w:type="dxa"/>
            <w:vAlign w:val="center"/>
          </w:tcPr>
          <w:p w14:paraId="2177C825">
            <w:pPr>
              <w:jc w:val="center"/>
              <w:rPr>
                <w:rFonts w:hint="eastAsia" w:ascii="Arial" w:eastAsia="宋体"/>
                <w:color w:val="auto"/>
                <w:sz w:val="21"/>
                <w:lang w:val="en-US" w:eastAsia="zh-CN"/>
              </w:rPr>
            </w:pPr>
          </w:p>
        </w:tc>
        <w:tc>
          <w:tcPr>
            <w:tcW w:w="735" w:type="dxa"/>
            <w:vAlign w:val="center"/>
          </w:tcPr>
          <w:p w14:paraId="616981FC">
            <w:pPr>
              <w:pStyle w:val="42"/>
              <w:spacing w:before="238" w:line="225" w:lineRule="auto"/>
              <w:ind w:left="233"/>
              <w:jc w:val="center"/>
              <w:rPr>
                <w:color w:val="auto"/>
                <w:sz w:val="22"/>
                <w:szCs w:val="22"/>
              </w:rPr>
            </w:pPr>
          </w:p>
        </w:tc>
        <w:tc>
          <w:tcPr>
            <w:tcW w:w="1020" w:type="dxa"/>
            <w:vAlign w:val="center"/>
          </w:tcPr>
          <w:p w14:paraId="66C33CF6">
            <w:pPr>
              <w:jc w:val="center"/>
              <w:rPr>
                <w:rFonts w:ascii="Arial"/>
                <w:color w:val="auto"/>
                <w:sz w:val="21"/>
              </w:rPr>
            </w:pPr>
          </w:p>
        </w:tc>
        <w:tc>
          <w:tcPr>
            <w:tcW w:w="1080" w:type="dxa"/>
            <w:vAlign w:val="center"/>
          </w:tcPr>
          <w:p w14:paraId="00EE45E7">
            <w:pPr>
              <w:pStyle w:val="42"/>
              <w:spacing w:before="270" w:line="185" w:lineRule="auto"/>
              <w:ind w:left="294"/>
              <w:jc w:val="both"/>
              <w:rPr>
                <w:color w:val="auto"/>
                <w:sz w:val="22"/>
                <w:szCs w:val="22"/>
              </w:rPr>
            </w:pPr>
          </w:p>
        </w:tc>
        <w:tc>
          <w:tcPr>
            <w:tcW w:w="1082" w:type="dxa"/>
            <w:vAlign w:val="center"/>
          </w:tcPr>
          <w:p w14:paraId="363D271F">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lang w:val="en-US" w:eastAsia="zh-CN" w:bidi="ar-SA"/>
              </w:rPr>
            </w:pPr>
          </w:p>
        </w:tc>
      </w:tr>
      <w:tr w14:paraId="03CF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8" w:type="dxa"/>
            <w:vAlign w:val="center"/>
          </w:tcPr>
          <w:p w14:paraId="31CF08E8">
            <w:pPr>
              <w:pStyle w:val="42"/>
              <w:spacing w:before="272" w:line="184" w:lineRule="auto"/>
              <w:ind w:left="263"/>
              <w:jc w:val="both"/>
              <w:rPr>
                <w:color w:val="auto"/>
                <w:sz w:val="22"/>
                <w:szCs w:val="22"/>
              </w:rPr>
            </w:pPr>
            <w:r>
              <w:rPr>
                <w:color w:val="auto"/>
                <w:sz w:val="22"/>
                <w:szCs w:val="22"/>
              </w:rPr>
              <w:t>8</w:t>
            </w:r>
          </w:p>
        </w:tc>
        <w:tc>
          <w:tcPr>
            <w:tcW w:w="1279" w:type="dxa"/>
            <w:vAlign w:val="center"/>
          </w:tcPr>
          <w:p w14:paraId="6B6608B3">
            <w:pPr>
              <w:pStyle w:val="42"/>
              <w:spacing w:before="93" w:line="232" w:lineRule="auto"/>
              <w:ind w:left="324" w:right="206" w:hanging="110"/>
              <w:jc w:val="center"/>
              <w:rPr>
                <w:color w:val="auto"/>
                <w:sz w:val="22"/>
                <w:szCs w:val="22"/>
              </w:rPr>
            </w:pPr>
          </w:p>
        </w:tc>
        <w:tc>
          <w:tcPr>
            <w:tcW w:w="930" w:type="dxa"/>
            <w:vAlign w:val="center"/>
          </w:tcPr>
          <w:p w14:paraId="2AB6A4E0">
            <w:pPr>
              <w:jc w:val="center"/>
              <w:rPr>
                <w:rFonts w:hint="default" w:eastAsia="宋体"/>
                <w:color w:val="auto"/>
                <w:sz w:val="21"/>
                <w:lang w:val="en-US" w:eastAsia="zh-CN"/>
              </w:rPr>
            </w:pPr>
          </w:p>
        </w:tc>
        <w:tc>
          <w:tcPr>
            <w:tcW w:w="1125" w:type="dxa"/>
            <w:vAlign w:val="center"/>
          </w:tcPr>
          <w:p w14:paraId="408E9B16">
            <w:pPr>
              <w:pStyle w:val="42"/>
              <w:spacing w:before="95" w:line="226" w:lineRule="auto"/>
              <w:ind w:left="462" w:right="350" w:hanging="109"/>
              <w:jc w:val="both"/>
              <w:rPr>
                <w:color w:val="auto"/>
                <w:sz w:val="22"/>
                <w:szCs w:val="22"/>
              </w:rPr>
            </w:pPr>
          </w:p>
        </w:tc>
        <w:tc>
          <w:tcPr>
            <w:tcW w:w="810" w:type="dxa"/>
            <w:vAlign w:val="center"/>
          </w:tcPr>
          <w:p w14:paraId="4A121363">
            <w:pPr>
              <w:jc w:val="center"/>
              <w:rPr>
                <w:rFonts w:ascii="Arial"/>
                <w:color w:val="auto"/>
                <w:sz w:val="21"/>
              </w:rPr>
            </w:pPr>
          </w:p>
        </w:tc>
        <w:tc>
          <w:tcPr>
            <w:tcW w:w="735" w:type="dxa"/>
            <w:vAlign w:val="center"/>
          </w:tcPr>
          <w:p w14:paraId="2B745264">
            <w:pPr>
              <w:pStyle w:val="42"/>
              <w:spacing w:before="238" w:line="230" w:lineRule="auto"/>
              <w:ind w:left="236"/>
              <w:jc w:val="center"/>
              <w:rPr>
                <w:color w:val="auto"/>
                <w:sz w:val="22"/>
                <w:szCs w:val="22"/>
              </w:rPr>
            </w:pPr>
          </w:p>
        </w:tc>
        <w:tc>
          <w:tcPr>
            <w:tcW w:w="1020" w:type="dxa"/>
            <w:vAlign w:val="center"/>
          </w:tcPr>
          <w:p w14:paraId="4DDD1BAF">
            <w:pPr>
              <w:jc w:val="center"/>
              <w:rPr>
                <w:rFonts w:ascii="Arial"/>
                <w:color w:val="auto"/>
                <w:sz w:val="21"/>
              </w:rPr>
            </w:pPr>
          </w:p>
        </w:tc>
        <w:tc>
          <w:tcPr>
            <w:tcW w:w="1080" w:type="dxa"/>
            <w:vAlign w:val="center"/>
          </w:tcPr>
          <w:p w14:paraId="25EEF8E3">
            <w:pPr>
              <w:pStyle w:val="42"/>
              <w:spacing w:before="270" w:line="186" w:lineRule="auto"/>
              <w:ind w:left="295"/>
              <w:jc w:val="both"/>
              <w:rPr>
                <w:color w:val="auto"/>
                <w:sz w:val="22"/>
                <w:szCs w:val="22"/>
              </w:rPr>
            </w:pPr>
          </w:p>
        </w:tc>
        <w:tc>
          <w:tcPr>
            <w:tcW w:w="1082" w:type="dxa"/>
            <w:vAlign w:val="center"/>
          </w:tcPr>
          <w:p w14:paraId="66C05FF9">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lang w:val="en-US" w:eastAsia="zh-CN" w:bidi="ar-SA"/>
              </w:rPr>
            </w:pPr>
          </w:p>
        </w:tc>
      </w:tr>
      <w:tr w14:paraId="4CAB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28" w:type="dxa"/>
            <w:vAlign w:val="center"/>
          </w:tcPr>
          <w:p w14:paraId="58D377C9">
            <w:pPr>
              <w:pStyle w:val="42"/>
              <w:spacing w:before="270" w:line="185" w:lineRule="auto"/>
              <w:ind w:left="259"/>
              <w:jc w:val="both"/>
              <w:rPr>
                <w:color w:val="auto"/>
                <w:sz w:val="22"/>
                <w:szCs w:val="22"/>
              </w:rPr>
            </w:pPr>
            <w:r>
              <w:rPr>
                <w:color w:val="auto"/>
                <w:sz w:val="22"/>
                <w:szCs w:val="22"/>
              </w:rPr>
              <w:t>9</w:t>
            </w:r>
          </w:p>
        </w:tc>
        <w:tc>
          <w:tcPr>
            <w:tcW w:w="1279" w:type="dxa"/>
            <w:vAlign w:val="center"/>
          </w:tcPr>
          <w:p w14:paraId="3EF9AC18">
            <w:pPr>
              <w:pStyle w:val="42"/>
              <w:spacing w:before="94" w:line="232" w:lineRule="auto"/>
              <w:ind w:left="442" w:right="177" w:hanging="255"/>
              <w:jc w:val="center"/>
              <w:rPr>
                <w:color w:val="auto"/>
                <w:sz w:val="22"/>
                <w:szCs w:val="22"/>
              </w:rPr>
            </w:pPr>
          </w:p>
        </w:tc>
        <w:tc>
          <w:tcPr>
            <w:tcW w:w="930" w:type="dxa"/>
            <w:vAlign w:val="center"/>
          </w:tcPr>
          <w:p w14:paraId="4ED9F38F">
            <w:pPr>
              <w:jc w:val="center"/>
              <w:rPr>
                <w:rFonts w:hint="default" w:ascii="Arial" w:eastAsia="宋体"/>
                <w:color w:val="auto"/>
                <w:sz w:val="21"/>
                <w:lang w:val="en-US" w:eastAsia="zh-CN"/>
              </w:rPr>
            </w:pPr>
          </w:p>
        </w:tc>
        <w:tc>
          <w:tcPr>
            <w:tcW w:w="1125" w:type="dxa"/>
            <w:vAlign w:val="center"/>
          </w:tcPr>
          <w:p w14:paraId="48B201C1">
            <w:pPr>
              <w:pStyle w:val="42"/>
              <w:spacing w:before="269" w:line="186" w:lineRule="auto"/>
              <w:ind w:left="352"/>
              <w:jc w:val="both"/>
              <w:rPr>
                <w:color w:val="auto"/>
                <w:sz w:val="22"/>
                <w:szCs w:val="22"/>
              </w:rPr>
            </w:pPr>
          </w:p>
        </w:tc>
        <w:tc>
          <w:tcPr>
            <w:tcW w:w="810" w:type="dxa"/>
            <w:vAlign w:val="center"/>
          </w:tcPr>
          <w:p w14:paraId="6E08B689">
            <w:pPr>
              <w:jc w:val="center"/>
              <w:rPr>
                <w:rFonts w:ascii="Arial"/>
                <w:color w:val="auto"/>
                <w:sz w:val="21"/>
              </w:rPr>
            </w:pPr>
          </w:p>
        </w:tc>
        <w:tc>
          <w:tcPr>
            <w:tcW w:w="735" w:type="dxa"/>
            <w:vAlign w:val="center"/>
          </w:tcPr>
          <w:p w14:paraId="0F24A380">
            <w:pPr>
              <w:pStyle w:val="42"/>
              <w:spacing w:before="236" w:line="230" w:lineRule="auto"/>
              <w:ind w:left="236"/>
              <w:jc w:val="center"/>
              <w:rPr>
                <w:color w:val="auto"/>
                <w:sz w:val="22"/>
                <w:szCs w:val="22"/>
              </w:rPr>
            </w:pPr>
          </w:p>
        </w:tc>
        <w:tc>
          <w:tcPr>
            <w:tcW w:w="1020" w:type="dxa"/>
            <w:vAlign w:val="center"/>
          </w:tcPr>
          <w:p w14:paraId="5DDB961C">
            <w:pPr>
              <w:jc w:val="center"/>
              <w:rPr>
                <w:rFonts w:ascii="Arial"/>
                <w:color w:val="auto"/>
                <w:sz w:val="21"/>
              </w:rPr>
            </w:pPr>
          </w:p>
        </w:tc>
        <w:tc>
          <w:tcPr>
            <w:tcW w:w="1080" w:type="dxa"/>
            <w:vAlign w:val="center"/>
          </w:tcPr>
          <w:p w14:paraId="124FA5E1">
            <w:pPr>
              <w:pStyle w:val="42"/>
              <w:spacing w:before="270" w:line="185" w:lineRule="auto"/>
              <w:ind w:left="312"/>
              <w:jc w:val="both"/>
              <w:rPr>
                <w:color w:val="auto"/>
                <w:sz w:val="22"/>
                <w:szCs w:val="22"/>
              </w:rPr>
            </w:pPr>
          </w:p>
        </w:tc>
        <w:tc>
          <w:tcPr>
            <w:tcW w:w="1082" w:type="dxa"/>
            <w:vAlign w:val="center"/>
          </w:tcPr>
          <w:p w14:paraId="118AC089">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lang w:val="en-US" w:eastAsia="zh-CN" w:bidi="ar-SA"/>
              </w:rPr>
            </w:pPr>
          </w:p>
        </w:tc>
      </w:tr>
      <w:tr w14:paraId="4B8B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28" w:type="dxa"/>
            <w:vAlign w:val="center"/>
          </w:tcPr>
          <w:p w14:paraId="3FBA8F06">
            <w:pPr>
              <w:pStyle w:val="42"/>
              <w:spacing w:before="276" w:line="184" w:lineRule="auto"/>
              <w:ind w:left="221"/>
              <w:jc w:val="both"/>
              <w:rPr>
                <w:rFonts w:hint="default"/>
                <w:color w:val="auto"/>
                <w:sz w:val="22"/>
                <w:szCs w:val="22"/>
                <w:lang w:val="en-US" w:eastAsia="zh-CN"/>
              </w:rPr>
            </w:pPr>
            <w:r>
              <w:rPr>
                <w:rFonts w:hint="eastAsia"/>
                <w:color w:val="auto"/>
                <w:sz w:val="22"/>
                <w:szCs w:val="22"/>
                <w:lang w:val="en-US" w:eastAsia="zh-CN"/>
              </w:rPr>
              <w:t>...</w:t>
            </w:r>
          </w:p>
        </w:tc>
        <w:tc>
          <w:tcPr>
            <w:tcW w:w="1279" w:type="dxa"/>
            <w:vAlign w:val="center"/>
          </w:tcPr>
          <w:p w14:paraId="4FB6AB84">
            <w:pPr>
              <w:pStyle w:val="42"/>
              <w:spacing w:before="239" w:line="238" w:lineRule="auto"/>
              <w:ind w:left="224"/>
              <w:jc w:val="both"/>
              <w:rPr>
                <w:color w:val="auto"/>
                <w:sz w:val="22"/>
                <w:szCs w:val="22"/>
              </w:rPr>
            </w:pPr>
          </w:p>
        </w:tc>
        <w:tc>
          <w:tcPr>
            <w:tcW w:w="930" w:type="dxa"/>
            <w:vAlign w:val="center"/>
          </w:tcPr>
          <w:p w14:paraId="61A6F27A">
            <w:pPr>
              <w:jc w:val="center"/>
              <w:rPr>
                <w:rFonts w:hint="default" w:ascii="Arial" w:eastAsia="宋体"/>
                <w:color w:val="auto"/>
                <w:sz w:val="21"/>
                <w:lang w:val="en-US" w:eastAsia="zh-CN"/>
              </w:rPr>
            </w:pPr>
          </w:p>
        </w:tc>
        <w:tc>
          <w:tcPr>
            <w:tcW w:w="1125" w:type="dxa"/>
            <w:vAlign w:val="center"/>
          </w:tcPr>
          <w:p w14:paraId="6CD94B87">
            <w:pPr>
              <w:pStyle w:val="42"/>
              <w:spacing w:before="238" w:line="221" w:lineRule="auto"/>
              <w:ind w:left="661"/>
              <w:jc w:val="both"/>
              <w:rPr>
                <w:color w:val="auto"/>
                <w:sz w:val="22"/>
                <w:szCs w:val="22"/>
              </w:rPr>
            </w:pPr>
          </w:p>
        </w:tc>
        <w:tc>
          <w:tcPr>
            <w:tcW w:w="810" w:type="dxa"/>
            <w:vAlign w:val="center"/>
          </w:tcPr>
          <w:p w14:paraId="1334C128">
            <w:pPr>
              <w:jc w:val="center"/>
              <w:rPr>
                <w:rFonts w:ascii="Arial"/>
                <w:color w:val="auto"/>
                <w:sz w:val="21"/>
              </w:rPr>
            </w:pPr>
          </w:p>
        </w:tc>
        <w:tc>
          <w:tcPr>
            <w:tcW w:w="735" w:type="dxa"/>
            <w:vAlign w:val="center"/>
          </w:tcPr>
          <w:p w14:paraId="77260DE8">
            <w:pPr>
              <w:pStyle w:val="42"/>
              <w:spacing w:before="239"/>
              <w:ind w:left="246"/>
              <w:jc w:val="center"/>
              <w:rPr>
                <w:color w:val="auto"/>
                <w:sz w:val="22"/>
                <w:szCs w:val="22"/>
              </w:rPr>
            </w:pPr>
          </w:p>
        </w:tc>
        <w:tc>
          <w:tcPr>
            <w:tcW w:w="1020" w:type="dxa"/>
            <w:vAlign w:val="center"/>
          </w:tcPr>
          <w:p w14:paraId="0E841D56">
            <w:pPr>
              <w:jc w:val="center"/>
              <w:rPr>
                <w:rFonts w:ascii="Arial"/>
                <w:color w:val="auto"/>
                <w:sz w:val="21"/>
              </w:rPr>
            </w:pPr>
          </w:p>
        </w:tc>
        <w:tc>
          <w:tcPr>
            <w:tcW w:w="1080" w:type="dxa"/>
            <w:vAlign w:val="center"/>
          </w:tcPr>
          <w:p w14:paraId="00623A4E">
            <w:pPr>
              <w:pStyle w:val="42"/>
              <w:spacing w:before="271" w:line="185" w:lineRule="auto"/>
              <w:ind w:left="246"/>
              <w:jc w:val="both"/>
              <w:rPr>
                <w:color w:val="auto"/>
                <w:sz w:val="22"/>
                <w:szCs w:val="22"/>
              </w:rPr>
            </w:pPr>
          </w:p>
        </w:tc>
        <w:tc>
          <w:tcPr>
            <w:tcW w:w="1082" w:type="dxa"/>
            <w:vAlign w:val="center"/>
          </w:tcPr>
          <w:p w14:paraId="16EFB46B">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lang w:val="en-US" w:eastAsia="zh-CN" w:bidi="ar-SA"/>
              </w:rPr>
            </w:pPr>
          </w:p>
        </w:tc>
      </w:tr>
      <w:tr w14:paraId="28114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527" w:type="dxa"/>
            <w:gridSpan w:val="7"/>
            <w:vAlign w:val="center"/>
          </w:tcPr>
          <w:p w14:paraId="6A62222E">
            <w:pPr>
              <w:jc w:val="center"/>
              <w:rPr>
                <w:rFonts w:hint="default" w:ascii="Arial" w:eastAsia="宋体"/>
                <w:color w:val="auto"/>
                <w:sz w:val="21"/>
                <w:lang w:val="en-US" w:eastAsia="zh-CN"/>
              </w:rPr>
            </w:pPr>
            <w:r>
              <w:rPr>
                <w:rFonts w:hint="eastAsia" w:ascii="Arial"/>
                <w:color w:val="auto"/>
                <w:sz w:val="21"/>
                <w:lang w:val="en-US" w:eastAsia="zh-CN"/>
              </w:rPr>
              <w:t>高新区日常制作总价</w:t>
            </w:r>
          </w:p>
        </w:tc>
        <w:tc>
          <w:tcPr>
            <w:tcW w:w="1080" w:type="dxa"/>
            <w:vAlign w:val="center"/>
          </w:tcPr>
          <w:p w14:paraId="37C1CB01">
            <w:pPr>
              <w:pStyle w:val="42"/>
              <w:spacing w:before="271" w:line="185" w:lineRule="auto"/>
              <w:ind w:left="246"/>
              <w:jc w:val="both"/>
              <w:rPr>
                <w:color w:val="auto"/>
                <w:sz w:val="22"/>
                <w:szCs w:val="22"/>
              </w:rPr>
            </w:pPr>
          </w:p>
        </w:tc>
        <w:tc>
          <w:tcPr>
            <w:tcW w:w="1082" w:type="dxa"/>
            <w:vAlign w:val="center"/>
          </w:tcPr>
          <w:p w14:paraId="696519D3">
            <w:pPr>
              <w:keepNext w:val="0"/>
              <w:keepLines w:val="0"/>
              <w:widowControl/>
              <w:suppressLineNumbers w:val="0"/>
              <w:jc w:val="center"/>
              <w:textAlignment w:val="center"/>
              <w:rPr>
                <w:rFonts w:hint="default" w:ascii="楷体" w:hAnsi="楷体" w:eastAsia="楷体" w:cs="楷体"/>
                <w:snapToGrid w:val="0"/>
                <w:color w:val="auto"/>
                <w:spacing w:val="-1"/>
                <w:kern w:val="0"/>
                <w:sz w:val="22"/>
                <w:szCs w:val="22"/>
                <w:lang w:val="en-US" w:eastAsia="zh-CN" w:bidi="ar-SA"/>
              </w:rPr>
            </w:pPr>
          </w:p>
        </w:tc>
      </w:tr>
    </w:tbl>
    <w:p w14:paraId="4C023DD7">
      <w:pPr>
        <w:pStyle w:val="2"/>
        <w:rPr>
          <w:rFonts w:hint="eastAsia" w:ascii="宋体" w:hAnsi="宋体" w:cs="宋体"/>
          <w:b/>
          <w:bCs/>
          <w:color w:val="auto"/>
          <w:sz w:val="32"/>
          <w:szCs w:val="32"/>
          <w:highlight w:val="none"/>
          <w:lang w:val="en-US" w:eastAsia="zh-CN"/>
        </w:rPr>
      </w:pPr>
    </w:p>
    <w:p w14:paraId="5C1E73B7">
      <w:pPr>
        <w:spacing w:line="360" w:lineRule="auto"/>
        <w:ind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说明：</w:t>
      </w:r>
      <w:r>
        <w:rPr>
          <w:rFonts w:hint="eastAsia" w:ascii="宋体" w:hAnsi="宋体" w:cs="宋体"/>
          <w:color w:val="auto"/>
          <w:kern w:val="0"/>
          <w:sz w:val="24"/>
          <w:szCs w:val="24"/>
          <w:highlight w:val="none"/>
        </w:rPr>
        <w:t>本表中报价数字保留小数点后两位</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报价为含税价</w:t>
      </w:r>
      <w:r>
        <w:rPr>
          <w:rFonts w:hint="eastAsia" w:ascii="宋体" w:hAnsi="宋体" w:cs="宋体"/>
          <w:color w:val="auto"/>
          <w:kern w:val="0"/>
          <w:sz w:val="24"/>
          <w:szCs w:val="24"/>
          <w:highlight w:val="none"/>
        </w:rPr>
        <w:t>。</w:t>
      </w:r>
    </w:p>
    <w:p w14:paraId="75A57E99">
      <w:pPr>
        <w:pStyle w:val="2"/>
        <w:rPr>
          <w:rFonts w:hint="eastAsia" w:ascii="宋体" w:hAnsi="宋体" w:cs="宋体"/>
          <w:b/>
          <w:bCs/>
          <w:color w:val="auto"/>
          <w:sz w:val="32"/>
          <w:szCs w:val="32"/>
          <w:highlight w:val="none"/>
          <w:lang w:val="en-US" w:eastAsia="zh-CN"/>
        </w:rPr>
      </w:pPr>
    </w:p>
    <w:p w14:paraId="350FE55A">
      <w:pPr>
        <w:pStyle w:val="2"/>
        <w:rPr>
          <w:rFonts w:hint="eastAsia" w:ascii="宋体" w:hAnsi="宋体" w:cs="宋体"/>
          <w:b/>
          <w:bCs/>
          <w:color w:val="auto"/>
          <w:sz w:val="32"/>
          <w:szCs w:val="32"/>
          <w:highlight w:val="none"/>
          <w:lang w:val="en-US" w:eastAsia="zh-CN"/>
        </w:rPr>
      </w:pPr>
    </w:p>
    <w:p w14:paraId="35C10788">
      <w:pPr>
        <w:keepNext/>
        <w:keepLines/>
        <w:widowControl/>
        <w:jc w:val="center"/>
        <w:rPr>
          <w:rFonts w:hint="eastAsia" w:ascii="宋体" w:hAnsi="宋体" w:cs="宋体"/>
          <w:b/>
          <w:bCs/>
          <w:color w:val="auto"/>
          <w:sz w:val="32"/>
          <w:szCs w:val="32"/>
          <w:highlight w:val="none"/>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720" w:num="1"/>
          <w:titlePg/>
          <w:rtlGutter w:val="0"/>
          <w:docGrid w:type="lines" w:linePitch="333" w:charSpace="0"/>
        </w:sectPr>
      </w:pPr>
    </w:p>
    <w:p w14:paraId="6BE5914F">
      <w:pPr>
        <w:keepNext/>
        <w:keepLines/>
        <w:widowControl/>
        <w:jc w:val="center"/>
        <w:rPr>
          <w:rFonts w:hAnsi="宋体" w:cs="宋体"/>
          <w:color w:val="auto"/>
          <w:highlight w:val="none"/>
        </w:rPr>
      </w:pPr>
      <w:r>
        <w:rPr>
          <w:rFonts w:hint="eastAsia" w:ascii="宋体" w:hAnsi="宋体" w:cs="宋体"/>
          <w:b/>
          <w:bCs/>
          <w:color w:val="auto"/>
          <w:sz w:val="32"/>
          <w:szCs w:val="32"/>
          <w:highlight w:val="none"/>
        </w:rPr>
        <w:t>三、资格证明文件</w:t>
      </w:r>
      <w:bookmarkStart w:id="95" w:name="_Toc283240504"/>
      <w:bookmarkStart w:id="96" w:name="_Toc311415665"/>
      <w:bookmarkStart w:id="97" w:name="_Toc332874436"/>
      <w:bookmarkStart w:id="98" w:name="_Toc444611476"/>
    </w:p>
    <w:p w14:paraId="77E4527B">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auto"/>
          <w:highlight w:val="none"/>
        </w:rPr>
      </w:pPr>
      <w:r>
        <w:rPr>
          <w:rFonts w:hint="eastAsia" w:ascii="宋体" w:hAnsi="宋体" w:eastAsia="宋体" w:cs="Times New Roman"/>
          <w:color w:val="auto"/>
          <w:sz w:val="24"/>
          <w:szCs w:val="24"/>
          <w:highlight w:val="none"/>
          <w:lang w:val="en-US" w:eastAsia="zh-CN"/>
        </w:rPr>
        <w:t>（1）具有独立承担民事责任能力的法人、其他组织或自然人，提供合法有效的统一社会信用代码营业执照（事业单位提供事业单位法人证书，自然人提供身份证明）；</w:t>
      </w:r>
      <w:r>
        <w:rPr>
          <w:rFonts w:hint="eastAsia" w:ascii="微软雅黑" w:hAnsi="微软雅黑" w:eastAsia="微软雅黑" w:cs="微软雅黑"/>
          <w:i w:val="0"/>
          <w:iCs w:val="0"/>
          <w:caps w:val="0"/>
          <w:color w:val="auto"/>
          <w:spacing w:val="0"/>
          <w:sz w:val="21"/>
          <w:szCs w:val="21"/>
          <w:highlight w:val="none"/>
          <w:shd w:val="clear" w:color="auto" w:fill="FFFFFF"/>
        </w:rPr>
        <w:t> </w:t>
      </w:r>
      <w:r>
        <w:rPr>
          <w:rFonts w:hint="eastAsia" w:ascii="微软雅黑" w:hAnsi="微软雅黑" w:eastAsia="微软雅黑" w:cs="微软雅黑"/>
          <w:i w:val="0"/>
          <w:iCs w:val="0"/>
          <w:caps w:val="0"/>
          <w:color w:val="auto"/>
          <w:spacing w:val="0"/>
          <w:sz w:val="21"/>
          <w:szCs w:val="21"/>
          <w:highlight w:val="none"/>
          <w:shd w:val="clear" w:color="auto" w:fill="FFFFFF"/>
        </w:rPr>
        <w:br w:type="textWrapping"/>
      </w:r>
      <w:r>
        <w:rPr>
          <w:rFonts w:hint="eastAsia" w:ascii="宋体" w:hAnsi="宋体"/>
          <w:b/>
          <w:color w:val="auto"/>
          <w:sz w:val="28"/>
          <w:szCs w:val="28"/>
          <w:highlight w:val="none"/>
        </w:rPr>
        <w:br w:type="page"/>
      </w:r>
    </w:p>
    <w:p w14:paraId="23B98D12">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b/>
          <w:bCs/>
          <w:color w:val="auto"/>
          <w:szCs w:val="3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eastAsia="zh-CN"/>
        </w:rPr>
        <w:t>法定代表人授权书（附法定代表人、被授权人身份证复印件）及被授权人身份证（法定代表人直接参加投标会议，须提供法定代表人身份证明及身份证原件及复印件加盖公章）</w:t>
      </w:r>
      <w:r>
        <w:rPr>
          <w:rFonts w:hint="eastAsia" w:ascii="宋体" w:hAnsi="宋体" w:eastAsia="宋体" w:cs="Times New Roman"/>
          <w:color w:val="auto"/>
          <w:sz w:val="24"/>
          <w:szCs w:val="24"/>
          <w:highlight w:val="none"/>
          <w:lang w:val="en-US" w:eastAsia="zh-CN"/>
        </w:rPr>
        <w:t xml:space="preserve">； </w:t>
      </w:r>
      <w:r>
        <w:rPr>
          <w:rFonts w:hint="eastAsia" w:hAnsi="宋体" w:cs="宋体"/>
          <w:color w:val="auto"/>
          <w:highlight w:val="none"/>
        </w:rPr>
        <w:t xml:space="preserve">   </w:t>
      </w:r>
      <w:r>
        <w:rPr>
          <w:rFonts w:hint="eastAsia" w:hAnsi="宋体" w:cs="宋体"/>
          <w:color w:val="auto"/>
          <w:szCs w:val="32"/>
          <w:highlight w:val="none"/>
        </w:rPr>
        <w:t xml:space="preserve"> </w:t>
      </w:r>
    </w:p>
    <w:bookmarkEnd w:id="95"/>
    <w:bookmarkEnd w:id="96"/>
    <w:bookmarkEnd w:id="97"/>
    <w:bookmarkEnd w:id="98"/>
    <w:p w14:paraId="3FECEC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法定代表人身份证明/法定代表人授权书</w:t>
      </w:r>
    </w:p>
    <w:p w14:paraId="042ED221">
      <w:pPr>
        <w:pStyle w:val="12"/>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法定代表人身份证明</w:t>
      </w:r>
    </w:p>
    <w:p w14:paraId="267BFA0E">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3C01EA33">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统一社会信用代码：</w:t>
      </w:r>
      <w:r>
        <w:rPr>
          <w:rFonts w:hint="eastAsia" w:ascii="宋体" w:hAnsi="宋体" w:eastAsia="宋体" w:cs="宋体"/>
          <w:color w:val="auto"/>
          <w:kern w:val="0"/>
          <w:sz w:val="24"/>
          <w:highlight w:val="none"/>
          <w:u w:val="single"/>
        </w:rPr>
        <w:t xml:space="preserve">                </w:t>
      </w:r>
    </w:p>
    <w:p w14:paraId="45492BEA">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14:paraId="020319CA">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u w:val="single"/>
        </w:rPr>
        <w:t xml:space="preserve"> </w:t>
      </w:r>
      <w:r>
        <w:rPr>
          <w:rFonts w:hint="eastAsia"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1B3F2132">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r>
        <w:rPr>
          <w:rFonts w:hint="eastAsia"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p>
    <w:p w14:paraId="54D3DAC0">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名称）的法定代表人。</w:t>
      </w:r>
    </w:p>
    <w:p w14:paraId="0046C321">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776F28B6">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r>
        <w:rPr>
          <w:rFonts w:hint="eastAsia" w:ascii="宋体" w:hAnsi="宋体" w:eastAsia="宋体" w:cs="宋体"/>
          <w:color w:val="auto"/>
          <w:szCs w:val="21"/>
          <w:highlight w:val="none"/>
          <w:lang w:val="zh-CN"/>
        </w:rPr>
        <w:t>（正反面）</w:t>
      </w:r>
    </w:p>
    <w:p w14:paraId="5F3524B7">
      <w:pPr>
        <w:adjustRightInd w:val="0"/>
        <w:snapToGrid w:val="0"/>
        <w:spacing w:line="360" w:lineRule="auto"/>
        <w:ind w:right="420"/>
        <w:rPr>
          <w:rFonts w:hint="eastAsia" w:ascii="宋体" w:hAnsi="宋体" w:eastAsia="宋体" w:cs="宋体"/>
          <w:color w:val="auto"/>
          <w:sz w:val="24"/>
          <w:highlight w:val="none"/>
        </w:rPr>
      </w:pPr>
    </w:p>
    <w:p w14:paraId="3F80FB54">
      <w:pPr>
        <w:pStyle w:val="12"/>
        <w:rPr>
          <w:rFonts w:hint="eastAsia" w:ascii="宋体" w:hAnsi="宋体" w:eastAsia="宋体" w:cs="宋体"/>
          <w:color w:val="auto"/>
          <w:sz w:val="24"/>
          <w:highlight w:val="none"/>
        </w:rPr>
      </w:pPr>
    </w:p>
    <w:p w14:paraId="278203DB">
      <w:pPr>
        <w:rPr>
          <w:rFonts w:hint="eastAsia" w:ascii="宋体" w:hAnsi="宋体" w:eastAsia="宋体" w:cs="宋体"/>
          <w:color w:val="auto"/>
          <w:sz w:val="24"/>
          <w:highlight w:val="none"/>
        </w:rPr>
      </w:pPr>
    </w:p>
    <w:p w14:paraId="4F458882">
      <w:pPr>
        <w:pStyle w:val="12"/>
        <w:rPr>
          <w:rFonts w:hint="eastAsia" w:ascii="宋体" w:hAnsi="宋体" w:eastAsia="宋体" w:cs="宋体"/>
          <w:color w:val="auto"/>
          <w:sz w:val="24"/>
          <w:highlight w:val="none"/>
        </w:rPr>
      </w:pPr>
    </w:p>
    <w:p w14:paraId="04E240AB">
      <w:pPr>
        <w:rPr>
          <w:rFonts w:hint="eastAsia" w:ascii="宋体" w:hAnsi="宋体" w:eastAsia="宋体" w:cs="宋体"/>
          <w:color w:val="auto"/>
          <w:sz w:val="24"/>
          <w:highlight w:val="none"/>
        </w:rPr>
      </w:pPr>
    </w:p>
    <w:p w14:paraId="3E1CED3B">
      <w:pPr>
        <w:pStyle w:val="12"/>
        <w:rPr>
          <w:rFonts w:hint="eastAsia" w:ascii="宋体" w:hAnsi="宋体" w:eastAsia="宋体" w:cs="宋体"/>
          <w:color w:val="auto"/>
          <w:sz w:val="24"/>
          <w:highlight w:val="none"/>
        </w:rPr>
      </w:pPr>
    </w:p>
    <w:p w14:paraId="0D9AC56A">
      <w:pPr>
        <w:rPr>
          <w:rFonts w:hint="eastAsia" w:ascii="宋体" w:hAnsi="宋体" w:eastAsia="宋体" w:cs="宋体"/>
          <w:color w:val="auto"/>
          <w:sz w:val="24"/>
          <w:highlight w:val="none"/>
        </w:rPr>
      </w:pPr>
    </w:p>
    <w:p w14:paraId="654D0588">
      <w:pPr>
        <w:pStyle w:val="12"/>
        <w:rPr>
          <w:rFonts w:hint="eastAsia" w:ascii="宋体" w:hAnsi="宋体" w:eastAsia="宋体" w:cs="宋体"/>
          <w:color w:val="auto"/>
          <w:sz w:val="24"/>
          <w:highlight w:val="none"/>
        </w:rPr>
      </w:pPr>
    </w:p>
    <w:p w14:paraId="381E6B2B">
      <w:pPr>
        <w:rPr>
          <w:rFonts w:hint="eastAsia" w:ascii="宋体" w:hAnsi="宋体" w:eastAsia="宋体" w:cs="宋体"/>
          <w:color w:val="auto"/>
          <w:highlight w:val="none"/>
        </w:rPr>
      </w:pPr>
    </w:p>
    <w:p w14:paraId="493D9A07">
      <w:pPr>
        <w:pStyle w:val="12"/>
        <w:rPr>
          <w:rFonts w:hint="eastAsia" w:ascii="宋体" w:hAnsi="宋体" w:eastAsia="宋体" w:cs="宋体"/>
          <w:color w:val="auto"/>
          <w:sz w:val="24"/>
          <w:highlight w:val="none"/>
        </w:rPr>
      </w:pPr>
    </w:p>
    <w:p w14:paraId="56622A2D">
      <w:pPr>
        <w:rPr>
          <w:rFonts w:hint="eastAsia" w:ascii="宋体" w:hAnsi="宋体" w:eastAsia="宋体" w:cs="宋体"/>
          <w:color w:val="auto"/>
          <w:highlight w:val="none"/>
        </w:rPr>
      </w:pPr>
    </w:p>
    <w:p w14:paraId="5E4ADF1B">
      <w:pPr>
        <w:adjustRightInd w:val="0"/>
        <w:snapToGrid w:val="0"/>
        <w:spacing w:line="360" w:lineRule="auto"/>
        <w:ind w:right="420"/>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 xml:space="preserve"> </w:t>
      </w:r>
    </w:p>
    <w:p w14:paraId="7A3196BA">
      <w:pPr>
        <w:keepNext w:val="0"/>
        <w:keepLines w:val="0"/>
        <w:pageBreakBefore w:val="0"/>
        <w:widowControl w:val="0"/>
        <w:kinsoku/>
        <w:wordWrap/>
        <w:overflowPunct/>
        <w:topLinePunct w:val="0"/>
        <w:autoSpaceDE/>
        <w:autoSpaceDN/>
        <w:bidi w:val="0"/>
        <w:adjustRightInd w:val="0"/>
        <w:snapToGrid w:val="0"/>
        <w:spacing w:line="480" w:lineRule="auto"/>
        <w:ind w:right="0"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盖单位公章</w:t>
      </w:r>
      <w:r>
        <w:rPr>
          <w:rFonts w:hint="eastAsia" w:ascii="宋体" w:hAnsi="宋体" w:eastAsia="宋体" w:cs="宋体"/>
          <w:color w:val="auto"/>
          <w:sz w:val="24"/>
          <w:highlight w:val="none"/>
        </w:rPr>
        <w:t>）</w:t>
      </w:r>
    </w:p>
    <w:p w14:paraId="0F2FBAC1">
      <w:pPr>
        <w:keepNext w:val="0"/>
        <w:keepLines w:val="0"/>
        <w:pageBreakBefore w:val="0"/>
        <w:widowControl w:val="0"/>
        <w:kinsoku/>
        <w:wordWrap/>
        <w:overflowPunct/>
        <w:topLinePunct w:val="0"/>
        <w:autoSpaceDE/>
        <w:autoSpaceDN/>
        <w:bidi w:val="0"/>
        <w:adjustRightInd w:val="0"/>
        <w:snapToGrid w:val="0"/>
        <w:spacing w:line="480" w:lineRule="auto"/>
        <w:ind w:right="0" w:firstLine="2880"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6CDFFC3">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法定代表人授权书</w:t>
      </w:r>
    </w:p>
    <w:p w14:paraId="3DE1F993">
      <w:pPr>
        <w:spacing w:line="560" w:lineRule="exact"/>
        <w:jc w:val="left"/>
        <w:rPr>
          <w:rFonts w:hint="default" w:ascii="宋体" w:hAnsi="宋体" w:eastAsia="宋体" w:cs="宋体"/>
          <w:color w:val="auto"/>
          <w:spacing w:val="4"/>
          <w:szCs w:val="24"/>
          <w:highlight w:val="none"/>
          <w:lang w:val="en-US" w:eastAsia="zh-CN"/>
        </w:rPr>
      </w:pPr>
      <w:r>
        <w:rPr>
          <w:rFonts w:hint="eastAsia" w:ascii="宋体" w:hAnsi="宋体" w:eastAsia="宋体" w:cs="宋体"/>
          <w:b/>
          <w:color w:val="auto"/>
          <w:spacing w:val="4"/>
          <w:szCs w:val="24"/>
          <w:highlight w:val="none"/>
        </w:rPr>
        <w:t>致：</w:t>
      </w:r>
      <w:r>
        <w:rPr>
          <w:rFonts w:hint="eastAsia" w:hAnsi="宋体" w:eastAsia="宋体" w:cs="宋体"/>
          <w:b/>
          <w:color w:val="auto"/>
          <w:spacing w:val="4"/>
          <w:szCs w:val="24"/>
          <w:highlight w:val="none"/>
          <w:lang w:val="en-US" w:eastAsia="zh-CN"/>
        </w:rPr>
        <w:t xml:space="preserve"> </w:t>
      </w:r>
      <w:r>
        <w:rPr>
          <w:rFonts w:hint="eastAsia" w:hAnsi="宋体" w:eastAsia="宋体" w:cs="宋体"/>
          <w:b/>
          <w:color w:val="auto"/>
          <w:spacing w:val="4"/>
          <w:szCs w:val="24"/>
          <w:highlight w:val="none"/>
          <w:u w:val="single"/>
          <w:lang w:val="en-US" w:eastAsia="zh-CN"/>
        </w:rPr>
        <w:t xml:space="preserve">                             </w:t>
      </w:r>
      <w:r>
        <w:rPr>
          <w:rFonts w:hint="eastAsia" w:hAnsi="宋体" w:eastAsia="宋体" w:cs="宋体"/>
          <w:b/>
          <w:color w:val="auto"/>
          <w:spacing w:val="4"/>
          <w:szCs w:val="24"/>
          <w:highlight w:val="none"/>
          <w:lang w:val="en-US" w:eastAsia="zh-CN"/>
        </w:rPr>
        <w:t xml:space="preserve">  </w:t>
      </w:r>
    </w:p>
    <w:p w14:paraId="5526471F">
      <w:pPr>
        <w:spacing w:line="560" w:lineRule="exact"/>
        <w:ind w:firstLine="43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w:t>
      </w:r>
      <w:r>
        <w:rPr>
          <w:rFonts w:hint="eastAsia" w:ascii="宋体" w:hAnsi="宋体" w:eastAsia="宋体" w:cs="宋体"/>
          <w:color w:val="auto"/>
          <w:spacing w:val="4"/>
          <w:szCs w:val="24"/>
          <w:highlight w:val="none"/>
          <w:u w:val="single"/>
          <w:lang w:eastAsia="zh-CN"/>
        </w:rPr>
        <w:t>供应商</w:t>
      </w:r>
      <w:r>
        <w:rPr>
          <w:rFonts w:hint="eastAsia" w:ascii="宋体" w:hAnsi="宋体" w:eastAsia="宋体" w:cs="宋体"/>
          <w:color w:val="auto"/>
          <w:spacing w:val="4"/>
          <w:szCs w:val="24"/>
          <w:highlight w:val="none"/>
          <w:u w:val="single"/>
        </w:rPr>
        <w:t>名称)</w:t>
      </w:r>
      <w:r>
        <w:rPr>
          <w:rFonts w:hint="eastAsia" w:ascii="宋体"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none"/>
        </w:rPr>
        <w:t>（</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none"/>
        </w:rPr>
        <w:t>年</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none"/>
        </w:rPr>
        <w:t>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none"/>
        </w:rPr>
        <w:t>日 ）</w:t>
      </w:r>
      <w:r>
        <w:rPr>
          <w:rFonts w:hint="eastAsia" w:ascii="宋体" w:hAnsi="宋体" w:eastAsia="宋体" w:cs="宋体"/>
          <w:color w:val="auto"/>
          <w:spacing w:val="4"/>
          <w:szCs w:val="24"/>
          <w:highlight w:val="none"/>
          <w:u w:val="none"/>
          <w:lang w:val="en-US" w:eastAsia="zh-CN"/>
        </w:rPr>
        <w:t xml:space="preserve">  </w:t>
      </w:r>
      <w:r>
        <w:rPr>
          <w:rFonts w:hint="eastAsia" w:ascii="宋体" w:hAnsi="宋体" w:eastAsia="宋体" w:cs="宋体"/>
          <w:color w:val="auto"/>
          <w:spacing w:val="4"/>
          <w:szCs w:val="24"/>
          <w:highlight w:val="none"/>
        </w:rPr>
        <w:t>成立。</w:t>
      </w:r>
      <w:r>
        <w:rPr>
          <w:rFonts w:hint="eastAsia" w:ascii="宋体" w:hAnsi="宋体" w:eastAsia="宋体" w:cs="宋体"/>
          <w:color w:val="auto"/>
          <w:szCs w:val="24"/>
          <w:highlight w:val="none"/>
          <w:u w:val="none"/>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lang w:val="en-US" w:eastAsia="zh-CN"/>
        </w:rPr>
        <w:t xml:space="preserve">  </w:t>
      </w:r>
      <w:r>
        <w:rPr>
          <w:rFonts w:hint="eastAsia" w:ascii="宋体" w:hAnsi="宋体" w:eastAsia="宋体" w:cs="宋体"/>
          <w:color w:val="auto"/>
          <w:szCs w:val="24"/>
          <w:highlight w:val="none"/>
          <w:u w:val="single"/>
          <w:lang w:eastAsia="zh-CN"/>
        </w:rPr>
        <w:t>被授权人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代表我公司全权办理针对本次</w:t>
      </w:r>
      <w:r>
        <w:rPr>
          <w:rFonts w:hint="eastAsia" w:ascii="宋体" w:hAnsi="宋体" w:eastAsia="宋体" w:cs="宋体"/>
          <w:color w:val="auto"/>
          <w:spacing w:val="4"/>
          <w:szCs w:val="24"/>
          <w:highlight w:val="none"/>
          <w:u w:val="single"/>
          <w:lang w:val="en-US" w:eastAsia="zh-CN"/>
        </w:rPr>
        <w:t xml:space="preserve">  </w:t>
      </w:r>
      <w:r>
        <w:rPr>
          <w:rFonts w:hint="eastAsia" w:hAnsi="宋体" w:cs="宋体"/>
          <w:color w:val="auto"/>
          <w:szCs w:val="24"/>
          <w:highlight w:val="none"/>
          <w:u w:val="single"/>
          <w:lang w:val="en-US" w:eastAsia="zh-CN"/>
        </w:rPr>
        <w:t>项目</w:t>
      </w:r>
      <w:r>
        <w:rPr>
          <w:rFonts w:hint="eastAsia" w:ascii="宋体" w:hAnsi="宋体" w:eastAsia="宋体" w:cs="宋体"/>
          <w:color w:val="auto"/>
          <w:spacing w:val="4"/>
          <w:szCs w:val="24"/>
          <w:highlight w:val="none"/>
          <w:u w:val="single"/>
          <w:lang w:eastAsia="zh-CN"/>
        </w:rPr>
        <w:t>名称、</w:t>
      </w:r>
      <w:r>
        <w:rPr>
          <w:rFonts w:hint="eastAsia" w:ascii="宋体" w:hAnsi="宋体" w:eastAsia="宋体" w:cs="宋体"/>
          <w:color w:val="auto"/>
          <w:spacing w:val="4"/>
          <w:szCs w:val="24"/>
          <w:highlight w:val="none"/>
          <w:u w:val="single"/>
          <w:lang w:val="en-US" w:eastAsia="zh-CN"/>
        </w:rPr>
        <w:t>项目编号</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投标、签约等具体工作，并签署全部有关的文件、协议及合同。</w:t>
      </w:r>
    </w:p>
    <w:p w14:paraId="6B18855E">
      <w:pPr>
        <w:spacing w:line="560" w:lineRule="exact"/>
        <w:ind w:firstLine="43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lang w:eastAsia="zh-CN"/>
        </w:rPr>
        <w:t>被授权人</w:t>
      </w:r>
      <w:r>
        <w:rPr>
          <w:rFonts w:hint="eastAsia" w:ascii="宋体" w:hAnsi="宋体" w:eastAsia="宋体" w:cs="宋体"/>
          <w:color w:val="auto"/>
          <w:spacing w:val="4"/>
          <w:szCs w:val="24"/>
          <w:highlight w:val="none"/>
        </w:rPr>
        <w:t>的签名负全部责任。</w:t>
      </w:r>
    </w:p>
    <w:p w14:paraId="3A2BC140">
      <w:pPr>
        <w:spacing w:line="560" w:lineRule="exact"/>
        <w:ind w:right="204" w:rightChars="97" w:firstLine="420" w:firstLineChars="200"/>
        <w:jc w:val="left"/>
        <w:rPr>
          <w:rFonts w:hint="default" w:ascii="宋体" w:hAnsi="宋体" w:eastAsia="宋体" w:cs="宋体"/>
          <w:b w:val="0"/>
          <w:bCs w:val="0"/>
          <w:color w:val="auto"/>
          <w:highlight w:val="none"/>
          <w:u w:val="none"/>
          <w:lang w:val="en-US" w:eastAsia="zh-CN"/>
        </w:rPr>
      </w:pPr>
      <w:r>
        <w:rPr>
          <w:rFonts w:hint="eastAsia" w:ascii="宋体" w:hAnsi="宋体" w:cs="宋体"/>
          <w:b w:val="0"/>
          <w:bCs w:val="0"/>
          <w:color w:val="auto"/>
          <w:szCs w:val="24"/>
          <w:highlight w:val="none"/>
          <w:lang w:val="en-US" w:eastAsia="zh-CN"/>
        </w:rPr>
        <w:t>委托</w:t>
      </w:r>
      <w:r>
        <w:rPr>
          <w:rFonts w:hint="eastAsia" w:ascii="宋体" w:hAnsi="宋体" w:eastAsia="宋体" w:cs="宋体"/>
          <w:b w:val="0"/>
          <w:bCs w:val="0"/>
          <w:color w:val="auto"/>
          <w:szCs w:val="24"/>
          <w:highlight w:val="none"/>
          <w:lang w:eastAsia="zh-CN"/>
        </w:rPr>
        <w:t>期</w:t>
      </w:r>
      <w:r>
        <w:rPr>
          <w:rFonts w:hint="eastAsia" w:ascii="宋体" w:hAnsi="宋体" w:cs="宋体"/>
          <w:b w:val="0"/>
          <w:bCs w:val="0"/>
          <w:color w:val="auto"/>
          <w:szCs w:val="24"/>
          <w:highlight w:val="none"/>
          <w:lang w:val="en-US" w:eastAsia="zh-CN"/>
        </w:rPr>
        <w:t xml:space="preserve">限： </w:t>
      </w:r>
      <w:r>
        <w:rPr>
          <w:rFonts w:hint="eastAsia" w:ascii="宋体" w:hAnsi="宋体" w:cs="宋体"/>
          <w:b w:val="0"/>
          <w:bCs w:val="0"/>
          <w:color w:val="auto"/>
          <w:szCs w:val="24"/>
          <w:highlight w:val="none"/>
          <w:u w:val="single"/>
          <w:lang w:val="en-US" w:eastAsia="zh-CN"/>
        </w:rPr>
        <w:t xml:space="preserve">                </w:t>
      </w:r>
      <w:r>
        <w:rPr>
          <w:rFonts w:hint="eastAsia" w:ascii="宋体" w:hAnsi="宋体" w:cs="宋体"/>
          <w:b w:val="0"/>
          <w:bCs w:val="0"/>
          <w:color w:val="auto"/>
          <w:szCs w:val="24"/>
          <w:highlight w:val="none"/>
          <w:lang w:val="en-US" w:eastAsia="zh-CN"/>
        </w:rPr>
        <w:t xml:space="preserve">   </w:t>
      </w:r>
    </w:p>
    <w:tbl>
      <w:tblPr>
        <w:tblStyle w:val="24"/>
        <w:tblW w:w="0" w:type="auto"/>
        <w:tblInd w:w="633" w:type="dxa"/>
        <w:tblLayout w:type="fixed"/>
        <w:tblCellMar>
          <w:top w:w="0" w:type="dxa"/>
          <w:left w:w="108" w:type="dxa"/>
          <w:bottom w:w="0" w:type="dxa"/>
          <w:right w:w="108" w:type="dxa"/>
        </w:tblCellMar>
      </w:tblPr>
      <w:tblGrid>
        <w:gridCol w:w="4200"/>
        <w:gridCol w:w="3990"/>
      </w:tblGrid>
      <w:tr w14:paraId="491C4260">
        <w:tblPrEx>
          <w:tblCellMar>
            <w:top w:w="0" w:type="dxa"/>
            <w:left w:w="108" w:type="dxa"/>
            <w:bottom w:w="0" w:type="dxa"/>
            <w:right w:w="108" w:type="dxa"/>
          </w:tblCellMar>
        </w:tblPrEx>
        <w:trPr>
          <w:trHeight w:val="600" w:hRule="atLeast"/>
        </w:trPr>
        <w:tc>
          <w:tcPr>
            <w:tcW w:w="4200" w:type="dxa"/>
            <w:noWrap w:val="0"/>
            <w:vAlign w:val="top"/>
          </w:tcPr>
          <w:p w14:paraId="410F836D">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w:t>
            </w:r>
            <w:r>
              <w:rPr>
                <w:rFonts w:hint="eastAsia" w:ascii="宋体" w:hAnsi="宋体" w:eastAsia="宋体" w:cs="宋体"/>
                <w:color w:val="auto"/>
                <w:spacing w:val="4"/>
                <w:szCs w:val="24"/>
                <w:highlight w:val="none"/>
                <w:lang w:eastAsia="zh-CN"/>
              </w:rPr>
              <w:t>签字或盖章</w:t>
            </w:r>
            <w:r>
              <w:rPr>
                <w:rFonts w:hint="eastAsia" w:ascii="宋体" w:hAnsi="宋体" w:eastAsia="宋体" w:cs="宋体"/>
                <w:color w:val="auto"/>
                <w:spacing w:val="4"/>
                <w:szCs w:val="24"/>
                <w:highlight w:val="none"/>
              </w:rPr>
              <w:t>：</w:t>
            </w:r>
          </w:p>
        </w:tc>
        <w:tc>
          <w:tcPr>
            <w:tcW w:w="3990" w:type="dxa"/>
            <w:noWrap w:val="0"/>
            <w:vAlign w:val="top"/>
          </w:tcPr>
          <w:p w14:paraId="023A5D32">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w:t>
            </w:r>
            <w:r>
              <w:rPr>
                <w:rFonts w:hint="eastAsia" w:ascii="宋体" w:hAnsi="宋体" w:eastAsia="宋体" w:cs="宋体"/>
                <w:color w:val="auto"/>
                <w:szCs w:val="24"/>
                <w:highlight w:val="none"/>
                <w:lang w:eastAsia="zh-CN"/>
              </w:rPr>
              <w:t>人</w:t>
            </w:r>
            <w:r>
              <w:rPr>
                <w:rFonts w:hint="eastAsia" w:ascii="宋体" w:hAnsi="宋体" w:eastAsia="宋体" w:cs="宋体"/>
                <w:color w:val="auto"/>
                <w:spacing w:val="4"/>
                <w:szCs w:val="24"/>
                <w:highlight w:val="none"/>
                <w:lang w:eastAsia="zh-CN"/>
              </w:rPr>
              <w:t>签字或盖章</w:t>
            </w:r>
            <w:r>
              <w:rPr>
                <w:rFonts w:hint="eastAsia" w:ascii="宋体" w:hAnsi="宋体" w:eastAsia="宋体" w:cs="宋体"/>
                <w:color w:val="auto"/>
                <w:spacing w:val="4"/>
                <w:szCs w:val="24"/>
                <w:highlight w:val="none"/>
              </w:rPr>
              <w:t>：</w:t>
            </w:r>
          </w:p>
        </w:tc>
      </w:tr>
      <w:tr w14:paraId="77292D83">
        <w:tblPrEx>
          <w:tblCellMar>
            <w:top w:w="0" w:type="dxa"/>
            <w:left w:w="108" w:type="dxa"/>
            <w:bottom w:w="0" w:type="dxa"/>
            <w:right w:w="108" w:type="dxa"/>
          </w:tblCellMar>
        </w:tblPrEx>
        <w:trPr>
          <w:trHeight w:val="600" w:hRule="atLeast"/>
        </w:trPr>
        <w:tc>
          <w:tcPr>
            <w:tcW w:w="4200" w:type="dxa"/>
            <w:noWrap w:val="0"/>
            <w:vAlign w:val="top"/>
          </w:tcPr>
          <w:p w14:paraId="5E592A6D">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6C72FEE7">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bl>
    <w:p w14:paraId="32887411">
      <w:pPr>
        <w:spacing w:before="24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zh-CN"/>
        </w:rPr>
        <w:t>附法定代表人身份证复印件及被授权人身份证复印件</w:t>
      </w:r>
      <w:r>
        <w:rPr>
          <w:rFonts w:hint="eastAsia" w:ascii="宋体" w:hAnsi="宋体" w:eastAsia="宋体" w:cs="宋体"/>
          <w:color w:val="auto"/>
          <w:szCs w:val="21"/>
          <w:highlight w:val="none"/>
          <w:lang w:val="zh-CN"/>
        </w:rPr>
        <w:t>（正反面）</w:t>
      </w:r>
    </w:p>
    <w:p w14:paraId="022DD7E4">
      <w:pPr>
        <w:spacing w:line="480" w:lineRule="auto"/>
        <w:ind w:left="424" w:leftChars="202" w:right="540" w:rightChars="257"/>
        <w:jc w:val="left"/>
        <w:rPr>
          <w:rFonts w:hint="eastAsia" w:ascii="宋体" w:hAnsi="宋体" w:eastAsia="宋体" w:cs="宋体"/>
          <w:color w:val="auto"/>
          <w:highlight w:val="none"/>
          <w:lang w:eastAsia="zh-CN"/>
        </w:rPr>
      </w:pPr>
    </w:p>
    <w:p w14:paraId="4465783C">
      <w:pPr>
        <w:spacing w:line="480" w:lineRule="auto"/>
        <w:ind w:left="424" w:leftChars="202" w:right="540" w:rightChars="257"/>
        <w:jc w:val="left"/>
        <w:rPr>
          <w:rFonts w:hint="eastAsia" w:ascii="宋体" w:hAnsi="宋体" w:eastAsia="宋体" w:cs="宋体"/>
          <w:color w:val="auto"/>
          <w:highlight w:val="none"/>
          <w:lang w:eastAsia="zh-CN"/>
        </w:rPr>
      </w:pPr>
    </w:p>
    <w:p w14:paraId="2B561791">
      <w:pPr>
        <w:spacing w:line="480" w:lineRule="auto"/>
        <w:ind w:left="424" w:leftChars="202" w:right="540" w:rightChars="257"/>
        <w:jc w:val="left"/>
        <w:rPr>
          <w:rFonts w:hint="eastAsia" w:ascii="宋体" w:hAnsi="宋体" w:eastAsia="宋体" w:cs="宋体"/>
          <w:color w:val="auto"/>
          <w:highlight w:val="none"/>
          <w:lang w:eastAsia="zh-CN"/>
        </w:rPr>
      </w:pPr>
    </w:p>
    <w:p w14:paraId="26D4BBBD">
      <w:pPr>
        <w:adjustRightInd w:val="0"/>
        <w:snapToGrid w:val="0"/>
        <w:spacing w:line="360" w:lineRule="auto"/>
        <w:ind w:right="420"/>
        <w:rPr>
          <w:rFonts w:hint="eastAsia" w:ascii="宋体" w:hAnsi="宋体" w:eastAsia="宋体" w:cs="宋体"/>
          <w:color w:val="auto"/>
          <w:sz w:val="24"/>
          <w:highlight w:val="none"/>
        </w:rPr>
      </w:pPr>
    </w:p>
    <w:p w14:paraId="40FB30DB">
      <w:pPr>
        <w:keepNext w:val="0"/>
        <w:keepLines w:val="0"/>
        <w:pageBreakBefore w:val="0"/>
        <w:widowControl w:val="0"/>
        <w:kinsoku/>
        <w:wordWrap/>
        <w:overflowPunct/>
        <w:topLinePunct w:val="0"/>
        <w:autoSpaceDE/>
        <w:autoSpaceDN/>
        <w:bidi w:val="0"/>
        <w:adjustRightInd w:val="0"/>
        <w:snapToGrid w:val="0"/>
        <w:spacing w:line="720" w:lineRule="auto"/>
        <w:ind w:right="0"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盖单位公章</w:t>
      </w:r>
      <w:r>
        <w:rPr>
          <w:rFonts w:hint="eastAsia" w:ascii="宋体" w:hAnsi="宋体" w:eastAsia="宋体" w:cs="宋体"/>
          <w:color w:val="auto"/>
          <w:sz w:val="24"/>
          <w:highlight w:val="none"/>
        </w:rPr>
        <w:t>）</w:t>
      </w:r>
    </w:p>
    <w:p w14:paraId="2B39D032">
      <w:pPr>
        <w:keepNext w:val="0"/>
        <w:keepLines w:val="0"/>
        <w:pageBreakBefore w:val="0"/>
        <w:widowControl w:val="0"/>
        <w:kinsoku/>
        <w:wordWrap/>
        <w:overflowPunct/>
        <w:topLinePunct w:val="0"/>
        <w:autoSpaceDE/>
        <w:autoSpaceDN/>
        <w:bidi w:val="0"/>
        <w:adjustRightInd w:val="0"/>
        <w:snapToGrid w:val="0"/>
        <w:spacing w:line="720" w:lineRule="auto"/>
        <w:ind w:right="0" w:firstLine="2880" w:firstLineChars="1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E8E8ABA">
      <w:pPr>
        <w:suppressAutoHyphens/>
        <w:spacing w:line="360" w:lineRule="auto"/>
        <w:ind w:firstLine="420" w:firstLineChars="200"/>
        <w:rPr>
          <w:rFonts w:hint="eastAsia" w:ascii="宋体" w:hAnsi="Times New Roman" w:eastAsia="宋体" w:cs="Times New Roman"/>
          <w:color w:val="auto"/>
          <w:kern w:val="1"/>
          <w:szCs w:val="21"/>
          <w:highlight w:val="none"/>
          <w:lang w:val="en-US" w:eastAsia="zh-CN"/>
        </w:rPr>
      </w:pPr>
    </w:p>
    <w:p w14:paraId="36BBF6C6">
      <w:pPr>
        <w:pStyle w:val="12"/>
        <w:rPr>
          <w:rFonts w:hint="eastAsia" w:ascii="宋体" w:hAnsi="Times New Roman" w:eastAsia="宋体" w:cs="Times New Roman"/>
          <w:color w:val="auto"/>
          <w:kern w:val="1"/>
          <w:szCs w:val="21"/>
          <w:highlight w:val="none"/>
          <w:lang w:val="en-US" w:eastAsia="zh-CN"/>
        </w:rPr>
      </w:pPr>
    </w:p>
    <w:p w14:paraId="3C09F031">
      <w:pPr>
        <w:rPr>
          <w:rFonts w:hint="eastAsia" w:ascii="宋体" w:hAnsi="Times New Roman" w:eastAsia="宋体" w:cs="Times New Roman"/>
          <w:color w:val="auto"/>
          <w:kern w:val="1"/>
          <w:szCs w:val="21"/>
          <w:highlight w:val="none"/>
          <w:lang w:val="en-US" w:eastAsia="zh-CN"/>
        </w:rPr>
      </w:pPr>
    </w:p>
    <w:p w14:paraId="27C59D35">
      <w:pPr>
        <w:rPr>
          <w:rFonts w:hint="eastAsia"/>
          <w:color w:val="auto"/>
          <w:lang w:val="en-US" w:eastAsia="zh-CN"/>
        </w:rPr>
      </w:pPr>
    </w:p>
    <w:p w14:paraId="749BECB6">
      <w:pPr>
        <w:rPr>
          <w:rFonts w:hint="eastAsia" w:ascii="宋体" w:hAnsi="Times New Roman" w:eastAsia="宋体" w:cs="Times New Roman"/>
          <w:color w:val="auto"/>
          <w:kern w:val="1"/>
          <w:szCs w:val="21"/>
          <w:highlight w:val="none"/>
          <w:lang w:val="en-US" w:eastAsia="zh-CN"/>
        </w:rPr>
      </w:pPr>
    </w:p>
    <w:p w14:paraId="1D0D5C21">
      <w:pPr>
        <w:pStyle w:val="6"/>
        <w:rPr>
          <w:rFonts w:hint="eastAsia"/>
          <w:color w:val="auto"/>
          <w:highlight w:val="none"/>
          <w:lang w:val="en-US" w:eastAsia="zh-CN"/>
        </w:rPr>
      </w:pPr>
    </w:p>
    <w:p w14:paraId="6EC8AE03">
      <w:pPr>
        <w:pStyle w:val="12"/>
        <w:numPr>
          <w:ilvl w:val="0"/>
          <w:numId w:val="0"/>
        </w:numPr>
        <w:ind w:leftChars="200"/>
        <w:jc w:val="both"/>
        <w:rPr>
          <w:rFonts w:hint="eastAsia"/>
          <w:color w:val="auto"/>
          <w:highlight w:val="none"/>
          <w:lang w:val="en-US" w:eastAsia="zh-CN"/>
        </w:rPr>
        <w:sectPr>
          <w:pgSz w:w="11906" w:h="16838"/>
          <w:pgMar w:top="1417" w:right="1417" w:bottom="1417" w:left="1417" w:header="1134" w:footer="992" w:gutter="0"/>
          <w:pgBorders>
            <w:top w:val="none" w:sz="0" w:space="0"/>
            <w:left w:val="none" w:sz="0" w:space="0"/>
            <w:bottom w:val="none" w:sz="0" w:space="0"/>
            <w:right w:val="none" w:sz="0" w:space="0"/>
          </w:pgBorders>
          <w:pgNumType w:fmt="decimal"/>
          <w:cols w:space="720" w:num="1"/>
          <w:titlePg/>
          <w:rtlGutter w:val="0"/>
          <w:docGrid w:type="lines" w:linePitch="333" w:charSpace="0"/>
        </w:sectPr>
      </w:pPr>
      <w:r>
        <w:rPr>
          <w:rFonts w:hint="eastAsia" w:ascii="宋体" w:hAnsi="宋体" w:eastAsia="宋体" w:cs="宋体"/>
          <w:b/>
          <w:bCs/>
          <w:color w:val="auto"/>
          <w:sz w:val="24"/>
          <w:szCs w:val="24"/>
          <w:highlight w:val="none"/>
          <w:lang w:val="zh-CN"/>
        </w:rPr>
        <w:t>说明：</w:t>
      </w:r>
      <w:r>
        <w:rPr>
          <w:rFonts w:hint="eastAsia" w:ascii="宋体" w:hAnsi="宋体" w:eastAsia="宋体" w:cs="宋体"/>
          <w:b/>
          <w:bCs/>
          <w:color w:val="auto"/>
          <w:sz w:val="24"/>
          <w:szCs w:val="24"/>
          <w:highlight w:val="none"/>
          <w:lang w:val="en-US" w:eastAsia="zh-CN"/>
        </w:rPr>
        <w:t>法定代表人直接投标时无需提供。</w:t>
      </w:r>
    </w:p>
    <w:p w14:paraId="582FF4FE">
      <w:pPr>
        <w:spacing w:line="360" w:lineRule="auto"/>
        <w:rPr>
          <w:rFonts w:hAnsi="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）财务状况报告：提供投标人2023年度经审计的财务报告或在开标日期前6个月内其基本开户银行出具的资信证明和开户行许可证或基本存款账户信息；</w:t>
      </w:r>
      <w:r>
        <w:rPr>
          <w:rFonts w:hint="eastAsia" w:ascii="宋体" w:hAnsi="宋体" w:eastAsia="宋体" w:cs="宋体"/>
          <w:color w:val="auto"/>
          <w:sz w:val="24"/>
          <w:szCs w:val="24"/>
          <w:highlight w:val="none"/>
          <w:lang w:eastAsia="zh-CN"/>
        </w:rPr>
        <w:br w:type="textWrapping"/>
      </w:r>
      <w:r>
        <w:rPr>
          <w:rFonts w:hint="eastAsia" w:ascii="微软雅黑" w:hAnsi="微软雅黑" w:eastAsia="微软雅黑" w:cs="微软雅黑"/>
          <w:i w:val="0"/>
          <w:iCs w:val="0"/>
          <w:caps w:val="0"/>
          <w:color w:val="auto"/>
          <w:spacing w:val="0"/>
          <w:sz w:val="21"/>
          <w:szCs w:val="21"/>
          <w:highlight w:val="none"/>
          <w:shd w:val="clear" w:color="auto" w:fill="FFFFFF"/>
        </w:rPr>
        <w:br w:type="textWrapping"/>
      </w:r>
    </w:p>
    <w:p w14:paraId="3D4A89C2">
      <w:pPr>
        <w:keepNext/>
        <w:keepLines/>
        <w:widowControl/>
        <w:jc w:val="center"/>
        <w:rPr>
          <w:rFonts w:hAnsi="宋体" w:cs="宋体"/>
          <w:b/>
          <w:bCs/>
          <w:color w:val="auto"/>
          <w:sz w:val="32"/>
          <w:szCs w:val="32"/>
          <w:highlight w:val="none"/>
        </w:rPr>
      </w:pPr>
    </w:p>
    <w:p w14:paraId="037A6D2E">
      <w:pPr>
        <w:pStyle w:val="16"/>
        <w:rPr>
          <w:rFonts w:ascii="宋体" w:hAnsi="宋体" w:cs="宋体"/>
          <w:b/>
          <w:bCs/>
          <w:color w:val="auto"/>
          <w:sz w:val="32"/>
          <w:szCs w:val="32"/>
          <w:highlight w:val="none"/>
        </w:rPr>
      </w:pPr>
    </w:p>
    <w:p w14:paraId="08E683E0">
      <w:pPr>
        <w:pStyle w:val="12"/>
        <w:rPr>
          <w:rFonts w:ascii="宋体" w:hAnsi="宋体" w:cs="宋体"/>
          <w:b/>
          <w:bCs/>
          <w:color w:val="auto"/>
          <w:sz w:val="32"/>
          <w:szCs w:val="32"/>
          <w:highlight w:val="none"/>
        </w:rPr>
      </w:pPr>
    </w:p>
    <w:p w14:paraId="54F9C128">
      <w:pPr>
        <w:snapToGrid w:val="0"/>
        <w:jc w:val="left"/>
        <w:rPr>
          <w:color w:val="auto"/>
          <w:highlight w:val="none"/>
        </w:rPr>
      </w:pPr>
      <w:r>
        <w:rPr>
          <w:color w:val="auto"/>
          <w:highlight w:val="none"/>
        </w:rPr>
        <w:br w:type="page"/>
      </w:r>
    </w:p>
    <w:p w14:paraId="2B31DD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税收缴纳证明：投标人提供近一年内已缴纳的至少一个月的纳税证明或完税证明（任意税种），纳税证明或完税证明上应有代收机构或税务机关的公章或业务专用章；（依法不需要缴纳税收的供应商应提供相关证明）</w:t>
      </w:r>
    </w:p>
    <w:p w14:paraId="0C68A8CE">
      <w:pPr>
        <w:snapToGrid w:val="0"/>
        <w:jc w:val="left"/>
        <w:rPr>
          <w:color w:val="auto"/>
          <w:highlight w:val="none"/>
        </w:rPr>
      </w:pPr>
    </w:p>
    <w:p w14:paraId="5C715E93">
      <w:pPr>
        <w:snapToGrid w:val="0"/>
        <w:jc w:val="left"/>
        <w:rPr>
          <w:color w:val="auto"/>
          <w:highlight w:val="none"/>
        </w:rPr>
      </w:pPr>
    </w:p>
    <w:p w14:paraId="3312285F">
      <w:pPr>
        <w:snapToGrid w:val="0"/>
        <w:jc w:val="left"/>
        <w:rPr>
          <w:color w:val="auto"/>
          <w:highlight w:val="none"/>
        </w:rPr>
      </w:pPr>
    </w:p>
    <w:p w14:paraId="384BF1C6">
      <w:pPr>
        <w:snapToGrid w:val="0"/>
        <w:jc w:val="left"/>
        <w:rPr>
          <w:color w:val="auto"/>
          <w:highlight w:val="none"/>
        </w:rPr>
      </w:pPr>
    </w:p>
    <w:p w14:paraId="1B868DD7">
      <w:pPr>
        <w:snapToGrid w:val="0"/>
        <w:jc w:val="left"/>
        <w:rPr>
          <w:color w:val="auto"/>
          <w:highlight w:val="none"/>
        </w:rPr>
      </w:pPr>
    </w:p>
    <w:p w14:paraId="50259704">
      <w:pPr>
        <w:snapToGrid w:val="0"/>
        <w:jc w:val="left"/>
        <w:rPr>
          <w:color w:val="auto"/>
          <w:highlight w:val="none"/>
        </w:rPr>
      </w:pPr>
    </w:p>
    <w:p w14:paraId="6FE42C8A">
      <w:pPr>
        <w:snapToGrid w:val="0"/>
        <w:jc w:val="left"/>
        <w:rPr>
          <w:color w:val="auto"/>
          <w:highlight w:val="none"/>
        </w:rPr>
      </w:pPr>
    </w:p>
    <w:p w14:paraId="5C072AC5">
      <w:pPr>
        <w:snapToGrid w:val="0"/>
        <w:jc w:val="left"/>
        <w:rPr>
          <w:color w:val="auto"/>
          <w:highlight w:val="none"/>
        </w:rPr>
      </w:pPr>
    </w:p>
    <w:p w14:paraId="61B251F9">
      <w:pPr>
        <w:snapToGrid w:val="0"/>
        <w:jc w:val="left"/>
        <w:rPr>
          <w:color w:val="auto"/>
          <w:highlight w:val="none"/>
        </w:rPr>
      </w:pPr>
    </w:p>
    <w:p w14:paraId="4D598009">
      <w:pPr>
        <w:snapToGrid w:val="0"/>
        <w:jc w:val="left"/>
        <w:rPr>
          <w:color w:val="auto"/>
          <w:highlight w:val="none"/>
        </w:rPr>
      </w:pPr>
    </w:p>
    <w:p w14:paraId="1182CCE3">
      <w:pPr>
        <w:snapToGrid w:val="0"/>
        <w:jc w:val="left"/>
        <w:rPr>
          <w:color w:val="auto"/>
          <w:highlight w:val="none"/>
        </w:rPr>
      </w:pPr>
    </w:p>
    <w:p w14:paraId="5FA07D6D">
      <w:pPr>
        <w:snapToGrid w:val="0"/>
        <w:jc w:val="left"/>
        <w:rPr>
          <w:color w:val="auto"/>
          <w:highlight w:val="none"/>
        </w:rPr>
      </w:pPr>
    </w:p>
    <w:p w14:paraId="5ABDF4B2">
      <w:pPr>
        <w:snapToGrid w:val="0"/>
        <w:jc w:val="left"/>
        <w:rPr>
          <w:color w:val="auto"/>
          <w:highlight w:val="none"/>
        </w:rPr>
      </w:pPr>
    </w:p>
    <w:p w14:paraId="22728673">
      <w:pPr>
        <w:snapToGrid w:val="0"/>
        <w:jc w:val="left"/>
        <w:rPr>
          <w:color w:val="auto"/>
          <w:highlight w:val="none"/>
        </w:rPr>
      </w:pPr>
    </w:p>
    <w:p w14:paraId="2572DD6F">
      <w:pPr>
        <w:snapToGrid w:val="0"/>
        <w:jc w:val="left"/>
        <w:rPr>
          <w:color w:val="auto"/>
          <w:highlight w:val="none"/>
        </w:rPr>
      </w:pPr>
    </w:p>
    <w:p w14:paraId="4DFDB5B4">
      <w:pPr>
        <w:snapToGrid w:val="0"/>
        <w:jc w:val="left"/>
        <w:rPr>
          <w:color w:val="auto"/>
          <w:highlight w:val="none"/>
        </w:rPr>
      </w:pPr>
    </w:p>
    <w:p w14:paraId="476D5E2C">
      <w:pPr>
        <w:snapToGrid w:val="0"/>
        <w:jc w:val="left"/>
        <w:rPr>
          <w:color w:val="auto"/>
          <w:highlight w:val="none"/>
        </w:rPr>
      </w:pPr>
    </w:p>
    <w:p w14:paraId="1411EC7F">
      <w:pPr>
        <w:snapToGrid w:val="0"/>
        <w:jc w:val="left"/>
        <w:rPr>
          <w:color w:val="auto"/>
          <w:highlight w:val="none"/>
        </w:rPr>
      </w:pPr>
    </w:p>
    <w:p w14:paraId="6C7EEFCC">
      <w:pPr>
        <w:snapToGrid w:val="0"/>
        <w:jc w:val="left"/>
        <w:rPr>
          <w:color w:val="auto"/>
          <w:highlight w:val="none"/>
        </w:rPr>
      </w:pPr>
    </w:p>
    <w:p w14:paraId="5075522C">
      <w:pPr>
        <w:snapToGrid w:val="0"/>
        <w:jc w:val="left"/>
        <w:rPr>
          <w:color w:val="auto"/>
          <w:highlight w:val="none"/>
        </w:rPr>
      </w:pPr>
    </w:p>
    <w:p w14:paraId="4199FFC4">
      <w:pPr>
        <w:snapToGrid w:val="0"/>
        <w:jc w:val="left"/>
        <w:rPr>
          <w:color w:val="auto"/>
          <w:highlight w:val="none"/>
        </w:rPr>
      </w:pPr>
    </w:p>
    <w:p w14:paraId="218A8198">
      <w:pPr>
        <w:pStyle w:val="6"/>
        <w:rPr>
          <w:color w:val="auto"/>
          <w:highlight w:val="none"/>
        </w:rPr>
      </w:pPr>
    </w:p>
    <w:p w14:paraId="19AD000C">
      <w:pPr>
        <w:rPr>
          <w:color w:val="auto"/>
          <w:highlight w:val="none"/>
        </w:rPr>
      </w:pPr>
    </w:p>
    <w:p w14:paraId="17E2E25A">
      <w:pPr>
        <w:pStyle w:val="6"/>
        <w:rPr>
          <w:color w:val="auto"/>
          <w:highlight w:val="none"/>
        </w:rPr>
      </w:pPr>
    </w:p>
    <w:p w14:paraId="33D006F7">
      <w:pPr>
        <w:rPr>
          <w:color w:val="auto"/>
          <w:highlight w:val="none"/>
        </w:rPr>
      </w:pPr>
    </w:p>
    <w:p w14:paraId="380E3D36">
      <w:pPr>
        <w:pStyle w:val="6"/>
        <w:rPr>
          <w:color w:val="auto"/>
          <w:highlight w:val="none"/>
        </w:rPr>
      </w:pPr>
    </w:p>
    <w:p w14:paraId="34634773">
      <w:pPr>
        <w:rPr>
          <w:color w:val="auto"/>
          <w:highlight w:val="none"/>
        </w:rPr>
      </w:pPr>
    </w:p>
    <w:p w14:paraId="1080EB1A">
      <w:pPr>
        <w:pStyle w:val="6"/>
        <w:rPr>
          <w:color w:val="auto"/>
          <w:highlight w:val="none"/>
        </w:rPr>
      </w:pPr>
    </w:p>
    <w:p w14:paraId="7875669F">
      <w:pPr>
        <w:rPr>
          <w:color w:val="auto"/>
          <w:highlight w:val="none"/>
        </w:rPr>
      </w:pPr>
    </w:p>
    <w:p w14:paraId="4AF1CF27">
      <w:pPr>
        <w:pStyle w:val="6"/>
        <w:rPr>
          <w:color w:val="auto"/>
          <w:highlight w:val="none"/>
        </w:rPr>
      </w:pPr>
    </w:p>
    <w:p w14:paraId="23CCD2AC">
      <w:pPr>
        <w:rPr>
          <w:color w:val="auto"/>
          <w:highlight w:val="none"/>
        </w:rPr>
      </w:pPr>
    </w:p>
    <w:p w14:paraId="57105C72">
      <w:pPr>
        <w:pStyle w:val="6"/>
        <w:rPr>
          <w:color w:val="auto"/>
          <w:highlight w:val="none"/>
        </w:rPr>
      </w:pPr>
    </w:p>
    <w:p w14:paraId="4C315960">
      <w:pPr>
        <w:rPr>
          <w:color w:val="auto"/>
          <w:highlight w:val="none"/>
        </w:rPr>
      </w:pPr>
    </w:p>
    <w:p w14:paraId="2B10AEA8">
      <w:pPr>
        <w:pStyle w:val="6"/>
        <w:rPr>
          <w:color w:val="auto"/>
          <w:highlight w:val="none"/>
        </w:rPr>
      </w:pPr>
    </w:p>
    <w:p w14:paraId="7E98D62E">
      <w:pPr>
        <w:rPr>
          <w:color w:val="auto"/>
          <w:highlight w:val="none"/>
        </w:rPr>
      </w:pPr>
    </w:p>
    <w:p w14:paraId="10CDDC4C">
      <w:pPr>
        <w:snapToGrid w:val="0"/>
        <w:jc w:val="left"/>
        <w:rPr>
          <w:color w:val="auto"/>
          <w:highlight w:val="none"/>
        </w:rPr>
      </w:pPr>
    </w:p>
    <w:p w14:paraId="185503A1">
      <w:pPr>
        <w:spacing w:line="360" w:lineRule="auto"/>
        <w:rPr>
          <w:rFonts w:hint="eastAsia" w:ascii="宋体" w:hAnsi="宋体" w:eastAsia="宋体" w:cs="宋体"/>
          <w:color w:val="auto"/>
          <w:sz w:val="24"/>
          <w:szCs w:val="24"/>
          <w:highlight w:val="none"/>
        </w:rPr>
      </w:pPr>
    </w:p>
    <w:p w14:paraId="143068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）社会保障资金缴纳证明：投标人提供近一年内已缴纳的至少一个月的社会保障资金缴存单据或社保机构开具的社会保险参保缴费情况证明，依法不需要缴纳社会保障资金的单位应提供相关证明材料</w:t>
      </w:r>
    </w:p>
    <w:p w14:paraId="0F066543">
      <w:pPr>
        <w:pStyle w:val="12"/>
        <w:rPr>
          <w:color w:val="auto"/>
          <w:highlight w:val="none"/>
        </w:rPr>
      </w:pPr>
    </w:p>
    <w:p w14:paraId="2835EA1B">
      <w:pPr>
        <w:pStyle w:val="37"/>
        <w:rPr>
          <w:rFonts w:ascii="Times New Roman"/>
          <w:color w:val="auto"/>
          <w:highlight w:val="none"/>
        </w:rPr>
      </w:pPr>
    </w:p>
    <w:p w14:paraId="6C7FB446">
      <w:pPr>
        <w:pStyle w:val="38"/>
        <w:rPr>
          <w:color w:val="auto"/>
          <w:highlight w:val="none"/>
        </w:rPr>
      </w:pPr>
    </w:p>
    <w:p w14:paraId="0CB1D381">
      <w:pPr>
        <w:rPr>
          <w:color w:val="auto"/>
          <w:highlight w:val="none"/>
        </w:rPr>
      </w:pPr>
    </w:p>
    <w:p w14:paraId="60EC6BB2">
      <w:pPr>
        <w:pStyle w:val="16"/>
        <w:rPr>
          <w:color w:val="auto"/>
          <w:highlight w:val="none"/>
        </w:rPr>
      </w:pPr>
    </w:p>
    <w:p w14:paraId="65C33AD5">
      <w:pPr>
        <w:pStyle w:val="12"/>
        <w:rPr>
          <w:color w:val="auto"/>
          <w:highlight w:val="none"/>
        </w:rPr>
      </w:pPr>
    </w:p>
    <w:p w14:paraId="00A1D72C">
      <w:pPr>
        <w:pStyle w:val="37"/>
        <w:rPr>
          <w:color w:val="auto"/>
          <w:highlight w:val="none"/>
        </w:rPr>
      </w:pPr>
    </w:p>
    <w:p w14:paraId="422B48FC">
      <w:pPr>
        <w:pStyle w:val="16"/>
        <w:rPr>
          <w:color w:val="auto"/>
          <w:highlight w:val="none"/>
        </w:rPr>
      </w:pPr>
    </w:p>
    <w:p w14:paraId="24930E04">
      <w:pPr>
        <w:pStyle w:val="12"/>
        <w:rPr>
          <w:color w:val="auto"/>
          <w:highlight w:val="none"/>
        </w:rPr>
      </w:pPr>
    </w:p>
    <w:p w14:paraId="5C96326B">
      <w:pPr>
        <w:pStyle w:val="37"/>
        <w:rPr>
          <w:rFonts w:ascii="Times New Roman"/>
          <w:color w:val="auto"/>
          <w:highlight w:val="none"/>
        </w:rPr>
      </w:pPr>
    </w:p>
    <w:p w14:paraId="27978B5E">
      <w:pPr>
        <w:pStyle w:val="38"/>
        <w:rPr>
          <w:color w:val="auto"/>
          <w:highlight w:val="none"/>
        </w:rPr>
      </w:pPr>
    </w:p>
    <w:p w14:paraId="369A39DE">
      <w:pPr>
        <w:rPr>
          <w:color w:val="auto"/>
          <w:highlight w:val="none"/>
        </w:rPr>
      </w:pPr>
    </w:p>
    <w:p w14:paraId="0E3A3A53">
      <w:pPr>
        <w:pStyle w:val="6"/>
        <w:rPr>
          <w:color w:val="auto"/>
          <w:highlight w:val="none"/>
        </w:rPr>
      </w:pPr>
    </w:p>
    <w:p w14:paraId="78FE6B09">
      <w:pPr>
        <w:rPr>
          <w:color w:val="auto"/>
          <w:highlight w:val="none"/>
        </w:rPr>
      </w:pPr>
    </w:p>
    <w:p w14:paraId="1ED81E46">
      <w:pPr>
        <w:pStyle w:val="6"/>
        <w:rPr>
          <w:color w:val="auto"/>
          <w:highlight w:val="none"/>
        </w:rPr>
      </w:pPr>
    </w:p>
    <w:p w14:paraId="3F5B6EAE">
      <w:pPr>
        <w:rPr>
          <w:color w:val="auto"/>
          <w:highlight w:val="none"/>
        </w:rPr>
      </w:pPr>
    </w:p>
    <w:p w14:paraId="6637F8DB">
      <w:pPr>
        <w:pStyle w:val="6"/>
        <w:rPr>
          <w:color w:val="auto"/>
          <w:highlight w:val="none"/>
        </w:rPr>
      </w:pPr>
    </w:p>
    <w:p w14:paraId="00410C51">
      <w:pPr>
        <w:rPr>
          <w:color w:val="auto"/>
          <w:highlight w:val="none"/>
        </w:rPr>
      </w:pPr>
    </w:p>
    <w:p w14:paraId="124CE3B3">
      <w:pPr>
        <w:pStyle w:val="6"/>
        <w:rPr>
          <w:color w:val="auto"/>
          <w:highlight w:val="none"/>
        </w:rPr>
      </w:pPr>
    </w:p>
    <w:p w14:paraId="43E3FA27">
      <w:pPr>
        <w:rPr>
          <w:color w:val="auto"/>
          <w:highlight w:val="none"/>
        </w:rPr>
      </w:pPr>
    </w:p>
    <w:p w14:paraId="4DB55D96">
      <w:pPr>
        <w:pStyle w:val="6"/>
        <w:rPr>
          <w:color w:val="auto"/>
          <w:highlight w:val="none"/>
        </w:rPr>
      </w:pPr>
    </w:p>
    <w:p w14:paraId="0A45D135">
      <w:pPr>
        <w:rPr>
          <w:color w:val="auto"/>
          <w:highlight w:val="none"/>
        </w:rPr>
      </w:pPr>
    </w:p>
    <w:p w14:paraId="64712B8A">
      <w:pPr>
        <w:pStyle w:val="6"/>
        <w:rPr>
          <w:color w:val="auto"/>
          <w:highlight w:val="none"/>
        </w:rPr>
      </w:pPr>
    </w:p>
    <w:p w14:paraId="1172181D">
      <w:pPr>
        <w:rPr>
          <w:color w:val="auto"/>
          <w:highlight w:val="none"/>
        </w:rPr>
      </w:pPr>
    </w:p>
    <w:p w14:paraId="1B84F844">
      <w:pPr>
        <w:pStyle w:val="6"/>
        <w:rPr>
          <w:color w:val="auto"/>
          <w:highlight w:val="none"/>
        </w:rPr>
      </w:pPr>
    </w:p>
    <w:p w14:paraId="3E9AE64B">
      <w:pPr>
        <w:rPr>
          <w:color w:val="auto"/>
          <w:highlight w:val="none"/>
        </w:rPr>
      </w:pPr>
    </w:p>
    <w:p w14:paraId="313169AE">
      <w:pPr>
        <w:pStyle w:val="6"/>
        <w:rPr>
          <w:rFonts w:hint="eastAsia" w:ascii="宋体" w:hAnsi="宋体" w:eastAsia="宋体" w:cs="宋体"/>
          <w:color w:val="auto"/>
          <w:kern w:val="2"/>
          <w:sz w:val="24"/>
          <w:szCs w:val="24"/>
          <w:highlight w:val="none"/>
          <w:u w:val="none"/>
          <w:lang w:val="en-US" w:eastAsia="zh-CN" w:bidi="ar-SA"/>
        </w:rPr>
      </w:pPr>
    </w:p>
    <w:p w14:paraId="3FD1E533">
      <w:pPr>
        <w:rPr>
          <w:rFonts w:hint="eastAsia"/>
          <w:color w:val="auto"/>
          <w:highlight w:val="none"/>
          <w:lang w:val="en-US" w:eastAsia="zh-CN"/>
        </w:rPr>
      </w:pPr>
    </w:p>
    <w:p w14:paraId="300788E6">
      <w:pPr>
        <w:rPr>
          <w:rFonts w:hint="eastAsia"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（6</w:t>
      </w:r>
      <w:r>
        <w:rPr>
          <w:rFonts w:hint="eastAsia" w:ascii="宋体" w:hAnsi="宋体" w:eastAsia="宋体" w:cs="宋体"/>
          <w:color w:val="auto"/>
          <w:kern w:val="2"/>
          <w:sz w:val="24"/>
          <w:szCs w:val="24"/>
          <w:highlight w:val="none"/>
          <w:u w:val="none"/>
          <w:lang w:val="en-US" w:eastAsia="zh-CN" w:bidi="ar-SA"/>
        </w:rPr>
        <w:t>）投标人具备履行合同所必需的设备及专业技术能力的承诺；</w:t>
      </w:r>
      <w:r>
        <w:rPr>
          <w:rFonts w:hint="eastAsia" w:ascii="宋体" w:hAnsi="宋体" w:eastAsia="宋体" w:cs="宋体"/>
          <w:color w:val="auto"/>
          <w:kern w:val="2"/>
          <w:sz w:val="24"/>
          <w:szCs w:val="24"/>
          <w:highlight w:val="none"/>
          <w:u w:val="none"/>
          <w:lang w:val="en-US" w:eastAsia="zh-CN" w:bidi="ar-SA"/>
        </w:rPr>
        <w:br w:type="textWrapping"/>
      </w:r>
    </w:p>
    <w:p w14:paraId="4AE699AA">
      <w:pPr>
        <w:pStyle w:val="6"/>
        <w:rPr>
          <w:rFonts w:hint="eastAsia" w:ascii="宋体" w:hAnsi="宋体" w:eastAsia="宋体" w:cs="宋体"/>
          <w:color w:val="auto"/>
          <w:kern w:val="2"/>
          <w:sz w:val="24"/>
          <w:szCs w:val="24"/>
          <w:highlight w:val="none"/>
          <w:u w:val="none"/>
          <w:lang w:val="en-US" w:eastAsia="zh-CN" w:bidi="ar-SA"/>
        </w:rPr>
      </w:pPr>
    </w:p>
    <w:p w14:paraId="03A53C90">
      <w:pPr>
        <w:spacing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w:t>
      </w:r>
      <w:r>
        <w:rPr>
          <w:rFonts w:hint="eastAsia"/>
          <w:color w:val="auto"/>
          <w:sz w:val="24"/>
          <w:szCs w:val="24"/>
          <w:highlight w:val="none"/>
          <w:u w:val="single"/>
          <w:lang w:val="en-US" w:eastAsia="zh-CN"/>
        </w:rPr>
        <w:t>采购人</w:t>
      </w:r>
      <w:r>
        <w:rPr>
          <w:rFonts w:hint="eastAsia"/>
          <w:color w:val="auto"/>
          <w:sz w:val="24"/>
          <w:szCs w:val="24"/>
          <w:highlight w:val="none"/>
          <w:u w:val="single"/>
        </w:rPr>
        <w:t>）</w:t>
      </w:r>
      <w:r>
        <w:rPr>
          <w:rFonts w:hint="eastAsia"/>
          <w:color w:val="auto"/>
          <w:sz w:val="24"/>
          <w:szCs w:val="24"/>
          <w:highlight w:val="none"/>
        </w:rPr>
        <w:t>：</w:t>
      </w:r>
    </w:p>
    <w:p w14:paraId="351E6E69">
      <w:pPr>
        <w:widowControl/>
        <w:spacing w:before="240" w:beforeLines="100" w:line="480" w:lineRule="auto"/>
        <w:ind w:firstLine="480"/>
        <w:jc w:val="left"/>
        <w:rPr>
          <w:color w:val="auto"/>
          <w:sz w:val="24"/>
          <w:szCs w:val="24"/>
          <w:highlight w:val="none"/>
        </w:rPr>
      </w:pPr>
      <w:r>
        <w:rPr>
          <w:rFonts w:hint="eastAsia"/>
          <w:color w:val="auto"/>
          <w:sz w:val="24"/>
          <w:szCs w:val="24"/>
          <w:highlight w:val="none"/>
          <w:u w:val="single"/>
        </w:rPr>
        <w:t>（投标人名称）</w:t>
      </w:r>
      <w:r>
        <w:rPr>
          <w:rFonts w:hint="eastAsia"/>
          <w:color w:val="auto"/>
          <w:sz w:val="24"/>
          <w:szCs w:val="24"/>
          <w:highlight w:val="none"/>
        </w:rPr>
        <w:t>于</w:t>
      </w:r>
      <w:r>
        <w:rPr>
          <w:rFonts w:hint="eastAsia"/>
          <w:color w:val="auto"/>
          <w:sz w:val="24"/>
          <w:szCs w:val="24"/>
          <w:highlight w:val="none"/>
          <w:u w:val="single"/>
        </w:rPr>
        <w:t xml:space="preserve">    年  月  日</w:t>
      </w:r>
      <w:r>
        <w:rPr>
          <w:rFonts w:hint="eastAsia"/>
          <w:color w:val="auto"/>
          <w:sz w:val="24"/>
          <w:szCs w:val="24"/>
          <w:highlight w:val="none"/>
        </w:rPr>
        <w:t>在中华人民共和国境内</w:t>
      </w:r>
      <w:r>
        <w:rPr>
          <w:rFonts w:hint="eastAsia"/>
          <w:color w:val="auto"/>
          <w:sz w:val="24"/>
          <w:szCs w:val="24"/>
          <w:highlight w:val="none"/>
          <w:u w:val="single"/>
        </w:rPr>
        <w:t>（详细注册地址）</w:t>
      </w:r>
      <w:r>
        <w:rPr>
          <w:rFonts w:hint="eastAsia"/>
          <w:color w:val="auto"/>
          <w:sz w:val="24"/>
          <w:szCs w:val="24"/>
          <w:highlight w:val="none"/>
        </w:rPr>
        <w:t>合法注册并经营，</w:t>
      </w:r>
      <w:r>
        <w:rPr>
          <w:rFonts w:hint="eastAsia"/>
          <w:color w:val="auto"/>
          <w:sz w:val="24"/>
          <w:szCs w:val="24"/>
          <w:highlight w:val="none"/>
          <w:lang w:val="en-US" w:eastAsia="zh-CN"/>
        </w:rPr>
        <w:t>我公司</w:t>
      </w:r>
      <w:r>
        <w:rPr>
          <w:rFonts w:hint="eastAsia"/>
          <w:color w:val="auto"/>
          <w:sz w:val="24"/>
          <w:szCs w:val="24"/>
          <w:highlight w:val="none"/>
        </w:rPr>
        <w:t>具有履行本合同所必需的设备和专业技术能力。</w:t>
      </w:r>
    </w:p>
    <w:p w14:paraId="17A375BF">
      <w:pPr>
        <w:spacing w:line="360" w:lineRule="auto"/>
        <w:rPr>
          <w:color w:val="auto"/>
          <w:sz w:val="24"/>
          <w:szCs w:val="24"/>
          <w:highlight w:val="none"/>
        </w:rPr>
      </w:pPr>
    </w:p>
    <w:p w14:paraId="281CA824">
      <w:pPr>
        <w:spacing w:line="360" w:lineRule="auto"/>
        <w:rPr>
          <w:color w:val="auto"/>
          <w:sz w:val="24"/>
          <w:szCs w:val="24"/>
          <w:highlight w:val="none"/>
        </w:rPr>
      </w:pPr>
    </w:p>
    <w:p w14:paraId="7C1864E1">
      <w:pPr>
        <w:spacing w:line="360" w:lineRule="auto"/>
        <w:rPr>
          <w:color w:val="auto"/>
          <w:sz w:val="24"/>
          <w:szCs w:val="24"/>
          <w:highlight w:val="none"/>
        </w:rPr>
      </w:pPr>
    </w:p>
    <w:p w14:paraId="20E8EDC0">
      <w:pPr>
        <w:spacing w:line="360" w:lineRule="auto"/>
        <w:rPr>
          <w:color w:val="auto"/>
          <w:sz w:val="24"/>
          <w:szCs w:val="24"/>
          <w:highlight w:val="none"/>
        </w:rPr>
      </w:pPr>
    </w:p>
    <w:p w14:paraId="724ECE00">
      <w:pPr>
        <w:spacing w:line="360" w:lineRule="auto"/>
        <w:rPr>
          <w:color w:val="auto"/>
          <w:sz w:val="24"/>
          <w:szCs w:val="24"/>
          <w:highlight w:val="none"/>
        </w:rPr>
      </w:pPr>
    </w:p>
    <w:p w14:paraId="3C49EC07">
      <w:pPr>
        <w:adjustRightInd w:val="0"/>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57DC54E7">
      <w:pPr>
        <w:adjustRightInd w:val="0"/>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F00637B">
      <w:pPr>
        <w:adjustRightInd w:val="0"/>
        <w:snapToGrid w:val="0"/>
        <w:spacing w:line="360" w:lineRule="auto"/>
        <w:ind w:firstLine="3360" w:firstLineChars="14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D0BC876">
      <w:pPr>
        <w:spacing w:line="440" w:lineRule="exact"/>
        <w:jc w:val="center"/>
        <w:rPr>
          <w:rFonts w:hint="eastAsia" w:ascii="宋体" w:hAnsi="宋体" w:eastAsia="宋体" w:cs="宋体"/>
          <w:b/>
          <w:bCs/>
          <w:color w:val="auto"/>
          <w:sz w:val="30"/>
          <w:szCs w:val="30"/>
          <w:highlight w:val="none"/>
        </w:rPr>
      </w:pPr>
    </w:p>
    <w:p w14:paraId="4A0B1019">
      <w:pPr>
        <w:spacing w:line="440" w:lineRule="exact"/>
        <w:jc w:val="center"/>
        <w:rPr>
          <w:rFonts w:hint="eastAsia" w:ascii="宋体" w:hAnsi="宋体" w:eastAsia="宋体" w:cs="宋体"/>
          <w:b/>
          <w:bCs/>
          <w:color w:val="auto"/>
          <w:sz w:val="30"/>
          <w:szCs w:val="30"/>
          <w:highlight w:val="none"/>
        </w:rPr>
      </w:pPr>
    </w:p>
    <w:p w14:paraId="51C0D333">
      <w:pPr>
        <w:rPr>
          <w:rFonts w:hint="eastAsia" w:ascii="宋体" w:hAnsi="宋体" w:eastAsia="宋体" w:cs="宋体"/>
          <w:color w:val="auto"/>
          <w:kern w:val="2"/>
          <w:sz w:val="24"/>
          <w:szCs w:val="24"/>
          <w:highlight w:val="none"/>
          <w:u w:val="none"/>
          <w:lang w:val="en-US" w:eastAsia="zh-CN" w:bidi="ar-SA"/>
        </w:rPr>
      </w:pPr>
    </w:p>
    <w:p w14:paraId="033C8F77">
      <w:pPr>
        <w:pStyle w:val="6"/>
        <w:rPr>
          <w:rFonts w:hint="eastAsia" w:ascii="宋体" w:hAnsi="宋体" w:eastAsia="宋体" w:cs="宋体"/>
          <w:color w:val="auto"/>
          <w:kern w:val="2"/>
          <w:sz w:val="24"/>
          <w:szCs w:val="24"/>
          <w:highlight w:val="none"/>
          <w:u w:val="none"/>
          <w:lang w:val="en-US" w:eastAsia="zh-CN" w:bidi="ar-SA"/>
        </w:rPr>
      </w:pPr>
    </w:p>
    <w:p w14:paraId="41EC462B">
      <w:pPr>
        <w:rPr>
          <w:rFonts w:hint="eastAsia" w:ascii="宋体" w:hAnsi="宋体" w:eastAsia="宋体" w:cs="宋体"/>
          <w:color w:val="auto"/>
          <w:kern w:val="2"/>
          <w:sz w:val="24"/>
          <w:szCs w:val="24"/>
          <w:highlight w:val="none"/>
          <w:u w:val="none"/>
          <w:lang w:val="en-US" w:eastAsia="zh-CN" w:bidi="ar-SA"/>
        </w:rPr>
      </w:pPr>
    </w:p>
    <w:p w14:paraId="66D53D69">
      <w:pPr>
        <w:pStyle w:val="6"/>
        <w:rPr>
          <w:rFonts w:hint="eastAsia" w:ascii="宋体" w:hAnsi="宋体" w:eastAsia="宋体" w:cs="宋体"/>
          <w:color w:val="auto"/>
          <w:kern w:val="2"/>
          <w:sz w:val="24"/>
          <w:szCs w:val="24"/>
          <w:highlight w:val="none"/>
          <w:u w:val="none"/>
          <w:lang w:val="en-US" w:eastAsia="zh-CN" w:bidi="ar-SA"/>
        </w:rPr>
      </w:pPr>
    </w:p>
    <w:p w14:paraId="571037C3">
      <w:pPr>
        <w:rPr>
          <w:rFonts w:hint="eastAsia" w:ascii="宋体" w:hAnsi="宋体" w:eastAsia="宋体" w:cs="宋体"/>
          <w:color w:val="auto"/>
          <w:kern w:val="2"/>
          <w:sz w:val="24"/>
          <w:szCs w:val="24"/>
          <w:highlight w:val="none"/>
          <w:u w:val="none"/>
          <w:lang w:val="en-US" w:eastAsia="zh-CN" w:bidi="ar-SA"/>
        </w:rPr>
      </w:pPr>
    </w:p>
    <w:p w14:paraId="1BC3DA3C">
      <w:pPr>
        <w:pStyle w:val="6"/>
        <w:rPr>
          <w:rFonts w:hint="eastAsia" w:ascii="宋体" w:hAnsi="宋体" w:eastAsia="宋体" w:cs="宋体"/>
          <w:color w:val="auto"/>
          <w:kern w:val="2"/>
          <w:sz w:val="24"/>
          <w:szCs w:val="24"/>
          <w:highlight w:val="none"/>
          <w:u w:val="none"/>
          <w:lang w:val="en-US" w:eastAsia="zh-CN" w:bidi="ar-SA"/>
        </w:rPr>
      </w:pPr>
    </w:p>
    <w:p w14:paraId="5F365BA7">
      <w:pPr>
        <w:rPr>
          <w:rFonts w:hint="eastAsia" w:ascii="宋体" w:hAnsi="宋体" w:eastAsia="宋体" w:cs="宋体"/>
          <w:color w:val="auto"/>
          <w:kern w:val="2"/>
          <w:sz w:val="24"/>
          <w:szCs w:val="24"/>
          <w:highlight w:val="none"/>
          <w:u w:val="none"/>
          <w:lang w:val="en-US" w:eastAsia="zh-CN" w:bidi="ar-SA"/>
        </w:rPr>
      </w:pPr>
    </w:p>
    <w:p w14:paraId="02CD51BF">
      <w:pPr>
        <w:pStyle w:val="6"/>
        <w:rPr>
          <w:rFonts w:hint="eastAsia" w:ascii="宋体" w:hAnsi="宋体" w:eastAsia="宋体" w:cs="宋体"/>
          <w:color w:val="auto"/>
          <w:kern w:val="2"/>
          <w:sz w:val="24"/>
          <w:szCs w:val="24"/>
          <w:highlight w:val="none"/>
          <w:u w:val="none"/>
          <w:lang w:val="en-US" w:eastAsia="zh-CN" w:bidi="ar-SA"/>
        </w:rPr>
      </w:pPr>
    </w:p>
    <w:p w14:paraId="06F2DC1C">
      <w:pPr>
        <w:rPr>
          <w:rFonts w:hint="eastAsia" w:ascii="宋体" w:hAnsi="宋体" w:eastAsia="宋体" w:cs="宋体"/>
          <w:color w:val="auto"/>
          <w:kern w:val="2"/>
          <w:sz w:val="24"/>
          <w:szCs w:val="24"/>
          <w:highlight w:val="none"/>
          <w:u w:val="none"/>
          <w:lang w:val="en-US" w:eastAsia="zh-CN" w:bidi="ar-SA"/>
        </w:rPr>
      </w:pPr>
    </w:p>
    <w:p w14:paraId="5FF2E128">
      <w:pPr>
        <w:pStyle w:val="6"/>
        <w:rPr>
          <w:rFonts w:hint="eastAsia" w:ascii="宋体" w:hAnsi="宋体" w:eastAsia="宋体" w:cs="宋体"/>
          <w:color w:val="auto"/>
          <w:kern w:val="2"/>
          <w:sz w:val="24"/>
          <w:szCs w:val="24"/>
          <w:highlight w:val="none"/>
          <w:u w:val="none"/>
          <w:lang w:val="en-US" w:eastAsia="zh-CN" w:bidi="ar-SA"/>
        </w:rPr>
      </w:pPr>
    </w:p>
    <w:p w14:paraId="4451FA20">
      <w:pPr>
        <w:rPr>
          <w:rFonts w:hint="eastAsia" w:ascii="宋体" w:hAnsi="宋体" w:eastAsia="宋体" w:cs="宋体"/>
          <w:color w:val="auto"/>
          <w:kern w:val="2"/>
          <w:sz w:val="24"/>
          <w:szCs w:val="24"/>
          <w:highlight w:val="none"/>
          <w:u w:val="none"/>
          <w:lang w:val="en-US" w:eastAsia="zh-CN" w:bidi="ar-SA"/>
        </w:rPr>
      </w:pPr>
    </w:p>
    <w:p w14:paraId="21E50A26">
      <w:pPr>
        <w:pStyle w:val="6"/>
        <w:rPr>
          <w:rFonts w:hint="eastAsia" w:ascii="宋体" w:hAnsi="宋体" w:eastAsia="宋体" w:cs="宋体"/>
          <w:color w:val="auto"/>
          <w:kern w:val="2"/>
          <w:sz w:val="24"/>
          <w:szCs w:val="24"/>
          <w:highlight w:val="none"/>
          <w:u w:val="none"/>
          <w:lang w:val="en-US" w:eastAsia="zh-CN" w:bidi="ar-SA"/>
        </w:rPr>
      </w:pPr>
    </w:p>
    <w:p w14:paraId="6F3DD707">
      <w:pPr>
        <w:rPr>
          <w:rFonts w:hint="eastAsia" w:ascii="宋体" w:hAnsi="宋体" w:eastAsia="宋体" w:cs="宋体"/>
          <w:color w:val="auto"/>
          <w:kern w:val="2"/>
          <w:sz w:val="24"/>
          <w:szCs w:val="24"/>
          <w:highlight w:val="none"/>
          <w:u w:val="none"/>
          <w:lang w:val="en-US" w:eastAsia="zh-CN" w:bidi="ar-SA"/>
        </w:rPr>
      </w:pPr>
    </w:p>
    <w:p w14:paraId="142E991C">
      <w:pPr>
        <w:pStyle w:val="6"/>
        <w:rPr>
          <w:rFonts w:hint="eastAsia" w:ascii="宋体" w:hAnsi="宋体" w:eastAsia="宋体" w:cs="宋体"/>
          <w:color w:val="auto"/>
          <w:kern w:val="2"/>
          <w:sz w:val="24"/>
          <w:szCs w:val="24"/>
          <w:highlight w:val="none"/>
          <w:u w:val="none"/>
          <w:lang w:val="en-US" w:eastAsia="zh-CN" w:bidi="ar-SA"/>
        </w:rPr>
      </w:pPr>
    </w:p>
    <w:p w14:paraId="242FE3D4">
      <w:pPr>
        <w:rPr>
          <w:rFonts w:hint="eastAsia" w:ascii="宋体" w:hAnsi="宋体" w:eastAsia="宋体" w:cs="宋体"/>
          <w:color w:val="auto"/>
          <w:kern w:val="2"/>
          <w:sz w:val="24"/>
          <w:szCs w:val="24"/>
          <w:highlight w:val="none"/>
          <w:u w:val="none"/>
          <w:lang w:val="en-US" w:eastAsia="zh-CN" w:bidi="ar-SA"/>
        </w:rPr>
      </w:pPr>
    </w:p>
    <w:p w14:paraId="232F11AE">
      <w:pPr>
        <w:pStyle w:val="6"/>
        <w:rPr>
          <w:rFonts w:hint="eastAsia" w:ascii="宋体" w:hAnsi="宋体" w:eastAsia="宋体" w:cs="宋体"/>
          <w:color w:val="auto"/>
          <w:kern w:val="2"/>
          <w:sz w:val="24"/>
          <w:szCs w:val="24"/>
          <w:highlight w:val="none"/>
          <w:u w:val="none"/>
          <w:lang w:val="en-US" w:eastAsia="zh-CN" w:bidi="ar-SA"/>
        </w:rPr>
      </w:pPr>
    </w:p>
    <w:p w14:paraId="65A030A9">
      <w:pPr>
        <w:rPr>
          <w:rFonts w:hint="eastAsia" w:ascii="宋体" w:hAnsi="宋体" w:eastAsia="宋体" w:cs="宋体"/>
          <w:color w:val="auto"/>
          <w:kern w:val="2"/>
          <w:sz w:val="24"/>
          <w:szCs w:val="24"/>
          <w:highlight w:val="none"/>
          <w:u w:val="none"/>
          <w:lang w:val="en-US" w:eastAsia="zh-CN" w:bidi="ar-SA"/>
        </w:rPr>
      </w:pPr>
    </w:p>
    <w:p w14:paraId="6F506FB8">
      <w:pPr>
        <w:pStyle w:val="6"/>
        <w:rPr>
          <w:rFonts w:hint="eastAsia" w:ascii="宋体" w:hAnsi="宋体" w:eastAsia="宋体" w:cs="宋体"/>
          <w:color w:val="auto"/>
          <w:kern w:val="2"/>
          <w:sz w:val="24"/>
          <w:szCs w:val="24"/>
          <w:highlight w:val="none"/>
          <w:u w:val="none"/>
          <w:lang w:val="en-US" w:eastAsia="zh-CN" w:bidi="ar-SA"/>
        </w:rPr>
      </w:pPr>
    </w:p>
    <w:p w14:paraId="65444850">
      <w:pPr>
        <w:rPr>
          <w:rFonts w:hint="eastAsia" w:ascii="宋体" w:hAnsi="宋体" w:eastAsia="宋体" w:cs="宋体"/>
          <w:color w:val="auto"/>
          <w:kern w:val="2"/>
          <w:sz w:val="24"/>
          <w:szCs w:val="24"/>
          <w:highlight w:val="none"/>
          <w:u w:val="none"/>
          <w:lang w:val="en-US" w:eastAsia="zh-CN" w:bidi="ar-SA"/>
        </w:rPr>
      </w:pPr>
    </w:p>
    <w:p w14:paraId="4FFB52C9">
      <w:pPr>
        <w:rPr>
          <w:rFonts w:hint="eastAsia" w:ascii="宋体" w:hAnsi="宋体" w:eastAsia="宋体" w:cs="宋体"/>
          <w:color w:val="auto"/>
          <w:kern w:val="2"/>
          <w:sz w:val="24"/>
          <w:szCs w:val="24"/>
          <w:highlight w:val="none"/>
          <w:u w:val="none"/>
          <w:lang w:val="en-US" w:eastAsia="zh-CN" w:bidi="ar-SA"/>
        </w:rPr>
      </w:pPr>
    </w:p>
    <w:p w14:paraId="0AFFD972">
      <w:pPr>
        <w:pStyle w:val="6"/>
        <w:keepNext/>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val="0"/>
          <w:bCs w:val="0"/>
          <w:color w:val="auto"/>
          <w:kern w:val="2"/>
          <w:sz w:val="24"/>
          <w:szCs w:val="24"/>
          <w:highlight w:val="none"/>
          <w:u w:val="none"/>
          <w:lang w:val="en-US" w:eastAsia="zh-CN" w:bidi="ar-SA"/>
        </w:rPr>
      </w:pPr>
      <w:r>
        <w:rPr>
          <w:rFonts w:hint="eastAsia" w:ascii="Times New Roman" w:hAnsi="Times New Roman" w:eastAsia="宋体" w:cs="Times New Roman"/>
          <w:b w:val="0"/>
          <w:bCs w:val="0"/>
          <w:color w:val="auto"/>
          <w:kern w:val="2"/>
          <w:sz w:val="24"/>
          <w:szCs w:val="24"/>
          <w:highlight w:val="none"/>
          <w:u w:val="none"/>
          <w:lang w:val="en-US" w:eastAsia="zh-CN" w:bidi="ar-SA"/>
        </w:rPr>
        <w:t>（7）参加本次投标前3年内，在经营活动中没有重大违法记录的书面声明；</w:t>
      </w:r>
    </w:p>
    <w:p w14:paraId="18CEB93A">
      <w:pPr>
        <w:rPr>
          <w:rFonts w:hint="eastAsia" w:ascii="微软雅黑" w:hAnsi="微软雅黑" w:eastAsia="微软雅黑" w:cs="微软雅黑"/>
          <w:i w:val="0"/>
          <w:iCs w:val="0"/>
          <w:caps w:val="0"/>
          <w:color w:val="auto"/>
          <w:spacing w:val="0"/>
          <w:sz w:val="21"/>
          <w:szCs w:val="21"/>
          <w:highlight w:val="none"/>
          <w:shd w:val="clear" w:color="auto" w:fill="FFFFFF"/>
        </w:rPr>
      </w:pPr>
    </w:p>
    <w:p w14:paraId="61C73770">
      <w:pPr>
        <w:pStyle w:val="6"/>
        <w:rPr>
          <w:rFonts w:hint="eastAsia" w:ascii="微软雅黑" w:hAnsi="微软雅黑" w:eastAsia="微软雅黑" w:cs="微软雅黑"/>
          <w:i w:val="0"/>
          <w:iCs w:val="0"/>
          <w:caps w:val="0"/>
          <w:color w:val="auto"/>
          <w:spacing w:val="0"/>
          <w:sz w:val="21"/>
          <w:szCs w:val="21"/>
          <w:highlight w:val="none"/>
          <w:shd w:val="clear" w:color="auto" w:fill="FFFFFF"/>
        </w:rPr>
      </w:pPr>
    </w:p>
    <w:p w14:paraId="1C1505F3">
      <w:pPr>
        <w:rPr>
          <w:color w:val="auto"/>
          <w:highlight w:val="none"/>
        </w:rPr>
      </w:pPr>
    </w:p>
    <w:p w14:paraId="6414B260">
      <w:pPr>
        <w:pStyle w:val="6"/>
        <w:rPr>
          <w:color w:val="auto"/>
          <w:highlight w:val="none"/>
        </w:rPr>
      </w:pPr>
    </w:p>
    <w:p w14:paraId="6F8058CD">
      <w:pPr>
        <w:rPr>
          <w:color w:val="auto"/>
          <w:highlight w:val="none"/>
        </w:rPr>
      </w:pPr>
    </w:p>
    <w:p w14:paraId="4CC3FACF">
      <w:pPr>
        <w:pStyle w:val="6"/>
        <w:rPr>
          <w:color w:val="auto"/>
          <w:highlight w:val="none"/>
        </w:rPr>
      </w:pPr>
    </w:p>
    <w:p w14:paraId="0781E6F3">
      <w:pPr>
        <w:rPr>
          <w:color w:val="auto"/>
          <w:highlight w:val="none"/>
        </w:rPr>
      </w:pPr>
    </w:p>
    <w:p w14:paraId="12E25C93">
      <w:pPr>
        <w:pStyle w:val="6"/>
        <w:rPr>
          <w:color w:val="auto"/>
          <w:highlight w:val="none"/>
        </w:rPr>
      </w:pPr>
    </w:p>
    <w:p w14:paraId="5CCFC15F">
      <w:pPr>
        <w:rPr>
          <w:color w:val="auto"/>
          <w:highlight w:val="none"/>
        </w:rPr>
      </w:pPr>
    </w:p>
    <w:p w14:paraId="22833B69">
      <w:pPr>
        <w:pStyle w:val="6"/>
        <w:rPr>
          <w:color w:val="auto"/>
          <w:highlight w:val="none"/>
        </w:rPr>
      </w:pPr>
    </w:p>
    <w:p w14:paraId="40663C5D">
      <w:pPr>
        <w:rPr>
          <w:color w:val="auto"/>
          <w:highlight w:val="none"/>
        </w:rPr>
      </w:pPr>
    </w:p>
    <w:p w14:paraId="175AC258">
      <w:pPr>
        <w:pStyle w:val="6"/>
        <w:rPr>
          <w:color w:val="auto"/>
          <w:highlight w:val="none"/>
        </w:rPr>
      </w:pPr>
    </w:p>
    <w:p w14:paraId="20096164">
      <w:pPr>
        <w:rPr>
          <w:color w:val="auto"/>
          <w:highlight w:val="none"/>
        </w:rPr>
      </w:pPr>
    </w:p>
    <w:p w14:paraId="7476BF7E">
      <w:pPr>
        <w:pStyle w:val="6"/>
        <w:rPr>
          <w:color w:val="auto"/>
          <w:highlight w:val="none"/>
        </w:rPr>
      </w:pPr>
    </w:p>
    <w:p w14:paraId="50381806">
      <w:pPr>
        <w:rPr>
          <w:color w:val="auto"/>
          <w:highlight w:val="none"/>
        </w:rPr>
      </w:pPr>
    </w:p>
    <w:p w14:paraId="4EA75901">
      <w:pPr>
        <w:pStyle w:val="6"/>
        <w:rPr>
          <w:color w:val="auto"/>
          <w:highlight w:val="none"/>
        </w:rPr>
      </w:pPr>
    </w:p>
    <w:p w14:paraId="50D7E55E">
      <w:pPr>
        <w:rPr>
          <w:color w:val="auto"/>
          <w:highlight w:val="none"/>
        </w:rPr>
      </w:pPr>
    </w:p>
    <w:p w14:paraId="3EEC7E5F">
      <w:pPr>
        <w:pStyle w:val="6"/>
        <w:rPr>
          <w:color w:val="auto"/>
          <w:highlight w:val="none"/>
        </w:rPr>
      </w:pPr>
    </w:p>
    <w:p w14:paraId="4B4E07A7">
      <w:pPr>
        <w:rPr>
          <w:color w:val="auto"/>
          <w:highlight w:val="none"/>
        </w:rPr>
      </w:pPr>
    </w:p>
    <w:p w14:paraId="509E2978">
      <w:pPr>
        <w:pStyle w:val="6"/>
        <w:rPr>
          <w:color w:val="auto"/>
          <w:highlight w:val="none"/>
        </w:rPr>
      </w:pPr>
    </w:p>
    <w:p w14:paraId="146B195B">
      <w:pPr>
        <w:rPr>
          <w:color w:val="auto"/>
          <w:highlight w:val="none"/>
        </w:rPr>
      </w:pPr>
    </w:p>
    <w:p w14:paraId="1900F82E">
      <w:pPr>
        <w:pStyle w:val="6"/>
        <w:rPr>
          <w:color w:val="auto"/>
          <w:highlight w:val="none"/>
        </w:rPr>
      </w:pPr>
    </w:p>
    <w:p w14:paraId="6DB00E28">
      <w:pPr>
        <w:rPr>
          <w:color w:val="auto"/>
          <w:highlight w:val="none"/>
        </w:rPr>
      </w:pPr>
    </w:p>
    <w:p w14:paraId="5A3B16C3">
      <w:pPr>
        <w:pStyle w:val="6"/>
        <w:rPr>
          <w:color w:val="auto"/>
          <w:highlight w:val="none"/>
        </w:rPr>
      </w:pPr>
    </w:p>
    <w:p w14:paraId="4E334AE8">
      <w:pPr>
        <w:rPr>
          <w:color w:val="auto"/>
          <w:highlight w:val="none"/>
        </w:rPr>
      </w:pPr>
    </w:p>
    <w:p w14:paraId="29C216FB">
      <w:pPr>
        <w:rPr>
          <w:color w:val="auto"/>
          <w:highlight w:val="none"/>
        </w:rPr>
      </w:pPr>
    </w:p>
    <w:p w14:paraId="2585B9A4">
      <w:pPr>
        <w:rPr>
          <w:color w:val="auto"/>
          <w:highlight w:val="none"/>
        </w:rPr>
      </w:pPr>
    </w:p>
    <w:p w14:paraId="62A6FA48">
      <w:pPr>
        <w:rPr>
          <w:color w:val="auto"/>
          <w:highlight w:val="none"/>
        </w:rPr>
      </w:pPr>
    </w:p>
    <w:p w14:paraId="56D5BD95">
      <w:pPr>
        <w:rPr>
          <w:color w:val="auto"/>
          <w:highlight w:val="none"/>
        </w:rPr>
      </w:pPr>
    </w:p>
    <w:p w14:paraId="7053A866">
      <w:pPr>
        <w:rPr>
          <w:color w:val="auto"/>
          <w:highlight w:val="none"/>
        </w:rPr>
      </w:pPr>
    </w:p>
    <w:p w14:paraId="30139018">
      <w:pPr>
        <w:spacing w:line="360" w:lineRule="auto"/>
        <w:jc w:val="lef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（8）法定代表人（负责人）为同一人或者存在直接控股、管理关系的不同投标人，不得同时参加本采购项目投标；</w:t>
      </w:r>
      <w:r>
        <w:rPr>
          <w:rFonts w:hint="eastAsia" w:cs="Times New Roman"/>
          <w:b w:val="0"/>
          <w:bCs w:val="0"/>
          <w:color w:val="auto"/>
          <w:sz w:val="24"/>
          <w:szCs w:val="24"/>
          <w:highlight w:val="none"/>
          <w:lang w:val="en-US" w:eastAsia="zh-CN"/>
        </w:rPr>
        <w:t>（提供承诺书）</w:t>
      </w:r>
    </w:p>
    <w:p w14:paraId="394496B5">
      <w:pPr>
        <w:rPr>
          <w:color w:val="auto"/>
          <w:highlight w:val="none"/>
        </w:rPr>
      </w:pPr>
    </w:p>
    <w:p w14:paraId="47521E79">
      <w:pPr>
        <w:rPr>
          <w:color w:val="auto"/>
          <w:highlight w:val="none"/>
        </w:rPr>
      </w:pPr>
    </w:p>
    <w:p w14:paraId="5DDE22B8">
      <w:pPr>
        <w:rPr>
          <w:color w:val="auto"/>
          <w:highlight w:val="none"/>
        </w:rPr>
      </w:pPr>
    </w:p>
    <w:p w14:paraId="3AE6AD13">
      <w:pPr>
        <w:rPr>
          <w:color w:val="auto"/>
          <w:highlight w:val="none"/>
        </w:rPr>
      </w:pPr>
    </w:p>
    <w:p w14:paraId="1AEFDB81">
      <w:pPr>
        <w:rPr>
          <w:color w:val="auto"/>
          <w:highlight w:val="none"/>
        </w:rPr>
      </w:pPr>
    </w:p>
    <w:p w14:paraId="1F84FE06">
      <w:pPr>
        <w:rPr>
          <w:color w:val="auto"/>
          <w:highlight w:val="none"/>
        </w:rPr>
      </w:pPr>
    </w:p>
    <w:p w14:paraId="58FEEEBC">
      <w:pPr>
        <w:pStyle w:val="8"/>
        <w:rPr>
          <w:color w:val="auto"/>
          <w:highlight w:val="none"/>
        </w:rPr>
      </w:pPr>
    </w:p>
    <w:p w14:paraId="11AD1894">
      <w:pPr>
        <w:pStyle w:val="8"/>
        <w:rPr>
          <w:color w:val="auto"/>
          <w:highlight w:val="none"/>
        </w:rPr>
      </w:pPr>
    </w:p>
    <w:p w14:paraId="06508C65">
      <w:pPr>
        <w:pStyle w:val="8"/>
        <w:rPr>
          <w:color w:val="auto"/>
          <w:highlight w:val="none"/>
        </w:rPr>
      </w:pPr>
    </w:p>
    <w:p w14:paraId="3C169CEF">
      <w:pPr>
        <w:pStyle w:val="8"/>
        <w:rPr>
          <w:color w:val="auto"/>
          <w:highlight w:val="none"/>
        </w:rPr>
      </w:pPr>
    </w:p>
    <w:p w14:paraId="2165C96F">
      <w:pPr>
        <w:pStyle w:val="8"/>
        <w:rPr>
          <w:color w:val="auto"/>
          <w:highlight w:val="none"/>
        </w:rPr>
      </w:pPr>
    </w:p>
    <w:p w14:paraId="3194FA1F">
      <w:pPr>
        <w:pStyle w:val="8"/>
        <w:rPr>
          <w:color w:val="auto"/>
          <w:highlight w:val="none"/>
        </w:rPr>
      </w:pPr>
    </w:p>
    <w:p w14:paraId="64D6D239">
      <w:pPr>
        <w:pStyle w:val="8"/>
        <w:rPr>
          <w:color w:val="auto"/>
          <w:highlight w:val="none"/>
        </w:rPr>
      </w:pPr>
    </w:p>
    <w:p w14:paraId="2EDDD8D0">
      <w:pPr>
        <w:pStyle w:val="8"/>
        <w:rPr>
          <w:color w:val="auto"/>
          <w:highlight w:val="none"/>
        </w:rPr>
      </w:pPr>
    </w:p>
    <w:p w14:paraId="584FFE34">
      <w:pPr>
        <w:pStyle w:val="8"/>
        <w:rPr>
          <w:color w:val="auto"/>
          <w:highlight w:val="none"/>
        </w:rPr>
      </w:pPr>
    </w:p>
    <w:p w14:paraId="54DA9EB4">
      <w:pPr>
        <w:pStyle w:val="8"/>
        <w:rPr>
          <w:color w:val="auto"/>
          <w:highlight w:val="none"/>
        </w:rPr>
      </w:pPr>
    </w:p>
    <w:p w14:paraId="469D95D5">
      <w:pPr>
        <w:pStyle w:val="8"/>
        <w:rPr>
          <w:color w:val="auto"/>
          <w:highlight w:val="none"/>
        </w:rPr>
      </w:pPr>
    </w:p>
    <w:p w14:paraId="3FC04190">
      <w:pPr>
        <w:pStyle w:val="8"/>
        <w:rPr>
          <w:color w:val="auto"/>
          <w:highlight w:val="none"/>
        </w:rPr>
      </w:pPr>
    </w:p>
    <w:p w14:paraId="4075E65C">
      <w:pPr>
        <w:pStyle w:val="8"/>
        <w:rPr>
          <w:color w:val="auto"/>
          <w:highlight w:val="none"/>
        </w:rPr>
      </w:pPr>
    </w:p>
    <w:p w14:paraId="5D646C34">
      <w:pPr>
        <w:pStyle w:val="8"/>
        <w:rPr>
          <w:color w:val="auto"/>
          <w:highlight w:val="none"/>
        </w:rPr>
      </w:pPr>
    </w:p>
    <w:p w14:paraId="63D503DA">
      <w:pPr>
        <w:pStyle w:val="8"/>
        <w:rPr>
          <w:color w:val="auto"/>
          <w:highlight w:val="none"/>
        </w:rPr>
      </w:pPr>
    </w:p>
    <w:p w14:paraId="3835B64C">
      <w:pPr>
        <w:pStyle w:val="8"/>
        <w:rPr>
          <w:color w:val="auto"/>
          <w:highlight w:val="none"/>
        </w:rPr>
      </w:pPr>
    </w:p>
    <w:p w14:paraId="17F18651">
      <w:pPr>
        <w:pStyle w:val="8"/>
        <w:rPr>
          <w:color w:val="auto"/>
          <w:highlight w:val="none"/>
        </w:rPr>
      </w:pPr>
    </w:p>
    <w:p w14:paraId="3D846B50">
      <w:pPr>
        <w:pStyle w:val="8"/>
        <w:rPr>
          <w:color w:val="auto"/>
          <w:highlight w:val="none"/>
        </w:rPr>
      </w:pPr>
    </w:p>
    <w:p w14:paraId="313A0D0D">
      <w:pPr>
        <w:pStyle w:val="8"/>
        <w:rPr>
          <w:color w:val="auto"/>
          <w:highlight w:val="none"/>
        </w:rPr>
      </w:pPr>
    </w:p>
    <w:p w14:paraId="70762DE9">
      <w:pPr>
        <w:pStyle w:val="8"/>
        <w:rPr>
          <w:color w:val="auto"/>
          <w:highlight w:val="none"/>
        </w:rPr>
      </w:pPr>
    </w:p>
    <w:p w14:paraId="33AC226E">
      <w:pPr>
        <w:pStyle w:val="8"/>
        <w:rPr>
          <w:color w:val="auto"/>
          <w:highlight w:val="none"/>
        </w:rPr>
      </w:pPr>
    </w:p>
    <w:p w14:paraId="69C3F84F">
      <w:pPr>
        <w:pStyle w:val="8"/>
        <w:rPr>
          <w:color w:val="auto"/>
          <w:highlight w:val="none"/>
        </w:rPr>
      </w:pPr>
    </w:p>
    <w:p w14:paraId="7CCCE0F2">
      <w:pPr>
        <w:pStyle w:val="8"/>
        <w:rPr>
          <w:color w:val="auto"/>
          <w:highlight w:val="none"/>
        </w:rPr>
      </w:pPr>
    </w:p>
    <w:p w14:paraId="04DBCF87">
      <w:pPr>
        <w:pStyle w:val="8"/>
        <w:rPr>
          <w:color w:val="auto"/>
          <w:highlight w:val="none"/>
        </w:rPr>
      </w:pPr>
    </w:p>
    <w:p w14:paraId="09701A37">
      <w:pPr>
        <w:pStyle w:val="8"/>
        <w:rPr>
          <w:color w:val="auto"/>
          <w:highlight w:val="none"/>
        </w:rPr>
      </w:pPr>
    </w:p>
    <w:p w14:paraId="793B4804">
      <w:pPr>
        <w:pStyle w:val="8"/>
        <w:rPr>
          <w:color w:val="auto"/>
          <w:highlight w:val="none"/>
        </w:rPr>
      </w:pPr>
    </w:p>
    <w:p w14:paraId="7D225BDC">
      <w:pPr>
        <w:pStyle w:val="8"/>
        <w:rPr>
          <w:color w:val="auto"/>
          <w:highlight w:val="none"/>
        </w:rPr>
      </w:pPr>
    </w:p>
    <w:p w14:paraId="42DA7AA4">
      <w:pPr>
        <w:pStyle w:val="8"/>
        <w:rPr>
          <w:color w:val="auto"/>
          <w:highlight w:val="none"/>
        </w:rPr>
      </w:pPr>
    </w:p>
    <w:p w14:paraId="77D2AB5F">
      <w:pPr>
        <w:pStyle w:val="8"/>
        <w:rPr>
          <w:color w:val="auto"/>
          <w:highlight w:val="none"/>
        </w:rPr>
      </w:pPr>
    </w:p>
    <w:p w14:paraId="3C66D382">
      <w:pPr>
        <w:pStyle w:val="8"/>
        <w:rPr>
          <w:color w:val="auto"/>
          <w:highlight w:val="none"/>
        </w:rPr>
      </w:pPr>
    </w:p>
    <w:p w14:paraId="608610A4">
      <w:pPr>
        <w:pStyle w:val="8"/>
        <w:rPr>
          <w:color w:val="auto"/>
          <w:highlight w:val="none"/>
        </w:rPr>
      </w:pPr>
    </w:p>
    <w:p w14:paraId="27EA7EE1">
      <w:pPr>
        <w:rPr>
          <w:color w:val="auto"/>
          <w:highlight w:val="none"/>
        </w:rPr>
      </w:pPr>
    </w:p>
    <w:p w14:paraId="2F440F2F">
      <w:pPr>
        <w:pStyle w:val="2"/>
        <w:rPr>
          <w:color w:val="auto"/>
          <w:highlight w:val="none"/>
        </w:rPr>
      </w:pPr>
    </w:p>
    <w:p w14:paraId="729D1F89">
      <w:pPr>
        <w:pStyle w:val="2"/>
        <w:rPr>
          <w:color w:val="auto"/>
          <w:highlight w:val="none"/>
        </w:rPr>
      </w:pPr>
    </w:p>
    <w:p w14:paraId="4DF3767C">
      <w:pPr>
        <w:pStyle w:val="2"/>
        <w:rPr>
          <w:color w:val="auto"/>
          <w:highlight w:val="none"/>
        </w:rPr>
      </w:pPr>
    </w:p>
    <w:p w14:paraId="33253F6C">
      <w:pPr>
        <w:spacing w:line="360" w:lineRule="auto"/>
        <w:jc w:val="lef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（9）投标人应在“中国执行信息公开网”(http://zxgk.court.gov.cn/) 未被列入失信被执行人，“信用中国”(https://www.creditchina.gov.cn/) 未被列入重大税收违法失信主体及在“中国政府采购网”(http://www.ccgp.gov.cn/)未被列入政府采购严重违法失信行为记录名单。</w:t>
      </w:r>
      <w:r>
        <w:rPr>
          <w:rFonts w:hint="eastAsia" w:cs="Times New Roman"/>
          <w:b w:val="0"/>
          <w:bCs w:val="0"/>
          <w:color w:val="auto"/>
          <w:sz w:val="24"/>
          <w:szCs w:val="24"/>
          <w:highlight w:val="none"/>
          <w:lang w:val="en-US" w:eastAsia="zh-CN"/>
        </w:rPr>
        <w:t>（提供截图）</w:t>
      </w:r>
    </w:p>
    <w:p w14:paraId="088D9CF5">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08478A3F">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56935789">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14BED34D">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78034CA7">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49AE594D">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333AFB54">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2D7FC338">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168E77A1">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7197FFA0">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6F51565E">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029C4380">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37DBF8DA">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3E3C328B">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2750ED37">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15803B64">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1C7A3609">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52D45E6E">
      <w:pPr>
        <w:spacing w:line="480" w:lineRule="auto"/>
        <w:rPr>
          <w:rFonts w:hint="eastAsia" w:ascii="宋体" w:hAnsi="宋体" w:eastAsia="宋体" w:cs="宋体"/>
          <w:b w:val="0"/>
          <w:bCs w:val="0"/>
          <w:color w:val="auto"/>
          <w:sz w:val="22"/>
          <w:szCs w:val="22"/>
          <w:highlight w:val="none"/>
          <w:lang w:val="en-US" w:eastAsia="zh-CN"/>
        </w:rPr>
      </w:pPr>
    </w:p>
    <w:p w14:paraId="7C9EAA7F">
      <w:pPr>
        <w:spacing w:line="480" w:lineRule="auto"/>
        <w:ind w:firstLine="431" w:firstLineChars="196"/>
        <w:rPr>
          <w:rFonts w:hint="eastAsia" w:ascii="宋体" w:hAnsi="宋体" w:eastAsia="宋体" w:cs="宋体"/>
          <w:b w:val="0"/>
          <w:bCs w:val="0"/>
          <w:color w:val="auto"/>
          <w:sz w:val="22"/>
          <w:szCs w:val="22"/>
          <w:highlight w:val="none"/>
          <w:lang w:val="en-US" w:eastAsia="zh-CN"/>
        </w:rPr>
      </w:pPr>
    </w:p>
    <w:p w14:paraId="146F857E">
      <w:pPr>
        <w:spacing w:line="360" w:lineRule="auto"/>
        <w:jc w:val="both"/>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（10）本项目专门面向中小企业。（提供中小企业声明函）</w:t>
      </w:r>
    </w:p>
    <w:p w14:paraId="212F73FE">
      <w:pPr>
        <w:keepNext/>
        <w:keepLines/>
        <w:widowControl/>
        <w:ind w:firstLine="1606" w:firstLineChars="500"/>
        <w:rPr>
          <w:rFonts w:hint="eastAsia" w:hAnsi="宋体" w:cs="宋体"/>
          <w:b/>
          <w:bCs/>
          <w:color w:val="auto"/>
          <w:sz w:val="32"/>
          <w:szCs w:val="32"/>
          <w:highlight w:val="none"/>
        </w:rPr>
      </w:pPr>
    </w:p>
    <w:p w14:paraId="26798213">
      <w:pPr>
        <w:keepNext/>
        <w:keepLines/>
        <w:widowControl/>
        <w:ind w:firstLine="1606" w:firstLineChars="500"/>
        <w:rPr>
          <w:rFonts w:hint="eastAsia" w:hAnsi="宋体" w:cs="宋体"/>
          <w:b/>
          <w:bCs/>
          <w:color w:val="auto"/>
          <w:sz w:val="32"/>
          <w:szCs w:val="32"/>
          <w:highlight w:val="none"/>
        </w:rPr>
      </w:pPr>
    </w:p>
    <w:p w14:paraId="2E9EC5ED">
      <w:pPr>
        <w:keepNext/>
        <w:keepLines/>
        <w:widowControl/>
        <w:ind w:firstLine="1606" w:firstLineChars="500"/>
        <w:rPr>
          <w:rFonts w:hint="eastAsia" w:hAnsi="宋体" w:cs="宋体"/>
          <w:b/>
          <w:bCs/>
          <w:color w:val="auto"/>
          <w:sz w:val="32"/>
          <w:szCs w:val="32"/>
          <w:highlight w:val="none"/>
        </w:rPr>
      </w:pPr>
    </w:p>
    <w:p w14:paraId="13BCC626">
      <w:pPr>
        <w:keepNext/>
        <w:keepLines/>
        <w:widowControl/>
        <w:ind w:firstLine="1606" w:firstLineChars="500"/>
        <w:rPr>
          <w:rFonts w:hint="eastAsia" w:hAnsi="宋体" w:cs="宋体"/>
          <w:b/>
          <w:bCs/>
          <w:color w:val="auto"/>
          <w:sz w:val="32"/>
          <w:szCs w:val="32"/>
          <w:highlight w:val="none"/>
        </w:rPr>
      </w:pPr>
    </w:p>
    <w:p w14:paraId="2037E2CA">
      <w:pPr>
        <w:keepNext/>
        <w:keepLines/>
        <w:widowControl/>
        <w:ind w:firstLine="1606" w:firstLineChars="500"/>
        <w:rPr>
          <w:rFonts w:hint="eastAsia" w:hAnsi="宋体" w:cs="宋体"/>
          <w:b/>
          <w:bCs/>
          <w:color w:val="auto"/>
          <w:sz w:val="32"/>
          <w:szCs w:val="32"/>
          <w:highlight w:val="none"/>
        </w:rPr>
      </w:pPr>
    </w:p>
    <w:p w14:paraId="4C7A32D8">
      <w:pPr>
        <w:keepNext/>
        <w:keepLines/>
        <w:widowControl/>
        <w:ind w:firstLine="1606" w:firstLineChars="500"/>
        <w:rPr>
          <w:rFonts w:hint="eastAsia" w:hAnsi="宋体" w:cs="宋体"/>
          <w:b/>
          <w:bCs/>
          <w:color w:val="auto"/>
          <w:sz w:val="32"/>
          <w:szCs w:val="32"/>
          <w:highlight w:val="none"/>
        </w:rPr>
      </w:pPr>
    </w:p>
    <w:p w14:paraId="3758C141">
      <w:pPr>
        <w:keepNext/>
        <w:keepLines/>
        <w:widowControl/>
        <w:ind w:firstLine="1606" w:firstLineChars="500"/>
        <w:rPr>
          <w:rFonts w:hint="eastAsia" w:hAnsi="宋体" w:cs="宋体"/>
          <w:b/>
          <w:bCs/>
          <w:color w:val="auto"/>
          <w:sz w:val="32"/>
          <w:szCs w:val="32"/>
          <w:highlight w:val="none"/>
        </w:rPr>
      </w:pPr>
    </w:p>
    <w:p w14:paraId="2940681F">
      <w:pPr>
        <w:pStyle w:val="6"/>
        <w:rPr>
          <w:rFonts w:hint="eastAsia" w:hAnsi="宋体" w:cs="宋体"/>
          <w:b/>
          <w:bCs/>
          <w:color w:val="auto"/>
          <w:sz w:val="32"/>
          <w:szCs w:val="32"/>
          <w:highlight w:val="none"/>
        </w:rPr>
      </w:pPr>
    </w:p>
    <w:p w14:paraId="1FDB65AA">
      <w:pPr>
        <w:rPr>
          <w:rFonts w:hint="eastAsia" w:hAnsi="宋体" w:cs="宋体"/>
          <w:b/>
          <w:bCs/>
          <w:color w:val="auto"/>
          <w:sz w:val="32"/>
          <w:szCs w:val="32"/>
          <w:highlight w:val="none"/>
        </w:rPr>
      </w:pPr>
    </w:p>
    <w:p w14:paraId="384DA2B8">
      <w:pPr>
        <w:pStyle w:val="6"/>
        <w:rPr>
          <w:rFonts w:hint="eastAsia" w:hAnsi="宋体" w:cs="宋体"/>
          <w:b/>
          <w:bCs/>
          <w:color w:val="auto"/>
          <w:sz w:val="32"/>
          <w:szCs w:val="32"/>
          <w:highlight w:val="none"/>
        </w:rPr>
      </w:pPr>
    </w:p>
    <w:p w14:paraId="480E1E6B">
      <w:pPr>
        <w:rPr>
          <w:rFonts w:hint="eastAsia" w:hAnsi="宋体" w:cs="宋体"/>
          <w:b/>
          <w:bCs/>
          <w:color w:val="auto"/>
          <w:sz w:val="32"/>
          <w:szCs w:val="32"/>
          <w:highlight w:val="none"/>
        </w:rPr>
      </w:pPr>
    </w:p>
    <w:p w14:paraId="44CFF145">
      <w:pPr>
        <w:pStyle w:val="6"/>
        <w:rPr>
          <w:rFonts w:hint="eastAsia" w:hAnsi="宋体" w:cs="宋体"/>
          <w:b/>
          <w:bCs/>
          <w:color w:val="auto"/>
          <w:sz w:val="32"/>
          <w:szCs w:val="32"/>
          <w:highlight w:val="none"/>
        </w:rPr>
      </w:pPr>
    </w:p>
    <w:p w14:paraId="0968F371">
      <w:pPr>
        <w:rPr>
          <w:rFonts w:hint="eastAsia"/>
          <w:color w:val="auto"/>
          <w:highlight w:val="none"/>
        </w:rPr>
      </w:pPr>
    </w:p>
    <w:p w14:paraId="79E46A4D">
      <w:pPr>
        <w:pStyle w:val="6"/>
        <w:rPr>
          <w:rFonts w:hint="eastAsia"/>
          <w:color w:val="auto"/>
          <w:highlight w:val="none"/>
        </w:rPr>
      </w:pPr>
    </w:p>
    <w:p w14:paraId="64F3C9D0">
      <w:pPr>
        <w:rPr>
          <w:rFonts w:hint="eastAsia"/>
          <w:color w:val="auto"/>
          <w:highlight w:val="none"/>
        </w:rPr>
      </w:pPr>
    </w:p>
    <w:p w14:paraId="7AAFE552">
      <w:pPr>
        <w:rPr>
          <w:rFonts w:hint="eastAsia"/>
          <w:color w:val="auto"/>
          <w:highlight w:val="none"/>
        </w:rPr>
      </w:pPr>
    </w:p>
    <w:p w14:paraId="53F12BD2">
      <w:pPr>
        <w:rPr>
          <w:rFonts w:hint="eastAsia"/>
          <w:color w:val="auto"/>
          <w:highlight w:val="none"/>
        </w:rPr>
      </w:pPr>
    </w:p>
    <w:p w14:paraId="29875A11">
      <w:pPr>
        <w:rPr>
          <w:rFonts w:hint="eastAsia"/>
          <w:color w:val="auto"/>
          <w:highlight w:val="none"/>
        </w:rPr>
      </w:pPr>
    </w:p>
    <w:p w14:paraId="3173C14C">
      <w:pPr>
        <w:rPr>
          <w:rFonts w:hint="eastAsia"/>
          <w:color w:val="auto"/>
          <w:highlight w:val="none"/>
        </w:rPr>
      </w:pPr>
    </w:p>
    <w:p w14:paraId="202DF687">
      <w:pPr>
        <w:rPr>
          <w:rFonts w:hint="eastAsia"/>
          <w:color w:val="auto"/>
          <w:highlight w:val="none"/>
        </w:rPr>
      </w:pPr>
    </w:p>
    <w:p w14:paraId="5AB023BC">
      <w:pPr>
        <w:rPr>
          <w:rFonts w:hint="eastAsia"/>
          <w:color w:val="auto"/>
          <w:highlight w:val="none"/>
        </w:rPr>
      </w:pPr>
    </w:p>
    <w:p w14:paraId="6B8B0069">
      <w:pPr>
        <w:rPr>
          <w:rFonts w:hint="eastAsia"/>
          <w:color w:val="auto"/>
          <w:highlight w:val="none"/>
        </w:rPr>
      </w:pPr>
    </w:p>
    <w:p w14:paraId="5C65FBB8">
      <w:pPr>
        <w:rPr>
          <w:rFonts w:hint="eastAsia"/>
          <w:color w:val="auto"/>
          <w:highlight w:val="none"/>
        </w:rPr>
      </w:pPr>
    </w:p>
    <w:p w14:paraId="6469EF19">
      <w:pPr>
        <w:rPr>
          <w:rFonts w:hint="eastAsia"/>
          <w:color w:val="auto"/>
          <w:highlight w:val="none"/>
        </w:rPr>
      </w:pPr>
    </w:p>
    <w:p w14:paraId="36F13DCB">
      <w:pPr>
        <w:rPr>
          <w:rFonts w:hint="eastAsia"/>
          <w:color w:val="auto"/>
          <w:highlight w:val="none"/>
        </w:rPr>
      </w:pPr>
    </w:p>
    <w:p w14:paraId="4002C4EC">
      <w:pPr>
        <w:rPr>
          <w:rFonts w:hint="eastAsia"/>
          <w:color w:val="auto"/>
          <w:highlight w:val="none"/>
        </w:rPr>
      </w:pPr>
    </w:p>
    <w:p w14:paraId="232EF791">
      <w:pPr>
        <w:rPr>
          <w:rFonts w:hint="eastAsia"/>
          <w:color w:val="auto"/>
          <w:highlight w:val="none"/>
        </w:rPr>
      </w:pPr>
    </w:p>
    <w:p w14:paraId="1BB3BC2F">
      <w:pPr>
        <w:rPr>
          <w:rFonts w:hint="eastAsia"/>
          <w:color w:val="auto"/>
          <w:highlight w:val="none"/>
        </w:rPr>
      </w:pPr>
    </w:p>
    <w:p w14:paraId="593565C9">
      <w:pPr>
        <w:adjustRightInd w:val="0"/>
        <w:snapToGrid w:val="0"/>
        <w:spacing w:line="360" w:lineRule="auto"/>
        <w:ind w:firstLine="1124" w:firstLineChars="400"/>
        <w:jc w:val="center"/>
        <w:rPr>
          <w:rFonts w:hint="eastAsia" w:hAnsi="宋体" w:cs="宋体"/>
          <w:b/>
          <w:color w:val="auto"/>
          <w:sz w:val="28"/>
          <w:szCs w:val="28"/>
          <w:highlight w:val="none"/>
          <w:lang w:val="en-US" w:eastAsia="zh-CN"/>
        </w:rPr>
      </w:pPr>
    </w:p>
    <w:p w14:paraId="6E132497">
      <w:pPr>
        <w:numPr>
          <w:ilvl w:val="0"/>
          <w:numId w:val="0"/>
        </w:numPr>
        <w:tabs>
          <w:tab w:val="left" w:pos="1418"/>
        </w:tabs>
        <w:spacing w:line="720" w:lineRule="auto"/>
        <w:jc w:val="center"/>
        <w:rPr>
          <w:rFonts w:hint="eastAsia" w:ascii="宋体" w:hAnsi="宋体" w:eastAsia="宋体" w:cs="宋体"/>
          <w:b/>
          <w:color w:val="auto"/>
          <w:szCs w:val="24"/>
          <w:highlight w:val="none"/>
        </w:rPr>
      </w:pPr>
      <w:r>
        <w:rPr>
          <w:rFonts w:hint="eastAsia" w:ascii="宋体" w:hAnsi="宋体" w:eastAsia="宋体" w:cs="宋体"/>
          <w:b/>
          <w:bCs/>
          <w:color w:val="auto"/>
          <w:sz w:val="32"/>
          <w:szCs w:val="32"/>
          <w:highlight w:val="none"/>
          <w:lang w:val="en-US" w:eastAsia="zh-CN" w:bidi="ar-SA"/>
        </w:rPr>
        <w:t>四、采购内容及要求响应偏离表</w:t>
      </w:r>
    </w:p>
    <w:tbl>
      <w:tblPr>
        <w:tblStyle w:val="24"/>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11"/>
        <w:gridCol w:w="2393"/>
        <w:gridCol w:w="1815"/>
        <w:gridCol w:w="1238"/>
      </w:tblGrid>
      <w:tr w14:paraId="5818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46" w:type="dxa"/>
            <w:noWrap w:val="0"/>
            <w:vAlign w:val="center"/>
          </w:tcPr>
          <w:p w14:paraId="594482D6">
            <w:pPr>
              <w:pStyle w:val="8"/>
              <w:tabs>
                <w:tab w:val="left" w:pos="6880"/>
              </w:tabs>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411" w:type="dxa"/>
            <w:noWrap w:val="0"/>
            <w:vAlign w:val="center"/>
          </w:tcPr>
          <w:p w14:paraId="7E620D0A">
            <w:pPr>
              <w:pStyle w:val="8"/>
              <w:tabs>
                <w:tab w:val="left" w:pos="6880"/>
              </w:tabs>
              <w:spacing w:line="360" w:lineRule="auto"/>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文件要求</w:t>
            </w:r>
          </w:p>
        </w:tc>
        <w:tc>
          <w:tcPr>
            <w:tcW w:w="2393" w:type="dxa"/>
            <w:noWrap w:val="0"/>
            <w:vAlign w:val="center"/>
          </w:tcPr>
          <w:p w14:paraId="2D718212">
            <w:pPr>
              <w:pStyle w:val="8"/>
              <w:tabs>
                <w:tab w:val="left" w:pos="6880"/>
              </w:tabs>
              <w:spacing w:line="360" w:lineRule="auto"/>
              <w:ind w:firstLine="120" w:firstLineChars="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文件的应答</w:t>
            </w:r>
          </w:p>
        </w:tc>
        <w:tc>
          <w:tcPr>
            <w:tcW w:w="1815" w:type="dxa"/>
            <w:noWrap w:val="0"/>
            <w:vAlign w:val="center"/>
          </w:tcPr>
          <w:p w14:paraId="255B7B16">
            <w:pPr>
              <w:pStyle w:val="8"/>
              <w:tabs>
                <w:tab w:val="left" w:pos="6880"/>
              </w:tabs>
              <w:spacing w:line="360" w:lineRule="auto"/>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响应/偏离</w:t>
            </w:r>
          </w:p>
        </w:tc>
        <w:tc>
          <w:tcPr>
            <w:tcW w:w="1238" w:type="dxa"/>
            <w:noWrap w:val="0"/>
            <w:vAlign w:val="center"/>
          </w:tcPr>
          <w:p w14:paraId="1F4D3D5E">
            <w:pPr>
              <w:pStyle w:val="8"/>
              <w:tabs>
                <w:tab w:val="left" w:pos="6880"/>
              </w:tabs>
              <w:spacing w:line="360" w:lineRule="auto"/>
              <w:ind w:firstLine="0" w:firstLineChars="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596F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366E4C06">
            <w:pPr>
              <w:spacing w:line="240" w:lineRule="auto"/>
              <w:jc w:val="center"/>
              <w:rPr>
                <w:rFonts w:hint="eastAsia" w:ascii="宋体" w:hAnsi="宋体" w:eastAsia="宋体" w:cs="宋体"/>
                <w:color w:val="auto"/>
                <w:kern w:val="0"/>
                <w:sz w:val="24"/>
                <w:highlight w:val="none"/>
              </w:rPr>
            </w:pPr>
            <w:r>
              <w:rPr>
                <w:rFonts w:hint="eastAsia" w:ascii="宋体" w:hAnsi="宋体" w:eastAsia="宋体" w:cs="Times New Roman"/>
                <w:b w:val="0"/>
                <w:bCs w:val="0"/>
                <w:snapToGrid w:val="0"/>
                <w:color w:val="auto"/>
                <w:spacing w:val="0"/>
                <w:sz w:val="24"/>
                <w:szCs w:val="24"/>
                <w:highlight w:val="none"/>
                <w:lang w:eastAsia="zh-CN"/>
              </w:rPr>
              <w:t>1</w:t>
            </w:r>
          </w:p>
        </w:tc>
        <w:tc>
          <w:tcPr>
            <w:tcW w:w="2411" w:type="dxa"/>
            <w:noWrap w:val="0"/>
            <w:vAlign w:val="center"/>
          </w:tcPr>
          <w:p w14:paraId="31FDE0EC">
            <w:pPr>
              <w:pStyle w:val="8"/>
              <w:tabs>
                <w:tab w:val="left" w:pos="6880"/>
              </w:tabs>
              <w:spacing w:line="360" w:lineRule="auto"/>
              <w:ind w:firstLine="480"/>
              <w:rPr>
                <w:rFonts w:hint="eastAsia" w:ascii="宋体" w:hAnsi="宋体" w:eastAsia="宋体" w:cs="宋体"/>
                <w:color w:val="auto"/>
                <w:kern w:val="0"/>
                <w:sz w:val="24"/>
                <w:highlight w:val="none"/>
              </w:rPr>
            </w:pPr>
          </w:p>
        </w:tc>
        <w:tc>
          <w:tcPr>
            <w:tcW w:w="2393" w:type="dxa"/>
            <w:noWrap w:val="0"/>
            <w:vAlign w:val="center"/>
          </w:tcPr>
          <w:p w14:paraId="67184EBC">
            <w:pPr>
              <w:pStyle w:val="8"/>
              <w:tabs>
                <w:tab w:val="left" w:pos="6880"/>
              </w:tabs>
              <w:spacing w:line="360" w:lineRule="auto"/>
              <w:ind w:firstLine="480"/>
              <w:rPr>
                <w:rFonts w:hint="eastAsia" w:ascii="宋体" w:hAnsi="宋体" w:eastAsia="宋体" w:cs="宋体"/>
                <w:color w:val="auto"/>
                <w:kern w:val="0"/>
                <w:sz w:val="24"/>
                <w:highlight w:val="none"/>
              </w:rPr>
            </w:pPr>
          </w:p>
        </w:tc>
        <w:tc>
          <w:tcPr>
            <w:tcW w:w="1815" w:type="dxa"/>
            <w:noWrap w:val="0"/>
            <w:vAlign w:val="center"/>
          </w:tcPr>
          <w:p w14:paraId="10F537CD">
            <w:pPr>
              <w:pStyle w:val="8"/>
              <w:tabs>
                <w:tab w:val="left" w:pos="6880"/>
              </w:tabs>
              <w:spacing w:line="360" w:lineRule="auto"/>
              <w:ind w:firstLine="480"/>
              <w:rPr>
                <w:rFonts w:hint="eastAsia" w:ascii="宋体" w:hAnsi="宋体" w:eastAsia="宋体" w:cs="宋体"/>
                <w:color w:val="auto"/>
                <w:kern w:val="0"/>
                <w:sz w:val="24"/>
                <w:highlight w:val="none"/>
              </w:rPr>
            </w:pPr>
          </w:p>
        </w:tc>
        <w:tc>
          <w:tcPr>
            <w:tcW w:w="1238" w:type="dxa"/>
            <w:noWrap w:val="0"/>
            <w:vAlign w:val="center"/>
          </w:tcPr>
          <w:p w14:paraId="3122C9E6">
            <w:pPr>
              <w:pStyle w:val="8"/>
              <w:tabs>
                <w:tab w:val="left" w:pos="6880"/>
              </w:tabs>
              <w:spacing w:line="360" w:lineRule="auto"/>
              <w:ind w:firstLine="480"/>
              <w:rPr>
                <w:rFonts w:hint="eastAsia" w:ascii="宋体" w:hAnsi="宋体" w:eastAsia="宋体" w:cs="宋体"/>
                <w:color w:val="auto"/>
                <w:kern w:val="0"/>
                <w:sz w:val="24"/>
                <w:highlight w:val="none"/>
              </w:rPr>
            </w:pPr>
          </w:p>
        </w:tc>
      </w:tr>
      <w:tr w14:paraId="7192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74C13CD1">
            <w:pPr>
              <w:spacing w:line="240" w:lineRule="auto"/>
              <w:jc w:val="center"/>
              <w:rPr>
                <w:rFonts w:hint="eastAsia" w:ascii="宋体" w:hAnsi="宋体" w:eastAsia="宋体" w:cs="宋体"/>
                <w:color w:val="auto"/>
                <w:kern w:val="0"/>
                <w:sz w:val="24"/>
                <w:highlight w:val="none"/>
              </w:rPr>
            </w:pPr>
            <w:r>
              <w:rPr>
                <w:rFonts w:hint="eastAsia" w:ascii="宋体" w:hAnsi="宋体" w:eastAsia="宋体" w:cs="Times New Roman"/>
                <w:b w:val="0"/>
                <w:bCs w:val="0"/>
                <w:snapToGrid w:val="0"/>
                <w:color w:val="auto"/>
                <w:spacing w:val="0"/>
                <w:sz w:val="24"/>
                <w:szCs w:val="24"/>
                <w:highlight w:val="none"/>
                <w:lang w:eastAsia="zh-CN"/>
              </w:rPr>
              <w:t>2</w:t>
            </w:r>
          </w:p>
        </w:tc>
        <w:tc>
          <w:tcPr>
            <w:tcW w:w="2411" w:type="dxa"/>
            <w:noWrap w:val="0"/>
            <w:vAlign w:val="center"/>
          </w:tcPr>
          <w:p w14:paraId="7CB3576A">
            <w:pPr>
              <w:pStyle w:val="8"/>
              <w:tabs>
                <w:tab w:val="left" w:pos="6880"/>
              </w:tabs>
              <w:spacing w:line="360" w:lineRule="auto"/>
              <w:ind w:firstLine="480"/>
              <w:rPr>
                <w:rFonts w:hint="eastAsia" w:ascii="宋体" w:hAnsi="宋体" w:eastAsia="宋体" w:cs="宋体"/>
                <w:color w:val="auto"/>
                <w:kern w:val="0"/>
                <w:sz w:val="24"/>
                <w:highlight w:val="none"/>
              </w:rPr>
            </w:pPr>
          </w:p>
        </w:tc>
        <w:tc>
          <w:tcPr>
            <w:tcW w:w="2393" w:type="dxa"/>
            <w:noWrap w:val="0"/>
            <w:vAlign w:val="center"/>
          </w:tcPr>
          <w:p w14:paraId="7B5584F3">
            <w:pPr>
              <w:pStyle w:val="8"/>
              <w:tabs>
                <w:tab w:val="left" w:pos="6880"/>
              </w:tabs>
              <w:spacing w:line="360" w:lineRule="auto"/>
              <w:ind w:firstLine="480"/>
              <w:rPr>
                <w:rFonts w:hint="eastAsia" w:ascii="宋体" w:hAnsi="宋体" w:eastAsia="宋体" w:cs="宋体"/>
                <w:color w:val="auto"/>
                <w:kern w:val="0"/>
                <w:sz w:val="24"/>
                <w:highlight w:val="none"/>
              </w:rPr>
            </w:pPr>
          </w:p>
        </w:tc>
        <w:tc>
          <w:tcPr>
            <w:tcW w:w="1815" w:type="dxa"/>
            <w:noWrap w:val="0"/>
            <w:vAlign w:val="center"/>
          </w:tcPr>
          <w:p w14:paraId="43BF96D8">
            <w:pPr>
              <w:pStyle w:val="8"/>
              <w:tabs>
                <w:tab w:val="left" w:pos="6880"/>
              </w:tabs>
              <w:spacing w:line="360" w:lineRule="auto"/>
              <w:ind w:firstLine="480"/>
              <w:rPr>
                <w:rFonts w:hint="eastAsia" w:ascii="宋体" w:hAnsi="宋体" w:eastAsia="宋体" w:cs="宋体"/>
                <w:color w:val="auto"/>
                <w:kern w:val="0"/>
                <w:sz w:val="24"/>
                <w:highlight w:val="none"/>
              </w:rPr>
            </w:pPr>
          </w:p>
        </w:tc>
        <w:tc>
          <w:tcPr>
            <w:tcW w:w="1238" w:type="dxa"/>
            <w:noWrap w:val="0"/>
            <w:vAlign w:val="center"/>
          </w:tcPr>
          <w:p w14:paraId="0A887DBE">
            <w:pPr>
              <w:pStyle w:val="8"/>
              <w:tabs>
                <w:tab w:val="left" w:pos="6880"/>
              </w:tabs>
              <w:spacing w:line="360" w:lineRule="auto"/>
              <w:ind w:firstLine="480"/>
              <w:rPr>
                <w:rFonts w:hint="eastAsia" w:ascii="宋体" w:hAnsi="宋体" w:eastAsia="宋体" w:cs="宋体"/>
                <w:color w:val="auto"/>
                <w:kern w:val="0"/>
                <w:sz w:val="24"/>
                <w:highlight w:val="none"/>
              </w:rPr>
            </w:pPr>
          </w:p>
        </w:tc>
      </w:tr>
      <w:tr w14:paraId="1B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5F00CDF6">
            <w:pPr>
              <w:spacing w:line="240" w:lineRule="auto"/>
              <w:jc w:val="center"/>
              <w:rPr>
                <w:rFonts w:hint="eastAsia" w:ascii="宋体" w:hAnsi="宋体" w:eastAsia="宋体" w:cs="宋体"/>
                <w:color w:val="auto"/>
                <w:kern w:val="0"/>
                <w:sz w:val="24"/>
                <w:highlight w:val="none"/>
              </w:rPr>
            </w:pPr>
            <w:r>
              <w:rPr>
                <w:rFonts w:hint="eastAsia" w:ascii="宋体" w:hAnsi="宋体" w:eastAsia="宋体" w:cs="Times New Roman"/>
                <w:b w:val="0"/>
                <w:bCs w:val="0"/>
                <w:snapToGrid w:val="0"/>
                <w:color w:val="auto"/>
                <w:spacing w:val="0"/>
                <w:sz w:val="24"/>
                <w:szCs w:val="24"/>
                <w:highlight w:val="none"/>
                <w:lang w:eastAsia="zh-CN"/>
              </w:rPr>
              <w:t>3</w:t>
            </w:r>
          </w:p>
        </w:tc>
        <w:tc>
          <w:tcPr>
            <w:tcW w:w="2411" w:type="dxa"/>
            <w:noWrap w:val="0"/>
            <w:vAlign w:val="center"/>
          </w:tcPr>
          <w:p w14:paraId="02478C25">
            <w:pPr>
              <w:pStyle w:val="8"/>
              <w:tabs>
                <w:tab w:val="left" w:pos="6880"/>
              </w:tabs>
              <w:spacing w:line="360" w:lineRule="auto"/>
              <w:ind w:firstLine="480"/>
              <w:rPr>
                <w:rFonts w:hint="eastAsia" w:ascii="宋体" w:hAnsi="宋体" w:eastAsia="宋体" w:cs="宋体"/>
                <w:color w:val="auto"/>
                <w:kern w:val="0"/>
                <w:sz w:val="24"/>
                <w:highlight w:val="none"/>
              </w:rPr>
            </w:pPr>
          </w:p>
        </w:tc>
        <w:tc>
          <w:tcPr>
            <w:tcW w:w="2393" w:type="dxa"/>
            <w:noWrap w:val="0"/>
            <w:vAlign w:val="center"/>
          </w:tcPr>
          <w:p w14:paraId="01579338">
            <w:pPr>
              <w:pStyle w:val="8"/>
              <w:tabs>
                <w:tab w:val="left" w:pos="6880"/>
              </w:tabs>
              <w:spacing w:line="360" w:lineRule="auto"/>
              <w:ind w:firstLine="480"/>
              <w:rPr>
                <w:rFonts w:hint="eastAsia" w:ascii="宋体" w:hAnsi="宋体" w:eastAsia="宋体" w:cs="宋体"/>
                <w:color w:val="auto"/>
                <w:kern w:val="0"/>
                <w:sz w:val="24"/>
                <w:highlight w:val="none"/>
              </w:rPr>
            </w:pPr>
          </w:p>
        </w:tc>
        <w:tc>
          <w:tcPr>
            <w:tcW w:w="1815" w:type="dxa"/>
            <w:noWrap w:val="0"/>
            <w:vAlign w:val="center"/>
          </w:tcPr>
          <w:p w14:paraId="34746879">
            <w:pPr>
              <w:pStyle w:val="8"/>
              <w:tabs>
                <w:tab w:val="left" w:pos="6880"/>
              </w:tabs>
              <w:spacing w:line="360" w:lineRule="auto"/>
              <w:ind w:firstLine="480"/>
              <w:rPr>
                <w:rFonts w:hint="eastAsia" w:ascii="宋体" w:hAnsi="宋体" w:eastAsia="宋体" w:cs="宋体"/>
                <w:color w:val="auto"/>
                <w:kern w:val="0"/>
                <w:sz w:val="24"/>
                <w:highlight w:val="none"/>
              </w:rPr>
            </w:pPr>
          </w:p>
        </w:tc>
        <w:tc>
          <w:tcPr>
            <w:tcW w:w="1238" w:type="dxa"/>
            <w:noWrap w:val="0"/>
            <w:vAlign w:val="center"/>
          </w:tcPr>
          <w:p w14:paraId="45DEB3D1">
            <w:pPr>
              <w:pStyle w:val="8"/>
              <w:tabs>
                <w:tab w:val="left" w:pos="6880"/>
              </w:tabs>
              <w:spacing w:line="360" w:lineRule="auto"/>
              <w:ind w:firstLine="480"/>
              <w:rPr>
                <w:rFonts w:hint="eastAsia" w:ascii="宋体" w:hAnsi="宋体" w:eastAsia="宋体" w:cs="宋体"/>
                <w:color w:val="auto"/>
                <w:kern w:val="0"/>
                <w:sz w:val="24"/>
                <w:highlight w:val="none"/>
              </w:rPr>
            </w:pPr>
          </w:p>
        </w:tc>
      </w:tr>
      <w:tr w14:paraId="397A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2D03C85C">
            <w:pPr>
              <w:spacing w:line="240" w:lineRule="auto"/>
              <w:jc w:val="center"/>
              <w:rPr>
                <w:rFonts w:hint="eastAsia" w:ascii="宋体" w:hAnsi="宋体" w:eastAsia="宋体" w:cs="宋体"/>
                <w:color w:val="auto"/>
                <w:kern w:val="0"/>
                <w:sz w:val="24"/>
                <w:highlight w:val="none"/>
              </w:rPr>
            </w:pPr>
            <w:r>
              <w:rPr>
                <w:rFonts w:hint="eastAsia" w:ascii="宋体" w:hAnsi="宋体" w:eastAsia="宋体" w:cs="Times New Roman"/>
                <w:b w:val="0"/>
                <w:bCs w:val="0"/>
                <w:snapToGrid w:val="0"/>
                <w:color w:val="auto"/>
                <w:spacing w:val="0"/>
                <w:sz w:val="24"/>
                <w:szCs w:val="24"/>
                <w:highlight w:val="none"/>
                <w:lang w:eastAsia="zh-CN"/>
              </w:rPr>
              <w:t>4</w:t>
            </w:r>
          </w:p>
        </w:tc>
        <w:tc>
          <w:tcPr>
            <w:tcW w:w="2411" w:type="dxa"/>
            <w:noWrap w:val="0"/>
            <w:vAlign w:val="center"/>
          </w:tcPr>
          <w:p w14:paraId="3B9FB22A">
            <w:pPr>
              <w:pStyle w:val="8"/>
              <w:tabs>
                <w:tab w:val="left" w:pos="6880"/>
              </w:tabs>
              <w:spacing w:line="360" w:lineRule="auto"/>
              <w:ind w:firstLine="480"/>
              <w:rPr>
                <w:rFonts w:hint="eastAsia" w:ascii="宋体" w:hAnsi="宋体" w:eastAsia="宋体" w:cs="宋体"/>
                <w:color w:val="auto"/>
                <w:kern w:val="0"/>
                <w:sz w:val="24"/>
                <w:highlight w:val="none"/>
              </w:rPr>
            </w:pPr>
          </w:p>
        </w:tc>
        <w:tc>
          <w:tcPr>
            <w:tcW w:w="2393" w:type="dxa"/>
            <w:noWrap w:val="0"/>
            <w:vAlign w:val="center"/>
          </w:tcPr>
          <w:p w14:paraId="0812527F">
            <w:pPr>
              <w:pStyle w:val="8"/>
              <w:tabs>
                <w:tab w:val="left" w:pos="6880"/>
              </w:tabs>
              <w:spacing w:line="360" w:lineRule="auto"/>
              <w:ind w:firstLine="480"/>
              <w:rPr>
                <w:rFonts w:hint="eastAsia" w:ascii="宋体" w:hAnsi="宋体" w:eastAsia="宋体" w:cs="宋体"/>
                <w:color w:val="auto"/>
                <w:kern w:val="0"/>
                <w:sz w:val="24"/>
                <w:highlight w:val="none"/>
              </w:rPr>
            </w:pPr>
          </w:p>
        </w:tc>
        <w:tc>
          <w:tcPr>
            <w:tcW w:w="1815" w:type="dxa"/>
            <w:noWrap w:val="0"/>
            <w:vAlign w:val="center"/>
          </w:tcPr>
          <w:p w14:paraId="3573FC2D">
            <w:pPr>
              <w:pStyle w:val="8"/>
              <w:tabs>
                <w:tab w:val="left" w:pos="6880"/>
              </w:tabs>
              <w:spacing w:line="360" w:lineRule="auto"/>
              <w:ind w:firstLine="480"/>
              <w:rPr>
                <w:rFonts w:hint="eastAsia" w:ascii="宋体" w:hAnsi="宋体" w:eastAsia="宋体" w:cs="宋体"/>
                <w:color w:val="auto"/>
                <w:kern w:val="0"/>
                <w:sz w:val="24"/>
                <w:highlight w:val="none"/>
              </w:rPr>
            </w:pPr>
          </w:p>
        </w:tc>
        <w:tc>
          <w:tcPr>
            <w:tcW w:w="1238" w:type="dxa"/>
            <w:noWrap w:val="0"/>
            <w:vAlign w:val="center"/>
          </w:tcPr>
          <w:p w14:paraId="59948335">
            <w:pPr>
              <w:pStyle w:val="8"/>
              <w:tabs>
                <w:tab w:val="left" w:pos="6880"/>
              </w:tabs>
              <w:spacing w:line="360" w:lineRule="auto"/>
              <w:ind w:firstLine="480"/>
              <w:rPr>
                <w:rFonts w:hint="eastAsia" w:ascii="宋体" w:hAnsi="宋体" w:eastAsia="宋体" w:cs="宋体"/>
                <w:color w:val="auto"/>
                <w:kern w:val="0"/>
                <w:sz w:val="24"/>
                <w:highlight w:val="none"/>
              </w:rPr>
            </w:pPr>
          </w:p>
        </w:tc>
      </w:tr>
      <w:tr w14:paraId="2117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62E73933">
            <w:pPr>
              <w:spacing w:line="240" w:lineRule="auto"/>
              <w:jc w:val="center"/>
              <w:rPr>
                <w:rFonts w:hint="eastAsia" w:ascii="宋体" w:hAnsi="宋体" w:eastAsia="宋体" w:cs="宋体"/>
                <w:color w:val="auto"/>
                <w:kern w:val="0"/>
                <w:sz w:val="24"/>
                <w:highlight w:val="none"/>
              </w:rPr>
            </w:pPr>
            <w:r>
              <w:rPr>
                <w:rFonts w:hint="eastAsia" w:ascii="宋体" w:hAnsi="宋体" w:eastAsia="宋体" w:cs="Times New Roman"/>
                <w:b w:val="0"/>
                <w:bCs w:val="0"/>
                <w:snapToGrid w:val="0"/>
                <w:color w:val="auto"/>
                <w:spacing w:val="0"/>
                <w:sz w:val="24"/>
                <w:szCs w:val="24"/>
                <w:highlight w:val="none"/>
                <w:lang w:eastAsia="zh-CN"/>
              </w:rPr>
              <w:t>5</w:t>
            </w:r>
          </w:p>
        </w:tc>
        <w:tc>
          <w:tcPr>
            <w:tcW w:w="2411" w:type="dxa"/>
            <w:noWrap w:val="0"/>
            <w:vAlign w:val="center"/>
          </w:tcPr>
          <w:p w14:paraId="77CDA3AD">
            <w:pPr>
              <w:pStyle w:val="8"/>
              <w:tabs>
                <w:tab w:val="left" w:pos="6880"/>
              </w:tabs>
              <w:spacing w:line="360" w:lineRule="auto"/>
              <w:ind w:firstLine="480"/>
              <w:rPr>
                <w:rFonts w:hint="eastAsia" w:ascii="宋体" w:hAnsi="宋体" w:eastAsia="宋体" w:cs="宋体"/>
                <w:color w:val="auto"/>
                <w:kern w:val="0"/>
                <w:sz w:val="24"/>
                <w:highlight w:val="none"/>
              </w:rPr>
            </w:pPr>
          </w:p>
        </w:tc>
        <w:tc>
          <w:tcPr>
            <w:tcW w:w="2393" w:type="dxa"/>
            <w:noWrap w:val="0"/>
            <w:vAlign w:val="center"/>
          </w:tcPr>
          <w:p w14:paraId="020592A2">
            <w:pPr>
              <w:pStyle w:val="8"/>
              <w:tabs>
                <w:tab w:val="left" w:pos="6880"/>
              </w:tabs>
              <w:spacing w:line="360" w:lineRule="auto"/>
              <w:ind w:firstLine="480"/>
              <w:rPr>
                <w:rFonts w:hint="eastAsia" w:ascii="宋体" w:hAnsi="宋体" w:eastAsia="宋体" w:cs="宋体"/>
                <w:color w:val="auto"/>
                <w:kern w:val="0"/>
                <w:sz w:val="24"/>
                <w:highlight w:val="none"/>
              </w:rPr>
            </w:pPr>
          </w:p>
        </w:tc>
        <w:tc>
          <w:tcPr>
            <w:tcW w:w="1815" w:type="dxa"/>
            <w:noWrap w:val="0"/>
            <w:vAlign w:val="center"/>
          </w:tcPr>
          <w:p w14:paraId="0EB5941C">
            <w:pPr>
              <w:pStyle w:val="8"/>
              <w:tabs>
                <w:tab w:val="left" w:pos="6880"/>
              </w:tabs>
              <w:spacing w:line="360" w:lineRule="auto"/>
              <w:ind w:firstLine="480"/>
              <w:rPr>
                <w:rFonts w:hint="eastAsia" w:ascii="宋体" w:hAnsi="宋体" w:eastAsia="宋体" w:cs="宋体"/>
                <w:color w:val="auto"/>
                <w:kern w:val="0"/>
                <w:sz w:val="24"/>
                <w:highlight w:val="none"/>
              </w:rPr>
            </w:pPr>
          </w:p>
        </w:tc>
        <w:tc>
          <w:tcPr>
            <w:tcW w:w="1238" w:type="dxa"/>
            <w:noWrap w:val="0"/>
            <w:vAlign w:val="center"/>
          </w:tcPr>
          <w:p w14:paraId="79034ADA">
            <w:pPr>
              <w:pStyle w:val="8"/>
              <w:tabs>
                <w:tab w:val="left" w:pos="6880"/>
              </w:tabs>
              <w:spacing w:line="360" w:lineRule="auto"/>
              <w:ind w:firstLine="480"/>
              <w:rPr>
                <w:rFonts w:hint="eastAsia" w:ascii="宋体" w:hAnsi="宋体" w:eastAsia="宋体" w:cs="宋体"/>
                <w:color w:val="auto"/>
                <w:kern w:val="0"/>
                <w:sz w:val="24"/>
                <w:highlight w:val="none"/>
              </w:rPr>
            </w:pPr>
          </w:p>
        </w:tc>
      </w:tr>
      <w:tr w14:paraId="04E3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628264B0">
            <w:pPr>
              <w:spacing w:line="240" w:lineRule="auto"/>
              <w:jc w:val="center"/>
              <w:rPr>
                <w:rFonts w:hint="eastAsia" w:ascii="宋体" w:hAnsi="宋体" w:eastAsia="宋体" w:cs="宋体"/>
                <w:color w:val="auto"/>
                <w:kern w:val="0"/>
                <w:sz w:val="24"/>
                <w:highlight w:val="none"/>
              </w:rPr>
            </w:pPr>
            <w:r>
              <w:rPr>
                <w:rFonts w:hint="eastAsia" w:ascii="宋体" w:hAnsi="宋体" w:eastAsia="宋体" w:cs="Times New Roman"/>
                <w:b w:val="0"/>
                <w:bCs w:val="0"/>
                <w:snapToGrid w:val="0"/>
                <w:color w:val="auto"/>
                <w:spacing w:val="0"/>
                <w:sz w:val="24"/>
                <w:szCs w:val="24"/>
                <w:highlight w:val="none"/>
                <w:lang w:eastAsia="zh-CN"/>
              </w:rPr>
              <w:t>6</w:t>
            </w:r>
          </w:p>
        </w:tc>
        <w:tc>
          <w:tcPr>
            <w:tcW w:w="2411" w:type="dxa"/>
            <w:noWrap w:val="0"/>
            <w:vAlign w:val="center"/>
          </w:tcPr>
          <w:p w14:paraId="512296D7">
            <w:pPr>
              <w:pStyle w:val="8"/>
              <w:tabs>
                <w:tab w:val="left" w:pos="6880"/>
              </w:tabs>
              <w:spacing w:line="360" w:lineRule="auto"/>
              <w:ind w:firstLine="480"/>
              <w:rPr>
                <w:rFonts w:hint="eastAsia" w:ascii="宋体" w:hAnsi="宋体" w:eastAsia="宋体" w:cs="宋体"/>
                <w:color w:val="auto"/>
                <w:kern w:val="0"/>
                <w:sz w:val="24"/>
                <w:highlight w:val="none"/>
              </w:rPr>
            </w:pPr>
          </w:p>
        </w:tc>
        <w:tc>
          <w:tcPr>
            <w:tcW w:w="2393" w:type="dxa"/>
            <w:noWrap w:val="0"/>
            <w:vAlign w:val="center"/>
          </w:tcPr>
          <w:p w14:paraId="7808C4BF">
            <w:pPr>
              <w:pStyle w:val="8"/>
              <w:tabs>
                <w:tab w:val="left" w:pos="6880"/>
              </w:tabs>
              <w:spacing w:line="360" w:lineRule="auto"/>
              <w:ind w:firstLine="480"/>
              <w:rPr>
                <w:rFonts w:hint="eastAsia" w:ascii="宋体" w:hAnsi="宋体" w:eastAsia="宋体" w:cs="宋体"/>
                <w:color w:val="auto"/>
                <w:kern w:val="0"/>
                <w:sz w:val="24"/>
                <w:highlight w:val="none"/>
              </w:rPr>
            </w:pPr>
          </w:p>
        </w:tc>
        <w:tc>
          <w:tcPr>
            <w:tcW w:w="1815" w:type="dxa"/>
            <w:noWrap w:val="0"/>
            <w:vAlign w:val="center"/>
          </w:tcPr>
          <w:p w14:paraId="38F2598A">
            <w:pPr>
              <w:pStyle w:val="8"/>
              <w:tabs>
                <w:tab w:val="left" w:pos="6880"/>
              </w:tabs>
              <w:spacing w:line="360" w:lineRule="auto"/>
              <w:ind w:firstLine="480"/>
              <w:rPr>
                <w:rFonts w:hint="eastAsia" w:ascii="宋体" w:hAnsi="宋体" w:eastAsia="宋体" w:cs="宋体"/>
                <w:color w:val="auto"/>
                <w:kern w:val="0"/>
                <w:sz w:val="24"/>
                <w:highlight w:val="none"/>
              </w:rPr>
            </w:pPr>
          </w:p>
        </w:tc>
        <w:tc>
          <w:tcPr>
            <w:tcW w:w="1238" w:type="dxa"/>
            <w:noWrap w:val="0"/>
            <w:vAlign w:val="center"/>
          </w:tcPr>
          <w:p w14:paraId="22D4DED6">
            <w:pPr>
              <w:pStyle w:val="8"/>
              <w:tabs>
                <w:tab w:val="left" w:pos="6880"/>
              </w:tabs>
              <w:spacing w:line="360" w:lineRule="auto"/>
              <w:ind w:firstLine="480"/>
              <w:rPr>
                <w:rFonts w:hint="eastAsia" w:ascii="宋体" w:hAnsi="宋体" w:eastAsia="宋体" w:cs="宋体"/>
                <w:color w:val="auto"/>
                <w:kern w:val="0"/>
                <w:sz w:val="24"/>
                <w:highlight w:val="none"/>
              </w:rPr>
            </w:pPr>
          </w:p>
        </w:tc>
      </w:tr>
      <w:tr w14:paraId="00CA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noWrap w:val="0"/>
            <w:vAlign w:val="center"/>
          </w:tcPr>
          <w:p w14:paraId="5345DB32">
            <w:pPr>
              <w:spacing w:line="240" w:lineRule="auto"/>
              <w:jc w:val="center"/>
              <w:rPr>
                <w:rFonts w:hint="eastAsia" w:ascii="宋体" w:hAnsi="宋体" w:eastAsia="宋体" w:cs="宋体"/>
                <w:color w:val="auto"/>
                <w:kern w:val="0"/>
                <w:sz w:val="24"/>
                <w:highlight w:val="none"/>
              </w:rPr>
            </w:pPr>
            <w:r>
              <w:rPr>
                <w:rFonts w:hint="eastAsia" w:ascii="宋体" w:hAnsi="宋体" w:eastAsia="宋体" w:cs="Times New Roman"/>
                <w:b w:val="0"/>
                <w:bCs w:val="0"/>
                <w:snapToGrid w:val="0"/>
                <w:color w:val="auto"/>
                <w:spacing w:val="0"/>
                <w:sz w:val="24"/>
                <w:szCs w:val="24"/>
                <w:highlight w:val="none"/>
                <w:lang w:eastAsia="zh-CN"/>
              </w:rPr>
              <w:t>……</w:t>
            </w:r>
          </w:p>
        </w:tc>
        <w:tc>
          <w:tcPr>
            <w:tcW w:w="2411" w:type="dxa"/>
            <w:noWrap w:val="0"/>
            <w:vAlign w:val="center"/>
          </w:tcPr>
          <w:p w14:paraId="01979238">
            <w:pPr>
              <w:pStyle w:val="8"/>
              <w:tabs>
                <w:tab w:val="left" w:pos="6880"/>
              </w:tabs>
              <w:spacing w:line="360" w:lineRule="auto"/>
              <w:ind w:firstLine="480"/>
              <w:rPr>
                <w:rFonts w:hint="eastAsia" w:ascii="宋体" w:hAnsi="宋体" w:eastAsia="宋体" w:cs="宋体"/>
                <w:color w:val="auto"/>
                <w:kern w:val="0"/>
                <w:sz w:val="24"/>
                <w:highlight w:val="none"/>
              </w:rPr>
            </w:pPr>
          </w:p>
        </w:tc>
        <w:tc>
          <w:tcPr>
            <w:tcW w:w="2393" w:type="dxa"/>
            <w:noWrap w:val="0"/>
            <w:vAlign w:val="center"/>
          </w:tcPr>
          <w:p w14:paraId="0AF9697F">
            <w:pPr>
              <w:pStyle w:val="8"/>
              <w:tabs>
                <w:tab w:val="left" w:pos="6880"/>
              </w:tabs>
              <w:spacing w:line="360" w:lineRule="auto"/>
              <w:ind w:firstLine="480"/>
              <w:rPr>
                <w:rFonts w:hint="eastAsia" w:ascii="宋体" w:hAnsi="宋体" w:eastAsia="宋体" w:cs="宋体"/>
                <w:color w:val="auto"/>
                <w:kern w:val="0"/>
                <w:sz w:val="24"/>
                <w:highlight w:val="none"/>
              </w:rPr>
            </w:pPr>
          </w:p>
        </w:tc>
        <w:tc>
          <w:tcPr>
            <w:tcW w:w="1815" w:type="dxa"/>
            <w:noWrap w:val="0"/>
            <w:vAlign w:val="center"/>
          </w:tcPr>
          <w:p w14:paraId="1CA854E9">
            <w:pPr>
              <w:pStyle w:val="8"/>
              <w:tabs>
                <w:tab w:val="left" w:pos="6880"/>
              </w:tabs>
              <w:spacing w:line="360" w:lineRule="auto"/>
              <w:ind w:firstLine="480"/>
              <w:rPr>
                <w:rFonts w:hint="eastAsia" w:ascii="宋体" w:hAnsi="宋体" w:eastAsia="宋体" w:cs="宋体"/>
                <w:color w:val="auto"/>
                <w:kern w:val="0"/>
                <w:sz w:val="24"/>
                <w:highlight w:val="none"/>
              </w:rPr>
            </w:pPr>
          </w:p>
        </w:tc>
        <w:tc>
          <w:tcPr>
            <w:tcW w:w="1238" w:type="dxa"/>
            <w:noWrap w:val="0"/>
            <w:vAlign w:val="center"/>
          </w:tcPr>
          <w:p w14:paraId="79BC56B8">
            <w:pPr>
              <w:pStyle w:val="8"/>
              <w:tabs>
                <w:tab w:val="left" w:pos="6880"/>
              </w:tabs>
              <w:spacing w:line="360" w:lineRule="auto"/>
              <w:ind w:firstLine="480"/>
              <w:rPr>
                <w:rFonts w:hint="eastAsia" w:ascii="宋体" w:hAnsi="宋体" w:eastAsia="宋体" w:cs="宋体"/>
                <w:color w:val="auto"/>
                <w:kern w:val="0"/>
                <w:sz w:val="24"/>
                <w:highlight w:val="none"/>
              </w:rPr>
            </w:pPr>
          </w:p>
        </w:tc>
      </w:tr>
    </w:tbl>
    <w:p w14:paraId="242C92F3">
      <w:pPr>
        <w:spacing w:after="120"/>
        <w:ind w:firstLine="105"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1934D093">
      <w:pPr>
        <w:spacing w:line="360" w:lineRule="auto"/>
        <w:rPr>
          <w:rFonts w:hint="eastAsia" w:ascii="宋体" w:eastAsia="宋体"/>
          <w:b w:val="0"/>
          <w:bCs w:val="0"/>
          <w:color w:val="auto"/>
          <w:sz w:val="24"/>
          <w:szCs w:val="24"/>
          <w:highlight w:val="none"/>
          <w:lang w:eastAsia="zh-CN"/>
        </w:rPr>
      </w:pPr>
      <w:r>
        <w:rPr>
          <w:rFonts w:hint="eastAsia"/>
          <w:b w:val="0"/>
          <w:bCs w:val="0"/>
          <w:color w:val="auto"/>
          <w:sz w:val="24"/>
          <w:szCs w:val="24"/>
          <w:highlight w:val="none"/>
        </w:rPr>
        <w:t>说明：请按对应</w:t>
      </w:r>
      <w:r>
        <w:rPr>
          <w:rFonts w:hint="eastAsia"/>
          <w:b w:val="0"/>
          <w:bCs w:val="0"/>
          <w:color w:val="auto"/>
          <w:sz w:val="24"/>
          <w:szCs w:val="24"/>
          <w:highlight w:val="none"/>
          <w:lang w:eastAsia="zh-CN"/>
        </w:rPr>
        <w:t>招标</w:t>
      </w:r>
      <w:r>
        <w:rPr>
          <w:rFonts w:hint="eastAsia"/>
          <w:b w:val="0"/>
          <w:bCs w:val="0"/>
          <w:color w:val="auto"/>
          <w:sz w:val="24"/>
          <w:szCs w:val="24"/>
          <w:highlight w:val="none"/>
        </w:rPr>
        <w:t>文件的“</w:t>
      </w:r>
      <w:r>
        <w:rPr>
          <w:rFonts w:hint="eastAsia"/>
          <w:b w:val="0"/>
          <w:bCs w:val="0"/>
          <w:color w:val="auto"/>
          <w:sz w:val="24"/>
          <w:szCs w:val="24"/>
          <w:highlight w:val="none"/>
          <w:lang w:val="en-US" w:eastAsia="zh-CN"/>
        </w:rPr>
        <w:t>第三部分</w:t>
      </w:r>
      <w:r>
        <w:rPr>
          <w:rFonts w:hint="eastAsia"/>
          <w:b w:val="0"/>
          <w:bCs w:val="0"/>
          <w:color w:val="auto"/>
          <w:sz w:val="24"/>
          <w:szCs w:val="24"/>
          <w:highlight w:val="none"/>
        </w:rPr>
        <w:t>”中的</w:t>
      </w:r>
      <w:r>
        <w:rPr>
          <w:rFonts w:hint="eastAsia"/>
          <w:b w:val="0"/>
          <w:bCs w:val="0"/>
          <w:color w:val="auto"/>
          <w:sz w:val="24"/>
          <w:szCs w:val="24"/>
          <w:highlight w:val="none"/>
          <w:lang w:val="en-US" w:eastAsia="zh-CN"/>
        </w:rPr>
        <w:t>采购内容及</w:t>
      </w:r>
      <w:r>
        <w:rPr>
          <w:rFonts w:hint="eastAsia"/>
          <w:b w:val="0"/>
          <w:bCs w:val="0"/>
          <w:color w:val="auto"/>
          <w:sz w:val="24"/>
          <w:szCs w:val="24"/>
          <w:highlight w:val="none"/>
        </w:rPr>
        <w:t>要求</w:t>
      </w:r>
      <w:r>
        <w:rPr>
          <w:rFonts w:hint="eastAsia"/>
          <w:b w:val="0"/>
          <w:bCs w:val="0"/>
          <w:color w:val="auto"/>
          <w:sz w:val="24"/>
          <w:szCs w:val="24"/>
          <w:highlight w:val="none"/>
          <w:lang w:val="en-US" w:eastAsia="zh-CN"/>
        </w:rPr>
        <w:t>及第四部分“合同主要条款”</w:t>
      </w:r>
      <w:r>
        <w:rPr>
          <w:rFonts w:hint="eastAsia"/>
          <w:b w:val="0"/>
          <w:bCs w:val="0"/>
          <w:color w:val="auto"/>
          <w:sz w:val="24"/>
          <w:szCs w:val="24"/>
          <w:highlight w:val="none"/>
        </w:rPr>
        <w:t>认真填写本表。偏离情况填写：“</w:t>
      </w:r>
      <w:r>
        <w:rPr>
          <w:rFonts w:hint="eastAsia"/>
          <w:b w:val="0"/>
          <w:bCs w:val="0"/>
          <w:color w:val="auto"/>
          <w:sz w:val="24"/>
          <w:szCs w:val="24"/>
          <w:highlight w:val="none"/>
          <w:lang w:val="en-US" w:eastAsia="zh-CN"/>
        </w:rPr>
        <w:t>响应、正偏离</w:t>
      </w:r>
      <w:r>
        <w:rPr>
          <w:rFonts w:hint="eastAsia"/>
          <w:b w:val="0"/>
          <w:bCs w:val="0"/>
          <w:color w:val="auto"/>
          <w:sz w:val="24"/>
          <w:szCs w:val="24"/>
          <w:highlight w:val="none"/>
        </w:rPr>
        <w:t>或</w:t>
      </w:r>
      <w:r>
        <w:rPr>
          <w:rFonts w:hint="eastAsia"/>
          <w:b w:val="0"/>
          <w:bCs w:val="0"/>
          <w:color w:val="auto"/>
          <w:sz w:val="24"/>
          <w:szCs w:val="24"/>
          <w:highlight w:val="none"/>
          <w:lang w:val="en-US" w:eastAsia="zh-CN"/>
        </w:rPr>
        <w:t>负偏离</w:t>
      </w:r>
      <w:r>
        <w:rPr>
          <w:rFonts w:hint="eastAsia"/>
          <w:b w:val="0"/>
          <w:bCs w:val="0"/>
          <w:color w:val="auto"/>
          <w:sz w:val="24"/>
          <w:szCs w:val="24"/>
          <w:highlight w:val="none"/>
        </w:rPr>
        <w:t>”。如有</w:t>
      </w:r>
      <w:r>
        <w:rPr>
          <w:rFonts w:hint="eastAsia"/>
          <w:b w:val="0"/>
          <w:bCs w:val="0"/>
          <w:color w:val="auto"/>
          <w:sz w:val="24"/>
          <w:szCs w:val="24"/>
          <w:highlight w:val="none"/>
          <w:lang w:val="en-US" w:eastAsia="zh-CN"/>
        </w:rPr>
        <w:t>偏离，</w:t>
      </w:r>
      <w:r>
        <w:rPr>
          <w:rFonts w:hint="eastAsia"/>
          <w:b w:val="0"/>
          <w:bCs w:val="0"/>
          <w:color w:val="auto"/>
          <w:sz w:val="24"/>
          <w:szCs w:val="24"/>
          <w:highlight w:val="none"/>
        </w:rPr>
        <w:t>请在</w:t>
      </w:r>
      <w:r>
        <w:rPr>
          <w:rFonts w:hint="eastAsia"/>
          <w:b w:val="0"/>
          <w:bCs w:val="0"/>
          <w:color w:val="auto"/>
          <w:sz w:val="24"/>
          <w:szCs w:val="24"/>
          <w:highlight w:val="none"/>
          <w:lang w:val="en-US" w:eastAsia="zh-CN"/>
        </w:rPr>
        <w:t>偏离</w:t>
      </w:r>
      <w:r>
        <w:rPr>
          <w:rFonts w:hint="eastAsia"/>
          <w:b w:val="0"/>
          <w:bCs w:val="0"/>
          <w:color w:val="auto"/>
          <w:sz w:val="24"/>
          <w:szCs w:val="24"/>
          <w:highlight w:val="none"/>
        </w:rPr>
        <w:t>栏写明“</w:t>
      </w:r>
      <w:r>
        <w:rPr>
          <w:rFonts w:hint="eastAsia"/>
          <w:b w:val="0"/>
          <w:bCs w:val="0"/>
          <w:color w:val="auto"/>
          <w:sz w:val="24"/>
          <w:szCs w:val="24"/>
          <w:highlight w:val="none"/>
          <w:lang w:val="en-US" w:eastAsia="zh-CN"/>
        </w:rPr>
        <w:t>偏离</w:t>
      </w:r>
      <w:r>
        <w:rPr>
          <w:rFonts w:hint="eastAsia"/>
          <w:b w:val="0"/>
          <w:bCs w:val="0"/>
          <w:color w:val="auto"/>
          <w:sz w:val="24"/>
          <w:szCs w:val="24"/>
          <w:highlight w:val="none"/>
        </w:rPr>
        <w:t>”的详细情况。如</w:t>
      </w:r>
      <w:r>
        <w:rPr>
          <w:rFonts w:hint="eastAsia"/>
          <w:b w:val="0"/>
          <w:bCs w:val="0"/>
          <w:color w:val="auto"/>
          <w:sz w:val="24"/>
          <w:szCs w:val="24"/>
          <w:highlight w:val="none"/>
          <w:lang w:val="en-US" w:eastAsia="zh-CN"/>
        </w:rPr>
        <w:t>无偏离</w:t>
      </w:r>
      <w:r>
        <w:rPr>
          <w:rFonts w:hint="eastAsia"/>
          <w:b w:val="0"/>
          <w:bCs w:val="0"/>
          <w:color w:val="auto"/>
          <w:sz w:val="24"/>
          <w:szCs w:val="24"/>
          <w:highlight w:val="none"/>
        </w:rPr>
        <w:t>，上栏可不填写，但本页必须满足签字或盖章要求</w:t>
      </w:r>
      <w:r>
        <w:rPr>
          <w:rFonts w:hint="eastAsia"/>
          <w:b w:val="0"/>
          <w:bCs w:val="0"/>
          <w:color w:val="auto"/>
          <w:sz w:val="24"/>
          <w:szCs w:val="24"/>
          <w:highlight w:val="none"/>
          <w:lang w:eastAsia="zh-CN"/>
        </w:rPr>
        <w:t>。</w:t>
      </w:r>
    </w:p>
    <w:p w14:paraId="75C5D362">
      <w:pPr>
        <w:spacing w:line="600" w:lineRule="auto"/>
        <w:ind w:firstLine="3840" w:firstLineChars="1600"/>
        <w:rPr>
          <w:rFonts w:hint="eastAsia" w:ascii="宋体" w:hAnsi="宋体"/>
          <w:color w:val="auto"/>
          <w:sz w:val="24"/>
          <w:szCs w:val="24"/>
          <w:highlight w:val="none"/>
        </w:rPr>
      </w:pPr>
    </w:p>
    <w:p w14:paraId="68D3ABF2">
      <w:pPr>
        <w:spacing w:line="600" w:lineRule="auto"/>
        <w:ind w:firstLine="3840" w:firstLineChars="1600"/>
        <w:rPr>
          <w:rFonts w:hint="eastAsia" w:ascii="宋体" w:hAnsi="宋体"/>
          <w:color w:val="auto"/>
          <w:sz w:val="24"/>
          <w:szCs w:val="24"/>
          <w:highlight w:val="none"/>
        </w:rPr>
      </w:pPr>
    </w:p>
    <w:p w14:paraId="2636DCF6">
      <w:pPr>
        <w:spacing w:line="600" w:lineRule="auto"/>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名称：（公章）</w:t>
      </w:r>
    </w:p>
    <w:p w14:paraId="7485DBA5">
      <w:pPr>
        <w:spacing w:line="600" w:lineRule="auto"/>
        <w:ind w:firstLine="3840" w:firstLineChars="1600"/>
        <w:rPr>
          <w:rFonts w:hint="eastAsia" w:ascii="宋体" w:hAnsi="宋体"/>
          <w:color w:val="auto"/>
          <w:sz w:val="24"/>
          <w:szCs w:val="24"/>
          <w:highlight w:val="none"/>
        </w:rPr>
      </w:pPr>
      <w:r>
        <w:rPr>
          <w:rFonts w:hint="eastAsia" w:ascii="宋体" w:hAnsi="宋体"/>
          <w:color w:val="auto"/>
          <w:sz w:val="24"/>
          <w:highlight w:val="none"/>
        </w:rPr>
        <w:t>法定代表人或被授权人（签字或盖章）：</w:t>
      </w:r>
    </w:p>
    <w:p w14:paraId="05251084">
      <w:pPr>
        <w:spacing w:line="600" w:lineRule="auto"/>
        <w:ind w:firstLine="6000" w:firstLineChars="2500"/>
        <w:rPr>
          <w:rFonts w:hint="eastAsia" w:ascii="宋体" w:hAnsi="宋体" w:eastAsia="宋体" w:cs="宋体"/>
          <w:color w:val="auto"/>
          <w:sz w:val="32"/>
          <w:szCs w:val="32"/>
          <w:highlight w:val="none"/>
          <w:lang w:val="en-US" w:eastAsia="zh-CN"/>
        </w:rPr>
        <w:sectPr>
          <w:pgSz w:w="11906" w:h="16838"/>
          <w:pgMar w:top="1417" w:right="1418" w:bottom="1417" w:left="1417" w:header="1134"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 w:val="24"/>
          <w:szCs w:val="24"/>
          <w:highlight w:val="none"/>
        </w:rPr>
        <w:t>年  月  日</w:t>
      </w:r>
    </w:p>
    <w:p w14:paraId="0EC7910D">
      <w:pPr>
        <w:numPr>
          <w:ilvl w:val="0"/>
          <w:numId w:val="0"/>
        </w:numPr>
        <w:tabs>
          <w:tab w:val="left" w:pos="1418"/>
        </w:tabs>
        <w:spacing w:line="720" w:lineRule="auto"/>
        <w:jc w:val="center"/>
        <w:rPr>
          <w:rFonts w:hint="eastAsia" w:ascii="宋体" w:hAnsi="宋体" w:eastAsia="宋体" w:cs="宋体"/>
          <w:b/>
          <w:bCs/>
          <w:color w:val="auto"/>
          <w:sz w:val="32"/>
          <w:szCs w:val="32"/>
          <w:highlight w:val="none"/>
          <w:lang w:val="en-US" w:eastAsia="zh-CN" w:bidi="ar-SA"/>
        </w:rPr>
      </w:pPr>
      <w:bookmarkStart w:id="99" w:name="_Toc10179"/>
      <w:bookmarkStart w:id="100" w:name="_Toc426457714"/>
      <w:bookmarkStart w:id="101" w:name="_Toc403077656"/>
      <w:bookmarkStart w:id="102" w:name="_Toc363474033"/>
      <w:bookmarkStart w:id="103" w:name="_Toc8692"/>
      <w:bookmarkStart w:id="104" w:name="_Toc6862"/>
      <w:bookmarkStart w:id="105" w:name="_Toc10058"/>
      <w:bookmarkStart w:id="106" w:name="_Toc6432"/>
      <w:r>
        <w:rPr>
          <w:rFonts w:hint="eastAsia" w:ascii="宋体" w:hAnsi="宋体" w:eastAsia="宋体" w:cs="宋体"/>
          <w:b/>
          <w:bCs/>
          <w:color w:val="auto"/>
          <w:sz w:val="32"/>
          <w:szCs w:val="32"/>
          <w:highlight w:val="none"/>
          <w:lang w:val="en-US" w:eastAsia="zh-CN" w:bidi="ar-SA"/>
        </w:rPr>
        <w:t>五、供应商承诺书</w:t>
      </w:r>
    </w:p>
    <w:p w14:paraId="2858496D">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kern w:val="20"/>
          <w:sz w:val="24"/>
          <w:szCs w:val="24"/>
          <w:highlight w:val="none"/>
          <w:lang w:val="en-US" w:eastAsia="zh-CN" w:bidi="ar-SA"/>
        </w:rPr>
        <w:t>陕西省政府采购供应商拒绝政府采购领域商业贿赂承诺书</w:t>
      </w:r>
      <w:bookmarkEnd w:id="99"/>
      <w:bookmarkEnd w:id="100"/>
      <w:bookmarkEnd w:id="101"/>
      <w:bookmarkEnd w:id="102"/>
      <w:bookmarkEnd w:id="103"/>
      <w:bookmarkEnd w:id="104"/>
      <w:bookmarkEnd w:id="105"/>
      <w:bookmarkEnd w:id="106"/>
    </w:p>
    <w:p w14:paraId="704F6284">
      <w:pPr>
        <w:keepNext w:val="0"/>
        <w:keepLines w:val="0"/>
        <w:pageBreakBefore w:val="0"/>
        <w:widowControl/>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为响应党中央、国务院关于治理政府采购领域商业贿赂行为的号召，我公司在此庄严承诺：</w:t>
      </w:r>
    </w:p>
    <w:p w14:paraId="300B20BF">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在参与政府采购活动中遵纪守法、诚信经营、公平竞标。</w:t>
      </w:r>
    </w:p>
    <w:p w14:paraId="55A28DBA">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不向政府采购人、采购代理机构和政府采购评审专家进行任何形式的商业贿赂以谋取交易机会。</w:t>
      </w:r>
    </w:p>
    <w:p w14:paraId="11A6AF30">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不向政府采购代理机构和采购人提供虚假资质文件或采用虚假应标方式参与政府采购市场竞争并谋取中标、成交。</w:t>
      </w:r>
    </w:p>
    <w:p w14:paraId="4BFD5191">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不采取“围标、陪标”等商业欺诈手段获得政府采购定单。</w:t>
      </w:r>
    </w:p>
    <w:p w14:paraId="14DDF863">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不采取不正当手段诋毁、排挤其他供应商。</w:t>
      </w:r>
    </w:p>
    <w:p w14:paraId="20F49157">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不在提供商品和服务时“偷梁换柱、以次充好”损害采购人的合法权益。</w:t>
      </w:r>
    </w:p>
    <w:p w14:paraId="5A6EAB14">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不与采购人、采购代理机构政府采购评审专家或其它供应商恶意串通，进行质疑和投诉，维护政府采购市场秩序。</w:t>
      </w:r>
    </w:p>
    <w:p w14:paraId="602C5864">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尊重和接受政府采购监督管理部门的监督和政府采购代理机构招标采购要求，承担因违约行为给采购人造成的损失。</w:t>
      </w:r>
    </w:p>
    <w:p w14:paraId="26421241">
      <w:pPr>
        <w:keepNext w:val="0"/>
        <w:keepLines w:val="0"/>
        <w:pageBreakBefore w:val="0"/>
        <w:widowControl/>
        <w:numPr>
          <w:ilvl w:val="0"/>
          <w:numId w:val="5"/>
        </w:numPr>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不发生其他有悖于政府采购公开、公平、公正和诚信原则的行为。</w:t>
      </w:r>
    </w:p>
    <w:p w14:paraId="5E5DFBFF">
      <w:pPr>
        <w:pStyle w:val="9"/>
        <w:rPr>
          <w:rFonts w:hint="eastAsia"/>
          <w:color w:val="auto"/>
          <w:sz w:val="24"/>
          <w:szCs w:val="24"/>
          <w:highlight w:val="none"/>
        </w:rPr>
      </w:pPr>
    </w:p>
    <w:p w14:paraId="0D1ED7B7">
      <w:pPr>
        <w:widowControl/>
        <w:spacing w:line="408" w:lineRule="auto"/>
        <w:ind w:left="239" w:leftChars="114"/>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承诺单位：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0A169860">
      <w:pPr>
        <w:widowControl/>
        <w:spacing w:line="408" w:lineRule="auto"/>
        <w:ind w:left="239" w:leftChars="114"/>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eastAsia="zh-CN"/>
        </w:rPr>
        <w:t>字</w:t>
      </w:r>
      <w:r>
        <w:rPr>
          <w:rFonts w:hint="eastAsia" w:ascii="宋体" w:hAnsi="宋体" w:eastAsia="宋体" w:cs="宋体"/>
          <w:color w:val="auto"/>
          <w:sz w:val="24"/>
          <w:szCs w:val="24"/>
          <w:highlight w:val="none"/>
        </w:rPr>
        <w:t>）</w:t>
      </w:r>
    </w:p>
    <w:p w14:paraId="3426EE08">
      <w:pPr>
        <w:widowControl/>
        <w:spacing w:line="408" w:lineRule="auto"/>
        <w:ind w:left="239" w:leftChars="1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14:paraId="718BC77A">
      <w:pPr>
        <w:widowControl/>
        <w:spacing w:line="408" w:lineRule="auto"/>
        <w:ind w:left="239" w:leftChars="114"/>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lang w:val="en-US" w:eastAsia="zh-CN"/>
        </w:rPr>
        <w:t xml:space="preserve">                         </w:t>
      </w:r>
    </w:p>
    <w:p w14:paraId="05C7C58B">
      <w:pPr>
        <w:widowControl/>
        <w:spacing w:line="408" w:lineRule="auto"/>
        <w:ind w:left="239" w:leftChars="1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6D9D09A">
      <w:pPr>
        <w:adjustRightInd w:val="0"/>
        <w:snapToGrid w:val="0"/>
        <w:spacing w:line="360" w:lineRule="auto"/>
        <w:ind w:firstLine="964" w:firstLineChars="400"/>
        <w:jc w:val="center"/>
        <w:rPr>
          <w:rFonts w:hint="eastAsia" w:hAnsi="宋体" w:cs="宋体"/>
          <w:b/>
          <w:color w:val="auto"/>
          <w:sz w:val="24"/>
          <w:szCs w:val="24"/>
          <w:highlight w:val="none"/>
          <w:lang w:val="en-US" w:eastAsia="zh-CN"/>
        </w:rPr>
      </w:pPr>
    </w:p>
    <w:p w14:paraId="4D18ADCC">
      <w:pPr>
        <w:pStyle w:val="12"/>
        <w:rPr>
          <w:color w:val="auto"/>
          <w:highlight w:val="none"/>
        </w:rPr>
      </w:pPr>
      <w:r>
        <w:rPr>
          <w:rFonts w:hint="eastAsia" w:hAnsi="宋体" w:cs="宋体"/>
          <w:b/>
          <w:bCs/>
          <w:color w:val="auto"/>
          <w:sz w:val="32"/>
          <w:szCs w:val="32"/>
          <w:highlight w:val="none"/>
          <w:lang w:val="en-US" w:eastAsia="zh-CN"/>
        </w:rPr>
        <w:t>六</w:t>
      </w:r>
      <w:r>
        <w:rPr>
          <w:rFonts w:hint="eastAsia" w:hAnsi="宋体" w:cs="宋体"/>
          <w:b/>
          <w:bCs/>
          <w:color w:val="auto"/>
          <w:sz w:val="32"/>
          <w:szCs w:val="32"/>
          <w:highlight w:val="none"/>
        </w:rPr>
        <w:t>、</w:t>
      </w:r>
      <w:r>
        <w:rPr>
          <w:rFonts w:hint="eastAsia" w:hAnsi="宋体" w:cs="宋体"/>
          <w:b/>
          <w:bCs/>
          <w:color w:val="auto"/>
          <w:sz w:val="32"/>
          <w:szCs w:val="32"/>
          <w:highlight w:val="none"/>
          <w:lang w:val="en-US" w:eastAsia="zh-CN"/>
        </w:rPr>
        <w:t>总体</w:t>
      </w:r>
      <w:r>
        <w:rPr>
          <w:rFonts w:hint="eastAsia" w:hAnsi="宋体" w:cs="宋体"/>
          <w:b/>
          <w:bCs/>
          <w:color w:val="auto"/>
          <w:sz w:val="32"/>
          <w:szCs w:val="32"/>
          <w:highlight w:val="none"/>
        </w:rPr>
        <w:t>方案</w:t>
      </w:r>
    </w:p>
    <w:p w14:paraId="53A2BEAD">
      <w:pPr>
        <w:rPr>
          <w:rFonts w:hint="eastAsia" w:hAnsi="宋体" w:cs="宋体"/>
          <w:b/>
          <w:bCs/>
          <w:color w:val="auto"/>
          <w:sz w:val="32"/>
          <w:szCs w:val="32"/>
          <w:highlight w:val="none"/>
        </w:rPr>
      </w:pPr>
    </w:p>
    <w:p w14:paraId="06123991">
      <w:pPr>
        <w:keepNext w:val="0"/>
        <w:keepLines w:val="0"/>
        <w:pageBreakBefore w:val="0"/>
        <w:widowControl/>
        <w:numPr>
          <w:ilvl w:val="0"/>
          <w:numId w:val="0"/>
        </w:numPr>
        <w:kinsoku/>
        <w:wordWrap/>
        <w:overflowPunct/>
        <w:topLinePunct w:val="0"/>
        <w:autoSpaceDE/>
        <w:autoSpaceDN/>
        <w:bidi w:val="0"/>
        <w:adjustRightInd/>
        <w:snapToGrid/>
        <w:spacing w:line="408" w:lineRule="auto"/>
        <w:ind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服务方案</w:t>
      </w:r>
    </w:p>
    <w:p w14:paraId="4A8A24F9">
      <w:pPr>
        <w:keepNext w:val="0"/>
        <w:keepLines w:val="0"/>
        <w:pageBreakBefore w:val="0"/>
        <w:widowControl/>
        <w:numPr>
          <w:ilvl w:val="0"/>
          <w:numId w:val="0"/>
        </w:numPr>
        <w:kinsoku/>
        <w:wordWrap/>
        <w:overflowPunct/>
        <w:topLinePunct w:val="0"/>
        <w:autoSpaceDE/>
        <w:autoSpaceDN/>
        <w:bidi w:val="0"/>
        <w:adjustRightInd/>
        <w:snapToGrid/>
        <w:spacing w:line="408" w:lineRule="auto"/>
        <w:ind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质量措施</w:t>
      </w:r>
    </w:p>
    <w:p w14:paraId="04C7CC5A">
      <w:pPr>
        <w:keepNext w:val="0"/>
        <w:keepLines w:val="0"/>
        <w:pageBreakBefore w:val="0"/>
        <w:widowControl/>
        <w:numPr>
          <w:ilvl w:val="0"/>
          <w:numId w:val="0"/>
        </w:numPr>
        <w:kinsoku/>
        <w:wordWrap/>
        <w:overflowPunct/>
        <w:topLinePunct w:val="0"/>
        <w:autoSpaceDE/>
        <w:autoSpaceDN/>
        <w:bidi w:val="0"/>
        <w:adjustRightInd/>
        <w:snapToGrid/>
        <w:spacing w:line="408" w:lineRule="auto"/>
        <w:ind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应急预案</w:t>
      </w:r>
    </w:p>
    <w:p w14:paraId="3E9A1772">
      <w:pPr>
        <w:keepNext w:val="0"/>
        <w:keepLines w:val="0"/>
        <w:pageBreakBefore w:val="0"/>
        <w:widowControl/>
        <w:numPr>
          <w:ilvl w:val="0"/>
          <w:numId w:val="0"/>
        </w:numPr>
        <w:kinsoku/>
        <w:wordWrap/>
        <w:overflowPunct/>
        <w:topLinePunct w:val="0"/>
        <w:autoSpaceDE/>
        <w:autoSpaceDN/>
        <w:bidi w:val="0"/>
        <w:adjustRightInd/>
        <w:snapToGrid/>
        <w:spacing w:line="408" w:lineRule="auto"/>
        <w:ind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人员配备</w:t>
      </w:r>
    </w:p>
    <w:p w14:paraId="52808C25">
      <w:pPr>
        <w:keepNext w:val="0"/>
        <w:keepLines w:val="0"/>
        <w:pageBreakBefore w:val="0"/>
        <w:widowControl/>
        <w:numPr>
          <w:ilvl w:val="0"/>
          <w:numId w:val="0"/>
        </w:numPr>
        <w:kinsoku/>
        <w:wordWrap/>
        <w:overflowPunct/>
        <w:topLinePunct w:val="0"/>
        <w:autoSpaceDE/>
        <w:autoSpaceDN/>
        <w:bidi w:val="0"/>
        <w:adjustRightInd/>
        <w:snapToGrid/>
        <w:spacing w:line="408" w:lineRule="auto"/>
        <w:ind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服务承诺</w:t>
      </w:r>
    </w:p>
    <w:p w14:paraId="71590E49">
      <w:pPr>
        <w:keepNext w:val="0"/>
        <w:keepLines w:val="0"/>
        <w:pageBreakBefore w:val="0"/>
        <w:widowControl/>
        <w:numPr>
          <w:ilvl w:val="0"/>
          <w:numId w:val="0"/>
        </w:numPr>
        <w:kinsoku/>
        <w:wordWrap/>
        <w:overflowPunct/>
        <w:topLinePunct w:val="0"/>
        <w:autoSpaceDE/>
        <w:autoSpaceDN/>
        <w:bidi w:val="0"/>
        <w:adjustRightInd/>
        <w:snapToGrid/>
        <w:spacing w:line="408" w:lineRule="auto"/>
        <w:ind w:left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保密措施</w:t>
      </w:r>
    </w:p>
    <w:p w14:paraId="624201E4">
      <w:pPr>
        <w:rPr>
          <w:rFonts w:hint="eastAsia" w:hAnsi="宋体" w:cs="宋体"/>
          <w:b/>
          <w:bCs/>
          <w:color w:val="auto"/>
          <w:sz w:val="32"/>
          <w:szCs w:val="32"/>
          <w:highlight w:val="none"/>
        </w:rPr>
      </w:pPr>
    </w:p>
    <w:p w14:paraId="0DBF2ED6">
      <w:pPr>
        <w:rPr>
          <w:rFonts w:hint="eastAsia" w:hAnsi="宋体" w:cs="宋体"/>
          <w:b/>
          <w:bCs/>
          <w:color w:val="auto"/>
          <w:sz w:val="32"/>
          <w:szCs w:val="32"/>
          <w:highlight w:val="none"/>
        </w:rPr>
      </w:pPr>
    </w:p>
    <w:p w14:paraId="395CA21E">
      <w:pPr>
        <w:rPr>
          <w:rFonts w:hint="eastAsia" w:hAnsi="宋体" w:cs="宋体"/>
          <w:b/>
          <w:bCs/>
          <w:color w:val="auto"/>
          <w:sz w:val="32"/>
          <w:szCs w:val="32"/>
          <w:highlight w:val="none"/>
        </w:rPr>
      </w:pPr>
    </w:p>
    <w:p w14:paraId="71035B17">
      <w:pPr>
        <w:rPr>
          <w:rFonts w:hint="eastAsia" w:hAnsi="宋体" w:cs="宋体"/>
          <w:b/>
          <w:bCs/>
          <w:color w:val="auto"/>
          <w:sz w:val="32"/>
          <w:szCs w:val="32"/>
          <w:highlight w:val="none"/>
        </w:rPr>
      </w:pPr>
    </w:p>
    <w:p w14:paraId="65821E03">
      <w:pPr>
        <w:rPr>
          <w:rFonts w:hint="eastAsia" w:hAnsi="宋体" w:cs="宋体"/>
          <w:b/>
          <w:bCs/>
          <w:color w:val="auto"/>
          <w:sz w:val="32"/>
          <w:szCs w:val="32"/>
          <w:highlight w:val="none"/>
        </w:rPr>
      </w:pPr>
    </w:p>
    <w:p w14:paraId="6D0888A8">
      <w:pPr>
        <w:rPr>
          <w:rFonts w:hint="eastAsia" w:hAnsi="宋体" w:cs="宋体"/>
          <w:b/>
          <w:bCs/>
          <w:color w:val="auto"/>
          <w:sz w:val="32"/>
          <w:szCs w:val="32"/>
          <w:highlight w:val="none"/>
        </w:rPr>
      </w:pPr>
    </w:p>
    <w:p w14:paraId="7029766B">
      <w:pPr>
        <w:pStyle w:val="6"/>
        <w:rPr>
          <w:rFonts w:hint="eastAsia" w:hAnsi="宋体" w:cs="宋体"/>
          <w:b/>
          <w:bCs/>
          <w:color w:val="auto"/>
          <w:sz w:val="32"/>
          <w:szCs w:val="32"/>
          <w:highlight w:val="none"/>
        </w:rPr>
      </w:pPr>
    </w:p>
    <w:p w14:paraId="357525EB">
      <w:pPr>
        <w:rPr>
          <w:rFonts w:hint="eastAsia" w:hAnsi="宋体" w:cs="宋体"/>
          <w:b/>
          <w:bCs/>
          <w:color w:val="auto"/>
          <w:sz w:val="32"/>
          <w:szCs w:val="32"/>
          <w:highlight w:val="none"/>
        </w:rPr>
      </w:pPr>
    </w:p>
    <w:p w14:paraId="7061DA28">
      <w:pPr>
        <w:pStyle w:val="6"/>
        <w:rPr>
          <w:rFonts w:hint="eastAsia" w:hAnsi="宋体" w:cs="宋体"/>
          <w:b/>
          <w:bCs/>
          <w:color w:val="auto"/>
          <w:sz w:val="32"/>
          <w:szCs w:val="32"/>
          <w:highlight w:val="none"/>
        </w:rPr>
      </w:pPr>
    </w:p>
    <w:p w14:paraId="513ED4D6">
      <w:pPr>
        <w:rPr>
          <w:rFonts w:hint="eastAsia" w:hAnsi="宋体" w:cs="宋体"/>
          <w:b/>
          <w:bCs/>
          <w:color w:val="auto"/>
          <w:sz w:val="32"/>
          <w:szCs w:val="32"/>
          <w:highlight w:val="none"/>
        </w:rPr>
      </w:pPr>
    </w:p>
    <w:p w14:paraId="445480BA">
      <w:pPr>
        <w:pStyle w:val="6"/>
        <w:rPr>
          <w:rFonts w:hint="eastAsia" w:hAnsi="宋体" w:cs="宋体"/>
          <w:b/>
          <w:bCs/>
          <w:color w:val="auto"/>
          <w:sz w:val="32"/>
          <w:szCs w:val="32"/>
          <w:highlight w:val="none"/>
        </w:rPr>
      </w:pPr>
    </w:p>
    <w:p w14:paraId="1EF4D062">
      <w:pPr>
        <w:rPr>
          <w:rFonts w:hint="eastAsia" w:hAnsi="宋体" w:cs="宋体"/>
          <w:b/>
          <w:bCs/>
          <w:color w:val="auto"/>
          <w:sz w:val="32"/>
          <w:szCs w:val="32"/>
          <w:highlight w:val="none"/>
        </w:rPr>
      </w:pPr>
    </w:p>
    <w:p w14:paraId="595C1D65">
      <w:pPr>
        <w:pStyle w:val="6"/>
        <w:rPr>
          <w:rFonts w:hint="eastAsia" w:hAnsi="宋体" w:cs="宋体"/>
          <w:b/>
          <w:bCs/>
          <w:color w:val="auto"/>
          <w:sz w:val="32"/>
          <w:szCs w:val="32"/>
          <w:highlight w:val="none"/>
        </w:rPr>
      </w:pPr>
    </w:p>
    <w:p w14:paraId="724E36F5">
      <w:pPr>
        <w:rPr>
          <w:rFonts w:hint="eastAsia" w:hAnsi="宋体" w:cs="宋体"/>
          <w:b/>
          <w:bCs/>
          <w:color w:val="auto"/>
          <w:sz w:val="32"/>
          <w:szCs w:val="32"/>
          <w:highlight w:val="none"/>
        </w:rPr>
      </w:pPr>
    </w:p>
    <w:p w14:paraId="0D688057">
      <w:pPr>
        <w:rPr>
          <w:rFonts w:hint="eastAsia" w:hAnsi="宋体" w:cs="宋体"/>
          <w:b/>
          <w:bCs/>
          <w:color w:val="auto"/>
          <w:sz w:val="32"/>
          <w:szCs w:val="32"/>
          <w:highlight w:val="none"/>
        </w:rPr>
      </w:pPr>
    </w:p>
    <w:p w14:paraId="1242C0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9"/>
        <w:rPr>
          <w:rFonts w:hint="default" w:ascii="Times New Roman" w:hAnsi="宋体" w:eastAsia="宋体" w:cs="宋体"/>
          <w:b/>
          <w:bCs/>
          <w:color w:val="auto"/>
          <w:kern w:val="2"/>
          <w:sz w:val="32"/>
          <w:szCs w:val="32"/>
          <w:highlight w:val="none"/>
          <w:lang w:val="en-US" w:eastAsia="zh-CN" w:bidi="ar-SA"/>
        </w:rPr>
      </w:pPr>
      <w:r>
        <w:rPr>
          <w:rFonts w:hint="eastAsia" w:hAnsi="宋体" w:cs="宋体"/>
          <w:b/>
          <w:bCs/>
          <w:color w:val="auto"/>
          <w:kern w:val="2"/>
          <w:sz w:val="32"/>
          <w:szCs w:val="32"/>
          <w:highlight w:val="none"/>
          <w:lang w:val="en-US" w:eastAsia="zh-CN" w:bidi="ar-SA"/>
        </w:rPr>
        <w:t>七</w:t>
      </w:r>
      <w:r>
        <w:rPr>
          <w:rFonts w:hint="eastAsia" w:ascii="Times New Roman" w:hAnsi="宋体" w:eastAsia="宋体" w:cs="宋体"/>
          <w:b/>
          <w:bCs/>
          <w:color w:val="auto"/>
          <w:kern w:val="2"/>
          <w:sz w:val="32"/>
          <w:szCs w:val="32"/>
          <w:highlight w:val="none"/>
          <w:lang w:val="en-US" w:eastAsia="zh-CN" w:bidi="ar-SA"/>
        </w:rPr>
        <w:t>、</w:t>
      </w:r>
      <w:r>
        <w:rPr>
          <w:rFonts w:hint="eastAsia" w:hAnsi="宋体" w:cs="宋体"/>
          <w:b/>
          <w:bCs/>
          <w:color w:val="auto"/>
          <w:kern w:val="2"/>
          <w:sz w:val="32"/>
          <w:szCs w:val="32"/>
          <w:highlight w:val="none"/>
          <w:lang w:val="en-US" w:eastAsia="zh-CN" w:bidi="ar-SA"/>
        </w:rPr>
        <w:t>业绩</w:t>
      </w:r>
    </w:p>
    <w:p w14:paraId="6CEB6BB0">
      <w:pPr>
        <w:pStyle w:val="12"/>
        <w:rPr>
          <w:rFonts w:hint="eastAsia" w:ascii="宋体" w:hAnsi="宋体" w:eastAsia="宋体" w:cs="宋体"/>
          <w:color w:val="auto"/>
          <w:highlight w:val="none"/>
          <w:lang w:val="zh-CN" w:eastAsia="zh-CN"/>
        </w:rPr>
      </w:pPr>
    </w:p>
    <w:tbl>
      <w:tblPr>
        <w:tblStyle w:val="24"/>
        <w:tblW w:w="89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336"/>
        <w:gridCol w:w="3385"/>
        <w:gridCol w:w="1905"/>
      </w:tblGrid>
      <w:tr w14:paraId="53007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99" w:type="dxa"/>
            <w:tcBorders>
              <w:tl2br w:val="nil"/>
              <w:tr2bl w:val="nil"/>
            </w:tcBorders>
            <w:noWrap w:val="0"/>
            <w:vAlign w:val="center"/>
          </w:tcPr>
          <w:p w14:paraId="30936B39">
            <w:pPr>
              <w:shd w:val="clear" w:color="auto" w:fill="auto"/>
              <w:jc w:val="center"/>
              <w:rPr>
                <w:rFonts w:hAnsi="宋体" w:cs="宋体"/>
                <w:b/>
                <w:color w:val="auto"/>
                <w:szCs w:val="24"/>
                <w:highlight w:val="none"/>
              </w:rPr>
            </w:pPr>
            <w:r>
              <w:rPr>
                <w:rFonts w:hint="eastAsia" w:hAnsi="宋体" w:cs="宋体"/>
                <w:b/>
                <w:color w:val="auto"/>
                <w:szCs w:val="24"/>
                <w:highlight w:val="none"/>
                <w:lang w:bidi="ar"/>
              </w:rPr>
              <w:t>序号</w:t>
            </w:r>
          </w:p>
        </w:tc>
        <w:tc>
          <w:tcPr>
            <w:tcW w:w="2336" w:type="dxa"/>
            <w:tcBorders>
              <w:tl2br w:val="nil"/>
              <w:tr2bl w:val="nil"/>
            </w:tcBorders>
            <w:noWrap w:val="0"/>
            <w:vAlign w:val="center"/>
          </w:tcPr>
          <w:p w14:paraId="0631AD94">
            <w:pPr>
              <w:shd w:val="clear" w:color="auto" w:fill="auto"/>
              <w:jc w:val="center"/>
              <w:rPr>
                <w:rFonts w:hAnsi="宋体" w:cs="宋体"/>
                <w:b/>
                <w:color w:val="auto"/>
                <w:szCs w:val="24"/>
                <w:highlight w:val="none"/>
              </w:rPr>
            </w:pPr>
            <w:r>
              <w:rPr>
                <w:rFonts w:hint="eastAsia" w:hAnsi="宋体" w:cs="宋体"/>
                <w:b/>
                <w:color w:val="auto"/>
                <w:szCs w:val="24"/>
                <w:highlight w:val="none"/>
                <w:lang w:bidi="ar"/>
              </w:rPr>
              <w:t>项目名称</w:t>
            </w:r>
          </w:p>
        </w:tc>
        <w:tc>
          <w:tcPr>
            <w:tcW w:w="3385" w:type="dxa"/>
            <w:tcBorders>
              <w:tl2br w:val="nil"/>
              <w:tr2bl w:val="nil"/>
            </w:tcBorders>
            <w:noWrap w:val="0"/>
            <w:vAlign w:val="center"/>
          </w:tcPr>
          <w:p w14:paraId="610C2C71">
            <w:pPr>
              <w:shd w:val="clear" w:color="auto" w:fill="auto"/>
              <w:jc w:val="center"/>
              <w:rPr>
                <w:rFonts w:hAnsi="宋体" w:cs="宋体"/>
                <w:b/>
                <w:color w:val="auto"/>
                <w:szCs w:val="24"/>
                <w:highlight w:val="none"/>
              </w:rPr>
            </w:pPr>
            <w:r>
              <w:rPr>
                <w:rFonts w:hint="eastAsia" w:hAnsi="宋体" w:cs="宋体"/>
                <w:b/>
                <w:color w:val="auto"/>
                <w:szCs w:val="24"/>
                <w:highlight w:val="none"/>
                <w:lang w:bidi="ar"/>
              </w:rPr>
              <w:t>合同签订时间</w:t>
            </w:r>
          </w:p>
        </w:tc>
        <w:tc>
          <w:tcPr>
            <w:tcW w:w="1905" w:type="dxa"/>
            <w:tcBorders>
              <w:tl2br w:val="nil"/>
              <w:tr2bl w:val="nil"/>
            </w:tcBorders>
            <w:noWrap w:val="0"/>
            <w:vAlign w:val="center"/>
          </w:tcPr>
          <w:p w14:paraId="5F827D6A">
            <w:pPr>
              <w:shd w:val="clear" w:color="auto" w:fill="auto"/>
              <w:jc w:val="center"/>
              <w:rPr>
                <w:rFonts w:hAnsi="宋体" w:cs="宋体"/>
                <w:b/>
                <w:color w:val="auto"/>
                <w:szCs w:val="24"/>
                <w:highlight w:val="none"/>
              </w:rPr>
            </w:pPr>
            <w:r>
              <w:rPr>
                <w:rFonts w:hint="eastAsia" w:hAnsi="宋体" w:cs="宋体"/>
                <w:b/>
                <w:color w:val="auto"/>
                <w:szCs w:val="24"/>
                <w:highlight w:val="none"/>
                <w:lang w:bidi="ar"/>
              </w:rPr>
              <w:t>合同</w:t>
            </w:r>
          </w:p>
          <w:p w14:paraId="67E5A4B8">
            <w:pPr>
              <w:shd w:val="clear" w:color="auto" w:fill="auto"/>
              <w:jc w:val="center"/>
              <w:rPr>
                <w:rFonts w:hAnsi="宋体" w:cs="宋体"/>
                <w:b/>
                <w:color w:val="auto"/>
                <w:szCs w:val="24"/>
                <w:highlight w:val="none"/>
              </w:rPr>
            </w:pPr>
            <w:r>
              <w:rPr>
                <w:rFonts w:hint="eastAsia" w:hAnsi="宋体" w:cs="宋体"/>
                <w:b/>
                <w:color w:val="auto"/>
                <w:szCs w:val="24"/>
                <w:highlight w:val="none"/>
                <w:lang w:bidi="ar"/>
              </w:rPr>
              <w:t>金额</w:t>
            </w:r>
          </w:p>
        </w:tc>
      </w:tr>
      <w:tr w14:paraId="4093B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99" w:type="dxa"/>
            <w:tcBorders>
              <w:tl2br w:val="nil"/>
              <w:tr2bl w:val="nil"/>
            </w:tcBorders>
            <w:noWrap w:val="0"/>
            <w:vAlign w:val="top"/>
          </w:tcPr>
          <w:p w14:paraId="7DA0FF50">
            <w:pPr>
              <w:shd w:val="clear" w:color="auto" w:fill="auto"/>
              <w:rPr>
                <w:rFonts w:hAnsi="宋体" w:cs="宋体"/>
                <w:color w:val="auto"/>
                <w:szCs w:val="24"/>
                <w:highlight w:val="none"/>
              </w:rPr>
            </w:pPr>
          </w:p>
        </w:tc>
        <w:tc>
          <w:tcPr>
            <w:tcW w:w="2336" w:type="dxa"/>
            <w:tcBorders>
              <w:tl2br w:val="nil"/>
              <w:tr2bl w:val="nil"/>
            </w:tcBorders>
            <w:noWrap w:val="0"/>
            <w:vAlign w:val="top"/>
          </w:tcPr>
          <w:p w14:paraId="0A1D498D">
            <w:pPr>
              <w:shd w:val="clear" w:color="auto" w:fill="auto"/>
              <w:rPr>
                <w:rFonts w:hAnsi="宋体" w:cs="宋体"/>
                <w:color w:val="auto"/>
                <w:szCs w:val="24"/>
                <w:highlight w:val="none"/>
              </w:rPr>
            </w:pPr>
          </w:p>
        </w:tc>
        <w:tc>
          <w:tcPr>
            <w:tcW w:w="3385" w:type="dxa"/>
            <w:tcBorders>
              <w:tl2br w:val="nil"/>
              <w:tr2bl w:val="nil"/>
            </w:tcBorders>
            <w:noWrap w:val="0"/>
            <w:vAlign w:val="top"/>
          </w:tcPr>
          <w:p w14:paraId="7A00AA65">
            <w:pPr>
              <w:shd w:val="clear" w:color="auto" w:fill="auto"/>
              <w:rPr>
                <w:rFonts w:hAnsi="宋体" w:cs="宋体"/>
                <w:color w:val="auto"/>
                <w:szCs w:val="24"/>
                <w:highlight w:val="none"/>
              </w:rPr>
            </w:pPr>
          </w:p>
        </w:tc>
        <w:tc>
          <w:tcPr>
            <w:tcW w:w="1905" w:type="dxa"/>
            <w:tcBorders>
              <w:tl2br w:val="nil"/>
              <w:tr2bl w:val="nil"/>
            </w:tcBorders>
            <w:noWrap w:val="0"/>
            <w:vAlign w:val="top"/>
          </w:tcPr>
          <w:p w14:paraId="08175706">
            <w:pPr>
              <w:shd w:val="clear" w:color="auto" w:fill="auto"/>
              <w:rPr>
                <w:rFonts w:hAnsi="宋体" w:cs="宋体"/>
                <w:color w:val="auto"/>
                <w:szCs w:val="24"/>
                <w:highlight w:val="none"/>
              </w:rPr>
            </w:pPr>
          </w:p>
        </w:tc>
      </w:tr>
      <w:tr w14:paraId="51FE6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99" w:type="dxa"/>
            <w:tcBorders>
              <w:tl2br w:val="nil"/>
              <w:tr2bl w:val="nil"/>
            </w:tcBorders>
            <w:noWrap w:val="0"/>
            <w:vAlign w:val="top"/>
          </w:tcPr>
          <w:p w14:paraId="166D9F37">
            <w:pPr>
              <w:shd w:val="clear" w:color="auto" w:fill="auto"/>
              <w:rPr>
                <w:rFonts w:hAnsi="宋体" w:cs="宋体"/>
                <w:color w:val="auto"/>
                <w:szCs w:val="24"/>
                <w:highlight w:val="none"/>
              </w:rPr>
            </w:pPr>
          </w:p>
        </w:tc>
        <w:tc>
          <w:tcPr>
            <w:tcW w:w="2336" w:type="dxa"/>
            <w:tcBorders>
              <w:tl2br w:val="nil"/>
              <w:tr2bl w:val="nil"/>
            </w:tcBorders>
            <w:noWrap w:val="0"/>
            <w:vAlign w:val="top"/>
          </w:tcPr>
          <w:p w14:paraId="3E58CD84">
            <w:pPr>
              <w:shd w:val="clear" w:color="auto" w:fill="auto"/>
              <w:rPr>
                <w:rFonts w:hAnsi="宋体" w:cs="宋体"/>
                <w:color w:val="auto"/>
                <w:szCs w:val="24"/>
                <w:highlight w:val="none"/>
              </w:rPr>
            </w:pPr>
          </w:p>
        </w:tc>
        <w:tc>
          <w:tcPr>
            <w:tcW w:w="3385" w:type="dxa"/>
            <w:tcBorders>
              <w:tl2br w:val="nil"/>
              <w:tr2bl w:val="nil"/>
            </w:tcBorders>
            <w:noWrap w:val="0"/>
            <w:vAlign w:val="top"/>
          </w:tcPr>
          <w:p w14:paraId="54ADCB18">
            <w:pPr>
              <w:shd w:val="clear" w:color="auto" w:fill="auto"/>
              <w:rPr>
                <w:rFonts w:hAnsi="宋体" w:cs="宋体"/>
                <w:color w:val="auto"/>
                <w:szCs w:val="24"/>
                <w:highlight w:val="none"/>
              </w:rPr>
            </w:pPr>
          </w:p>
        </w:tc>
        <w:tc>
          <w:tcPr>
            <w:tcW w:w="1905" w:type="dxa"/>
            <w:tcBorders>
              <w:tl2br w:val="nil"/>
              <w:tr2bl w:val="nil"/>
            </w:tcBorders>
            <w:noWrap w:val="0"/>
            <w:vAlign w:val="top"/>
          </w:tcPr>
          <w:p w14:paraId="60F1A0F4">
            <w:pPr>
              <w:shd w:val="clear" w:color="auto" w:fill="auto"/>
              <w:rPr>
                <w:rFonts w:hAnsi="宋体" w:cs="宋体"/>
                <w:color w:val="auto"/>
                <w:szCs w:val="24"/>
                <w:highlight w:val="none"/>
              </w:rPr>
            </w:pPr>
          </w:p>
        </w:tc>
      </w:tr>
      <w:tr w14:paraId="0E760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9" w:type="dxa"/>
            <w:tcBorders>
              <w:tl2br w:val="nil"/>
              <w:tr2bl w:val="nil"/>
            </w:tcBorders>
            <w:noWrap w:val="0"/>
            <w:vAlign w:val="top"/>
          </w:tcPr>
          <w:p w14:paraId="26915F0A">
            <w:pPr>
              <w:shd w:val="clear" w:color="auto" w:fill="auto"/>
              <w:rPr>
                <w:rFonts w:hAnsi="宋体" w:cs="宋体"/>
                <w:color w:val="auto"/>
                <w:szCs w:val="24"/>
                <w:highlight w:val="none"/>
              </w:rPr>
            </w:pPr>
          </w:p>
        </w:tc>
        <w:tc>
          <w:tcPr>
            <w:tcW w:w="2336" w:type="dxa"/>
            <w:tcBorders>
              <w:tl2br w:val="nil"/>
              <w:tr2bl w:val="nil"/>
            </w:tcBorders>
            <w:noWrap w:val="0"/>
            <w:vAlign w:val="top"/>
          </w:tcPr>
          <w:p w14:paraId="0E222801">
            <w:pPr>
              <w:shd w:val="clear" w:color="auto" w:fill="auto"/>
              <w:rPr>
                <w:rFonts w:hAnsi="宋体" w:cs="宋体"/>
                <w:color w:val="auto"/>
                <w:szCs w:val="24"/>
                <w:highlight w:val="none"/>
              </w:rPr>
            </w:pPr>
          </w:p>
        </w:tc>
        <w:tc>
          <w:tcPr>
            <w:tcW w:w="3385" w:type="dxa"/>
            <w:tcBorders>
              <w:tl2br w:val="nil"/>
              <w:tr2bl w:val="nil"/>
            </w:tcBorders>
            <w:noWrap w:val="0"/>
            <w:vAlign w:val="top"/>
          </w:tcPr>
          <w:p w14:paraId="6310A5A5">
            <w:pPr>
              <w:shd w:val="clear" w:color="auto" w:fill="auto"/>
              <w:rPr>
                <w:rFonts w:hAnsi="宋体" w:cs="宋体"/>
                <w:color w:val="auto"/>
                <w:szCs w:val="24"/>
                <w:highlight w:val="none"/>
              </w:rPr>
            </w:pPr>
          </w:p>
        </w:tc>
        <w:tc>
          <w:tcPr>
            <w:tcW w:w="1905" w:type="dxa"/>
            <w:tcBorders>
              <w:tl2br w:val="nil"/>
              <w:tr2bl w:val="nil"/>
            </w:tcBorders>
            <w:noWrap w:val="0"/>
            <w:vAlign w:val="top"/>
          </w:tcPr>
          <w:p w14:paraId="445E0E42">
            <w:pPr>
              <w:shd w:val="clear" w:color="auto" w:fill="auto"/>
              <w:rPr>
                <w:rFonts w:hAnsi="宋体" w:cs="宋体"/>
                <w:color w:val="auto"/>
                <w:szCs w:val="24"/>
                <w:highlight w:val="none"/>
              </w:rPr>
            </w:pPr>
          </w:p>
        </w:tc>
      </w:tr>
      <w:tr w14:paraId="2FA74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99" w:type="dxa"/>
            <w:tcBorders>
              <w:tl2br w:val="nil"/>
              <w:tr2bl w:val="nil"/>
            </w:tcBorders>
            <w:noWrap w:val="0"/>
            <w:vAlign w:val="top"/>
          </w:tcPr>
          <w:p w14:paraId="7484FC84">
            <w:pPr>
              <w:shd w:val="clear" w:color="auto" w:fill="auto"/>
              <w:rPr>
                <w:rFonts w:hAnsi="宋体" w:cs="宋体"/>
                <w:color w:val="auto"/>
                <w:szCs w:val="24"/>
                <w:highlight w:val="none"/>
              </w:rPr>
            </w:pPr>
          </w:p>
        </w:tc>
        <w:tc>
          <w:tcPr>
            <w:tcW w:w="2336" w:type="dxa"/>
            <w:tcBorders>
              <w:tl2br w:val="nil"/>
              <w:tr2bl w:val="nil"/>
            </w:tcBorders>
            <w:noWrap w:val="0"/>
            <w:vAlign w:val="top"/>
          </w:tcPr>
          <w:p w14:paraId="3837E4DC">
            <w:pPr>
              <w:shd w:val="clear" w:color="auto" w:fill="auto"/>
              <w:rPr>
                <w:rFonts w:hAnsi="宋体" w:cs="宋体"/>
                <w:color w:val="auto"/>
                <w:szCs w:val="24"/>
                <w:highlight w:val="none"/>
              </w:rPr>
            </w:pPr>
          </w:p>
        </w:tc>
        <w:tc>
          <w:tcPr>
            <w:tcW w:w="3385" w:type="dxa"/>
            <w:tcBorders>
              <w:tl2br w:val="nil"/>
              <w:tr2bl w:val="nil"/>
            </w:tcBorders>
            <w:noWrap w:val="0"/>
            <w:vAlign w:val="top"/>
          </w:tcPr>
          <w:p w14:paraId="3920C19E">
            <w:pPr>
              <w:shd w:val="clear" w:color="auto" w:fill="auto"/>
              <w:rPr>
                <w:rFonts w:hAnsi="宋体" w:cs="宋体"/>
                <w:color w:val="auto"/>
                <w:szCs w:val="24"/>
                <w:highlight w:val="none"/>
              </w:rPr>
            </w:pPr>
          </w:p>
        </w:tc>
        <w:tc>
          <w:tcPr>
            <w:tcW w:w="1905" w:type="dxa"/>
            <w:tcBorders>
              <w:tl2br w:val="nil"/>
              <w:tr2bl w:val="nil"/>
            </w:tcBorders>
            <w:noWrap w:val="0"/>
            <w:vAlign w:val="top"/>
          </w:tcPr>
          <w:p w14:paraId="55E1745A">
            <w:pPr>
              <w:shd w:val="clear" w:color="auto" w:fill="auto"/>
              <w:rPr>
                <w:rFonts w:hAnsi="宋体" w:cs="宋体"/>
                <w:color w:val="auto"/>
                <w:szCs w:val="24"/>
                <w:highlight w:val="none"/>
              </w:rPr>
            </w:pPr>
          </w:p>
        </w:tc>
      </w:tr>
      <w:tr w14:paraId="1DBA4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99" w:type="dxa"/>
            <w:tcBorders>
              <w:tl2br w:val="nil"/>
              <w:tr2bl w:val="nil"/>
            </w:tcBorders>
            <w:noWrap w:val="0"/>
            <w:vAlign w:val="top"/>
          </w:tcPr>
          <w:p w14:paraId="6EC8B696">
            <w:pPr>
              <w:shd w:val="clear" w:color="auto" w:fill="auto"/>
              <w:rPr>
                <w:rFonts w:hAnsi="宋体" w:cs="宋体"/>
                <w:color w:val="auto"/>
                <w:szCs w:val="24"/>
                <w:highlight w:val="none"/>
              </w:rPr>
            </w:pPr>
          </w:p>
        </w:tc>
        <w:tc>
          <w:tcPr>
            <w:tcW w:w="2336" w:type="dxa"/>
            <w:tcBorders>
              <w:tl2br w:val="nil"/>
              <w:tr2bl w:val="nil"/>
            </w:tcBorders>
            <w:noWrap w:val="0"/>
            <w:vAlign w:val="top"/>
          </w:tcPr>
          <w:p w14:paraId="4F4C20BE">
            <w:pPr>
              <w:shd w:val="clear" w:color="auto" w:fill="auto"/>
              <w:rPr>
                <w:rFonts w:hAnsi="宋体" w:cs="宋体"/>
                <w:color w:val="auto"/>
                <w:szCs w:val="24"/>
                <w:highlight w:val="none"/>
              </w:rPr>
            </w:pPr>
          </w:p>
        </w:tc>
        <w:tc>
          <w:tcPr>
            <w:tcW w:w="3385" w:type="dxa"/>
            <w:tcBorders>
              <w:tl2br w:val="nil"/>
              <w:tr2bl w:val="nil"/>
            </w:tcBorders>
            <w:noWrap w:val="0"/>
            <w:vAlign w:val="top"/>
          </w:tcPr>
          <w:p w14:paraId="299C9ADD">
            <w:pPr>
              <w:shd w:val="clear" w:color="auto" w:fill="auto"/>
              <w:rPr>
                <w:rFonts w:hAnsi="宋体" w:cs="宋体"/>
                <w:color w:val="auto"/>
                <w:szCs w:val="24"/>
                <w:highlight w:val="none"/>
              </w:rPr>
            </w:pPr>
          </w:p>
        </w:tc>
        <w:tc>
          <w:tcPr>
            <w:tcW w:w="1905" w:type="dxa"/>
            <w:tcBorders>
              <w:tl2br w:val="nil"/>
              <w:tr2bl w:val="nil"/>
            </w:tcBorders>
            <w:noWrap w:val="0"/>
            <w:vAlign w:val="top"/>
          </w:tcPr>
          <w:p w14:paraId="0CAC32EC">
            <w:pPr>
              <w:shd w:val="clear" w:color="auto" w:fill="auto"/>
              <w:rPr>
                <w:rFonts w:hAnsi="宋体" w:cs="宋体"/>
                <w:color w:val="auto"/>
                <w:szCs w:val="24"/>
                <w:highlight w:val="none"/>
              </w:rPr>
            </w:pPr>
          </w:p>
        </w:tc>
      </w:tr>
      <w:tr w14:paraId="1E0D9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99" w:type="dxa"/>
            <w:tcBorders>
              <w:tl2br w:val="nil"/>
              <w:tr2bl w:val="nil"/>
            </w:tcBorders>
            <w:noWrap w:val="0"/>
            <w:vAlign w:val="top"/>
          </w:tcPr>
          <w:p w14:paraId="5428C1AD">
            <w:pPr>
              <w:shd w:val="clear" w:color="auto" w:fill="auto"/>
              <w:rPr>
                <w:rFonts w:hAnsi="宋体" w:cs="宋体"/>
                <w:color w:val="auto"/>
                <w:szCs w:val="24"/>
                <w:highlight w:val="none"/>
              </w:rPr>
            </w:pPr>
          </w:p>
        </w:tc>
        <w:tc>
          <w:tcPr>
            <w:tcW w:w="2336" w:type="dxa"/>
            <w:tcBorders>
              <w:tl2br w:val="nil"/>
              <w:tr2bl w:val="nil"/>
            </w:tcBorders>
            <w:noWrap w:val="0"/>
            <w:vAlign w:val="top"/>
          </w:tcPr>
          <w:p w14:paraId="330B1A39">
            <w:pPr>
              <w:shd w:val="clear" w:color="auto" w:fill="auto"/>
              <w:rPr>
                <w:rFonts w:hAnsi="宋体" w:cs="宋体"/>
                <w:color w:val="auto"/>
                <w:szCs w:val="24"/>
                <w:highlight w:val="none"/>
              </w:rPr>
            </w:pPr>
          </w:p>
        </w:tc>
        <w:tc>
          <w:tcPr>
            <w:tcW w:w="3385" w:type="dxa"/>
            <w:tcBorders>
              <w:tl2br w:val="nil"/>
              <w:tr2bl w:val="nil"/>
            </w:tcBorders>
            <w:noWrap w:val="0"/>
            <w:vAlign w:val="top"/>
          </w:tcPr>
          <w:p w14:paraId="0D6B5ED0">
            <w:pPr>
              <w:shd w:val="clear" w:color="auto" w:fill="auto"/>
              <w:rPr>
                <w:rFonts w:hAnsi="宋体" w:cs="宋体"/>
                <w:color w:val="auto"/>
                <w:szCs w:val="24"/>
                <w:highlight w:val="none"/>
              </w:rPr>
            </w:pPr>
          </w:p>
        </w:tc>
        <w:tc>
          <w:tcPr>
            <w:tcW w:w="1905" w:type="dxa"/>
            <w:tcBorders>
              <w:tl2br w:val="nil"/>
              <w:tr2bl w:val="nil"/>
            </w:tcBorders>
            <w:noWrap w:val="0"/>
            <w:vAlign w:val="top"/>
          </w:tcPr>
          <w:p w14:paraId="476C545B">
            <w:pPr>
              <w:shd w:val="clear" w:color="auto" w:fill="auto"/>
              <w:rPr>
                <w:rFonts w:hAnsi="宋体" w:cs="宋体"/>
                <w:color w:val="auto"/>
                <w:szCs w:val="24"/>
                <w:highlight w:val="none"/>
              </w:rPr>
            </w:pPr>
          </w:p>
        </w:tc>
      </w:tr>
      <w:tr w14:paraId="24249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9" w:type="dxa"/>
            <w:tcBorders>
              <w:tl2br w:val="nil"/>
              <w:tr2bl w:val="nil"/>
            </w:tcBorders>
            <w:noWrap w:val="0"/>
            <w:vAlign w:val="top"/>
          </w:tcPr>
          <w:p w14:paraId="13828697">
            <w:pPr>
              <w:shd w:val="clear" w:color="auto" w:fill="auto"/>
              <w:rPr>
                <w:rFonts w:hAnsi="宋体" w:cs="宋体"/>
                <w:color w:val="auto"/>
                <w:szCs w:val="24"/>
                <w:highlight w:val="none"/>
              </w:rPr>
            </w:pPr>
          </w:p>
        </w:tc>
        <w:tc>
          <w:tcPr>
            <w:tcW w:w="2336" w:type="dxa"/>
            <w:tcBorders>
              <w:tl2br w:val="nil"/>
              <w:tr2bl w:val="nil"/>
            </w:tcBorders>
            <w:noWrap w:val="0"/>
            <w:vAlign w:val="top"/>
          </w:tcPr>
          <w:p w14:paraId="1E1BFF17">
            <w:pPr>
              <w:shd w:val="clear" w:color="auto" w:fill="auto"/>
              <w:rPr>
                <w:rFonts w:hAnsi="宋体" w:cs="宋体"/>
                <w:color w:val="auto"/>
                <w:szCs w:val="24"/>
                <w:highlight w:val="none"/>
              </w:rPr>
            </w:pPr>
          </w:p>
        </w:tc>
        <w:tc>
          <w:tcPr>
            <w:tcW w:w="3385" w:type="dxa"/>
            <w:tcBorders>
              <w:tl2br w:val="nil"/>
              <w:tr2bl w:val="nil"/>
            </w:tcBorders>
            <w:noWrap w:val="0"/>
            <w:vAlign w:val="top"/>
          </w:tcPr>
          <w:p w14:paraId="3654A159">
            <w:pPr>
              <w:shd w:val="clear" w:color="auto" w:fill="auto"/>
              <w:rPr>
                <w:rFonts w:hAnsi="宋体" w:cs="宋体"/>
                <w:color w:val="auto"/>
                <w:szCs w:val="24"/>
                <w:highlight w:val="none"/>
              </w:rPr>
            </w:pPr>
          </w:p>
        </w:tc>
        <w:tc>
          <w:tcPr>
            <w:tcW w:w="1905" w:type="dxa"/>
            <w:tcBorders>
              <w:tl2br w:val="nil"/>
              <w:tr2bl w:val="nil"/>
            </w:tcBorders>
            <w:noWrap w:val="0"/>
            <w:vAlign w:val="top"/>
          </w:tcPr>
          <w:p w14:paraId="4D8703A8">
            <w:pPr>
              <w:shd w:val="clear" w:color="auto" w:fill="auto"/>
              <w:rPr>
                <w:rFonts w:hAnsi="宋体" w:cs="宋体"/>
                <w:color w:val="auto"/>
                <w:szCs w:val="24"/>
                <w:highlight w:val="none"/>
              </w:rPr>
            </w:pPr>
          </w:p>
        </w:tc>
      </w:tr>
      <w:tr w14:paraId="3D542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99" w:type="dxa"/>
            <w:tcBorders>
              <w:tl2br w:val="nil"/>
              <w:tr2bl w:val="nil"/>
            </w:tcBorders>
            <w:noWrap w:val="0"/>
            <w:vAlign w:val="top"/>
          </w:tcPr>
          <w:p w14:paraId="1CC52BAC">
            <w:pPr>
              <w:shd w:val="clear" w:color="auto" w:fill="auto"/>
              <w:rPr>
                <w:rFonts w:hAnsi="宋体" w:cs="宋体"/>
                <w:color w:val="auto"/>
                <w:szCs w:val="24"/>
                <w:highlight w:val="none"/>
              </w:rPr>
            </w:pPr>
          </w:p>
        </w:tc>
        <w:tc>
          <w:tcPr>
            <w:tcW w:w="2336" w:type="dxa"/>
            <w:tcBorders>
              <w:tl2br w:val="nil"/>
              <w:tr2bl w:val="nil"/>
            </w:tcBorders>
            <w:noWrap w:val="0"/>
            <w:vAlign w:val="top"/>
          </w:tcPr>
          <w:p w14:paraId="3EC2FC59">
            <w:pPr>
              <w:shd w:val="clear" w:color="auto" w:fill="auto"/>
              <w:rPr>
                <w:rFonts w:hAnsi="宋体" w:cs="宋体"/>
                <w:color w:val="auto"/>
                <w:szCs w:val="24"/>
                <w:highlight w:val="none"/>
              </w:rPr>
            </w:pPr>
          </w:p>
        </w:tc>
        <w:tc>
          <w:tcPr>
            <w:tcW w:w="3385" w:type="dxa"/>
            <w:tcBorders>
              <w:tl2br w:val="nil"/>
              <w:tr2bl w:val="nil"/>
            </w:tcBorders>
            <w:noWrap w:val="0"/>
            <w:vAlign w:val="top"/>
          </w:tcPr>
          <w:p w14:paraId="18A9A0AB">
            <w:pPr>
              <w:shd w:val="clear" w:color="auto" w:fill="auto"/>
              <w:rPr>
                <w:rFonts w:hAnsi="宋体" w:cs="宋体"/>
                <w:color w:val="auto"/>
                <w:szCs w:val="24"/>
                <w:highlight w:val="none"/>
              </w:rPr>
            </w:pPr>
          </w:p>
        </w:tc>
        <w:tc>
          <w:tcPr>
            <w:tcW w:w="1905" w:type="dxa"/>
            <w:tcBorders>
              <w:tl2br w:val="nil"/>
              <w:tr2bl w:val="nil"/>
            </w:tcBorders>
            <w:noWrap w:val="0"/>
            <w:vAlign w:val="top"/>
          </w:tcPr>
          <w:p w14:paraId="5E7EB760">
            <w:pPr>
              <w:shd w:val="clear" w:color="auto" w:fill="auto"/>
              <w:rPr>
                <w:rFonts w:hAnsi="宋体" w:cs="宋体"/>
                <w:color w:val="auto"/>
                <w:szCs w:val="24"/>
                <w:highlight w:val="none"/>
              </w:rPr>
            </w:pPr>
          </w:p>
        </w:tc>
      </w:tr>
    </w:tbl>
    <w:p w14:paraId="755BB36A">
      <w:pPr>
        <w:pStyle w:val="6"/>
        <w:rPr>
          <w:rFonts w:hint="default" w:ascii="Times New Roman" w:hAnsi="宋体" w:eastAsia="宋体" w:cs="宋体"/>
          <w:b/>
          <w:color w:val="auto"/>
          <w:kern w:val="2"/>
          <w:sz w:val="21"/>
          <w:szCs w:val="24"/>
          <w:highlight w:val="none"/>
          <w:u w:val="none"/>
          <w:lang w:val="en-US" w:eastAsia="zh-CN" w:bidi="ar"/>
        </w:rPr>
      </w:pPr>
      <w:r>
        <w:rPr>
          <w:rFonts w:hint="eastAsia" w:ascii="Times New Roman" w:hAnsi="宋体" w:eastAsia="宋体" w:cs="宋体"/>
          <w:b/>
          <w:color w:val="auto"/>
          <w:kern w:val="2"/>
          <w:sz w:val="21"/>
          <w:szCs w:val="24"/>
          <w:highlight w:val="none"/>
          <w:u w:val="none"/>
          <w:lang w:val="en-US" w:eastAsia="zh-CN" w:bidi="ar"/>
        </w:rPr>
        <w:t>附2022年1月至今的合同复印件或扫描件</w:t>
      </w:r>
    </w:p>
    <w:p w14:paraId="4B01450F">
      <w:pPr>
        <w:rPr>
          <w:rFonts w:hint="eastAsia" w:hAnsi="宋体" w:cs="宋体"/>
          <w:b/>
          <w:bCs/>
          <w:color w:val="auto"/>
          <w:sz w:val="32"/>
          <w:szCs w:val="32"/>
          <w:highlight w:val="none"/>
        </w:rPr>
      </w:pPr>
    </w:p>
    <w:p w14:paraId="68E2478E">
      <w:pPr>
        <w:rPr>
          <w:rFonts w:hint="eastAsia" w:hAnsi="宋体" w:cs="宋体"/>
          <w:b/>
          <w:bCs/>
          <w:color w:val="auto"/>
          <w:sz w:val="32"/>
          <w:szCs w:val="32"/>
          <w:highlight w:val="none"/>
        </w:rPr>
      </w:pPr>
    </w:p>
    <w:p w14:paraId="2E080EA9">
      <w:pPr>
        <w:rPr>
          <w:rFonts w:hint="eastAsia" w:hAnsi="宋体" w:cs="宋体"/>
          <w:b/>
          <w:bCs/>
          <w:color w:val="auto"/>
          <w:sz w:val="32"/>
          <w:szCs w:val="32"/>
          <w:highlight w:val="none"/>
        </w:rPr>
      </w:pPr>
    </w:p>
    <w:p w14:paraId="5A09D8D6">
      <w:pPr>
        <w:rPr>
          <w:rFonts w:hint="eastAsia" w:hAnsi="宋体" w:cs="宋体"/>
          <w:b/>
          <w:bCs/>
          <w:color w:val="auto"/>
          <w:sz w:val="32"/>
          <w:szCs w:val="32"/>
          <w:highlight w:val="none"/>
        </w:rPr>
      </w:pPr>
    </w:p>
    <w:p w14:paraId="741C6CAB">
      <w:pPr>
        <w:rPr>
          <w:rFonts w:hint="eastAsia" w:hAnsi="宋体" w:cs="宋体"/>
          <w:b/>
          <w:bCs/>
          <w:color w:val="auto"/>
          <w:sz w:val="32"/>
          <w:szCs w:val="32"/>
          <w:highlight w:val="none"/>
        </w:rPr>
      </w:pPr>
    </w:p>
    <w:p w14:paraId="2AD79003">
      <w:pPr>
        <w:rPr>
          <w:rFonts w:hint="eastAsia" w:hAnsi="宋体" w:cs="宋体"/>
          <w:b/>
          <w:bCs/>
          <w:color w:val="auto"/>
          <w:sz w:val="32"/>
          <w:szCs w:val="32"/>
          <w:highlight w:val="none"/>
        </w:rPr>
      </w:pPr>
    </w:p>
    <w:p w14:paraId="1C6511E4">
      <w:pPr>
        <w:rPr>
          <w:rFonts w:hint="eastAsia" w:hAnsi="宋体" w:cs="宋体"/>
          <w:b/>
          <w:bCs/>
          <w:color w:val="auto"/>
          <w:sz w:val="32"/>
          <w:szCs w:val="32"/>
          <w:highlight w:val="none"/>
        </w:rPr>
      </w:pPr>
    </w:p>
    <w:p w14:paraId="600062A1">
      <w:pPr>
        <w:rPr>
          <w:rFonts w:hint="eastAsia" w:hAnsi="宋体" w:cs="宋体"/>
          <w:b/>
          <w:bCs/>
          <w:color w:val="auto"/>
          <w:sz w:val="32"/>
          <w:szCs w:val="32"/>
          <w:highlight w:val="none"/>
        </w:rPr>
      </w:pPr>
    </w:p>
    <w:p w14:paraId="75D40F9C">
      <w:pPr>
        <w:rPr>
          <w:rFonts w:hint="eastAsia" w:hAnsi="宋体" w:cs="宋体"/>
          <w:b/>
          <w:bCs/>
          <w:color w:val="auto"/>
          <w:sz w:val="32"/>
          <w:szCs w:val="32"/>
          <w:highlight w:val="none"/>
        </w:rPr>
      </w:pPr>
    </w:p>
    <w:p w14:paraId="22459862">
      <w:pPr>
        <w:rPr>
          <w:rFonts w:hint="eastAsia" w:hAnsi="宋体" w:cs="宋体"/>
          <w:b/>
          <w:bCs/>
          <w:color w:val="auto"/>
          <w:sz w:val="32"/>
          <w:szCs w:val="32"/>
          <w:highlight w:val="none"/>
        </w:rPr>
      </w:pPr>
    </w:p>
    <w:p w14:paraId="5DE0BB4B">
      <w:pPr>
        <w:rPr>
          <w:rFonts w:hint="eastAsia" w:hAnsi="宋体" w:cs="宋体"/>
          <w:b/>
          <w:bCs/>
          <w:color w:val="auto"/>
          <w:sz w:val="32"/>
          <w:szCs w:val="32"/>
          <w:highlight w:val="none"/>
        </w:rPr>
      </w:pPr>
    </w:p>
    <w:p w14:paraId="654D0D54">
      <w:pPr>
        <w:pStyle w:val="4"/>
        <w:keepNext w:val="0"/>
        <w:keepLines w:val="0"/>
        <w:pageBreakBefore w:val="0"/>
        <w:widowControl w:val="0"/>
        <w:numPr>
          <w:ilvl w:val="0"/>
          <w:numId w:val="0"/>
        </w:numPr>
        <w:kinsoku/>
        <w:wordWrap/>
        <w:overflowPunct/>
        <w:topLinePunct w:val="0"/>
        <w:autoSpaceDE/>
        <w:autoSpaceDN/>
        <w:bidi w:val="0"/>
        <w:adjustRightInd/>
        <w:snapToGrid/>
        <w:spacing w:before="168" w:beforeLines="50" w:after="0" w:line="360" w:lineRule="auto"/>
        <w:jc w:val="center"/>
        <w:textAlignment w:val="auto"/>
        <w:outlineLvl w:val="1"/>
        <w:rPr>
          <w:rFonts w:hint="eastAsia" w:ascii="宋体" w:hAnsi="宋体" w:eastAsia="宋体" w:cs="宋体"/>
          <w:b w:val="0"/>
          <w:bCs/>
          <w:color w:val="auto"/>
          <w:sz w:val="28"/>
          <w:szCs w:val="28"/>
          <w:highlight w:val="none"/>
          <w:lang w:eastAsia="zh-CN"/>
        </w:rPr>
      </w:pPr>
      <w:r>
        <w:rPr>
          <w:rFonts w:hint="eastAsia"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val="en-US" w:eastAsia="zh-CN"/>
        </w:rPr>
        <w:t>、供应商认为需要提交的其他资料</w:t>
      </w:r>
    </w:p>
    <w:p w14:paraId="71ACC0DE">
      <w:pPr>
        <w:ind w:firstLine="560" w:firstLineChars="200"/>
        <w:rPr>
          <w:rFonts w:hint="eastAsia" w:ascii="宋体" w:hAnsi="宋体" w:eastAsia="宋体" w:cs="宋体"/>
          <w:b w:val="0"/>
          <w:bCs/>
          <w:color w:val="auto"/>
          <w:sz w:val="28"/>
          <w:szCs w:val="28"/>
          <w:highlight w:val="none"/>
          <w:lang w:eastAsia="zh-CN"/>
        </w:rPr>
      </w:pPr>
    </w:p>
    <w:p w14:paraId="4E6AD0FC">
      <w:pPr>
        <w:pStyle w:val="6"/>
        <w:rPr>
          <w:rFonts w:hint="eastAsia" w:hAnsi="宋体" w:cs="宋体"/>
          <w:b/>
          <w:bCs/>
          <w:color w:val="auto"/>
          <w:sz w:val="32"/>
          <w:szCs w:val="32"/>
          <w:highlight w:val="none"/>
        </w:rPr>
      </w:pPr>
    </w:p>
    <w:p w14:paraId="7567E61F">
      <w:pPr>
        <w:rPr>
          <w:rFonts w:hint="eastAsia" w:hAnsi="宋体" w:cs="宋体"/>
          <w:b/>
          <w:bCs/>
          <w:color w:val="auto"/>
          <w:sz w:val="32"/>
          <w:szCs w:val="32"/>
          <w:highlight w:val="none"/>
        </w:rPr>
      </w:pPr>
    </w:p>
    <w:p w14:paraId="2BA2092F">
      <w:pPr>
        <w:pStyle w:val="6"/>
        <w:rPr>
          <w:rFonts w:hint="eastAsia" w:hAnsi="宋体" w:cs="宋体"/>
          <w:b/>
          <w:bCs/>
          <w:color w:val="auto"/>
          <w:sz w:val="32"/>
          <w:szCs w:val="32"/>
          <w:highlight w:val="none"/>
        </w:rPr>
      </w:pPr>
    </w:p>
    <w:p w14:paraId="1C6387DE">
      <w:pPr>
        <w:rPr>
          <w:rFonts w:hint="eastAsia" w:hAnsi="宋体" w:cs="宋体"/>
          <w:b/>
          <w:bCs/>
          <w:color w:val="auto"/>
          <w:sz w:val="32"/>
          <w:szCs w:val="32"/>
          <w:highlight w:val="none"/>
        </w:rPr>
      </w:pPr>
    </w:p>
    <w:p w14:paraId="05DC9E7D">
      <w:pPr>
        <w:pStyle w:val="6"/>
        <w:rPr>
          <w:rFonts w:hint="eastAsia" w:hAnsi="宋体" w:cs="宋体"/>
          <w:b/>
          <w:bCs/>
          <w:color w:val="auto"/>
          <w:sz w:val="32"/>
          <w:szCs w:val="32"/>
          <w:highlight w:val="none"/>
        </w:rPr>
      </w:pPr>
    </w:p>
    <w:p w14:paraId="02510592">
      <w:pPr>
        <w:rPr>
          <w:rFonts w:hint="eastAsia" w:hAnsi="宋体" w:cs="宋体"/>
          <w:b/>
          <w:bCs/>
          <w:color w:val="auto"/>
          <w:sz w:val="32"/>
          <w:szCs w:val="32"/>
          <w:highlight w:val="none"/>
        </w:rPr>
      </w:pPr>
    </w:p>
    <w:p w14:paraId="42698132">
      <w:pPr>
        <w:pStyle w:val="6"/>
        <w:rPr>
          <w:rFonts w:hint="eastAsia" w:hAnsi="宋体" w:cs="宋体"/>
          <w:b/>
          <w:bCs/>
          <w:color w:val="auto"/>
          <w:sz w:val="32"/>
          <w:szCs w:val="32"/>
          <w:highlight w:val="none"/>
        </w:rPr>
      </w:pPr>
    </w:p>
    <w:p w14:paraId="6C81119B">
      <w:pPr>
        <w:rPr>
          <w:rFonts w:hint="eastAsia" w:hAnsi="宋体" w:cs="宋体"/>
          <w:b/>
          <w:bCs/>
          <w:color w:val="auto"/>
          <w:sz w:val="32"/>
          <w:szCs w:val="32"/>
          <w:highlight w:val="none"/>
        </w:rPr>
      </w:pPr>
    </w:p>
    <w:p w14:paraId="325F4082">
      <w:pPr>
        <w:pStyle w:val="6"/>
        <w:rPr>
          <w:rFonts w:hint="eastAsia" w:hAnsi="宋体" w:cs="宋体"/>
          <w:b/>
          <w:bCs/>
          <w:color w:val="auto"/>
          <w:sz w:val="32"/>
          <w:szCs w:val="32"/>
          <w:highlight w:val="none"/>
        </w:rPr>
      </w:pPr>
    </w:p>
    <w:p w14:paraId="4205B853">
      <w:pPr>
        <w:rPr>
          <w:rFonts w:hint="eastAsia" w:hAnsi="宋体" w:cs="宋体"/>
          <w:b/>
          <w:bCs/>
          <w:color w:val="auto"/>
          <w:sz w:val="32"/>
          <w:szCs w:val="32"/>
          <w:highlight w:val="none"/>
        </w:rPr>
      </w:pPr>
    </w:p>
    <w:p w14:paraId="5ACA0313">
      <w:pPr>
        <w:pStyle w:val="6"/>
        <w:rPr>
          <w:rFonts w:hint="eastAsia" w:hAnsi="宋体" w:cs="宋体"/>
          <w:b/>
          <w:bCs/>
          <w:color w:val="auto"/>
          <w:sz w:val="32"/>
          <w:szCs w:val="32"/>
          <w:highlight w:val="none"/>
        </w:rPr>
      </w:pPr>
    </w:p>
    <w:p w14:paraId="50047DE2">
      <w:pPr>
        <w:rPr>
          <w:rFonts w:hint="eastAsia" w:hAnsi="宋体" w:cs="宋体"/>
          <w:b/>
          <w:bCs/>
          <w:color w:val="auto"/>
          <w:sz w:val="32"/>
          <w:szCs w:val="32"/>
          <w:highlight w:val="none"/>
        </w:rPr>
      </w:pPr>
    </w:p>
    <w:p w14:paraId="7A6DB34B">
      <w:pPr>
        <w:pStyle w:val="6"/>
        <w:rPr>
          <w:rFonts w:hint="eastAsia" w:hAnsi="宋体" w:cs="宋体"/>
          <w:b/>
          <w:bCs/>
          <w:color w:val="auto"/>
          <w:sz w:val="32"/>
          <w:szCs w:val="32"/>
          <w:highlight w:val="none"/>
        </w:rPr>
      </w:pPr>
    </w:p>
    <w:p w14:paraId="7C9F1360">
      <w:pPr>
        <w:rPr>
          <w:rFonts w:hint="eastAsia" w:hAnsi="宋体" w:cs="宋体"/>
          <w:b/>
          <w:bCs/>
          <w:color w:val="auto"/>
          <w:sz w:val="32"/>
          <w:szCs w:val="32"/>
          <w:highlight w:val="none"/>
        </w:rPr>
      </w:pPr>
    </w:p>
    <w:p w14:paraId="757619F3">
      <w:pPr>
        <w:pStyle w:val="6"/>
        <w:rPr>
          <w:rFonts w:hint="eastAsia" w:hAnsi="宋体" w:cs="宋体"/>
          <w:b/>
          <w:bCs/>
          <w:color w:val="auto"/>
          <w:sz w:val="32"/>
          <w:szCs w:val="32"/>
          <w:highlight w:val="none"/>
        </w:rPr>
      </w:pPr>
    </w:p>
    <w:p w14:paraId="6ACAEBD5">
      <w:pPr>
        <w:rPr>
          <w:rFonts w:hint="eastAsia" w:hAnsi="宋体" w:cs="宋体"/>
          <w:b/>
          <w:bCs/>
          <w:color w:val="auto"/>
          <w:sz w:val="32"/>
          <w:szCs w:val="32"/>
          <w:highlight w:val="none"/>
        </w:rPr>
      </w:pPr>
    </w:p>
    <w:p w14:paraId="47E94F7A">
      <w:pPr>
        <w:rPr>
          <w:rFonts w:hint="eastAsia"/>
          <w:color w:val="auto"/>
          <w:highlight w:val="none"/>
        </w:rPr>
      </w:pPr>
    </w:p>
    <w:p w14:paraId="79867212">
      <w:pPr>
        <w:pStyle w:val="12"/>
        <w:rPr>
          <w:rFonts w:hint="eastAsia"/>
          <w:color w:val="auto"/>
          <w:highlight w:val="none"/>
        </w:rPr>
      </w:pPr>
    </w:p>
    <w:p w14:paraId="4194E017">
      <w:pPr>
        <w:rPr>
          <w:rFonts w:hint="eastAsia"/>
          <w:color w:val="auto"/>
          <w:highlight w:val="none"/>
        </w:rPr>
      </w:pPr>
    </w:p>
    <w:p w14:paraId="3D722B78">
      <w:pPr>
        <w:pStyle w:val="12"/>
        <w:rPr>
          <w:rFonts w:hint="eastAsia"/>
          <w:color w:val="auto"/>
          <w:highlight w:val="none"/>
        </w:rPr>
      </w:pPr>
    </w:p>
    <w:p w14:paraId="7B098276">
      <w:pPr>
        <w:rPr>
          <w:rFonts w:hint="eastAsia"/>
          <w:color w:val="auto"/>
          <w:highlight w:val="none"/>
        </w:rPr>
      </w:pPr>
    </w:p>
    <w:p w14:paraId="6837B5B0">
      <w:pPr>
        <w:pStyle w:val="12"/>
        <w:rPr>
          <w:rFonts w:hint="eastAsia"/>
          <w:color w:val="auto"/>
          <w:highlight w:val="none"/>
        </w:rPr>
      </w:pPr>
    </w:p>
    <w:p w14:paraId="7064F191">
      <w:pPr>
        <w:rPr>
          <w:rFonts w:hint="eastAsia"/>
          <w:color w:val="auto"/>
          <w:highlight w:val="none"/>
        </w:rPr>
      </w:pPr>
    </w:p>
    <w:p w14:paraId="798E8AA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p>
    <w:p w14:paraId="5EB20831">
      <w:pPr>
        <w:spacing w:line="600" w:lineRule="exact"/>
        <w:jc w:val="center"/>
        <w:rPr>
          <w:rFonts w:hAnsi="宋体" w:cs="宋体"/>
          <w:b/>
          <w:bCs/>
          <w:color w:val="auto"/>
          <w:szCs w:val="24"/>
          <w:highlight w:val="none"/>
        </w:rPr>
      </w:pPr>
      <w:r>
        <w:rPr>
          <w:rFonts w:hint="eastAsia" w:hAnsi="宋体" w:cs="宋体"/>
          <w:b/>
          <w:bCs/>
          <w:color w:val="auto"/>
          <w:szCs w:val="24"/>
          <w:highlight w:val="none"/>
        </w:rPr>
        <w:t>（一）中小企业声明函</w:t>
      </w:r>
    </w:p>
    <w:p w14:paraId="74F968B9">
      <w:pPr>
        <w:pStyle w:val="12"/>
        <w:spacing w:line="302" w:lineRule="auto"/>
        <w:ind w:right="415" w:firstLine="640"/>
        <w:jc w:val="both"/>
        <w:rPr>
          <w:color w:val="auto"/>
          <w:spacing w:val="5"/>
          <w:szCs w:val="21"/>
          <w:highlight w:val="none"/>
        </w:rPr>
      </w:pPr>
    </w:p>
    <w:p w14:paraId="4A21664A">
      <w:pPr>
        <w:pStyle w:val="12"/>
        <w:spacing w:line="302" w:lineRule="auto"/>
        <w:ind w:right="415" w:firstLine="640"/>
        <w:jc w:val="both"/>
        <w:rPr>
          <w:color w:val="auto"/>
          <w:spacing w:val="5"/>
          <w:sz w:val="24"/>
          <w:szCs w:val="24"/>
          <w:highlight w:val="none"/>
        </w:rPr>
      </w:pPr>
      <w:r>
        <w:rPr>
          <w:color w:val="auto"/>
          <w:spacing w:val="5"/>
          <w:sz w:val="24"/>
          <w:szCs w:val="24"/>
          <w:highlight w:val="none"/>
        </w:rPr>
        <w:t>本公司郑重声明，根据《政府采购促进中小企业发展管理办法》（财库</w:t>
      </w:r>
      <w:r>
        <w:rPr>
          <w:rFonts w:hint="eastAsia"/>
          <w:color w:val="auto"/>
          <w:spacing w:val="5"/>
          <w:sz w:val="24"/>
          <w:szCs w:val="24"/>
          <w:highlight w:val="none"/>
        </w:rPr>
        <w:t>﹝</w:t>
      </w:r>
      <w:r>
        <w:rPr>
          <w:color w:val="auto"/>
          <w:spacing w:val="5"/>
          <w:sz w:val="24"/>
          <w:szCs w:val="24"/>
          <w:highlight w:val="none"/>
        </w:rPr>
        <w:t>2020</w:t>
      </w:r>
      <w:r>
        <w:rPr>
          <w:rFonts w:hint="eastAsia"/>
          <w:color w:val="auto"/>
          <w:spacing w:val="5"/>
          <w:sz w:val="24"/>
          <w:szCs w:val="24"/>
          <w:highlight w:val="none"/>
        </w:rPr>
        <w:t>﹞</w:t>
      </w:r>
      <w:r>
        <w:rPr>
          <w:color w:val="auto"/>
          <w:spacing w:val="5"/>
          <w:sz w:val="24"/>
          <w:szCs w:val="24"/>
          <w:highlight w:val="none"/>
        </w:rPr>
        <w:t>46 号）的规定，本公司参加</w:t>
      </w:r>
      <w:r>
        <w:rPr>
          <w:rFonts w:hint="eastAsia"/>
          <w:color w:val="auto"/>
          <w:spacing w:val="5"/>
          <w:sz w:val="24"/>
          <w:szCs w:val="24"/>
          <w:highlight w:val="none"/>
          <w:u w:val="single"/>
        </w:rPr>
        <w:t xml:space="preserve">        </w:t>
      </w:r>
      <w:r>
        <w:rPr>
          <w:color w:val="auto"/>
          <w:spacing w:val="5"/>
          <w:sz w:val="24"/>
          <w:szCs w:val="24"/>
          <w:highlight w:val="none"/>
          <w:u w:val="single"/>
        </w:rPr>
        <w:t>（单位名称）</w:t>
      </w:r>
      <w:r>
        <w:rPr>
          <w:color w:val="auto"/>
          <w:spacing w:val="5"/>
          <w:sz w:val="24"/>
          <w:szCs w:val="24"/>
          <w:highlight w:val="none"/>
        </w:rPr>
        <w:t>的</w:t>
      </w:r>
      <w:r>
        <w:rPr>
          <w:rFonts w:hint="eastAsia"/>
          <w:color w:val="auto"/>
          <w:spacing w:val="5"/>
          <w:sz w:val="24"/>
          <w:szCs w:val="24"/>
          <w:highlight w:val="none"/>
          <w:u w:val="single"/>
        </w:rPr>
        <w:t xml:space="preserve">      </w:t>
      </w:r>
      <w:r>
        <w:rPr>
          <w:color w:val="auto"/>
          <w:spacing w:val="5"/>
          <w:sz w:val="24"/>
          <w:szCs w:val="24"/>
          <w:highlight w:val="none"/>
          <w:u w:val="single"/>
        </w:rPr>
        <w:t>（项目名称）</w:t>
      </w:r>
      <w:r>
        <w:rPr>
          <w:color w:val="auto"/>
          <w:spacing w:val="5"/>
          <w:sz w:val="24"/>
          <w:szCs w:val="24"/>
          <w:highlight w:val="none"/>
        </w:rPr>
        <w:t>采购活动，服务全部由符合政策要求的中小企业承接。相关企业的具体情况如下：</w:t>
      </w:r>
    </w:p>
    <w:p w14:paraId="7B22E3B7">
      <w:pPr>
        <w:pStyle w:val="12"/>
        <w:spacing w:line="302" w:lineRule="auto"/>
        <w:ind w:right="415" w:firstLine="640"/>
        <w:jc w:val="both"/>
        <w:rPr>
          <w:color w:val="auto"/>
          <w:spacing w:val="5"/>
          <w:sz w:val="24"/>
          <w:szCs w:val="24"/>
          <w:highlight w:val="none"/>
        </w:rPr>
      </w:pPr>
      <w:r>
        <w:rPr>
          <w:rFonts w:hint="eastAsia"/>
          <w:color w:val="auto"/>
          <w:spacing w:val="5"/>
          <w:sz w:val="24"/>
          <w:szCs w:val="24"/>
          <w:highlight w:val="none"/>
          <w:u w:val="single"/>
        </w:rPr>
        <w:t xml:space="preserve">      </w:t>
      </w:r>
      <w:r>
        <w:rPr>
          <w:color w:val="auto"/>
          <w:spacing w:val="5"/>
          <w:sz w:val="24"/>
          <w:szCs w:val="24"/>
          <w:highlight w:val="none"/>
          <w:u w:val="single"/>
        </w:rPr>
        <w:t>（标的名称）</w:t>
      </w:r>
      <w:r>
        <w:rPr>
          <w:rFonts w:hint="eastAsia"/>
          <w:color w:val="auto"/>
          <w:spacing w:val="5"/>
          <w:sz w:val="24"/>
          <w:szCs w:val="24"/>
          <w:highlight w:val="none"/>
          <w:u w:val="single"/>
        </w:rPr>
        <w:t xml:space="preserve"> </w:t>
      </w:r>
      <w:r>
        <w:rPr>
          <w:color w:val="auto"/>
          <w:spacing w:val="5"/>
          <w:sz w:val="24"/>
          <w:szCs w:val="24"/>
          <w:highlight w:val="none"/>
        </w:rPr>
        <w:t>，属于</w:t>
      </w:r>
      <w:r>
        <w:rPr>
          <w:rFonts w:hint="eastAsia"/>
          <w:color w:val="auto"/>
          <w:spacing w:val="5"/>
          <w:sz w:val="24"/>
          <w:szCs w:val="24"/>
          <w:highlight w:val="none"/>
          <w:u w:val="single"/>
        </w:rPr>
        <w:t xml:space="preserve">      </w:t>
      </w:r>
      <w:r>
        <w:rPr>
          <w:color w:val="auto"/>
          <w:spacing w:val="5"/>
          <w:sz w:val="24"/>
          <w:szCs w:val="24"/>
          <w:highlight w:val="none"/>
          <w:u w:val="single"/>
        </w:rPr>
        <w:t>（采购文件中明确的所属行业）</w:t>
      </w:r>
      <w:r>
        <w:rPr>
          <w:color w:val="auto"/>
          <w:spacing w:val="5"/>
          <w:sz w:val="24"/>
          <w:szCs w:val="24"/>
          <w:highlight w:val="none"/>
        </w:rPr>
        <w:t>；承接企业为</w:t>
      </w:r>
      <w:r>
        <w:rPr>
          <w:rFonts w:hint="eastAsia"/>
          <w:color w:val="auto"/>
          <w:spacing w:val="5"/>
          <w:sz w:val="24"/>
          <w:szCs w:val="24"/>
          <w:highlight w:val="none"/>
          <w:u w:val="single"/>
        </w:rPr>
        <w:t xml:space="preserve">       </w:t>
      </w:r>
      <w:r>
        <w:rPr>
          <w:color w:val="auto"/>
          <w:spacing w:val="5"/>
          <w:sz w:val="24"/>
          <w:szCs w:val="24"/>
          <w:highlight w:val="none"/>
          <w:u w:val="single"/>
        </w:rPr>
        <w:t>（企业名称）</w:t>
      </w:r>
      <w:r>
        <w:rPr>
          <w:rFonts w:hint="eastAsia"/>
          <w:color w:val="auto"/>
          <w:spacing w:val="5"/>
          <w:sz w:val="24"/>
          <w:szCs w:val="24"/>
          <w:highlight w:val="none"/>
          <w:u w:val="single"/>
        </w:rPr>
        <w:t xml:space="preserve">             </w:t>
      </w:r>
      <w:r>
        <w:rPr>
          <w:color w:val="auto"/>
          <w:spacing w:val="5"/>
          <w:sz w:val="24"/>
          <w:szCs w:val="24"/>
          <w:highlight w:val="none"/>
        </w:rPr>
        <w:t>，从业人员</w:t>
      </w:r>
      <w:r>
        <w:rPr>
          <w:rFonts w:hint="eastAsia"/>
          <w:color w:val="auto"/>
          <w:spacing w:val="5"/>
          <w:sz w:val="24"/>
          <w:szCs w:val="24"/>
          <w:highlight w:val="none"/>
          <w:u w:val="single"/>
        </w:rPr>
        <w:t xml:space="preserve">           </w:t>
      </w:r>
      <w:r>
        <w:rPr>
          <w:color w:val="auto"/>
          <w:spacing w:val="5"/>
          <w:sz w:val="24"/>
          <w:szCs w:val="24"/>
          <w:highlight w:val="none"/>
        </w:rPr>
        <w:t>人，营业收入为</w:t>
      </w:r>
      <w:r>
        <w:rPr>
          <w:rFonts w:hint="eastAsia"/>
          <w:color w:val="auto"/>
          <w:spacing w:val="5"/>
          <w:sz w:val="24"/>
          <w:szCs w:val="24"/>
          <w:highlight w:val="none"/>
          <w:u w:val="single"/>
        </w:rPr>
        <w:t xml:space="preserve">        </w:t>
      </w:r>
      <w:r>
        <w:rPr>
          <w:color w:val="auto"/>
          <w:spacing w:val="5"/>
          <w:sz w:val="24"/>
          <w:szCs w:val="24"/>
          <w:highlight w:val="none"/>
        </w:rPr>
        <w:t>万元，资产总额为</w:t>
      </w:r>
      <w:r>
        <w:rPr>
          <w:rFonts w:hint="eastAsia"/>
          <w:color w:val="auto"/>
          <w:spacing w:val="5"/>
          <w:sz w:val="24"/>
          <w:szCs w:val="24"/>
          <w:highlight w:val="none"/>
          <w:u w:val="single"/>
        </w:rPr>
        <w:t xml:space="preserve">         </w:t>
      </w:r>
      <w:r>
        <w:rPr>
          <w:color w:val="auto"/>
          <w:spacing w:val="5"/>
          <w:sz w:val="24"/>
          <w:szCs w:val="24"/>
          <w:highlight w:val="none"/>
        </w:rPr>
        <w:t>万元，属于</w:t>
      </w:r>
      <w:r>
        <w:rPr>
          <w:rFonts w:hint="eastAsia"/>
          <w:color w:val="auto"/>
          <w:spacing w:val="5"/>
          <w:sz w:val="24"/>
          <w:szCs w:val="24"/>
          <w:highlight w:val="none"/>
          <w:u w:val="single"/>
        </w:rPr>
        <w:t xml:space="preserve">            </w:t>
      </w:r>
      <w:r>
        <w:rPr>
          <w:color w:val="auto"/>
          <w:spacing w:val="5"/>
          <w:sz w:val="24"/>
          <w:szCs w:val="24"/>
          <w:highlight w:val="none"/>
          <w:u w:val="single"/>
        </w:rPr>
        <w:t>（中型企业</w:t>
      </w:r>
      <w:r>
        <w:rPr>
          <w:rFonts w:hint="eastAsia"/>
          <w:color w:val="auto"/>
          <w:spacing w:val="5"/>
          <w:sz w:val="24"/>
          <w:szCs w:val="24"/>
          <w:highlight w:val="none"/>
          <w:u w:val="single"/>
        </w:rPr>
        <w:t>/</w:t>
      </w:r>
      <w:r>
        <w:rPr>
          <w:color w:val="auto"/>
          <w:spacing w:val="5"/>
          <w:sz w:val="24"/>
          <w:szCs w:val="24"/>
          <w:highlight w:val="none"/>
          <w:u w:val="single"/>
        </w:rPr>
        <w:t>小型企业</w:t>
      </w:r>
      <w:r>
        <w:rPr>
          <w:rFonts w:hint="eastAsia"/>
          <w:color w:val="auto"/>
          <w:spacing w:val="5"/>
          <w:sz w:val="24"/>
          <w:szCs w:val="24"/>
          <w:highlight w:val="none"/>
          <w:u w:val="single"/>
        </w:rPr>
        <w:t>/</w:t>
      </w:r>
      <w:r>
        <w:rPr>
          <w:color w:val="auto"/>
          <w:spacing w:val="5"/>
          <w:sz w:val="24"/>
          <w:szCs w:val="24"/>
          <w:highlight w:val="none"/>
          <w:u w:val="single"/>
        </w:rPr>
        <w:t>微型企业）</w:t>
      </w:r>
      <w:r>
        <w:rPr>
          <w:rFonts w:hint="eastAsia"/>
          <w:color w:val="auto"/>
          <w:spacing w:val="5"/>
          <w:sz w:val="24"/>
          <w:szCs w:val="24"/>
          <w:highlight w:val="none"/>
          <w:u w:val="single"/>
        </w:rPr>
        <w:t xml:space="preserve">     </w:t>
      </w:r>
      <w:r>
        <w:rPr>
          <w:color w:val="auto"/>
          <w:spacing w:val="5"/>
          <w:sz w:val="24"/>
          <w:szCs w:val="24"/>
          <w:highlight w:val="none"/>
        </w:rPr>
        <w:t>；</w:t>
      </w:r>
    </w:p>
    <w:p w14:paraId="618FC70B">
      <w:pPr>
        <w:pStyle w:val="12"/>
        <w:spacing w:line="302" w:lineRule="auto"/>
        <w:ind w:right="415" w:firstLine="640"/>
        <w:jc w:val="both"/>
        <w:rPr>
          <w:color w:val="auto"/>
          <w:spacing w:val="5"/>
          <w:sz w:val="24"/>
          <w:szCs w:val="24"/>
          <w:highlight w:val="none"/>
        </w:rPr>
      </w:pPr>
      <w:r>
        <w:rPr>
          <w:color w:val="auto"/>
          <w:spacing w:val="5"/>
          <w:sz w:val="24"/>
          <w:szCs w:val="24"/>
          <w:highlight w:val="none"/>
        </w:rPr>
        <w:t>以上企业，不属于大企业的分支机构，不存在控股股东为大企业的情形，也不存在与大企业的负责人为同一人的情形。</w:t>
      </w:r>
    </w:p>
    <w:p w14:paraId="0A4D1C4E">
      <w:pPr>
        <w:pStyle w:val="12"/>
        <w:spacing w:line="302" w:lineRule="auto"/>
        <w:ind w:right="415" w:firstLine="640"/>
        <w:jc w:val="both"/>
        <w:rPr>
          <w:color w:val="auto"/>
          <w:spacing w:val="5"/>
          <w:sz w:val="24"/>
          <w:szCs w:val="24"/>
          <w:highlight w:val="none"/>
        </w:rPr>
      </w:pPr>
      <w:r>
        <w:rPr>
          <w:color w:val="auto"/>
          <w:spacing w:val="5"/>
          <w:sz w:val="24"/>
          <w:szCs w:val="24"/>
          <w:highlight w:val="none"/>
        </w:rPr>
        <w:t>本企业对上述声明内容的真实性负责。如有虚假，将依法承担相应责任。</w:t>
      </w:r>
    </w:p>
    <w:p w14:paraId="79A5F2B2">
      <w:pPr>
        <w:spacing w:line="600" w:lineRule="exact"/>
        <w:ind w:firstLine="4800" w:firstLineChars="2000"/>
        <w:jc w:val="left"/>
        <w:rPr>
          <w:rFonts w:hAnsi="宋体" w:cs="宋体"/>
          <w:color w:val="auto"/>
          <w:sz w:val="24"/>
          <w:szCs w:val="24"/>
          <w:highlight w:val="none"/>
        </w:rPr>
      </w:pPr>
      <w:r>
        <w:rPr>
          <w:rFonts w:hint="eastAsia" w:hAnsi="宋体" w:cs="宋体"/>
          <w:color w:val="auto"/>
          <w:sz w:val="24"/>
          <w:szCs w:val="24"/>
          <w:highlight w:val="none"/>
        </w:rPr>
        <w:t>供应商：（加盖公章）</w:t>
      </w:r>
    </w:p>
    <w:p w14:paraId="6DED2234">
      <w:pPr>
        <w:spacing w:line="600" w:lineRule="exact"/>
        <w:ind w:firstLine="3120" w:firstLineChars="1300"/>
        <w:jc w:val="left"/>
        <w:rPr>
          <w:rFonts w:hAnsi="宋体" w:cs="宋体"/>
          <w:color w:val="auto"/>
          <w:sz w:val="24"/>
          <w:szCs w:val="24"/>
          <w:highlight w:val="none"/>
        </w:rPr>
      </w:pPr>
      <w:r>
        <w:rPr>
          <w:rFonts w:hint="eastAsia" w:hAnsi="宋体" w:cs="宋体"/>
          <w:color w:val="auto"/>
          <w:sz w:val="24"/>
          <w:szCs w:val="24"/>
          <w:highlight w:val="none"/>
        </w:rPr>
        <w:t>法定代表人或授权代表：（签字或盖章）</w:t>
      </w:r>
    </w:p>
    <w:p w14:paraId="01CB23CE">
      <w:pPr>
        <w:spacing w:line="600" w:lineRule="exact"/>
        <w:ind w:firstLine="4800" w:firstLineChars="2000"/>
        <w:jc w:val="left"/>
        <w:rPr>
          <w:rFonts w:hAnsi="宋体" w:cs="宋体"/>
          <w:color w:val="auto"/>
          <w:sz w:val="24"/>
          <w:szCs w:val="24"/>
          <w:highlight w:val="none"/>
        </w:rPr>
      </w:pPr>
      <w:r>
        <w:rPr>
          <w:rFonts w:hint="eastAsia" w:hAnsi="宋体" w:cs="宋体"/>
          <w:color w:val="auto"/>
          <w:sz w:val="24"/>
          <w:szCs w:val="24"/>
          <w:highlight w:val="none"/>
        </w:rPr>
        <w:t>日　期：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年</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月</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日</w:t>
      </w:r>
    </w:p>
    <w:p w14:paraId="32827257">
      <w:pPr>
        <w:spacing w:line="600" w:lineRule="exact"/>
        <w:ind w:firstLine="480" w:firstLineChars="200"/>
        <w:jc w:val="left"/>
        <w:rPr>
          <w:rFonts w:hAnsi="宋体" w:cs="宋体"/>
          <w:color w:val="auto"/>
          <w:sz w:val="24"/>
          <w:szCs w:val="24"/>
          <w:highlight w:val="none"/>
        </w:rPr>
      </w:pPr>
    </w:p>
    <w:p w14:paraId="35630C72">
      <w:pPr>
        <w:spacing w:line="600" w:lineRule="exact"/>
        <w:ind w:firstLine="480" w:firstLineChars="200"/>
        <w:jc w:val="left"/>
        <w:rPr>
          <w:rFonts w:hAnsi="宋体" w:cs="宋体"/>
          <w:color w:val="auto"/>
          <w:sz w:val="24"/>
          <w:szCs w:val="24"/>
          <w:highlight w:val="none"/>
        </w:rPr>
      </w:pPr>
    </w:p>
    <w:p w14:paraId="07293CDC">
      <w:pPr>
        <w:spacing w:line="600" w:lineRule="exact"/>
        <w:ind w:firstLine="480" w:firstLineChars="200"/>
        <w:jc w:val="left"/>
        <w:rPr>
          <w:rFonts w:hAnsi="宋体" w:cs="宋体"/>
          <w:color w:val="auto"/>
          <w:sz w:val="24"/>
          <w:szCs w:val="24"/>
          <w:highlight w:val="none"/>
        </w:rPr>
      </w:pPr>
    </w:p>
    <w:p w14:paraId="79681D00">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备注：填写前请认真阅读《工业和信息化部、国家统计局、国家发展和改革委员会、财政部关于印发中小企业划型标准规定的通知》（工信部联企业[2011]300号）和根据《政府采购促进中小企业发展管理办法》（财库﹝2020﹞46 号）的相关规定。</w:t>
      </w:r>
    </w:p>
    <w:p w14:paraId="6CA8974D">
      <w:pPr>
        <w:widowControl/>
        <w:tabs>
          <w:tab w:val="left" w:pos="5670"/>
        </w:tabs>
        <w:spacing w:line="500" w:lineRule="exact"/>
        <w:ind w:firstLine="560" w:firstLineChars="200"/>
        <w:jc w:val="left"/>
        <w:rPr>
          <w:rFonts w:hAnsi="宋体" w:cs="宋体"/>
          <w:color w:val="auto"/>
          <w:sz w:val="28"/>
          <w:szCs w:val="28"/>
          <w:highlight w:val="none"/>
        </w:rPr>
      </w:pPr>
    </w:p>
    <w:p w14:paraId="146C374A">
      <w:pPr>
        <w:widowControl/>
        <w:tabs>
          <w:tab w:val="left" w:pos="5670"/>
        </w:tabs>
        <w:spacing w:line="500" w:lineRule="exact"/>
        <w:jc w:val="left"/>
        <w:rPr>
          <w:rFonts w:hAnsi="宋体" w:cs="宋体"/>
          <w:color w:val="auto"/>
          <w:sz w:val="28"/>
          <w:szCs w:val="28"/>
          <w:highlight w:val="none"/>
        </w:rPr>
      </w:pPr>
    </w:p>
    <w:p w14:paraId="51985531">
      <w:pPr>
        <w:pStyle w:val="38"/>
        <w:ind w:left="0" w:leftChars="0" w:firstLine="0" w:firstLineChars="0"/>
        <w:rPr>
          <w:color w:val="auto"/>
          <w:highlight w:val="none"/>
        </w:rPr>
      </w:pPr>
    </w:p>
    <w:p w14:paraId="30A92E97">
      <w:pPr>
        <w:spacing w:line="600" w:lineRule="exact"/>
        <w:jc w:val="center"/>
        <w:rPr>
          <w:rFonts w:hAnsi="宋体" w:cs="宋体"/>
          <w:b/>
          <w:bCs/>
          <w:color w:val="auto"/>
          <w:szCs w:val="24"/>
          <w:highlight w:val="none"/>
        </w:rPr>
      </w:pPr>
      <w:r>
        <w:rPr>
          <w:rFonts w:hint="eastAsia" w:hAnsi="宋体" w:cs="宋体"/>
          <w:b/>
          <w:bCs/>
          <w:color w:val="auto"/>
          <w:szCs w:val="24"/>
          <w:highlight w:val="none"/>
        </w:rPr>
        <w:t>（二）残疾人福利性单位声明函</w:t>
      </w:r>
    </w:p>
    <w:p w14:paraId="558BDF3C">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项目名称（项目编号：____）第___标段采购活动提供本单位制造的货物（由本单位承担工程/提供服务），或者提供其他残疾人福利性单位制造的货物（不包括使用非残疾人福利性单位注册商标的货物）。</w:t>
      </w:r>
    </w:p>
    <w:p w14:paraId="2C48D95D">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14:paraId="430650B3">
      <w:pPr>
        <w:spacing w:line="600" w:lineRule="exact"/>
        <w:ind w:firstLine="480" w:firstLineChars="200"/>
        <w:jc w:val="left"/>
        <w:rPr>
          <w:rFonts w:hAnsi="宋体" w:cs="宋体"/>
          <w:color w:val="auto"/>
          <w:sz w:val="24"/>
          <w:szCs w:val="24"/>
          <w:highlight w:val="none"/>
        </w:rPr>
      </w:pPr>
    </w:p>
    <w:p w14:paraId="1ADCDD55">
      <w:pPr>
        <w:spacing w:line="600" w:lineRule="exact"/>
        <w:ind w:firstLine="3600" w:firstLineChars="1500"/>
        <w:jc w:val="left"/>
        <w:rPr>
          <w:rFonts w:hAnsi="宋体" w:cs="宋体"/>
          <w:color w:val="auto"/>
          <w:sz w:val="24"/>
          <w:szCs w:val="24"/>
          <w:highlight w:val="none"/>
        </w:rPr>
      </w:pPr>
      <w:r>
        <w:rPr>
          <w:rFonts w:hint="eastAsia" w:hAnsi="宋体" w:cs="宋体"/>
          <w:color w:val="auto"/>
          <w:sz w:val="24"/>
          <w:szCs w:val="24"/>
          <w:highlight w:val="none"/>
        </w:rPr>
        <w:t>供应商：（加盖公章）</w:t>
      </w:r>
    </w:p>
    <w:p w14:paraId="6E603517">
      <w:pPr>
        <w:spacing w:line="600" w:lineRule="exact"/>
        <w:ind w:firstLine="3600" w:firstLineChars="1500"/>
        <w:jc w:val="left"/>
        <w:rPr>
          <w:rFonts w:hAnsi="宋体" w:cs="宋体"/>
          <w:color w:val="auto"/>
          <w:sz w:val="24"/>
          <w:szCs w:val="24"/>
          <w:highlight w:val="none"/>
        </w:rPr>
      </w:pPr>
      <w:r>
        <w:rPr>
          <w:rFonts w:hint="eastAsia" w:hAnsi="宋体" w:cs="宋体"/>
          <w:color w:val="auto"/>
          <w:sz w:val="24"/>
          <w:szCs w:val="24"/>
          <w:highlight w:val="none"/>
        </w:rPr>
        <w:t>法定代表人或授权代表：（签字或盖章）</w:t>
      </w:r>
    </w:p>
    <w:p w14:paraId="48EB68A0">
      <w:pPr>
        <w:spacing w:line="600" w:lineRule="exact"/>
        <w:ind w:firstLine="5040" w:firstLineChars="2100"/>
        <w:jc w:val="left"/>
        <w:rPr>
          <w:rFonts w:hAnsi="宋体" w:cs="宋体"/>
          <w:color w:val="auto"/>
          <w:sz w:val="24"/>
          <w:szCs w:val="24"/>
          <w:highlight w:val="none"/>
        </w:rPr>
      </w:pPr>
      <w:r>
        <w:rPr>
          <w:rFonts w:hint="eastAsia" w:hAnsi="宋体" w:cs="宋体"/>
          <w:color w:val="auto"/>
          <w:sz w:val="24"/>
          <w:szCs w:val="24"/>
          <w:highlight w:val="none"/>
        </w:rPr>
        <w:t>日　期：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年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日</w:t>
      </w:r>
    </w:p>
    <w:p w14:paraId="10BBC923">
      <w:pPr>
        <w:spacing w:line="600" w:lineRule="exact"/>
        <w:ind w:firstLine="480" w:firstLineChars="200"/>
        <w:jc w:val="left"/>
        <w:rPr>
          <w:rFonts w:hAnsi="宋体" w:cs="宋体"/>
          <w:color w:val="auto"/>
          <w:sz w:val="24"/>
          <w:szCs w:val="24"/>
          <w:highlight w:val="none"/>
        </w:rPr>
      </w:pPr>
    </w:p>
    <w:p w14:paraId="0197E828">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备注：根据《财政部 民政部 中国残疾人联合会关于促进残疾人就业政府采购政策的通知》（财库〔2017〕141号）的规定：</w:t>
      </w:r>
    </w:p>
    <w:p w14:paraId="12552AAC">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一、享受政府采购支持政策的残疾人福利性单位应当同时满足以下条件：</w:t>
      </w:r>
    </w:p>
    <w:p w14:paraId="62B19C28">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（一）安置的残疾人占本单位在职职工人数的比例不低于25%（含25%），并且安置的残疾人人数不少于10人（含10人）；</w:t>
      </w:r>
    </w:p>
    <w:p w14:paraId="7A2A8ED4">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（二）依法与安置的每位残疾人签订了一年以上（含一年）的劳动合同或服务协议；</w:t>
      </w:r>
    </w:p>
    <w:p w14:paraId="5153F123">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（三）为安置的每位残疾人按月足额缴纳了基本养老保险、基本医疗保险、失业保险、工伤保险和生育保险等社会保险费；</w:t>
      </w:r>
    </w:p>
    <w:p w14:paraId="69B8A233">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（四）通过银行等金融机构向安置的每位残疾人，按月支付了不低于单位所在区县适用的经省级人民政府批准的月最低工资标准的工资；</w:t>
      </w:r>
    </w:p>
    <w:p w14:paraId="1F3F46E8">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195EFDD2">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309016">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二、中标、成交供应商为残疾人福利性单位的，采购人或者其委托的采购代理机构应当随中标、成交结果同时公告其《残疾人福利性单位声明函》，接受社会监督。</w:t>
      </w:r>
    </w:p>
    <w:p w14:paraId="470A1707">
      <w:pPr>
        <w:spacing w:line="600" w:lineRule="exact"/>
        <w:ind w:firstLine="422" w:firstLineChars="200"/>
        <w:jc w:val="center"/>
        <w:rPr>
          <w:rFonts w:hint="eastAsia" w:hAnsi="宋体" w:cs="宋体"/>
          <w:b/>
          <w:bCs/>
          <w:color w:val="auto"/>
          <w:szCs w:val="24"/>
          <w:highlight w:val="none"/>
        </w:rPr>
      </w:pPr>
    </w:p>
    <w:p w14:paraId="5E04437E">
      <w:pPr>
        <w:spacing w:line="600" w:lineRule="exact"/>
        <w:ind w:firstLine="422" w:firstLineChars="200"/>
        <w:jc w:val="center"/>
        <w:rPr>
          <w:rFonts w:hint="eastAsia" w:hAnsi="宋体" w:cs="宋体"/>
          <w:b/>
          <w:bCs/>
          <w:color w:val="auto"/>
          <w:szCs w:val="24"/>
          <w:highlight w:val="none"/>
        </w:rPr>
      </w:pPr>
    </w:p>
    <w:p w14:paraId="000616D2">
      <w:pPr>
        <w:spacing w:line="600" w:lineRule="exact"/>
        <w:ind w:firstLine="422" w:firstLineChars="200"/>
        <w:jc w:val="center"/>
        <w:rPr>
          <w:rFonts w:hint="eastAsia" w:hAnsi="宋体" w:cs="宋体"/>
          <w:b/>
          <w:bCs/>
          <w:color w:val="auto"/>
          <w:szCs w:val="24"/>
          <w:highlight w:val="none"/>
        </w:rPr>
      </w:pPr>
    </w:p>
    <w:p w14:paraId="37373B6F">
      <w:pPr>
        <w:spacing w:line="600" w:lineRule="exact"/>
        <w:ind w:firstLine="422" w:firstLineChars="200"/>
        <w:jc w:val="center"/>
        <w:rPr>
          <w:rFonts w:hint="eastAsia" w:hAnsi="宋体" w:cs="宋体"/>
          <w:b/>
          <w:bCs/>
          <w:color w:val="auto"/>
          <w:szCs w:val="24"/>
          <w:highlight w:val="none"/>
        </w:rPr>
      </w:pPr>
    </w:p>
    <w:p w14:paraId="7989C02C">
      <w:pPr>
        <w:spacing w:line="600" w:lineRule="exact"/>
        <w:ind w:firstLine="422" w:firstLineChars="200"/>
        <w:jc w:val="center"/>
        <w:rPr>
          <w:rFonts w:hint="eastAsia" w:hAnsi="宋体" w:cs="宋体"/>
          <w:b/>
          <w:bCs/>
          <w:color w:val="auto"/>
          <w:szCs w:val="24"/>
          <w:highlight w:val="none"/>
        </w:rPr>
      </w:pPr>
    </w:p>
    <w:p w14:paraId="7D5F9FC3">
      <w:pPr>
        <w:spacing w:line="600" w:lineRule="exact"/>
        <w:ind w:firstLine="422" w:firstLineChars="200"/>
        <w:jc w:val="center"/>
        <w:rPr>
          <w:rFonts w:hint="eastAsia" w:hAnsi="宋体" w:cs="宋体"/>
          <w:b/>
          <w:bCs/>
          <w:color w:val="auto"/>
          <w:szCs w:val="24"/>
          <w:highlight w:val="none"/>
        </w:rPr>
      </w:pPr>
    </w:p>
    <w:p w14:paraId="1E3E3043">
      <w:pPr>
        <w:spacing w:line="600" w:lineRule="exact"/>
        <w:ind w:firstLine="422" w:firstLineChars="200"/>
        <w:jc w:val="center"/>
        <w:rPr>
          <w:rFonts w:hint="eastAsia" w:hAnsi="宋体" w:cs="宋体"/>
          <w:b/>
          <w:bCs/>
          <w:color w:val="auto"/>
          <w:szCs w:val="24"/>
          <w:highlight w:val="none"/>
        </w:rPr>
      </w:pPr>
    </w:p>
    <w:p w14:paraId="31816F88">
      <w:pPr>
        <w:spacing w:line="600" w:lineRule="exact"/>
        <w:ind w:firstLine="422" w:firstLineChars="200"/>
        <w:jc w:val="center"/>
        <w:rPr>
          <w:rFonts w:hint="eastAsia" w:hAnsi="宋体" w:cs="宋体"/>
          <w:b/>
          <w:bCs/>
          <w:color w:val="auto"/>
          <w:szCs w:val="24"/>
          <w:highlight w:val="none"/>
        </w:rPr>
      </w:pPr>
    </w:p>
    <w:p w14:paraId="393D3727">
      <w:pPr>
        <w:spacing w:line="600" w:lineRule="exact"/>
        <w:ind w:firstLine="422" w:firstLineChars="200"/>
        <w:jc w:val="center"/>
        <w:rPr>
          <w:rFonts w:hint="eastAsia" w:hAnsi="宋体" w:cs="宋体"/>
          <w:b/>
          <w:bCs/>
          <w:color w:val="auto"/>
          <w:szCs w:val="24"/>
          <w:highlight w:val="none"/>
        </w:rPr>
      </w:pPr>
    </w:p>
    <w:p w14:paraId="3DD2BD99">
      <w:pPr>
        <w:spacing w:line="600" w:lineRule="exact"/>
        <w:ind w:firstLine="422" w:firstLineChars="200"/>
        <w:jc w:val="center"/>
        <w:rPr>
          <w:rFonts w:hint="eastAsia" w:hAnsi="宋体" w:cs="宋体"/>
          <w:b/>
          <w:bCs/>
          <w:color w:val="auto"/>
          <w:szCs w:val="24"/>
          <w:highlight w:val="none"/>
        </w:rPr>
      </w:pPr>
    </w:p>
    <w:p w14:paraId="1EA5CCCB">
      <w:pPr>
        <w:pStyle w:val="2"/>
        <w:rPr>
          <w:rFonts w:hint="eastAsia" w:hAnsi="宋体" w:cs="宋体"/>
          <w:b/>
          <w:bCs/>
          <w:color w:val="auto"/>
          <w:szCs w:val="24"/>
          <w:highlight w:val="none"/>
        </w:rPr>
      </w:pPr>
    </w:p>
    <w:p w14:paraId="700A8CDA">
      <w:pPr>
        <w:pStyle w:val="2"/>
        <w:rPr>
          <w:rFonts w:hint="eastAsia" w:hAnsi="宋体" w:cs="宋体"/>
          <w:b/>
          <w:bCs/>
          <w:color w:val="auto"/>
          <w:szCs w:val="24"/>
          <w:highlight w:val="none"/>
        </w:rPr>
      </w:pPr>
    </w:p>
    <w:p w14:paraId="73ACF5A0">
      <w:pPr>
        <w:pStyle w:val="2"/>
        <w:rPr>
          <w:rFonts w:hint="eastAsia" w:hAnsi="宋体" w:cs="宋体"/>
          <w:b/>
          <w:bCs/>
          <w:color w:val="auto"/>
          <w:szCs w:val="24"/>
          <w:highlight w:val="none"/>
        </w:rPr>
      </w:pPr>
    </w:p>
    <w:p w14:paraId="42054EA7">
      <w:pPr>
        <w:pStyle w:val="2"/>
        <w:rPr>
          <w:rFonts w:hint="eastAsia" w:hAnsi="宋体" w:cs="宋体"/>
          <w:b/>
          <w:bCs/>
          <w:color w:val="auto"/>
          <w:szCs w:val="24"/>
          <w:highlight w:val="none"/>
        </w:rPr>
      </w:pPr>
    </w:p>
    <w:p w14:paraId="54CA2766">
      <w:pPr>
        <w:spacing w:line="600" w:lineRule="exact"/>
        <w:jc w:val="center"/>
        <w:rPr>
          <w:rFonts w:hAnsi="宋体" w:cs="宋体"/>
          <w:b/>
          <w:bCs/>
          <w:color w:val="auto"/>
          <w:sz w:val="24"/>
          <w:szCs w:val="24"/>
          <w:highlight w:val="none"/>
        </w:rPr>
      </w:pPr>
      <w:r>
        <w:rPr>
          <w:rFonts w:hint="eastAsia" w:hAnsi="宋体" w:cs="宋体"/>
          <w:b/>
          <w:bCs/>
          <w:color w:val="auto"/>
          <w:sz w:val="24"/>
          <w:szCs w:val="24"/>
          <w:highlight w:val="none"/>
        </w:rPr>
        <w:t>（三）监狱企业证明函</w:t>
      </w:r>
    </w:p>
    <w:p w14:paraId="284B16B2">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05738E">
      <w:pPr>
        <w:spacing w:line="6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监狱企业参加政府采购活动时，应当提供由省级以上监狱管理局、戒毒管理局（含新疆生产建设兵团）出具的属于监狱企业的证明文件。</w:t>
      </w:r>
    </w:p>
    <w:p w14:paraId="10815BE6">
      <w:pPr>
        <w:spacing w:line="600" w:lineRule="exact"/>
        <w:ind w:firstLine="480" w:firstLineChars="200"/>
        <w:jc w:val="left"/>
        <w:rPr>
          <w:rFonts w:hAnsi="宋体" w:cs="宋体"/>
          <w:color w:val="auto"/>
          <w:sz w:val="24"/>
          <w:szCs w:val="24"/>
          <w:highlight w:val="none"/>
        </w:rPr>
      </w:pPr>
    </w:p>
    <w:p w14:paraId="246F24F3">
      <w:pPr>
        <w:rPr>
          <w:rFonts w:hAnsi="宋体" w:cs="宋体"/>
          <w:color w:val="auto"/>
          <w:szCs w:val="24"/>
          <w:highlight w:val="none"/>
        </w:rPr>
      </w:pPr>
    </w:p>
    <w:p w14:paraId="1557CBA1">
      <w:pPr>
        <w:pStyle w:val="6"/>
        <w:rPr>
          <w:rFonts w:hAnsi="宋体" w:cs="宋体"/>
          <w:color w:val="auto"/>
          <w:szCs w:val="24"/>
          <w:highlight w:val="none"/>
        </w:rPr>
      </w:pPr>
    </w:p>
    <w:p w14:paraId="58F0E3F6">
      <w:pPr>
        <w:rPr>
          <w:rFonts w:hAnsi="宋体" w:cs="宋体"/>
          <w:color w:val="auto"/>
          <w:szCs w:val="24"/>
          <w:highlight w:val="none"/>
        </w:rPr>
      </w:pPr>
    </w:p>
    <w:p w14:paraId="10E93C2C">
      <w:pPr>
        <w:pStyle w:val="6"/>
        <w:rPr>
          <w:rFonts w:hAnsi="宋体" w:cs="宋体"/>
          <w:color w:val="auto"/>
          <w:szCs w:val="24"/>
          <w:highlight w:val="none"/>
        </w:rPr>
      </w:pPr>
    </w:p>
    <w:p w14:paraId="4471757A">
      <w:pPr>
        <w:rPr>
          <w:rFonts w:hAnsi="宋体" w:cs="宋体"/>
          <w:color w:val="auto"/>
          <w:szCs w:val="24"/>
          <w:highlight w:val="none"/>
        </w:rPr>
      </w:pPr>
    </w:p>
    <w:p w14:paraId="5D2A1771">
      <w:pPr>
        <w:pStyle w:val="6"/>
        <w:rPr>
          <w:rFonts w:hAnsi="宋体" w:cs="宋体"/>
          <w:color w:val="auto"/>
          <w:szCs w:val="24"/>
          <w:highlight w:val="none"/>
        </w:rPr>
      </w:pPr>
    </w:p>
    <w:p w14:paraId="5EBF68FD">
      <w:pPr>
        <w:rPr>
          <w:rFonts w:hAnsi="宋体" w:cs="宋体"/>
          <w:color w:val="auto"/>
          <w:szCs w:val="24"/>
          <w:highlight w:val="none"/>
        </w:rPr>
      </w:pPr>
    </w:p>
    <w:p w14:paraId="06983BFB">
      <w:pPr>
        <w:pStyle w:val="6"/>
        <w:rPr>
          <w:rFonts w:hAnsi="宋体" w:cs="宋体"/>
          <w:color w:val="auto"/>
          <w:szCs w:val="24"/>
          <w:highlight w:val="none"/>
        </w:rPr>
      </w:pPr>
    </w:p>
    <w:p w14:paraId="5C281850">
      <w:pPr>
        <w:rPr>
          <w:rFonts w:hAnsi="宋体" w:cs="宋体"/>
          <w:color w:val="auto"/>
          <w:szCs w:val="24"/>
          <w:highlight w:val="none"/>
        </w:rPr>
      </w:pPr>
    </w:p>
    <w:p w14:paraId="726000AB">
      <w:pPr>
        <w:pStyle w:val="6"/>
        <w:rPr>
          <w:rFonts w:hAnsi="宋体" w:cs="宋体"/>
          <w:color w:val="auto"/>
          <w:szCs w:val="24"/>
          <w:highlight w:val="none"/>
        </w:rPr>
      </w:pPr>
    </w:p>
    <w:p w14:paraId="15E90EFE">
      <w:pPr>
        <w:rPr>
          <w:rFonts w:hAnsi="宋体" w:cs="宋体"/>
          <w:color w:val="auto"/>
          <w:szCs w:val="24"/>
          <w:highlight w:val="none"/>
        </w:rPr>
      </w:pPr>
    </w:p>
    <w:p w14:paraId="35C803A9">
      <w:pPr>
        <w:pStyle w:val="6"/>
        <w:rPr>
          <w:rFonts w:hAnsi="宋体" w:cs="宋体"/>
          <w:color w:val="auto"/>
          <w:szCs w:val="24"/>
          <w:highlight w:val="none"/>
        </w:rPr>
      </w:pPr>
    </w:p>
    <w:p w14:paraId="1CF210FF">
      <w:pPr>
        <w:rPr>
          <w:rFonts w:hAnsi="宋体" w:cs="宋体"/>
          <w:color w:val="auto"/>
          <w:szCs w:val="24"/>
          <w:highlight w:val="none"/>
        </w:rPr>
      </w:pPr>
    </w:p>
    <w:p w14:paraId="581F2EFF">
      <w:pPr>
        <w:pStyle w:val="22"/>
        <w:rPr>
          <w:rFonts w:hAnsi="宋体" w:cs="宋体"/>
          <w:color w:val="auto"/>
          <w:szCs w:val="24"/>
          <w:highlight w:val="none"/>
        </w:rPr>
      </w:pPr>
    </w:p>
    <w:p w14:paraId="348F2D05">
      <w:pPr>
        <w:pStyle w:val="22"/>
        <w:rPr>
          <w:rFonts w:hAnsi="宋体" w:cs="宋体"/>
          <w:color w:val="auto"/>
          <w:szCs w:val="24"/>
          <w:highlight w:val="none"/>
        </w:rPr>
      </w:pPr>
    </w:p>
    <w:p w14:paraId="06977AB6">
      <w:pPr>
        <w:rPr>
          <w:rFonts w:hAnsi="宋体" w:cs="宋体"/>
          <w:color w:val="auto"/>
          <w:szCs w:val="24"/>
          <w:highlight w:val="none"/>
        </w:rPr>
      </w:pPr>
    </w:p>
    <w:p w14:paraId="30AA3D14">
      <w:pPr>
        <w:rPr>
          <w:rFonts w:hAnsi="宋体" w:cs="宋体"/>
          <w:color w:val="auto"/>
          <w:szCs w:val="24"/>
          <w:highlight w:val="none"/>
        </w:rPr>
      </w:pPr>
    </w:p>
    <w:p w14:paraId="57958C67">
      <w:pPr>
        <w:spacing w:line="600" w:lineRule="exact"/>
        <w:jc w:val="center"/>
        <w:rPr>
          <w:rFonts w:hint="eastAsia" w:ascii="Times New Roman" w:hAnsi="宋体" w:eastAsia="宋体" w:cs="宋体"/>
          <w:b/>
          <w:bCs/>
          <w:color w:val="auto"/>
          <w:kern w:val="2"/>
          <w:sz w:val="24"/>
          <w:szCs w:val="24"/>
          <w:highlight w:val="none"/>
          <w:lang w:val="en-US" w:eastAsia="zh-CN" w:bidi="ar-SA"/>
        </w:rPr>
      </w:pPr>
      <w:r>
        <w:rPr>
          <w:rFonts w:hint="eastAsia" w:ascii="Times New Roman" w:hAnsi="宋体" w:cs="宋体"/>
          <w:b/>
          <w:bCs/>
          <w:color w:val="auto"/>
          <w:sz w:val="24"/>
          <w:szCs w:val="24"/>
          <w:highlight w:val="none"/>
          <w:lang w:eastAsia="zh-CN"/>
        </w:rPr>
        <w:t>（</w:t>
      </w:r>
      <w:r>
        <w:rPr>
          <w:rFonts w:hint="eastAsia" w:ascii="Times New Roman" w:hAnsi="宋体" w:cs="宋体"/>
          <w:b/>
          <w:bCs/>
          <w:color w:val="auto"/>
          <w:sz w:val="24"/>
          <w:szCs w:val="24"/>
          <w:highlight w:val="none"/>
          <w:lang w:val="en-US" w:eastAsia="zh-CN"/>
        </w:rPr>
        <w:t>四</w:t>
      </w:r>
      <w:r>
        <w:rPr>
          <w:rFonts w:hint="eastAsia" w:ascii="Times New Roman" w:hAnsi="宋体" w:cs="宋体"/>
          <w:b/>
          <w:bCs/>
          <w:color w:val="auto"/>
          <w:sz w:val="24"/>
          <w:szCs w:val="24"/>
          <w:highlight w:val="none"/>
          <w:lang w:eastAsia="zh-CN"/>
        </w:rPr>
        <w:t>）</w:t>
      </w:r>
      <w:r>
        <w:rPr>
          <w:rFonts w:hint="eastAsia" w:ascii="Times New Roman" w:hAnsi="宋体" w:eastAsia="宋体" w:cs="宋体"/>
          <w:b/>
          <w:bCs/>
          <w:color w:val="auto"/>
          <w:kern w:val="2"/>
          <w:sz w:val="24"/>
          <w:szCs w:val="24"/>
          <w:highlight w:val="none"/>
          <w:lang w:val="en-US" w:eastAsia="zh-CN" w:bidi="ar-SA"/>
        </w:rPr>
        <w:t>关于信用融资的说明</w:t>
      </w:r>
    </w:p>
    <w:p w14:paraId="1FFDE0AA">
      <w:pPr>
        <w:pStyle w:val="8"/>
        <w:spacing w:line="500" w:lineRule="exact"/>
        <w:ind w:firstLine="573"/>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政府采购信用融资，是指银行业金融机构（以下简称银行）以政府采购诚信考核和信用审查为基础，凭借政府采购合同，按优于一般中小企业的贷款利率直接向申请贷款的投标人发放贷款的一种融资方式。</w:t>
      </w:r>
    </w:p>
    <w:p w14:paraId="6A6D3090">
      <w:pPr>
        <w:pStyle w:val="8"/>
        <w:spacing w:line="500" w:lineRule="exact"/>
        <w:ind w:firstLine="573"/>
        <w:rPr>
          <w:rFonts w:ascii="宋体" w:hAnsi="宋体"/>
          <w:color w:val="auto"/>
          <w:sz w:val="24"/>
          <w:szCs w:val="24"/>
          <w:highlight w:val="none"/>
        </w:rPr>
      </w:pPr>
      <w:r>
        <w:rPr>
          <w:rFonts w:hint="eastAsia" w:ascii="宋体" w:hAnsi="宋体"/>
          <w:color w:val="auto"/>
          <w:sz w:val="24"/>
          <w:szCs w:val="24"/>
          <w:highlight w:val="none"/>
        </w:rPr>
        <w:t>2、各银行可自主决定是否提供政府采购信用融资以及融资额度，并与投标人签订融资协议；各投标人也可自行决定是否参加政府采购信用融资，并自愿选择合适的融资银行及在该银行开设银行账户。任何单位和个人均不得干预银企双方开展政府采购信用融资业务。</w:t>
      </w:r>
    </w:p>
    <w:p w14:paraId="1E867561">
      <w:pPr>
        <w:pStyle w:val="8"/>
        <w:spacing w:line="500" w:lineRule="exact"/>
        <w:ind w:firstLine="573"/>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具体详见陕西省财政厅关于印发《陕西省中小企业政府采购信用融资办法》（陕财办采〔2018〕23号）。</w:t>
      </w:r>
    </w:p>
    <w:p w14:paraId="534B2538">
      <w:pPr>
        <w:pStyle w:val="8"/>
        <w:spacing w:line="500" w:lineRule="exact"/>
        <w:ind w:firstLine="573"/>
        <w:rPr>
          <w:rFonts w:ascii="宋体" w:hAnsi="宋体"/>
          <w:color w:val="auto"/>
          <w:sz w:val="24"/>
          <w:szCs w:val="24"/>
          <w:highlight w:val="none"/>
        </w:rPr>
      </w:pPr>
      <w:r>
        <w:rPr>
          <w:rFonts w:hint="eastAsia" w:ascii="宋体" w:hAnsi="宋体"/>
          <w:color w:val="auto"/>
          <w:sz w:val="24"/>
          <w:szCs w:val="24"/>
          <w:highlight w:val="none"/>
        </w:rPr>
        <w:t>合作银行</w:t>
      </w:r>
      <w:r>
        <w:rPr>
          <w:rFonts w:ascii="宋体" w:hAnsi="宋体"/>
          <w:color w:val="auto"/>
          <w:sz w:val="24"/>
          <w:szCs w:val="24"/>
          <w:highlight w:val="none"/>
        </w:rPr>
        <w:t>如下：</w:t>
      </w:r>
    </w:p>
    <w:p w14:paraId="696A42B8">
      <w:pPr>
        <w:pStyle w:val="8"/>
        <w:spacing w:line="500" w:lineRule="exact"/>
        <w:ind w:firstLine="573"/>
        <w:rPr>
          <w:rFonts w:ascii="宋体" w:hAnsi="宋体"/>
          <w:color w:val="auto"/>
          <w:sz w:val="24"/>
          <w:szCs w:val="24"/>
          <w:highlight w:val="none"/>
        </w:rPr>
      </w:pPr>
      <w:r>
        <w:rPr>
          <w:rFonts w:hint="eastAsia" w:ascii="宋体" w:hAnsi="宋体"/>
          <w:color w:val="auto"/>
          <w:sz w:val="24"/>
          <w:szCs w:val="24"/>
          <w:highlight w:val="none"/>
        </w:rPr>
        <w:t>投标人可根据陕西省政府采购网上“</w:t>
      </w:r>
      <w:r>
        <w:rPr>
          <w:rFonts w:ascii="宋体" w:hAnsi="宋体"/>
          <w:color w:val="auto"/>
          <w:sz w:val="24"/>
          <w:szCs w:val="24"/>
          <w:highlight w:val="none"/>
        </w:rPr>
        <w:t>陕西省政府采购支持中小企业信用融资合作银行公告</w:t>
      </w:r>
      <w:r>
        <w:rPr>
          <w:rFonts w:hint="eastAsia" w:ascii="宋体" w:hAnsi="宋体"/>
          <w:color w:val="auto"/>
          <w:sz w:val="24"/>
          <w:szCs w:val="24"/>
          <w:highlight w:val="none"/>
        </w:rPr>
        <w:t>”进行查询。</w:t>
      </w:r>
    </w:p>
    <w:p w14:paraId="189CB4A4">
      <w:pPr>
        <w:spacing w:line="400" w:lineRule="exact"/>
        <w:rPr>
          <w:rFonts w:hAnsi="宋体" w:cs="宋体"/>
          <w:b/>
          <w:color w:val="auto"/>
          <w:sz w:val="28"/>
          <w:szCs w:val="28"/>
          <w:highlight w:val="none"/>
        </w:rPr>
      </w:pPr>
    </w:p>
    <w:p w14:paraId="436D7937">
      <w:pPr>
        <w:spacing w:line="400" w:lineRule="exact"/>
        <w:rPr>
          <w:rFonts w:hAnsi="宋体" w:cs="宋体"/>
          <w:b/>
          <w:color w:val="auto"/>
          <w:sz w:val="28"/>
          <w:szCs w:val="28"/>
          <w:highlight w:val="none"/>
        </w:rPr>
      </w:pPr>
    </w:p>
    <w:p w14:paraId="6215B0EC">
      <w:pPr>
        <w:bidi w:val="0"/>
        <w:rPr>
          <w:rFonts w:ascii="Times New Roman" w:hAnsi="Times New Roman" w:eastAsia="宋体" w:cs="Times New Roman"/>
          <w:color w:val="auto"/>
          <w:kern w:val="2"/>
          <w:sz w:val="21"/>
          <w:highlight w:val="none"/>
          <w:lang w:val="en-US" w:eastAsia="zh-CN" w:bidi="ar-SA"/>
        </w:rPr>
      </w:pPr>
    </w:p>
    <w:p w14:paraId="4B79D5F3">
      <w:pPr>
        <w:bidi w:val="0"/>
        <w:rPr>
          <w:rFonts w:ascii="Times New Roman" w:hAnsi="Times New Roman" w:eastAsia="宋体" w:cs="Times New Roman"/>
          <w:color w:val="auto"/>
          <w:kern w:val="2"/>
          <w:sz w:val="21"/>
          <w:highlight w:val="none"/>
          <w:lang w:val="en-US" w:eastAsia="zh-CN" w:bidi="ar-SA"/>
        </w:rPr>
      </w:pPr>
    </w:p>
    <w:p w14:paraId="65CAC2F7">
      <w:pPr>
        <w:bidi w:val="0"/>
        <w:rPr>
          <w:rFonts w:ascii="Times New Roman" w:hAnsi="Times New Roman" w:eastAsia="宋体" w:cs="Times New Roman"/>
          <w:color w:val="auto"/>
          <w:kern w:val="2"/>
          <w:sz w:val="21"/>
          <w:highlight w:val="none"/>
          <w:lang w:val="en-US" w:eastAsia="zh-CN" w:bidi="ar-SA"/>
        </w:rPr>
      </w:pPr>
    </w:p>
    <w:p w14:paraId="0C86BA3C">
      <w:pPr>
        <w:bidi w:val="0"/>
        <w:rPr>
          <w:rFonts w:ascii="Times New Roman" w:hAnsi="Times New Roman" w:eastAsia="宋体" w:cs="Times New Roman"/>
          <w:color w:val="auto"/>
          <w:kern w:val="2"/>
          <w:sz w:val="21"/>
          <w:highlight w:val="none"/>
          <w:lang w:val="en-US" w:eastAsia="zh-CN" w:bidi="ar-SA"/>
        </w:rPr>
      </w:pPr>
    </w:p>
    <w:p w14:paraId="39489022">
      <w:pPr>
        <w:bidi w:val="0"/>
        <w:rPr>
          <w:rFonts w:ascii="Times New Roman" w:hAnsi="Times New Roman" w:eastAsia="宋体" w:cs="Times New Roman"/>
          <w:color w:val="auto"/>
          <w:kern w:val="2"/>
          <w:sz w:val="21"/>
          <w:highlight w:val="none"/>
          <w:lang w:val="en-US" w:eastAsia="zh-CN" w:bidi="ar-SA"/>
        </w:rPr>
      </w:pPr>
    </w:p>
    <w:p w14:paraId="38E74CCB">
      <w:pPr>
        <w:bidi w:val="0"/>
        <w:rPr>
          <w:rFonts w:ascii="Times New Roman" w:hAnsi="Times New Roman" w:eastAsia="宋体" w:cs="Times New Roman"/>
          <w:color w:val="auto"/>
          <w:kern w:val="2"/>
          <w:sz w:val="21"/>
          <w:highlight w:val="none"/>
          <w:lang w:val="en-US" w:eastAsia="zh-CN" w:bidi="ar-SA"/>
        </w:rPr>
      </w:pPr>
    </w:p>
    <w:p w14:paraId="555779AC">
      <w:pPr>
        <w:bidi w:val="0"/>
        <w:rPr>
          <w:rFonts w:ascii="Times New Roman" w:hAnsi="Times New Roman" w:eastAsia="宋体" w:cs="Times New Roman"/>
          <w:color w:val="auto"/>
          <w:kern w:val="2"/>
          <w:sz w:val="21"/>
          <w:highlight w:val="none"/>
          <w:lang w:val="en-US" w:eastAsia="zh-CN" w:bidi="ar-SA"/>
        </w:rPr>
      </w:pPr>
    </w:p>
    <w:p w14:paraId="2A591891">
      <w:pPr>
        <w:bidi w:val="0"/>
        <w:rPr>
          <w:rFonts w:ascii="Times New Roman" w:hAnsi="Times New Roman" w:eastAsia="宋体" w:cs="Times New Roman"/>
          <w:color w:val="auto"/>
          <w:kern w:val="2"/>
          <w:sz w:val="21"/>
          <w:highlight w:val="none"/>
          <w:lang w:val="en-US" w:eastAsia="zh-CN" w:bidi="ar-SA"/>
        </w:rPr>
      </w:pPr>
    </w:p>
    <w:p w14:paraId="079CCF50">
      <w:pPr>
        <w:bidi w:val="0"/>
        <w:rPr>
          <w:rFonts w:ascii="Times New Roman" w:hAnsi="Times New Roman" w:eastAsia="宋体" w:cs="Times New Roman"/>
          <w:color w:val="auto"/>
          <w:kern w:val="2"/>
          <w:sz w:val="21"/>
          <w:highlight w:val="none"/>
          <w:lang w:val="en-US" w:eastAsia="zh-CN" w:bidi="ar-SA"/>
        </w:rPr>
      </w:pPr>
    </w:p>
    <w:p w14:paraId="6A494F56">
      <w:pPr>
        <w:bidi w:val="0"/>
        <w:rPr>
          <w:rFonts w:ascii="Times New Roman" w:hAnsi="Times New Roman" w:eastAsia="宋体" w:cs="Times New Roman"/>
          <w:color w:val="auto"/>
          <w:kern w:val="2"/>
          <w:sz w:val="21"/>
          <w:highlight w:val="none"/>
          <w:lang w:val="en-US" w:eastAsia="zh-CN" w:bidi="ar-SA"/>
        </w:rPr>
      </w:pPr>
    </w:p>
    <w:p w14:paraId="3CBAEF91">
      <w:pPr>
        <w:bidi w:val="0"/>
        <w:rPr>
          <w:rFonts w:ascii="Times New Roman" w:hAnsi="Times New Roman" w:eastAsia="宋体" w:cs="Times New Roman"/>
          <w:color w:val="auto"/>
          <w:kern w:val="2"/>
          <w:sz w:val="21"/>
          <w:highlight w:val="none"/>
          <w:lang w:val="en-US" w:eastAsia="zh-CN" w:bidi="ar-SA"/>
        </w:rPr>
      </w:pPr>
    </w:p>
    <w:p w14:paraId="65B5221A">
      <w:pPr>
        <w:bidi w:val="0"/>
        <w:rPr>
          <w:rFonts w:ascii="Times New Roman" w:hAnsi="Times New Roman" w:eastAsia="宋体" w:cs="Times New Roman"/>
          <w:color w:val="auto"/>
          <w:kern w:val="2"/>
          <w:sz w:val="21"/>
          <w:highlight w:val="none"/>
          <w:lang w:val="en-US" w:eastAsia="zh-CN" w:bidi="ar-SA"/>
        </w:rPr>
      </w:pPr>
    </w:p>
    <w:p w14:paraId="789F68EE">
      <w:pPr>
        <w:bidi w:val="0"/>
        <w:rPr>
          <w:rFonts w:ascii="Times New Roman" w:hAnsi="Times New Roman" w:eastAsia="宋体" w:cs="Times New Roman"/>
          <w:color w:val="auto"/>
          <w:kern w:val="2"/>
          <w:sz w:val="21"/>
          <w:highlight w:val="none"/>
          <w:lang w:val="en-US" w:eastAsia="zh-CN" w:bidi="ar-SA"/>
        </w:rPr>
      </w:pPr>
    </w:p>
    <w:p w14:paraId="1C5018A5">
      <w:pPr>
        <w:bidi w:val="0"/>
        <w:rPr>
          <w:rFonts w:ascii="Times New Roman" w:hAnsi="Times New Roman" w:eastAsia="宋体" w:cs="Times New Roman"/>
          <w:color w:val="auto"/>
          <w:kern w:val="2"/>
          <w:sz w:val="21"/>
          <w:highlight w:val="none"/>
          <w:lang w:val="en-US" w:eastAsia="zh-CN" w:bidi="ar-SA"/>
        </w:rPr>
      </w:pPr>
    </w:p>
    <w:p w14:paraId="296D4234">
      <w:pPr>
        <w:bidi w:val="0"/>
        <w:rPr>
          <w:rFonts w:ascii="Times New Roman" w:hAnsi="Times New Roman" w:eastAsia="宋体" w:cs="Times New Roman"/>
          <w:color w:val="auto"/>
          <w:kern w:val="2"/>
          <w:sz w:val="21"/>
          <w:highlight w:val="none"/>
          <w:lang w:val="en-US" w:eastAsia="zh-CN" w:bidi="ar-SA"/>
        </w:rPr>
      </w:pPr>
    </w:p>
    <w:p w14:paraId="34DE9CF8">
      <w:pPr>
        <w:bidi w:val="0"/>
        <w:rPr>
          <w:rFonts w:ascii="Times New Roman" w:hAnsi="Times New Roman" w:eastAsia="宋体" w:cs="Times New Roman"/>
          <w:color w:val="auto"/>
          <w:kern w:val="2"/>
          <w:sz w:val="21"/>
          <w:highlight w:val="none"/>
          <w:lang w:val="en-US" w:eastAsia="zh-CN" w:bidi="ar-SA"/>
        </w:rPr>
      </w:pPr>
    </w:p>
    <w:p w14:paraId="749B1E9C">
      <w:pPr>
        <w:bidi w:val="0"/>
        <w:rPr>
          <w:rFonts w:ascii="Times New Roman" w:hAnsi="Times New Roman" w:eastAsia="宋体" w:cs="Times New Roman"/>
          <w:color w:val="auto"/>
          <w:kern w:val="2"/>
          <w:sz w:val="21"/>
          <w:highlight w:val="none"/>
          <w:lang w:val="en-US" w:eastAsia="zh-CN" w:bidi="ar-SA"/>
        </w:rPr>
      </w:pPr>
    </w:p>
    <w:p w14:paraId="01CCDA52">
      <w:pPr>
        <w:bidi w:val="0"/>
        <w:rPr>
          <w:color w:val="auto"/>
          <w:highlight w:val="none"/>
          <w:lang w:val="en-US" w:eastAsia="zh-CN"/>
        </w:rPr>
      </w:pPr>
    </w:p>
    <w:p w14:paraId="6889C5B0">
      <w:pPr>
        <w:bidi w:val="0"/>
        <w:rPr>
          <w:color w:val="auto"/>
          <w:highlight w:val="none"/>
          <w:lang w:val="en-US" w:eastAsia="zh-CN"/>
        </w:rPr>
      </w:pPr>
    </w:p>
    <w:p w14:paraId="67B932AA">
      <w:pPr>
        <w:numPr>
          <w:ilvl w:val="0"/>
          <w:numId w:val="6"/>
        </w:numPr>
        <w:spacing w:line="600" w:lineRule="exact"/>
        <w:jc w:val="center"/>
        <w:rPr>
          <w:rFonts w:hint="eastAsia" w:ascii="Times New Roman" w:hAnsi="宋体" w:eastAsia="宋体" w:cs="宋体"/>
          <w:b/>
          <w:bCs/>
          <w:color w:val="auto"/>
          <w:kern w:val="2"/>
          <w:sz w:val="24"/>
          <w:szCs w:val="24"/>
          <w:highlight w:val="none"/>
          <w:lang w:val="en-US" w:eastAsia="zh-CN" w:bidi="ar-SA"/>
        </w:rPr>
      </w:pPr>
      <w:r>
        <w:rPr>
          <w:rFonts w:hint="eastAsia" w:ascii="Times New Roman" w:hAnsi="宋体" w:eastAsia="宋体" w:cs="宋体"/>
          <w:b/>
          <w:bCs/>
          <w:color w:val="auto"/>
          <w:kern w:val="2"/>
          <w:sz w:val="24"/>
          <w:szCs w:val="24"/>
          <w:highlight w:val="none"/>
          <w:lang w:val="en-US" w:eastAsia="zh-CN" w:bidi="ar-SA"/>
        </w:rPr>
        <w:t>政府采购供应商拒绝政府采购领域商业贿赂承诺书</w:t>
      </w:r>
    </w:p>
    <w:p w14:paraId="6771076F">
      <w:pPr>
        <w:pStyle w:val="2"/>
        <w:numPr>
          <w:numId w:val="0"/>
        </w:numPr>
        <w:rPr>
          <w:rFonts w:hint="eastAsia"/>
          <w:lang w:val="en-US" w:eastAsia="zh-CN"/>
        </w:rPr>
      </w:pPr>
    </w:p>
    <w:p w14:paraId="3AC608B5">
      <w:pPr>
        <w:snapToGrid w:val="0"/>
        <w:spacing w:line="480" w:lineRule="auto"/>
        <w:ind w:left="483" w:leftChars="230" w:firstLine="508" w:firstLineChars="212"/>
        <w:rPr>
          <w:rFonts w:hint="eastAsia" w:ascii="宋体" w:hAnsi="宋体" w:eastAsia="宋体" w:cs="宋体"/>
          <w:color w:val="auto"/>
          <w:sz w:val="24"/>
          <w:highlight w:val="none"/>
        </w:rPr>
      </w:pPr>
      <w:r>
        <w:rPr>
          <w:rFonts w:hint="eastAsia" w:ascii="宋体" w:hAnsi="宋体" w:eastAsia="宋体" w:cs="宋体"/>
          <w:color w:val="auto"/>
          <w:sz w:val="24"/>
          <w:highlight w:val="none"/>
        </w:rPr>
        <w:t>为响应党中央、国务院关于治理采购领域商业贿赂行为的号召，我公司再次承诺：</w:t>
      </w:r>
    </w:p>
    <w:p w14:paraId="07DA3933">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1、在参与采购活动中遵纪守法、诚信经营、公平竞标。</w:t>
      </w:r>
    </w:p>
    <w:p w14:paraId="22A0C8B2">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2、不向采购人、采购代理机构和采购评审专家进行任何形式的商业贿赂以谋取交易机会。</w:t>
      </w:r>
    </w:p>
    <w:p w14:paraId="1339E20D">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3、不向采购代理机构和采购人提供虚假资质文件或采用虚假应标方式参与采购市场竞争并谋取中标、成交。</w:t>
      </w:r>
    </w:p>
    <w:p w14:paraId="73B79068">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4、不采取“围标、陪标”等商业欺诈手段获取采购订单。</w:t>
      </w:r>
    </w:p>
    <w:p w14:paraId="69C77B78">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5、不采取不正当手段诋毁、排挤其他供应商。</w:t>
      </w:r>
    </w:p>
    <w:p w14:paraId="53C160A4">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6、不在提供商品和服务时“偷梁换柱、以次充好”损害采购人的合法权益。</w:t>
      </w:r>
    </w:p>
    <w:p w14:paraId="42906EEC">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7、不与采购人、采购代理机构、采购评审专家或其他供应商恶意串通，进行质疑和投诉，维护采购市场秩序。</w:t>
      </w:r>
    </w:p>
    <w:p w14:paraId="51549CC7">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8、尊重和接受采购监督管理部门的监督和采购代理机构招标采购要求，承担因违约行为给采购人造成的损失。</w:t>
      </w:r>
    </w:p>
    <w:p w14:paraId="36F6498C">
      <w:pPr>
        <w:snapToGrid w:val="0"/>
        <w:spacing w:line="480" w:lineRule="auto"/>
        <w:ind w:left="483" w:leftChars="230" w:firstLine="388" w:firstLineChars="162"/>
        <w:rPr>
          <w:rFonts w:hint="eastAsia" w:ascii="宋体" w:hAnsi="宋体" w:eastAsia="宋体" w:cs="宋体"/>
          <w:color w:val="auto"/>
          <w:sz w:val="24"/>
          <w:highlight w:val="none"/>
        </w:rPr>
      </w:pPr>
      <w:r>
        <w:rPr>
          <w:rFonts w:hint="eastAsia" w:ascii="宋体" w:hAnsi="宋体" w:eastAsia="宋体" w:cs="宋体"/>
          <w:color w:val="auto"/>
          <w:sz w:val="24"/>
          <w:highlight w:val="none"/>
        </w:rPr>
        <w:t>9、不发生其他有悖于政府采购公开、公平、公正和诚信原则的行为。</w:t>
      </w:r>
    </w:p>
    <w:p w14:paraId="588A46FE">
      <w:pPr>
        <w:snapToGrid w:val="0"/>
        <w:spacing w:line="480" w:lineRule="auto"/>
        <w:ind w:left="483" w:leftChars="23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lang w:val="zh-TW" w:eastAsia="zh-TW"/>
        </w:rPr>
        <w:t>法定代表人或授权代表（签字或盖章）</w:t>
      </w:r>
    </w:p>
    <w:p w14:paraId="073F20A1">
      <w:pPr>
        <w:snapToGrid w:val="0"/>
        <w:spacing w:line="480" w:lineRule="auto"/>
        <w:ind w:left="483" w:leftChars="23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邮编：</w:t>
      </w:r>
    </w:p>
    <w:p w14:paraId="65F57C19">
      <w:pPr>
        <w:snapToGrid w:val="0"/>
        <w:spacing w:line="480" w:lineRule="auto"/>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09EB1ACF">
      <w:pPr>
        <w:snapToGrid w:val="0"/>
        <w:rPr>
          <w:rFonts w:hint="eastAsia" w:hAnsi="宋体" w:cs="宋体"/>
          <w:b/>
          <w:bCs/>
          <w:color w:val="auto"/>
          <w:sz w:val="32"/>
          <w:szCs w:val="32"/>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年    月    日</w:t>
      </w:r>
      <w:r>
        <w:rPr>
          <w:rFonts w:hint="eastAsia" w:ascii="宋体" w:hAnsi="宋体" w:eastAsia="宋体" w:cs="宋体"/>
          <w:b/>
          <w:bCs/>
          <w:color w:val="auto"/>
          <w:sz w:val="28"/>
          <w:szCs w:val="28"/>
          <w:highlight w:val="none"/>
        </w:rPr>
        <w:t xml:space="preserve">    </w:t>
      </w:r>
    </w:p>
    <w:bookmarkEnd w:id="89"/>
    <w:bookmarkEnd w:id="90"/>
    <w:bookmarkEnd w:id="91"/>
    <w:bookmarkEnd w:id="92"/>
    <w:bookmarkEnd w:id="93"/>
    <w:bookmarkEnd w:id="94"/>
    <w:p w14:paraId="2284D4AE">
      <w:pPr>
        <w:keepNext/>
        <w:keepLines/>
        <w:widowControl/>
        <w:ind w:firstLine="1606" w:firstLineChars="500"/>
        <w:rPr>
          <w:rFonts w:hint="eastAsia" w:hAnsi="宋体" w:cs="宋体"/>
          <w:b/>
          <w:bCs/>
          <w:color w:val="auto"/>
          <w:sz w:val="32"/>
          <w:szCs w:val="32"/>
          <w:highlight w:val="none"/>
        </w:rPr>
      </w:pPr>
    </w:p>
    <w:sectPr>
      <w:headerReference r:id="rId9" w:type="first"/>
      <w:headerReference r:id="rId8" w:type="default"/>
      <w:footerReference r:id="rId10" w:type="default"/>
      <w:footerReference r:id="rId11" w:type="even"/>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swiss"/>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liss Light">
    <w:altName w:val="Times New Roman"/>
    <w:panose1 w:val="00000000000000000000"/>
    <w:charset w:val="00"/>
    <w:family w:val="auto"/>
    <w:pitch w:val="default"/>
    <w:sig w:usb0="00000000" w:usb1="00000000" w:usb2="00000000" w:usb3="00000000" w:csb0="0000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0F43">
    <w:pPr>
      <w:pStyle w:val="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5F396E">
                          <w:pPr>
                            <w:pStyle w:val="16"/>
                            <w:tabs>
                              <w:tab w:val="right" w:pos="8820"/>
                              <w:tab w:val="clear" w:pos="8306"/>
                            </w:tabs>
                            <w:ind w:right="-255"/>
                          </w:pPr>
                          <w:r>
                            <w:rPr>
                              <w:rFonts w:hint="eastAsia"/>
                              <w:bCs/>
                              <w:iCs/>
                            </w:rPr>
                            <w:t xml:space="preserve">      </w:t>
                          </w:r>
                          <w:r>
                            <w:rPr>
                              <w:bCs/>
                              <w:iCs/>
                            </w:rPr>
                            <w:tab/>
                          </w:r>
                          <w:r>
                            <w:rPr>
                              <w:rFonts w:hint="eastAsia"/>
                              <w:bCs/>
                              <w:iCs/>
                            </w:rPr>
                            <w:t xml:space="preserve">                 </w:t>
                          </w:r>
                        </w:p>
                        <w:p w14:paraId="59FC8F85">
                          <w:pPr>
                            <w:pStyle w:val="16"/>
                            <w:jc w:val="center"/>
                            <w:rPr>
                              <w:rStyle w:val="28"/>
                            </w:rPr>
                          </w:pP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345F396E">
                    <w:pPr>
                      <w:pStyle w:val="16"/>
                      <w:tabs>
                        <w:tab w:val="right" w:pos="8820"/>
                        <w:tab w:val="clear" w:pos="8306"/>
                      </w:tabs>
                      <w:ind w:right="-255"/>
                    </w:pPr>
                    <w:r>
                      <w:rPr>
                        <w:rFonts w:hint="eastAsia"/>
                        <w:bCs/>
                        <w:iCs/>
                      </w:rPr>
                      <w:t xml:space="preserve">      </w:t>
                    </w:r>
                    <w:r>
                      <w:rPr>
                        <w:bCs/>
                        <w:iCs/>
                      </w:rPr>
                      <w:tab/>
                    </w:r>
                    <w:r>
                      <w:rPr>
                        <w:rFonts w:hint="eastAsia"/>
                        <w:bCs/>
                        <w:iCs/>
                      </w:rPr>
                      <w:t xml:space="preserve">                 </w:t>
                    </w:r>
                  </w:p>
                  <w:p w14:paraId="59FC8F85">
                    <w:pPr>
                      <w:pStyle w:val="16"/>
                      <w:jc w:val="center"/>
                      <w:rPr>
                        <w:rStyle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ADC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C79E">
    <w:pPr>
      <w:spacing w:before="1" w:line="175" w:lineRule="auto"/>
      <w:ind w:left="7943"/>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6C1891">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96C1891">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DF7E">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E2A92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1E2A92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5229">
    <w:pPr>
      <w:pStyle w:val="16"/>
      <w:tabs>
        <w:tab w:val="left" w:pos="9240"/>
      </w:tabs>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A6C6C1">
                          <w:pPr>
                            <w:pStyle w:val="1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3A6C6C1">
                    <w:pPr>
                      <w:pStyle w:val="16"/>
                    </w:pPr>
                    <w:r>
                      <w:fldChar w:fldCharType="begin"/>
                    </w:r>
                    <w:r>
                      <w:instrText xml:space="preserve"> PAGE  \* MERGEFORMAT </w:instrText>
                    </w:r>
                    <w:r>
                      <w:fldChar w:fldCharType="separate"/>
                    </w:r>
                    <w:r>
                      <w:t>58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9D8C5">
                          <w:pPr>
                            <w:pStyle w:val="16"/>
                            <w:tabs>
                              <w:tab w:val="right" w:pos="8820"/>
                              <w:tab w:val="clear" w:pos="8306"/>
                            </w:tabs>
                            <w:ind w:right="-255"/>
                          </w:pPr>
                          <w:r>
                            <w:rPr>
                              <w:rFonts w:hint="eastAsia"/>
                              <w:bCs/>
                              <w:iCs/>
                            </w:rPr>
                            <w:t xml:space="preserve">       </w:t>
                          </w:r>
                          <w:r>
                            <w:rPr>
                              <w:bCs/>
                              <w:iCs/>
                            </w:rPr>
                            <w:tab/>
                          </w:r>
                          <w:r>
                            <w:rPr>
                              <w:rFonts w:hint="eastAsia"/>
                              <w:bCs/>
                              <w:iCs/>
                            </w:rPr>
                            <w:t xml:space="preserve">                     </w:t>
                          </w:r>
                        </w:p>
                        <w:p w14:paraId="269640BF">
                          <w:pPr>
                            <w:pStyle w:val="16"/>
                            <w:jc w:val="center"/>
                            <w:rPr>
                              <w:rStyle w:val="28"/>
                            </w:rPr>
                          </w:pP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Q7OMEBAACN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zkWtAeH1MWLj0k1EnqLkYTqkwmjcqr8Gf95L18Bd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VXQ7OMEBAACNAwAADgAAAAAAAAABACAAAAAeAQAAZHJzL2Uyb0RvYy54bWxQSwUG&#10;AAAAAAYABgBZAQAAUQUAAAAA&#10;">
              <v:fill on="f" focussize="0,0"/>
              <v:stroke on="f"/>
              <v:imagedata o:title=""/>
              <o:lock v:ext="edit" aspectratio="f"/>
              <v:textbox inset="0mm,0mm,0mm,0mm" style="mso-fit-shape-to-text:t;">
                <w:txbxContent>
                  <w:p w14:paraId="2979D8C5">
                    <w:pPr>
                      <w:pStyle w:val="16"/>
                      <w:tabs>
                        <w:tab w:val="right" w:pos="8820"/>
                        <w:tab w:val="clear" w:pos="8306"/>
                      </w:tabs>
                      <w:ind w:right="-255"/>
                    </w:pPr>
                    <w:r>
                      <w:rPr>
                        <w:rFonts w:hint="eastAsia"/>
                        <w:bCs/>
                        <w:iCs/>
                      </w:rPr>
                      <w:t xml:space="preserve">       </w:t>
                    </w:r>
                    <w:r>
                      <w:rPr>
                        <w:bCs/>
                        <w:iCs/>
                      </w:rPr>
                      <w:tab/>
                    </w:r>
                    <w:r>
                      <w:rPr>
                        <w:rFonts w:hint="eastAsia"/>
                        <w:bCs/>
                        <w:iCs/>
                      </w:rPr>
                      <w:t xml:space="preserve">                     </w:t>
                    </w:r>
                  </w:p>
                  <w:p w14:paraId="269640BF">
                    <w:pPr>
                      <w:pStyle w:val="16"/>
                      <w:jc w:val="center"/>
                      <w:rPr>
                        <w:rStyle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E073">
    <w:pPr>
      <w:pStyle w:val="16"/>
      <w:framePr w:wrap="around" w:vAnchor="text" w:hAnchor="margin" w:xAlign="right" w:y="1"/>
      <w:rPr>
        <w:rStyle w:val="28"/>
      </w:rPr>
    </w:pPr>
    <w:r>
      <w:fldChar w:fldCharType="begin"/>
    </w:r>
    <w:r>
      <w:rPr>
        <w:rStyle w:val="28"/>
      </w:rPr>
      <w:instrText xml:space="preserve">PAGE  </w:instrText>
    </w:r>
    <w:r>
      <w:fldChar w:fldCharType="end"/>
    </w:r>
  </w:p>
  <w:p w14:paraId="334C6EBB">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2839">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2482E">
    <w:pPr>
      <w:pStyle w:val="17"/>
      <w:pBdr>
        <w:bottom w:val="none" w:color="auto" w:sz="0" w:space="1"/>
      </w:pBdr>
      <w:tabs>
        <w:tab w:val="right" w:pos="9030"/>
        <w:tab w:val="center" w:pos="9345"/>
        <w:tab w:val="clear" w:pos="4153"/>
        <w:tab w:val="clear" w:pos="8306"/>
      </w:tabs>
      <w:ind w:left="73" w:leftChars="35" w:right="-46" w:firstLine="75" w:firstLineChars="42"/>
      <w:jc w:val="both"/>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C24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A6E2CB5C"/>
    <w:multiLevelType w:val="singleLevel"/>
    <w:tmpl w:val="A6E2CB5C"/>
    <w:lvl w:ilvl="0" w:tentative="0">
      <w:start w:val="2"/>
      <w:numFmt w:val="chineseCounting"/>
      <w:suff w:val="nothing"/>
      <w:lvlText w:val="%1、"/>
      <w:lvlJc w:val="left"/>
      <w:rPr>
        <w:rFonts w:hint="eastAsia"/>
      </w:rPr>
    </w:lvl>
  </w:abstractNum>
  <w:abstractNum w:abstractNumId="2">
    <w:nsid w:val="B2CF5149"/>
    <w:multiLevelType w:val="singleLevel"/>
    <w:tmpl w:val="B2CF5149"/>
    <w:lvl w:ilvl="0" w:tentative="0">
      <w:start w:val="5"/>
      <w:numFmt w:val="chineseCounting"/>
      <w:suff w:val="nothing"/>
      <w:lvlText w:val="（%1）"/>
      <w:lvlJc w:val="left"/>
      <w:rPr>
        <w:rFonts w:hint="eastAsia"/>
      </w:rPr>
    </w:lvl>
  </w:abstractNum>
  <w:abstractNum w:abstractNumId="3">
    <w:nsid w:val="EB846BDD"/>
    <w:multiLevelType w:val="singleLevel"/>
    <w:tmpl w:val="EB846BDD"/>
    <w:lvl w:ilvl="0" w:tentative="0">
      <w:start w:val="2"/>
      <w:numFmt w:val="decimal"/>
      <w:suff w:val="space"/>
      <w:lvlText w:val="%1."/>
      <w:lvlJc w:val="left"/>
      <w:pPr>
        <w:ind w:left="360" w:leftChars="0" w:firstLine="0" w:firstLineChars="0"/>
      </w:pPr>
    </w:lvl>
  </w:abstractNum>
  <w:abstractNum w:abstractNumId="4">
    <w:nsid w:val="040E2180"/>
    <w:multiLevelType w:val="singleLevel"/>
    <w:tmpl w:val="040E2180"/>
    <w:lvl w:ilvl="0" w:tentative="0">
      <w:start w:val="3"/>
      <w:numFmt w:val="chineseCounting"/>
      <w:suff w:val="space"/>
      <w:lvlText w:val="第%1部分"/>
      <w:lvlJc w:val="left"/>
      <w:rPr>
        <w:rFonts w:hint="eastAsia"/>
        <w:color w:val="auto"/>
      </w:rPr>
    </w:lvl>
  </w:abstractNum>
  <w:abstractNum w:abstractNumId="5">
    <w:nsid w:val="1C34A99D"/>
    <w:multiLevelType w:val="singleLevel"/>
    <w:tmpl w:val="1C34A99D"/>
    <w:lvl w:ilvl="0" w:tentative="0">
      <w:start w:val="1"/>
      <w:numFmt w:val="decimal"/>
      <w:suff w:val="nothing"/>
      <w:lvlText w:val="%1、"/>
      <w:lvlJc w:val="left"/>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YWJhZDBhYmNhMGQ4N2Y1NjkxNTQ4M2Y5OTdiMTEifQ=="/>
  </w:docVars>
  <w:rsids>
    <w:rsidRoot w:val="6B8F2508"/>
    <w:rsid w:val="000E3FC3"/>
    <w:rsid w:val="002262CF"/>
    <w:rsid w:val="002410F1"/>
    <w:rsid w:val="004D3A5D"/>
    <w:rsid w:val="004D601E"/>
    <w:rsid w:val="00546860"/>
    <w:rsid w:val="009269A2"/>
    <w:rsid w:val="00B175E9"/>
    <w:rsid w:val="00B31367"/>
    <w:rsid w:val="00C823C4"/>
    <w:rsid w:val="00D26D9F"/>
    <w:rsid w:val="00F1191B"/>
    <w:rsid w:val="00F907CF"/>
    <w:rsid w:val="01062EEC"/>
    <w:rsid w:val="010F7FF3"/>
    <w:rsid w:val="011763A1"/>
    <w:rsid w:val="01203FAE"/>
    <w:rsid w:val="01453A14"/>
    <w:rsid w:val="014A4B87"/>
    <w:rsid w:val="01527EDF"/>
    <w:rsid w:val="015E6884"/>
    <w:rsid w:val="01655E65"/>
    <w:rsid w:val="017F2AAF"/>
    <w:rsid w:val="018207C5"/>
    <w:rsid w:val="018E53BB"/>
    <w:rsid w:val="018F2EE2"/>
    <w:rsid w:val="018F4C90"/>
    <w:rsid w:val="019D55FE"/>
    <w:rsid w:val="01A93FA3"/>
    <w:rsid w:val="01D134FA"/>
    <w:rsid w:val="01D9415D"/>
    <w:rsid w:val="01E90844"/>
    <w:rsid w:val="01F2266A"/>
    <w:rsid w:val="01F40F97"/>
    <w:rsid w:val="020B6A0C"/>
    <w:rsid w:val="0213766F"/>
    <w:rsid w:val="02423035"/>
    <w:rsid w:val="02510197"/>
    <w:rsid w:val="025B2DC4"/>
    <w:rsid w:val="025B7E44"/>
    <w:rsid w:val="025F19CA"/>
    <w:rsid w:val="02663C42"/>
    <w:rsid w:val="028E13EB"/>
    <w:rsid w:val="029A1B3E"/>
    <w:rsid w:val="02B93627"/>
    <w:rsid w:val="02EB4148"/>
    <w:rsid w:val="02F95C7A"/>
    <w:rsid w:val="03031491"/>
    <w:rsid w:val="031511C4"/>
    <w:rsid w:val="031B2C7F"/>
    <w:rsid w:val="031E276F"/>
    <w:rsid w:val="031E451D"/>
    <w:rsid w:val="03234760"/>
    <w:rsid w:val="03353CBA"/>
    <w:rsid w:val="033E071B"/>
    <w:rsid w:val="035D17EF"/>
    <w:rsid w:val="0361265C"/>
    <w:rsid w:val="036A1510"/>
    <w:rsid w:val="03A82039"/>
    <w:rsid w:val="03AD764F"/>
    <w:rsid w:val="03C658CD"/>
    <w:rsid w:val="03D90444"/>
    <w:rsid w:val="03EE0393"/>
    <w:rsid w:val="040B651A"/>
    <w:rsid w:val="04206FB2"/>
    <w:rsid w:val="04245136"/>
    <w:rsid w:val="0433224A"/>
    <w:rsid w:val="043A5387"/>
    <w:rsid w:val="044E498E"/>
    <w:rsid w:val="047168CE"/>
    <w:rsid w:val="047F0A0F"/>
    <w:rsid w:val="04877EA0"/>
    <w:rsid w:val="048B7990"/>
    <w:rsid w:val="04A46CA4"/>
    <w:rsid w:val="04A70542"/>
    <w:rsid w:val="04BD38C2"/>
    <w:rsid w:val="04E80C82"/>
    <w:rsid w:val="04E80FBC"/>
    <w:rsid w:val="04F35535"/>
    <w:rsid w:val="04FF037E"/>
    <w:rsid w:val="05046312"/>
    <w:rsid w:val="052C0B14"/>
    <w:rsid w:val="053A4F12"/>
    <w:rsid w:val="05497C83"/>
    <w:rsid w:val="05551D4C"/>
    <w:rsid w:val="057448C8"/>
    <w:rsid w:val="05790131"/>
    <w:rsid w:val="057C552B"/>
    <w:rsid w:val="05810D93"/>
    <w:rsid w:val="058B6AC3"/>
    <w:rsid w:val="05D90BCF"/>
    <w:rsid w:val="05E25CD6"/>
    <w:rsid w:val="0600615C"/>
    <w:rsid w:val="060E0879"/>
    <w:rsid w:val="0611332A"/>
    <w:rsid w:val="061547AF"/>
    <w:rsid w:val="062534F1"/>
    <w:rsid w:val="06304C93"/>
    <w:rsid w:val="06317E18"/>
    <w:rsid w:val="064249C6"/>
    <w:rsid w:val="06563FCE"/>
    <w:rsid w:val="06697173"/>
    <w:rsid w:val="06791B5D"/>
    <w:rsid w:val="06994288"/>
    <w:rsid w:val="069D39AB"/>
    <w:rsid w:val="06CE0008"/>
    <w:rsid w:val="06CE70B8"/>
    <w:rsid w:val="06D27AF8"/>
    <w:rsid w:val="06D82C35"/>
    <w:rsid w:val="071741D7"/>
    <w:rsid w:val="072F2DA8"/>
    <w:rsid w:val="073321A9"/>
    <w:rsid w:val="073F0F06"/>
    <w:rsid w:val="0754675F"/>
    <w:rsid w:val="07554285"/>
    <w:rsid w:val="075C73C2"/>
    <w:rsid w:val="07612C2A"/>
    <w:rsid w:val="07691ADF"/>
    <w:rsid w:val="077F0495"/>
    <w:rsid w:val="078864DC"/>
    <w:rsid w:val="07C75183"/>
    <w:rsid w:val="07C82CA9"/>
    <w:rsid w:val="07DD49A7"/>
    <w:rsid w:val="07F7358F"/>
    <w:rsid w:val="07FC0BA5"/>
    <w:rsid w:val="08053EFD"/>
    <w:rsid w:val="080F08D8"/>
    <w:rsid w:val="08123F24"/>
    <w:rsid w:val="08297159"/>
    <w:rsid w:val="08387E2F"/>
    <w:rsid w:val="084163BB"/>
    <w:rsid w:val="085D1644"/>
    <w:rsid w:val="08670714"/>
    <w:rsid w:val="086A1FB2"/>
    <w:rsid w:val="08AC6127"/>
    <w:rsid w:val="08B60D54"/>
    <w:rsid w:val="08BA4CE8"/>
    <w:rsid w:val="08CE24D2"/>
    <w:rsid w:val="08D613F6"/>
    <w:rsid w:val="08FF2325"/>
    <w:rsid w:val="09242161"/>
    <w:rsid w:val="092B1742"/>
    <w:rsid w:val="09554A11"/>
    <w:rsid w:val="095A5B83"/>
    <w:rsid w:val="097924AD"/>
    <w:rsid w:val="09896468"/>
    <w:rsid w:val="098D5F59"/>
    <w:rsid w:val="09954E0D"/>
    <w:rsid w:val="099948FD"/>
    <w:rsid w:val="099A0675"/>
    <w:rsid w:val="09DE67B4"/>
    <w:rsid w:val="09E0252C"/>
    <w:rsid w:val="09E244F6"/>
    <w:rsid w:val="09E3201C"/>
    <w:rsid w:val="09FD7FD2"/>
    <w:rsid w:val="0A256191"/>
    <w:rsid w:val="0A3B3C06"/>
    <w:rsid w:val="0A682522"/>
    <w:rsid w:val="0A8A693C"/>
    <w:rsid w:val="0A9357F1"/>
    <w:rsid w:val="0A9B6453"/>
    <w:rsid w:val="0A9F4195"/>
    <w:rsid w:val="0AAE6186"/>
    <w:rsid w:val="0ABD537E"/>
    <w:rsid w:val="0AE0655C"/>
    <w:rsid w:val="0B1E66F6"/>
    <w:rsid w:val="0B293A5F"/>
    <w:rsid w:val="0B3348DE"/>
    <w:rsid w:val="0B380146"/>
    <w:rsid w:val="0B4C599F"/>
    <w:rsid w:val="0B71273B"/>
    <w:rsid w:val="0B7A250D"/>
    <w:rsid w:val="0B7C44D7"/>
    <w:rsid w:val="0B845EEA"/>
    <w:rsid w:val="0B8A1792"/>
    <w:rsid w:val="0B8D0492"/>
    <w:rsid w:val="0BB73761"/>
    <w:rsid w:val="0BBA20CB"/>
    <w:rsid w:val="0BC242F3"/>
    <w:rsid w:val="0BC33EB3"/>
    <w:rsid w:val="0BC63EC1"/>
    <w:rsid w:val="0BD31C1D"/>
    <w:rsid w:val="0BE65DF4"/>
    <w:rsid w:val="0BED0F30"/>
    <w:rsid w:val="0C040028"/>
    <w:rsid w:val="0C1A784C"/>
    <w:rsid w:val="0C421E8C"/>
    <w:rsid w:val="0C5E1E2E"/>
    <w:rsid w:val="0C684A5B"/>
    <w:rsid w:val="0C711B61"/>
    <w:rsid w:val="0CBD321A"/>
    <w:rsid w:val="0CBD4DA7"/>
    <w:rsid w:val="0CC457FD"/>
    <w:rsid w:val="0CC7352F"/>
    <w:rsid w:val="0D006A41"/>
    <w:rsid w:val="0D076022"/>
    <w:rsid w:val="0D0F4ED6"/>
    <w:rsid w:val="0D15058A"/>
    <w:rsid w:val="0D1925BE"/>
    <w:rsid w:val="0D246BD4"/>
    <w:rsid w:val="0D91789D"/>
    <w:rsid w:val="0DAB4BFF"/>
    <w:rsid w:val="0DAD4E1B"/>
    <w:rsid w:val="0DB317B6"/>
    <w:rsid w:val="0DBC0BBA"/>
    <w:rsid w:val="0DC61A39"/>
    <w:rsid w:val="0E0D7668"/>
    <w:rsid w:val="0E124C7E"/>
    <w:rsid w:val="0E171C42"/>
    <w:rsid w:val="0E2624D8"/>
    <w:rsid w:val="0E2A1FC8"/>
    <w:rsid w:val="0E344BF5"/>
    <w:rsid w:val="0E3921F1"/>
    <w:rsid w:val="0E3B2427"/>
    <w:rsid w:val="0E460DCC"/>
    <w:rsid w:val="0E575B0C"/>
    <w:rsid w:val="0E63197E"/>
    <w:rsid w:val="0E8A2A67"/>
    <w:rsid w:val="0E8D1EBF"/>
    <w:rsid w:val="0EB9159E"/>
    <w:rsid w:val="0EC56195"/>
    <w:rsid w:val="0EF15C22"/>
    <w:rsid w:val="0EF820C6"/>
    <w:rsid w:val="0F0E3698"/>
    <w:rsid w:val="0F1F4D44"/>
    <w:rsid w:val="0F226635"/>
    <w:rsid w:val="0F227143"/>
    <w:rsid w:val="0F5461CB"/>
    <w:rsid w:val="0F56503F"/>
    <w:rsid w:val="0F865924"/>
    <w:rsid w:val="0F895414"/>
    <w:rsid w:val="0F8B118C"/>
    <w:rsid w:val="0F923925"/>
    <w:rsid w:val="0FA20284"/>
    <w:rsid w:val="100131FC"/>
    <w:rsid w:val="100920B1"/>
    <w:rsid w:val="102D5D9F"/>
    <w:rsid w:val="105E41AB"/>
    <w:rsid w:val="108C492E"/>
    <w:rsid w:val="108D3159"/>
    <w:rsid w:val="10A5627E"/>
    <w:rsid w:val="10A67900"/>
    <w:rsid w:val="10B4026F"/>
    <w:rsid w:val="10B554B0"/>
    <w:rsid w:val="10D426BF"/>
    <w:rsid w:val="10E548CC"/>
    <w:rsid w:val="10F36FE9"/>
    <w:rsid w:val="10FE598E"/>
    <w:rsid w:val="1156492B"/>
    <w:rsid w:val="115C3DB3"/>
    <w:rsid w:val="11621A79"/>
    <w:rsid w:val="11692E07"/>
    <w:rsid w:val="119277B5"/>
    <w:rsid w:val="119500A0"/>
    <w:rsid w:val="11A622AD"/>
    <w:rsid w:val="11B36E49"/>
    <w:rsid w:val="11C646FD"/>
    <w:rsid w:val="11D34725"/>
    <w:rsid w:val="11E903EC"/>
    <w:rsid w:val="11FA7F03"/>
    <w:rsid w:val="120B0362"/>
    <w:rsid w:val="12152F8F"/>
    <w:rsid w:val="12211934"/>
    <w:rsid w:val="1226519C"/>
    <w:rsid w:val="122D652B"/>
    <w:rsid w:val="12374CB3"/>
    <w:rsid w:val="128C0C5E"/>
    <w:rsid w:val="12A14823"/>
    <w:rsid w:val="12A3059B"/>
    <w:rsid w:val="12BA7692"/>
    <w:rsid w:val="12C02EFB"/>
    <w:rsid w:val="12D40754"/>
    <w:rsid w:val="12FE7EC7"/>
    <w:rsid w:val="13313DF9"/>
    <w:rsid w:val="133E565C"/>
    <w:rsid w:val="13433851"/>
    <w:rsid w:val="134F31B3"/>
    <w:rsid w:val="13547AE7"/>
    <w:rsid w:val="136321F3"/>
    <w:rsid w:val="137D5290"/>
    <w:rsid w:val="13857CA0"/>
    <w:rsid w:val="13AE71F7"/>
    <w:rsid w:val="13CC3B21"/>
    <w:rsid w:val="13E0137B"/>
    <w:rsid w:val="13ED1DDE"/>
    <w:rsid w:val="13F866C4"/>
    <w:rsid w:val="13FC4407"/>
    <w:rsid w:val="14073E0E"/>
    <w:rsid w:val="14292D22"/>
    <w:rsid w:val="1432607A"/>
    <w:rsid w:val="143A4F2F"/>
    <w:rsid w:val="143D057B"/>
    <w:rsid w:val="144731A8"/>
    <w:rsid w:val="145F04F1"/>
    <w:rsid w:val="145F29C6"/>
    <w:rsid w:val="148D505F"/>
    <w:rsid w:val="14AD621C"/>
    <w:rsid w:val="14EF232F"/>
    <w:rsid w:val="15080B89"/>
    <w:rsid w:val="150C0679"/>
    <w:rsid w:val="15111718"/>
    <w:rsid w:val="153361F3"/>
    <w:rsid w:val="1534372C"/>
    <w:rsid w:val="155344FA"/>
    <w:rsid w:val="158346B4"/>
    <w:rsid w:val="158E72E0"/>
    <w:rsid w:val="15972F00"/>
    <w:rsid w:val="15A308B2"/>
    <w:rsid w:val="15AA1C40"/>
    <w:rsid w:val="15D13671"/>
    <w:rsid w:val="15D171CD"/>
    <w:rsid w:val="15E909BB"/>
    <w:rsid w:val="15FD705D"/>
    <w:rsid w:val="16092E0B"/>
    <w:rsid w:val="16225C7A"/>
    <w:rsid w:val="16636826"/>
    <w:rsid w:val="16753FFC"/>
    <w:rsid w:val="16A71444"/>
    <w:rsid w:val="16C3745D"/>
    <w:rsid w:val="16CD5BE6"/>
    <w:rsid w:val="16E3365C"/>
    <w:rsid w:val="172822BB"/>
    <w:rsid w:val="172F4AF3"/>
    <w:rsid w:val="17457E73"/>
    <w:rsid w:val="174F2A9F"/>
    <w:rsid w:val="17604AD5"/>
    <w:rsid w:val="17650515"/>
    <w:rsid w:val="1768590F"/>
    <w:rsid w:val="17732C32"/>
    <w:rsid w:val="1791221E"/>
    <w:rsid w:val="17936E30"/>
    <w:rsid w:val="179477BF"/>
    <w:rsid w:val="17DB2585"/>
    <w:rsid w:val="1807032E"/>
    <w:rsid w:val="1816180F"/>
    <w:rsid w:val="18201CBD"/>
    <w:rsid w:val="18291542"/>
    <w:rsid w:val="18495740"/>
    <w:rsid w:val="18673E19"/>
    <w:rsid w:val="189B3AC2"/>
    <w:rsid w:val="189D5A8C"/>
    <w:rsid w:val="18A72D66"/>
    <w:rsid w:val="18A84B5D"/>
    <w:rsid w:val="18AD2EDC"/>
    <w:rsid w:val="18BD6943"/>
    <w:rsid w:val="18FA4C8D"/>
    <w:rsid w:val="191915B7"/>
    <w:rsid w:val="194B373A"/>
    <w:rsid w:val="19513801"/>
    <w:rsid w:val="19946E8F"/>
    <w:rsid w:val="19A51261"/>
    <w:rsid w:val="1A057D8D"/>
    <w:rsid w:val="1A077FBC"/>
    <w:rsid w:val="1A2975D8"/>
    <w:rsid w:val="1A3F7EC0"/>
    <w:rsid w:val="1A445924"/>
    <w:rsid w:val="1A4C1518"/>
    <w:rsid w:val="1A4E5290"/>
    <w:rsid w:val="1A7730D0"/>
    <w:rsid w:val="1A7867B1"/>
    <w:rsid w:val="1A8C5DB8"/>
    <w:rsid w:val="1AA41354"/>
    <w:rsid w:val="1AAC1FB7"/>
    <w:rsid w:val="1AB718A0"/>
    <w:rsid w:val="1AC13CB4"/>
    <w:rsid w:val="1AFD2812"/>
    <w:rsid w:val="1B1868FB"/>
    <w:rsid w:val="1B1B193B"/>
    <w:rsid w:val="1B2B396E"/>
    <w:rsid w:val="1B542D7A"/>
    <w:rsid w:val="1B645A3A"/>
    <w:rsid w:val="1B6603B7"/>
    <w:rsid w:val="1B6B3C20"/>
    <w:rsid w:val="1B746F78"/>
    <w:rsid w:val="1B7900EB"/>
    <w:rsid w:val="1B8E24FF"/>
    <w:rsid w:val="1B9C202B"/>
    <w:rsid w:val="1BC1139B"/>
    <w:rsid w:val="1BD56FB6"/>
    <w:rsid w:val="1BFE6842"/>
    <w:rsid w:val="1C0025BA"/>
    <w:rsid w:val="1C124A19"/>
    <w:rsid w:val="1C2C33AF"/>
    <w:rsid w:val="1C4A7CD9"/>
    <w:rsid w:val="1C5446B4"/>
    <w:rsid w:val="1C5841A4"/>
    <w:rsid w:val="1C597F1C"/>
    <w:rsid w:val="1C5B3C94"/>
    <w:rsid w:val="1C626DD1"/>
    <w:rsid w:val="1C6B037B"/>
    <w:rsid w:val="1C6E5776"/>
    <w:rsid w:val="1C784846"/>
    <w:rsid w:val="1C984EE8"/>
    <w:rsid w:val="1CA44A0F"/>
    <w:rsid w:val="1CD13730"/>
    <w:rsid w:val="1CD81789"/>
    <w:rsid w:val="1CE43C8A"/>
    <w:rsid w:val="1D0936F0"/>
    <w:rsid w:val="1D440BCC"/>
    <w:rsid w:val="1D4B5AB7"/>
    <w:rsid w:val="1D795028"/>
    <w:rsid w:val="1D8334A3"/>
    <w:rsid w:val="1D9E652E"/>
    <w:rsid w:val="1DAD49C3"/>
    <w:rsid w:val="1DC51D0D"/>
    <w:rsid w:val="1DD71A40"/>
    <w:rsid w:val="1DDC7057"/>
    <w:rsid w:val="1DF0665E"/>
    <w:rsid w:val="1E0F622A"/>
    <w:rsid w:val="1E3E561C"/>
    <w:rsid w:val="1E432C32"/>
    <w:rsid w:val="1EAC07D7"/>
    <w:rsid w:val="1EB853CE"/>
    <w:rsid w:val="1EBF050A"/>
    <w:rsid w:val="1ECF10DB"/>
    <w:rsid w:val="1ED75B0A"/>
    <w:rsid w:val="1EE31BB8"/>
    <w:rsid w:val="1EEF7FE2"/>
    <w:rsid w:val="1EF503D0"/>
    <w:rsid w:val="1F354C71"/>
    <w:rsid w:val="1F3A0DF5"/>
    <w:rsid w:val="1F422EEA"/>
    <w:rsid w:val="1F923E71"/>
    <w:rsid w:val="1F941997"/>
    <w:rsid w:val="1F974FE3"/>
    <w:rsid w:val="1FCF6E73"/>
    <w:rsid w:val="1FD20711"/>
    <w:rsid w:val="1FD9384E"/>
    <w:rsid w:val="200837FA"/>
    <w:rsid w:val="200F101E"/>
    <w:rsid w:val="200F54C2"/>
    <w:rsid w:val="20216FA3"/>
    <w:rsid w:val="203B1E13"/>
    <w:rsid w:val="2043154A"/>
    <w:rsid w:val="204F3608"/>
    <w:rsid w:val="208732AA"/>
    <w:rsid w:val="20A200E4"/>
    <w:rsid w:val="20F93EB3"/>
    <w:rsid w:val="212E5E1B"/>
    <w:rsid w:val="2130749E"/>
    <w:rsid w:val="217610D2"/>
    <w:rsid w:val="21A47E8B"/>
    <w:rsid w:val="21AC11BD"/>
    <w:rsid w:val="21E5472C"/>
    <w:rsid w:val="222C235B"/>
    <w:rsid w:val="223905D4"/>
    <w:rsid w:val="2250591D"/>
    <w:rsid w:val="22513B6F"/>
    <w:rsid w:val="22525B39"/>
    <w:rsid w:val="225D0766"/>
    <w:rsid w:val="225D2353"/>
    <w:rsid w:val="22723AE6"/>
    <w:rsid w:val="22835CF3"/>
    <w:rsid w:val="22A00653"/>
    <w:rsid w:val="22A30143"/>
    <w:rsid w:val="22AC524A"/>
    <w:rsid w:val="22B67E76"/>
    <w:rsid w:val="22BD7457"/>
    <w:rsid w:val="22CA72A8"/>
    <w:rsid w:val="22ED6DD3"/>
    <w:rsid w:val="22EF5136"/>
    <w:rsid w:val="2305495A"/>
    <w:rsid w:val="230E1A60"/>
    <w:rsid w:val="231921B3"/>
    <w:rsid w:val="232079E6"/>
    <w:rsid w:val="23333275"/>
    <w:rsid w:val="233D4C2E"/>
    <w:rsid w:val="23544934"/>
    <w:rsid w:val="235E2D33"/>
    <w:rsid w:val="23720241"/>
    <w:rsid w:val="23757D31"/>
    <w:rsid w:val="237D2742"/>
    <w:rsid w:val="23857FB7"/>
    <w:rsid w:val="23902475"/>
    <w:rsid w:val="239D1036"/>
    <w:rsid w:val="23A93537"/>
    <w:rsid w:val="23C6058D"/>
    <w:rsid w:val="23E32EED"/>
    <w:rsid w:val="23E97DD8"/>
    <w:rsid w:val="23F21382"/>
    <w:rsid w:val="23F46EA8"/>
    <w:rsid w:val="24417C14"/>
    <w:rsid w:val="246A716A"/>
    <w:rsid w:val="246B619D"/>
    <w:rsid w:val="24A3267C"/>
    <w:rsid w:val="24D34D10"/>
    <w:rsid w:val="24D4085E"/>
    <w:rsid w:val="24E24F53"/>
    <w:rsid w:val="24E63888"/>
    <w:rsid w:val="24E75662"/>
    <w:rsid w:val="24EE1B49"/>
    <w:rsid w:val="24FD3B3B"/>
    <w:rsid w:val="250824DF"/>
    <w:rsid w:val="254774AC"/>
    <w:rsid w:val="256242E5"/>
    <w:rsid w:val="2564005E"/>
    <w:rsid w:val="256C71A5"/>
    <w:rsid w:val="258A1146"/>
    <w:rsid w:val="259C15A5"/>
    <w:rsid w:val="25AC080E"/>
    <w:rsid w:val="25AE2180"/>
    <w:rsid w:val="26105AEF"/>
    <w:rsid w:val="26233A75"/>
    <w:rsid w:val="266F2816"/>
    <w:rsid w:val="267267AA"/>
    <w:rsid w:val="267B565F"/>
    <w:rsid w:val="26855921"/>
    <w:rsid w:val="26A34BB6"/>
    <w:rsid w:val="26BC17D3"/>
    <w:rsid w:val="26C024F1"/>
    <w:rsid w:val="26D94133"/>
    <w:rsid w:val="26DB60FD"/>
    <w:rsid w:val="26F669DB"/>
    <w:rsid w:val="274176DD"/>
    <w:rsid w:val="274A3283"/>
    <w:rsid w:val="275A34C6"/>
    <w:rsid w:val="27765E26"/>
    <w:rsid w:val="27A110F5"/>
    <w:rsid w:val="27AC35F6"/>
    <w:rsid w:val="27C272BD"/>
    <w:rsid w:val="27C546B8"/>
    <w:rsid w:val="27D74B17"/>
    <w:rsid w:val="27F531EF"/>
    <w:rsid w:val="28083760"/>
    <w:rsid w:val="28100029"/>
    <w:rsid w:val="28537F15"/>
    <w:rsid w:val="285D2B42"/>
    <w:rsid w:val="28667C49"/>
    <w:rsid w:val="28844573"/>
    <w:rsid w:val="289D6A5F"/>
    <w:rsid w:val="28A1537A"/>
    <w:rsid w:val="28BC5ABB"/>
    <w:rsid w:val="28EA2628"/>
    <w:rsid w:val="29001E4B"/>
    <w:rsid w:val="290556B4"/>
    <w:rsid w:val="291122AA"/>
    <w:rsid w:val="29194CBB"/>
    <w:rsid w:val="29341C80"/>
    <w:rsid w:val="2939535D"/>
    <w:rsid w:val="29471828"/>
    <w:rsid w:val="295201CD"/>
    <w:rsid w:val="296A19BB"/>
    <w:rsid w:val="296D5007"/>
    <w:rsid w:val="2973261D"/>
    <w:rsid w:val="2996630C"/>
    <w:rsid w:val="29AA1DB7"/>
    <w:rsid w:val="29BF5862"/>
    <w:rsid w:val="29E67293"/>
    <w:rsid w:val="29E9060E"/>
    <w:rsid w:val="29F80D74"/>
    <w:rsid w:val="29FB0865"/>
    <w:rsid w:val="2A225DF1"/>
    <w:rsid w:val="2A337FFE"/>
    <w:rsid w:val="2A3A1774"/>
    <w:rsid w:val="2A5E1327"/>
    <w:rsid w:val="2A5E30F9"/>
    <w:rsid w:val="2A674568"/>
    <w:rsid w:val="2A7C3754"/>
    <w:rsid w:val="2AB17174"/>
    <w:rsid w:val="2AB173D6"/>
    <w:rsid w:val="2AB50225"/>
    <w:rsid w:val="2AC450FA"/>
    <w:rsid w:val="2ACA0963"/>
    <w:rsid w:val="2AD6555A"/>
    <w:rsid w:val="2AFC6642"/>
    <w:rsid w:val="2B107F0A"/>
    <w:rsid w:val="2B253DEB"/>
    <w:rsid w:val="2B3D7387"/>
    <w:rsid w:val="2B487ADA"/>
    <w:rsid w:val="2B4D50F0"/>
    <w:rsid w:val="2B642979"/>
    <w:rsid w:val="2B6E37C0"/>
    <w:rsid w:val="2B7D3D9A"/>
    <w:rsid w:val="2B944ACD"/>
    <w:rsid w:val="2BA51C2E"/>
    <w:rsid w:val="2BCC24B9"/>
    <w:rsid w:val="2BFA0BD3"/>
    <w:rsid w:val="2C1443AA"/>
    <w:rsid w:val="2C1F083A"/>
    <w:rsid w:val="2C372028"/>
    <w:rsid w:val="2C6E17C2"/>
    <w:rsid w:val="2CA21332"/>
    <w:rsid w:val="2CC633AC"/>
    <w:rsid w:val="2CD45AC9"/>
    <w:rsid w:val="2CDA29B3"/>
    <w:rsid w:val="2D214A86"/>
    <w:rsid w:val="2D236108"/>
    <w:rsid w:val="2D26209C"/>
    <w:rsid w:val="2D281971"/>
    <w:rsid w:val="2D297497"/>
    <w:rsid w:val="2D29793E"/>
    <w:rsid w:val="2D376058"/>
    <w:rsid w:val="2D5F7880"/>
    <w:rsid w:val="2D6D1A79"/>
    <w:rsid w:val="2D915768"/>
    <w:rsid w:val="2DAD1E76"/>
    <w:rsid w:val="2DC7490C"/>
    <w:rsid w:val="2E166CE2"/>
    <w:rsid w:val="2E277E7A"/>
    <w:rsid w:val="2E3E709D"/>
    <w:rsid w:val="2E457C35"/>
    <w:rsid w:val="2E5F7614"/>
    <w:rsid w:val="2EA3102F"/>
    <w:rsid w:val="2EA4771D"/>
    <w:rsid w:val="2EB1489B"/>
    <w:rsid w:val="2EB23BE8"/>
    <w:rsid w:val="2ED022C0"/>
    <w:rsid w:val="2EE43FBD"/>
    <w:rsid w:val="2EF20488"/>
    <w:rsid w:val="2EF37D5C"/>
    <w:rsid w:val="2F032695"/>
    <w:rsid w:val="2F1800A5"/>
    <w:rsid w:val="2F1E302B"/>
    <w:rsid w:val="2F3F11F4"/>
    <w:rsid w:val="2F7E0CFF"/>
    <w:rsid w:val="2F9279B6"/>
    <w:rsid w:val="2F947791"/>
    <w:rsid w:val="2F996B56"/>
    <w:rsid w:val="2FB971F8"/>
    <w:rsid w:val="2FCF07C9"/>
    <w:rsid w:val="2FD91648"/>
    <w:rsid w:val="30134B5A"/>
    <w:rsid w:val="30182170"/>
    <w:rsid w:val="301937F3"/>
    <w:rsid w:val="30234671"/>
    <w:rsid w:val="302C5C1C"/>
    <w:rsid w:val="30446AC1"/>
    <w:rsid w:val="304C1D62"/>
    <w:rsid w:val="30676548"/>
    <w:rsid w:val="30676C54"/>
    <w:rsid w:val="306E3B3E"/>
    <w:rsid w:val="30782C0F"/>
    <w:rsid w:val="307A6987"/>
    <w:rsid w:val="30AE5029"/>
    <w:rsid w:val="30CB0F91"/>
    <w:rsid w:val="3106386B"/>
    <w:rsid w:val="3107106A"/>
    <w:rsid w:val="31197954"/>
    <w:rsid w:val="31344D88"/>
    <w:rsid w:val="313D6058"/>
    <w:rsid w:val="315423E2"/>
    <w:rsid w:val="317A4765"/>
    <w:rsid w:val="31AC6BBF"/>
    <w:rsid w:val="31C312DD"/>
    <w:rsid w:val="31DB5204"/>
    <w:rsid w:val="31EE13DB"/>
    <w:rsid w:val="320504D2"/>
    <w:rsid w:val="324E7DAF"/>
    <w:rsid w:val="32560D2E"/>
    <w:rsid w:val="32582CF8"/>
    <w:rsid w:val="32613F1F"/>
    <w:rsid w:val="326649B8"/>
    <w:rsid w:val="3278464C"/>
    <w:rsid w:val="32794A3C"/>
    <w:rsid w:val="32A10BAA"/>
    <w:rsid w:val="32CE3826"/>
    <w:rsid w:val="32D81743"/>
    <w:rsid w:val="33022C64"/>
    <w:rsid w:val="331A61FF"/>
    <w:rsid w:val="332350B4"/>
    <w:rsid w:val="33274478"/>
    <w:rsid w:val="333746BC"/>
    <w:rsid w:val="33386686"/>
    <w:rsid w:val="33775400"/>
    <w:rsid w:val="33941B0E"/>
    <w:rsid w:val="33A61841"/>
    <w:rsid w:val="33AB1E5B"/>
    <w:rsid w:val="33AC198F"/>
    <w:rsid w:val="33B51A84"/>
    <w:rsid w:val="33CE0EB6"/>
    <w:rsid w:val="33E10ACB"/>
    <w:rsid w:val="33F43AD7"/>
    <w:rsid w:val="340B26B2"/>
    <w:rsid w:val="345E3ECA"/>
    <w:rsid w:val="345E3EF1"/>
    <w:rsid w:val="34670FD0"/>
    <w:rsid w:val="34833930"/>
    <w:rsid w:val="34847DD4"/>
    <w:rsid w:val="349B511E"/>
    <w:rsid w:val="34A43FD3"/>
    <w:rsid w:val="34BD5094"/>
    <w:rsid w:val="34C46423"/>
    <w:rsid w:val="34E940DB"/>
    <w:rsid w:val="34F860CC"/>
    <w:rsid w:val="35050E48"/>
    <w:rsid w:val="3505127D"/>
    <w:rsid w:val="3509652C"/>
    <w:rsid w:val="353C06AF"/>
    <w:rsid w:val="354B449E"/>
    <w:rsid w:val="357841E5"/>
    <w:rsid w:val="358856A2"/>
    <w:rsid w:val="359C46FF"/>
    <w:rsid w:val="35AB1391"/>
    <w:rsid w:val="35B155D0"/>
    <w:rsid w:val="35C44C2A"/>
    <w:rsid w:val="35C65E01"/>
    <w:rsid w:val="35DE1766"/>
    <w:rsid w:val="35EE60D4"/>
    <w:rsid w:val="3614165F"/>
    <w:rsid w:val="36276A85"/>
    <w:rsid w:val="367479D5"/>
    <w:rsid w:val="36785717"/>
    <w:rsid w:val="367B6FB5"/>
    <w:rsid w:val="368A71F8"/>
    <w:rsid w:val="36AD4D06"/>
    <w:rsid w:val="36B91280"/>
    <w:rsid w:val="36BD312A"/>
    <w:rsid w:val="36D07221"/>
    <w:rsid w:val="374342B4"/>
    <w:rsid w:val="37537F32"/>
    <w:rsid w:val="378B3228"/>
    <w:rsid w:val="37A35B8E"/>
    <w:rsid w:val="37BB2286"/>
    <w:rsid w:val="37CD4314"/>
    <w:rsid w:val="38237904"/>
    <w:rsid w:val="38245D55"/>
    <w:rsid w:val="3845787B"/>
    <w:rsid w:val="38635F18"/>
    <w:rsid w:val="3891338E"/>
    <w:rsid w:val="38A00F55"/>
    <w:rsid w:val="38A938DE"/>
    <w:rsid w:val="38AA5930"/>
    <w:rsid w:val="38DB7CD6"/>
    <w:rsid w:val="38E86B63"/>
    <w:rsid w:val="39120B22"/>
    <w:rsid w:val="39317DFF"/>
    <w:rsid w:val="39365415"/>
    <w:rsid w:val="393C6ED0"/>
    <w:rsid w:val="393F216E"/>
    <w:rsid w:val="394C4C39"/>
    <w:rsid w:val="398C3287"/>
    <w:rsid w:val="39916AF0"/>
    <w:rsid w:val="39981C2C"/>
    <w:rsid w:val="39AF650A"/>
    <w:rsid w:val="39B12CEE"/>
    <w:rsid w:val="39B271AB"/>
    <w:rsid w:val="39B52478"/>
    <w:rsid w:val="39BC4267"/>
    <w:rsid w:val="39E906DA"/>
    <w:rsid w:val="39F07CBA"/>
    <w:rsid w:val="3A244ABB"/>
    <w:rsid w:val="3A4678DA"/>
    <w:rsid w:val="3A4B6C9E"/>
    <w:rsid w:val="3A4D6EBA"/>
    <w:rsid w:val="3A6A35C8"/>
    <w:rsid w:val="3A865F28"/>
    <w:rsid w:val="3A8F66C9"/>
    <w:rsid w:val="3A912B12"/>
    <w:rsid w:val="3A970240"/>
    <w:rsid w:val="3AA06FEA"/>
    <w:rsid w:val="3AB26D1E"/>
    <w:rsid w:val="3AC86541"/>
    <w:rsid w:val="3AE001E1"/>
    <w:rsid w:val="3AE0388B"/>
    <w:rsid w:val="3AED5FA8"/>
    <w:rsid w:val="3AF549C8"/>
    <w:rsid w:val="3B051543"/>
    <w:rsid w:val="3B2E2848"/>
    <w:rsid w:val="3B4010A3"/>
    <w:rsid w:val="3B534325"/>
    <w:rsid w:val="3B673FAC"/>
    <w:rsid w:val="3B675D5A"/>
    <w:rsid w:val="3B865882"/>
    <w:rsid w:val="3BA6683D"/>
    <w:rsid w:val="3BBA4834"/>
    <w:rsid w:val="3BBF5B96"/>
    <w:rsid w:val="3BCE7B87"/>
    <w:rsid w:val="3BE9676F"/>
    <w:rsid w:val="3BF10EB2"/>
    <w:rsid w:val="3C0D4B53"/>
    <w:rsid w:val="3C11039F"/>
    <w:rsid w:val="3C137C90"/>
    <w:rsid w:val="3C1A101E"/>
    <w:rsid w:val="3C485B8B"/>
    <w:rsid w:val="3C681D8A"/>
    <w:rsid w:val="3C836BC3"/>
    <w:rsid w:val="3C88242C"/>
    <w:rsid w:val="3CA26F0F"/>
    <w:rsid w:val="3CA64660"/>
    <w:rsid w:val="3CAC611A"/>
    <w:rsid w:val="3CAD59EE"/>
    <w:rsid w:val="3CB94393"/>
    <w:rsid w:val="3CDB69FF"/>
    <w:rsid w:val="3D0F66A9"/>
    <w:rsid w:val="3D580050"/>
    <w:rsid w:val="3D6469F5"/>
    <w:rsid w:val="3D687B67"/>
    <w:rsid w:val="3D6F736D"/>
    <w:rsid w:val="3D7A55EF"/>
    <w:rsid w:val="3D8E5820"/>
    <w:rsid w:val="3D931088"/>
    <w:rsid w:val="3D9D3CB5"/>
    <w:rsid w:val="3DB008FC"/>
    <w:rsid w:val="3DE32A99"/>
    <w:rsid w:val="3E260922"/>
    <w:rsid w:val="3E2B12C1"/>
    <w:rsid w:val="3E2D328B"/>
    <w:rsid w:val="3E2E7003"/>
    <w:rsid w:val="3E4B54BF"/>
    <w:rsid w:val="3EAA459D"/>
    <w:rsid w:val="3EAD1CD6"/>
    <w:rsid w:val="3EB43064"/>
    <w:rsid w:val="3EE15E23"/>
    <w:rsid w:val="3EF23B8C"/>
    <w:rsid w:val="3EF454CD"/>
    <w:rsid w:val="3F3B3785"/>
    <w:rsid w:val="3F402B4A"/>
    <w:rsid w:val="3F4D5267"/>
    <w:rsid w:val="3F874C1D"/>
    <w:rsid w:val="3FC05A3B"/>
    <w:rsid w:val="3FC6291F"/>
    <w:rsid w:val="40020232"/>
    <w:rsid w:val="401144E6"/>
    <w:rsid w:val="401F39E9"/>
    <w:rsid w:val="40204729"/>
    <w:rsid w:val="402661E4"/>
    <w:rsid w:val="402A4643"/>
    <w:rsid w:val="40436D96"/>
    <w:rsid w:val="404639C8"/>
    <w:rsid w:val="404F7D01"/>
    <w:rsid w:val="4050500F"/>
    <w:rsid w:val="409A272E"/>
    <w:rsid w:val="409A44DC"/>
    <w:rsid w:val="40BE466E"/>
    <w:rsid w:val="40D043A1"/>
    <w:rsid w:val="40F63E08"/>
    <w:rsid w:val="410C312E"/>
    <w:rsid w:val="41186C23"/>
    <w:rsid w:val="411B561D"/>
    <w:rsid w:val="411C1395"/>
    <w:rsid w:val="4134048C"/>
    <w:rsid w:val="413D6362"/>
    <w:rsid w:val="414D77A0"/>
    <w:rsid w:val="41562AF9"/>
    <w:rsid w:val="415906AF"/>
    <w:rsid w:val="416074D3"/>
    <w:rsid w:val="41783467"/>
    <w:rsid w:val="417B255F"/>
    <w:rsid w:val="41AA074E"/>
    <w:rsid w:val="41B45FA6"/>
    <w:rsid w:val="41C728F7"/>
    <w:rsid w:val="41D61543"/>
    <w:rsid w:val="41F1637D"/>
    <w:rsid w:val="42004812"/>
    <w:rsid w:val="4202058A"/>
    <w:rsid w:val="42276243"/>
    <w:rsid w:val="427D49B1"/>
    <w:rsid w:val="42890CAC"/>
    <w:rsid w:val="42A33F6F"/>
    <w:rsid w:val="42C40346"/>
    <w:rsid w:val="42D17381"/>
    <w:rsid w:val="42D9578F"/>
    <w:rsid w:val="42DE2C97"/>
    <w:rsid w:val="42E12896"/>
    <w:rsid w:val="42FB406C"/>
    <w:rsid w:val="430B7913"/>
    <w:rsid w:val="431542ED"/>
    <w:rsid w:val="43236A6E"/>
    <w:rsid w:val="43340C18"/>
    <w:rsid w:val="436239D7"/>
    <w:rsid w:val="438F1964"/>
    <w:rsid w:val="439671DC"/>
    <w:rsid w:val="43C81360"/>
    <w:rsid w:val="43C91A95"/>
    <w:rsid w:val="43CC0E50"/>
    <w:rsid w:val="43E443EC"/>
    <w:rsid w:val="43E5642F"/>
    <w:rsid w:val="43EF2D90"/>
    <w:rsid w:val="43F959BD"/>
    <w:rsid w:val="43FD725B"/>
    <w:rsid w:val="441D16AC"/>
    <w:rsid w:val="442F13DF"/>
    <w:rsid w:val="44450C02"/>
    <w:rsid w:val="445D419E"/>
    <w:rsid w:val="447F5EC2"/>
    <w:rsid w:val="4484172B"/>
    <w:rsid w:val="44990651"/>
    <w:rsid w:val="449F0313"/>
    <w:rsid w:val="44B71B00"/>
    <w:rsid w:val="44BC0EC5"/>
    <w:rsid w:val="44D0671E"/>
    <w:rsid w:val="44D34460"/>
    <w:rsid w:val="44D426B2"/>
    <w:rsid w:val="44F20D8A"/>
    <w:rsid w:val="45056E81"/>
    <w:rsid w:val="45132AAF"/>
    <w:rsid w:val="451B5682"/>
    <w:rsid w:val="45222FBA"/>
    <w:rsid w:val="453018B3"/>
    <w:rsid w:val="45303661"/>
    <w:rsid w:val="453E4E1A"/>
    <w:rsid w:val="454F1D39"/>
    <w:rsid w:val="454F7F8B"/>
    <w:rsid w:val="4574179F"/>
    <w:rsid w:val="457572C5"/>
    <w:rsid w:val="457C2402"/>
    <w:rsid w:val="45B1657E"/>
    <w:rsid w:val="45D16BF2"/>
    <w:rsid w:val="45E22BAD"/>
    <w:rsid w:val="45E5294E"/>
    <w:rsid w:val="45EA380F"/>
    <w:rsid w:val="45EE2DEC"/>
    <w:rsid w:val="45F4468E"/>
    <w:rsid w:val="45F66658"/>
    <w:rsid w:val="45F97EF6"/>
    <w:rsid w:val="462036D5"/>
    <w:rsid w:val="46317690"/>
    <w:rsid w:val="466435C2"/>
    <w:rsid w:val="467557CF"/>
    <w:rsid w:val="468123C6"/>
    <w:rsid w:val="468E063F"/>
    <w:rsid w:val="46911EDD"/>
    <w:rsid w:val="469B0FAE"/>
    <w:rsid w:val="46CD560B"/>
    <w:rsid w:val="4710374A"/>
    <w:rsid w:val="471C3E9C"/>
    <w:rsid w:val="472114B3"/>
    <w:rsid w:val="47254679"/>
    <w:rsid w:val="47392CA0"/>
    <w:rsid w:val="473C62ED"/>
    <w:rsid w:val="47484C91"/>
    <w:rsid w:val="474F4272"/>
    <w:rsid w:val="4780267D"/>
    <w:rsid w:val="4799729B"/>
    <w:rsid w:val="47B916EB"/>
    <w:rsid w:val="47BE2DA5"/>
    <w:rsid w:val="47C06F1E"/>
    <w:rsid w:val="47CD33E9"/>
    <w:rsid w:val="47D05003"/>
    <w:rsid w:val="47F44E19"/>
    <w:rsid w:val="47F92762"/>
    <w:rsid w:val="4800405C"/>
    <w:rsid w:val="480212E4"/>
    <w:rsid w:val="48071FE0"/>
    <w:rsid w:val="480C3F11"/>
    <w:rsid w:val="480E2480"/>
    <w:rsid w:val="480F57AF"/>
    <w:rsid w:val="48117C08"/>
    <w:rsid w:val="482C010F"/>
    <w:rsid w:val="484A2C8B"/>
    <w:rsid w:val="485E2293"/>
    <w:rsid w:val="487E24FD"/>
    <w:rsid w:val="489B34E7"/>
    <w:rsid w:val="48AC0F47"/>
    <w:rsid w:val="48BD345D"/>
    <w:rsid w:val="48D16F09"/>
    <w:rsid w:val="49044BE8"/>
    <w:rsid w:val="49077035"/>
    <w:rsid w:val="493C25D4"/>
    <w:rsid w:val="493D00FA"/>
    <w:rsid w:val="493D634C"/>
    <w:rsid w:val="494E2307"/>
    <w:rsid w:val="495E079C"/>
    <w:rsid w:val="49834AF6"/>
    <w:rsid w:val="49935F6C"/>
    <w:rsid w:val="49E669E4"/>
    <w:rsid w:val="49EB1A8E"/>
    <w:rsid w:val="49F42EAF"/>
    <w:rsid w:val="4A4C4A99"/>
    <w:rsid w:val="4A525E27"/>
    <w:rsid w:val="4A6E0EB3"/>
    <w:rsid w:val="4A78588E"/>
    <w:rsid w:val="4AB93457"/>
    <w:rsid w:val="4AD66A58"/>
    <w:rsid w:val="4ADF76BB"/>
    <w:rsid w:val="4AEB38B0"/>
    <w:rsid w:val="4B005883"/>
    <w:rsid w:val="4B0E61F2"/>
    <w:rsid w:val="4B1C090F"/>
    <w:rsid w:val="4B335C59"/>
    <w:rsid w:val="4B375749"/>
    <w:rsid w:val="4B3D2633"/>
    <w:rsid w:val="4B4F6B78"/>
    <w:rsid w:val="4B616322"/>
    <w:rsid w:val="4B6202EC"/>
    <w:rsid w:val="4B693428"/>
    <w:rsid w:val="4B893ACB"/>
    <w:rsid w:val="4B8D35BB"/>
    <w:rsid w:val="4B905EAF"/>
    <w:rsid w:val="4B9346D8"/>
    <w:rsid w:val="4BB5666E"/>
    <w:rsid w:val="4BCC36DF"/>
    <w:rsid w:val="4BDA0F44"/>
    <w:rsid w:val="4BF058F8"/>
    <w:rsid w:val="4C080E93"/>
    <w:rsid w:val="4C20442F"/>
    <w:rsid w:val="4C26756B"/>
    <w:rsid w:val="4C40062D"/>
    <w:rsid w:val="4C51283A"/>
    <w:rsid w:val="4C52210E"/>
    <w:rsid w:val="4C575977"/>
    <w:rsid w:val="4C5916EF"/>
    <w:rsid w:val="4C6F2CC0"/>
    <w:rsid w:val="4C79769B"/>
    <w:rsid w:val="4C8449BE"/>
    <w:rsid w:val="4C871DB8"/>
    <w:rsid w:val="4C88729F"/>
    <w:rsid w:val="4CB163A7"/>
    <w:rsid w:val="4CB27B63"/>
    <w:rsid w:val="4CBC3D6C"/>
    <w:rsid w:val="4CE84AB9"/>
    <w:rsid w:val="4CEA39AC"/>
    <w:rsid w:val="4CFD207A"/>
    <w:rsid w:val="4D13189E"/>
    <w:rsid w:val="4D1A0E7E"/>
    <w:rsid w:val="4D221237"/>
    <w:rsid w:val="4D477799"/>
    <w:rsid w:val="4D673998"/>
    <w:rsid w:val="4DB017E2"/>
    <w:rsid w:val="4DD23507"/>
    <w:rsid w:val="4DE1374A"/>
    <w:rsid w:val="4DF74D1B"/>
    <w:rsid w:val="4E30647F"/>
    <w:rsid w:val="4E345F70"/>
    <w:rsid w:val="4E7B3B9E"/>
    <w:rsid w:val="4E8567CB"/>
    <w:rsid w:val="4EAA6232"/>
    <w:rsid w:val="4EB1136E"/>
    <w:rsid w:val="4EB16272"/>
    <w:rsid w:val="4EB42C0C"/>
    <w:rsid w:val="4EBD37C1"/>
    <w:rsid w:val="4EF43951"/>
    <w:rsid w:val="4EF6285B"/>
    <w:rsid w:val="4EFB083B"/>
    <w:rsid w:val="4F2064F4"/>
    <w:rsid w:val="4F30576A"/>
    <w:rsid w:val="4F3B1580"/>
    <w:rsid w:val="4F471CD3"/>
    <w:rsid w:val="4F797EA5"/>
    <w:rsid w:val="4F7A17EA"/>
    <w:rsid w:val="4F9F566B"/>
    <w:rsid w:val="4FB05ACA"/>
    <w:rsid w:val="4FFC486B"/>
    <w:rsid w:val="50027558"/>
    <w:rsid w:val="500F7DA9"/>
    <w:rsid w:val="50125E3D"/>
    <w:rsid w:val="50212524"/>
    <w:rsid w:val="5023004A"/>
    <w:rsid w:val="505521CD"/>
    <w:rsid w:val="506A3ECB"/>
    <w:rsid w:val="506B379F"/>
    <w:rsid w:val="506F7733"/>
    <w:rsid w:val="509251CF"/>
    <w:rsid w:val="50B11AF9"/>
    <w:rsid w:val="50B138A7"/>
    <w:rsid w:val="50B6500D"/>
    <w:rsid w:val="50D70E34"/>
    <w:rsid w:val="5105036C"/>
    <w:rsid w:val="5167040A"/>
    <w:rsid w:val="51730B5D"/>
    <w:rsid w:val="51B06E8A"/>
    <w:rsid w:val="51B573C7"/>
    <w:rsid w:val="51B579BE"/>
    <w:rsid w:val="51C63383"/>
    <w:rsid w:val="51DC30DB"/>
    <w:rsid w:val="51E8779D"/>
    <w:rsid w:val="51FD071F"/>
    <w:rsid w:val="52293911"/>
    <w:rsid w:val="522A60C0"/>
    <w:rsid w:val="523D116B"/>
    <w:rsid w:val="52481FEA"/>
    <w:rsid w:val="525C7843"/>
    <w:rsid w:val="52702A6C"/>
    <w:rsid w:val="52946FDD"/>
    <w:rsid w:val="52A66D10"/>
    <w:rsid w:val="52AD38A6"/>
    <w:rsid w:val="52AF02BB"/>
    <w:rsid w:val="52C06024"/>
    <w:rsid w:val="52EB0BC7"/>
    <w:rsid w:val="52EC6E19"/>
    <w:rsid w:val="53043434"/>
    <w:rsid w:val="53426A39"/>
    <w:rsid w:val="53876B42"/>
    <w:rsid w:val="538817CA"/>
    <w:rsid w:val="53AB0A82"/>
    <w:rsid w:val="53B67427"/>
    <w:rsid w:val="53B92A73"/>
    <w:rsid w:val="53CB1CCF"/>
    <w:rsid w:val="53E530B6"/>
    <w:rsid w:val="53EA0E7E"/>
    <w:rsid w:val="53EC4BF7"/>
    <w:rsid w:val="540B32CF"/>
    <w:rsid w:val="541C54DC"/>
    <w:rsid w:val="54306B4F"/>
    <w:rsid w:val="543F566E"/>
    <w:rsid w:val="54501629"/>
    <w:rsid w:val="5452714F"/>
    <w:rsid w:val="547B5D41"/>
    <w:rsid w:val="54A14EB8"/>
    <w:rsid w:val="54CB0CB0"/>
    <w:rsid w:val="54CD67D6"/>
    <w:rsid w:val="54D04518"/>
    <w:rsid w:val="54DC4C6B"/>
    <w:rsid w:val="54E029AD"/>
    <w:rsid w:val="550348EE"/>
    <w:rsid w:val="55085A60"/>
    <w:rsid w:val="551C775D"/>
    <w:rsid w:val="552C5BF2"/>
    <w:rsid w:val="55515659"/>
    <w:rsid w:val="55562C6F"/>
    <w:rsid w:val="556233C2"/>
    <w:rsid w:val="556B7A96"/>
    <w:rsid w:val="557F21C6"/>
    <w:rsid w:val="55886BA1"/>
    <w:rsid w:val="55BA1450"/>
    <w:rsid w:val="55CE0A58"/>
    <w:rsid w:val="55FB55C5"/>
    <w:rsid w:val="5616414A"/>
    <w:rsid w:val="563C14CF"/>
    <w:rsid w:val="564451BE"/>
    <w:rsid w:val="565C2507"/>
    <w:rsid w:val="567535C9"/>
    <w:rsid w:val="567C6706"/>
    <w:rsid w:val="56835CE6"/>
    <w:rsid w:val="56837A94"/>
    <w:rsid w:val="5684380C"/>
    <w:rsid w:val="568F6618"/>
    <w:rsid w:val="56A96DCF"/>
    <w:rsid w:val="56C41E5B"/>
    <w:rsid w:val="56C67981"/>
    <w:rsid w:val="56F57AE6"/>
    <w:rsid w:val="570A3D11"/>
    <w:rsid w:val="571050A0"/>
    <w:rsid w:val="57284198"/>
    <w:rsid w:val="572B3C88"/>
    <w:rsid w:val="57672F12"/>
    <w:rsid w:val="577675F9"/>
    <w:rsid w:val="57802226"/>
    <w:rsid w:val="578F06BB"/>
    <w:rsid w:val="57A35F14"/>
    <w:rsid w:val="57AA2DFF"/>
    <w:rsid w:val="57BD0D84"/>
    <w:rsid w:val="57C572CC"/>
    <w:rsid w:val="57D83E10"/>
    <w:rsid w:val="57DA7A76"/>
    <w:rsid w:val="57DB745C"/>
    <w:rsid w:val="57EC78BB"/>
    <w:rsid w:val="5814471C"/>
    <w:rsid w:val="58160494"/>
    <w:rsid w:val="584B2834"/>
    <w:rsid w:val="58724EB7"/>
    <w:rsid w:val="58882BE3"/>
    <w:rsid w:val="58CD149A"/>
    <w:rsid w:val="58D97E3F"/>
    <w:rsid w:val="58F05189"/>
    <w:rsid w:val="5906675A"/>
    <w:rsid w:val="592D018B"/>
    <w:rsid w:val="59464DA9"/>
    <w:rsid w:val="5948416C"/>
    <w:rsid w:val="594F6875"/>
    <w:rsid w:val="598D151E"/>
    <w:rsid w:val="599E2E37"/>
    <w:rsid w:val="59A321FB"/>
    <w:rsid w:val="59AB19CA"/>
    <w:rsid w:val="59AC7302"/>
    <w:rsid w:val="59B724CF"/>
    <w:rsid w:val="59C44088"/>
    <w:rsid w:val="59C77C98"/>
    <w:rsid w:val="59CD7278"/>
    <w:rsid w:val="59DE3233"/>
    <w:rsid w:val="5A1D3D5C"/>
    <w:rsid w:val="5A201A9E"/>
    <w:rsid w:val="5A2055FA"/>
    <w:rsid w:val="5A492DA3"/>
    <w:rsid w:val="5A4B613A"/>
    <w:rsid w:val="5A7F67C4"/>
    <w:rsid w:val="5A9009D2"/>
    <w:rsid w:val="5AA4447D"/>
    <w:rsid w:val="5AFC587D"/>
    <w:rsid w:val="5B372BFB"/>
    <w:rsid w:val="5B7025B1"/>
    <w:rsid w:val="5B7200D7"/>
    <w:rsid w:val="5B8D2B5D"/>
    <w:rsid w:val="5BA1276A"/>
    <w:rsid w:val="5BA67D81"/>
    <w:rsid w:val="5BB71F8E"/>
    <w:rsid w:val="5BBB1A7E"/>
    <w:rsid w:val="5BD668B8"/>
    <w:rsid w:val="5C003935"/>
    <w:rsid w:val="5C182A2D"/>
    <w:rsid w:val="5C25514A"/>
    <w:rsid w:val="5C52370C"/>
    <w:rsid w:val="5C5B6DBD"/>
    <w:rsid w:val="5C63762E"/>
    <w:rsid w:val="5C642116"/>
    <w:rsid w:val="5C765502"/>
    <w:rsid w:val="5C8005D2"/>
    <w:rsid w:val="5C846314"/>
    <w:rsid w:val="5C880946"/>
    <w:rsid w:val="5CD31049"/>
    <w:rsid w:val="5CD33CE9"/>
    <w:rsid w:val="5CDC1CAC"/>
    <w:rsid w:val="5CE62B2B"/>
    <w:rsid w:val="5CFC3588"/>
    <w:rsid w:val="5D101956"/>
    <w:rsid w:val="5D156F6C"/>
    <w:rsid w:val="5D34336C"/>
    <w:rsid w:val="5D362C12"/>
    <w:rsid w:val="5D3C274B"/>
    <w:rsid w:val="5D616655"/>
    <w:rsid w:val="5D7874FB"/>
    <w:rsid w:val="5D83037A"/>
    <w:rsid w:val="5D8365CC"/>
    <w:rsid w:val="5D8D2FA6"/>
    <w:rsid w:val="5D8F31C2"/>
    <w:rsid w:val="5D8F6D1E"/>
    <w:rsid w:val="5DAD189A"/>
    <w:rsid w:val="5DDD2180"/>
    <w:rsid w:val="5DDE1A54"/>
    <w:rsid w:val="5DF43025"/>
    <w:rsid w:val="5DF50B4C"/>
    <w:rsid w:val="5DFF4B5A"/>
    <w:rsid w:val="5E282CCF"/>
    <w:rsid w:val="5E3653EC"/>
    <w:rsid w:val="5E4944EC"/>
    <w:rsid w:val="5E6F08FE"/>
    <w:rsid w:val="5E6F6B50"/>
    <w:rsid w:val="5E826883"/>
    <w:rsid w:val="5E940BDF"/>
    <w:rsid w:val="5EFF6126"/>
    <w:rsid w:val="5F053010"/>
    <w:rsid w:val="5F0738D1"/>
    <w:rsid w:val="5F0C25F1"/>
    <w:rsid w:val="5F2924A8"/>
    <w:rsid w:val="5F4B58F3"/>
    <w:rsid w:val="5F8328B3"/>
    <w:rsid w:val="5F84662B"/>
    <w:rsid w:val="5F904FD0"/>
    <w:rsid w:val="5F9B72FE"/>
    <w:rsid w:val="5FDB2A76"/>
    <w:rsid w:val="5FE05113"/>
    <w:rsid w:val="5FE1582B"/>
    <w:rsid w:val="600734E4"/>
    <w:rsid w:val="602D5E60"/>
    <w:rsid w:val="60365B77"/>
    <w:rsid w:val="604441B1"/>
    <w:rsid w:val="607C6F43"/>
    <w:rsid w:val="608D452A"/>
    <w:rsid w:val="60A9459B"/>
    <w:rsid w:val="60B46A9C"/>
    <w:rsid w:val="60B92304"/>
    <w:rsid w:val="60D84E80"/>
    <w:rsid w:val="60E12287"/>
    <w:rsid w:val="610B0DB2"/>
    <w:rsid w:val="611759A9"/>
    <w:rsid w:val="611C2FBF"/>
    <w:rsid w:val="612105D5"/>
    <w:rsid w:val="612236EC"/>
    <w:rsid w:val="61462BE6"/>
    <w:rsid w:val="6172131F"/>
    <w:rsid w:val="61811074"/>
    <w:rsid w:val="61B34FA6"/>
    <w:rsid w:val="61EA4E6B"/>
    <w:rsid w:val="621E4B15"/>
    <w:rsid w:val="622F0AD0"/>
    <w:rsid w:val="624A590A"/>
    <w:rsid w:val="62612C54"/>
    <w:rsid w:val="62701159"/>
    <w:rsid w:val="62754478"/>
    <w:rsid w:val="62AD2707"/>
    <w:rsid w:val="62B266FC"/>
    <w:rsid w:val="62B53D20"/>
    <w:rsid w:val="62C25CD9"/>
    <w:rsid w:val="62CE02E9"/>
    <w:rsid w:val="62E93375"/>
    <w:rsid w:val="62EF1E31"/>
    <w:rsid w:val="63027F93"/>
    <w:rsid w:val="63274F95"/>
    <w:rsid w:val="63305BA7"/>
    <w:rsid w:val="63807109"/>
    <w:rsid w:val="639808F7"/>
    <w:rsid w:val="63B079EF"/>
    <w:rsid w:val="63B4531D"/>
    <w:rsid w:val="63C27722"/>
    <w:rsid w:val="63DD455C"/>
    <w:rsid w:val="63E61662"/>
    <w:rsid w:val="63E8362C"/>
    <w:rsid w:val="6427176C"/>
    <w:rsid w:val="64616F3B"/>
    <w:rsid w:val="647567F7"/>
    <w:rsid w:val="647E5D3F"/>
    <w:rsid w:val="648B3FB8"/>
    <w:rsid w:val="64DE4DFA"/>
    <w:rsid w:val="64E02555"/>
    <w:rsid w:val="64EB1A95"/>
    <w:rsid w:val="650C09D2"/>
    <w:rsid w:val="651B7857"/>
    <w:rsid w:val="65312DB1"/>
    <w:rsid w:val="653A164C"/>
    <w:rsid w:val="653E102A"/>
    <w:rsid w:val="65747762"/>
    <w:rsid w:val="65A37068"/>
    <w:rsid w:val="65AB4E9E"/>
    <w:rsid w:val="65AE7F5E"/>
    <w:rsid w:val="65C41C9E"/>
    <w:rsid w:val="65C6799D"/>
    <w:rsid w:val="65DA6FA5"/>
    <w:rsid w:val="65EC0A86"/>
    <w:rsid w:val="65F14952"/>
    <w:rsid w:val="660B54AD"/>
    <w:rsid w:val="66141304"/>
    <w:rsid w:val="66293A88"/>
    <w:rsid w:val="66491C95"/>
    <w:rsid w:val="66544FA9"/>
    <w:rsid w:val="666114F0"/>
    <w:rsid w:val="667967BE"/>
    <w:rsid w:val="6692787F"/>
    <w:rsid w:val="669E4476"/>
    <w:rsid w:val="66A45D3D"/>
    <w:rsid w:val="66F94AFC"/>
    <w:rsid w:val="671146F3"/>
    <w:rsid w:val="672F1572"/>
    <w:rsid w:val="672F7628"/>
    <w:rsid w:val="6732696D"/>
    <w:rsid w:val="67560E42"/>
    <w:rsid w:val="6759039D"/>
    <w:rsid w:val="67656D42"/>
    <w:rsid w:val="677B47B7"/>
    <w:rsid w:val="677B6565"/>
    <w:rsid w:val="6787315C"/>
    <w:rsid w:val="67955334"/>
    <w:rsid w:val="67B04461"/>
    <w:rsid w:val="67B6134C"/>
    <w:rsid w:val="67C1666E"/>
    <w:rsid w:val="67CA4DF7"/>
    <w:rsid w:val="67DF08A2"/>
    <w:rsid w:val="67E64431"/>
    <w:rsid w:val="67E76682"/>
    <w:rsid w:val="6817628E"/>
    <w:rsid w:val="68252541"/>
    <w:rsid w:val="68273FF7"/>
    <w:rsid w:val="6828049B"/>
    <w:rsid w:val="68394457"/>
    <w:rsid w:val="683E7CBF"/>
    <w:rsid w:val="68694610"/>
    <w:rsid w:val="688B4586"/>
    <w:rsid w:val="68921DB9"/>
    <w:rsid w:val="68953657"/>
    <w:rsid w:val="68AB2E7A"/>
    <w:rsid w:val="68C36416"/>
    <w:rsid w:val="68C77CB4"/>
    <w:rsid w:val="68C83A2C"/>
    <w:rsid w:val="68D77C8E"/>
    <w:rsid w:val="691E6A93"/>
    <w:rsid w:val="693D1D24"/>
    <w:rsid w:val="693D7F76"/>
    <w:rsid w:val="69456E2B"/>
    <w:rsid w:val="6951757E"/>
    <w:rsid w:val="69541AC0"/>
    <w:rsid w:val="696372B1"/>
    <w:rsid w:val="696E342C"/>
    <w:rsid w:val="699B4C9D"/>
    <w:rsid w:val="69AC2A06"/>
    <w:rsid w:val="69BD2E65"/>
    <w:rsid w:val="69FD14B4"/>
    <w:rsid w:val="6A1F767C"/>
    <w:rsid w:val="6A366774"/>
    <w:rsid w:val="6A3972D0"/>
    <w:rsid w:val="6A3A5C5B"/>
    <w:rsid w:val="6A4716A7"/>
    <w:rsid w:val="6A5135AE"/>
    <w:rsid w:val="6A6A5407"/>
    <w:rsid w:val="6A723C50"/>
    <w:rsid w:val="6A864CF1"/>
    <w:rsid w:val="6A9040D6"/>
    <w:rsid w:val="6A955B90"/>
    <w:rsid w:val="6AD40467"/>
    <w:rsid w:val="6AD93CCF"/>
    <w:rsid w:val="6AE83F12"/>
    <w:rsid w:val="6B0129AC"/>
    <w:rsid w:val="6B013226"/>
    <w:rsid w:val="6B2667E8"/>
    <w:rsid w:val="6B413622"/>
    <w:rsid w:val="6B8F2508"/>
    <w:rsid w:val="6B930322"/>
    <w:rsid w:val="6B9B0F84"/>
    <w:rsid w:val="6B9D4CFC"/>
    <w:rsid w:val="6BE446D9"/>
    <w:rsid w:val="6BEC481A"/>
    <w:rsid w:val="6BF30DC0"/>
    <w:rsid w:val="6C0B610A"/>
    <w:rsid w:val="6C1017D6"/>
    <w:rsid w:val="6C101972"/>
    <w:rsid w:val="6C150D37"/>
    <w:rsid w:val="6C8B0FF9"/>
    <w:rsid w:val="6CB12FA6"/>
    <w:rsid w:val="6CBC5656"/>
    <w:rsid w:val="6CE93F71"/>
    <w:rsid w:val="6CEB7CE9"/>
    <w:rsid w:val="6D371181"/>
    <w:rsid w:val="6D5D6493"/>
    <w:rsid w:val="6D6F26C8"/>
    <w:rsid w:val="6D723F67"/>
    <w:rsid w:val="6D803CE6"/>
    <w:rsid w:val="6DA06D26"/>
    <w:rsid w:val="6DA31C56"/>
    <w:rsid w:val="6DB14A8F"/>
    <w:rsid w:val="6DB97DE8"/>
    <w:rsid w:val="6DCF2230"/>
    <w:rsid w:val="6DF40E20"/>
    <w:rsid w:val="6DF57072"/>
    <w:rsid w:val="6E245261"/>
    <w:rsid w:val="6E2C680B"/>
    <w:rsid w:val="6E380D0C"/>
    <w:rsid w:val="6E4C0C5C"/>
    <w:rsid w:val="6E557B10"/>
    <w:rsid w:val="6E7A7577"/>
    <w:rsid w:val="6E930639"/>
    <w:rsid w:val="6E9F2B3A"/>
    <w:rsid w:val="6EB74327"/>
    <w:rsid w:val="6EBD7464"/>
    <w:rsid w:val="6EC72090"/>
    <w:rsid w:val="6ECC76A7"/>
    <w:rsid w:val="6ED24CBD"/>
    <w:rsid w:val="6ED30A35"/>
    <w:rsid w:val="6EE13152"/>
    <w:rsid w:val="6EE6342B"/>
    <w:rsid w:val="6F03756C"/>
    <w:rsid w:val="6F045092"/>
    <w:rsid w:val="6F060E0B"/>
    <w:rsid w:val="6F0B6421"/>
    <w:rsid w:val="6F0C33FE"/>
    <w:rsid w:val="6F2A2D4B"/>
    <w:rsid w:val="6F4D07E7"/>
    <w:rsid w:val="6F4F4560"/>
    <w:rsid w:val="6F7246F2"/>
    <w:rsid w:val="6F8D6E36"/>
    <w:rsid w:val="6F9F6E83"/>
    <w:rsid w:val="6FB97C2B"/>
    <w:rsid w:val="6FBA17E0"/>
    <w:rsid w:val="6FCE7B7A"/>
    <w:rsid w:val="6FD26F3F"/>
    <w:rsid w:val="6FE23626"/>
    <w:rsid w:val="6FE521B1"/>
    <w:rsid w:val="6FE56C72"/>
    <w:rsid w:val="6FFC2C04"/>
    <w:rsid w:val="700428F6"/>
    <w:rsid w:val="70433DED"/>
    <w:rsid w:val="704405F0"/>
    <w:rsid w:val="70822713"/>
    <w:rsid w:val="709D754D"/>
    <w:rsid w:val="70AE52B6"/>
    <w:rsid w:val="70B7060E"/>
    <w:rsid w:val="70BC3E77"/>
    <w:rsid w:val="70C90342"/>
    <w:rsid w:val="70D9037E"/>
    <w:rsid w:val="70E37655"/>
    <w:rsid w:val="70F554A7"/>
    <w:rsid w:val="710F044A"/>
    <w:rsid w:val="71213CDA"/>
    <w:rsid w:val="712E2DAE"/>
    <w:rsid w:val="714A6600"/>
    <w:rsid w:val="71535E5D"/>
    <w:rsid w:val="71BE3C1E"/>
    <w:rsid w:val="71C01745"/>
    <w:rsid w:val="71CF1988"/>
    <w:rsid w:val="71DE7E1D"/>
    <w:rsid w:val="71DF2A95"/>
    <w:rsid w:val="71ED1E0E"/>
    <w:rsid w:val="71FF3B8D"/>
    <w:rsid w:val="7202642B"/>
    <w:rsid w:val="72076BE5"/>
    <w:rsid w:val="72273572"/>
    <w:rsid w:val="723839D1"/>
    <w:rsid w:val="724265FE"/>
    <w:rsid w:val="72671BC0"/>
    <w:rsid w:val="727D5888"/>
    <w:rsid w:val="728C7879"/>
    <w:rsid w:val="7295497F"/>
    <w:rsid w:val="72987FCC"/>
    <w:rsid w:val="72991273"/>
    <w:rsid w:val="729D15B2"/>
    <w:rsid w:val="729F57FE"/>
    <w:rsid w:val="72A42E14"/>
    <w:rsid w:val="72A662BD"/>
    <w:rsid w:val="72CC236B"/>
    <w:rsid w:val="72D57472"/>
    <w:rsid w:val="72E01973"/>
    <w:rsid w:val="72E96A79"/>
    <w:rsid w:val="73107C5C"/>
    <w:rsid w:val="731C29AB"/>
    <w:rsid w:val="73207714"/>
    <w:rsid w:val="732301DD"/>
    <w:rsid w:val="73292630"/>
    <w:rsid w:val="73357F10"/>
    <w:rsid w:val="733D7598"/>
    <w:rsid w:val="73412411"/>
    <w:rsid w:val="734B3290"/>
    <w:rsid w:val="73552361"/>
    <w:rsid w:val="73893DB8"/>
    <w:rsid w:val="73903399"/>
    <w:rsid w:val="73B25044"/>
    <w:rsid w:val="73BC5F3C"/>
    <w:rsid w:val="73C117A4"/>
    <w:rsid w:val="73C92407"/>
    <w:rsid w:val="73DB0AB8"/>
    <w:rsid w:val="73DD61C7"/>
    <w:rsid w:val="73E07E7C"/>
    <w:rsid w:val="73F6144E"/>
    <w:rsid w:val="74051691"/>
    <w:rsid w:val="7408299F"/>
    <w:rsid w:val="742C4E6F"/>
    <w:rsid w:val="744C5512"/>
    <w:rsid w:val="7476258E"/>
    <w:rsid w:val="74813CA8"/>
    <w:rsid w:val="74B64665"/>
    <w:rsid w:val="74B86703"/>
    <w:rsid w:val="74DD43BC"/>
    <w:rsid w:val="74DF025A"/>
    <w:rsid w:val="75267B11"/>
    <w:rsid w:val="75273889"/>
    <w:rsid w:val="75436915"/>
    <w:rsid w:val="756D1BE3"/>
    <w:rsid w:val="75742F72"/>
    <w:rsid w:val="758331B5"/>
    <w:rsid w:val="758B206A"/>
    <w:rsid w:val="75B82733"/>
    <w:rsid w:val="75DC0B17"/>
    <w:rsid w:val="75DC220D"/>
    <w:rsid w:val="75E31EA6"/>
    <w:rsid w:val="75FE6CDF"/>
    <w:rsid w:val="76200A04"/>
    <w:rsid w:val="7646362A"/>
    <w:rsid w:val="76465F91"/>
    <w:rsid w:val="765B5EE0"/>
    <w:rsid w:val="765D2E2D"/>
    <w:rsid w:val="76792C1D"/>
    <w:rsid w:val="767B0330"/>
    <w:rsid w:val="7680203D"/>
    <w:rsid w:val="7682184D"/>
    <w:rsid w:val="76B54D0E"/>
    <w:rsid w:val="76C91EEB"/>
    <w:rsid w:val="772207AC"/>
    <w:rsid w:val="77253DF8"/>
    <w:rsid w:val="772938E8"/>
    <w:rsid w:val="772E0EFE"/>
    <w:rsid w:val="773724A9"/>
    <w:rsid w:val="773A3D47"/>
    <w:rsid w:val="77476464"/>
    <w:rsid w:val="775F34D3"/>
    <w:rsid w:val="77613082"/>
    <w:rsid w:val="777A5F85"/>
    <w:rsid w:val="77980A6E"/>
    <w:rsid w:val="779D7E32"/>
    <w:rsid w:val="77A45665"/>
    <w:rsid w:val="77A47413"/>
    <w:rsid w:val="77AD62C7"/>
    <w:rsid w:val="77B05DB7"/>
    <w:rsid w:val="77C875A5"/>
    <w:rsid w:val="77C90C27"/>
    <w:rsid w:val="77DA1086"/>
    <w:rsid w:val="77FA5285"/>
    <w:rsid w:val="78085BF3"/>
    <w:rsid w:val="781400F4"/>
    <w:rsid w:val="78200B8D"/>
    <w:rsid w:val="78322C70"/>
    <w:rsid w:val="78436C2C"/>
    <w:rsid w:val="784E7251"/>
    <w:rsid w:val="785B21C7"/>
    <w:rsid w:val="785E23CE"/>
    <w:rsid w:val="788C68AE"/>
    <w:rsid w:val="78A82F32"/>
    <w:rsid w:val="78D151B6"/>
    <w:rsid w:val="78E21FA1"/>
    <w:rsid w:val="78FB7506"/>
    <w:rsid w:val="78FF4906"/>
    <w:rsid w:val="79426EE3"/>
    <w:rsid w:val="79654980"/>
    <w:rsid w:val="79725E79"/>
    <w:rsid w:val="79AF3C9E"/>
    <w:rsid w:val="79C67B14"/>
    <w:rsid w:val="79DA711C"/>
    <w:rsid w:val="79DD6C0C"/>
    <w:rsid w:val="79EF706B"/>
    <w:rsid w:val="7A48677B"/>
    <w:rsid w:val="7A57076C"/>
    <w:rsid w:val="7A94376E"/>
    <w:rsid w:val="7AA339B1"/>
    <w:rsid w:val="7AAA4D40"/>
    <w:rsid w:val="7AB61937"/>
    <w:rsid w:val="7ABD0F17"/>
    <w:rsid w:val="7AD4000F"/>
    <w:rsid w:val="7AF95CC7"/>
    <w:rsid w:val="7B164183"/>
    <w:rsid w:val="7B1D7C08"/>
    <w:rsid w:val="7B3C4F75"/>
    <w:rsid w:val="7B483CA8"/>
    <w:rsid w:val="7B6C6499"/>
    <w:rsid w:val="7B71585E"/>
    <w:rsid w:val="7BAB2F3D"/>
    <w:rsid w:val="7BB87930"/>
    <w:rsid w:val="7BC41E31"/>
    <w:rsid w:val="7BE57DD3"/>
    <w:rsid w:val="7BF246D7"/>
    <w:rsid w:val="7C18217D"/>
    <w:rsid w:val="7C76154A"/>
    <w:rsid w:val="7C924A10"/>
    <w:rsid w:val="7C960037"/>
    <w:rsid w:val="7CA3123D"/>
    <w:rsid w:val="7CA46979"/>
    <w:rsid w:val="7CE34539"/>
    <w:rsid w:val="7CF46746"/>
    <w:rsid w:val="7D2A2168"/>
    <w:rsid w:val="7D473EDC"/>
    <w:rsid w:val="7D5A0C9F"/>
    <w:rsid w:val="7D983576"/>
    <w:rsid w:val="7DAA32A9"/>
    <w:rsid w:val="7DC425BD"/>
    <w:rsid w:val="7DD86F8A"/>
    <w:rsid w:val="7DF646CA"/>
    <w:rsid w:val="7DFA7D8C"/>
    <w:rsid w:val="7E156974"/>
    <w:rsid w:val="7E412766"/>
    <w:rsid w:val="7E4E1E86"/>
    <w:rsid w:val="7E891110"/>
    <w:rsid w:val="7E927665"/>
    <w:rsid w:val="7E9C13E9"/>
    <w:rsid w:val="7E9E0C24"/>
    <w:rsid w:val="7EB97C47"/>
    <w:rsid w:val="7ECA59B1"/>
    <w:rsid w:val="7EDC56E4"/>
    <w:rsid w:val="7EE34CC4"/>
    <w:rsid w:val="7EF649F8"/>
    <w:rsid w:val="7F043C8F"/>
    <w:rsid w:val="7F141322"/>
    <w:rsid w:val="7F21759B"/>
    <w:rsid w:val="7F475253"/>
    <w:rsid w:val="7F4E3981"/>
    <w:rsid w:val="7F637BB3"/>
    <w:rsid w:val="7F6851CA"/>
    <w:rsid w:val="7F6E0A32"/>
    <w:rsid w:val="7F742D7F"/>
    <w:rsid w:val="7F7B4EFD"/>
    <w:rsid w:val="7F8056B9"/>
    <w:rsid w:val="7F995383"/>
    <w:rsid w:val="7FD5285F"/>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jc w:val="center"/>
      <w:outlineLvl w:val="0"/>
    </w:pPr>
    <w:rPr>
      <w:rFonts w:ascii="宋体" w:hAnsi="宋体"/>
      <w:sz w:val="36"/>
    </w:rPr>
  </w:style>
  <w:style w:type="paragraph" w:styleId="4">
    <w:name w:val="heading 2"/>
    <w:basedOn w:val="1"/>
    <w:next w:val="1"/>
    <w:autoRedefine/>
    <w:qFormat/>
    <w:uiPriority w:val="0"/>
    <w:pPr>
      <w:spacing w:line="360" w:lineRule="auto"/>
      <w:jc w:val="center"/>
      <w:outlineLvl w:val="1"/>
    </w:pPr>
    <w:rPr>
      <w:rFonts w:ascii="宋体" w:hAnsi="宋体"/>
      <w:b/>
      <w:sz w:val="24"/>
    </w:rPr>
  </w:style>
  <w:style w:type="paragraph" w:styleId="5">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autoRedefine/>
    <w:qFormat/>
    <w:uiPriority w:val="0"/>
    <w:pPr>
      <w:keepNext/>
      <w:outlineLvl w:val="3"/>
    </w:pPr>
    <w:rPr>
      <w:color w:val="FF0000"/>
      <w:sz w:val="28"/>
      <w:u w:val="single"/>
    </w:rPr>
  </w:style>
  <w:style w:type="paragraph" w:styleId="7">
    <w:name w:val="heading 6"/>
    <w:basedOn w:val="1"/>
    <w:next w:val="1"/>
    <w:autoRedefine/>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ì." w:hAnsi="..ì." w:eastAsia="..ì." w:cs="Times New Roman"/>
      <w:color w:val="000000"/>
      <w:sz w:val="24"/>
      <w:szCs w:val="22"/>
      <w:lang w:val="en-US" w:eastAsia="zh-CN" w:bidi="ar-SA"/>
    </w:rPr>
  </w:style>
  <w:style w:type="paragraph" w:styleId="8">
    <w:name w:val="Normal Indent"/>
    <w:basedOn w:val="1"/>
    <w:autoRedefine/>
    <w:qFormat/>
    <w:uiPriority w:val="0"/>
    <w:pPr>
      <w:ind w:firstLine="420" w:firstLineChars="200"/>
    </w:pPr>
  </w:style>
  <w:style w:type="paragraph" w:styleId="9">
    <w:name w:val="toa heading"/>
    <w:basedOn w:val="1"/>
    <w:next w:val="1"/>
    <w:autoRedefine/>
    <w:qFormat/>
    <w:uiPriority w:val="0"/>
    <w:pPr>
      <w:spacing w:before="120"/>
    </w:pPr>
    <w:rPr>
      <w:rFonts w:ascii="Cambria" w:hAnsi="Cambria" w:eastAsia="宋体" w:cs="Times New Roman"/>
      <w:sz w:val="24"/>
    </w:rPr>
  </w:style>
  <w:style w:type="paragraph" w:styleId="10">
    <w:name w:val="annotation text"/>
    <w:basedOn w:val="1"/>
    <w:autoRedefine/>
    <w:qFormat/>
    <w:uiPriority w:val="0"/>
    <w:pPr>
      <w:jc w:val="left"/>
    </w:pPr>
  </w:style>
  <w:style w:type="paragraph" w:styleId="11">
    <w:name w:val="Body Text 3"/>
    <w:basedOn w:val="1"/>
    <w:autoRedefine/>
    <w:qFormat/>
    <w:uiPriority w:val="0"/>
    <w:pPr>
      <w:adjustRightInd/>
      <w:spacing w:after="120" w:line="240" w:lineRule="auto"/>
      <w:jc w:val="both"/>
      <w:textAlignment w:val="auto"/>
    </w:pPr>
    <w:rPr>
      <w:rFonts w:ascii="Calibri" w:hAnsi="Calibri"/>
      <w:kern w:val="2"/>
      <w:sz w:val="16"/>
      <w:szCs w:val="16"/>
    </w:rPr>
  </w:style>
  <w:style w:type="paragraph" w:styleId="12">
    <w:name w:val="Body Text"/>
    <w:basedOn w:val="1"/>
    <w:next w:val="1"/>
    <w:autoRedefine/>
    <w:qFormat/>
    <w:uiPriority w:val="0"/>
    <w:pPr>
      <w:jc w:val="center"/>
    </w:pPr>
  </w:style>
  <w:style w:type="paragraph" w:styleId="13">
    <w:name w:val="Body Text Indent"/>
    <w:basedOn w:val="1"/>
    <w:next w:val="14"/>
    <w:autoRedefine/>
    <w:qFormat/>
    <w:uiPriority w:val="0"/>
    <w:pPr>
      <w:spacing w:line="640" w:lineRule="exact"/>
      <w:ind w:firstLine="585"/>
    </w:pPr>
    <w:rPr>
      <w:rFonts w:ascii="楷体_GB2312" w:eastAsia="楷体_GB2312"/>
      <w:sz w:val="32"/>
    </w:rPr>
  </w:style>
  <w:style w:type="paragraph" w:styleId="14">
    <w:name w:val="annotation subject"/>
    <w:basedOn w:val="10"/>
    <w:next w:val="1"/>
    <w:autoRedefine/>
    <w:qFormat/>
    <w:uiPriority w:val="0"/>
    <w:rPr>
      <w:b/>
      <w:bCs/>
    </w:rPr>
  </w:style>
  <w:style w:type="paragraph" w:styleId="15">
    <w:name w:val="Plain Text"/>
    <w:basedOn w:val="1"/>
    <w:autoRedefine/>
    <w:qFormat/>
    <w:uiPriority w:val="0"/>
    <w:rPr>
      <w:rFonts w:ascii="宋体" w:hAnsi="Courier New"/>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39"/>
    <w:pPr>
      <w:widowControl/>
      <w:jc w:val="left"/>
    </w:pPr>
    <w:rPr>
      <w:kern w:val="0"/>
      <w:sz w:val="20"/>
    </w:rPr>
  </w:style>
  <w:style w:type="paragraph" w:styleId="19">
    <w:name w:val="Body Text Indent 3"/>
    <w:basedOn w:val="1"/>
    <w:autoRedefine/>
    <w:qFormat/>
    <w:uiPriority w:val="0"/>
    <w:pPr>
      <w:spacing w:after="120"/>
      <w:ind w:left="420" w:leftChars="200"/>
    </w:pPr>
    <w:rPr>
      <w:sz w:val="16"/>
    </w:rPr>
  </w:style>
  <w:style w:type="paragraph" w:styleId="2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1">
    <w:name w:val="Title"/>
    <w:basedOn w:val="1"/>
    <w:autoRedefine/>
    <w:qFormat/>
    <w:uiPriority w:val="0"/>
    <w:pPr>
      <w:spacing w:before="120" w:after="120"/>
      <w:jc w:val="center"/>
    </w:pPr>
    <w:rPr>
      <w:rFonts w:eastAsia="黑体"/>
      <w:b/>
      <w:sz w:val="32"/>
    </w:rPr>
  </w:style>
  <w:style w:type="paragraph" w:styleId="22">
    <w:name w:val="Body Text First Indent"/>
    <w:basedOn w:val="12"/>
    <w:autoRedefine/>
    <w:qFormat/>
    <w:uiPriority w:val="0"/>
    <w:pPr>
      <w:spacing w:line="312" w:lineRule="auto"/>
      <w:ind w:firstLine="420"/>
    </w:pPr>
  </w:style>
  <w:style w:type="paragraph" w:styleId="23">
    <w:name w:val="Body Text First Indent 2"/>
    <w:basedOn w:val="13"/>
    <w:next w:val="22"/>
    <w:autoRedefine/>
    <w:qFormat/>
    <w:uiPriority w:val="0"/>
    <w:pPr>
      <w:ind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autoRedefine/>
    <w:qFormat/>
    <w:uiPriority w:val="0"/>
  </w:style>
  <w:style w:type="character" w:styleId="29">
    <w:name w:val="FollowedHyperlink"/>
    <w:basedOn w:val="26"/>
    <w:autoRedefine/>
    <w:qFormat/>
    <w:uiPriority w:val="0"/>
    <w:rPr>
      <w:color w:val="333333"/>
      <w:u w:val="none"/>
    </w:rPr>
  </w:style>
  <w:style w:type="character" w:styleId="30">
    <w:name w:val="Emphasis"/>
    <w:basedOn w:val="26"/>
    <w:autoRedefine/>
    <w:qFormat/>
    <w:uiPriority w:val="0"/>
  </w:style>
  <w:style w:type="character" w:styleId="31">
    <w:name w:val="HTML Definition"/>
    <w:basedOn w:val="26"/>
    <w:autoRedefine/>
    <w:qFormat/>
    <w:uiPriority w:val="0"/>
    <w:rPr>
      <w:i/>
      <w:iCs/>
    </w:rPr>
  </w:style>
  <w:style w:type="character" w:styleId="32">
    <w:name w:val="Hyperlink"/>
    <w:autoRedefine/>
    <w:qFormat/>
    <w:uiPriority w:val="0"/>
    <w:rPr>
      <w:color w:val="333333"/>
      <w:u w:val="none"/>
    </w:rPr>
  </w:style>
  <w:style w:type="character" w:styleId="33">
    <w:name w:val="HTML Code"/>
    <w:basedOn w:val="26"/>
    <w:autoRedefine/>
    <w:qFormat/>
    <w:uiPriority w:val="0"/>
    <w:rPr>
      <w:rFonts w:hint="default" w:ascii="Consolas" w:hAnsi="Consolas" w:eastAsia="Consolas" w:cs="Consolas"/>
      <w:color w:val="C7254E"/>
      <w:sz w:val="21"/>
      <w:szCs w:val="21"/>
      <w:shd w:val="clear" w:fill="F9F2F4"/>
    </w:rPr>
  </w:style>
  <w:style w:type="character" w:styleId="34">
    <w:name w:val="annotation reference"/>
    <w:autoRedefine/>
    <w:qFormat/>
    <w:uiPriority w:val="0"/>
    <w:rPr>
      <w:sz w:val="21"/>
    </w:rPr>
  </w:style>
  <w:style w:type="character" w:styleId="35">
    <w:name w:val="HTML Keyboard"/>
    <w:basedOn w:val="26"/>
    <w:autoRedefine/>
    <w:qFormat/>
    <w:uiPriority w:val="0"/>
    <w:rPr>
      <w:rFonts w:hint="default" w:ascii="Consolas" w:hAnsi="Consolas" w:eastAsia="Consolas" w:cs="Consolas"/>
      <w:color w:val="FFFFFF"/>
      <w:sz w:val="21"/>
      <w:szCs w:val="21"/>
      <w:shd w:val="clear" w:fill="333333"/>
    </w:rPr>
  </w:style>
  <w:style w:type="character" w:styleId="36">
    <w:name w:val="HTML Sample"/>
    <w:basedOn w:val="26"/>
    <w:autoRedefine/>
    <w:qFormat/>
    <w:uiPriority w:val="0"/>
    <w:rPr>
      <w:rFonts w:ascii="Consolas" w:hAnsi="Consolas" w:eastAsia="Consolas" w:cs="Consolas"/>
      <w:sz w:val="21"/>
      <w:szCs w:val="21"/>
    </w:rPr>
  </w:style>
  <w:style w:type="paragraph" w:customStyle="1" w:styleId="37">
    <w:name w:val="RFI Heading 2nd Level Char"/>
    <w:basedOn w:val="1"/>
    <w:next w:val="38"/>
    <w:autoRedefine/>
    <w:qFormat/>
    <w:uiPriority w:val="0"/>
    <w:pPr>
      <w:widowControl/>
      <w:spacing w:before="240" w:after="240"/>
      <w:ind w:left="1152" w:hanging="1152"/>
      <w:outlineLvl w:val="1"/>
    </w:pPr>
    <w:rPr>
      <w:rFonts w:ascii="Arial (W1)" w:eastAsia="Times New Roman"/>
      <w:b/>
      <w:color w:val="3366FF"/>
      <w:sz w:val="24"/>
    </w:rPr>
  </w:style>
  <w:style w:type="paragraph" w:customStyle="1" w:styleId="38">
    <w:name w:val="Normal 0.51"/>
    <w:basedOn w:val="1"/>
    <w:next w:val="1"/>
    <w:autoRedefine/>
    <w:qFormat/>
    <w:uiPriority w:val="0"/>
    <w:pPr>
      <w:widowControl/>
      <w:spacing w:before="180" w:after="120"/>
      <w:ind w:left="720"/>
    </w:pPr>
    <w:rPr>
      <w:sz w:val="24"/>
    </w:rPr>
  </w:style>
  <w:style w:type="paragraph" w:customStyle="1" w:styleId="39">
    <w:name w:val="正文 New"/>
    <w:autoRedefine/>
    <w:qFormat/>
    <w:uiPriority w:val="99"/>
    <w:pPr>
      <w:widowControl w:val="0"/>
      <w:jc w:val="both"/>
    </w:pPr>
    <w:rPr>
      <w:rFonts w:ascii="Calibri" w:hAnsi="Calibri" w:eastAsia="宋体" w:cs="Times New Roman"/>
      <w:lang w:val="en-US" w:eastAsia="zh-CN" w:bidi="ar-SA"/>
    </w:rPr>
  </w:style>
  <w:style w:type="paragraph" w:customStyle="1" w:styleId="4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42">
    <w:name w:val="Table Text"/>
    <w:basedOn w:val="1"/>
    <w:autoRedefine/>
    <w:semiHidden/>
    <w:qFormat/>
    <w:uiPriority w:val="0"/>
    <w:rPr>
      <w:rFonts w:ascii="宋体" w:hAnsi="宋体" w:eastAsia="宋体" w:cs="宋体"/>
      <w:sz w:val="32"/>
      <w:szCs w:val="32"/>
      <w:lang w:val="en-US" w:eastAsia="en-US"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styleId="44">
    <w:name w:val="List Paragraph"/>
    <w:basedOn w:val="1"/>
    <w:autoRedefine/>
    <w:qFormat/>
    <w:uiPriority w:val="34"/>
    <w:pPr>
      <w:ind w:firstLine="420" w:firstLineChars="200"/>
    </w:pPr>
  </w:style>
  <w:style w:type="paragraph" w:customStyle="1" w:styleId="45">
    <w:name w:val="KM_Text"/>
    <w:autoRedefine/>
    <w:qFormat/>
    <w:uiPriority w:val="0"/>
    <w:pPr>
      <w:spacing w:line="284" w:lineRule="exact"/>
    </w:pPr>
    <w:rPr>
      <w:rFonts w:ascii="Bliss Light" w:hAnsi="Bliss Light" w:eastAsia="宋体" w:cs="Times New Roman"/>
      <w:sz w:val="22"/>
      <w:szCs w:val="22"/>
      <w:lang w:val="de-DE" w:eastAsia="de-DE" w:bidi="ar-SA"/>
    </w:rPr>
  </w:style>
  <w:style w:type="character" w:customStyle="1" w:styleId="46">
    <w:name w:val="font21"/>
    <w:basedOn w:val="26"/>
    <w:autoRedefine/>
    <w:qFormat/>
    <w:uiPriority w:val="0"/>
    <w:rPr>
      <w:rFonts w:hint="default" w:ascii="Times New Roman" w:hAnsi="Times New Roman" w:cs="Times New Roman"/>
      <w:color w:val="000000"/>
      <w:sz w:val="24"/>
      <w:szCs w:val="24"/>
      <w:u w:val="none"/>
    </w:rPr>
  </w:style>
  <w:style w:type="character" w:customStyle="1" w:styleId="47">
    <w:name w:val="font31"/>
    <w:basedOn w:val="26"/>
    <w:autoRedefine/>
    <w:qFormat/>
    <w:uiPriority w:val="0"/>
    <w:rPr>
      <w:rFonts w:hint="eastAsia" w:ascii="宋体" w:hAnsi="宋体" w:eastAsia="宋体" w:cs="宋体"/>
      <w:color w:val="000000"/>
      <w:sz w:val="24"/>
      <w:szCs w:val="24"/>
      <w:u w:val="none"/>
    </w:rPr>
  </w:style>
  <w:style w:type="character" w:customStyle="1" w:styleId="48">
    <w:name w:val="nth-of-type(7)"/>
    <w:basedOn w:val="26"/>
    <w:autoRedefine/>
    <w:qFormat/>
    <w:uiPriority w:val="0"/>
  </w:style>
  <w:style w:type="character" w:customStyle="1" w:styleId="49">
    <w:name w:val="nth-of-type(5)"/>
    <w:basedOn w:val="26"/>
    <w:autoRedefine/>
    <w:qFormat/>
    <w:uiPriority w:val="0"/>
  </w:style>
  <w:style w:type="character" w:customStyle="1" w:styleId="50">
    <w:name w:val="nth-of-type(1)"/>
    <w:basedOn w:val="26"/>
    <w:autoRedefine/>
    <w:qFormat/>
    <w:uiPriority w:val="0"/>
  </w:style>
  <w:style w:type="character" w:customStyle="1" w:styleId="51">
    <w:name w:val="nth-of-type(1)1"/>
    <w:basedOn w:val="26"/>
    <w:autoRedefine/>
    <w:qFormat/>
    <w:uiPriority w:val="0"/>
  </w:style>
  <w:style w:type="character" w:customStyle="1" w:styleId="52">
    <w:name w:val="nth-of-type(1)2"/>
    <w:basedOn w:val="26"/>
    <w:autoRedefine/>
    <w:qFormat/>
    <w:uiPriority w:val="0"/>
    <w:rPr>
      <w:rFonts w:ascii="SourceHanSansCN-Regular" w:hAnsi="SourceHanSansCN-Regular" w:eastAsia="SourceHanSansCN-Regular" w:cs="SourceHanSansCN-Regular"/>
      <w:color w:val="FB560A"/>
      <w:sz w:val="21"/>
      <w:szCs w:val="21"/>
    </w:rPr>
  </w:style>
  <w:style w:type="character" w:customStyle="1" w:styleId="53">
    <w:name w:val="nth-of-type(1)3"/>
    <w:basedOn w:val="26"/>
    <w:autoRedefine/>
    <w:qFormat/>
    <w:uiPriority w:val="0"/>
  </w:style>
  <w:style w:type="character" w:customStyle="1" w:styleId="54">
    <w:name w:val="nth-of-type(1)4"/>
    <w:basedOn w:val="26"/>
    <w:autoRedefine/>
    <w:qFormat/>
    <w:uiPriority w:val="0"/>
  </w:style>
  <w:style w:type="character" w:customStyle="1" w:styleId="55">
    <w:name w:val="nth-of-type(1)5"/>
    <w:basedOn w:val="26"/>
    <w:autoRedefine/>
    <w:qFormat/>
    <w:uiPriority w:val="0"/>
  </w:style>
  <w:style w:type="character" w:customStyle="1" w:styleId="56">
    <w:name w:val="nth-of-type(1)6"/>
    <w:basedOn w:val="26"/>
    <w:autoRedefine/>
    <w:qFormat/>
    <w:uiPriority w:val="0"/>
  </w:style>
  <w:style w:type="character" w:customStyle="1" w:styleId="57">
    <w:name w:val="nth-of-type(1)7"/>
    <w:basedOn w:val="26"/>
    <w:autoRedefine/>
    <w:qFormat/>
    <w:uiPriority w:val="0"/>
  </w:style>
  <w:style w:type="character" w:customStyle="1" w:styleId="58">
    <w:name w:val="nth-of-type(1)8"/>
    <w:basedOn w:val="26"/>
    <w:autoRedefine/>
    <w:qFormat/>
    <w:uiPriority w:val="0"/>
  </w:style>
  <w:style w:type="character" w:customStyle="1" w:styleId="59">
    <w:name w:val="nth-of-type(1)9"/>
    <w:basedOn w:val="26"/>
    <w:autoRedefine/>
    <w:qFormat/>
    <w:uiPriority w:val="0"/>
  </w:style>
  <w:style w:type="character" w:customStyle="1" w:styleId="60">
    <w:name w:val="nth-of-type(1)10"/>
    <w:basedOn w:val="26"/>
    <w:autoRedefine/>
    <w:qFormat/>
    <w:uiPriority w:val="0"/>
  </w:style>
  <w:style w:type="character" w:customStyle="1" w:styleId="61">
    <w:name w:val="nth-of-type(1)11"/>
    <w:basedOn w:val="26"/>
    <w:autoRedefine/>
    <w:qFormat/>
    <w:uiPriority w:val="0"/>
  </w:style>
  <w:style w:type="character" w:customStyle="1" w:styleId="62">
    <w:name w:val="nth-of-type(1)12"/>
    <w:basedOn w:val="26"/>
    <w:autoRedefine/>
    <w:qFormat/>
    <w:uiPriority w:val="0"/>
  </w:style>
  <w:style w:type="character" w:customStyle="1" w:styleId="63">
    <w:name w:val="nth-of-type(1)13"/>
    <w:basedOn w:val="26"/>
    <w:autoRedefine/>
    <w:qFormat/>
    <w:uiPriority w:val="0"/>
    <w:rPr>
      <w:sz w:val="21"/>
      <w:szCs w:val="21"/>
    </w:rPr>
  </w:style>
  <w:style w:type="character" w:customStyle="1" w:styleId="64">
    <w:name w:val="nth-of-type(1)14"/>
    <w:basedOn w:val="26"/>
    <w:autoRedefine/>
    <w:qFormat/>
    <w:uiPriority w:val="0"/>
  </w:style>
  <w:style w:type="character" w:customStyle="1" w:styleId="65">
    <w:name w:val="nth-of-type(10)"/>
    <w:basedOn w:val="26"/>
    <w:autoRedefine/>
    <w:qFormat/>
    <w:uiPriority w:val="0"/>
  </w:style>
  <w:style w:type="character" w:customStyle="1" w:styleId="66">
    <w:name w:val="nth-of-type(2)"/>
    <w:basedOn w:val="26"/>
    <w:autoRedefine/>
    <w:qFormat/>
    <w:uiPriority w:val="0"/>
  </w:style>
  <w:style w:type="character" w:customStyle="1" w:styleId="67">
    <w:name w:val="nth-of-type(2)1"/>
    <w:basedOn w:val="26"/>
    <w:autoRedefine/>
    <w:qFormat/>
    <w:uiPriority w:val="0"/>
  </w:style>
  <w:style w:type="character" w:customStyle="1" w:styleId="68">
    <w:name w:val="nth-of-type(2)2"/>
    <w:basedOn w:val="26"/>
    <w:autoRedefine/>
    <w:qFormat/>
    <w:uiPriority w:val="0"/>
  </w:style>
  <w:style w:type="character" w:customStyle="1" w:styleId="69">
    <w:name w:val="nth-of-type(2)3"/>
    <w:basedOn w:val="26"/>
    <w:autoRedefine/>
    <w:qFormat/>
    <w:uiPriority w:val="0"/>
  </w:style>
  <w:style w:type="character" w:customStyle="1" w:styleId="70">
    <w:name w:val="nth-of-type(2)4"/>
    <w:basedOn w:val="26"/>
    <w:autoRedefine/>
    <w:qFormat/>
    <w:uiPriority w:val="0"/>
  </w:style>
  <w:style w:type="character" w:customStyle="1" w:styleId="71">
    <w:name w:val="nth-of-type(2)5"/>
    <w:basedOn w:val="26"/>
    <w:autoRedefine/>
    <w:qFormat/>
    <w:uiPriority w:val="0"/>
  </w:style>
  <w:style w:type="character" w:customStyle="1" w:styleId="72">
    <w:name w:val="nth-of-type(2)6"/>
    <w:basedOn w:val="26"/>
    <w:autoRedefine/>
    <w:qFormat/>
    <w:uiPriority w:val="0"/>
  </w:style>
  <w:style w:type="character" w:customStyle="1" w:styleId="73">
    <w:name w:val="nth-of-type(2)7"/>
    <w:basedOn w:val="26"/>
    <w:autoRedefine/>
    <w:qFormat/>
    <w:uiPriority w:val="0"/>
  </w:style>
  <w:style w:type="character" w:customStyle="1" w:styleId="74">
    <w:name w:val="nth-of-type(2)8"/>
    <w:basedOn w:val="26"/>
    <w:autoRedefine/>
    <w:qFormat/>
    <w:uiPriority w:val="0"/>
  </w:style>
  <w:style w:type="character" w:customStyle="1" w:styleId="75">
    <w:name w:val="nth-of-type(2)9"/>
    <w:basedOn w:val="26"/>
    <w:autoRedefine/>
    <w:qFormat/>
    <w:uiPriority w:val="0"/>
  </w:style>
  <w:style w:type="character" w:customStyle="1" w:styleId="76">
    <w:name w:val="nth-of-type(2)10"/>
    <w:basedOn w:val="26"/>
    <w:autoRedefine/>
    <w:qFormat/>
    <w:uiPriority w:val="0"/>
  </w:style>
  <w:style w:type="character" w:customStyle="1" w:styleId="77">
    <w:name w:val="nth-of-type(2)11"/>
    <w:basedOn w:val="26"/>
    <w:autoRedefine/>
    <w:qFormat/>
    <w:uiPriority w:val="0"/>
    <w:rPr>
      <w:sz w:val="21"/>
      <w:szCs w:val="21"/>
    </w:rPr>
  </w:style>
  <w:style w:type="character" w:customStyle="1" w:styleId="78">
    <w:name w:val="nth-of-type(2)12"/>
    <w:basedOn w:val="26"/>
    <w:autoRedefine/>
    <w:qFormat/>
    <w:uiPriority w:val="0"/>
  </w:style>
  <w:style w:type="character" w:customStyle="1" w:styleId="79">
    <w:name w:val="before"/>
    <w:basedOn w:val="26"/>
    <w:autoRedefine/>
    <w:qFormat/>
    <w:uiPriority w:val="0"/>
    <w:rPr>
      <w:shd w:val="clear" w:fill="C20E0C"/>
    </w:rPr>
  </w:style>
  <w:style w:type="character" w:customStyle="1" w:styleId="80">
    <w:name w:val="titleshow"/>
    <w:basedOn w:val="26"/>
    <w:autoRedefine/>
    <w:qFormat/>
    <w:uiPriority w:val="0"/>
    <w:rPr>
      <w:color w:val="3E464C"/>
    </w:rPr>
  </w:style>
  <w:style w:type="character" w:customStyle="1" w:styleId="81">
    <w:name w:val="nth-of-type(3)"/>
    <w:basedOn w:val="26"/>
    <w:autoRedefine/>
    <w:qFormat/>
    <w:uiPriority w:val="0"/>
  </w:style>
  <w:style w:type="character" w:customStyle="1" w:styleId="82">
    <w:name w:val="nth-of-type(3)1"/>
    <w:basedOn w:val="26"/>
    <w:autoRedefine/>
    <w:qFormat/>
    <w:uiPriority w:val="0"/>
  </w:style>
  <w:style w:type="character" w:customStyle="1" w:styleId="83">
    <w:name w:val="nth-of-type(3)2"/>
    <w:basedOn w:val="26"/>
    <w:autoRedefine/>
    <w:qFormat/>
    <w:uiPriority w:val="0"/>
  </w:style>
  <w:style w:type="character" w:customStyle="1" w:styleId="84">
    <w:name w:val="nth-of-type(3)3"/>
    <w:basedOn w:val="26"/>
    <w:autoRedefine/>
    <w:qFormat/>
    <w:uiPriority w:val="0"/>
  </w:style>
  <w:style w:type="character" w:customStyle="1" w:styleId="85">
    <w:name w:val="nth-of-type(3)4"/>
    <w:basedOn w:val="26"/>
    <w:autoRedefine/>
    <w:qFormat/>
    <w:uiPriority w:val="0"/>
    <w:rPr>
      <w:sz w:val="21"/>
      <w:szCs w:val="21"/>
    </w:rPr>
  </w:style>
  <w:style w:type="character" w:customStyle="1" w:styleId="86">
    <w:name w:val="nth-of-type(3)5"/>
    <w:basedOn w:val="26"/>
    <w:autoRedefine/>
    <w:qFormat/>
    <w:uiPriority w:val="0"/>
  </w:style>
  <w:style w:type="character" w:customStyle="1" w:styleId="87">
    <w:name w:val="hover24"/>
    <w:basedOn w:val="26"/>
    <w:autoRedefine/>
    <w:qFormat/>
    <w:uiPriority w:val="0"/>
    <w:rPr>
      <w:color w:val="167AE0"/>
    </w:rPr>
  </w:style>
  <w:style w:type="character" w:customStyle="1" w:styleId="88">
    <w:name w:val="hover25"/>
    <w:basedOn w:val="26"/>
    <w:autoRedefine/>
    <w:qFormat/>
    <w:uiPriority w:val="0"/>
  </w:style>
  <w:style w:type="character" w:customStyle="1" w:styleId="89">
    <w:name w:val="nth-child(3)"/>
    <w:basedOn w:val="26"/>
    <w:autoRedefine/>
    <w:qFormat/>
    <w:uiPriority w:val="0"/>
  </w:style>
  <w:style w:type="character" w:customStyle="1" w:styleId="90">
    <w:name w:val="nth-of-type(6)"/>
    <w:basedOn w:val="26"/>
    <w:autoRedefine/>
    <w:qFormat/>
    <w:uiPriority w:val="0"/>
  </w:style>
  <w:style w:type="character" w:customStyle="1" w:styleId="91">
    <w:name w:val="nth-of-type(6)1"/>
    <w:basedOn w:val="26"/>
    <w:autoRedefine/>
    <w:qFormat/>
    <w:uiPriority w:val="0"/>
  </w:style>
  <w:style w:type="character" w:customStyle="1" w:styleId="92">
    <w:name w:val="nth-of-type(6)2"/>
    <w:basedOn w:val="26"/>
    <w:autoRedefine/>
    <w:qFormat/>
    <w:uiPriority w:val="0"/>
  </w:style>
  <w:style w:type="character" w:customStyle="1" w:styleId="93">
    <w:name w:val="nth-of-type(6)3"/>
    <w:basedOn w:val="26"/>
    <w:autoRedefine/>
    <w:qFormat/>
    <w:uiPriority w:val="0"/>
  </w:style>
  <w:style w:type="character" w:customStyle="1" w:styleId="94">
    <w:name w:val="last-child1"/>
    <w:basedOn w:val="26"/>
    <w:autoRedefine/>
    <w:qFormat/>
    <w:uiPriority w:val="0"/>
  </w:style>
  <w:style w:type="character" w:customStyle="1" w:styleId="95">
    <w:name w:val="last-child2"/>
    <w:basedOn w:val="26"/>
    <w:autoRedefine/>
    <w:qFormat/>
    <w:uiPriority w:val="0"/>
    <w:rPr>
      <w:color w:val="FFFFFF"/>
    </w:rPr>
  </w:style>
  <w:style w:type="character" w:customStyle="1" w:styleId="96">
    <w:name w:val="last-child3"/>
    <w:basedOn w:val="26"/>
    <w:autoRedefine/>
    <w:qFormat/>
    <w:uiPriority w:val="0"/>
  </w:style>
  <w:style w:type="character" w:customStyle="1" w:styleId="97">
    <w:name w:val="first-child"/>
    <w:basedOn w:val="26"/>
    <w:autoRedefine/>
    <w:qFormat/>
    <w:uiPriority w:val="0"/>
  </w:style>
  <w:style w:type="character" w:customStyle="1" w:styleId="98">
    <w:name w:val="first-child1"/>
    <w:basedOn w:val="26"/>
    <w:autoRedefine/>
    <w:qFormat/>
    <w:uiPriority w:val="0"/>
  </w:style>
  <w:style w:type="character" w:customStyle="1" w:styleId="99">
    <w:name w:val="first-child2"/>
    <w:basedOn w:val="26"/>
    <w:autoRedefine/>
    <w:qFormat/>
    <w:uiPriority w:val="0"/>
  </w:style>
  <w:style w:type="character" w:customStyle="1" w:styleId="100">
    <w:name w:val="nth-of-type(4)"/>
    <w:basedOn w:val="26"/>
    <w:autoRedefine/>
    <w:qFormat/>
    <w:uiPriority w:val="0"/>
  </w:style>
  <w:style w:type="character" w:customStyle="1" w:styleId="101">
    <w:name w:val="nth-of-type(4)1"/>
    <w:basedOn w:val="26"/>
    <w:autoRedefine/>
    <w:qFormat/>
    <w:uiPriority w:val="0"/>
  </w:style>
  <w:style w:type="character" w:customStyle="1" w:styleId="102">
    <w:name w:val="nth-of-type(4)2"/>
    <w:basedOn w:val="26"/>
    <w:autoRedefine/>
    <w:qFormat/>
    <w:uiPriority w:val="0"/>
  </w:style>
  <w:style w:type="character" w:customStyle="1" w:styleId="103">
    <w:name w:val="nth-of-type(4)3"/>
    <w:basedOn w:val="26"/>
    <w:autoRedefine/>
    <w:qFormat/>
    <w:uiPriority w:val="0"/>
    <w:rPr>
      <w:sz w:val="21"/>
      <w:szCs w:val="21"/>
    </w:rPr>
  </w:style>
  <w:style w:type="character" w:customStyle="1" w:styleId="104">
    <w:name w:val="nth-of-type(4)4"/>
    <w:basedOn w:val="26"/>
    <w:autoRedefine/>
    <w:qFormat/>
    <w:uiPriority w:val="0"/>
  </w:style>
  <w:style w:type="character" w:customStyle="1" w:styleId="105">
    <w:name w:val="nth-of-type(8)"/>
    <w:basedOn w:val="26"/>
    <w:autoRedefine/>
    <w:qFormat/>
    <w:uiPriority w:val="0"/>
  </w:style>
  <w:style w:type="character" w:customStyle="1" w:styleId="106">
    <w:name w:val="nth-of-type(9)"/>
    <w:basedOn w:val="26"/>
    <w:autoRedefine/>
    <w:qFormat/>
    <w:uiPriority w:val="0"/>
  </w:style>
  <w:style w:type="character" w:customStyle="1" w:styleId="107">
    <w:name w:val="nth-child(1)"/>
    <w:basedOn w:val="26"/>
    <w:autoRedefine/>
    <w:qFormat/>
    <w:uiPriority w:val="0"/>
  </w:style>
  <w:style w:type="character" w:customStyle="1" w:styleId="108">
    <w:name w:val="layui-this4"/>
    <w:basedOn w:val="26"/>
    <w:autoRedefine/>
    <w:qFormat/>
    <w:uiPriority w:val="0"/>
    <w:rPr>
      <w:bdr w:val="single" w:color="EEEEEE" w:sz="6" w:space="0"/>
      <w:shd w:val="clear" w:fill="FFFFFF"/>
    </w:rPr>
  </w:style>
  <w:style w:type="character" w:customStyle="1" w:styleId="109">
    <w:name w:val="nth-child(2)"/>
    <w:basedOn w:val="26"/>
    <w:autoRedefine/>
    <w:qFormat/>
    <w:uiPriority w:val="0"/>
  </w:style>
  <w:style w:type="character" w:customStyle="1" w:styleId="110">
    <w:name w:val="layui-laypage-curr"/>
    <w:basedOn w:val="26"/>
    <w:autoRedefine/>
    <w:qFormat/>
    <w:uiPriority w:val="0"/>
  </w:style>
  <w:style w:type="character" w:customStyle="1" w:styleId="111">
    <w:name w:val="lineshow"/>
    <w:basedOn w:val="26"/>
    <w:autoRedefine/>
    <w:qFormat/>
    <w:uiPriority w:val="0"/>
  </w:style>
  <w:style w:type="paragraph" w:customStyle="1" w:styleId="112">
    <w:name w:val="Heading4"/>
    <w:basedOn w:val="1"/>
    <w:next w:val="1"/>
    <w:autoRedefine/>
    <w:qFormat/>
    <w:uiPriority w:val="0"/>
    <w:pPr>
      <w:keepNext/>
      <w:spacing w:line="600" w:lineRule="exact"/>
      <w:jc w:val="center"/>
    </w:pPr>
    <w:rPr>
      <w:rFonts w:ascii="楷体_GB2312" w:eastAsia="楷体_GB2312"/>
      <w:sz w:val="32"/>
    </w:rPr>
  </w:style>
  <w:style w:type="paragraph" w:customStyle="1" w:styleId="113">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9198</Words>
  <Characters>10171</Characters>
  <Lines>0</Lines>
  <Paragraphs>0</Paragraphs>
  <TotalTime>9</TotalTime>
  <ScaleCrop>false</ScaleCrop>
  <LinksUpToDate>false</LinksUpToDate>
  <CharactersWithSpaces>10464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2022-03-03T03:54:00Z</dcterms:created>
  <dc:creator>桐谷音。</dc:creator>
  <cp:lastModifiedBy>暖洋洋^O^</cp:lastModifiedBy>
  <cp:lastPrinted>2025-09-03T06:37:00Z</cp:lastPrinted>
  <dcterms:modified xsi:type="dcterms:W3CDTF">2025-09-05T09:40:33Z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F690F6E451AF42B59DB291949246517E_13</vt:lpwstr>
  </property>
  <property fmtid="{D5CDD505-2E9C-101B-9397-08002B2CF9AE}" pid="4" name="KSOTemplateDocerSaveRecord">
    <vt:lpwstr>eyJoZGlkIjoiZmEwYTRjMzhkMDk5YjZiODYyMmM1NDNiMTNkNWI2ZmYiLCJ1c2VySWQiOiIyMjkyODkxOTUifQ==</vt:lpwstr>
  </property>
</Properties>
</file>