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outlineLvl w:val="1"/>
      </w:pPr>
      <w:r>
        <w:rPr>
          <w:rFonts w:ascii="仿宋_GB2312" w:hAnsi="仿宋_GB2312" w:eastAsia="仿宋_GB2312" w:cs="仿宋_GB2312"/>
          <w:b/>
          <w:sz w:val="36"/>
        </w:rPr>
        <w:t>第三章 磋商项目技术、服务、商务及其他要求</w:t>
      </w:r>
    </w:p>
    <w:p>
      <w:pPr>
        <w:pStyle w:val="4"/>
        <w:ind w:firstLine="480"/>
      </w:pPr>
      <w:r>
        <w:rPr>
          <w:rFonts w:ascii="仿宋_GB2312" w:hAnsi="仿宋_GB2312" w:eastAsia="仿宋_GB2312" w:cs="仿宋_GB2312"/>
        </w:rPr>
        <w:t xml:space="preserve"> （注：带“★”的参数需求为实质性要求，供应商必须响应并满足的参数需求，采购人、采购代理机构应当根据项目实际需求合理设定，并明确具体要求。带“▲”号条款为允许负偏离的参数需求，若未响应或者不满足，将在综合评审中予以扣分处理。）</w:t>
      </w:r>
    </w:p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>
      <w:pPr>
        <w:pStyle w:val="4"/>
        <w:ind w:firstLine="480"/>
      </w:pPr>
      <w:r>
        <w:rPr>
          <w:rFonts w:ascii="仿宋_GB2312" w:hAnsi="仿宋_GB2312" w:eastAsia="仿宋_GB2312" w:cs="仿宋_GB2312"/>
        </w:rPr>
        <w:t>对长安区有个人清洁需求的267户和有康复理疗需求的137户特困人员开展个人清洁和康复理疗服务；</w:t>
      </w:r>
    </w:p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3.2服务内容及服务要求</w:t>
      </w:r>
    </w:p>
    <w:p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3.2.1服务内容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采购包预算金额（元）: 438,000.00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采购包最高限价（元）: 438,000.00</w:t>
      </w:r>
    </w:p>
    <w:p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长安区特困人员个人清洁和康复理疗服务</w:t>
            </w:r>
          </w:p>
        </w:tc>
        <w:tc>
          <w:tcPr>
            <w:tcW w:w="831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438,000.00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批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3.2.2服务要求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标的名称：长安区特困人员个人清洁和康复理疗服务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2769"/>
        <w:gridCol w:w="276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769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2769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769" w:type="dxa"/>
          </w:tcPr>
          <w:p/>
        </w:tc>
        <w:tc>
          <w:tcPr>
            <w:tcW w:w="2769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1、采购内容：对长安区有个人清洁需求的267户和有康复理疗需求的137户特困人员开展个人清洁和康复理疗服务；</w:t>
            </w:r>
          </w:p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、主要功能或目标：每月对长安区有个人清洁需求的267户和有康复理疗需求的137户特困人员开展个人清洁和康复理疗服务；个人清洁每月服务时长每人不低于两小时，康复理疗每月服务时长每人不低于一小时。个人清洁包含洗头、理发、剃须、剪指甲、助餐、助洁；康复理疗包含肢体康复、精神慰藉、语言障碍康复、物理疗法、运动疗法、肌肉训练、平衡与协调训练、步行训练。</w:t>
            </w:r>
          </w:p>
        </w:tc>
      </w:tr>
    </w:tbl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3.2.3人员配置要求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供应商应配置足够数量、专业的、经验丰富的技术人员完成项目履约。</w:t>
      </w:r>
    </w:p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3.2.4设施设备要求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有符合完成本项目服务内容的设备设施。</w:t>
      </w:r>
    </w:p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3.2.5其他要求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/</w:t>
      </w:r>
    </w:p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3.3商务要求</w:t>
      </w:r>
    </w:p>
    <w:p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3.3.1服务期限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自签订之日起12个月。</w:t>
      </w:r>
    </w:p>
    <w:p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3.3.2服务地点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采购人指定地点。</w:t>
      </w:r>
    </w:p>
    <w:p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3.3.3考核（验收）标准和方法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符合采购人要求及磋商文件要求。</w:t>
      </w:r>
    </w:p>
    <w:p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3.3.4支付方式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分期付款</w:t>
      </w:r>
    </w:p>
    <w:p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3.3.5支付约定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 付款条件说明： 每三个月提供服务人数，时长资料 ，达到付款条件起 15 日内，支付合同总金额的 25.00%。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 付款条件说明： 每三个月提供服务人数，时长资料 ，达到付款条件起 15 日内，支付合同总金额的 25.00%。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 付款条件说明： 每三个月提供服务人数，时长资料 ，达到付款条件起 15 日内，支付合同总金额的 25.00%。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 付款条件说明： 每三个月提供服务人数，时长资料 ，达到付款条件起 15 日内，支付合同总金额的 25.00%。</w:t>
      </w:r>
    </w:p>
    <w:p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3.3.6违约责任及解决争议的方法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根据磋商文件要求及合同约定执行。</w:t>
      </w:r>
    </w:p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3.4其他要求</w:t>
      </w:r>
    </w:p>
    <w:p>
      <w:pPr>
        <w:pStyle w:val="4"/>
      </w:pPr>
      <w:r>
        <w:rPr>
          <w:rFonts w:ascii="仿宋_GB2312" w:hAnsi="仿宋_GB2312" w:eastAsia="仿宋_GB2312" w:cs="仿宋_GB2312"/>
        </w:rPr>
        <w:t>成交供应商在领取成交通知书前，需向采购代理机构提交加盖公章的纸质版响应文件三套，成交供应商应保持投标文件纸质版内容与系统上传内容完全一致，否则将承担一切法律责任。</w:t>
      </w:r>
    </w:p>
    <w:p>
      <w:r>
        <w:rPr>
          <w:rFonts w:ascii="仿宋_GB2312" w:hAnsi="仿宋_GB2312" w:eastAsia="仿宋_GB2312" w:cs="仿宋_GB2312"/>
        </w:rPr>
        <w:t xml:space="preserve"> </w:t>
      </w:r>
      <w:r>
        <w:rPr>
          <w:rFonts w:ascii="仿宋_GB2312" w:hAnsi="仿宋_GB2312" w:eastAsia="仿宋_GB2312" w:cs="仿宋_GB2312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7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2025-09-24T03:06:05Z</dcterms:created>
  <dc:creator>Administrator</dc:creator>
  <cp:lastModifiedBy>Administrator</cp:lastModifiedBy>
  <dcterms:modified xsi:type="dcterms:W3CDTF">2025-09-24T03:06:21Z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7E31E4CB8FB84B26A4D090386F5709B1</vt:lpwstr>
  </property>
</Properties>
</file>